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8A6FD0" w14:textId="5CF509A6" w:rsidR="002F07B1" w:rsidRDefault="00C25AD9">
      <w:r>
        <w:t>David Bonagura</w:t>
      </w:r>
    </w:p>
    <w:p w14:paraId="3F8005F6" w14:textId="576F56E1" w:rsidR="00C25AD9" w:rsidRDefault="00C25AD9">
      <w:r>
        <w:t>HPLA 7010: Petronius</w:t>
      </w:r>
    </w:p>
    <w:p w14:paraId="635ED196" w14:textId="1901BBFE" w:rsidR="00C25AD9" w:rsidRDefault="00C25AD9">
      <w:r>
        <w:t>Non-Assessed Assignment #</w:t>
      </w:r>
      <w:r w:rsidR="00796749">
        <w:t>3</w:t>
      </w:r>
    </w:p>
    <w:p w14:paraId="1C10CE42" w14:textId="2B23526A" w:rsidR="00C25AD9" w:rsidRDefault="00796749">
      <w:r>
        <w:t>Novem</w:t>
      </w:r>
      <w:r w:rsidR="00C25AD9">
        <w:t xml:space="preserve">ber </w:t>
      </w:r>
      <w:r>
        <w:t>3</w:t>
      </w:r>
      <w:r w:rsidR="00C25AD9">
        <w:t>, 2019</w:t>
      </w:r>
    </w:p>
    <w:p w14:paraId="4B934374" w14:textId="6B8FA928" w:rsidR="00C25AD9" w:rsidRDefault="00C25AD9"/>
    <w:p w14:paraId="01595294" w14:textId="08978620" w:rsidR="00C25AD9" w:rsidRDefault="00C25AD9">
      <w:r>
        <w:t xml:space="preserve">Translation: </w:t>
      </w:r>
      <w:proofErr w:type="spellStart"/>
      <w:r>
        <w:rPr>
          <w:i/>
          <w:iCs/>
        </w:rPr>
        <w:t>Satyricon</w:t>
      </w:r>
      <w:proofErr w:type="spellEnd"/>
      <w:r>
        <w:t xml:space="preserve"> </w:t>
      </w:r>
      <w:r w:rsidR="00796749">
        <w:t>39</w:t>
      </w:r>
    </w:p>
    <w:p w14:paraId="0D2069DA" w14:textId="2F8989BE" w:rsidR="00C25AD9" w:rsidRDefault="00C25AD9"/>
    <w:p w14:paraId="4A7604AE" w14:textId="53D6D395" w:rsidR="00C25AD9" w:rsidRDefault="00C25AD9" w:rsidP="00C25AD9">
      <w:pPr>
        <w:spacing w:line="480" w:lineRule="auto"/>
      </w:pPr>
      <w:r>
        <w:tab/>
      </w:r>
      <w:proofErr w:type="spellStart"/>
      <w:r w:rsidR="00796749">
        <w:t>Trimalchio</w:t>
      </w:r>
      <w:proofErr w:type="spellEnd"/>
      <w:r w:rsidR="00796749">
        <w:t xml:space="preserve"> interrupted the very sweet stories, for now a tray had been </w:t>
      </w:r>
      <w:r w:rsidR="00D0682E">
        <w:t>taken</w:t>
      </w:r>
      <w:r w:rsidR="00796749">
        <w:t>, and the cheerful guests had begun to pay attention to the win</w:t>
      </w:r>
      <w:r w:rsidR="00141344">
        <w:t>e</w:t>
      </w:r>
      <w:r w:rsidR="00796749">
        <w:t xml:space="preserve"> and the public conversation. </w:t>
      </w:r>
      <w:proofErr w:type="spellStart"/>
      <w:r w:rsidR="00796749">
        <w:t>Trimalchio</w:t>
      </w:r>
      <w:proofErr w:type="spellEnd"/>
      <w:r w:rsidR="00796749">
        <w:t>, therefore, when he had reclined on his couch, said, “It is fitting that you</w:t>
      </w:r>
      <w:r w:rsidR="00141344">
        <w:t xml:space="preserve"> enjoy</w:t>
      </w:r>
      <w:r w:rsidR="00796749">
        <w:t xml:space="preserve"> this </w:t>
      </w:r>
      <w:r w:rsidR="00141344">
        <w:t xml:space="preserve">sweet </w:t>
      </w:r>
      <w:r w:rsidR="00796749">
        <w:t>wine; it is fitting for fish to swim. I ask</w:t>
      </w:r>
      <w:r w:rsidR="004F24C2">
        <w:t xml:space="preserve">, do you think that I am satisfied by that dinner, which you had seen in the cover of the tray? Have you known Ulysses to be like this? Therefore, what is it? We should also discuss literary pursuits at dinner. May my master’s bones rest well, he who wanted me to be a man among men. For nothing new is able to be brought to me, just as </w:t>
      </w:r>
      <w:r w:rsidR="00036BBF">
        <w:t xml:space="preserve">that tray already </w:t>
      </w:r>
      <w:r w:rsidR="00435B8C">
        <w:t xml:space="preserve">showed. This sky, in which twelve gods are living, changes itself into just as many figures, and now it becomes a ram. Therefore, when that is the sign, whoever is born </w:t>
      </w:r>
      <w:r w:rsidR="00200889">
        <w:t xml:space="preserve">has many cattle, much wool, as well as a hard head, a shameless forehead, a sharp horn. When this is the sign, very many teachers and little rams are born.” We praise the trickery of the astrologer; then he added, “Then the whole sky becomes a bull. Therefore, the kickers and the ploughmen then are born and those who pasture themselves. Among the twins, pairs of horses and </w:t>
      </w:r>
      <w:r w:rsidR="00F364C1">
        <w:t>oxen and plants and those who cover both walls</w:t>
      </w:r>
      <w:r w:rsidR="00D0682E">
        <w:t xml:space="preserve"> are born</w:t>
      </w:r>
      <w:r w:rsidR="00F364C1">
        <w:t>. I was born under the crab.</w:t>
      </w:r>
      <w:r w:rsidR="00D0682E">
        <w:t>”</w:t>
      </w:r>
    </w:p>
    <w:p w14:paraId="0A1A903F" w14:textId="381C82D3" w:rsidR="00940CF7" w:rsidRDefault="00940CF7" w:rsidP="00C25AD9">
      <w:pPr>
        <w:spacing w:line="480" w:lineRule="auto"/>
      </w:pPr>
    </w:p>
    <w:p w14:paraId="38D3AC7F" w14:textId="0229311F" w:rsidR="00940CF7" w:rsidRPr="004F24C2" w:rsidRDefault="00940CF7" w:rsidP="00C25AD9">
      <w:pPr>
        <w:spacing w:line="480" w:lineRule="auto"/>
      </w:pPr>
      <w:r>
        <w:t xml:space="preserve">Comment: </w:t>
      </w:r>
      <w:proofErr w:type="spellStart"/>
      <w:r>
        <w:rPr>
          <w:i/>
          <w:iCs/>
        </w:rPr>
        <w:t>Satyricon</w:t>
      </w:r>
      <w:proofErr w:type="spellEnd"/>
      <w:r>
        <w:rPr>
          <w:i/>
          <w:iCs/>
        </w:rPr>
        <w:t xml:space="preserve"> </w:t>
      </w:r>
      <w:r w:rsidR="004F24C2">
        <w:t>42</w:t>
      </w:r>
    </w:p>
    <w:p w14:paraId="1D35B4A1" w14:textId="77777777" w:rsidR="00D0682E" w:rsidRDefault="00133ED1" w:rsidP="00C25AD9">
      <w:pPr>
        <w:spacing w:line="480" w:lineRule="auto"/>
      </w:pPr>
      <w:r>
        <w:tab/>
      </w:r>
      <w:proofErr w:type="spellStart"/>
      <w:r>
        <w:t>Trimalchio’s</w:t>
      </w:r>
      <w:proofErr w:type="spellEnd"/>
      <w:r>
        <w:t xml:space="preserve"> welcome exit from the table (</w:t>
      </w:r>
      <w:proofErr w:type="spellStart"/>
      <w:r>
        <w:rPr>
          <w:i/>
          <w:iCs/>
        </w:rPr>
        <w:t>libertatem</w:t>
      </w:r>
      <w:proofErr w:type="spellEnd"/>
      <w:r>
        <w:rPr>
          <w:i/>
          <w:iCs/>
        </w:rPr>
        <w:t xml:space="preserve"> </w:t>
      </w:r>
      <w:proofErr w:type="spellStart"/>
      <w:r>
        <w:rPr>
          <w:i/>
          <w:iCs/>
        </w:rPr>
        <w:t>sino</w:t>
      </w:r>
      <w:proofErr w:type="spellEnd"/>
      <w:r>
        <w:rPr>
          <w:i/>
          <w:iCs/>
        </w:rPr>
        <w:t xml:space="preserve"> </w:t>
      </w:r>
      <w:proofErr w:type="spellStart"/>
      <w:r>
        <w:rPr>
          <w:i/>
          <w:iCs/>
        </w:rPr>
        <w:t>tyranno</w:t>
      </w:r>
      <w:proofErr w:type="spellEnd"/>
      <w:r>
        <w:rPr>
          <w:i/>
          <w:iCs/>
        </w:rPr>
        <w:t xml:space="preserve"> </w:t>
      </w:r>
      <w:proofErr w:type="spellStart"/>
      <w:r>
        <w:rPr>
          <w:i/>
          <w:iCs/>
        </w:rPr>
        <w:t>nacti</w:t>
      </w:r>
      <w:proofErr w:type="spellEnd"/>
      <w:r>
        <w:t>) allows for more free</w:t>
      </w:r>
      <w:r w:rsidR="00D0682E">
        <w:t>-</w:t>
      </w:r>
      <w:r>
        <w:t xml:space="preserve">flowing conversation to begin among the guests. The guest Damas is the first to speak, and mentions taking a bath in passing as he described the effects of his drinking. </w:t>
      </w:r>
    </w:p>
    <w:p w14:paraId="5D9D1094" w14:textId="310DEDB6" w:rsidR="004A45A0" w:rsidRDefault="00133ED1" w:rsidP="00D0682E">
      <w:pPr>
        <w:spacing w:line="480" w:lineRule="auto"/>
        <w:ind w:firstLine="720"/>
      </w:pPr>
      <w:r>
        <w:lastRenderedPageBreak/>
        <w:t xml:space="preserve">At this point, another guest named </w:t>
      </w:r>
      <w:proofErr w:type="spellStart"/>
      <w:r>
        <w:t>Sele</w:t>
      </w:r>
      <w:r w:rsidR="00670E8B">
        <w:t>u</w:t>
      </w:r>
      <w:r>
        <w:t>cus</w:t>
      </w:r>
      <w:proofErr w:type="spellEnd"/>
      <w:r>
        <w:t xml:space="preserve"> seized the mentioning of bathing—</w:t>
      </w:r>
      <w:proofErr w:type="spellStart"/>
      <w:r>
        <w:rPr>
          <w:i/>
          <w:iCs/>
        </w:rPr>
        <w:t>excepit</w:t>
      </w:r>
      <w:proofErr w:type="spellEnd"/>
      <w:r>
        <w:rPr>
          <w:i/>
          <w:iCs/>
        </w:rPr>
        <w:t xml:space="preserve"> fabulae partem</w:t>
      </w:r>
      <w:r>
        <w:t>—to speak about his own bathing habits: “</w:t>
      </w:r>
      <w:r>
        <w:rPr>
          <w:i/>
          <w:iCs/>
        </w:rPr>
        <w:t xml:space="preserve">Ego non </w:t>
      </w:r>
      <w:proofErr w:type="spellStart"/>
      <w:r>
        <w:rPr>
          <w:i/>
          <w:iCs/>
        </w:rPr>
        <w:t>cotidie</w:t>
      </w:r>
      <w:proofErr w:type="spellEnd"/>
      <w:r>
        <w:rPr>
          <w:i/>
          <w:iCs/>
        </w:rPr>
        <w:t xml:space="preserve"> </w:t>
      </w:r>
      <w:proofErr w:type="spellStart"/>
      <w:r>
        <w:rPr>
          <w:i/>
          <w:iCs/>
        </w:rPr>
        <w:t>lavor</w:t>
      </w:r>
      <w:proofErr w:type="spellEnd"/>
      <w:r>
        <w:t xml:space="preserve">.” </w:t>
      </w:r>
      <w:proofErr w:type="spellStart"/>
      <w:r w:rsidR="00670E8B">
        <w:t>Lawall</w:t>
      </w:r>
      <w:proofErr w:type="spellEnd"/>
      <w:r w:rsidR="00670E8B">
        <w:t xml:space="preserve"> points out that </w:t>
      </w:r>
      <w:proofErr w:type="spellStart"/>
      <w:r w:rsidR="00670E8B">
        <w:t>Seleucus’s</w:t>
      </w:r>
      <w:proofErr w:type="spellEnd"/>
      <w:r w:rsidR="00670E8B">
        <w:t xml:space="preserve"> name indicates that he is a freedman from the Seleucid Empire.</w:t>
      </w:r>
      <w:r w:rsidR="00670E8B">
        <w:rPr>
          <w:rStyle w:val="FootnoteReference"/>
        </w:rPr>
        <w:footnoteReference w:id="1"/>
      </w:r>
      <w:r w:rsidR="00670E8B">
        <w:t xml:space="preserve"> His self-centered</w:t>
      </w:r>
      <w:r w:rsidR="00D0682E">
        <w:t>, rough</w:t>
      </w:r>
      <w:r w:rsidR="00670E8B">
        <w:t xml:space="preserve"> talk portrays him as another boorish freedman among others. </w:t>
      </w:r>
      <w:proofErr w:type="spellStart"/>
      <w:r w:rsidR="00670E8B">
        <w:t>Seleucus</w:t>
      </w:r>
      <w:proofErr w:type="spellEnd"/>
      <w:r w:rsidR="00670E8B">
        <w:t xml:space="preserve"> is critical of Damas’ preference for baths that are too hot, </w:t>
      </w:r>
      <w:r w:rsidR="00D0682E">
        <w:t>for they</w:t>
      </w:r>
      <w:r w:rsidR="00670E8B">
        <w:t xml:space="preserve"> cause “</w:t>
      </w:r>
      <w:proofErr w:type="spellStart"/>
      <w:r w:rsidR="00670E8B">
        <w:rPr>
          <w:i/>
          <w:iCs/>
        </w:rPr>
        <w:t>cor</w:t>
      </w:r>
      <w:proofErr w:type="spellEnd"/>
      <w:r w:rsidR="00670E8B">
        <w:rPr>
          <w:i/>
          <w:iCs/>
        </w:rPr>
        <w:t xml:space="preserve"> nostrum </w:t>
      </w:r>
      <w:proofErr w:type="spellStart"/>
      <w:r w:rsidR="00670E8B">
        <w:rPr>
          <w:i/>
          <w:iCs/>
        </w:rPr>
        <w:t>cotidie</w:t>
      </w:r>
      <w:proofErr w:type="spellEnd"/>
      <w:r w:rsidR="00670E8B">
        <w:rPr>
          <w:i/>
          <w:iCs/>
        </w:rPr>
        <w:t xml:space="preserve"> </w:t>
      </w:r>
      <w:proofErr w:type="spellStart"/>
      <w:r w:rsidR="00670E8B">
        <w:rPr>
          <w:i/>
          <w:iCs/>
        </w:rPr>
        <w:t>liquescit</w:t>
      </w:r>
      <w:proofErr w:type="spellEnd"/>
      <w:r w:rsidR="00670E8B">
        <w:rPr>
          <w:i/>
          <w:iCs/>
        </w:rPr>
        <w:t>.</w:t>
      </w:r>
      <w:r w:rsidR="00670E8B">
        <w:t>” Sedgwick reads “</w:t>
      </w:r>
      <w:proofErr w:type="spellStart"/>
      <w:r w:rsidR="00670E8B">
        <w:rPr>
          <w:i/>
          <w:iCs/>
        </w:rPr>
        <w:t>cor</w:t>
      </w:r>
      <w:proofErr w:type="spellEnd"/>
      <w:r w:rsidR="00670E8B">
        <w:t>” as “vitals,” which is an accurate rendering.</w:t>
      </w:r>
      <w:r w:rsidR="00670E8B">
        <w:rPr>
          <w:rStyle w:val="FootnoteReference"/>
        </w:rPr>
        <w:footnoteReference w:id="2"/>
      </w:r>
      <w:r w:rsidR="00670E8B">
        <w:t xml:space="preserve"> </w:t>
      </w:r>
      <w:proofErr w:type="spellStart"/>
      <w:r w:rsidR="00442ADC">
        <w:t>Seleucus</w:t>
      </w:r>
      <w:proofErr w:type="spellEnd"/>
      <w:r w:rsidR="00442ADC">
        <w:t xml:space="preserve"> prefers the colder water baths, with the aid of a strong glass of </w:t>
      </w:r>
      <w:proofErr w:type="spellStart"/>
      <w:r w:rsidR="00442ADC">
        <w:t>mulsum</w:t>
      </w:r>
      <w:proofErr w:type="spellEnd"/>
      <w:r w:rsidR="00442ADC">
        <w:t xml:space="preserve"> beforehand. </w:t>
      </w:r>
      <w:proofErr w:type="spellStart"/>
      <w:r w:rsidR="00442ADC">
        <w:rPr>
          <w:i/>
          <w:iCs/>
        </w:rPr>
        <w:t>Laecasin</w:t>
      </w:r>
      <w:proofErr w:type="spellEnd"/>
      <w:r w:rsidR="00442ADC">
        <w:rPr>
          <w:i/>
          <w:iCs/>
        </w:rPr>
        <w:t xml:space="preserve"> </w:t>
      </w:r>
      <w:proofErr w:type="spellStart"/>
      <w:r w:rsidR="00442ADC">
        <w:rPr>
          <w:i/>
          <w:iCs/>
        </w:rPr>
        <w:t>dico</w:t>
      </w:r>
      <w:proofErr w:type="spellEnd"/>
      <w:r w:rsidR="00442ADC">
        <w:t xml:space="preserve"> is, according to </w:t>
      </w:r>
      <w:proofErr w:type="spellStart"/>
      <w:r w:rsidR="00442ADC">
        <w:t>Lawall</w:t>
      </w:r>
      <w:proofErr w:type="spellEnd"/>
      <w:r w:rsidR="00442ADC">
        <w:t>, a transliteration of the Greek infinitive, and is another use of vulgar Latin. He renders the phrase as “I tell the cold to go hang.”</w:t>
      </w:r>
      <w:r w:rsidR="00442ADC">
        <w:rPr>
          <w:rStyle w:val="FootnoteReference"/>
        </w:rPr>
        <w:footnoteReference w:id="3"/>
      </w:r>
      <w:r w:rsidR="00442ADC">
        <w:t xml:space="preserve"> Sedgwick’s choice is equivalent, but more colorful: “I consign the cold to the dickens.” </w:t>
      </w:r>
      <w:r w:rsidR="0054689A">
        <w:t xml:space="preserve">Either way, </w:t>
      </w:r>
      <w:proofErr w:type="spellStart"/>
      <w:r w:rsidR="0054689A">
        <w:t>Seleucus’s</w:t>
      </w:r>
      <w:proofErr w:type="spellEnd"/>
      <w:r w:rsidR="0054689A">
        <w:t xml:space="preserve"> diction reveals his social status and confirms him as another misfit at the banquet. He then mentions the fact that he was unable to take a bath today as a transition to a new topic: the funeral of </w:t>
      </w:r>
      <w:proofErr w:type="spellStart"/>
      <w:r w:rsidR="0054689A">
        <w:t>Chrysanthus</w:t>
      </w:r>
      <w:proofErr w:type="spellEnd"/>
      <w:r w:rsidR="0054689A">
        <w:t xml:space="preserve"> that he had attended.</w:t>
      </w:r>
    </w:p>
    <w:p w14:paraId="35CEBC89" w14:textId="75148B72" w:rsidR="003F08EF" w:rsidRDefault="0054689A" w:rsidP="00C25AD9">
      <w:pPr>
        <w:spacing w:line="480" w:lineRule="auto"/>
      </w:pPr>
      <w:r>
        <w:tab/>
      </w:r>
      <w:r w:rsidR="00926722">
        <w:t xml:space="preserve">The character of </w:t>
      </w:r>
      <w:proofErr w:type="spellStart"/>
      <w:r w:rsidR="00926722">
        <w:t>Chrysanthus</w:t>
      </w:r>
      <w:proofErr w:type="spellEnd"/>
      <w:r w:rsidR="00926722">
        <w:t xml:space="preserve"> is contrasted to that of </w:t>
      </w:r>
      <w:proofErr w:type="spellStart"/>
      <w:r w:rsidR="00926722">
        <w:t>Seleucus</w:t>
      </w:r>
      <w:proofErr w:type="spellEnd"/>
      <w:r w:rsidR="00926722">
        <w:t xml:space="preserve"> by way of diction: the latter calls the deceased “</w:t>
      </w:r>
      <w:proofErr w:type="spellStart"/>
      <w:r w:rsidR="00926722">
        <w:rPr>
          <w:i/>
          <w:iCs/>
        </w:rPr>
        <w:t>bellus</w:t>
      </w:r>
      <w:proofErr w:type="spellEnd"/>
      <w:r w:rsidR="00926722">
        <w:rPr>
          <w:i/>
          <w:iCs/>
        </w:rPr>
        <w:t>, tam bonus</w:t>
      </w:r>
      <w:r w:rsidR="00926722">
        <w:t>” who “</w:t>
      </w:r>
      <w:proofErr w:type="spellStart"/>
      <w:r w:rsidR="00926722" w:rsidRPr="00926722">
        <w:rPr>
          <w:i/>
          <w:iCs/>
        </w:rPr>
        <w:t>animam</w:t>
      </w:r>
      <w:proofErr w:type="spellEnd"/>
      <w:r w:rsidR="00926722" w:rsidRPr="00926722">
        <w:rPr>
          <w:i/>
          <w:iCs/>
        </w:rPr>
        <w:t xml:space="preserve"> </w:t>
      </w:r>
      <w:proofErr w:type="spellStart"/>
      <w:r w:rsidR="00926722" w:rsidRPr="00926722">
        <w:rPr>
          <w:i/>
          <w:iCs/>
        </w:rPr>
        <w:t>ebulliit</w:t>
      </w:r>
      <w:proofErr w:type="spellEnd"/>
      <w:r w:rsidR="00926722">
        <w:t xml:space="preserve">.” Sedgwick notes that this literally means “‘boiled </w:t>
      </w:r>
      <w:r w:rsidR="00D0682E">
        <w:t>over his spirit</w:t>
      </w:r>
      <w:r w:rsidR="00926722">
        <w:t>,’ a slang use hardly more dignified than ‘kicked the bucket.’”</w:t>
      </w:r>
      <w:r w:rsidR="00926722">
        <w:rPr>
          <w:rStyle w:val="FootnoteReference"/>
        </w:rPr>
        <w:footnoteReference w:id="4"/>
      </w:r>
      <w:r w:rsidR="00926722">
        <w:t xml:space="preserve"> Again, the coarseness of </w:t>
      </w:r>
      <w:proofErr w:type="spellStart"/>
      <w:r w:rsidR="00926722">
        <w:t>Seleucus’s</w:t>
      </w:r>
      <w:proofErr w:type="spellEnd"/>
      <w:r w:rsidR="00926722">
        <w:t xml:space="preserve"> character is confirmed with a slang usage to honor a worthy man in his death. “</w:t>
      </w:r>
      <w:proofErr w:type="spellStart"/>
      <w:r w:rsidR="00926722">
        <w:rPr>
          <w:i/>
          <w:iCs/>
        </w:rPr>
        <w:t>Heu</w:t>
      </w:r>
      <w:proofErr w:type="spellEnd"/>
      <w:r w:rsidR="00926722">
        <w:rPr>
          <w:i/>
          <w:iCs/>
        </w:rPr>
        <w:t xml:space="preserve">, </w:t>
      </w:r>
      <w:proofErr w:type="spellStart"/>
      <w:r w:rsidR="00926722">
        <w:rPr>
          <w:i/>
          <w:iCs/>
        </w:rPr>
        <w:t>eheu</w:t>
      </w:r>
      <w:proofErr w:type="spellEnd"/>
      <w:r w:rsidR="00926722">
        <w:rPr>
          <w:i/>
          <w:iCs/>
        </w:rPr>
        <w:t>!</w:t>
      </w:r>
      <w:r w:rsidR="00926722">
        <w:t xml:space="preserve">” then cues a series of “proverbial comparisons expressing the transience and insignificance of </w:t>
      </w:r>
      <w:r w:rsidR="008F66FE">
        <w:t>human life.”</w:t>
      </w:r>
      <w:r w:rsidR="008F66FE">
        <w:rPr>
          <w:rStyle w:val="FootnoteReference"/>
        </w:rPr>
        <w:footnoteReference w:id="5"/>
      </w:r>
      <w:r w:rsidR="008F66FE">
        <w:t xml:space="preserve"> </w:t>
      </w:r>
      <w:r w:rsidR="00337ACA">
        <w:t xml:space="preserve">It is possible that these are Petronius’s own opinions </w:t>
      </w:r>
      <w:r w:rsidR="00216330">
        <w:t xml:space="preserve">on </w:t>
      </w:r>
      <w:proofErr w:type="spellStart"/>
      <w:r w:rsidR="00216330">
        <w:t>Seleucus’s</w:t>
      </w:r>
      <w:proofErr w:type="spellEnd"/>
      <w:r w:rsidR="00216330">
        <w:t xml:space="preserve"> lips, but there is no way to make certain. </w:t>
      </w:r>
      <w:r w:rsidR="008F66FE">
        <w:t xml:space="preserve">In these expressions </w:t>
      </w:r>
      <w:proofErr w:type="spellStart"/>
      <w:r w:rsidR="008F66FE">
        <w:t>Seleucus</w:t>
      </w:r>
      <w:proofErr w:type="spellEnd"/>
      <w:r w:rsidR="008F66FE">
        <w:t xml:space="preserve"> twice uses the genitive of value in a contrast—</w:t>
      </w:r>
      <w:proofErr w:type="spellStart"/>
      <w:r w:rsidR="008F66FE">
        <w:rPr>
          <w:i/>
          <w:iCs/>
        </w:rPr>
        <w:t>minoris</w:t>
      </w:r>
      <w:proofErr w:type="spellEnd"/>
      <w:r w:rsidR="008F66FE">
        <w:t>…</w:t>
      </w:r>
      <w:proofErr w:type="spellStart"/>
      <w:r w:rsidR="008F66FE">
        <w:rPr>
          <w:i/>
          <w:iCs/>
        </w:rPr>
        <w:t>pluris</w:t>
      </w:r>
      <w:proofErr w:type="spellEnd"/>
      <w:r w:rsidR="008F66FE">
        <w:t xml:space="preserve">—in a </w:t>
      </w:r>
      <w:r w:rsidR="008F66FE">
        <w:lastRenderedPageBreak/>
        <w:t xml:space="preserve">surprising example of style from a man less than eloquent. Yet, in returning his focus back to </w:t>
      </w:r>
      <w:proofErr w:type="spellStart"/>
      <w:r w:rsidR="008F66FE">
        <w:t>Chrysanthus</w:t>
      </w:r>
      <w:proofErr w:type="spellEnd"/>
      <w:r w:rsidR="008F66FE">
        <w:t xml:space="preserve">, he follows this sentence with another vulgarism that, according to </w:t>
      </w:r>
      <w:proofErr w:type="spellStart"/>
      <w:r w:rsidR="008F66FE">
        <w:t>Lawall</w:t>
      </w:r>
      <w:proofErr w:type="spellEnd"/>
      <w:r w:rsidR="008F66FE">
        <w:t>, appears only here: “</w:t>
      </w:r>
      <w:r w:rsidR="008F66FE" w:rsidRPr="008F66FE">
        <w:rPr>
          <w:i/>
          <w:iCs/>
        </w:rPr>
        <w:t xml:space="preserve">Et quid </w:t>
      </w:r>
      <w:proofErr w:type="spellStart"/>
      <w:r w:rsidR="008F66FE" w:rsidRPr="008F66FE">
        <w:rPr>
          <w:i/>
          <w:iCs/>
        </w:rPr>
        <w:t>si</w:t>
      </w:r>
      <w:proofErr w:type="spellEnd"/>
      <w:r w:rsidR="008F66FE" w:rsidRPr="008F66FE">
        <w:rPr>
          <w:i/>
          <w:iCs/>
        </w:rPr>
        <w:t xml:space="preserve"> non </w:t>
      </w:r>
      <w:proofErr w:type="spellStart"/>
      <w:r w:rsidR="008F66FE" w:rsidRPr="008F66FE">
        <w:rPr>
          <w:i/>
          <w:iCs/>
        </w:rPr>
        <w:t>abstinax</w:t>
      </w:r>
      <w:proofErr w:type="spellEnd"/>
      <w:r w:rsidR="008F66FE" w:rsidRPr="008F66FE">
        <w:rPr>
          <w:i/>
          <w:iCs/>
        </w:rPr>
        <w:t xml:space="preserve"> </w:t>
      </w:r>
      <w:proofErr w:type="spellStart"/>
      <w:r w:rsidR="008F66FE" w:rsidRPr="008F66FE">
        <w:rPr>
          <w:i/>
          <w:iCs/>
        </w:rPr>
        <w:t>fuisset</w:t>
      </w:r>
      <w:proofErr w:type="spellEnd"/>
      <w:r w:rsidR="008F66FE" w:rsidRPr="008F66FE">
        <w:rPr>
          <w:i/>
          <w:iCs/>
        </w:rPr>
        <w:t>!</w:t>
      </w:r>
      <w:r w:rsidR="008F66FE">
        <w:t>”</w:t>
      </w:r>
      <w:r w:rsidR="008F66FE">
        <w:rPr>
          <w:rStyle w:val="FootnoteReference"/>
        </w:rPr>
        <w:footnoteReference w:id="6"/>
      </w:r>
      <w:r w:rsidR="008F66FE">
        <w:t xml:space="preserve"> </w:t>
      </w:r>
      <w:r w:rsidR="00D0682E">
        <w:t>In</w:t>
      </w:r>
      <w:r w:rsidR="008F66FE">
        <w:t xml:space="preserve"> </w:t>
      </w:r>
      <w:proofErr w:type="spellStart"/>
      <w:r w:rsidR="008F66FE">
        <w:t>Seleucus</w:t>
      </w:r>
      <w:r w:rsidR="00D0682E">
        <w:t>’s</w:t>
      </w:r>
      <w:proofErr w:type="spellEnd"/>
      <w:r w:rsidR="00D0682E">
        <w:t xml:space="preserve"> mind</w:t>
      </w:r>
      <w:r w:rsidR="008F66FE">
        <w:t>, being “</w:t>
      </w:r>
      <w:proofErr w:type="spellStart"/>
      <w:r w:rsidR="008F66FE">
        <w:rPr>
          <w:i/>
          <w:iCs/>
        </w:rPr>
        <w:t>absintax</w:t>
      </w:r>
      <w:proofErr w:type="spellEnd"/>
      <w:r w:rsidR="008F66FE">
        <w:t>” for five days</w:t>
      </w:r>
      <w:r w:rsidR="00B92E6D">
        <w:t xml:space="preserve"> at the doctors’ advice</w:t>
      </w:r>
      <w:r w:rsidR="008F66FE">
        <w:t xml:space="preserve"> caused </w:t>
      </w:r>
      <w:proofErr w:type="spellStart"/>
      <w:r w:rsidR="008F66FE">
        <w:t>Chrysanthus’s</w:t>
      </w:r>
      <w:proofErr w:type="spellEnd"/>
      <w:r w:rsidR="008F66FE">
        <w:t xml:space="preserve"> death. </w:t>
      </w:r>
      <w:r w:rsidR="00216330">
        <w:t>Again, i</w:t>
      </w:r>
      <w:r w:rsidR="00B92E6D">
        <w:t xml:space="preserve">t is possible that the opinion of Petronius himself breaks in with </w:t>
      </w:r>
      <w:proofErr w:type="spellStart"/>
      <w:r w:rsidR="00B92E6D">
        <w:t>Seleucus’s</w:t>
      </w:r>
      <w:proofErr w:type="spellEnd"/>
      <w:r w:rsidR="00B92E6D">
        <w:t xml:space="preserve"> statement that doctors do not heal the body; they only comfort the mind: “</w:t>
      </w:r>
      <w:r w:rsidR="00B92E6D">
        <w:rPr>
          <w:i/>
          <w:iCs/>
        </w:rPr>
        <w:t xml:space="preserve">medicus </w:t>
      </w:r>
      <w:proofErr w:type="spellStart"/>
      <w:r w:rsidR="00B92E6D">
        <w:rPr>
          <w:i/>
          <w:iCs/>
        </w:rPr>
        <w:t>enim</w:t>
      </w:r>
      <w:proofErr w:type="spellEnd"/>
      <w:r w:rsidR="00B92E6D">
        <w:rPr>
          <w:i/>
          <w:iCs/>
        </w:rPr>
        <w:t xml:space="preserve"> nihil </w:t>
      </w:r>
      <w:proofErr w:type="spellStart"/>
      <w:r w:rsidR="00B92E6D">
        <w:rPr>
          <w:i/>
          <w:iCs/>
        </w:rPr>
        <w:t>aliud</w:t>
      </w:r>
      <w:proofErr w:type="spellEnd"/>
      <w:r w:rsidR="00B92E6D">
        <w:rPr>
          <w:i/>
          <w:iCs/>
        </w:rPr>
        <w:t xml:space="preserve"> </w:t>
      </w:r>
      <w:proofErr w:type="spellStart"/>
      <w:r w:rsidR="00B92E6D">
        <w:rPr>
          <w:i/>
          <w:iCs/>
        </w:rPr>
        <w:t>est</w:t>
      </w:r>
      <w:proofErr w:type="spellEnd"/>
      <w:r w:rsidR="00B92E6D">
        <w:rPr>
          <w:i/>
          <w:iCs/>
        </w:rPr>
        <w:t xml:space="preserve"> </w:t>
      </w:r>
      <w:proofErr w:type="spellStart"/>
      <w:r w:rsidR="00B92E6D">
        <w:rPr>
          <w:i/>
          <w:iCs/>
        </w:rPr>
        <w:t>quam</w:t>
      </w:r>
      <w:proofErr w:type="spellEnd"/>
      <w:r w:rsidR="00B92E6D">
        <w:rPr>
          <w:i/>
          <w:iCs/>
        </w:rPr>
        <w:t xml:space="preserve"> animi </w:t>
      </w:r>
      <w:proofErr w:type="spellStart"/>
      <w:r w:rsidR="00B92E6D">
        <w:rPr>
          <w:i/>
          <w:iCs/>
        </w:rPr>
        <w:t>consolatio</w:t>
      </w:r>
      <w:proofErr w:type="spellEnd"/>
      <w:r w:rsidR="00B92E6D">
        <w:rPr>
          <w:i/>
          <w:iCs/>
        </w:rPr>
        <w:t>.</w:t>
      </w:r>
      <w:r w:rsidR="00B92E6D">
        <w:t xml:space="preserve">” </w:t>
      </w:r>
      <w:r w:rsidR="00337ACA">
        <w:t xml:space="preserve">With the single adverb </w:t>
      </w:r>
      <w:r w:rsidR="00337ACA">
        <w:rPr>
          <w:i/>
          <w:iCs/>
        </w:rPr>
        <w:t>bene</w:t>
      </w:r>
      <w:r w:rsidR="00337ACA">
        <w:t xml:space="preserve">, </w:t>
      </w:r>
      <w:proofErr w:type="spellStart"/>
      <w:r w:rsidR="00337ACA">
        <w:t>Seleucus</w:t>
      </w:r>
      <w:proofErr w:type="spellEnd"/>
      <w:r w:rsidR="00337ACA">
        <w:t xml:space="preserve"> offers simple praise for the funeral rite itself</w:t>
      </w:r>
      <w:r w:rsidR="00216330">
        <w:t xml:space="preserve">. He then notes the many sincere mourners, a fact he attributes to </w:t>
      </w:r>
      <w:proofErr w:type="spellStart"/>
      <w:r w:rsidR="00D0682E">
        <w:t>Chrysanthus’s</w:t>
      </w:r>
      <w:proofErr w:type="spellEnd"/>
      <w:r w:rsidR="00216330">
        <w:t xml:space="preserve"> manumission of some slaves, but contrasts that to </w:t>
      </w:r>
      <w:proofErr w:type="spellStart"/>
      <w:r w:rsidR="00216330">
        <w:t>Chrysanthus’s</w:t>
      </w:r>
      <w:proofErr w:type="spellEnd"/>
      <w:r w:rsidR="00216330">
        <w:t xml:space="preserve"> wife, who “</w:t>
      </w:r>
      <w:proofErr w:type="spellStart"/>
      <w:r w:rsidR="00216330">
        <w:rPr>
          <w:i/>
          <w:iCs/>
        </w:rPr>
        <w:t>maligne</w:t>
      </w:r>
      <w:proofErr w:type="spellEnd"/>
      <w:r w:rsidR="00216330">
        <w:rPr>
          <w:i/>
          <w:iCs/>
        </w:rPr>
        <w:t xml:space="preserve"> </w:t>
      </w:r>
      <w:proofErr w:type="spellStart"/>
      <w:r w:rsidR="00216330">
        <w:rPr>
          <w:i/>
          <w:iCs/>
        </w:rPr>
        <w:t>illum</w:t>
      </w:r>
      <w:proofErr w:type="spellEnd"/>
      <w:r w:rsidR="00216330">
        <w:rPr>
          <w:i/>
          <w:iCs/>
        </w:rPr>
        <w:t xml:space="preserve"> </w:t>
      </w:r>
      <w:proofErr w:type="spellStart"/>
      <w:r w:rsidR="00216330">
        <w:rPr>
          <w:i/>
          <w:iCs/>
        </w:rPr>
        <w:t>ploravit</w:t>
      </w:r>
      <w:proofErr w:type="spellEnd"/>
      <w:r w:rsidR="00216330">
        <w:t xml:space="preserve">.” </w:t>
      </w:r>
      <w:proofErr w:type="spellStart"/>
      <w:r w:rsidR="00216330">
        <w:t>Seleucus</w:t>
      </w:r>
      <w:proofErr w:type="spellEnd"/>
      <w:r w:rsidR="00216330">
        <w:t xml:space="preserve"> then insults her, “</w:t>
      </w:r>
      <w:r w:rsidR="00216330">
        <w:rPr>
          <w:i/>
          <w:iCs/>
        </w:rPr>
        <w:t xml:space="preserve">Quid </w:t>
      </w:r>
      <w:proofErr w:type="spellStart"/>
      <w:r w:rsidR="00216330">
        <w:rPr>
          <w:i/>
          <w:iCs/>
        </w:rPr>
        <w:t>si</w:t>
      </w:r>
      <w:proofErr w:type="spellEnd"/>
      <w:r w:rsidR="00216330">
        <w:rPr>
          <w:i/>
          <w:iCs/>
        </w:rPr>
        <w:t xml:space="preserve"> non </w:t>
      </w:r>
      <w:proofErr w:type="spellStart"/>
      <w:r w:rsidR="00216330">
        <w:rPr>
          <w:i/>
          <w:iCs/>
        </w:rPr>
        <w:t>illam</w:t>
      </w:r>
      <w:proofErr w:type="spellEnd"/>
      <w:r w:rsidR="00216330">
        <w:rPr>
          <w:i/>
          <w:iCs/>
        </w:rPr>
        <w:t xml:space="preserve"> </w:t>
      </w:r>
      <w:proofErr w:type="spellStart"/>
      <w:r w:rsidR="00216330">
        <w:rPr>
          <w:i/>
          <w:iCs/>
        </w:rPr>
        <w:t>optime</w:t>
      </w:r>
      <w:proofErr w:type="spellEnd"/>
      <w:r w:rsidR="00216330">
        <w:rPr>
          <w:i/>
          <w:iCs/>
        </w:rPr>
        <w:t xml:space="preserve"> </w:t>
      </w:r>
      <w:proofErr w:type="spellStart"/>
      <w:r w:rsidR="00216330">
        <w:rPr>
          <w:i/>
          <w:iCs/>
        </w:rPr>
        <w:t>accepisset</w:t>
      </w:r>
      <w:proofErr w:type="spellEnd"/>
      <w:r w:rsidR="00216330">
        <w:rPr>
          <w:i/>
          <w:iCs/>
        </w:rPr>
        <w:t>!</w:t>
      </w:r>
      <w:r w:rsidR="00216330">
        <w:t>” before going on to insult women in general: “</w:t>
      </w:r>
      <w:r w:rsidR="00216330" w:rsidRPr="00216330">
        <w:rPr>
          <w:i/>
          <w:iCs/>
        </w:rPr>
        <w:t xml:space="preserve">Sed mulier </w:t>
      </w:r>
      <w:proofErr w:type="spellStart"/>
      <w:r w:rsidR="00216330" w:rsidRPr="00216330">
        <w:rPr>
          <w:i/>
          <w:iCs/>
        </w:rPr>
        <w:t>quae</w:t>
      </w:r>
      <w:proofErr w:type="spellEnd"/>
      <w:r w:rsidR="00216330" w:rsidRPr="00216330">
        <w:rPr>
          <w:i/>
          <w:iCs/>
        </w:rPr>
        <w:t xml:space="preserve"> mulier </w:t>
      </w:r>
      <w:proofErr w:type="spellStart"/>
      <w:r w:rsidR="00216330" w:rsidRPr="00216330">
        <w:rPr>
          <w:i/>
          <w:iCs/>
        </w:rPr>
        <w:t>milvinum</w:t>
      </w:r>
      <w:proofErr w:type="spellEnd"/>
      <w:r w:rsidR="00216330" w:rsidRPr="00216330">
        <w:rPr>
          <w:i/>
          <w:iCs/>
        </w:rPr>
        <w:t xml:space="preserve"> est. </w:t>
      </w:r>
      <w:proofErr w:type="spellStart"/>
      <w:r w:rsidR="00216330" w:rsidRPr="00216330">
        <w:rPr>
          <w:i/>
          <w:iCs/>
        </w:rPr>
        <w:t>Neminem</w:t>
      </w:r>
      <w:proofErr w:type="spellEnd"/>
      <w:r w:rsidR="00216330" w:rsidRPr="00216330">
        <w:rPr>
          <w:i/>
          <w:iCs/>
        </w:rPr>
        <w:t xml:space="preserve"> nihil </w:t>
      </w:r>
      <w:proofErr w:type="spellStart"/>
      <w:r w:rsidR="00216330" w:rsidRPr="00216330">
        <w:rPr>
          <w:i/>
          <w:iCs/>
        </w:rPr>
        <w:t>boni</w:t>
      </w:r>
      <w:proofErr w:type="spellEnd"/>
      <w:r w:rsidR="00216330" w:rsidRPr="00216330">
        <w:rPr>
          <w:i/>
          <w:iCs/>
        </w:rPr>
        <w:t xml:space="preserve"> </w:t>
      </w:r>
      <w:proofErr w:type="spellStart"/>
      <w:r w:rsidR="00216330" w:rsidRPr="00216330">
        <w:rPr>
          <w:i/>
          <w:iCs/>
        </w:rPr>
        <w:t>facere</w:t>
      </w:r>
      <w:proofErr w:type="spellEnd"/>
      <w:r w:rsidR="00216330" w:rsidRPr="00216330">
        <w:rPr>
          <w:i/>
          <w:iCs/>
        </w:rPr>
        <w:t xml:space="preserve"> </w:t>
      </w:r>
      <w:proofErr w:type="spellStart"/>
      <w:r w:rsidR="00216330" w:rsidRPr="00216330">
        <w:rPr>
          <w:i/>
          <w:iCs/>
        </w:rPr>
        <w:t>oportet</w:t>
      </w:r>
      <w:proofErr w:type="spellEnd"/>
      <w:r w:rsidR="00216330" w:rsidRPr="00216330">
        <w:rPr>
          <w:i/>
          <w:iCs/>
        </w:rPr>
        <w:t xml:space="preserve">; </w:t>
      </w:r>
      <w:proofErr w:type="spellStart"/>
      <w:r w:rsidR="00216330" w:rsidRPr="00216330">
        <w:rPr>
          <w:i/>
          <w:iCs/>
        </w:rPr>
        <w:t>aeque</w:t>
      </w:r>
      <w:proofErr w:type="spellEnd"/>
      <w:r w:rsidR="00216330" w:rsidRPr="00216330">
        <w:rPr>
          <w:i/>
          <w:iCs/>
        </w:rPr>
        <w:t xml:space="preserve"> </w:t>
      </w:r>
      <w:proofErr w:type="spellStart"/>
      <w:r w:rsidR="00216330" w:rsidRPr="00216330">
        <w:rPr>
          <w:i/>
          <w:iCs/>
        </w:rPr>
        <w:t>est</w:t>
      </w:r>
      <w:proofErr w:type="spellEnd"/>
      <w:r w:rsidR="00216330" w:rsidRPr="00216330">
        <w:rPr>
          <w:i/>
          <w:iCs/>
        </w:rPr>
        <w:t xml:space="preserve"> </w:t>
      </w:r>
      <w:proofErr w:type="spellStart"/>
      <w:r w:rsidR="00216330" w:rsidRPr="00216330">
        <w:rPr>
          <w:i/>
          <w:iCs/>
        </w:rPr>
        <w:t>enim</w:t>
      </w:r>
      <w:proofErr w:type="spellEnd"/>
      <w:r w:rsidR="00216330" w:rsidRPr="00216330">
        <w:rPr>
          <w:i/>
          <w:iCs/>
        </w:rPr>
        <w:t xml:space="preserve"> ac </w:t>
      </w:r>
      <w:proofErr w:type="spellStart"/>
      <w:r w:rsidR="00216330" w:rsidRPr="00216330">
        <w:rPr>
          <w:i/>
          <w:iCs/>
        </w:rPr>
        <w:t>si</w:t>
      </w:r>
      <w:proofErr w:type="spellEnd"/>
      <w:r w:rsidR="00216330" w:rsidRPr="00216330">
        <w:rPr>
          <w:i/>
          <w:iCs/>
        </w:rPr>
        <w:t xml:space="preserve"> in </w:t>
      </w:r>
      <w:proofErr w:type="spellStart"/>
      <w:r w:rsidR="00216330" w:rsidRPr="00216330">
        <w:rPr>
          <w:i/>
          <w:iCs/>
        </w:rPr>
        <w:t>puteum</w:t>
      </w:r>
      <w:proofErr w:type="spellEnd"/>
      <w:r w:rsidR="00216330" w:rsidRPr="00216330">
        <w:rPr>
          <w:i/>
          <w:iCs/>
        </w:rPr>
        <w:t xml:space="preserve"> </w:t>
      </w:r>
      <w:proofErr w:type="spellStart"/>
      <w:r w:rsidR="00216330" w:rsidRPr="00216330">
        <w:rPr>
          <w:i/>
          <w:iCs/>
        </w:rPr>
        <w:t>conicias</w:t>
      </w:r>
      <w:proofErr w:type="spellEnd"/>
      <w:r w:rsidR="00216330">
        <w:t xml:space="preserve">.” </w:t>
      </w:r>
    </w:p>
    <w:p w14:paraId="6FCA510B" w14:textId="07E630C7" w:rsidR="0054689A" w:rsidRDefault="00550F35" w:rsidP="003F08EF">
      <w:pPr>
        <w:spacing w:line="480" w:lineRule="auto"/>
        <w:ind w:firstLine="720"/>
      </w:pPr>
      <w:r>
        <w:t xml:space="preserve">In just a few short lines </w:t>
      </w:r>
      <w:proofErr w:type="spellStart"/>
      <w:r>
        <w:t>Seleucus</w:t>
      </w:r>
      <w:proofErr w:type="spellEnd"/>
      <w:r>
        <w:t xml:space="preserve"> has added misogynist to </w:t>
      </w:r>
      <w:r w:rsidR="003F08EF">
        <w:t xml:space="preserve">his generally coarse character. For a third time, it is also possible that Petronius himself is speaking through </w:t>
      </w:r>
      <w:proofErr w:type="spellStart"/>
      <w:r w:rsidR="003F08EF">
        <w:t>Seleucus</w:t>
      </w:r>
      <w:proofErr w:type="spellEnd"/>
      <w:r w:rsidR="003F08EF">
        <w:t xml:space="preserve">. In terms of the wider narrative, </w:t>
      </w:r>
      <w:proofErr w:type="spellStart"/>
      <w:r w:rsidR="003F08EF">
        <w:t>Seleucus’s</w:t>
      </w:r>
      <w:proofErr w:type="spellEnd"/>
      <w:r w:rsidR="003F08EF">
        <w:t xml:space="preserve"> praise for </w:t>
      </w:r>
      <w:proofErr w:type="spellStart"/>
      <w:r w:rsidR="003F08EF">
        <w:t>Chyrsanthus</w:t>
      </w:r>
      <w:proofErr w:type="spellEnd"/>
      <w:r w:rsidR="003F08EF">
        <w:t xml:space="preserve"> then sets the stage for a rebuke by </w:t>
      </w:r>
      <w:proofErr w:type="spellStart"/>
      <w:r w:rsidR="003F08EF">
        <w:t>Phileros</w:t>
      </w:r>
      <w:proofErr w:type="spellEnd"/>
      <w:r w:rsidR="003F08EF">
        <w:t>, who is concerned with correcting the freedman’s rosy depiction of the dead man’s character while ignoring the other philosophic statements he had just opined.</w:t>
      </w:r>
    </w:p>
    <w:p w14:paraId="24E9ECB4" w14:textId="3D2A87E3" w:rsidR="003F08EF" w:rsidRDefault="003F08EF" w:rsidP="003F08EF">
      <w:pPr>
        <w:spacing w:line="480" w:lineRule="auto"/>
        <w:ind w:firstLine="720"/>
      </w:pPr>
    </w:p>
    <w:p w14:paraId="23ABE8C8" w14:textId="150E07EA" w:rsidR="003F08EF" w:rsidRDefault="003F08EF" w:rsidP="003F08EF">
      <w:pPr>
        <w:spacing w:line="480" w:lineRule="auto"/>
        <w:ind w:firstLine="720"/>
      </w:pPr>
    </w:p>
    <w:p w14:paraId="56526BE1" w14:textId="330188B5" w:rsidR="003F08EF" w:rsidRDefault="003F08EF" w:rsidP="003F08EF">
      <w:pPr>
        <w:spacing w:line="480" w:lineRule="auto"/>
        <w:ind w:firstLine="720"/>
      </w:pPr>
    </w:p>
    <w:p w14:paraId="628396C9" w14:textId="303689E7" w:rsidR="003F08EF" w:rsidRDefault="003F08EF" w:rsidP="00D0682E">
      <w:pPr>
        <w:spacing w:line="480" w:lineRule="auto"/>
      </w:pPr>
    </w:p>
    <w:p w14:paraId="37553591" w14:textId="77777777" w:rsidR="00D0682E" w:rsidRPr="00216330" w:rsidRDefault="00D0682E" w:rsidP="00D0682E">
      <w:pPr>
        <w:spacing w:line="480" w:lineRule="auto"/>
      </w:pPr>
      <w:bookmarkStart w:id="0" w:name="_GoBack"/>
      <w:bookmarkEnd w:id="0"/>
    </w:p>
    <w:p w14:paraId="2A8C0587" w14:textId="0F0312A1" w:rsidR="008062BE" w:rsidRDefault="008062BE" w:rsidP="008062BE">
      <w:pPr>
        <w:spacing w:line="480" w:lineRule="auto"/>
        <w:jc w:val="center"/>
      </w:pPr>
      <w:r>
        <w:lastRenderedPageBreak/>
        <w:t>Bibliography</w:t>
      </w:r>
    </w:p>
    <w:p w14:paraId="150BBF99" w14:textId="77777777" w:rsidR="008062BE" w:rsidRDefault="008062BE" w:rsidP="008062BE">
      <w:proofErr w:type="spellStart"/>
      <w:r>
        <w:t>Lawall</w:t>
      </w:r>
      <w:proofErr w:type="spellEnd"/>
      <w:r>
        <w:t xml:space="preserve">, G. 2011. </w:t>
      </w:r>
      <w:r>
        <w:rPr>
          <w:i/>
          <w:iCs/>
        </w:rPr>
        <w:t xml:space="preserve">Petronius: Selections from the </w:t>
      </w:r>
      <w:proofErr w:type="spellStart"/>
      <w:r>
        <w:rPr>
          <w:i/>
          <w:iCs/>
        </w:rPr>
        <w:t>Satyricon</w:t>
      </w:r>
      <w:proofErr w:type="spellEnd"/>
      <w:r>
        <w:t xml:space="preserve">. Mundelein, Illinois: </w:t>
      </w:r>
      <w:proofErr w:type="spellStart"/>
      <w:r>
        <w:t>Bolchazy</w:t>
      </w:r>
      <w:proofErr w:type="spellEnd"/>
      <w:r>
        <w:t>-</w:t>
      </w:r>
    </w:p>
    <w:p w14:paraId="03EE5A26" w14:textId="0F2EE4CA" w:rsidR="008062BE" w:rsidRDefault="008062BE" w:rsidP="008062BE">
      <w:pPr>
        <w:ind w:firstLine="720"/>
      </w:pPr>
      <w:r>
        <w:t>Carducci Publishers, Inc.</w:t>
      </w:r>
    </w:p>
    <w:p w14:paraId="4595641F" w14:textId="77777777" w:rsidR="008062BE" w:rsidRDefault="008062BE" w:rsidP="008062BE"/>
    <w:p w14:paraId="50E90536" w14:textId="6DF2640B" w:rsidR="008062BE" w:rsidRPr="008062BE" w:rsidRDefault="008062BE" w:rsidP="008062BE">
      <w:pPr>
        <w:spacing w:line="480" w:lineRule="auto"/>
      </w:pPr>
      <w:r>
        <w:t xml:space="preserve">Sedgwick, W.B. 1964. </w:t>
      </w:r>
      <w:r>
        <w:rPr>
          <w:i/>
          <w:iCs/>
        </w:rPr>
        <w:t xml:space="preserve">The Cena </w:t>
      </w:r>
      <w:proofErr w:type="spellStart"/>
      <w:r>
        <w:rPr>
          <w:i/>
          <w:iCs/>
        </w:rPr>
        <w:t>Trimalchionis</w:t>
      </w:r>
      <w:proofErr w:type="spellEnd"/>
      <w:r>
        <w:rPr>
          <w:i/>
          <w:iCs/>
        </w:rPr>
        <w:t xml:space="preserve"> of Petronius</w:t>
      </w:r>
      <w:r>
        <w:t>. Oxford: The Clarendon Press.</w:t>
      </w:r>
    </w:p>
    <w:p w14:paraId="1398327A" w14:textId="48FCEBE8" w:rsidR="004A45A0" w:rsidRPr="004A45A0" w:rsidRDefault="004A45A0" w:rsidP="00C25AD9">
      <w:pPr>
        <w:spacing w:line="480" w:lineRule="auto"/>
      </w:pPr>
    </w:p>
    <w:sectPr w:rsidR="004A45A0" w:rsidRPr="004A45A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78C491" w14:textId="77777777" w:rsidR="004B764E" w:rsidRDefault="004B764E" w:rsidP="004B764E">
      <w:r>
        <w:separator/>
      </w:r>
    </w:p>
  </w:endnote>
  <w:endnote w:type="continuationSeparator" w:id="0">
    <w:p w14:paraId="59EA4EF6" w14:textId="77777777" w:rsidR="004B764E" w:rsidRDefault="004B764E" w:rsidP="004B76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FB636C" w14:textId="77777777" w:rsidR="004B764E" w:rsidRDefault="004B764E" w:rsidP="004B764E">
      <w:r>
        <w:separator/>
      </w:r>
    </w:p>
  </w:footnote>
  <w:footnote w:type="continuationSeparator" w:id="0">
    <w:p w14:paraId="63AA888A" w14:textId="77777777" w:rsidR="004B764E" w:rsidRDefault="004B764E" w:rsidP="004B764E">
      <w:r>
        <w:continuationSeparator/>
      </w:r>
    </w:p>
  </w:footnote>
  <w:footnote w:id="1">
    <w:p w14:paraId="44CD8A2B" w14:textId="68AE4D6B" w:rsidR="00670E8B" w:rsidRDefault="00670E8B">
      <w:pPr>
        <w:pStyle w:val="FootnoteText"/>
      </w:pPr>
      <w:r>
        <w:rPr>
          <w:rStyle w:val="FootnoteReference"/>
        </w:rPr>
        <w:footnoteRef/>
      </w:r>
      <w:r>
        <w:t xml:space="preserve"> </w:t>
      </w:r>
      <w:proofErr w:type="spellStart"/>
      <w:r>
        <w:t>Lawall</w:t>
      </w:r>
      <w:proofErr w:type="spellEnd"/>
      <w:r>
        <w:t xml:space="preserve"> 2011: 68.</w:t>
      </w:r>
    </w:p>
  </w:footnote>
  <w:footnote w:id="2">
    <w:p w14:paraId="16CCDFAA" w14:textId="3D5D53DA" w:rsidR="00670E8B" w:rsidRDefault="00670E8B">
      <w:pPr>
        <w:pStyle w:val="FootnoteText"/>
      </w:pPr>
      <w:r>
        <w:rPr>
          <w:rStyle w:val="FootnoteReference"/>
        </w:rPr>
        <w:footnoteRef/>
      </w:r>
      <w:r>
        <w:t xml:space="preserve"> Sedgwick 1964: 101.</w:t>
      </w:r>
    </w:p>
  </w:footnote>
  <w:footnote w:id="3">
    <w:p w14:paraId="3E86DA90" w14:textId="0B2DDC95" w:rsidR="00442ADC" w:rsidRDefault="00442ADC">
      <w:pPr>
        <w:pStyle w:val="FootnoteText"/>
      </w:pPr>
      <w:r>
        <w:rPr>
          <w:rStyle w:val="FootnoteReference"/>
        </w:rPr>
        <w:footnoteRef/>
      </w:r>
      <w:r>
        <w:t xml:space="preserve"> </w:t>
      </w:r>
      <w:proofErr w:type="spellStart"/>
      <w:r>
        <w:t>Lawall</w:t>
      </w:r>
      <w:proofErr w:type="spellEnd"/>
      <w:r>
        <w:t xml:space="preserve"> 20</w:t>
      </w:r>
      <w:r w:rsidR="008F66FE">
        <w:t>1</w:t>
      </w:r>
      <w:r>
        <w:t>1: 68.</w:t>
      </w:r>
    </w:p>
  </w:footnote>
  <w:footnote w:id="4">
    <w:p w14:paraId="02CB739A" w14:textId="7A22F93D" w:rsidR="00926722" w:rsidRDefault="00926722">
      <w:pPr>
        <w:pStyle w:val="FootnoteText"/>
      </w:pPr>
      <w:r>
        <w:rPr>
          <w:rStyle w:val="FootnoteReference"/>
        </w:rPr>
        <w:footnoteRef/>
      </w:r>
      <w:r>
        <w:t xml:space="preserve"> Sedgwick 1964: 101.</w:t>
      </w:r>
    </w:p>
  </w:footnote>
  <w:footnote w:id="5">
    <w:p w14:paraId="738FB0DE" w14:textId="7F8562DC" w:rsidR="008F66FE" w:rsidRDefault="008F66FE">
      <w:pPr>
        <w:pStyle w:val="FootnoteText"/>
      </w:pPr>
      <w:r>
        <w:rPr>
          <w:rStyle w:val="FootnoteReference"/>
        </w:rPr>
        <w:footnoteRef/>
      </w:r>
      <w:r>
        <w:t xml:space="preserve"> </w:t>
      </w:r>
      <w:proofErr w:type="spellStart"/>
      <w:r>
        <w:t>Lawall</w:t>
      </w:r>
      <w:proofErr w:type="spellEnd"/>
      <w:r>
        <w:t xml:space="preserve"> 2011: 69.</w:t>
      </w:r>
    </w:p>
  </w:footnote>
  <w:footnote w:id="6">
    <w:p w14:paraId="07057554" w14:textId="1F6918E2" w:rsidR="008F66FE" w:rsidRDefault="008F66FE">
      <w:pPr>
        <w:pStyle w:val="FootnoteText"/>
      </w:pPr>
      <w:r>
        <w:rPr>
          <w:rStyle w:val="FootnoteReference"/>
        </w:rPr>
        <w:footnoteRef/>
      </w:r>
      <w:r>
        <w:t xml:space="preserve"> Ibid., 69.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5AD9"/>
    <w:rsid w:val="000007C4"/>
    <w:rsid w:val="00036BBF"/>
    <w:rsid w:val="000F4564"/>
    <w:rsid w:val="00133ED1"/>
    <w:rsid w:val="00141344"/>
    <w:rsid w:val="00200889"/>
    <w:rsid w:val="00216330"/>
    <w:rsid w:val="002235A0"/>
    <w:rsid w:val="002476D2"/>
    <w:rsid w:val="002F07B1"/>
    <w:rsid w:val="00337ACA"/>
    <w:rsid w:val="003F08EF"/>
    <w:rsid w:val="00435B8C"/>
    <w:rsid w:val="00442ADC"/>
    <w:rsid w:val="004A45A0"/>
    <w:rsid w:val="004B764E"/>
    <w:rsid w:val="004D307F"/>
    <w:rsid w:val="004F24C2"/>
    <w:rsid w:val="00535480"/>
    <w:rsid w:val="0054689A"/>
    <w:rsid w:val="00550F35"/>
    <w:rsid w:val="00670E8B"/>
    <w:rsid w:val="007320C6"/>
    <w:rsid w:val="00796749"/>
    <w:rsid w:val="008062BE"/>
    <w:rsid w:val="008F66FE"/>
    <w:rsid w:val="00926722"/>
    <w:rsid w:val="00940CF7"/>
    <w:rsid w:val="00A97903"/>
    <w:rsid w:val="00B264F8"/>
    <w:rsid w:val="00B332CF"/>
    <w:rsid w:val="00B92E6D"/>
    <w:rsid w:val="00C25AD9"/>
    <w:rsid w:val="00D0682E"/>
    <w:rsid w:val="00DB0EDF"/>
    <w:rsid w:val="00E36CB4"/>
    <w:rsid w:val="00F364C1"/>
    <w:rsid w:val="00F64F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3F4B3D"/>
  <w15:chartTrackingRefBased/>
  <w15:docId w15:val="{140D7B35-C099-46E5-AFB7-507A636F8A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4"/>
        <w:szCs w:val="24"/>
        <w:lang w:val="en-US"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B764E"/>
    <w:rPr>
      <w:sz w:val="20"/>
      <w:szCs w:val="20"/>
    </w:rPr>
  </w:style>
  <w:style w:type="character" w:customStyle="1" w:styleId="FootnoteTextChar">
    <w:name w:val="Footnote Text Char"/>
    <w:basedOn w:val="DefaultParagraphFont"/>
    <w:link w:val="FootnoteText"/>
    <w:uiPriority w:val="99"/>
    <w:semiHidden/>
    <w:rsid w:val="004B764E"/>
    <w:rPr>
      <w:sz w:val="20"/>
      <w:szCs w:val="20"/>
    </w:rPr>
  </w:style>
  <w:style w:type="character" w:styleId="FootnoteReference">
    <w:name w:val="footnote reference"/>
    <w:basedOn w:val="DefaultParagraphFont"/>
    <w:uiPriority w:val="99"/>
    <w:semiHidden/>
    <w:unhideWhenUsed/>
    <w:rsid w:val="004B764E"/>
    <w:rPr>
      <w:vertAlign w:val="superscript"/>
    </w:rPr>
  </w:style>
  <w:style w:type="paragraph" w:styleId="EndnoteText">
    <w:name w:val="endnote text"/>
    <w:basedOn w:val="Normal"/>
    <w:link w:val="EndnoteTextChar"/>
    <w:uiPriority w:val="99"/>
    <w:semiHidden/>
    <w:unhideWhenUsed/>
    <w:rsid w:val="002476D2"/>
    <w:rPr>
      <w:sz w:val="20"/>
      <w:szCs w:val="20"/>
    </w:rPr>
  </w:style>
  <w:style w:type="character" w:customStyle="1" w:styleId="EndnoteTextChar">
    <w:name w:val="Endnote Text Char"/>
    <w:basedOn w:val="DefaultParagraphFont"/>
    <w:link w:val="EndnoteText"/>
    <w:uiPriority w:val="99"/>
    <w:semiHidden/>
    <w:rsid w:val="002476D2"/>
    <w:rPr>
      <w:sz w:val="20"/>
      <w:szCs w:val="20"/>
    </w:rPr>
  </w:style>
  <w:style w:type="character" w:styleId="EndnoteReference">
    <w:name w:val="endnote reference"/>
    <w:basedOn w:val="DefaultParagraphFont"/>
    <w:uiPriority w:val="99"/>
    <w:semiHidden/>
    <w:unhideWhenUsed/>
    <w:rsid w:val="002476D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TURABIAN.XSL" StyleName="Turabian" Version="6"/>
</file>

<file path=customXml/itemProps1.xml><?xml version="1.0" encoding="utf-8"?>
<ds:datastoreItem xmlns:ds="http://schemas.openxmlformats.org/officeDocument/2006/customXml" ds:itemID="{CAE0D0F5-BDDA-4AB1-A1D7-60B1232531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201</TotalTime>
  <Pages>4</Pages>
  <Words>790</Words>
  <Characters>4508</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9</cp:revision>
  <dcterms:created xsi:type="dcterms:W3CDTF">2019-11-02T01:35:00Z</dcterms:created>
  <dcterms:modified xsi:type="dcterms:W3CDTF">2019-11-03T14:36:00Z</dcterms:modified>
</cp:coreProperties>
</file>