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6E79E0" w14:textId="77777777" w:rsidR="00C23985" w:rsidRDefault="00C23985"/>
    <w:p w14:paraId="1D041A0B" w14:textId="77777777" w:rsidR="00914965" w:rsidRPr="00914965" w:rsidRDefault="00914965" w:rsidP="00914965">
      <w:pPr>
        <w:spacing w:line="720" w:lineRule="auto"/>
        <w:ind w:left="-1020" w:right="-150"/>
        <w:rPr>
          <w:rFonts w:asciiTheme="minorHAnsi" w:eastAsiaTheme="minorEastAsia" w:hAnsiTheme="minorHAnsi" w:cstheme="minorBidi"/>
          <w:sz w:val="24"/>
          <w:szCs w:val="24"/>
          <w:lang w:eastAsia="ja-JP"/>
        </w:rPr>
      </w:pPr>
      <w:r w:rsidRPr="00914965">
        <w:rPr>
          <w:b/>
          <w:bCs/>
          <w:color w:val="000000" w:themeColor="text1"/>
          <w:sz w:val="24"/>
          <w:szCs w:val="24"/>
          <w:lang w:eastAsia="ja-JP"/>
        </w:rPr>
        <w:t>Student Name                     Bertha Amoah</w:t>
      </w:r>
      <w:r w:rsidRPr="00914965">
        <w:rPr>
          <w:color w:val="000000" w:themeColor="text1"/>
          <w:sz w:val="24"/>
          <w:szCs w:val="24"/>
          <w:lang w:eastAsia="ja-JP"/>
        </w:rPr>
        <w:t xml:space="preserve"> </w:t>
      </w:r>
    </w:p>
    <w:p w14:paraId="4167D177" w14:textId="77777777" w:rsidR="00914965" w:rsidRPr="00914965" w:rsidRDefault="00914965" w:rsidP="00914965">
      <w:pPr>
        <w:spacing w:line="720" w:lineRule="auto"/>
        <w:ind w:left="-1020" w:right="-150"/>
        <w:rPr>
          <w:rFonts w:asciiTheme="minorHAnsi" w:eastAsiaTheme="minorEastAsia" w:hAnsiTheme="minorHAnsi" w:cstheme="minorBidi"/>
          <w:sz w:val="24"/>
          <w:szCs w:val="24"/>
          <w:lang w:eastAsia="ja-JP"/>
        </w:rPr>
      </w:pPr>
      <w:r w:rsidRPr="00914965">
        <w:rPr>
          <w:b/>
          <w:bCs/>
          <w:color w:val="000000" w:themeColor="text1"/>
          <w:sz w:val="24"/>
          <w:szCs w:val="24"/>
          <w:lang w:eastAsia="ja-JP"/>
        </w:rPr>
        <w:t xml:space="preserve"> Student Number                 2324071</w:t>
      </w:r>
      <w:r w:rsidRPr="00914965">
        <w:rPr>
          <w:color w:val="000000" w:themeColor="text1"/>
          <w:sz w:val="24"/>
          <w:szCs w:val="24"/>
          <w:lang w:eastAsia="ja-JP"/>
        </w:rPr>
        <w:t xml:space="preserve"> </w:t>
      </w:r>
    </w:p>
    <w:p w14:paraId="46DBA848" w14:textId="77777777" w:rsidR="00914965" w:rsidRPr="00914965" w:rsidRDefault="00914965" w:rsidP="00914965">
      <w:pPr>
        <w:spacing w:line="720" w:lineRule="auto"/>
        <w:ind w:left="-1020" w:right="-150"/>
        <w:rPr>
          <w:rFonts w:asciiTheme="minorHAnsi" w:eastAsiaTheme="minorEastAsia" w:hAnsiTheme="minorHAnsi" w:cstheme="minorBidi"/>
          <w:sz w:val="24"/>
          <w:szCs w:val="24"/>
          <w:lang w:eastAsia="ja-JP"/>
        </w:rPr>
      </w:pPr>
      <w:r w:rsidRPr="00914965">
        <w:rPr>
          <w:b/>
          <w:bCs/>
          <w:color w:val="000000" w:themeColor="text1"/>
          <w:sz w:val="24"/>
          <w:szCs w:val="24"/>
          <w:lang w:eastAsia="ja-JP"/>
        </w:rPr>
        <w:t xml:space="preserve"> Module Code                      BMHP5019</w:t>
      </w:r>
      <w:r w:rsidRPr="00914965">
        <w:rPr>
          <w:color w:val="000000" w:themeColor="text1"/>
          <w:sz w:val="24"/>
          <w:szCs w:val="24"/>
          <w:lang w:eastAsia="ja-JP"/>
        </w:rPr>
        <w:t xml:space="preserve"> </w:t>
      </w:r>
    </w:p>
    <w:p w14:paraId="73D3BB21" w14:textId="77777777" w:rsidR="00914965" w:rsidRPr="00914965" w:rsidRDefault="00914965" w:rsidP="00914965">
      <w:pPr>
        <w:spacing w:line="720" w:lineRule="auto"/>
        <w:ind w:left="-1020" w:right="-150"/>
        <w:rPr>
          <w:rFonts w:asciiTheme="minorHAnsi" w:eastAsiaTheme="minorEastAsia" w:hAnsiTheme="minorHAnsi" w:cstheme="minorBidi"/>
          <w:b/>
          <w:bCs/>
          <w:sz w:val="24"/>
          <w:szCs w:val="24"/>
          <w:lang w:eastAsia="ja-JP"/>
        </w:rPr>
      </w:pPr>
      <w:r w:rsidRPr="00914965">
        <w:rPr>
          <w:b/>
          <w:bCs/>
          <w:color w:val="000000" w:themeColor="text1"/>
          <w:sz w:val="24"/>
          <w:szCs w:val="24"/>
          <w:lang w:eastAsia="ja-JP"/>
        </w:rPr>
        <w:t xml:space="preserve"> Module Name                     Introduction to Independent</w:t>
      </w:r>
      <w:r w:rsidRPr="00914965">
        <w:rPr>
          <w:color w:val="000000" w:themeColor="text1"/>
          <w:sz w:val="24"/>
          <w:szCs w:val="24"/>
          <w:lang w:eastAsia="ja-JP"/>
        </w:rPr>
        <w:t xml:space="preserve"> </w:t>
      </w:r>
      <w:r w:rsidRPr="00914965">
        <w:rPr>
          <w:b/>
          <w:bCs/>
          <w:color w:val="000000" w:themeColor="text1"/>
          <w:sz w:val="24"/>
          <w:szCs w:val="24"/>
          <w:lang w:eastAsia="ja-JP"/>
        </w:rPr>
        <w:t>Research Skills</w:t>
      </w:r>
    </w:p>
    <w:p w14:paraId="1CBECD30" w14:textId="71439C31" w:rsidR="00914965" w:rsidRPr="00914965" w:rsidRDefault="00914965" w:rsidP="00914965">
      <w:pPr>
        <w:spacing w:line="720" w:lineRule="auto"/>
        <w:ind w:left="-1020" w:right="-150"/>
        <w:rPr>
          <w:rFonts w:asciiTheme="minorHAnsi" w:eastAsiaTheme="minorEastAsia" w:hAnsiTheme="minorHAnsi" w:cstheme="minorBidi"/>
          <w:sz w:val="24"/>
          <w:szCs w:val="24"/>
          <w:lang w:eastAsia="ja-JP"/>
        </w:rPr>
      </w:pPr>
      <w:r w:rsidRPr="00914965">
        <w:rPr>
          <w:b/>
          <w:bCs/>
          <w:color w:val="000000" w:themeColor="text1"/>
          <w:sz w:val="24"/>
          <w:szCs w:val="24"/>
          <w:lang w:eastAsia="ja-JP"/>
        </w:rPr>
        <w:t xml:space="preserve"> Assignment Title               Component </w:t>
      </w:r>
      <w:r w:rsidRPr="007E15A4">
        <w:rPr>
          <w:b/>
          <w:bCs/>
          <w:color w:val="000000" w:themeColor="text1"/>
          <w:sz w:val="24"/>
          <w:szCs w:val="24"/>
          <w:lang w:eastAsia="ja-JP"/>
        </w:rPr>
        <w:t>2</w:t>
      </w:r>
      <w:r w:rsidRPr="00914965">
        <w:rPr>
          <w:b/>
          <w:bCs/>
          <w:color w:val="000000" w:themeColor="text1"/>
          <w:sz w:val="24"/>
          <w:szCs w:val="24"/>
          <w:lang w:eastAsia="ja-JP"/>
        </w:rPr>
        <w:t>:</w:t>
      </w:r>
      <w:r w:rsidR="00E220F5" w:rsidRPr="007E15A4">
        <w:rPr>
          <w:b/>
          <w:bCs/>
          <w:color w:val="000000" w:themeColor="text1"/>
          <w:sz w:val="24"/>
          <w:szCs w:val="24"/>
          <w:lang w:eastAsia="ja-JP"/>
        </w:rPr>
        <w:t xml:space="preserve"> Written </w:t>
      </w:r>
      <w:r w:rsidR="00960672" w:rsidRPr="007E15A4">
        <w:rPr>
          <w:b/>
          <w:bCs/>
          <w:color w:val="000000" w:themeColor="text1"/>
          <w:sz w:val="24"/>
          <w:szCs w:val="24"/>
          <w:lang w:eastAsia="ja-JP"/>
        </w:rPr>
        <w:t>Assignment (Resear</w:t>
      </w:r>
      <w:r w:rsidR="007E15A4" w:rsidRPr="007E15A4">
        <w:rPr>
          <w:b/>
          <w:bCs/>
          <w:color w:val="000000" w:themeColor="text1"/>
          <w:sz w:val="24"/>
          <w:szCs w:val="24"/>
          <w:lang w:eastAsia="ja-JP"/>
        </w:rPr>
        <w:t xml:space="preserve">ch </w:t>
      </w:r>
      <w:r w:rsidR="007E15A4">
        <w:rPr>
          <w:b/>
          <w:bCs/>
          <w:color w:val="000000" w:themeColor="text1"/>
          <w:sz w:val="24"/>
          <w:szCs w:val="24"/>
          <w:lang w:eastAsia="ja-JP"/>
        </w:rPr>
        <w:t>Report</w:t>
      </w:r>
      <w:r w:rsidR="000D3195">
        <w:rPr>
          <w:b/>
          <w:bCs/>
          <w:color w:val="000000" w:themeColor="text1"/>
          <w:sz w:val="24"/>
          <w:szCs w:val="24"/>
          <w:lang w:eastAsia="ja-JP"/>
        </w:rPr>
        <w:t>)</w:t>
      </w:r>
    </w:p>
    <w:p w14:paraId="5ED26900" w14:textId="77777777" w:rsidR="00914965" w:rsidRPr="00914965" w:rsidRDefault="00914965" w:rsidP="00914965">
      <w:pPr>
        <w:spacing w:line="720" w:lineRule="auto"/>
        <w:ind w:left="-1020" w:right="-150"/>
        <w:rPr>
          <w:rFonts w:asciiTheme="minorHAnsi" w:eastAsiaTheme="minorEastAsia" w:hAnsiTheme="minorHAnsi" w:cstheme="minorBidi"/>
          <w:sz w:val="24"/>
          <w:szCs w:val="24"/>
          <w:lang w:eastAsia="ja-JP"/>
        </w:rPr>
      </w:pPr>
      <w:r w:rsidRPr="00914965">
        <w:rPr>
          <w:b/>
          <w:bCs/>
          <w:color w:val="000000" w:themeColor="text1"/>
          <w:sz w:val="24"/>
          <w:szCs w:val="24"/>
          <w:lang w:eastAsia="ja-JP"/>
        </w:rPr>
        <w:t xml:space="preserve"> Lecturer’s Name                 Rizwan Nadim</w:t>
      </w:r>
    </w:p>
    <w:p w14:paraId="4913188A" w14:textId="215A806D" w:rsidR="00914965" w:rsidRPr="00914965" w:rsidRDefault="00914965" w:rsidP="00914965">
      <w:pPr>
        <w:spacing w:line="720" w:lineRule="auto"/>
        <w:ind w:left="-1020" w:right="-150"/>
        <w:rPr>
          <w:b/>
          <w:bCs/>
          <w:color w:val="000000" w:themeColor="text1"/>
          <w:sz w:val="24"/>
          <w:szCs w:val="24"/>
          <w:lang w:eastAsia="ja-JP"/>
        </w:rPr>
      </w:pPr>
      <w:r w:rsidRPr="00914965">
        <w:rPr>
          <w:b/>
          <w:bCs/>
          <w:color w:val="000000" w:themeColor="text1"/>
          <w:sz w:val="24"/>
          <w:szCs w:val="24"/>
          <w:lang w:eastAsia="ja-JP"/>
        </w:rPr>
        <w:t xml:space="preserve"> Due Date                             </w:t>
      </w:r>
      <w:r w:rsidR="00502349" w:rsidRPr="007E15A4">
        <w:rPr>
          <w:b/>
          <w:bCs/>
          <w:color w:val="000000" w:themeColor="text1"/>
          <w:sz w:val="24"/>
          <w:szCs w:val="24"/>
          <w:lang w:eastAsia="ja-JP"/>
        </w:rPr>
        <w:t>17</w:t>
      </w:r>
      <w:r w:rsidR="00502349" w:rsidRPr="007E15A4">
        <w:rPr>
          <w:b/>
          <w:bCs/>
          <w:color w:val="000000" w:themeColor="text1"/>
          <w:sz w:val="24"/>
          <w:szCs w:val="24"/>
          <w:vertAlign w:val="superscript"/>
          <w:lang w:eastAsia="ja-JP"/>
        </w:rPr>
        <w:t>th</w:t>
      </w:r>
      <w:r w:rsidR="00502349" w:rsidRPr="007E15A4">
        <w:rPr>
          <w:b/>
          <w:bCs/>
          <w:color w:val="000000" w:themeColor="text1"/>
          <w:sz w:val="24"/>
          <w:szCs w:val="24"/>
          <w:lang w:eastAsia="ja-JP"/>
        </w:rPr>
        <w:t xml:space="preserve"> </w:t>
      </w:r>
      <w:r w:rsidR="000D3195" w:rsidRPr="007E15A4">
        <w:rPr>
          <w:b/>
          <w:bCs/>
          <w:color w:val="000000" w:themeColor="text1"/>
          <w:sz w:val="24"/>
          <w:szCs w:val="24"/>
          <w:lang w:eastAsia="ja-JP"/>
        </w:rPr>
        <w:t>November</w:t>
      </w:r>
      <w:r w:rsidRPr="00914965">
        <w:rPr>
          <w:b/>
          <w:bCs/>
          <w:color w:val="000000" w:themeColor="text1"/>
          <w:sz w:val="24"/>
          <w:szCs w:val="24"/>
          <w:lang w:eastAsia="ja-JP"/>
        </w:rPr>
        <w:t xml:space="preserve"> 2025</w:t>
      </w:r>
    </w:p>
    <w:p w14:paraId="03D1E08B" w14:textId="77777777" w:rsidR="00E56BB2" w:rsidRPr="007E15A4" w:rsidRDefault="00E56BB2">
      <w:pPr>
        <w:rPr>
          <w:sz w:val="24"/>
          <w:szCs w:val="24"/>
        </w:rPr>
      </w:pPr>
    </w:p>
    <w:p w14:paraId="02AFCBD7" w14:textId="77777777" w:rsidR="00E56BB2" w:rsidRDefault="00E56BB2"/>
    <w:p w14:paraId="7EBD6D7D" w14:textId="77777777" w:rsidR="00E56BB2" w:rsidRDefault="00E56BB2"/>
    <w:p w14:paraId="5C6FA7E2" w14:textId="77777777" w:rsidR="00E56BB2" w:rsidRDefault="00E56BB2"/>
    <w:p w14:paraId="0944FB51" w14:textId="77777777" w:rsidR="00E56BB2" w:rsidRDefault="00E56BB2"/>
    <w:p w14:paraId="1B99AA4B" w14:textId="77777777" w:rsidR="00E56BB2" w:rsidRDefault="00E56BB2"/>
    <w:p w14:paraId="74E551E7" w14:textId="77777777" w:rsidR="00E56BB2" w:rsidRDefault="00E56BB2"/>
    <w:p w14:paraId="0DE855D3" w14:textId="77777777" w:rsidR="00E56BB2" w:rsidRDefault="00E56BB2"/>
    <w:p w14:paraId="6EF00337" w14:textId="77777777" w:rsidR="00E56BB2" w:rsidRDefault="00E56BB2"/>
    <w:p w14:paraId="1E33913E" w14:textId="77777777" w:rsidR="00E56BB2" w:rsidRDefault="00E56BB2"/>
    <w:p w14:paraId="2D4510CD" w14:textId="77777777" w:rsidR="00E56BB2" w:rsidRDefault="00E56BB2"/>
    <w:p w14:paraId="6A2F4265" w14:textId="77777777" w:rsidR="00E56BB2" w:rsidRDefault="00E56BB2"/>
    <w:p w14:paraId="20B3011A" w14:textId="77777777" w:rsidR="00E56BB2" w:rsidRDefault="00E56BB2"/>
    <w:p w14:paraId="7AD6877B" w14:textId="77777777" w:rsidR="00E56BB2" w:rsidRDefault="00E56BB2"/>
    <w:p w14:paraId="2A99075A" w14:textId="77777777" w:rsidR="00E56BB2" w:rsidRDefault="00E56BB2"/>
    <w:p w14:paraId="7FD6CCD0" w14:textId="77777777" w:rsidR="00E56BB2" w:rsidRDefault="00E56BB2"/>
    <w:p w14:paraId="2E647833" w14:textId="77777777" w:rsidR="00E56BB2" w:rsidRDefault="00E56BB2"/>
    <w:p w14:paraId="0D38CB00" w14:textId="77777777" w:rsidR="00E56BB2" w:rsidRDefault="00E56BB2"/>
    <w:p w14:paraId="1773B099" w14:textId="77777777" w:rsidR="00E56BB2" w:rsidRDefault="00E56BB2"/>
    <w:p w14:paraId="6FB656C4" w14:textId="77777777" w:rsidR="00E56BB2" w:rsidRDefault="00E56BB2"/>
    <w:sdt>
      <w:sdtPr>
        <w:rPr>
          <w:rFonts w:ascii="Arial" w:hAnsi="Arial"/>
          <w:b/>
          <w:bCs w:val="0"/>
          <w:sz w:val="24"/>
          <w:szCs w:val="24"/>
          <w:lang w:val="en-GB"/>
        </w:rPr>
        <w:id w:val="820694260"/>
        <w:docPartObj>
          <w:docPartGallery w:val="Table of Contents"/>
          <w:docPartUnique/>
        </w:docPartObj>
      </w:sdtPr>
      <w:sdtContent>
        <w:p w14:paraId="7FB3D05C" w14:textId="77777777" w:rsidR="00E56BB2" w:rsidRDefault="00E56BB2" w:rsidP="00E56BB2">
          <w:pPr>
            <w:pStyle w:val="TOCHeading"/>
            <w:jc w:val="center"/>
            <w:rPr>
              <w:rFonts w:ascii="Times New Roman" w:hAnsi="Times New Roman" w:cs="Times New Roman"/>
              <w:b/>
              <w:bCs w:val="0"/>
              <w:sz w:val="24"/>
              <w:szCs w:val="24"/>
            </w:rPr>
          </w:pPr>
          <w:r>
            <w:rPr>
              <w:rFonts w:ascii="Times New Roman" w:hAnsi="Times New Roman" w:cs="Times New Roman"/>
              <w:b/>
              <w:bCs w:val="0"/>
              <w:sz w:val="24"/>
              <w:szCs w:val="24"/>
            </w:rPr>
            <w:t>Table of Contents</w:t>
          </w:r>
        </w:p>
        <w:p w14:paraId="304D5907" w14:textId="77777777" w:rsidR="00E56BB2" w:rsidRDefault="00E56BB2" w:rsidP="00E56BB2">
          <w:pPr>
            <w:pStyle w:val="TOC1"/>
            <w:tabs>
              <w:tab w:val="right" w:leader="dot" w:pos="9016"/>
            </w:tabs>
            <w:rPr>
              <w:rFonts w:asciiTheme="minorHAnsi" w:eastAsiaTheme="minorEastAsia" w:hAnsiTheme="minorHAnsi" w:cstheme="minorBidi"/>
              <w:noProof/>
              <w:kern w:val="2"/>
              <w:sz w:val="24"/>
              <w:szCs w:val="24"/>
              <w:lang w:val="en-US" w:eastAsia="en-US"/>
              <w14:ligatures w14:val="standardContextual"/>
            </w:rPr>
          </w:pPr>
          <w:r>
            <w:fldChar w:fldCharType="begin"/>
          </w:r>
          <w:r>
            <w:instrText xml:space="preserve"> TOC \o "1-3" \h \z \u </w:instrText>
          </w:r>
          <w:r>
            <w:fldChar w:fldCharType="separate"/>
          </w:r>
          <w:hyperlink r:id="rId7" w:anchor="_Toc209264092" w:history="1">
            <w:r>
              <w:rPr>
                <w:rStyle w:val="Hyperlink"/>
                <w:noProof/>
              </w:rPr>
              <w:t>1. Introduction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_Toc209264092 \h </w:instrText>
            </w:r>
            <w:r>
              <w:rPr>
                <w:rStyle w:val="Hyperlink"/>
                <w:noProof/>
                <w:webHidden/>
                <w:color w:val="auto"/>
              </w:rPr>
            </w:r>
            <w:r>
              <w:rPr>
                <w:rStyle w:val="Hyperlink"/>
                <w:noProof/>
                <w:webHidden/>
                <w:color w:val="auto"/>
              </w:rPr>
              <w:fldChar w:fldCharType="separate"/>
            </w:r>
            <w:r>
              <w:rPr>
                <w:rStyle w:val="Hyperlink"/>
                <w:noProof/>
                <w:webHidden/>
                <w:color w:val="auto"/>
              </w:rPr>
              <w:t>3</w:t>
            </w:r>
            <w:r>
              <w:rPr>
                <w:rStyle w:val="Hyperlink"/>
                <w:noProof/>
                <w:webHidden/>
                <w:color w:val="auto"/>
              </w:rPr>
              <w:fldChar w:fldCharType="end"/>
            </w:r>
          </w:hyperlink>
        </w:p>
        <w:p w14:paraId="225D21E9" w14:textId="77777777" w:rsidR="00E56BB2" w:rsidRDefault="00E56BB2" w:rsidP="00E56BB2">
          <w:pPr>
            <w:pStyle w:val="TOC2"/>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r:id="rId8" w:anchor="_Toc209264093" w:history="1">
            <w:r>
              <w:rPr>
                <w:rStyle w:val="Hyperlink"/>
                <w:noProof/>
              </w:rPr>
              <w:t>1.1 Defining key concepts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_Toc209264093 \h </w:instrText>
            </w:r>
            <w:r>
              <w:rPr>
                <w:rStyle w:val="Hyperlink"/>
                <w:noProof/>
                <w:webHidden/>
                <w:color w:val="auto"/>
              </w:rPr>
            </w:r>
            <w:r>
              <w:rPr>
                <w:rStyle w:val="Hyperlink"/>
                <w:noProof/>
                <w:webHidden/>
                <w:color w:val="auto"/>
              </w:rPr>
              <w:fldChar w:fldCharType="separate"/>
            </w:r>
            <w:r>
              <w:rPr>
                <w:rStyle w:val="Hyperlink"/>
                <w:noProof/>
                <w:webHidden/>
                <w:color w:val="auto"/>
              </w:rPr>
              <w:t>3</w:t>
            </w:r>
            <w:r>
              <w:rPr>
                <w:rStyle w:val="Hyperlink"/>
                <w:noProof/>
                <w:webHidden/>
                <w:color w:val="auto"/>
              </w:rPr>
              <w:fldChar w:fldCharType="end"/>
            </w:r>
          </w:hyperlink>
        </w:p>
        <w:p w14:paraId="69EA9C3E" w14:textId="77777777" w:rsidR="00E56BB2" w:rsidRDefault="00E56BB2" w:rsidP="00E56BB2">
          <w:pPr>
            <w:pStyle w:val="TOC2"/>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r:id="rId9" w:anchor="_Toc209264094" w:history="1">
            <w:r>
              <w:rPr>
                <w:rStyle w:val="Hyperlink"/>
                <w:noProof/>
              </w:rPr>
              <w:t>1.2 Rationale</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_Toc209264094 \h </w:instrText>
            </w:r>
            <w:r>
              <w:rPr>
                <w:rStyle w:val="Hyperlink"/>
                <w:noProof/>
                <w:webHidden/>
                <w:color w:val="auto"/>
              </w:rPr>
            </w:r>
            <w:r>
              <w:rPr>
                <w:rStyle w:val="Hyperlink"/>
                <w:noProof/>
                <w:webHidden/>
                <w:color w:val="auto"/>
              </w:rPr>
              <w:fldChar w:fldCharType="separate"/>
            </w:r>
            <w:r>
              <w:rPr>
                <w:rStyle w:val="Hyperlink"/>
                <w:noProof/>
                <w:webHidden/>
                <w:color w:val="auto"/>
              </w:rPr>
              <w:t>3</w:t>
            </w:r>
            <w:r>
              <w:rPr>
                <w:rStyle w:val="Hyperlink"/>
                <w:noProof/>
                <w:webHidden/>
                <w:color w:val="auto"/>
              </w:rPr>
              <w:fldChar w:fldCharType="end"/>
            </w:r>
          </w:hyperlink>
        </w:p>
        <w:p w14:paraId="6878E3FE" w14:textId="77777777" w:rsidR="00E56BB2" w:rsidRDefault="00E56BB2" w:rsidP="00E56BB2">
          <w:pPr>
            <w:pStyle w:val="TOC2"/>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r:id="rId10" w:anchor="_Toc209264095" w:history="1">
            <w:r>
              <w:rPr>
                <w:rStyle w:val="Hyperlink"/>
                <w:noProof/>
              </w:rPr>
              <w:t>1.3 Review Question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_Toc209264095 \h </w:instrText>
            </w:r>
            <w:r>
              <w:rPr>
                <w:rStyle w:val="Hyperlink"/>
                <w:noProof/>
                <w:webHidden/>
                <w:color w:val="auto"/>
              </w:rPr>
            </w:r>
            <w:r>
              <w:rPr>
                <w:rStyle w:val="Hyperlink"/>
                <w:noProof/>
                <w:webHidden/>
                <w:color w:val="auto"/>
              </w:rPr>
              <w:fldChar w:fldCharType="separate"/>
            </w:r>
            <w:r>
              <w:rPr>
                <w:rStyle w:val="Hyperlink"/>
                <w:noProof/>
                <w:webHidden/>
                <w:color w:val="auto"/>
              </w:rPr>
              <w:t>4</w:t>
            </w:r>
            <w:r>
              <w:rPr>
                <w:rStyle w:val="Hyperlink"/>
                <w:noProof/>
                <w:webHidden/>
                <w:color w:val="auto"/>
              </w:rPr>
              <w:fldChar w:fldCharType="end"/>
            </w:r>
          </w:hyperlink>
        </w:p>
        <w:p w14:paraId="00CF6F94" w14:textId="77777777" w:rsidR="00E56BB2" w:rsidRDefault="00E56BB2" w:rsidP="00E56BB2">
          <w:pPr>
            <w:pStyle w:val="TOC2"/>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r:id="rId11" w:anchor="_Toc209264096" w:history="1">
            <w:r>
              <w:rPr>
                <w:rStyle w:val="Hyperlink"/>
                <w:noProof/>
              </w:rPr>
              <w:t>1.4 Aim and Objectives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_Toc209264096 \h </w:instrText>
            </w:r>
            <w:r>
              <w:rPr>
                <w:rStyle w:val="Hyperlink"/>
                <w:noProof/>
                <w:webHidden/>
                <w:color w:val="auto"/>
              </w:rPr>
            </w:r>
            <w:r>
              <w:rPr>
                <w:rStyle w:val="Hyperlink"/>
                <w:noProof/>
                <w:webHidden/>
                <w:color w:val="auto"/>
              </w:rPr>
              <w:fldChar w:fldCharType="separate"/>
            </w:r>
            <w:r>
              <w:rPr>
                <w:rStyle w:val="Hyperlink"/>
                <w:noProof/>
                <w:webHidden/>
                <w:color w:val="auto"/>
              </w:rPr>
              <w:t>4</w:t>
            </w:r>
            <w:r>
              <w:rPr>
                <w:rStyle w:val="Hyperlink"/>
                <w:noProof/>
                <w:webHidden/>
                <w:color w:val="auto"/>
              </w:rPr>
              <w:fldChar w:fldCharType="end"/>
            </w:r>
          </w:hyperlink>
        </w:p>
        <w:p w14:paraId="30F82E40" w14:textId="77777777" w:rsidR="00E56BB2" w:rsidRDefault="00E56BB2" w:rsidP="00E56BB2">
          <w:pPr>
            <w:pStyle w:val="TOC1"/>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r:id="rId12" w:anchor="_Toc209264097" w:history="1">
            <w:r>
              <w:rPr>
                <w:rStyle w:val="Hyperlink"/>
                <w:noProof/>
              </w:rPr>
              <w:t>2. Background</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_Toc209264097 \h </w:instrText>
            </w:r>
            <w:r>
              <w:rPr>
                <w:rStyle w:val="Hyperlink"/>
                <w:noProof/>
                <w:webHidden/>
                <w:color w:val="auto"/>
              </w:rPr>
            </w:r>
            <w:r>
              <w:rPr>
                <w:rStyle w:val="Hyperlink"/>
                <w:noProof/>
                <w:webHidden/>
                <w:color w:val="auto"/>
              </w:rPr>
              <w:fldChar w:fldCharType="separate"/>
            </w:r>
            <w:r>
              <w:rPr>
                <w:rStyle w:val="Hyperlink"/>
                <w:noProof/>
                <w:webHidden/>
                <w:color w:val="auto"/>
              </w:rPr>
              <w:t>4</w:t>
            </w:r>
            <w:r>
              <w:rPr>
                <w:rStyle w:val="Hyperlink"/>
                <w:noProof/>
                <w:webHidden/>
                <w:color w:val="auto"/>
              </w:rPr>
              <w:fldChar w:fldCharType="end"/>
            </w:r>
          </w:hyperlink>
        </w:p>
        <w:p w14:paraId="3C130A8B" w14:textId="77777777" w:rsidR="00E56BB2" w:rsidRDefault="00E56BB2" w:rsidP="00E56BB2">
          <w:pPr>
            <w:pStyle w:val="TOC2"/>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r:id="rId13" w:anchor="_Toc209264098" w:history="1">
            <w:r>
              <w:rPr>
                <w:rStyle w:val="Hyperlink"/>
                <w:noProof/>
              </w:rPr>
              <w:t>2.1 Current Policies and Legislation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_Toc209264098 \h </w:instrText>
            </w:r>
            <w:r>
              <w:rPr>
                <w:rStyle w:val="Hyperlink"/>
                <w:noProof/>
                <w:webHidden/>
                <w:color w:val="auto"/>
              </w:rPr>
            </w:r>
            <w:r>
              <w:rPr>
                <w:rStyle w:val="Hyperlink"/>
                <w:noProof/>
                <w:webHidden/>
                <w:color w:val="auto"/>
              </w:rPr>
              <w:fldChar w:fldCharType="separate"/>
            </w:r>
            <w:r>
              <w:rPr>
                <w:rStyle w:val="Hyperlink"/>
                <w:noProof/>
                <w:webHidden/>
                <w:color w:val="auto"/>
              </w:rPr>
              <w:t>4</w:t>
            </w:r>
            <w:r>
              <w:rPr>
                <w:rStyle w:val="Hyperlink"/>
                <w:noProof/>
                <w:webHidden/>
                <w:color w:val="auto"/>
              </w:rPr>
              <w:fldChar w:fldCharType="end"/>
            </w:r>
          </w:hyperlink>
        </w:p>
        <w:p w14:paraId="41884BCD" w14:textId="77777777" w:rsidR="00E56BB2" w:rsidRDefault="00E56BB2" w:rsidP="00E56BB2">
          <w:pPr>
            <w:pStyle w:val="TOC2"/>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r:id="rId14" w:anchor="_Toc209264099" w:history="1">
            <w:r>
              <w:rPr>
                <w:rStyle w:val="Hyperlink"/>
                <w:noProof/>
              </w:rPr>
              <w:t>2.2 Existing Services and Practice</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_Toc209264099 \h </w:instrText>
            </w:r>
            <w:r>
              <w:rPr>
                <w:rStyle w:val="Hyperlink"/>
                <w:noProof/>
                <w:webHidden/>
                <w:color w:val="auto"/>
              </w:rPr>
            </w:r>
            <w:r>
              <w:rPr>
                <w:rStyle w:val="Hyperlink"/>
                <w:noProof/>
                <w:webHidden/>
                <w:color w:val="auto"/>
              </w:rPr>
              <w:fldChar w:fldCharType="separate"/>
            </w:r>
            <w:r>
              <w:rPr>
                <w:rStyle w:val="Hyperlink"/>
                <w:noProof/>
                <w:webHidden/>
                <w:color w:val="auto"/>
              </w:rPr>
              <w:t>4</w:t>
            </w:r>
            <w:r>
              <w:rPr>
                <w:rStyle w:val="Hyperlink"/>
                <w:noProof/>
                <w:webHidden/>
                <w:color w:val="auto"/>
              </w:rPr>
              <w:fldChar w:fldCharType="end"/>
            </w:r>
          </w:hyperlink>
        </w:p>
        <w:p w14:paraId="24D0DCC7" w14:textId="77777777" w:rsidR="00E56BB2" w:rsidRDefault="00E56BB2" w:rsidP="00E56BB2">
          <w:pPr>
            <w:pStyle w:val="TOC2"/>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r:id="rId15" w:anchor="_Toc209264100" w:history="1">
            <w:r>
              <w:rPr>
                <w:rStyle w:val="Hyperlink"/>
                <w:noProof/>
              </w:rPr>
              <w:t>2.3 Key Challenges and Issues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_Toc209264100 \h </w:instrText>
            </w:r>
            <w:r>
              <w:rPr>
                <w:rStyle w:val="Hyperlink"/>
                <w:noProof/>
                <w:webHidden/>
                <w:color w:val="auto"/>
              </w:rPr>
            </w:r>
            <w:r>
              <w:rPr>
                <w:rStyle w:val="Hyperlink"/>
                <w:noProof/>
                <w:webHidden/>
                <w:color w:val="auto"/>
              </w:rPr>
              <w:fldChar w:fldCharType="separate"/>
            </w:r>
            <w:r>
              <w:rPr>
                <w:rStyle w:val="Hyperlink"/>
                <w:noProof/>
                <w:webHidden/>
                <w:color w:val="auto"/>
              </w:rPr>
              <w:t>5</w:t>
            </w:r>
            <w:r>
              <w:rPr>
                <w:rStyle w:val="Hyperlink"/>
                <w:noProof/>
                <w:webHidden/>
                <w:color w:val="auto"/>
              </w:rPr>
              <w:fldChar w:fldCharType="end"/>
            </w:r>
          </w:hyperlink>
        </w:p>
        <w:p w14:paraId="7BB287F2" w14:textId="77777777" w:rsidR="00E56BB2" w:rsidRDefault="00E56BB2" w:rsidP="00E56BB2">
          <w:pPr>
            <w:pStyle w:val="TOC1"/>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r:id="rId16" w:anchor="_Toc209264101" w:history="1">
            <w:r>
              <w:rPr>
                <w:rStyle w:val="Hyperlink"/>
                <w:noProof/>
              </w:rPr>
              <w:t>3. Methods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_Toc209264101 \h </w:instrText>
            </w:r>
            <w:r>
              <w:rPr>
                <w:rStyle w:val="Hyperlink"/>
                <w:noProof/>
                <w:webHidden/>
                <w:color w:val="auto"/>
              </w:rPr>
            </w:r>
            <w:r>
              <w:rPr>
                <w:rStyle w:val="Hyperlink"/>
                <w:noProof/>
                <w:webHidden/>
                <w:color w:val="auto"/>
              </w:rPr>
              <w:fldChar w:fldCharType="separate"/>
            </w:r>
            <w:r>
              <w:rPr>
                <w:rStyle w:val="Hyperlink"/>
                <w:noProof/>
                <w:webHidden/>
                <w:color w:val="auto"/>
              </w:rPr>
              <w:t>5</w:t>
            </w:r>
            <w:r>
              <w:rPr>
                <w:rStyle w:val="Hyperlink"/>
                <w:noProof/>
                <w:webHidden/>
                <w:color w:val="auto"/>
              </w:rPr>
              <w:fldChar w:fldCharType="end"/>
            </w:r>
          </w:hyperlink>
        </w:p>
        <w:p w14:paraId="0B163DF6" w14:textId="77777777" w:rsidR="00E56BB2" w:rsidRDefault="00E56BB2" w:rsidP="00E56BB2">
          <w:pPr>
            <w:pStyle w:val="TOC2"/>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r:id="rId17" w:anchor="_Toc209264102" w:history="1">
            <w:r>
              <w:rPr>
                <w:rStyle w:val="Hyperlink"/>
                <w:noProof/>
              </w:rPr>
              <w:t>3.1 Data Collection Approach</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_Toc209264102 \h </w:instrText>
            </w:r>
            <w:r>
              <w:rPr>
                <w:rStyle w:val="Hyperlink"/>
                <w:noProof/>
                <w:webHidden/>
                <w:color w:val="auto"/>
              </w:rPr>
            </w:r>
            <w:r>
              <w:rPr>
                <w:rStyle w:val="Hyperlink"/>
                <w:noProof/>
                <w:webHidden/>
                <w:color w:val="auto"/>
              </w:rPr>
              <w:fldChar w:fldCharType="separate"/>
            </w:r>
            <w:r>
              <w:rPr>
                <w:rStyle w:val="Hyperlink"/>
                <w:noProof/>
                <w:webHidden/>
                <w:color w:val="auto"/>
              </w:rPr>
              <w:t>5</w:t>
            </w:r>
            <w:r>
              <w:rPr>
                <w:rStyle w:val="Hyperlink"/>
                <w:noProof/>
                <w:webHidden/>
                <w:color w:val="auto"/>
              </w:rPr>
              <w:fldChar w:fldCharType="end"/>
            </w:r>
          </w:hyperlink>
        </w:p>
        <w:p w14:paraId="6F53C155" w14:textId="77777777" w:rsidR="00E56BB2" w:rsidRDefault="00E56BB2" w:rsidP="00E56BB2">
          <w:pPr>
            <w:pStyle w:val="TOC2"/>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r:id="rId18" w:anchor="_Toc209264103" w:history="1">
            <w:r>
              <w:rPr>
                <w:rStyle w:val="Hyperlink"/>
                <w:iCs/>
                <w:noProof/>
              </w:rPr>
              <w:t>3.2</w:t>
            </w:r>
            <w:r>
              <w:rPr>
                <w:rStyle w:val="Hyperlink"/>
                <w:i/>
                <w:noProof/>
              </w:rPr>
              <w:t xml:space="preserve"> </w:t>
            </w:r>
            <w:r>
              <w:rPr>
                <w:rStyle w:val="Hyperlink"/>
                <w:noProof/>
              </w:rPr>
              <w:t>Data Analysis Approach</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_Toc209264103 \h </w:instrText>
            </w:r>
            <w:r>
              <w:rPr>
                <w:rStyle w:val="Hyperlink"/>
                <w:noProof/>
                <w:webHidden/>
                <w:color w:val="auto"/>
              </w:rPr>
            </w:r>
            <w:r>
              <w:rPr>
                <w:rStyle w:val="Hyperlink"/>
                <w:noProof/>
                <w:webHidden/>
                <w:color w:val="auto"/>
              </w:rPr>
              <w:fldChar w:fldCharType="separate"/>
            </w:r>
            <w:r>
              <w:rPr>
                <w:rStyle w:val="Hyperlink"/>
                <w:noProof/>
                <w:webHidden/>
                <w:color w:val="auto"/>
              </w:rPr>
              <w:t>7</w:t>
            </w:r>
            <w:r>
              <w:rPr>
                <w:rStyle w:val="Hyperlink"/>
                <w:noProof/>
                <w:webHidden/>
                <w:color w:val="auto"/>
              </w:rPr>
              <w:fldChar w:fldCharType="end"/>
            </w:r>
          </w:hyperlink>
        </w:p>
        <w:p w14:paraId="7B2CD834" w14:textId="77777777" w:rsidR="00E56BB2" w:rsidRDefault="00E56BB2" w:rsidP="00E56BB2">
          <w:pPr>
            <w:pStyle w:val="TOC2"/>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r:id="rId19" w:anchor="_Toc209264104" w:history="1">
            <w:r>
              <w:rPr>
                <w:rStyle w:val="Hyperlink"/>
                <w:noProof/>
              </w:rPr>
              <w:t>3.3 Ethical Considerations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_Toc209264104 \h </w:instrText>
            </w:r>
            <w:r>
              <w:rPr>
                <w:rStyle w:val="Hyperlink"/>
                <w:noProof/>
                <w:webHidden/>
                <w:color w:val="auto"/>
              </w:rPr>
            </w:r>
            <w:r>
              <w:rPr>
                <w:rStyle w:val="Hyperlink"/>
                <w:noProof/>
                <w:webHidden/>
                <w:color w:val="auto"/>
              </w:rPr>
              <w:fldChar w:fldCharType="separate"/>
            </w:r>
            <w:r>
              <w:rPr>
                <w:rStyle w:val="Hyperlink"/>
                <w:noProof/>
                <w:webHidden/>
                <w:color w:val="auto"/>
              </w:rPr>
              <w:t>7</w:t>
            </w:r>
            <w:r>
              <w:rPr>
                <w:rStyle w:val="Hyperlink"/>
                <w:noProof/>
                <w:webHidden/>
                <w:color w:val="auto"/>
              </w:rPr>
              <w:fldChar w:fldCharType="end"/>
            </w:r>
          </w:hyperlink>
        </w:p>
        <w:p w14:paraId="026F4CB0" w14:textId="77777777" w:rsidR="00E56BB2" w:rsidRDefault="00E56BB2" w:rsidP="00E56BB2">
          <w:pPr>
            <w:pStyle w:val="TOC1"/>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r:id="rId20" w:anchor="_Toc209264105" w:history="1">
            <w:r>
              <w:rPr>
                <w:rStyle w:val="Hyperlink"/>
                <w:noProof/>
                <w:lang w:bidi="bn-IN"/>
              </w:rPr>
              <w:t xml:space="preserve">4. </w:t>
            </w:r>
            <w:r>
              <w:rPr>
                <w:rStyle w:val="Hyperlink"/>
                <w:noProof/>
              </w:rPr>
              <w:t>Results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_Toc209264105 \h </w:instrText>
            </w:r>
            <w:r>
              <w:rPr>
                <w:rStyle w:val="Hyperlink"/>
                <w:noProof/>
                <w:webHidden/>
                <w:color w:val="auto"/>
              </w:rPr>
            </w:r>
            <w:r>
              <w:rPr>
                <w:rStyle w:val="Hyperlink"/>
                <w:noProof/>
                <w:webHidden/>
                <w:color w:val="auto"/>
              </w:rPr>
              <w:fldChar w:fldCharType="separate"/>
            </w:r>
            <w:r>
              <w:rPr>
                <w:rStyle w:val="Hyperlink"/>
                <w:noProof/>
                <w:webHidden/>
                <w:color w:val="auto"/>
              </w:rPr>
              <w:t>7</w:t>
            </w:r>
            <w:r>
              <w:rPr>
                <w:rStyle w:val="Hyperlink"/>
                <w:noProof/>
                <w:webHidden/>
                <w:color w:val="auto"/>
              </w:rPr>
              <w:fldChar w:fldCharType="end"/>
            </w:r>
          </w:hyperlink>
        </w:p>
        <w:p w14:paraId="02DDB0EA" w14:textId="77777777" w:rsidR="00E56BB2" w:rsidRDefault="00E56BB2" w:rsidP="00E56BB2">
          <w:pPr>
            <w:pStyle w:val="TOC2"/>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r:id="rId21" w:anchor="_Toc209264106" w:history="1">
            <w:r>
              <w:rPr>
                <w:rStyle w:val="Hyperlink"/>
                <w:noProof/>
                <w:lang w:bidi="bn-IN"/>
              </w:rPr>
              <w:t>4.1 Summary Table</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_Toc209264106 \h </w:instrText>
            </w:r>
            <w:r>
              <w:rPr>
                <w:rStyle w:val="Hyperlink"/>
                <w:noProof/>
                <w:webHidden/>
                <w:color w:val="auto"/>
              </w:rPr>
            </w:r>
            <w:r>
              <w:rPr>
                <w:rStyle w:val="Hyperlink"/>
                <w:noProof/>
                <w:webHidden/>
                <w:color w:val="auto"/>
              </w:rPr>
              <w:fldChar w:fldCharType="separate"/>
            </w:r>
            <w:r>
              <w:rPr>
                <w:rStyle w:val="Hyperlink"/>
                <w:noProof/>
                <w:webHidden/>
                <w:color w:val="auto"/>
              </w:rPr>
              <w:t>7</w:t>
            </w:r>
            <w:r>
              <w:rPr>
                <w:rStyle w:val="Hyperlink"/>
                <w:noProof/>
                <w:webHidden/>
                <w:color w:val="auto"/>
              </w:rPr>
              <w:fldChar w:fldCharType="end"/>
            </w:r>
          </w:hyperlink>
        </w:p>
        <w:p w14:paraId="0DD8C499" w14:textId="77777777" w:rsidR="00E56BB2" w:rsidRDefault="00E56BB2" w:rsidP="00E56BB2">
          <w:pPr>
            <w:pStyle w:val="TOC2"/>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r:id="rId22" w:anchor="_Toc209264107" w:history="1">
            <w:r>
              <w:rPr>
                <w:rStyle w:val="Hyperlink"/>
                <w:noProof/>
                <w:lang w:bidi="bn-IN"/>
              </w:rPr>
              <w:t>4.2 Thematic Analysis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_Toc209264107 \h </w:instrText>
            </w:r>
            <w:r>
              <w:rPr>
                <w:rStyle w:val="Hyperlink"/>
                <w:noProof/>
                <w:webHidden/>
                <w:color w:val="auto"/>
              </w:rPr>
            </w:r>
            <w:r>
              <w:rPr>
                <w:rStyle w:val="Hyperlink"/>
                <w:noProof/>
                <w:webHidden/>
                <w:color w:val="auto"/>
              </w:rPr>
              <w:fldChar w:fldCharType="separate"/>
            </w:r>
            <w:r>
              <w:rPr>
                <w:rStyle w:val="Hyperlink"/>
                <w:noProof/>
                <w:webHidden/>
                <w:color w:val="auto"/>
              </w:rPr>
              <w:t>10</w:t>
            </w:r>
            <w:r>
              <w:rPr>
                <w:rStyle w:val="Hyperlink"/>
                <w:noProof/>
                <w:webHidden/>
                <w:color w:val="auto"/>
              </w:rPr>
              <w:fldChar w:fldCharType="end"/>
            </w:r>
          </w:hyperlink>
        </w:p>
        <w:p w14:paraId="4FFAE5E9" w14:textId="77777777" w:rsidR="00E56BB2" w:rsidRDefault="00E56BB2" w:rsidP="00E56BB2">
          <w:pPr>
            <w:pStyle w:val="TOC2"/>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r:id="rId23" w:anchor="_Toc209264108" w:history="1">
            <w:r>
              <w:rPr>
                <w:rStyle w:val="Hyperlink"/>
                <w:noProof/>
                <w:lang w:bidi="bn-IN"/>
              </w:rPr>
              <w:t>4.3 Summary of the codes and findings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_Toc209264108 \h </w:instrText>
            </w:r>
            <w:r>
              <w:rPr>
                <w:rStyle w:val="Hyperlink"/>
                <w:noProof/>
                <w:webHidden/>
                <w:color w:val="auto"/>
              </w:rPr>
            </w:r>
            <w:r>
              <w:rPr>
                <w:rStyle w:val="Hyperlink"/>
                <w:noProof/>
                <w:webHidden/>
                <w:color w:val="auto"/>
              </w:rPr>
              <w:fldChar w:fldCharType="separate"/>
            </w:r>
            <w:r>
              <w:rPr>
                <w:rStyle w:val="Hyperlink"/>
                <w:noProof/>
                <w:webHidden/>
                <w:color w:val="auto"/>
              </w:rPr>
              <w:t>15</w:t>
            </w:r>
            <w:r>
              <w:rPr>
                <w:rStyle w:val="Hyperlink"/>
                <w:noProof/>
                <w:webHidden/>
                <w:color w:val="auto"/>
              </w:rPr>
              <w:fldChar w:fldCharType="end"/>
            </w:r>
          </w:hyperlink>
        </w:p>
        <w:p w14:paraId="67530709" w14:textId="77777777" w:rsidR="00E56BB2" w:rsidRDefault="00E56BB2" w:rsidP="00E56BB2">
          <w:pPr>
            <w:pStyle w:val="TOC1"/>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r:id="rId24" w:anchor="_Toc209264109" w:history="1">
            <w:r>
              <w:rPr>
                <w:rStyle w:val="Hyperlink"/>
                <w:noProof/>
              </w:rPr>
              <w:t>5. Discussion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_Toc209264109 \h </w:instrText>
            </w:r>
            <w:r>
              <w:rPr>
                <w:rStyle w:val="Hyperlink"/>
                <w:noProof/>
                <w:webHidden/>
                <w:color w:val="auto"/>
              </w:rPr>
            </w:r>
            <w:r>
              <w:rPr>
                <w:rStyle w:val="Hyperlink"/>
                <w:noProof/>
                <w:webHidden/>
                <w:color w:val="auto"/>
              </w:rPr>
              <w:fldChar w:fldCharType="separate"/>
            </w:r>
            <w:r>
              <w:rPr>
                <w:rStyle w:val="Hyperlink"/>
                <w:noProof/>
                <w:webHidden/>
                <w:color w:val="auto"/>
              </w:rPr>
              <w:t>15</w:t>
            </w:r>
            <w:r>
              <w:rPr>
                <w:rStyle w:val="Hyperlink"/>
                <w:noProof/>
                <w:webHidden/>
                <w:color w:val="auto"/>
              </w:rPr>
              <w:fldChar w:fldCharType="end"/>
            </w:r>
          </w:hyperlink>
        </w:p>
        <w:p w14:paraId="7741C167" w14:textId="77777777" w:rsidR="00E56BB2" w:rsidRDefault="00E56BB2" w:rsidP="00E56BB2">
          <w:pPr>
            <w:pStyle w:val="TOC2"/>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r:id="rId25" w:anchor="_Toc209264110" w:history="1">
            <w:r>
              <w:rPr>
                <w:rStyle w:val="Hyperlink"/>
                <w:noProof/>
              </w:rPr>
              <w:t>5.1 Comparing and constructing findings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_Toc209264110 \h </w:instrText>
            </w:r>
            <w:r>
              <w:rPr>
                <w:rStyle w:val="Hyperlink"/>
                <w:noProof/>
                <w:webHidden/>
                <w:color w:val="auto"/>
              </w:rPr>
            </w:r>
            <w:r>
              <w:rPr>
                <w:rStyle w:val="Hyperlink"/>
                <w:noProof/>
                <w:webHidden/>
                <w:color w:val="auto"/>
              </w:rPr>
              <w:fldChar w:fldCharType="separate"/>
            </w:r>
            <w:r>
              <w:rPr>
                <w:rStyle w:val="Hyperlink"/>
                <w:noProof/>
                <w:webHidden/>
                <w:color w:val="auto"/>
              </w:rPr>
              <w:t>15</w:t>
            </w:r>
            <w:r>
              <w:rPr>
                <w:rStyle w:val="Hyperlink"/>
                <w:noProof/>
                <w:webHidden/>
                <w:color w:val="auto"/>
              </w:rPr>
              <w:fldChar w:fldCharType="end"/>
            </w:r>
          </w:hyperlink>
        </w:p>
        <w:p w14:paraId="30A58428" w14:textId="77777777" w:rsidR="00E56BB2" w:rsidRDefault="00E56BB2" w:rsidP="00E56BB2">
          <w:pPr>
            <w:pStyle w:val="TOC2"/>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r:id="rId26" w:anchor="_Toc209264111" w:history="1">
            <w:r>
              <w:rPr>
                <w:rStyle w:val="Hyperlink"/>
                <w:noProof/>
              </w:rPr>
              <w:t>5.2 Explaining gaps in research</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_Toc209264111 \h </w:instrText>
            </w:r>
            <w:r>
              <w:rPr>
                <w:rStyle w:val="Hyperlink"/>
                <w:noProof/>
                <w:webHidden/>
                <w:color w:val="auto"/>
              </w:rPr>
            </w:r>
            <w:r>
              <w:rPr>
                <w:rStyle w:val="Hyperlink"/>
                <w:noProof/>
                <w:webHidden/>
                <w:color w:val="auto"/>
              </w:rPr>
              <w:fldChar w:fldCharType="separate"/>
            </w:r>
            <w:r>
              <w:rPr>
                <w:rStyle w:val="Hyperlink"/>
                <w:noProof/>
                <w:webHidden/>
                <w:color w:val="auto"/>
              </w:rPr>
              <w:t>16</w:t>
            </w:r>
            <w:r>
              <w:rPr>
                <w:rStyle w:val="Hyperlink"/>
                <w:noProof/>
                <w:webHidden/>
                <w:color w:val="auto"/>
              </w:rPr>
              <w:fldChar w:fldCharType="end"/>
            </w:r>
          </w:hyperlink>
        </w:p>
        <w:p w14:paraId="58CBB032" w14:textId="77777777" w:rsidR="00E56BB2" w:rsidRDefault="00E56BB2" w:rsidP="00E56BB2">
          <w:pPr>
            <w:pStyle w:val="TOC2"/>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r:id="rId27" w:anchor="_Toc209264112" w:history="1">
            <w:r>
              <w:rPr>
                <w:rStyle w:val="Hyperlink"/>
                <w:noProof/>
              </w:rPr>
              <w:t>5.3 Theoretical and practical implications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_Toc209264112 \h </w:instrText>
            </w:r>
            <w:r>
              <w:rPr>
                <w:rStyle w:val="Hyperlink"/>
                <w:noProof/>
                <w:webHidden/>
                <w:color w:val="auto"/>
              </w:rPr>
            </w:r>
            <w:r>
              <w:rPr>
                <w:rStyle w:val="Hyperlink"/>
                <w:noProof/>
                <w:webHidden/>
                <w:color w:val="auto"/>
              </w:rPr>
              <w:fldChar w:fldCharType="separate"/>
            </w:r>
            <w:r>
              <w:rPr>
                <w:rStyle w:val="Hyperlink"/>
                <w:noProof/>
                <w:webHidden/>
                <w:color w:val="auto"/>
              </w:rPr>
              <w:t>16</w:t>
            </w:r>
            <w:r>
              <w:rPr>
                <w:rStyle w:val="Hyperlink"/>
                <w:noProof/>
                <w:webHidden/>
                <w:color w:val="auto"/>
              </w:rPr>
              <w:fldChar w:fldCharType="end"/>
            </w:r>
          </w:hyperlink>
        </w:p>
        <w:p w14:paraId="19335AD0" w14:textId="77777777" w:rsidR="00E56BB2" w:rsidRDefault="00E56BB2" w:rsidP="00E56BB2">
          <w:pPr>
            <w:pStyle w:val="TOC1"/>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r:id="rId28" w:anchor="_Toc209264113" w:history="1">
            <w:r>
              <w:rPr>
                <w:rStyle w:val="Hyperlink"/>
                <w:noProof/>
              </w:rPr>
              <w:t>6. Conclusion and recommendations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_Toc209264113 \h </w:instrText>
            </w:r>
            <w:r>
              <w:rPr>
                <w:rStyle w:val="Hyperlink"/>
                <w:noProof/>
                <w:webHidden/>
                <w:color w:val="auto"/>
              </w:rPr>
            </w:r>
            <w:r>
              <w:rPr>
                <w:rStyle w:val="Hyperlink"/>
                <w:noProof/>
                <w:webHidden/>
                <w:color w:val="auto"/>
              </w:rPr>
              <w:fldChar w:fldCharType="separate"/>
            </w:r>
            <w:r>
              <w:rPr>
                <w:rStyle w:val="Hyperlink"/>
                <w:noProof/>
                <w:webHidden/>
                <w:color w:val="auto"/>
              </w:rPr>
              <w:t>16</w:t>
            </w:r>
            <w:r>
              <w:rPr>
                <w:rStyle w:val="Hyperlink"/>
                <w:noProof/>
                <w:webHidden/>
                <w:color w:val="auto"/>
              </w:rPr>
              <w:fldChar w:fldCharType="end"/>
            </w:r>
          </w:hyperlink>
        </w:p>
        <w:p w14:paraId="622F9F93" w14:textId="77777777" w:rsidR="00E56BB2" w:rsidRDefault="00E56BB2" w:rsidP="00E56BB2">
          <w:pPr>
            <w:pStyle w:val="TOC2"/>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r:id="rId29" w:anchor="_Toc209264114" w:history="1">
            <w:r>
              <w:rPr>
                <w:rStyle w:val="Hyperlink"/>
                <w:noProof/>
              </w:rPr>
              <w:t>6.1 Key Takeaways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_Toc209264114 \h </w:instrText>
            </w:r>
            <w:r>
              <w:rPr>
                <w:rStyle w:val="Hyperlink"/>
                <w:noProof/>
                <w:webHidden/>
                <w:color w:val="auto"/>
              </w:rPr>
            </w:r>
            <w:r>
              <w:rPr>
                <w:rStyle w:val="Hyperlink"/>
                <w:noProof/>
                <w:webHidden/>
                <w:color w:val="auto"/>
              </w:rPr>
              <w:fldChar w:fldCharType="separate"/>
            </w:r>
            <w:r>
              <w:rPr>
                <w:rStyle w:val="Hyperlink"/>
                <w:noProof/>
                <w:webHidden/>
                <w:color w:val="auto"/>
              </w:rPr>
              <w:t>16</w:t>
            </w:r>
            <w:r>
              <w:rPr>
                <w:rStyle w:val="Hyperlink"/>
                <w:noProof/>
                <w:webHidden/>
                <w:color w:val="auto"/>
              </w:rPr>
              <w:fldChar w:fldCharType="end"/>
            </w:r>
          </w:hyperlink>
        </w:p>
        <w:p w14:paraId="5809A537" w14:textId="77777777" w:rsidR="00E56BB2" w:rsidRDefault="00E56BB2" w:rsidP="00E56BB2">
          <w:pPr>
            <w:pStyle w:val="TOC2"/>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r:id="rId30" w:anchor="_Toc209264115" w:history="1">
            <w:r>
              <w:rPr>
                <w:rStyle w:val="Hyperlink"/>
                <w:noProof/>
              </w:rPr>
              <w:t>6.2 Recommendations for Future Research</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_Toc209264115 \h </w:instrText>
            </w:r>
            <w:r>
              <w:rPr>
                <w:rStyle w:val="Hyperlink"/>
                <w:noProof/>
                <w:webHidden/>
                <w:color w:val="auto"/>
              </w:rPr>
            </w:r>
            <w:r>
              <w:rPr>
                <w:rStyle w:val="Hyperlink"/>
                <w:noProof/>
                <w:webHidden/>
                <w:color w:val="auto"/>
              </w:rPr>
              <w:fldChar w:fldCharType="separate"/>
            </w:r>
            <w:r>
              <w:rPr>
                <w:rStyle w:val="Hyperlink"/>
                <w:noProof/>
                <w:webHidden/>
                <w:color w:val="auto"/>
              </w:rPr>
              <w:t>16</w:t>
            </w:r>
            <w:r>
              <w:rPr>
                <w:rStyle w:val="Hyperlink"/>
                <w:noProof/>
                <w:webHidden/>
                <w:color w:val="auto"/>
              </w:rPr>
              <w:fldChar w:fldCharType="end"/>
            </w:r>
          </w:hyperlink>
        </w:p>
        <w:p w14:paraId="05140E85" w14:textId="77777777" w:rsidR="00E56BB2" w:rsidRDefault="00E56BB2" w:rsidP="00E56BB2">
          <w:pPr>
            <w:pStyle w:val="TOC2"/>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r:id="rId31" w:anchor="_Toc209264116" w:history="1">
            <w:r>
              <w:rPr>
                <w:rStyle w:val="Hyperlink"/>
                <w:noProof/>
              </w:rPr>
              <w:t>6.3 Recommendations for Policy and Practice</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_Toc209264116 \h </w:instrText>
            </w:r>
            <w:r>
              <w:rPr>
                <w:rStyle w:val="Hyperlink"/>
                <w:noProof/>
                <w:webHidden/>
                <w:color w:val="auto"/>
              </w:rPr>
            </w:r>
            <w:r>
              <w:rPr>
                <w:rStyle w:val="Hyperlink"/>
                <w:noProof/>
                <w:webHidden/>
                <w:color w:val="auto"/>
              </w:rPr>
              <w:fldChar w:fldCharType="separate"/>
            </w:r>
            <w:r>
              <w:rPr>
                <w:rStyle w:val="Hyperlink"/>
                <w:noProof/>
                <w:webHidden/>
                <w:color w:val="auto"/>
              </w:rPr>
              <w:t>17</w:t>
            </w:r>
            <w:r>
              <w:rPr>
                <w:rStyle w:val="Hyperlink"/>
                <w:noProof/>
                <w:webHidden/>
                <w:color w:val="auto"/>
              </w:rPr>
              <w:fldChar w:fldCharType="end"/>
            </w:r>
          </w:hyperlink>
        </w:p>
        <w:p w14:paraId="6D7DA821" w14:textId="77777777" w:rsidR="00E56BB2" w:rsidRDefault="00E56BB2" w:rsidP="00E56BB2">
          <w:pPr>
            <w:pStyle w:val="TOC1"/>
            <w:tabs>
              <w:tab w:val="right" w:leader="dot" w:pos="9016"/>
            </w:tabs>
            <w:rPr>
              <w:rFonts w:asciiTheme="minorHAnsi" w:eastAsiaTheme="minorEastAsia" w:hAnsiTheme="minorHAnsi" w:cstheme="minorBidi"/>
              <w:noProof/>
              <w:kern w:val="2"/>
              <w:sz w:val="24"/>
              <w:szCs w:val="24"/>
              <w:lang w:val="en-US" w:eastAsia="en-US"/>
              <w14:ligatures w14:val="standardContextual"/>
            </w:rPr>
          </w:pPr>
          <w:hyperlink r:id="rId32" w:anchor="_Toc209264117" w:history="1">
            <w:r>
              <w:rPr>
                <w:rStyle w:val="Hyperlink"/>
                <w:noProof/>
              </w:rPr>
              <w:t>References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_Toc209264117 \h </w:instrText>
            </w:r>
            <w:r>
              <w:rPr>
                <w:rStyle w:val="Hyperlink"/>
                <w:noProof/>
                <w:webHidden/>
                <w:color w:val="auto"/>
              </w:rPr>
            </w:r>
            <w:r>
              <w:rPr>
                <w:rStyle w:val="Hyperlink"/>
                <w:noProof/>
                <w:webHidden/>
                <w:color w:val="auto"/>
              </w:rPr>
              <w:fldChar w:fldCharType="separate"/>
            </w:r>
            <w:r>
              <w:rPr>
                <w:rStyle w:val="Hyperlink"/>
                <w:noProof/>
                <w:webHidden/>
                <w:color w:val="auto"/>
              </w:rPr>
              <w:t>18</w:t>
            </w:r>
            <w:r>
              <w:rPr>
                <w:rStyle w:val="Hyperlink"/>
                <w:noProof/>
                <w:webHidden/>
                <w:color w:val="auto"/>
              </w:rPr>
              <w:fldChar w:fldCharType="end"/>
            </w:r>
          </w:hyperlink>
        </w:p>
        <w:p w14:paraId="08A7F373" w14:textId="77777777" w:rsidR="00E56BB2" w:rsidRDefault="00E56BB2" w:rsidP="00E56BB2">
          <w:r>
            <w:rPr>
              <w:b/>
              <w:bCs/>
              <w:noProof/>
            </w:rPr>
            <w:fldChar w:fldCharType="end"/>
          </w:r>
        </w:p>
      </w:sdtContent>
    </w:sdt>
    <w:p w14:paraId="2E334730" w14:textId="77777777" w:rsidR="00E56BB2" w:rsidRDefault="00E56BB2" w:rsidP="00E56BB2">
      <w:pPr>
        <w:rPr>
          <w:b/>
          <w:iCs/>
        </w:rPr>
      </w:pPr>
    </w:p>
    <w:p w14:paraId="003ED010" w14:textId="77777777" w:rsidR="00E56BB2" w:rsidRDefault="00E56BB2" w:rsidP="00E56BB2">
      <w:pPr>
        <w:spacing w:before="100" w:beforeAutospacing="1" w:after="100" w:afterAutospacing="1"/>
      </w:pPr>
      <w:r>
        <w:br w:type="page"/>
      </w:r>
    </w:p>
    <w:p w14:paraId="04C09E34" w14:textId="77777777" w:rsidR="00E56BB2" w:rsidRPr="000D3195" w:rsidRDefault="00E56BB2" w:rsidP="00E56BB2">
      <w:pPr>
        <w:pStyle w:val="Heading1"/>
        <w:rPr>
          <w:rFonts w:ascii="Arial" w:hAnsi="Arial" w:cs="Arial"/>
          <w:b/>
          <w:bCs/>
          <w:color w:val="auto"/>
          <w:sz w:val="22"/>
          <w:szCs w:val="22"/>
        </w:rPr>
      </w:pPr>
      <w:bookmarkStart w:id="0" w:name="_xf0z2qnyotal"/>
      <w:bookmarkStart w:id="1" w:name="_Toc209264092"/>
      <w:bookmarkEnd w:id="0"/>
      <w:r w:rsidRPr="000D3195">
        <w:rPr>
          <w:b/>
          <w:bCs/>
          <w:color w:val="auto"/>
          <w:sz w:val="22"/>
          <w:szCs w:val="22"/>
        </w:rPr>
        <w:lastRenderedPageBreak/>
        <w:t>1</w:t>
      </w:r>
      <w:r w:rsidRPr="000D3195">
        <w:rPr>
          <w:rFonts w:ascii="Arial" w:hAnsi="Arial" w:cs="Arial"/>
          <w:b/>
          <w:bCs/>
          <w:color w:val="auto"/>
          <w:sz w:val="22"/>
          <w:szCs w:val="22"/>
        </w:rPr>
        <w:t>. Introduction</w:t>
      </w:r>
      <w:bookmarkEnd w:id="1"/>
    </w:p>
    <w:p w14:paraId="6C81E0B2" w14:textId="77777777" w:rsidR="00E56BB2" w:rsidRPr="000D3195" w:rsidRDefault="00E56BB2" w:rsidP="00E56BB2">
      <w:pPr>
        <w:pStyle w:val="Heading2"/>
        <w:rPr>
          <w:rFonts w:ascii="Arial" w:hAnsi="Arial" w:cs="Arial"/>
          <w:b/>
          <w:bCs/>
          <w:color w:val="auto"/>
          <w:sz w:val="22"/>
          <w:szCs w:val="22"/>
        </w:rPr>
      </w:pPr>
      <w:bookmarkStart w:id="2" w:name="_swbbb7yt6ohm"/>
      <w:bookmarkStart w:id="3" w:name="_Toc209264093"/>
      <w:bookmarkEnd w:id="2"/>
      <w:r w:rsidRPr="000D3195">
        <w:rPr>
          <w:rFonts w:ascii="Arial" w:hAnsi="Arial" w:cs="Arial"/>
          <w:b/>
          <w:bCs/>
          <w:color w:val="auto"/>
          <w:sz w:val="22"/>
          <w:szCs w:val="22"/>
        </w:rPr>
        <w:t>1.1 Defining key concepts</w:t>
      </w:r>
      <w:bookmarkEnd w:id="3"/>
      <w:r w:rsidRPr="000D3195">
        <w:rPr>
          <w:rFonts w:ascii="Arial" w:hAnsi="Arial" w:cs="Arial"/>
          <w:b/>
          <w:bCs/>
          <w:color w:val="auto"/>
          <w:sz w:val="22"/>
          <w:szCs w:val="22"/>
        </w:rPr>
        <w:t xml:space="preserve"> </w:t>
      </w:r>
    </w:p>
    <w:p w14:paraId="4D95F087" w14:textId="77777777" w:rsidR="00E56BB2" w:rsidRDefault="00E56BB2" w:rsidP="00E56BB2">
      <w:pPr>
        <w:rPr>
          <w:lang w:eastAsia="en-US"/>
        </w:rPr>
      </w:pPr>
      <w:r>
        <w:rPr>
          <w:lang w:eastAsia="en-US"/>
        </w:rPr>
        <w:t xml:space="preserve">Learning disabilities refer to situations that impact an individual's perceptions of information, learning, and communication, which might reduce the chances of securing a job (Collins and Murphy, 2022). </w:t>
      </w:r>
      <w:r w:rsidRPr="000D3195">
        <w:rPr>
          <w:bCs/>
          <w:i/>
          <w:lang w:eastAsia="en-US"/>
        </w:rPr>
        <w:t>Digital health</w:t>
      </w:r>
      <w:r>
        <w:rPr>
          <w:lang w:eastAsia="en-US"/>
        </w:rPr>
        <w:t xml:space="preserve"> leverages information and communication technologies to manage health risks. </w:t>
      </w:r>
      <w:r w:rsidRPr="000D3195">
        <w:rPr>
          <w:lang w:eastAsia="en-US"/>
        </w:rPr>
        <w:t xml:space="preserve">A </w:t>
      </w:r>
      <w:r w:rsidRPr="000D3195">
        <w:rPr>
          <w:i/>
          <w:lang w:eastAsia="en-US"/>
        </w:rPr>
        <w:t>scoping review</w:t>
      </w:r>
      <w:r>
        <w:rPr>
          <w:lang w:eastAsia="en-US"/>
        </w:rPr>
        <w:t xml:space="preserve"> is a form of secondary research which describes the literature available on a subject area to find out its key themes and gaps (Wagner </w:t>
      </w:r>
      <w:r>
        <w:rPr>
          <w:i/>
          <w:lang w:eastAsia="en-US"/>
        </w:rPr>
        <w:t>et al.</w:t>
      </w:r>
      <w:r>
        <w:rPr>
          <w:lang w:eastAsia="en-US"/>
        </w:rPr>
        <w:t xml:space="preserve">, 2023). </w:t>
      </w:r>
      <w:r w:rsidRPr="000D3195">
        <w:rPr>
          <w:bCs/>
          <w:i/>
          <w:lang w:eastAsia="en-US"/>
        </w:rPr>
        <w:t>Thematic analysis</w:t>
      </w:r>
      <w:r>
        <w:rPr>
          <w:lang w:eastAsia="en-US"/>
        </w:rPr>
        <w:t xml:space="preserve"> is a method that involves analysing data to identify recurring patterns or themes. These ideas inform the direction of the research and assist in responding to the question of the review.</w:t>
      </w:r>
    </w:p>
    <w:p w14:paraId="0C395944" w14:textId="77777777" w:rsidR="00E56BB2" w:rsidRPr="000D3195" w:rsidRDefault="00E56BB2" w:rsidP="00E56BB2">
      <w:pPr>
        <w:pStyle w:val="Heading2"/>
        <w:rPr>
          <w:rFonts w:ascii="Arial" w:hAnsi="Arial" w:cs="Arial"/>
          <w:b/>
          <w:bCs/>
          <w:color w:val="auto"/>
          <w:sz w:val="22"/>
          <w:szCs w:val="22"/>
          <w:lang w:eastAsia="en-US"/>
        </w:rPr>
      </w:pPr>
      <w:bookmarkStart w:id="4" w:name="_9r5actyodeu6"/>
      <w:bookmarkStart w:id="5" w:name="_Toc209264094"/>
      <w:bookmarkEnd w:id="4"/>
      <w:r w:rsidRPr="000D3195">
        <w:rPr>
          <w:rFonts w:ascii="Arial" w:hAnsi="Arial" w:cs="Arial"/>
          <w:b/>
          <w:bCs/>
          <w:color w:val="auto"/>
          <w:sz w:val="22"/>
          <w:szCs w:val="22"/>
        </w:rPr>
        <w:t>1.2 Rationale</w:t>
      </w:r>
      <w:bookmarkEnd w:id="5"/>
    </w:p>
    <w:p w14:paraId="0F22409A" w14:textId="77777777" w:rsidR="00E56BB2" w:rsidRDefault="00E56BB2" w:rsidP="00E56BB2">
      <w:pPr>
        <w:rPr>
          <w:lang w:eastAsia="en-US"/>
        </w:rPr>
      </w:pPr>
      <w:r>
        <w:rPr>
          <w:lang w:eastAsia="en-US"/>
        </w:rPr>
        <w:t xml:space="preserve">Learning disabilities are a serious health issue among UK adults. The UK has a high rate of low-paid work for many working-age adults with learning disabilities. It has been found that only 2.16% of adults with learning disabilities are in paid employment (Mencap, 2024).  In the meantime, 86% of the non-working people with learning disabilities express their desire to work (Mencap, 2024). These rates are significantly lower than those of the general population, representing a substantial gap in employment. These low employment rates shrink financial autonomy, social integration and may deteriorate mental health and life quality. Examining the barriers can assist in formulating policies, helping the services and employer practices to enhance inclusion and outcomes.  </w:t>
      </w:r>
    </w:p>
    <w:p w14:paraId="3014FE95" w14:textId="7CB389CA" w:rsidR="00E56BB2" w:rsidRDefault="00E56BB2" w:rsidP="00E56BB2">
      <w:pPr>
        <w:jc w:val="center"/>
        <w:rPr>
          <w:lang w:eastAsia="en-US"/>
        </w:rPr>
      </w:pPr>
      <w:r>
        <w:rPr>
          <w:noProof/>
          <w:lang w:eastAsia="en-US"/>
        </w:rPr>
        <w:drawing>
          <wp:inline distT="0" distB="0" distL="0" distR="0" wp14:anchorId="73EDAA86" wp14:editId="0EBA1740">
            <wp:extent cx="3302000" cy="2679700"/>
            <wp:effectExtent l="19050" t="19050" r="12700" b="25400"/>
            <wp:docPr id="1991763539" name="Picture 1" descr="A green circle with a purple triangle and a purple triang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763539" name="Picture 1" descr="A green circle with a purple triangle and a purple triangle&#10;&#10;AI-generated content may be incorrect."/>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302000" cy="2679700"/>
                    </a:xfrm>
                    <a:prstGeom prst="rect">
                      <a:avLst/>
                    </a:prstGeom>
                    <a:noFill/>
                    <a:ln w="12700" cmpd="sng">
                      <a:solidFill>
                        <a:srgbClr val="000000"/>
                      </a:solidFill>
                      <a:miter lim="800000"/>
                      <a:headEnd/>
                      <a:tailEnd/>
                    </a:ln>
                    <a:effectLst/>
                  </pic:spPr>
                </pic:pic>
              </a:graphicData>
            </a:graphic>
          </wp:inline>
        </w:drawing>
      </w:r>
    </w:p>
    <w:p w14:paraId="30775B2B" w14:textId="77777777" w:rsidR="00E56BB2" w:rsidRDefault="00E56BB2" w:rsidP="00E56BB2">
      <w:pPr>
        <w:jc w:val="center"/>
        <w:rPr>
          <w:b/>
          <w:lang w:eastAsia="en-US"/>
        </w:rPr>
      </w:pPr>
      <w:r>
        <w:rPr>
          <w:b/>
          <w:lang w:eastAsia="en-US"/>
        </w:rPr>
        <w:t>Figure 1: Learning disabilities of UK adults</w:t>
      </w:r>
    </w:p>
    <w:p w14:paraId="6DF14D92" w14:textId="77777777" w:rsidR="00E56BB2" w:rsidRDefault="00E56BB2" w:rsidP="00E56BB2">
      <w:pPr>
        <w:jc w:val="center"/>
        <w:rPr>
          <w:lang w:eastAsia="en-US"/>
        </w:rPr>
      </w:pPr>
      <w:r>
        <w:rPr>
          <w:lang w:eastAsia="en-US"/>
        </w:rPr>
        <w:t>(Source: Mencap, 2024)</w:t>
      </w:r>
    </w:p>
    <w:p w14:paraId="5D39C8C8" w14:textId="77777777" w:rsidR="00E56BB2" w:rsidRDefault="00E56BB2" w:rsidP="00E56BB2">
      <w:pPr>
        <w:jc w:val="center"/>
        <w:rPr>
          <w:lang w:eastAsia="en-US"/>
        </w:rPr>
      </w:pPr>
    </w:p>
    <w:p w14:paraId="0CD88C7B" w14:textId="77777777" w:rsidR="00E56BB2" w:rsidRPr="000D3195" w:rsidRDefault="00E56BB2" w:rsidP="00E56BB2">
      <w:pPr>
        <w:pStyle w:val="Heading2"/>
        <w:rPr>
          <w:rFonts w:ascii="Arial" w:hAnsi="Arial" w:cs="Arial"/>
          <w:b/>
          <w:bCs/>
          <w:color w:val="auto"/>
          <w:sz w:val="22"/>
          <w:szCs w:val="22"/>
          <w:lang w:eastAsia="en-US"/>
        </w:rPr>
      </w:pPr>
      <w:bookmarkStart w:id="6" w:name="_sb3zqqfgvh3b"/>
      <w:bookmarkStart w:id="7" w:name="_Toc209264095"/>
      <w:bookmarkEnd w:id="6"/>
      <w:r w:rsidRPr="000D3195">
        <w:rPr>
          <w:rFonts w:ascii="Arial" w:hAnsi="Arial" w:cs="Arial"/>
          <w:b/>
          <w:bCs/>
          <w:color w:val="auto"/>
          <w:sz w:val="22"/>
          <w:szCs w:val="22"/>
        </w:rPr>
        <w:lastRenderedPageBreak/>
        <w:t>1.3 Review Question</w:t>
      </w:r>
      <w:bookmarkEnd w:id="7"/>
    </w:p>
    <w:p w14:paraId="6A920CC5" w14:textId="77777777" w:rsidR="00E56BB2" w:rsidRDefault="00E56BB2" w:rsidP="00E56BB2">
      <w:pPr>
        <w:rPr>
          <w:lang w:eastAsia="en-US"/>
        </w:rPr>
      </w:pPr>
      <w:r>
        <w:rPr>
          <w:lang w:eastAsia="en-US"/>
        </w:rPr>
        <w:t>What are the key themes in the employment barriers faced by adults with learning disabilities in the UK as identified by existing peer-reviewed qualitative literature?</w:t>
      </w:r>
    </w:p>
    <w:p w14:paraId="0000C35A" w14:textId="77777777" w:rsidR="00E56BB2" w:rsidRPr="000D3195" w:rsidRDefault="00E56BB2" w:rsidP="00E56BB2">
      <w:pPr>
        <w:pStyle w:val="Heading2"/>
        <w:rPr>
          <w:rFonts w:ascii="Arial" w:hAnsi="Arial" w:cs="Arial"/>
          <w:b/>
          <w:bCs/>
          <w:color w:val="auto"/>
          <w:sz w:val="22"/>
          <w:szCs w:val="22"/>
          <w:lang w:eastAsia="en-US"/>
        </w:rPr>
      </w:pPr>
      <w:bookmarkStart w:id="8" w:name="_q29djtr87l72"/>
      <w:bookmarkStart w:id="9" w:name="_Toc209264096"/>
      <w:bookmarkEnd w:id="8"/>
      <w:r w:rsidRPr="000D3195">
        <w:rPr>
          <w:rFonts w:ascii="Arial" w:hAnsi="Arial" w:cs="Arial"/>
          <w:b/>
          <w:bCs/>
          <w:color w:val="auto"/>
          <w:sz w:val="22"/>
          <w:szCs w:val="22"/>
        </w:rPr>
        <w:t>1.4 Aim and Objectives</w:t>
      </w:r>
      <w:bookmarkEnd w:id="9"/>
      <w:r w:rsidRPr="000D3195">
        <w:rPr>
          <w:rFonts w:ascii="Arial" w:hAnsi="Arial" w:cs="Arial"/>
          <w:b/>
          <w:bCs/>
          <w:color w:val="auto"/>
          <w:sz w:val="22"/>
          <w:szCs w:val="22"/>
        </w:rPr>
        <w:t xml:space="preserve"> </w:t>
      </w:r>
    </w:p>
    <w:p w14:paraId="385308BF" w14:textId="77777777" w:rsidR="00E56BB2" w:rsidRDefault="00E56BB2" w:rsidP="00E56BB2">
      <w:pPr>
        <w:rPr>
          <w:lang w:eastAsia="en-US"/>
        </w:rPr>
      </w:pPr>
      <w:r>
        <w:rPr>
          <w:lang w:eastAsia="en-US"/>
        </w:rPr>
        <w:t>The primary aim of the systematic review is to map existing research on employment barriers faced by adults with learning disabilities in the UK using a scoping review approach. This will:</w:t>
      </w:r>
    </w:p>
    <w:p w14:paraId="648351F1" w14:textId="77777777" w:rsidR="00E56BB2" w:rsidRDefault="00E56BB2" w:rsidP="00E56BB2">
      <w:pPr>
        <w:numPr>
          <w:ilvl w:val="0"/>
          <w:numId w:val="1"/>
        </w:numPr>
        <w:rPr>
          <w:lang w:eastAsia="en-US"/>
        </w:rPr>
      </w:pPr>
      <w:r>
        <w:rPr>
          <w:lang w:eastAsia="en-US"/>
        </w:rPr>
        <w:t>To identify and categorise key themes within the literature relating to barriers to employment.</w:t>
      </w:r>
    </w:p>
    <w:p w14:paraId="1CEB67EA" w14:textId="77777777" w:rsidR="00E56BB2" w:rsidRDefault="00E56BB2" w:rsidP="00E56BB2">
      <w:pPr>
        <w:numPr>
          <w:ilvl w:val="0"/>
          <w:numId w:val="1"/>
        </w:numPr>
        <w:rPr>
          <w:lang w:eastAsia="en-US"/>
        </w:rPr>
      </w:pPr>
      <w:r>
        <w:rPr>
          <w:lang w:eastAsia="en-US"/>
        </w:rPr>
        <w:t>To highlight evidence gaps for future research in employment and disability inclusion.</w:t>
      </w:r>
    </w:p>
    <w:p w14:paraId="0DFE3BED" w14:textId="77777777" w:rsidR="00E56BB2" w:rsidRDefault="00E56BB2" w:rsidP="00E56BB2">
      <w:pPr>
        <w:numPr>
          <w:ilvl w:val="0"/>
          <w:numId w:val="1"/>
        </w:numPr>
        <w:rPr>
          <w:lang w:eastAsia="en-US"/>
        </w:rPr>
      </w:pPr>
      <w:r>
        <w:rPr>
          <w:lang w:eastAsia="en-US"/>
        </w:rPr>
        <w:t>To provide insights into practical applications within social care and employment policy in the UK.</w:t>
      </w:r>
    </w:p>
    <w:p w14:paraId="6D4DA440" w14:textId="77777777" w:rsidR="00E56BB2" w:rsidRDefault="00E56BB2" w:rsidP="00E56BB2">
      <w:pPr>
        <w:spacing w:before="100" w:beforeAutospacing="1" w:after="100" w:afterAutospacing="1"/>
        <w:rPr>
          <w:b/>
          <w:sz w:val="28"/>
          <w:szCs w:val="28"/>
          <w:lang w:eastAsia="en-US"/>
        </w:rPr>
      </w:pPr>
      <w:r>
        <w:br w:type="page"/>
      </w:r>
      <w:bookmarkStart w:id="10" w:name="_i5aj33wuq40a"/>
      <w:bookmarkStart w:id="11" w:name="_Toc209264097"/>
      <w:bookmarkEnd w:id="10"/>
    </w:p>
    <w:p w14:paraId="56A30B15" w14:textId="77777777" w:rsidR="00E56BB2" w:rsidRPr="000D3195" w:rsidRDefault="00E56BB2" w:rsidP="00E56BB2">
      <w:pPr>
        <w:pStyle w:val="Heading1"/>
        <w:rPr>
          <w:rFonts w:ascii="Arial" w:hAnsi="Arial" w:cs="Arial"/>
          <w:b/>
          <w:bCs/>
          <w:color w:val="auto"/>
          <w:sz w:val="22"/>
          <w:szCs w:val="22"/>
          <w:lang w:eastAsia="en-US"/>
        </w:rPr>
      </w:pPr>
      <w:r w:rsidRPr="000D3195">
        <w:rPr>
          <w:rFonts w:ascii="Arial" w:hAnsi="Arial" w:cs="Arial"/>
          <w:b/>
          <w:bCs/>
          <w:color w:val="auto"/>
          <w:sz w:val="22"/>
          <w:szCs w:val="22"/>
        </w:rPr>
        <w:lastRenderedPageBreak/>
        <w:t>2. Background</w:t>
      </w:r>
      <w:bookmarkEnd w:id="11"/>
    </w:p>
    <w:p w14:paraId="47ED0AC2" w14:textId="77777777" w:rsidR="00E56BB2" w:rsidRPr="000D3195" w:rsidRDefault="00E56BB2" w:rsidP="00E56BB2">
      <w:pPr>
        <w:pStyle w:val="Heading2"/>
        <w:rPr>
          <w:rFonts w:ascii="Arial" w:hAnsi="Arial" w:cs="Arial"/>
          <w:b/>
          <w:bCs/>
          <w:color w:val="auto"/>
          <w:sz w:val="22"/>
          <w:szCs w:val="22"/>
        </w:rPr>
      </w:pPr>
      <w:bookmarkStart w:id="12" w:name="_mjl14ytpk8ir"/>
      <w:bookmarkStart w:id="13" w:name="_Toc209264098"/>
      <w:bookmarkEnd w:id="12"/>
      <w:r w:rsidRPr="000D3195">
        <w:rPr>
          <w:rFonts w:ascii="Arial" w:hAnsi="Arial" w:cs="Arial"/>
          <w:b/>
          <w:bCs/>
          <w:color w:val="auto"/>
          <w:sz w:val="22"/>
          <w:szCs w:val="22"/>
        </w:rPr>
        <w:t>2.1 Current Policies and Legislation</w:t>
      </w:r>
      <w:bookmarkEnd w:id="13"/>
    </w:p>
    <w:p w14:paraId="6BC27E0E" w14:textId="77777777" w:rsidR="00E56BB2" w:rsidRDefault="00E56BB2" w:rsidP="00E56BB2">
      <w:pPr>
        <w:rPr>
          <w:lang w:eastAsia="en-US"/>
        </w:rPr>
      </w:pPr>
      <w:r>
        <w:rPr>
          <w:lang w:eastAsia="en-US"/>
        </w:rPr>
        <w:t>The primary legislation that safeguards disabled individuals in the UK is the</w:t>
      </w:r>
      <w:r>
        <w:rPr>
          <w:b/>
          <w:lang w:eastAsia="en-US"/>
        </w:rPr>
        <w:t xml:space="preserve"> </w:t>
      </w:r>
      <w:r w:rsidRPr="000D3195">
        <w:rPr>
          <w:bCs/>
          <w:lang w:eastAsia="en-US"/>
        </w:rPr>
        <w:t>Equality Act 2010</w:t>
      </w:r>
      <w:r>
        <w:rPr>
          <w:lang w:eastAsia="en-US"/>
        </w:rPr>
        <w:t xml:space="preserve">. It criminalises the activities of employers who discriminate against people with disabilities during hiring, pay, promotion, training and firing (GOV.UK, 2025). It also demands that employers carry out reasonable adjustments in such a way that disabled employees do not have an unfair advantage over non-disabled individuals. The United Kingdom is a signatory to the </w:t>
      </w:r>
      <w:r w:rsidRPr="002D3979">
        <w:rPr>
          <w:bCs/>
          <w:lang w:eastAsia="en-US"/>
        </w:rPr>
        <w:t>United Nations Convention on the Rights of Persons with Disability (UN CRPD),</w:t>
      </w:r>
      <w:r>
        <w:rPr>
          <w:lang w:eastAsia="en-US"/>
        </w:rPr>
        <w:t xml:space="preserve"> which is an international treaty (United Nations, 2025). The UK, under this treaty, has undertaken to do away with discrimination against disabled people as a way of providing an equal opportunity, accessibility and integrated employment practices.</w:t>
      </w:r>
    </w:p>
    <w:p w14:paraId="1F6AC72A" w14:textId="77777777" w:rsidR="00E56BB2" w:rsidRDefault="00E56BB2" w:rsidP="00E56BB2">
      <w:pPr>
        <w:rPr>
          <w:lang w:eastAsia="en-US"/>
        </w:rPr>
      </w:pPr>
      <w:r>
        <w:rPr>
          <w:lang w:eastAsia="en-US"/>
        </w:rPr>
        <w:t xml:space="preserve">Supported employment also has government programmes. For example, locally supported employment programmes funded by the UK government provide one-to-one support, vocational profiling, job coaches and in-work support to enable individuals with learning disabilities to acquire and maintain employment (Remillard </w:t>
      </w:r>
      <w:r>
        <w:rPr>
          <w:i/>
          <w:lang w:eastAsia="en-US"/>
        </w:rPr>
        <w:t>et al.</w:t>
      </w:r>
      <w:r>
        <w:rPr>
          <w:lang w:eastAsia="en-US"/>
        </w:rPr>
        <w:t>, 2022). The significance of these laws and policies is that they establish lawful privileges, delineate obligations on the part of the employer and schemes for cutting down work obstacles. They also serve to assist in leading the thematic classification of what obstacles remain in play.</w:t>
      </w:r>
    </w:p>
    <w:p w14:paraId="5E675545" w14:textId="77777777" w:rsidR="00E56BB2" w:rsidRPr="000D3195" w:rsidRDefault="00E56BB2" w:rsidP="00E56BB2">
      <w:pPr>
        <w:pStyle w:val="Heading2"/>
        <w:rPr>
          <w:rFonts w:ascii="Arial" w:hAnsi="Arial" w:cs="Arial"/>
          <w:b/>
          <w:bCs/>
          <w:color w:val="auto"/>
          <w:sz w:val="22"/>
          <w:szCs w:val="22"/>
          <w:lang w:eastAsia="en-US"/>
        </w:rPr>
      </w:pPr>
      <w:bookmarkStart w:id="14" w:name="_b7ac4m6q8eks"/>
      <w:bookmarkStart w:id="15" w:name="_Toc209264099"/>
      <w:bookmarkEnd w:id="14"/>
      <w:r w:rsidRPr="000D3195">
        <w:rPr>
          <w:rFonts w:ascii="Arial" w:hAnsi="Arial" w:cs="Arial"/>
          <w:b/>
          <w:bCs/>
          <w:color w:val="auto"/>
          <w:sz w:val="22"/>
          <w:szCs w:val="22"/>
        </w:rPr>
        <w:t>2.2 Existing Services and Practice</w:t>
      </w:r>
      <w:bookmarkEnd w:id="15"/>
    </w:p>
    <w:p w14:paraId="3D3F2F0E" w14:textId="393064E9" w:rsidR="00E56BB2" w:rsidRDefault="00E56BB2" w:rsidP="00E56BB2">
      <w:pPr>
        <w:rPr>
          <w:lang w:eastAsia="en-US"/>
        </w:rPr>
      </w:pPr>
      <w:r>
        <w:rPr>
          <w:lang w:eastAsia="en-US"/>
        </w:rPr>
        <w:t xml:space="preserve">There are supported employment programmes organised by charities and local authorities. For instance, </w:t>
      </w:r>
      <w:r w:rsidRPr="000D3195">
        <w:rPr>
          <w:bCs/>
          <w:lang w:eastAsia="en-US"/>
        </w:rPr>
        <w:t>Mencap</w:t>
      </w:r>
      <w:r>
        <w:rPr>
          <w:b/>
          <w:lang w:eastAsia="en-US"/>
        </w:rPr>
        <w:t xml:space="preserve"> </w:t>
      </w:r>
      <w:r>
        <w:rPr>
          <w:lang w:eastAsia="en-US"/>
        </w:rPr>
        <w:t xml:space="preserve">operates an employment agency that provides adults with learning disabilities an opportunity to learn how to find jobs, receive remuneration, be safe in the work environment, and get to work, and how to receive workplace support (Mencap, 2024). Additionally, there are schemes of local councils. The </w:t>
      </w:r>
      <w:r w:rsidRPr="000D3195">
        <w:rPr>
          <w:bCs/>
          <w:lang w:eastAsia="en-US"/>
        </w:rPr>
        <w:t>Local Supported Employment (LSE)</w:t>
      </w:r>
      <w:r>
        <w:rPr>
          <w:lang w:eastAsia="en-US"/>
        </w:rPr>
        <w:t xml:space="preserve"> initiative operates in Norfolk County Council to offer job coaches, vocational profiling and post-transition workplace support. The </w:t>
      </w:r>
      <w:r w:rsidRPr="000D3195">
        <w:rPr>
          <w:bCs/>
          <w:lang w:eastAsia="en-US"/>
        </w:rPr>
        <w:t>West London Alliance</w:t>
      </w:r>
      <w:r>
        <w:rPr>
          <w:lang w:eastAsia="en-US"/>
        </w:rPr>
        <w:t xml:space="preserve"> is an organisation that assists young adults aged 17-25 years old with learning disabilities and autism to </w:t>
      </w:r>
      <w:r w:rsidR="000D3195">
        <w:rPr>
          <w:lang w:eastAsia="en-US"/>
        </w:rPr>
        <w:t>enter</w:t>
      </w:r>
      <w:r>
        <w:rPr>
          <w:lang w:eastAsia="en-US"/>
        </w:rPr>
        <w:t xml:space="preserve"> apprenticeships, internships and paid employment (WLA, 2024). This provides in-work support, collaborates with employers to create more inclusive workplaces and offers job coaching.  The charities, like</w:t>
      </w:r>
      <w:r>
        <w:rPr>
          <w:b/>
          <w:lang w:eastAsia="en-US"/>
        </w:rPr>
        <w:t xml:space="preserve"> </w:t>
      </w:r>
      <w:r w:rsidRPr="000D3195">
        <w:rPr>
          <w:bCs/>
          <w:lang w:eastAsia="en-US"/>
        </w:rPr>
        <w:t>Scope UK</w:t>
      </w:r>
      <w:r>
        <w:rPr>
          <w:lang w:eastAsia="en-US"/>
        </w:rPr>
        <w:t xml:space="preserve">, provide online and physical assistance. As an example, writing CVs, sharpening interview skills, and providing online training services at Scope (Scope, 2022). Social enterprises such as </w:t>
      </w:r>
      <w:r w:rsidRPr="000D3195">
        <w:rPr>
          <w:bCs/>
          <w:lang w:eastAsia="en-US"/>
        </w:rPr>
        <w:t>Unity Works</w:t>
      </w:r>
      <w:r>
        <w:rPr>
          <w:lang w:eastAsia="en-US"/>
        </w:rPr>
        <w:t xml:space="preserve"> conduct personalised vocational profiling </w:t>
      </w:r>
      <w:proofErr w:type="gramStart"/>
      <w:r>
        <w:rPr>
          <w:lang w:eastAsia="en-US"/>
        </w:rPr>
        <w:t>in order to</w:t>
      </w:r>
      <w:proofErr w:type="gramEnd"/>
      <w:r>
        <w:rPr>
          <w:lang w:eastAsia="en-US"/>
        </w:rPr>
        <w:t xml:space="preserve"> find matching skills of individuals, needs assessment, provision of work experience and continuous support to sustain a job.</w:t>
      </w:r>
    </w:p>
    <w:p w14:paraId="3BFCF0A5" w14:textId="77777777" w:rsidR="00E56BB2" w:rsidRPr="00C10840" w:rsidRDefault="00E56BB2" w:rsidP="00E56BB2">
      <w:pPr>
        <w:pStyle w:val="Heading2"/>
        <w:rPr>
          <w:rFonts w:ascii="Arial" w:hAnsi="Arial" w:cs="Arial"/>
          <w:b/>
          <w:bCs/>
          <w:color w:val="auto"/>
          <w:sz w:val="22"/>
          <w:szCs w:val="22"/>
          <w:lang w:eastAsia="en-US"/>
        </w:rPr>
      </w:pPr>
      <w:bookmarkStart w:id="16" w:name="_vci8g3fomd3w"/>
      <w:bookmarkStart w:id="17" w:name="_Toc209264100"/>
      <w:bookmarkEnd w:id="16"/>
      <w:r w:rsidRPr="00C10840">
        <w:rPr>
          <w:rFonts w:ascii="Arial" w:hAnsi="Arial" w:cs="Arial"/>
          <w:b/>
          <w:bCs/>
          <w:color w:val="auto"/>
          <w:sz w:val="22"/>
          <w:szCs w:val="22"/>
        </w:rPr>
        <w:lastRenderedPageBreak/>
        <w:t>2.3 Key Challenges and Issues</w:t>
      </w:r>
      <w:bookmarkEnd w:id="17"/>
    </w:p>
    <w:p w14:paraId="71A8CB7F" w14:textId="76654FAA" w:rsidR="00E56BB2" w:rsidRDefault="00E56BB2" w:rsidP="00E56BB2">
      <w:pPr>
        <w:rPr>
          <w:lang w:eastAsia="en-US"/>
        </w:rPr>
      </w:pPr>
      <w:r>
        <w:rPr>
          <w:lang w:eastAsia="en-US"/>
        </w:rPr>
        <w:t xml:space="preserve">In the UK, there are numerous barriers and discrepancies </w:t>
      </w:r>
      <w:r w:rsidR="00C10840">
        <w:rPr>
          <w:lang w:eastAsia="en-US"/>
        </w:rPr>
        <w:t>in</w:t>
      </w:r>
      <w:r>
        <w:rPr>
          <w:lang w:eastAsia="en-US"/>
        </w:rPr>
        <w:t xml:space="preserve"> employment among adults with learning disabilities. The low rate of employment as compared to that of the general population is the </w:t>
      </w:r>
      <w:r w:rsidRPr="00C10840">
        <w:rPr>
          <w:bCs/>
          <w:lang w:eastAsia="en-US"/>
        </w:rPr>
        <w:t>Primary challenge</w:t>
      </w:r>
      <w:r>
        <w:rPr>
          <w:lang w:eastAsia="en-US"/>
        </w:rPr>
        <w:t xml:space="preserve"> (Basta </w:t>
      </w:r>
      <w:r>
        <w:rPr>
          <w:i/>
          <w:lang w:eastAsia="en-US"/>
        </w:rPr>
        <w:t>et al.</w:t>
      </w:r>
      <w:r>
        <w:rPr>
          <w:lang w:eastAsia="en-US"/>
        </w:rPr>
        <w:t xml:space="preserve">, 2022). As a result, there is a very small percentage of adults with learning disabilities in paid employment. This demonstrates that the legislation is not sufficient to transform practice. The </w:t>
      </w:r>
      <w:r w:rsidRPr="00C10840">
        <w:rPr>
          <w:bCs/>
          <w:lang w:eastAsia="en-US"/>
        </w:rPr>
        <w:t>second challenge</w:t>
      </w:r>
      <w:r>
        <w:rPr>
          <w:lang w:eastAsia="en-US"/>
        </w:rPr>
        <w:t xml:space="preserve"> is that </w:t>
      </w:r>
      <w:r w:rsidR="00C10840">
        <w:rPr>
          <w:lang w:eastAsia="en-US"/>
        </w:rPr>
        <w:t>many</w:t>
      </w:r>
      <w:r>
        <w:rPr>
          <w:lang w:eastAsia="en-US"/>
        </w:rPr>
        <w:t xml:space="preserve"> employers do not know how to accommodate learning disabled workers. This leads to discrimination, poor attitudes, and poor workplace modifications. The </w:t>
      </w:r>
      <w:r w:rsidRPr="00C10840">
        <w:rPr>
          <w:bCs/>
          <w:lang w:eastAsia="en-US"/>
        </w:rPr>
        <w:t>third challenge</w:t>
      </w:r>
      <w:r>
        <w:rPr>
          <w:lang w:eastAsia="en-US"/>
        </w:rPr>
        <w:t xml:space="preserve"> is that the experiences of adults with learning disabilities are also not well understood (Deb </w:t>
      </w:r>
      <w:r>
        <w:rPr>
          <w:i/>
          <w:lang w:eastAsia="en-US"/>
        </w:rPr>
        <w:t>et al.</w:t>
      </w:r>
      <w:r>
        <w:rPr>
          <w:lang w:eastAsia="en-US"/>
        </w:rPr>
        <w:t xml:space="preserve">, 2022). Moreover, </w:t>
      </w:r>
      <w:r w:rsidR="00C10840">
        <w:rPr>
          <w:lang w:eastAsia="en-US"/>
        </w:rPr>
        <w:t>most</w:t>
      </w:r>
      <w:r>
        <w:rPr>
          <w:lang w:eastAsia="en-US"/>
        </w:rPr>
        <w:t xml:space="preserve"> studies are small and qualitative, with little research carried out on long-term employment. These pitfalls are the reason why a scoping review is required. Through mapping the barriers in studies and the identification of themes, useful policy, research, and practice knowledge can be developed to enhance employment inclusion.</w:t>
      </w:r>
    </w:p>
    <w:p w14:paraId="7393B401" w14:textId="77777777" w:rsidR="00E56BB2" w:rsidRDefault="00E56BB2" w:rsidP="00E56BB2">
      <w:pPr>
        <w:spacing w:before="100" w:beforeAutospacing="1" w:after="100" w:afterAutospacing="1"/>
        <w:rPr>
          <w:b/>
          <w:sz w:val="28"/>
          <w:szCs w:val="28"/>
          <w:lang w:eastAsia="en-US"/>
        </w:rPr>
      </w:pPr>
      <w:r>
        <w:br w:type="page"/>
      </w:r>
      <w:bookmarkStart w:id="18" w:name="_glxi3cpz5bmx"/>
      <w:bookmarkStart w:id="19" w:name="_Toc209264101"/>
      <w:bookmarkEnd w:id="18"/>
    </w:p>
    <w:p w14:paraId="046D87B9" w14:textId="77777777" w:rsidR="00E56BB2" w:rsidRPr="00C10840" w:rsidRDefault="00E56BB2" w:rsidP="00E56BB2">
      <w:pPr>
        <w:pStyle w:val="Heading1"/>
        <w:rPr>
          <w:rFonts w:ascii="Arial" w:hAnsi="Arial" w:cs="Arial"/>
          <w:b/>
          <w:bCs/>
          <w:color w:val="auto"/>
          <w:sz w:val="22"/>
          <w:szCs w:val="22"/>
          <w:lang w:eastAsia="en-US"/>
        </w:rPr>
      </w:pPr>
      <w:r w:rsidRPr="00C10840">
        <w:rPr>
          <w:rFonts w:ascii="Arial" w:hAnsi="Arial" w:cs="Arial"/>
          <w:b/>
          <w:bCs/>
          <w:color w:val="auto"/>
          <w:sz w:val="22"/>
          <w:szCs w:val="22"/>
        </w:rPr>
        <w:lastRenderedPageBreak/>
        <w:t>3. Methods</w:t>
      </w:r>
      <w:bookmarkEnd w:id="19"/>
    </w:p>
    <w:p w14:paraId="78FC7355" w14:textId="77777777" w:rsidR="00E56BB2" w:rsidRPr="00C10840" w:rsidRDefault="00E56BB2" w:rsidP="00E56BB2">
      <w:pPr>
        <w:pStyle w:val="Heading2"/>
        <w:rPr>
          <w:rFonts w:ascii="Arial" w:hAnsi="Arial" w:cs="Arial"/>
          <w:b/>
          <w:bCs/>
          <w:color w:val="auto"/>
          <w:sz w:val="22"/>
          <w:szCs w:val="22"/>
        </w:rPr>
      </w:pPr>
      <w:bookmarkStart w:id="20" w:name="_btloysx3dlzd"/>
      <w:bookmarkStart w:id="21" w:name="_Toc209264102"/>
      <w:bookmarkEnd w:id="20"/>
      <w:r w:rsidRPr="00C10840">
        <w:rPr>
          <w:rFonts w:ascii="Arial" w:hAnsi="Arial" w:cs="Arial"/>
          <w:b/>
          <w:bCs/>
          <w:color w:val="auto"/>
          <w:sz w:val="22"/>
          <w:szCs w:val="22"/>
        </w:rPr>
        <w:t>3.1 Data Collection Approach</w:t>
      </w:r>
      <w:bookmarkEnd w:id="21"/>
    </w:p>
    <w:p w14:paraId="07E18DC0" w14:textId="77777777" w:rsidR="00E56BB2" w:rsidRDefault="00E56BB2" w:rsidP="00E56BB2">
      <w:pPr>
        <w:rPr>
          <w:b/>
          <w:i/>
          <w:lang w:eastAsia="en-US"/>
        </w:rPr>
      </w:pPr>
      <w:r>
        <w:rPr>
          <w:b/>
          <w:i/>
          <w:lang w:eastAsia="en-US"/>
        </w:rPr>
        <w:t>Academic database</w:t>
      </w:r>
    </w:p>
    <w:p w14:paraId="7307BA9D" w14:textId="77777777" w:rsidR="00E56BB2" w:rsidRDefault="00E56BB2" w:rsidP="00E56BB2">
      <w:pPr>
        <w:rPr>
          <w:lang w:eastAsia="en-US"/>
        </w:rPr>
      </w:pPr>
      <w:r>
        <w:rPr>
          <w:lang w:eastAsia="en-US"/>
        </w:rPr>
        <w:t xml:space="preserve">Selecting an appropriate database is necessary to collect authentic information for the research to maintain credibility (Ewald </w:t>
      </w:r>
      <w:r>
        <w:rPr>
          <w:i/>
          <w:lang w:eastAsia="en-US"/>
        </w:rPr>
        <w:t>et al.</w:t>
      </w:r>
      <w:r>
        <w:rPr>
          <w:lang w:eastAsia="en-US"/>
        </w:rPr>
        <w:t>, 2022). In this research</w:t>
      </w:r>
      <w:r w:rsidRPr="00C10840">
        <w:rPr>
          <w:lang w:eastAsia="en-US"/>
        </w:rPr>
        <w:t xml:space="preserve">, PubMed, CINAHL, PsycINFO, Scopus, Google Scholar, and the UWTSD Library </w:t>
      </w:r>
      <w:r>
        <w:rPr>
          <w:lang w:eastAsia="en-US"/>
        </w:rPr>
        <w:t>are the academic databases that were utilised in this scoping review.  These databases were selected because they contain high-quality peer-reviewed research in health, social care, psychology, and disability research, and relevant and reliable evidence. These helped to answer the review question effectively.</w:t>
      </w:r>
    </w:p>
    <w:p w14:paraId="0A8F1E43" w14:textId="77777777" w:rsidR="00E56BB2" w:rsidRDefault="00E56BB2" w:rsidP="00E56BB2">
      <w:pPr>
        <w:rPr>
          <w:b/>
          <w:i/>
          <w:lang w:eastAsia="en-US"/>
        </w:rPr>
      </w:pPr>
      <w:r>
        <w:rPr>
          <w:b/>
          <w:i/>
          <w:lang w:eastAsia="en-US"/>
        </w:rPr>
        <w:br w:type="page"/>
      </w:r>
    </w:p>
    <w:p w14:paraId="2F88A251" w14:textId="77777777" w:rsidR="00E56BB2" w:rsidRDefault="00E56BB2" w:rsidP="00E56BB2">
      <w:pPr>
        <w:rPr>
          <w:b/>
          <w:i/>
          <w:lang w:eastAsia="en-US"/>
        </w:rPr>
      </w:pPr>
      <w:r>
        <w:rPr>
          <w:b/>
          <w:i/>
          <w:lang w:eastAsia="en-US"/>
        </w:rPr>
        <w:lastRenderedPageBreak/>
        <w:t>Keywords</w:t>
      </w:r>
    </w:p>
    <w:p w14:paraId="27C7DD30" w14:textId="77777777" w:rsidR="00E56BB2" w:rsidRDefault="00E56BB2" w:rsidP="00E56BB2">
      <w:pPr>
        <w:rPr>
          <w:lang w:eastAsia="en-US"/>
        </w:rPr>
      </w:pPr>
      <w:r>
        <w:rPr>
          <w:lang w:eastAsia="en-US"/>
        </w:rPr>
        <w:t>The Boolean Operators technique was used to collect appropriate information regarding the research, which is discussed in the table below.</w:t>
      </w:r>
    </w:p>
    <w:p w14:paraId="397D3329" w14:textId="77777777" w:rsidR="00E56BB2" w:rsidRDefault="00E56BB2" w:rsidP="00E56BB2">
      <w:pPr>
        <w:rPr>
          <w:lang w:eastAsia="en-US"/>
        </w:rPr>
      </w:pPr>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34"/>
        <w:gridCol w:w="3813"/>
        <w:gridCol w:w="3813"/>
      </w:tblGrid>
      <w:tr w:rsidR="00E56BB2" w14:paraId="5F3AD491" w14:textId="77777777">
        <w:tc>
          <w:tcPr>
            <w:tcW w:w="1733" w:type="dxa"/>
            <w:tcBorders>
              <w:top w:val="single" w:sz="8" w:space="0" w:color="000000"/>
              <w:left w:val="single" w:sz="8" w:space="0" w:color="000000"/>
              <w:bottom w:val="single" w:sz="8" w:space="0" w:color="000000"/>
              <w:right w:val="single" w:sz="8" w:space="0" w:color="000000"/>
            </w:tcBorders>
            <w:shd w:val="clear" w:color="auto" w:fill="E6B8AF"/>
            <w:hideMark/>
          </w:tcPr>
          <w:p w14:paraId="132072A1" w14:textId="77777777" w:rsidR="00E56BB2" w:rsidRDefault="00E56BB2">
            <w:pPr>
              <w:widowControl w:val="0"/>
              <w:jc w:val="center"/>
              <w:rPr>
                <w:b/>
                <w:lang w:eastAsia="en-US"/>
              </w:rPr>
            </w:pPr>
            <w:r>
              <w:rPr>
                <w:b/>
                <w:lang w:eastAsia="en-US"/>
              </w:rPr>
              <w:t>Concept area</w:t>
            </w:r>
          </w:p>
        </w:tc>
        <w:tc>
          <w:tcPr>
            <w:tcW w:w="3813" w:type="dxa"/>
            <w:tcBorders>
              <w:top w:val="single" w:sz="8" w:space="0" w:color="000000"/>
              <w:left w:val="single" w:sz="8" w:space="0" w:color="000000"/>
              <w:bottom w:val="single" w:sz="8" w:space="0" w:color="000000"/>
              <w:right w:val="single" w:sz="8" w:space="0" w:color="000000"/>
            </w:tcBorders>
            <w:shd w:val="clear" w:color="auto" w:fill="E6B8AF"/>
            <w:hideMark/>
          </w:tcPr>
          <w:p w14:paraId="5EDA4FF2" w14:textId="77777777" w:rsidR="00E56BB2" w:rsidRDefault="00E56BB2">
            <w:pPr>
              <w:widowControl w:val="0"/>
              <w:jc w:val="center"/>
              <w:rPr>
                <w:b/>
                <w:lang w:eastAsia="en-US"/>
              </w:rPr>
            </w:pPr>
            <w:r>
              <w:rPr>
                <w:b/>
                <w:lang w:eastAsia="en-US"/>
              </w:rPr>
              <w:t>Keywords and Search Terms</w:t>
            </w:r>
          </w:p>
        </w:tc>
        <w:tc>
          <w:tcPr>
            <w:tcW w:w="3813" w:type="dxa"/>
            <w:tcBorders>
              <w:top w:val="single" w:sz="8" w:space="0" w:color="000000"/>
              <w:left w:val="single" w:sz="8" w:space="0" w:color="000000"/>
              <w:bottom w:val="single" w:sz="8" w:space="0" w:color="000000"/>
              <w:right w:val="single" w:sz="8" w:space="0" w:color="000000"/>
            </w:tcBorders>
            <w:shd w:val="clear" w:color="auto" w:fill="E6B8AF"/>
            <w:hideMark/>
          </w:tcPr>
          <w:p w14:paraId="7839DF5C" w14:textId="77777777" w:rsidR="00E56BB2" w:rsidRDefault="00E56BB2">
            <w:pPr>
              <w:widowControl w:val="0"/>
              <w:jc w:val="center"/>
              <w:rPr>
                <w:b/>
                <w:lang w:eastAsia="en-US"/>
              </w:rPr>
            </w:pPr>
            <w:r>
              <w:rPr>
                <w:b/>
                <w:lang w:eastAsia="en-US"/>
              </w:rPr>
              <w:t>Boolean Operators examples</w:t>
            </w:r>
          </w:p>
        </w:tc>
      </w:tr>
      <w:tr w:rsidR="00E56BB2" w14:paraId="2D8F3AB7" w14:textId="77777777">
        <w:tc>
          <w:tcPr>
            <w:tcW w:w="1733" w:type="dxa"/>
            <w:tcBorders>
              <w:top w:val="single" w:sz="8" w:space="0" w:color="000000"/>
              <w:left w:val="single" w:sz="8" w:space="0" w:color="000000"/>
              <w:bottom w:val="single" w:sz="8" w:space="0" w:color="000000"/>
              <w:right w:val="single" w:sz="8" w:space="0" w:color="000000"/>
            </w:tcBorders>
            <w:shd w:val="clear" w:color="auto" w:fill="F3F3F3"/>
            <w:hideMark/>
          </w:tcPr>
          <w:p w14:paraId="6EF99A29" w14:textId="77777777" w:rsidR="00E56BB2" w:rsidRDefault="00E56BB2">
            <w:pPr>
              <w:widowControl w:val="0"/>
              <w:rPr>
                <w:lang w:eastAsia="en-US"/>
              </w:rPr>
            </w:pPr>
            <w:r>
              <w:rPr>
                <w:lang w:eastAsia="en-US"/>
              </w:rPr>
              <w:t xml:space="preserve">Population </w:t>
            </w:r>
          </w:p>
        </w:tc>
        <w:tc>
          <w:tcPr>
            <w:tcW w:w="3813" w:type="dxa"/>
            <w:tcBorders>
              <w:top w:val="single" w:sz="8" w:space="0" w:color="000000"/>
              <w:left w:val="single" w:sz="8" w:space="0" w:color="000000"/>
              <w:bottom w:val="single" w:sz="8" w:space="0" w:color="000000"/>
              <w:right w:val="single" w:sz="8" w:space="0" w:color="000000"/>
            </w:tcBorders>
            <w:shd w:val="clear" w:color="auto" w:fill="F3F3F3"/>
            <w:hideMark/>
          </w:tcPr>
          <w:p w14:paraId="789C0EC7" w14:textId="7EB0F0D6" w:rsidR="00E56BB2" w:rsidRDefault="00E56BB2">
            <w:pPr>
              <w:widowControl w:val="0"/>
              <w:rPr>
                <w:lang w:eastAsia="en-US"/>
              </w:rPr>
            </w:pPr>
            <w:r>
              <w:rPr>
                <w:lang w:eastAsia="en-US"/>
              </w:rPr>
              <w:t>“</w:t>
            </w:r>
            <w:r w:rsidR="00C10840">
              <w:rPr>
                <w:lang w:eastAsia="en-US"/>
              </w:rPr>
              <w:t>Learning</w:t>
            </w:r>
            <w:r>
              <w:rPr>
                <w:lang w:eastAsia="en-US"/>
              </w:rPr>
              <w:t xml:space="preserve"> disabilities” OR “intellectual disabilities” OR “cognitive impairment”</w:t>
            </w:r>
          </w:p>
        </w:tc>
        <w:tc>
          <w:tcPr>
            <w:tcW w:w="3813" w:type="dxa"/>
            <w:tcBorders>
              <w:top w:val="single" w:sz="8" w:space="0" w:color="000000"/>
              <w:left w:val="single" w:sz="8" w:space="0" w:color="000000"/>
              <w:bottom w:val="single" w:sz="8" w:space="0" w:color="000000"/>
              <w:right w:val="single" w:sz="8" w:space="0" w:color="000000"/>
            </w:tcBorders>
            <w:shd w:val="clear" w:color="auto" w:fill="F3F3F3"/>
            <w:hideMark/>
          </w:tcPr>
          <w:p w14:paraId="15EFDA1D" w14:textId="5477DB24" w:rsidR="00E56BB2" w:rsidRDefault="00E56BB2">
            <w:pPr>
              <w:widowControl w:val="0"/>
              <w:rPr>
                <w:lang w:eastAsia="en-US"/>
              </w:rPr>
            </w:pPr>
            <w:r>
              <w:rPr>
                <w:lang w:eastAsia="en-US"/>
              </w:rPr>
              <w:t>“</w:t>
            </w:r>
            <w:r w:rsidR="00C10840">
              <w:rPr>
                <w:lang w:eastAsia="en-US"/>
              </w:rPr>
              <w:t>Learning</w:t>
            </w:r>
            <w:r>
              <w:rPr>
                <w:lang w:eastAsia="en-US"/>
              </w:rPr>
              <w:t xml:space="preserve"> disabilities” OR “intellectual disabilities</w:t>
            </w:r>
          </w:p>
        </w:tc>
      </w:tr>
      <w:tr w:rsidR="00E56BB2" w14:paraId="5A76FFC8" w14:textId="77777777">
        <w:tc>
          <w:tcPr>
            <w:tcW w:w="1733" w:type="dxa"/>
            <w:tcBorders>
              <w:top w:val="single" w:sz="8" w:space="0" w:color="000000"/>
              <w:left w:val="single" w:sz="8" w:space="0" w:color="000000"/>
              <w:bottom w:val="single" w:sz="8" w:space="0" w:color="000000"/>
              <w:right w:val="single" w:sz="8" w:space="0" w:color="000000"/>
            </w:tcBorders>
            <w:shd w:val="clear" w:color="auto" w:fill="F3F3F3"/>
            <w:hideMark/>
          </w:tcPr>
          <w:p w14:paraId="6ACC5073" w14:textId="77777777" w:rsidR="00E56BB2" w:rsidRDefault="00E56BB2">
            <w:pPr>
              <w:widowControl w:val="0"/>
              <w:rPr>
                <w:lang w:eastAsia="en-US"/>
              </w:rPr>
            </w:pPr>
            <w:r>
              <w:rPr>
                <w:lang w:eastAsia="en-US"/>
              </w:rPr>
              <w:t xml:space="preserve">Employment </w:t>
            </w:r>
          </w:p>
        </w:tc>
        <w:tc>
          <w:tcPr>
            <w:tcW w:w="3813" w:type="dxa"/>
            <w:tcBorders>
              <w:top w:val="single" w:sz="8" w:space="0" w:color="000000"/>
              <w:left w:val="single" w:sz="8" w:space="0" w:color="000000"/>
              <w:bottom w:val="single" w:sz="8" w:space="0" w:color="000000"/>
              <w:right w:val="single" w:sz="8" w:space="0" w:color="000000"/>
            </w:tcBorders>
            <w:shd w:val="clear" w:color="auto" w:fill="F3F3F3"/>
            <w:hideMark/>
          </w:tcPr>
          <w:p w14:paraId="3B37410A" w14:textId="77777777" w:rsidR="00E56BB2" w:rsidRDefault="00E56BB2">
            <w:pPr>
              <w:widowControl w:val="0"/>
              <w:rPr>
                <w:lang w:eastAsia="en-US"/>
              </w:rPr>
            </w:pPr>
            <w:r>
              <w:rPr>
                <w:lang w:eastAsia="en-US"/>
              </w:rPr>
              <w:t>“employment” OR “workplace” OR “job opportunities” OR “recruitment”</w:t>
            </w:r>
          </w:p>
        </w:tc>
        <w:tc>
          <w:tcPr>
            <w:tcW w:w="3813" w:type="dxa"/>
            <w:tcBorders>
              <w:top w:val="single" w:sz="8" w:space="0" w:color="000000"/>
              <w:left w:val="single" w:sz="8" w:space="0" w:color="000000"/>
              <w:bottom w:val="single" w:sz="8" w:space="0" w:color="000000"/>
              <w:right w:val="single" w:sz="8" w:space="0" w:color="000000"/>
            </w:tcBorders>
            <w:shd w:val="clear" w:color="auto" w:fill="F3F3F3"/>
            <w:hideMark/>
          </w:tcPr>
          <w:p w14:paraId="51C700D0" w14:textId="77777777" w:rsidR="00E56BB2" w:rsidRDefault="00E56BB2">
            <w:pPr>
              <w:widowControl w:val="0"/>
              <w:rPr>
                <w:lang w:eastAsia="en-US"/>
              </w:rPr>
            </w:pPr>
            <w:r>
              <w:rPr>
                <w:lang w:eastAsia="en-US"/>
              </w:rPr>
              <w:t>AND “employment” OR “workplace”</w:t>
            </w:r>
          </w:p>
        </w:tc>
      </w:tr>
      <w:tr w:rsidR="00E56BB2" w14:paraId="75ED102F" w14:textId="77777777">
        <w:tc>
          <w:tcPr>
            <w:tcW w:w="1733" w:type="dxa"/>
            <w:tcBorders>
              <w:top w:val="single" w:sz="8" w:space="0" w:color="000000"/>
              <w:left w:val="single" w:sz="8" w:space="0" w:color="000000"/>
              <w:bottom w:val="single" w:sz="8" w:space="0" w:color="000000"/>
              <w:right w:val="single" w:sz="8" w:space="0" w:color="000000"/>
            </w:tcBorders>
            <w:shd w:val="clear" w:color="auto" w:fill="F3F3F3"/>
            <w:hideMark/>
          </w:tcPr>
          <w:p w14:paraId="223F7BCB" w14:textId="77777777" w:rsidR="00E56BB2" w:rsidRDefault="00E56BB2">
            <w:pPr>
              <w:widowControl w:val="0"/>
              <w:rPr>
                <w:lang w:eastAsia="en-US"/>
              </w:rPr>
            </w:pPr>
            <w:r>
              <w:rPr>
                <w:lang w:eastAsia="en-US"/>
              </w:rPr>
              <w:t xml:space="preserve">Barriers as well as challenges </w:t>
            </w:r>
          </w:p>
        </w:tc>
        <w:tc>
          <w:tcPr>
            <w:tcW w:w="3813" w:type="dxa"/>
            <w:tcBorders>
              <w:top w:val="single" w:sz="8" w:space="0" w:color="000000"/>
              <w:left w:val="single" w:sz="8" w:space="0" w:color="000000"/>
              <w:bottom w:val="single" w:sz="8" w:space="0" w:color="000000"/>
              <w:right w:val="single" w:sz="8" w:space="0" w:color="000000"/>
            </w:tcBorders>
            <w:shd w:val="clear" w:color="auto" w:fill="F3F3F3"/>
            <w:hideMark/>
          </w:tcPr>
          <w:p w14:paraId="787CCFF1" w14:textId="77777777" w:rsidR="00E56BB2" w:rsidRDefault="00E56BB2">
            <w:pPr>
              <w:widowControl w:val="0"/>
              <w:rPr>
                <w:lang w:eastAsia="en-US"/>
              </w:rPr>
            </w:pPr>
            <w:r>
              <w:rPr>
                <w:lang w:eastAsia="en-US"/>
              </w:rPr>
              <w:t>“barriers” OR “challenges” OR “obstacles” OR “discrimination”</w:t>
            </w:r>
          </w:p>
        </w:tc>
        <w:tc>
          <w:tcPr>
            <w:tcW w:w="3813" w:type="dxa"/>
            <w:tcBorders>
              <w:top w:val="single" w:sz="8" w:space="0" w:color="000000"/>
              <w:left w:val="single" w:sz="8" w:space="0" w:color="000000"/>
              <w:bottom w:val="single" w:sz="8" w:space="0" w:color="000000"/>
              <w:right w:val="single" w:sz="8" w:space="0" w:color="000000"/>
            </w:tcBorders>
            <w:shd w:val="clear" w:color="auto" w:fill="F3F3F3"/>
            <w:hideMark/>
          </w:tcPr>
          <w:p w14:paraId="67424F67" w14:textId="77777777" w:rsidR="00E56BB2" w:rsidRDefault="00E56BB2">
            <w:pPr>
              <w:widowControl w:val="0"/>
              <w:rPr>
                <w:lang w:eastAsia="en-US"/>
              </w:rPr>
            </w:pPr>
            <w:r>
              <w:rPr>
                <w:lang w:eastAsia="en-US"/>
              </w:rPr>
              <w:t>AND “barriers” OR “discrimination”</w:t>
            </w:r>
          </w:p>
        </w:tc>
      </w:tr>
      <w:tr w:rsidR="00E56BB2" w14:paraId="7CAC96E1" w14:textId="77777777">
        <w:tc>
          <w:tcPr>
            <w:tcW w:w="1733" w:type="dxa"/>
            <w:tcBorders>
              <w:top w:val="single" w:sz="8" w:space="0" w:color="000000"/>
              <w:left w:val="single" w:sz="8" w:space="0" w:color="000000"/>
              <w:bottom w:val="single" w:sz="8" w:space="0" w:color="000000"/>
              <w:right w:val="single" w:sz="8" w:space="0" w:color="000000"/>
            </w:tcBorders>
            <w:shd w:val="clear" w:color="auto" w:fill="F3F3F3"/>
            <w:hideMark/>
          </w:tcPr>
          <w:p w14:paraId="2292DF40" w14:textId="77777777" w:rsidR="00E56BB2" w:rsidRDefault="00E56BB2">
            <w:pPr>
              <w:widowControl w:val="0"/>
              <w:rPr>
                <w:lang w:eastAsia="en-US"/>
              </w:rPr>
            </w:pPr>
            <w:r>
              <w:rPr>
                <w:lang w:eastAsia="en-US"/>
              </w:rPr>
              <w:t xml:space="preserve">Location </w:t>
            </w:r>
          </w:p>
        </w:tc>
        <w:tc>
          <w:tcPr>
            <w:tcW w:w="3813" w:type="dxa"/>
            <w:tcBorders>
              <w:top w:val="single" w:sz="8" w:space="0" w:color="000000"/>
              <w:left w:val="single" w:sz="8" w:space="0" w:color="000000"/>
              <w:bottom w:val="single" w:sz="8" w:space="0" w:color="000000"/>
              <w:right w:val="single" w:sz="8" w:space="0" w:color="000000"/>
            </w:tcBorders>
            <w:shd w:val="clear" w:color="auto" w:fill="F3F3F3"/>
            <w:hideMark/>
          </w:tcPr>
          <w:p w14:paraId="778B5D9C" w14:textId="77777777" w:rsidR="00E56BB2" w:rsidRDefault="00E56BB2">
            <w:pPr>
              <w:widowControl w:val="0"/>
              <w:rPr>
                <w:lang w:eastAsia="en-US"/>
              </w:rPr>
            </w:pPr>
            <w:r>
              <w:rPr>
                <w:lang w:eastAsia="en-US"/>
              </w:rPr>
              <w:t>“United Kingdom” OR “UK” OR “Britain” OR “England” OR “Wales” OR “Scotland”</w:t>
            </w:r>
          </w:p>
        </w:tc>
        <w:tc>
          <w:tcPr>
            <w:tcW w:w="3813" w:type="dxa"/>
            <w:tcBorders>
              <w:top w:val="single" w:sz="8" w:space="0" w:color="000000"/>
              <w:left w:val="single" w:sz="8" w:space="0" w:color="000000"/>
              <w:bottom w:val="single" w:sz="8" w:space="0" w:color="000000"/>
              <w:right w:val="single" w:sz="8" w:space="0" w:color="000000"/>
            </w:tcBorders>
            <w:shd w:val="clear" w:color="auto" w:fill="F3F3F3"/>
            <w:hideMark/>
          </w:tcPr>
          <w:p w14:paraId="38930ED3" w14:textId="77777777" w:rsidR="00E56BB2" w:rsidRDefault="00E56BB2">
            <w:pPr>
              <w:widowControl w:val="0"/>
              <w:rPr>
                <w:lang w:eastAsia="en-US"/>
              </w:rPr>
            </w:pPr>
            <w:r>
              <w:rPr>
                <w:lang w:eastAsia="en-US"/>
              </w:rPr>
              <w:t>AND “United Kingdom” OR “UK”</w:t>
            </w:r>
          </w:p>
        </w:tc>
      </w:tr>
      <w:tr w:rsidR="00E56BB2" w14:paraId="783462AC" w14:textId="77777777">
        <w:tc>
          <w:tcPr>
            <w:tcW w:w="1733" w:type="dxa"/>
            <w:tcBorders>
              <w:top w:val="single" w:sz="8" w:space="0" w:color="000000"/>
              <w:left w:val="single" w:sz="8" w:space="0" w:color="000000"/>
              <w:bottom w:val="single" w:sz="8" w:space="0" w:color="000000"/>
              <w:right w:val="single" w:sz="8" w:space="0" w:color="000000"/>
            </w:tcBorders>
            <w:shd w:val="clear" w:color="auto" w:fill="F3F3F3"/>
            <w:hideMark/>
          </w:tcPr>
          <w:p w14:paraId="04253AF7" w14:textId="77777777" w:rsidR="00E56BB2" w:rsidRDefault="00E56BB2">
            <w:pPr>
              <w:widowControl w:val="0"/>
              <w:rPr>
                <w:lang w:eastAsia="en-US"/>
              </w:rPr>
            </w:pPr>
            <w:r>
              <w:rPr>
                <w:lang w:eastAsia="en-US"/>
              </w:rPr>
              <w:t xml:space="preserve">Combined search strategy </w:t>
            </w:r>
          </w:p>
        </w:tc>
        <w:tc>
          <w:tcPr>
            <w:tcW w:w="3813" w:type="dxa"/>
            <w:tcBorders>
              <w:top w:val="single" w:sz="8" w:space="0" w:color="000000"/>
              <w:left w:val="single" w:sz="8" w:space="0" w:color="000000"/>
              <w:bottom w:val="single" w:sz="8" w:space="0" w:color="000000"/>
              <w:right w:val="single" w:sz="8" w:space="0" w:color="000000"/>
            </w:tcBorders>
            <w:shd w:val="clear" w:color="auto" w:fill="F3F3F3"/>
            <w:hideMark/>
          </w:tcPr>
          <w:p w14:paraId="2353C7B6" w14:textId="77777777" w:rsidR="00E56BB2" w:rsidRDefault="00E56BB2">
            <w:pPr>
              <w:widowControl w:val="0"/>
              <w:rPr>
                <w:lang w:eastAsia="en-US"/>
              </w:rPr>
            </w:pPr>
            <w:r>
              <w:rPr>
                <w:lang w:eastAsia="en-US"/>
              </w:rPr>
              <w:t>(“learning disabilities” OR “intellectual disabilities”) AND (“employment” OR “workplace”) AND (“barriers” OR “challenges”) AND (“United Kingdom” OR “UK”)</w:t>
            </w:r>
          </w:p>
        </w:tc>
        <w:tc>
          <w:tcPr>
            <w:tcW w:w="3813" w:type="dxa"/>
            <w:tcBorders>
              <w:top w:val="single" w:sz="8" w:space="0" w:color="000000"/>
              <w:left w:val="single" w:sz="8" w:space="0" w:color="000000"/>
              <w:bottom w:val="single" w:sz="8" w:space="0" w:color="000000"/>
              <w:right w:val="single" w:sz="8" w:space="0" w:color="000000"/>
            </w:tcBorders>
            <w:shd w:val="clear" w:color="auto" w:fill="F3F3F3"/>
            <w:hideMark/>
          </w:tcPr>
          <w:p w14:paraId="60214A83" w14:textId="5BBA0BED" w:rsidR="00E56BB2" w:rsidRDefault="00E56BB2">
            <w:pPr>
              <w:widowControl w:val="0"/>
              <w:rPr>
                <w:lang w:eastAsia="en-US"/>
              </w:rPr>
            </w:pPr>
            <w:r>
              <w:rPr>
                <w:lang w:eastAsia="en-US"/>
              </w:rPr>
              <w:t xml:space="preserve">Example of a </w:t>
            </w:r>
            <w:r w:rsidR="00C10840">
              <w:rPr>
                <w:lang w:eastAsia="en-US"/>
              </w:rPr>
              <w:t>Full Boolean Search</w:t>
            </w:r>
            <w:r>
              <w:rPr>
                <w:lang w:eastAsia="en-US"/>
              </w:rPr>
              <w:t xml:space="preserve"> Strategy</w:t>
            </w:r>
          </w:p>
        </w:tc>
      </w:tr>
    </w:tbl>
    <w:p w14:paraId="0CBA4D95" w14:textId="77777777" w:rsidR="00E56BB2" w:rsidRDefault="00E56BB2" w:rsidP="00E56BB2">
      <w:pPr>
        <w:jc w:val="center"/>
        <w:rPr>
          <w:b/>
          <w:lang w:eastAsia="en-US"/>
        </w:rPr>
      </w:pPr>
      <w:r>
        <w:rPr>
          <w:b/>
          <w:lang w:eastAsia="en-US"/>
        </w:rPr>
        <w:t>Table 1: Boolean Operators technique</w:t>
      </w:r>
    </w:p>
    <w:p w14:paraId="623F1296" w14:textId="77777777" w:rsidR="00E56BB2" w:rsidRDefault="00E56BB2" w:rsidP="00E56BB2">
      <w:pPr>
        <w:jc w:val="center"/>
        <w:rPr>
          <w:lang w:eastAsia="en-US"/>
        </w:rPr>
      </w:pPr>
      <w:r>
        <w:rPr>
          <w:lang w:eastAsia="en-US"/>
        </w:rPr>
        <w:t>(Source: Author)</w:t>
      </w:r>
    </w:p>
    <w:p w14:paraId="28B8ECF2" w14:textId="77777777" w:rsidR="00E56BB2" w:rsidRDefault="00E56BB2" w:rsidP="00E56BB2">
      <w:pPr>
        <w:rPr>
          <w:b/>
          <w:i/>
          <w:lang w:eastAsia="en-US"/>
        </w:rPr>
      </w:pPr>
      <w:r>
        <w:rPr>
          <w:b/>
          <w:i/>
          <w:lang w:eastAsia="en-US"/>
        </w:rPr>
        <w:t>Inclusion and exclusion criteria</w:t>
      </w:r>
    </w:p>
    <w:p w14:paraId="5966BB55" w14:textId="77777777" w:rsidR="00E56BB2" w:rsidRDefault="00E56BB2" w:rsidP="00E56BB2">
      <w:pPr>
        <w:rPr>
          <w:lang w:eastAsia="en-US"/>
        </w:rPr>
      </w:pPr>
    </w:p>
    <w:tbl>
      <w:tblPr>
        <w:tblStyle w:val="Table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E56BB2" w14:paraId="3A5A120C" w14:textId="77777777">
        <w:tc>
          <w:tcPr>
            <w:tcW w:w="4680" w:type="dxa"/>
            <w:tcBorders>
              <w:top w:val="single" w:sz="8" w:space="0" w:color="000000"/>
              <w:left w:val="single" w:sz="8" w:space="0" w:color="000000"/>
              <w:bottom w:val="single" w:sz="8" w:space="0" w:color="000000"/>
              <w:right w:val="single" w:sz="8" w:space="0" w:color="000000"/>
            </w:tcBorders>
            <w:shd w:val="clear" w:color="auto" w:fill="FCE5CD"/>
            <w:hideMark/>
          </w:tcPr>
          <w:p w14:paraId="552D874A" w14:textId="77777777" w:rsidR="00E56BB2" w:rsidRDefault="00E56BB2">
            <w:pPr>
              <w:widowControl w:val="0"/>
              <w:jc w:val="center"/>
              <w:rPr>
                <w:b/>
                <w:lang w:eastAsia="en-US"/>
              </w:rPr>
            </w:pPr>
            <w:r>
              <w:rPr>
                <w:b/>
                <w:lang w:eastAsia="en-US"/>
              </w:rPr>
              <w:t xml:space="preserve">Inclusion criteria </w:t>
            </w:r>
          </w:p>
        </w:tc>
        <w:tc>
          <w:tcPr>
            <w:tcW w:w="4680" w:type="dxa"/>
            <w:tcBorders>
              <w:top w:val="single" w:sz="8" w:space="0" w:color="000000"/>
              <w:left w:val="single" w:sz="8" w:space="0" w:color="000000"/>
              <w:bottom w:val="single" w:sz="8" w:space="0" w:color="000000"/>
              <w:right w:val="single" w:sz="8" w:space="0" w:color="000000"/>
            </w:tcBorders>
            <w:shd w:val="clear" w:color="auto" w:fill="FCE5CD"/>
            <w:hideMark/>
          </w:tcPr>
          <w:p w14:paraId="4EAC12CD" w14:textId="77777777" w:rsidR="00E56BB2" w:rsidRDefault="00E56BB2">
            <w:pPr>
              <w:widowControl w:val="0"/>
              <w:jc w:val="center"/>
              <w:rPr>
                <w:b/>
                <w:lang w:eastAsia="en-US"/>
              </w:rPr>
            </w:pPr>
            <w:r>
              <w:rPr>
                <w:b/>
                <w:lang w:eastAsia="en-US"/>
              </w:rPr>
              <w:t xml:space="preserve">Exclusion criteria </w:t>
            </w:r>
          </w:p>
        </w:tc>
      </w:tr>
      <w:tr w:rsidR="00E56BB2" w14:paraId="32275D63" w14:textId="77777777">
        <w:tc>
          <w:tcPr>
            <w:tcW w:w="4680" w:type="dxa"/>
            <w:tcBorders>
              <w:top w:val="single" w:sz="8" w:space="0" w:color="000000"/>
              <w:left w:val="single" w:sz="8" w:space="0" w:color="000000"/>
              <w:bottom w:val="single" w:sz="8" w:space="0" w:color="000000"/>
              <w:right w:val="single" w:sz="8" w:space="0" w:color="000000"/>
            </w:tcBorders>
            <w:shd w:val="clear" w:color="auto" w:fill="F3F3F3"/>
            <w:hideMark/>
          </w:tcPr>
          <w:p w14:paraId="2C732C74" w14:textId="77777777" w:rsidR="00E56BB2" w:rsidRDefault="00E56BB2">
            <w:pPr>
              <w:widowControl w:val="0"/>
              <w:rPr>
                <w:lang w:eastAsia="en-US"/>
              </w:rPr>
            </w:pPr>
            <w:r>
              <w:rPr>
                <w:lang w:eastAsia="en-US"/>
              </w:rPr>
              <w:t xml:space="preserve">Peer-reviewed journals </w:t>
            </w:r>
          </w:p>
        </w:tc>
        <w:tc>
          <w:tcPr>
            <w:tcW w:w="4680" w:type="dxa"/>
            <w:tcBorders>
              <w:top w:val="single" w:sz="8" w:space="0" w:color="000000"/>
              <w:left w:val="single" w:sz="8" w:space="0" w:color="000000"/>
              <w:bottom w:val="single" w:sz="8" w:space="0" w:color="000000"/>
              <w:right w:val="single" w:sz="8" w:space="0" w:color="000000"/>
            </w:tcBorders>
            <w:shd w:val="clear" w:color="auto" w:fill="F3F3F3"/>
            <w:hideMark/>
          </w:tcPr>
          <w:p w14:paraId="597D2CAA" w14:textId="77777777" w:rsidR="00E56BB2" w:rsidRDefault="00E56BB2">
            <w:pPr>
              <w:widowControl w:val="0"/>
              <w:rPr>
                <w:lang w:eastAsia="en-US"/>
              </w:rPr>
            </w:pPr>
            <w:r>
              <w:rPr>
                <w:lang w:eastAsia="en-US"/>
              </w:rPr>
              <w:t>Policy papers, editorials and non-peer-reviewed journal articles.</w:t>
            </w:r>
          </w:p>
        </w:tc>
      </w:tr>
      <w:tr w:rsidR="00E56BB2" w14:paraId="2D15F6E6" w14:textId="77777777">
        <w:tc>
          <w:tcPr>
            <w:tcW w:w="4680" w:type="dxa"/>
            <w:tcBorders>
              <w:top w:val="single" w:sz="8" w:space="0" w:color="000000"/>
              <w:left w:val="single" w:sz="8" w:space="0" w:color="000000"/>
              <w:bottom w:val="single" w:sz="8" w:space="0" w:color="000000"/>
              <w:right w:val="single" w:sz="8" w:space="0" w:color="000000"/>
            </w:tcBorders>
            <w:shd w:val="clear" w:color="auto" w:fill="F3F3F3"/>
            <w:hideMark/>
          </w:tcPr>
          <w:p w14:paraId="2B365A76" w14:textId="77777777" w:rsidR="00E56BB2" w:rsidRDefault="00E56BB2">
            <w:pPr>
              <w:widowControl w:val="0"/>
              <w:rPr>
                <w:lang w:eastAsia="en-US"/>
              </w:rPr>
            </w:pPr>
            <w:r>
              <w:rPr>
                <w:lang w:eastAsia="en-US"/>
              </w:rPr>
              <w:t>Journal articles that have been published within the last 5 years (2020-2025)</w:t>
            </w:r>
          </w:p>
        </w:tc>
        <w:tc>
          <w:tcPr>
            <w:tcW w:w="4680" w:type="dxa"/>
            <w:tcBorders>
              <w:top w:val="single" w:sz="8" w:space="0" w:color="000000"/>
              <w:left w:val="single" w:sz="8" w:space="0" w:color="000000"/>
              <w:bottom w:val="single" w:sz="8" w:space="0" w:color="000000"/>
              <w:right w:val="single" w:sz="8" w:space="0" w:color="000000"/>
            </w:tcBorders>
            <w:shd w:val="clear" w:color="auto" w:fill="F3F3F3"/>
            <w:hideMark/>
          </w:tcPr>
          <w:p w14:paraId="5F391CE2" w14:textId="77777777" w:rsidR="00E56BB2" w:rsidRDefault="00E56BB2">
            <w:pPr>
              <w:widowControl w:val="0"/>
              <w:rPr>
                <w:lang w:eastAsia="en-US"/>
              </w:rPr>
            </w:pPr>
            <w:r>
              <w:rPr>
                <w:lang w:eastAsia="en-US"/>
              </w:rPr>
              <w:t>Journal articles that have not been published within the last 5 years (2020-2025)</w:t>
            </w:r>
          </w:p>
        </w:tc>
      </w:tr>
      <w:tr w:rsidR="00E56BB2" w14:paraId="3FBD3A9B" w14:textId="77777777">
        <w:tc>
          <w:tcPr>
            <w:tcW w:w="4680" w:type="dxa"/>
            <w:tcBorders>
              <w:top w:val="single" w:sz="8" w:space="0" w:color="000000"/>
              <w:left w:val="single" w:sz="8" w:space="0" w:color="000000"/>
              <w:bottom w:val="single" w:sz="8" w:space="0" w:color="000000"/>
              <w:right w:val="single" w:sz="8" w:space="0" w:color="000000"/>
            </w:tcBorders>
            <w:shd w:val="clear" w:color="auto" w:fill="F3F3F3"/>
            <w:hideMark/>
          </w:tcPr>
          <w:p w14:paraId="3EADA581" w14:textId="77777777" w:rsidR="00E56BB2" w:rsidRDefault="00E56BB2">
            <w:pPr>
              <w:widowControl w:val="0"/>
              <w:rPr>
                <w:lang w:eastAsia="en-US"/>
              </w:rPr>
            </w:pPr>
            <w:r>
              <w:rPr>
                <w:lang w:eastAsia="en-US"/>
              </w:rPr>
              <w:t xml:space="preserve">Adults (18+) with learning disabilities or </w:t>
            </w:r>
            <w:r>
              <w:rPr>
                <w:lang w:eastAsia="en-US"/>
              </w:rPr>
              <w:lastRenderedPageBreak/>
              <w:t>intellectual disabilities</w:t>
            </w:r>
          </w:p>
        </w:tc>
        <w:tc>
          <w:tcPr>
            <w:tcW w:w="4680" w:type="dxa"/>
            <w:tcBorders>
              <w:top w:val="single" w:sz="8" w:space="0" w:color="000000"/>
              <w:left w:val="single" w:sz="8" w:space="0" w:color="000000"/>
              <w:bottom w:val="single" w:sz="8" w:space="0" w:color="000000"/>
              <w:right w:val="single" w:sz="8" w:space="0" w:color="000000"/>
            </w:tcBorders>
            <w:shd w:val="clear" w:color="auto" w:fill="F3F3F3"/>
            <w:hideMark/>
          </w:tcPr>
          <w:p w14:paraId="26B31870" w14:textId="77777777" w:rsidR="00E56BB2" w:rsidRDefault="00E56BB2">
            <w:pPr>
              <w:widowControl w:val="0"/>
              <w:rPr>
                <w:lang w:eastAsia="en-US"/>
              </w:rPr>
            </w:pPr>
            <w:r>
              <w:rPr>
                <w:lang w:eastAsia="en-US"/>
              </w:rPr>
              <w:lastRenderedPageBreak/>
              <w:t xml:space="preserve">Children and young people under 18, or </w:t>
            </w:r>
            <w:r>
              <w:rPr>
                <w:lang w:eastAsia="en-US"/>
              </w:rPr>
              <w:lastRenderedPageBreak/>
              <w:t>studies not focused on learning disabilities</w:t>
            </w:r>
          </w:p>
        </w:tc>
      </w:tr>
      <w:tr w:rsidR="00E56BB2" w14:paraId="77E101DB" w14:textId="77777777">
        <w:tc>
          <w:tcPr>
            <w:tcW w:w="4680" w:type="dxa"/>
            <w:tcBorders>
              <w:top w:val="single" w:sz="8" w:space="0" w:color="000000"/>
              <w:left w:val="single" w:sz="8" w:space="0" w:color="000000"/>
              <w:bottom w:val="single" w:sz="8" w:space="0" w:color="000000"/>
              <w:right w:val="single" w:sz="8" w:space="0" w:color="000000"/>
            </w:tcBorders>
            <w:shd w:val="clear" w:color="auto" w:fill="F3F3F3"/>
            <w:hideMark/>
          </w:tcPr>
          <w:p w14:paraId="597E35CE" w14:textId="77777777" w:rsidR="00E56BB2" w:rsidRDefault="00E56BB2">
            <w:pPr>
              <w:widowControl w:val="0"/>
              <w:rPr>
                <w:lang w:eastAsia="en-US"/>
              </w:rPr>
            </w:pPr>
            <w:r>
              <w:rPr>
                <w:lang w:eastAsia="en-US"/>
              </w:rPr>
              <w:lastRenderedPageBreak/>
              <w:t>Studies directly addressing employment barriers and workplace inclusion</w:t>
            </w:r>
          </w:p>
        </w:tc>
        <w:tc>
          <w:tcPr>
            <w:tcW w:w="4680" w:type="dxa"/>
            <w:tcBorders>
              <w:top w:val="single" w:sz="8" w:space="0" w:color="000000"/>
              <w:left w:val="single" w:sz="8" w:space="0" w:color="000000"/>
              <w:bottom w:val="single" w:sz="8" w:space="0" w:color="000000"/>
              <w:right w:val="single" w:sz="8" w:space="0" w:color="000000"/>
            </w:tcBorders>
            <w:shd w:val="clear" w:color="auto" w:fill="F3F3F3"/>
            <w:hideMark/>
          </w:tcPr>
          <w:p w14:paraId="59E31672" w14:textId="77777777" w:rsidR="00E56BB2" w:rsidRDefault="00E56BB2">
            <w:pPr>
              <w:widowControl w:val="0"/>
              <w:rPr>
                <w:lang w:eastAsia="en-US"/>
              </w:rPr>
            </w:pPr>
            <w:r>
              <w:rPr>
                <w:lang w:eastAsia="en-US"/>
              </w:rPr>
              <w:t>Studies not linked to employment, such as healthcare access and housing.</w:t>
            </w:r>
          </w:p>
        </w:tc>
      </w:tr>
    </w:tbl>
    <w:p w14:paraId="0E1124B9" w14:textId="77777777" w:rsidR="00E56BB2" w:rsidRDefault="00E56BB2" w:rsidP="00E56BB2">
      <w:pPr>
        <w:rPr>
          <w:lang w:eastAsia="en-US"/>
        </w:rPr>
      </w:pPr>
    </w:p>
    <w:p w14:paraId="42BA91EB" w14:textId="77777777" w:rsidR="00E56BB2" w:rsidRPr="002D3979" w:rsidRDefault="00E56BB2" w:rsidP="00E56BB2">
      <w:pPr>
        <w:pStyle w:val="Heading2"/>
        <w:rPr>
          <w:rFonts w:ascii="Arial" w:hAnsi="Arial" w:cs="Arial"/>
          <w:b/>
          <w:bCs/>
          <w:color w:val="auto"/>
          <w:sz w:val="22"/>
          <w:szCs w:val="22"/>
          <w:lang w:eastAsia="en-US"/>
        </w:rPr>
      </w:pPr>
      <w:bookmarkStart w:id="22" w:name="_Toc209264103"/>
      <w:r w:rsidRPr="002D3979">
        <w:rPr>
          <w:rFonts w:ascii="Arial" w:hAnsi="Arial" w:cs="Arial"/>
          <w:b/>
          <w:bCs/>
          <w:iCs/>
          <w:color w:val="auto"/>
          <w:sz w:val="22"/>
          <w:szCs w:val="22"/>
        </w:rPr>
        <w:t>3.2</w:t>
      </w:r>
      <w:r w:rsidRPr="002D3979">
        <w:rPr>
          <w:rFonts w:ascii="Arial" w:hAnsi="Arial" w:cs="Arial"/>
          <w:b/>
          <w:bCs/>
          <w:i/>
          <w:color w:val="auto"/>
          <w:sz w:val="22"/>
          <w:szCs w:val="22"/>
        </w:rPr>
        <w:t xml:space="preserve"> </w:t>
      </w:r>
      <w:r w:rsidRPr="002D3979">
        <w:rPr>
          <w:rFonts w:ascii="Arial" w:hAnsi="Arial" w:cs="Arial"/>
          <w:b/>
          <w:bCs/>
          <w:color w:val="auto"/>
          <w:sz w:val="22"/>
          <w:szCs w:val="22"/>
        </w:rPr>
        <w:t>Data Analysis Approach</w:t>
      </w:r>
      <w:bookmarkEnd w:id="22"/>
    </w:p>
    <w:p w14:paraId="0A7CAD81" w14:textId="6415590F" w:rsidR="00E56BB2" w:rsidRDefault="00E56BB2" w:rsidP="00E56BB2">
      <w:pPr>
        <w:rPr>
          <w:lang w:eastAsia="en-US"/>
        </w:rPr>
      </w:pPr>
      <w:r>
        <w:rPr>
          <w:lang w:eastAsia="en-US"/>
        </w:rPr>
        <w:t xml:space="preserve">The chosen studies were </w:t>
      </w:r>
      <w:r w:rsidRPr="002D3979">
        <w:rPr>
          <w:bCs/>
          <w:lang w:eastAsia="en-US"/>
        </w:rPr>
        <w:t>categorised</w:t>
      </w:r>
      <w:r>
        <w:rPr>
          <w:b/>
          <w:lang w:eastAsia="en-US"/>
        </w:rPr>
        <w:t xml:space="preserve"> </w:t>
      </w:r>
      <w:r>
        <w:rPr>
          <w:lang w:eastAsia="en-US"/>
        </w:rPr>
        <w:t xml:space="preserve">by the author, year, research aim, methodology, and essential findings. This information </w:t>
      </w:r>
      <w:r w:rsidRPr="002D3979">
        <w:rPr>
          <w:lang w:eastAsia="en-US"/>
        </w:rPr>
        <w:t>was analysed</w:t>
      </w:r>
      <w:r>
        <w:rPr>
          <w:b/>
          <w:lang w:eastAsia="en-US"/>
        </w:rPr>
        <w:t xml:space="preserve"> </w:t>
      </w:r>
      <w:r>
        <w:rPr>
          <w:lang w:eastAsia="en-US"/>
        </w:rPr>
        <w:t xml:space="preserve">into a table of data charting. Both studies were then coded to determine the recurrent ideas and patterns of employment barriers. These codes were classified into larger codes, including discrimination, workplace adjustments, and support services. This served to plot similarities and differences between studies. The advantage of this method is that it is </w:t>
      </w:r>
      <w:r w:rsidR="002D3979">
        <w:rPr>
          <w:lang w:eastAsia="en-US"/>
        </w:rPr>
        <w:t>transparent,</w:t>
      </w:r>
      <w:r>
        <w:rPr>
          <w:lang w:eastAsia="en-US"/>
        </w:rPr>
        <w:t xml:space="preserve"> it gives a transparent structure (Uttley </w:t>
      </w:r>
      <w:r>
        <w:rPr>
          <w:i/>
          <w:lang w:eastAsia="en-US"/>
        </w:rPr>
        <w:t>et al.</w:t>
      </w:r>
      <w:r>
        <w:rPr>
          <w:lang w:eastAsia="en-US"/>
        </w:rPr>
        <w:t>, 2023). One of the limitations is that not all studies are equally deep, and thus, it is hard to compare the results regularly.</w:t>
      </w:r>
    </w:p>
    <w:p w14:paraId="6C18EC20" w14:textId="77777777" w:rsidR="00E56BB2" w:rsidRDefault="00E56BB2" w:rsidP="00E56BB2">
      <w:pPr>
        <w:rPr>
          <w:lang w:eastAsia="en-US"/>
        </w:rPr>
      </w:pPr>
      <w:r>
        <w:rPr>
          <w:b/>
          <w:lang w:eastAsia="en-US"/>
        </w:rPr>
        <w:t>Thematic analysis</w:t>
      </w:r>
      <w:r>
        <w:rPr>
          <w:lang w:eastAsia="en-US"/>
        </w:rPr>
        <w:t xml:space="preserve"> was selected for synthesising the results due to its flexibility and suitability for qualitative research.  One of the strengths is that it assists in capturing common as well as unique experiences in various studies (Ahmed </w:t>
      </w:r>
      <w:r>
        <w:rPr>
          <w:i/>
          <w:lang w:eastAsia="en-US"/>
        </w:rPr>
        <w:t>et al.</w:t>
      </w:r>
      <w:r>
        <w:rPr>
          <w:lang w:eastAsia="en-US"/>
        </w:rPr>
        <w:t>, 2025). It also encourages critical reading as opposed to descriptive reading. One of the limitations is that thematic analysis may be biased since it relies on how the researcher interprets data. Hence, to minimise bias, the themes were based on evidence from studies.</w:t>
      </w:r>
    </w:p>
    <w:p w14:paraId="132785A8" w14:textId="77777777" w:rsidR="00E56BB2" w:rsidRPr="002D3979" w:rsidRDefault="00E56BB2" w:rsidP="00E56BB2">
      <w:pPr>
        <w:pStyle w:val="Heading2"/>
        <w:rPr>
          <w:rFonts w:ascii="Arial" w:hAnsi="Arial" w:cs="Arial"/>
          <w:b/>
          <w:bCs/>
          <w:color w:val="auto"/>
          <w:sz w:val="22"/>
          <w:szCs w:val="22"/>
          <w:lang w:eastAsia="en-US"/>
        </w:rPr>
      </w:pPr>
      <w:bookmarkStart w:id="23" w:name="_xf7eif3127vb"/>
      <w:bookmarkStart w:id="24" w:name="_Toc209264104"/>
      <w:bookmarkEnd w:id="23"/>
      <w:r w:rsidRPr="002D3979">
        <w:rPr>
          <w:rFonts w:ascii="Arial" w:hAnsi="Arial" w:cs="Arial"/>
          <w:b/>
          <w:bCs/>
          <w:color w:val="auto"/>
          <w:sz w:val="22"/>
          <w:szCs w:val="22"/>
        </w:rPr>
        <w:t>3.3 Ethical Considerations</w:t>
      </w:r>
      <w:bookmarkEnd w:id="24"/>
    </w:p>
    <w:p w14:paraId="6E3F4596" w14:textId="77777777" w:rsidR="00E56BB2" w:rsidRDefault="00E56BB2" w:rsidP="00E56BB2">
      <w:pPr>
        <w:rPr>
          <w:lang w:eastAsia="en-US"/>
        </w:rPr>
      </w:pPr>
      <w:r>
        <w:rPr>
          <w:lang w:eastAsia="en-US"/>
        </w:rPr>
        <w:t xml:space="preserve">As this study is a secondary research, proper ethical consideration was followed in this research. Moreover, while collecting data, biased information was avoided to ensure transparency. Along with that, the collected data was selected in a password-protected system. Furthermore, the Data Protection Act or GDPR was followed in this research to maintain the ethical guidelines of this research. </w:t>
      </w:r>
    </w:p>
    <w:p w14:paraId="0C5D773E" w14:textId="77777777" w:rsidR="00E56BB2" w:rsidRDefault="00E56BB2" w:rsidP="00E56BB2">
      <w:pPr>
        <w:rPr>
          <w:lang w:bidi="bn-IN"/>
        </w:rPr>
      </w:pPr>
    </w:p>
    <w:p w14:paraId="78B440CA" w14:textId="77777777" w:rsidR="00E56BB2" w:rsidRDefault="00E56BB2" w:rsidP="00E56BB2">
      <w:pPr>
        <w:spacing w:before="100" w:beforeAutospacing="1" w:after="100" w:afterAutospacing="1"/>
        <w:rPr>
          <w:b/>
          <w:sz w:val="28"/>
          <w:szCs w:val="28"/>
          <w:lang w:eastAsia="en-US" w:bidi="bn-IN"/>
        </w:rPr>
      </w:pPr>
      <w:r>
        <w:rPr>
          <w:lang w:bidi="bn-IN"/>
        </w:rPr>
        <w:br w:type="page"/>
      </w:r>
      <w:bookmarkStart w:id="25" w:name="_Toc209264105"/>
    </w:p>
    <w:p w14:paraId="36267939" w14:textId="77777777" w:rsidR="00E56BB2" w:rsidRPr="002D3979" w:rsidRDefault="00E56BB2" w:rsidP="00E56BB2">
      <w:pPr>
        <w:pStyle w:val="Heading1"/>
        <w:rPr>
          <w:rFonts w:ascii="Arial" w:hAnsi="Arial" w:cs="Arial"/>
          <w:b/>
          <w:bCs/>
          <w:color w:val="auto"/>
          <w:sz w:val="22"/>
          <w:szCs w:val="22"/>
          <w:lang w:eastAsia="en-US" w:bidi="bn-IN"/>
        </w:rPr>
      </w:pPr>
      <w:r w:rsidRPr="002D3979">
        <w:rPr>
          <w:rFonts w:ascii="Arial" w:hAnsi="Arial" w:cs="Arial"/>
          <w:b/>
          <w:bCs/>
          <w:color w:val="auto"/>
          <w:sz w:val="22"/>
          <w:szCs w:val="22"/>
          <w:lang w:bidi="bn-IN"/>
        </w:rPr>
        <w:lastRenderedPageBreak/>
        <w:t xml:space="preserve">4. </w:t>
      </w:r>
      <w:r w:rsidRPr="002D3979">
        <w:rPr>
          <w:rFonts w:ascii="Arial" w:hAnsi="Arial" w:cs="Arial"/>
          <w:b/>
          <w:bCs/>
          <w:color w:val="auto"/>
          <w:sz w:val="22"/>
          <w:szCs w:val="22"/>
        </w:rPr>
        <w:t>Results</w:t>
      </w:r>
      <w:bookmarkEnd w:id="25"/>
      <w:r w:rsidRPr="002D3979">
        <w:rPr>
          <w:rFonts w:ascii="Arial" w:hAnsi="Arial" w:cs="Arial"/>
          <w:b/>
          <w:bCs/>
          <w:color w:val="auto"/>
          <w:sz w:val="22"/>
          <w:szCs w:val="22"/>
          <w:lang w:bidi="bn-IN"/>
        </w:rPr>
        <w:t> </w:t>
      </w:r>
    </w:p>
    <w:p w14:paraId="7D0552A6" w14:textId="77777777" w:rsidR="00E56BB2" w:rsidRPr="002D3979" w:rsidRDefault="00E56BB2" w:rsidP="00E56BB2">
      <w:pPr>
        <w:pStyle w:val="Heading2"/>
        <w:rPr>
          <w:rFonts w:ascii="Arial" w:hAnsi="Arial" w:cs="Arial"/>
          <w:b/>
          <w:bCs/>
          <w:color w:val="auto"/>
          <w:sz w:val="22"/>
          <w:szCs w:val="22"/>
          <w:lang w:bidi="bn-IN"/>
        </w:rPr>
      </w:pPr>
      <w:bookmarkStart w:id="26" w:name="_Toc209264106"/>
      <w:r w:rsidRPr="002D3979">
        <w:rPr>
          <w:rFonts w:ascii="Arial" w:hAnsi="Arial" w:cs="Arial"/>
          <w:b/>
          <w:bCs/>
          <w:color w:val="auto"/>
          <w:sz w:val="22"/>
          <w:szCs w:val="22"/>
          <w:lang w:bidi="bn-IN"/>
        </w:rPr>
        <w:t>4.1 Summary Table</w:t>
      </w:r>
      <w:bookmarkEnd w:id="26"/>
    </w:p>
    <w:tbl>
      <w:tblPr>
        <w:tblW w:w="9360" w:type="dxa"/>
        <w:tblLook w:val="04A0" w:firstRow="1" w:lastRow="0" w:firstColumn="1" w:lastColumn="0" w:noHBand="0" w:noVBand="1"/>
      </w:tblPr>
      <w:tblGrid>
        <w:gridCol w:w="1284"/>
        <w:gridCol w:w="1917"/>
        <w:gridCol w:w="1742"/>
        <w:gridCol w:w="2292"/>
        <w:gridCol w:w="2125"/>
      </w:tblGrid>
      <w:tr w:rsidR="00E56BB2" w14:paraId="21A32773" w14:textId="77777777">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5040AD6E" w14:textId="77777777" w:rsidR="00E56BB2" w:rsidRDefault="00E56BB2">
            <w:pPr>
              <w:spacing w:before="240"/>
              <w:rPr>
                <w:rFonts w:ascii="Times New Roman" w:eastAsia="Times New Roman" w:hAnsi="Times New Roman" w:cs="Times New Roman"/>
                <w:sz w:val="24"/>
                <w:szCs w:val="24"/>
                <w:lang w:val="en-IN" w:eastAsia="en-IN" w:bidi="bn-IN"/>
              </w:rPr>
            </w:pPr>
            <w:r>
              <w:rPr>
                <w:rFonts w:eastAsia="Times New Roman"/>
                <w:b/>
                <w:bCs/>
                <w:color w:val="000000"/>
                <w:lang w:val="en-IN" w:eastAsia="en-IN" w:bidi="bn-IN"/>
              </w:rPr>
              <w:t>Author(s)</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5C4A2A01" w14:textId="77777777" w:rsidR="00E56BB2" w:rsidRDefault="00E56BB2">
            <w:pPr>
              <w:spacing w:before="240"/>
              <w:rPr>
                <w:rFonts w:ascii="Times New Roman" w:eastAsia="Times New Roman" w:hAnsi="Times New Roman" w:cs="Times New Roman"/>
                <w:sz w:val="24"/>
                <w:szCs w:val="24"/>
                <w:lang w:val="en-IN" w:eastAsia="en-IN" w:bidi="bn-IN"/>
              </w:rPr>
            </w:pPr>
            <w:r>
              <w:rPr>
                <w:rFonts w:eastAsia="Times New Roman"/>
                <w:b/>
                <w:bCs/>
                <w:color w:val="000000"/>
                <w:lang w:val="en-IN" w:eastAsia="en-IN" w:bidi="bn-IN"/>
              </w:rPr>
              <w:t>Research Objectives</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243A486C" w14:textId="77777777" w:rsidR="00E56BB2" w:rsidRDefault="00E56BB2">
            <w:pPr>
              <w:spacing w:before="240"/>
              <w:rPr>
                <w:rFonts w:ascii="Times New Roman" w:eastAsia="Times New Roman" w:hAnsi="Times New Roman" w:cs="Times New Roman"/>
                <w:sz w:val="24"/>
                <w:szCs w:val="24"/>
                <w:lang w:val="en-IN" w:eastAsia="en-IN" w:bidi="bn-IN"/>
              </w:rPr>
            </w:pPr>
            <w:r>
              <w:rPr>
                <w:rFonts w:eastAsia="Times New Roman"/>
                <w:b/>
                <w:bCs/>
                <w:color w:val="000000"/>
                <w:lang w:val="en-IN" w:eastAsia="en-IN" w:bidi="bn-IN"/>
              </w:rPr>
              <w:t>Methods</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6AF92BD3" w14:textId="77777777" w:rsidR="00E56BB2" w:rsidRDefault="00E56BB2">
            <w:pPr>
              <w:spacing w:before="240"/>
              <w:rPr>
                <w:rFonts w:ascii="Times New Roman" w:eastAsia="Times New Roman" w:hAnsi="Times New Roman" w:cs="Times New Roman"/>
                <w:sz w:val="24"/>
                <w:szCs w:val="24"/>
                <w:lang w:val="en-IN" w:eastAsia="en-IN" w:bidi="bn-IN"/>
              </w:rPr>
            </w:pPr>
            <w:r>
              <w:rPr>
                <w:rFonts w:eastAsia="Times New Roman"/>
                <w:b/>
                <w:bCs/>
                <w:color w:val="000000"/>
                <w:lang w:val="en-IN" w:eastAsia="en-IN" w:bidi="bn-IN"/>
              </w:rPr>
              <w:t>Key Findings</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741340A0" w14:textId="77777777" w:rsidR="00E56BB2" w:rsidRDefault="00E56BB2">
            <w:pPr>
              <w:spacing w:before="240"/>
              <w:rPr>
                <w:rFonts w:ascii="Times New Roman" w:eastAsia="Times New Roman" w:hAnsi="Times New Roman" w:cs="Times New Roman"/>
                <w:sz w:val="24"/>
                <w:szCs w:val="24"/>
                <w:lang w:val="en-IN" w:eastAsia="en-IN" w:bidi="bn-IN"/>
              </w:rPr>
            </w:pPr>
            <w:r>
              <w:rPr>
                <w:rFonts w:eastAsia="Times New Roman"/>
                <w:b/>
                <w:bCs/>
                <w:color w:val="000000"/>
                <w:lang w:val="en-IN" w:eastAsia="en-IN" w:bidi="bn-IN"/>
              </w:rPr>
              <w:t>Relevance to the review questions</w:t>
            </w:r>
          </w:p>
        </w:tc>
      </w:tr>
      <w:tr w:rsidR="00E56BB2" w14:paraId="6017B795" w14:textId="77777777">
        <w:tc>
          <w:tcPr>
            <w:tcW w:w="0" w:type="auto"/>
            <w:tcBorders>
              <w:top w:val="single" w:sz="6"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2D1ADB" w14:textId="77777777" w:rsidR="00E56BB2" w:rsidRDefault="00E56BB2">
            <w:pPr>
              <w:rPr>
                <w:rFonts w:ascii="Times New Roman" w:eastAsia="Times New Roman" w:hAnsi="Times New Roman" w:cs="Times New Roman"/>
                <w:sz w:val="24"/>
                <w:szCs w:val="24"/>
                <w:lang w:val="en-IN" w:eastAsia="en-IN" w:bidi="bn-IN"/>
              </w:rPr>
            </w:pPr>
            <w:r>
              <w:rPr>
                <w:rFonts w:eastAsia="Times New Roman"/>
                <w:b/>
                <w:bCs/>
                <w:color w:val="000000"/>
                <w:lang w:val="en-IN" w:eastAsia="en-IN" w:bidi="bn-IN"/>
              </w:rPr>
              <w:t xml:space="preserve">Ee </w:t>
            </w:r>
            <w:r>
              <w:rPr>
                <w:rFonts w:eastAsia="Times New Roman"/>
                <w:b/>
                <w:bCs/>
                <w:i/>
                <w:iCs/>
                <w:color w:val="000000"/>
                <w:lang w:val="en-IN" w:eastAsia="en-IN" w:bidi="bn-IN"/>
              </w:rPr>
              <w:t>et al.</w:t>
            </w:r>
            <w:r>
              <w:rPr>
                <w:rFonts w:eastAsia="Times New Roman"/>
                <w:b/>
                <w:bCs/>
                <w:color w:val="000000"/>
                <w:lang w:val="en-IN" w:eastAsia="en-IN" w:bidi="bn-IN"/>
              </w:rPr>
              <w:t xml:space="preserve"> (2022)</w:t>
            </w:r>
          </w:p>
        </w:tc>
        <w:tc>
          <w:tcPr>
            <w:tcW w:w="0" w:type="auto"/>
            <w:tcBorders>
              <w:top w:val="single" w:sz="6"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6C0040" w14:textId="77777777" w:rsidR="00E56BB2" w:rsidRDefault="00E56BB2">
            <w:pPr>
              <w:rPr>
                <w:rFonts w:ascii="Times New Roman" w:eastAsia="Times New Roman" w:hAnsi="Times New Roman" w:cs="Times New Roman"/>
                <w:sz w:val="24"/>
                <w:szCs w:val="24"/>
                <w:lang w:val="en-IN" w:eastAsia="en-IN" w:bidi="bn-IN"/>
              </w:rPr>
            </w:pPr>
            <w:r>
              <w:rPr>
                <w:rFonts w:eastAsia="Times New Roman"/>
                <w:color w:val="000000"/>
                <w:lang w:val="en-IN" w:eastAsia="en-IN" w:bidi="bn-IN"/>
              </w:rPr>
              <w:t>To estimate and evaluate the experience of Mental Health professionals in providing services to the adults </w:t>
            </w:r>
          </w:p>
          <w:p w14:paraId="36527609" w14:textId="77777777" w:rsidR="00E56BB2" w:rsidRDefault="00E56BB2">
            <w:pPr>
              <w:jc w:val="left"/>
              <w:rPr>
                <w:rFonts w:ascii="Times New Roman" w:eastAsia="Times New Roman" w:hAnsi="Times New Roman" w:cs="Times New Roman"/>
                <w:sz w:val="24"/>
                <w:szCs w:val="24"/>
                <w:lang w:val="en-IN" w:eastAsia="en-IN" w:bidi="bn-IN"/>
              </w:rPr>
            </w:pPr>
          </w:p>
          <w:p w14:paraId="1487087F" w14:textId="77777777" w:rsidR="00E56BB2" w:rsidRDefault="00E56BB2">
            <w:pPr>
              <w:rPr>
                <w:rFonts w:ascii="Times New Roman" w:eastAsia="Times New Roman" w:hAnsi="Times New Roman" w:cs="Times New Roman"/>
                <w:sz w:val="24"/>
                <w:szCs w:val="24"/>
                <w:lang w:val="en-IN" w:eastAsia="en-IN" w:bidi="bn-IN"/>
              </w:rPr>
            </w:pPr>
            <w:r>
              <w:rPr>
                <w:rFonts w:eastAsia="Times New Roman"/>
                <w:color w:val="000000"/>
                <w:lang w:val="en-IN" w:eastAsia="en-IN" w:bidi="bn-IN"/>
              </w:rPr>
              <w:t>To identify the area of intellectual disability and mental health problems</w:t>
            </w:r>
          </w:p>
          <w:p w14:paraId="1B5D9FB8" w14:textId="77777777" w:rsidR="00E56BB2" w:rsidRDefault="00E56BB2">
            <w:pPr>
              <w:jc w:val="left"/>
              <w:rPr>
                <w:rFonts w:ascii="Times New Roman" w:eastAsia="Times New Roman" w:hAnsi="Times New Roman" w:cs="Times New Roman"/>
                <w:sz w:val="24"/>
                <w:szCs w:val="24"/>
                <w:lang w:val="en-IN" w:eastAsia="en-IN" w:bidi="bn-IN"/>
              </w:rPr>
            </w:pPr>
            <w:r>
              <w:rPr>
                <w:rFonts w:ascii="Times New Roman" w:eastAsia="Times New Roman" w:hAnsi="Times New Roman" w:cs="Times New Roman"/>
                <w:sz w:val="24"/>
                <w:szCs w:val="24"/>
                <w:lang w:val="en-IN" w:eastAsia="en-IN" w:bidi="bn-IN"/>
              </w:rPr>
              <w:br/>
            </w:r>
          </w:p>
        </w:tc>
        <w:tc>
          <w:tcPr>
            <w:tcW w:w="0" w:type="auto"/>
            <w:tcBorders>
              <w:top w:val="single" w:sz="6"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C5166E" w14:textId="77777777" w:rsidR="00E56BB2" w:rsidRDefault="00E56BB2">
            <w:pPr>
              <w:rPr>
                <w:rFonts w:ascii="Times New Roman" w:eastAsia="Times New Roman" w:hAnsi="Times New Roman" w:cs="Times New Roman"/>
                <w:sz w:val="24"/>
                <w:szCs w:val="24"/>
                <w:lang w:val="en-IN" w:eastAsia="en-IN" w:bidi="bn-IN"/>
              </w:rPr>
            </w:pPr>
            <w:r>
              <w:rPr>
                <w:rFonts w:eastAsia="Times New Roman"/>
                <w:color w:val="000000"/>
                <w:lang w:val="en-IN" w:eastAsia="en-IN" w:bidi="bn-IN"/>
              </w:rPr>
              <w:t>Secondary method of research </w:t>
            </w:r>
          </w:p>
          <w:p w14:paraId="30FA69D5" w14:textId="77777777" w:rsidR="00E56BB2" w:rsidRDefault="00E56BB2">
            <w:pPr>
              <w:jc w:val="left"/>
              <w:rPr>
                <w:rFonts w:ascii="Times New Roman" w:eastAsia="Times New Roman" w:hAnsi="Times New Roman" w:cs="Times New Roman"/>
                <w:sz w:val="24"/>
                <w:szCs w:val="24"/>
                <w:lang w:val="en-IN" w:eastAsia="en-IN" w:bidi="bn-IN"/>
              </w:rPr>
            </w:pPr>
          </w:p>
          <w:p w14:paraId="11BACB33" w14:textId="77777777" w:rsidR="00E56BB2" w:rsidRDefault="00E56BB2">
            <w:pPr>
              <w:rPr>
                <w:rFonts w:ascii="Times New Roman" w:eastAsia="Times New Roman" w:hAnsi="Times New Roman" w:cs="Times New Roman"/>
                <w:sz w:val="24"/>
                <w:szCs w:val="24"/>
                <w:lang w:val="en-IN" w:eastAsia="en-IN" w:bidi="bn-IN"/>
              </w:rPr>
            </w:pPr>
            <w:r>
              <w:rPr>
                <w:rFonts w:eastAsia="Times New Roman"/>
                <w:color w:val="000000"/>
                <w:lang w:val="en-IN" w:eastAsia="en-IN" w:bidi="bn-IN"/>
              </w:rPr>
              <w:t>Qualitative data analysis </w:t>
            </w:r>
          </w:p>
          <w:p w14:paraId="46122D8E" w14:textId="77777777" w:rsidR="00E56BB2" w:rsidRDefault="00E56BB2">
            <w:pPr>
              <w:jc w:val="left"/>
              <w:rPr>
                <w:rFonts w:ascii="Times New Roman" w:eastAsia="Times New Roman" w:hAnsi="Times New Roman" w:cs="Times New Roman"/>
                <w:sz w:val="24"/>
                <w:szCs w:val="24"/>
                <w:lang w:val="en-IN" w:eastAsia="en-IN" w:bidi="bn-IN"/>
              </w:rPr>
            </w:pPr>
          </w:p>
          <w:p w14:paraId="426A8C1C" w14:textId="77777777" w:rsidR="00E56BB2" w:rsidRDefault="00E56BB2">
            <w:pPr>
              <w:rPr>
                <w:rFonts w:ascii="Times New Roman" w:eastAsia="Times New Roman" w:hAnsi="Times New Roman" w:cs="Times New Roman"/>
                <w:sz w:val="24"/>
                <w:szCs w:val="24"/>
                <w:lang w:val="en-IN" w:eastAsia="en-IN" w:bidi="bn-IN"/>
              </w:rPr>
            </w:pPr>
            <w:r>
              <w:rPr>
                <w:rFonts w:eastAsia="Times New Roman"/>
                <w:color w:val="000000"/>
                <w:lang w:val="en-IN" w:eastAsia="en-IN" w:bidi="bn-IN"/>
              </w:rPr>
              <w:t>Scoping review process</w:t>
            </w:r>
          </w:p>
        </w:tc>
        <w:tc>
          <w:tcPr>
            <w:tcW w:w="0" w:type="auto"/>
            <w:tcBorders>
              <w:top w:val="single" w:sz="6"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8DDAC1" w14:textId="77777777" w:rsidR="00E56BB2" w:rsidRDefault="00E56BB2">
            <w:pPr>
              <w:rPr>
                <w:rFonts w:ascii="Times New Roman" w:eastAsia="Times New Roman" w:hAnsi="Times New Roman" w:cs="Times New Roman"/>
                <w:sz w:val="24"/>
                <w:szCs w:val="24"/>
                <w:lang w:val="en-IN" w:eastAsia="en-IN" w:bidi="bn-IN"/>
              </w:rPr>
            </w:pPr>
            <w:r>
              <w:rPr>
                <w:rFonts w:eastAsia="Times New Roman"/>
                <w:color w:val="000000"/>
                <w:lang w:val="en-IN" w:eastAsia="en-IN" w:bidi="bn-IN"/>
              </w:rPr>
              <w:t>Clinical expertise, well-developed estimation regarding the issues of adults, the purpose of client engagement and adaptability are all associated with the experience of a Mental Health professional to provide the services to the adults.</w:t>
            </w:r>
          </w:p>
        </w:tc>
        <w:tc>
          <w:tcPr>
            <w:tcW w:w="0" w:type="auto"/>
            <w:tcBorders>
              <w:top w:val="single" w:sz="6"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0DC3A7" w14:textId="77777777" w:rsidR="00E56BB2" w:rsidRDefault="00E56BB2">
            <w:pPr>
              <w:rPr>
                <w:rFonts w:ascii="Times New Roman" w:eastAsia="Times New Roman" w:hAnsi="Times New Roman" w:cs="Times New Roman"/>
                <w:sz w:val="24"/>
                <w:szCs w:val="24"/>
                <w:lang w:val="en-IN" w:eastAsia="en-IN" w:bidi="bn-IN"/>
              </w:rPr>
            </w:pPr>
            <w:r>
              <w:rPr>
                <w:rFonts w:eastAsia="Times New Roman"/>
                <w:color w:val="000000"/>
                <w:lang w:val="en-IN" w:eastAsia="en-IN" w:bidi="bn-IN"/>
              </w:rPr>
              <w:t>The issues of learning disabilities and the purpose of identifying the way out are associated with the scoping review of employment disparity among disabled people.</w:t>
            </w:r>
          </w:p>
        </w:tc>
      </w:tr>
      <w:tr w:rsidR="00E56BB2" w14:paraId="53F14E2A"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EAA7C6" w14:textId="77777777" w:rsidR="00E56BB2" w:rsidRDefault="00E56BB2">
            <w:pPr>
              <w:rPr>
                <w:rFonts w:ascii="Times New Roman" w:eastAsia="Times New Roman" w:hAnsi="Times New Roman" w:cs="Times New Roman"/>
                <w:sz w:val="24"/>
                <w:szCs w:val="24"/>
                <w:lang w:val="en-IN" w:eastAsia="en-IN" w:bidi="bn-IN"/>
              </w:rPr>
            </w:pPr>
            <w:r>
              <w:rPr>
                <w:rFonts w:eastAsia="Times New Roman"/>
                <w:b/>
                <w:bCs/>
                <w:color w:val="000000"/>
                <w:lang w:val="en-IN" w:eastAsia="en-IN" w:bidi="bn-IN"/>
              </w:rPr>
              <w:t xml:space="preserve">Sammie </w:t>
            </w:r>
            <w:r>
              <w:rPr>
                <w:rFonts w:eastAsia="Times New Roman"/>
                <w:b/>
                <w:bCs/>
                <w:i/>
                <w:iCs/>
                <w:color w:val="000000"/>
                <w:lang w:val="en-IN" w:eastAsia="en-IN" w:bidi="bn-IN"/>
              </w:rPr>
              <w:t>et al.</w:t>
            </w:r>
            <w:r>
              <w:rPr>
                <w:rFonts w:eastAsia="Times New Roman"/>
                <w:b/>
                <w:bCs/>
                <w:color w:val="000000"/>
                <w:lang w:val="en-IN" w:eastAsia="en-IN" w:bidi="bn-IN"/>
              </w:rPr>
              <w:t xml:space="preserve"> (2024)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3305D6" w14:textId="77777777" w:rsidR="00E56BB2" w:rsidRDefault="00E56BB2">
            <w:pPr>
              <w:rPr>
                <w:rFonts w:ascii="Times New Roman" w:eastAsia="Times New Roman" w:hAnsi="Times New Roman" w:cs="Times New Roman"/>
                <w:sz w:val="24"/>
                <w:szCs w:val="24"/>
                <w:lang w:val="en-IN" w:eastAsia="en-IN" w:bidi="bn-IN"/>
              </w:rPr>
            </w:pPr>
            <w:r>
              <w:rPr>
                <w:rFonts w:eastAsia="Times New Roman"/>
                <w:color w:val="000000"/>
                <w:lang w:val="en-IN" w:eastAsia="en-IN" w:bidi="bn-IN"/>
              </w:rPr>
              <w:t>To identify the beneficial area of early detection of disease, and to carry out a scoping review of risk factors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73B158" w14:textId="77777777" w:rsidR="00E56BB2" w:rsidRDefault="00E56BB2">
            <w:pPr>
              <w:rPr>
                <w:rFonts w:ascii="Times New Roman" w:eastAsia="Times New Roman" w:hAnsi="Times New Roman" w:cs="Times New Roman"/>
                <w:sz w:val="24"/>
                <w:szCs w:val="24"/>
                <w:lang w:val="en-IN" w:eastAsia="en-IN" w:bidi="bn-IN"/>
              </w:rPr>
            </w:pPr>
            <w:r>
              <w:rPr>
                <w:rFonts w:eastAsia="Times New Roman"/>
                <w:color w:val="000000"/>
                <w:lang w:val="en-IN" w:eastAsia="en-IN" w:bidi="bn-IN"/>
              </w:rPr>
              <w:t>Estimation of secondary data </w:t>
            </w:r>
          </w:p>
          <w:p w14:paraId="06674534" w14:textId="77777777" w:rsidR="00E56BB2" w:rsidRDefault="00E56BB2">
            <w:pPr>
              <w:jc w:val="left"/>
              <w:rPr>
                <w:rFonts w:ascii="Times New Roman" w:eastAsia="Times New Roman" w:hAnsi="Times New Roman" w:cs="Times New Roman"/>
                <w:sz w:val="24"/>
                <w:szCs w:val="24"/>
                <w:lang w:val="en-IN" w:eastAsia="en-IN" w:bidi="bn-IN"/>
              </w:rPr>
            </w:pPr>
          </w:p>
          <w:p w14:paraId="42D69343" w14:textId="77777777" w:rsidR="00E56BB2" w:rsidRDefault="00E56BB2">
            <w:pPr>
              <w:rPr>
                <w:rFonts w:ascii="Times New Roman" w:eastAsia="Times New Roman" w:hAnsi="Times New Roman" w:cs="Times New Roman"/>
                <w:sz w:val="24"/>
                <w:szCs w:val="24"/>
                <w:lang w:val="en-IN" w:eastAsia="en-IN" w:bidi="bn-IN"/>
              </w:rPr>
            </w:pPr>
            <w:r>
              <w:rPr>
                <w:rFonts w:eastAsia="Times New Roman"/>
                <w:color w:val="000000"/>
                <w:lang w:val="en-IN" w:eastAsia="en-IN" w:bidi="bn-IN"/>
              </w:rPr>
              <w:t>Process of qualitative analysis </w:t>
            </w:r>
          </w:p>
          <w:p w14:paraId="3CDC5419" w14:textId="77777777" w:rsidR="00E56BB2" w:rsidRDefault="00E56BB2">
            <w:pPr>
              <w:jc w:val="left"/>
              <w:rPr>
                <w:rFonts w:ascii="Times New Roman" w:eastAsia="Times New Roman" w:hAnsi="Times New Roman" w:cs="Times New Roman"/>
                <w:sz w:val="24"/>
                <w:szCs w:val="24"/>
                <w:lang w:val="en-IN" w:eastAsia="en-IN" w:bidi="bn-IN"/>
              </w:rPr>
            </w:pPr>
          </w:p>
          <w:p w14:paraId="6B9305FE" w14:textId="77777777" w:rsidR="00E56BB2" w:rsidRDefault="00E56BB2">
            <w:pPr>
              <w:rPr>
                <w:rFonts w:ascii="Times New Roman" w:eastAsia="Times New Roman" w:hAnsi="Times New Roman" w:cs="Times New Roman"/>
                <w:sz w:val="24"/>
                <w:szCs w:val="24"/>
                <w:lang w:val="en-IN" w:eastAsia="en-IN" w:bidi="bn-IN"/>
              </w:rPr>
            </w:pPr>
            <w:r>
              <w:rPr>
                <w:rFonts w:eastAsia="Times New Roman"/>
                <w:color w:val="000000"/>
                <w:lang w:val="en-IN" w:eastAsia="en-IN" w:bidi="bn-IN"/>
              </w:rPr>
              <w:t>Evaluation from different types of international journals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59C2FC" w14:textId="77777777" w:rsidR="00E56BB2" w:rsidRDefault="00E56BB2">
            <w:pPr>
              <w:rPr>
                <w:rFonts w:ascii="Times New Roman" w:eastAsia="Times New Roman" w:hAnsi="Times New Roman" w:cs="Times New Roman"/>
                <w:sz w:val="24"/>
                <w:szCs w:val="24"/>
                <w:lang w:val="en-IN" w:eastAsia="en-IN" w:bidi="bn-IN"/>
              </w:rPr>
            </w:pPr>
            <w:r>
              <w:rPr>
                <w:rFonts w:eastAsia="Times New Roman"/>
                <w:color w:val="000000"/>
                <w:lang w:val="en-IN" w:eastAsia="en-IN" w:bidi="bn-IN"/>
              </w:rPr>
              <w:t xml:space="preserve">The purpose of early intervention refers to the beneficial area of treatment and the improvement of the outcome through better prognosis. Early detection and treatment are comparatively cost-effective, and they eventually help in the </w:t>
            </w:r>
            <w:r>
              <w:rPr>
                <w:rFonts w:eastAsia="Times New Roman"/>
                <w:color w:val="000000"/>
                <w:lang w:val="en-IN" w:eastAsia="en-IN" w:bidi="bn-IN"/>
              </w:rPr>
              <w:lastRenderedPageBreak/>
              <w:t>improvement of the quality of life.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99EBA1" w14:textId="77777777" w:rsidR="00E56BB2" w:rsidRDefault="00E56BB2">
            <w:pPr>
              <w:rPr>
                <w:rFonts w:ascii="Times New Roman" w:eastAsia="Times New Roman" w:hAnsi="Times New Roman" w:cs="Times New Roman"/>
                <w:sz w:val="24"/>
                <w:szCs w:val="24"/>
                <w:lang w:val="en-IN" w:eastAsia="en-IN" w:bidi="bn-IN"/>
              </w:rPr>
            </w:pPr>
            <w:r>
              <w:rPr>
                <w:rFonts w:eastAsia="Times New Roman"/>
                <w:color w:val="000000"/>
                <w:lang w:val="en-IN" w:eastAsia="en-IN" w:bidi="bn-IN"/>
              </w:rPr>
              <w:lastRenderedPageBreak/>
              <w:t>The purpose of escalating the prevention to the escalation of the disease and reduction of hospital admissions becomes easier through this study.</w:t>
            </w:r>
          </w:p>
        </w:tc>
      </w:tr>
      <w:tr w:rsidR="00E56BB2" w14:paraId="074DBD5D"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508775" w14:textId="77777777" w:rsidR="00E56BB2" w:rsidRDefault="00E56BB2">
            <w:pPr>
              <w:rPr>
                <w:rFonts w:ascii="Times New Roman" w:eastAsia="Times New Roman" w:hAnsi="Times New Roman" w:cs="Times New Roman"/>
                <w:sz w:val="24"/>
                <w:szCs w:val="24"/>
                <w:lang w:val="en-IN" w:eastAsia="en-IN" w:bidi="bn-IN"/>
              </w:rPr>
            </w:pPr>
            <w:r>
              <w:rPr>
                <w:rFonts w:eastAsia="Times New Roman"/>
                <w:b/>
                <w:bCs/>
                <w:color w:val="000000"/>
                <w:lang w:val="en-IN" w:eastAsia="en-IN" w:bidi="bn-IN"/>
              </w:rPr>
              <w:t xml:space="preserve">Davies </w:t>
            </w:r>
            <w:r>
              <w:rPr>
                <w:rFonts w:eastAsia="Times New Roman"/>
                <w:b/>
                <w:bCs/>
                <w:i/>
                <w:iCs/>
                <w:color w:val="000000"/>
                <w:lang w:val="en-IN" w:eastAsia="en-IN" w:bidi="bn-IN"/>
              </w:rPr>
              <w:t>et al.</w:t>
            </w:r>
            <w:r>
              <w:rPr>
                <w:rFonts w:eastAsia="Times New Roman"/>
                <w:b/>
                <w:bCs/>
                <w:color w:val="000000"/>
                <w:lang w:val="en-IN" w:eastAsia="en-IN" w:bidi="bn-IN"/>
              </w:rPr>
              <w:t xml:space="preserve">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698A6B" w14:textId="23B66D19" w:rsidR="00E56BB2" w:rsidRDefault="00E56BB2">
            <w:pPr>
              <w:rPr>
                <w:rFonts w:ascii="Times New Roman" w:eastAsia="Times New Roman" w:hAnsi="Times New Roman" w:cs="Times New Roman"/>
                <w:sz w:val="24"/>
                <w:szCs w:val="24"/>
                <w:lang w:val="en-IN" w:eastAsia="en-IN" w:bidi="bn-IN"/>
              </w:rPr>
            </w:pPr>
            <w:r>
              <w:rPr>
                <w:rFonts w:eastAsia="Times New Roman"/>
                <w:color w:val="000000"/>
                <w:lang w:val="en-IN" w:eastAsia="en-IN" w:bidi="bn-IN"/>
              </w:rPr>
              <w:t xml:space="preserve">To estimate the comparison between a conventional </w:t>
            </w:r>
            <w:r w:rsidR="002D3979">
              <w:rPr>
                <w:rFonts w:eastAsia="Times New Roman"/>
                <w:color w:val="000000"/>
                <w:lang w:val="en-IN" w:eastAsia="en-IN" w:bidi="bn-IN"/>
              </w:rPr>
              <w:t>common and</w:t>
            </w:r>
            <w:r>
              <w:rPr>
                <w:rFonts w:eastAsia="Times New Roman"/>
                <w:color w:val="000000"/>
                <w:lang w:val="en-IN" w:eastAsia="en-IN" w:bidi="bn-IN"/>
              </w:rPr>
              <w:t xml:space="preserve"> a neurodivergent adult</w:t>
            </w:r>
          </w:p>
          <w:p w14:paraId="6AEFE889" w14:textId="77777777" w:rsidR="00E56BB2" w:rsidRDefault="00E56BB2">
            <w:pPr>
              <w:jc w:val="left"/>
              <w:rPr>
                <w:rFonts w:ascii="Times New Roman" w:eastAsia="Times New Roman" w:hAnsi="Times New Roman" w:cs="Times New Roman"/>
                <w:sz w:val="24"/>
                <w:szCs w:val="24"/>
                <w:lang w:val="en-IN" w:eastAsia="en-IN" w:bidi="bn-IN"/>
              </w:rPr>
            </w:pPr>
          </w:p>
          <w:p w14:paraId="10B8BC6B" w14:textId="77777777" w:rsidR="00E56BB2" w:rsidRDefault="00E56BB2">
            <w:pPr>
              <w:rPr>
                <w:rFonts w:ascii="Times New Roman" w:eastAsia="Times New Roman" w:hAnsi="Times New Roman" w:cs="Times New Roman"/>
                <w:sz w:val="24"/>
                <w:szCs w:val="24"/>
                <w:lang w:val="en-IN" w:eastAsia="en-IN" w:bidi="bn-IN"/>
              </w:rPr>
            </w:pPr>
            <w:r>
              <w:rPr>
                <w:rFonts w:eastAsia="Times New Roman"/>
                <w:color w:val="000000"/>
                <w:lang w:val="en-IN" w:eastAsia="en-IN" w:bidi="bn-IN"/>
              </w:rPr>
              <w:t>To go through the neurotypical adults' experiences in the hiring process</w:t>
            </w:r>
          </w:p>
          <w:p w14:paraId="1A211709" w14:textId="77777777" w:rsidR="00E56BB2" w:rsidRDefault="00E56BB2">
            <w:pPr>
              <w:jc w:val="left"/>
              <w:rPr>
                <w:rFonts w:ascii="Times New Roman" w:eastAsia="Times New Roman" w:hAnsi="Times New Roman" w:cs="Times New Roman"/>
                <w:sz w:val="24"/>
                <w:szCs w:val="24"/>
                <w:lang w:val="en-IN" w:eastAsia="en-IN" w:bidi="bn-IN"/>
              </w:rPr>
            </w:pPr>
            <w:r>
              <w:rPr>
                <w:rFonts w:ascii="Times New Roman" w:eastAsia="Times New Roman" w:hAnsi="Times New Roman" w:cs="Times New Roman"/>
                <w:sz w:val="24"/>
                <w:szCs w:val="24"/>
                <w:lang w:val="en-IN" w:eastAsia="en-IN" w:bidi="bn-IN"/>
              </w:rP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7D76A9" w14:textId="77777777" w:rsidR="00E56BB2" w:rsidRDefault="00E56BB2">
            <w:pPr>
              <w:rPr>
                <w:rFonts w:ascii="Times New Roman" w:eastAsia="Times New Roman" w:hAnsi="Times New Roman" w:cs="Times New Roman"/>
                <w:sz w:val="24"/>
                <w:szCs w:val="24"/>
                <w:lang w:val="en-IN" w:eastAsia="en-IN" w:bidi="bn-IN"/>
              </w:rPr>
            </w:pPr>
            <w:r>
              <w:rPr>
                <w:rFonts w:eastAsia="Times New Roman"/>
                <w:color w:val="000000"/>
                <w:lang w:val="en-IN" w:eastAsia="en-IN" w:bidi="bn-IN"/>
              </w:rPr>
              <w:t>Estimation from different types of International and peer-reviewed articles, estimation of qualitative data collection </w:t>
            </w:r>
          </w:p>
          <w:p w14:paraId="223DE253" w14:textId="77777777" w:rsidR="00E56BB2" w:rsidRDefault="00E56BB2">
            <w:pPr>
              <w:rPr>
                <w:rFonts w:ascii="Times New Roman" w:eastAsia="Times New Roman" w:hAnsi="Times New Roman" w:cs="Times New Roman"/>
                <w:sz w:val="24"/>
                <w:szCs w:val="24"/>
                <w:lang w:val="en-IN" w:eastAsia="en-IN" w:bidi="bn-IN"/>
              </w:rPr>
            </w:pPr>
            <w:r>
              <w:rPr>
                <w:rFonts w:eastAsia="Times New Roman"/>
                <w:color w:val="000000"/>
                <w:lang w:val="en-IN" w:eastAsia="en-IN" w:bidi="bn-IN"/>
              </w:rPr>
              <w:t>Secondary process of research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205515" w14:textId="77777777" w:rsidR="00E56BB2" w:rsidRDefault="00E56BB2">
            <w:pPr>
              <w:rPr>
                <w:rFonts w:ascii="Times New Roman" w:eastAsia="Times New Roman" w:hAnsi="Times New Roman" w:cs="Times New Roman"/>
                <w:sz w:val="24"/>
                <w:szCs w:val="24"/>
                <w:lang w:val="en-IN" w:eastAsia="en-IN" w:bidi="bn-IN"/>
              </w:rPr>
            </w:pPr>
            <w:r>
              <w:rPr>
                <w:rFonts w:eastAsia="Times New Roman"/>
                <w:color w:val="000000"/>
                <w:lang w:val="en-IN" w:eastAsia="en-IN" w:bidi="bn-IN"/>
              </w:rPr>
              <w:t>The problems in cognitive processing, the style of communication, the typical area of alignment and issues in social introduction are found from the study.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6CE9AF" w14:textId="77777777" w:rsidR="00E56BB2" w:rsidRDefault="00E56BB2">
            <w:pPr>
              <w:rPr>
                <w:rFonts w:ascii="Times New Roman" w:eastAsia="Times New Roman" w:hAnsi="Times New Roman" w:cs="Times New Roman"/>
                <w:sz w:val="24"/>
                <w:szCs w:val="24"/>
                <w:lang w:val="en-IN" w:eastAsia="en-IN" w:bidi="bn-IN"/>
              </w:rPr>
            </w:pPr>
            <w:r>
              <w:rPr>
                <w:rFonts w:eastAsia="Times New Roman"/>
                <w:color w:val="000000"/>
                <w:lang w:val="en-IN" w:eastAsia="en-IN" w:bidi="bn-IN"/>
              </w:rPr>
              <w:t>The objective of identifying the difference between neurodivergent and conventional common adults becomes impactful for the estimation of behaviour and cognitive experience, and the issues in the process of employment.</w:t>
            </w:r>
          </w:p>
        </w:tc>
      </w:tr>
      <w:tr w:rsidR="00E56BB2" w14:paraId="0AABB4CB"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6643A5" w14:textId="77777777" w:rsidR="00E56BB2" w:rsidRDefault="00E56BB2">
            <w:pPr>
              <w:spacing w:before="240"/>
              <w:rPr>
                <w:rFonts w:ascii="Times New Roman" w:eastAsia="Times New Roman" w:hAnsi="Times New Roman" w:cs="Times New Roman"/>
                <w:sz w:val="24"/>
                <w:szCs w:val="24"/>
                <w:lang w:val="en-IN" w:eastAsia="en-IN" w:bidi="bn-IN"/>
              </w:rPr>
            </w:pPr>
            <w:r>
              <w:rPr>
                <w:rFonts w:eastAsia="Times New Roman"/>
                <w:b/>
                <w:bCs/>
                <w:color w:val="000000"/>
                <w:lang w:val="en-IN" w:eastAsia="en-IN" w:bidi="bn-IN"/>
              </w:rPr>
              <w:t>McKinney and Swartz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3DE6E3" w14:textId="77777777" w:rsidR="00E56BB2" w:rsidRDefault="00E56BB2">
            <w:pPr>
              <w:rPr>
                <w:rFonts w:ascii="Times New Roman" w:eastAsia="Times New Roman" w:hAnsi="Times New Roman" w:cs="Times New Roman"/>
                <w:sz w:val="24"/>
                <w:szCs w:val="24"/>
                <w:lang w:val="en-IN" w:eastAsia="en-IN" w:bidi="bn-IN"/>
              </w:rPr>
            </w:pPr>
            <w:r>
              <w:rPr>
                <w:rFonts w:eastAsia="Times New Roman"/>
                <w:color w:val="000000"/>
                <w:lang w:val="en-IN" w:eastAsia="en-IN" w:bidi="bn-IN"/>
              </w:rPr>
              <w:t>To identify the purpose of employment integration barriers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CF530F" w14:textId="77777777" w:rsidR="00E56BB2" w:rsidRDefault="00E56BB2">
            <w:pPr>
              <w:rPr>
                <w:rFonts w:ascii="Times New Roman" w:eastAsia="Times New Roman" w:hAnsi="Times New Roman" w:cs="Times New Roman"/>
                <w:sz w:val="24"/>
                <w:szCs w:val="24"/>
                <w:lang w:val="en-IN" w:eastAsia="en-IN" w:bidi="bn-IN"/>
              </w:rPr>
            </w:pPr>
            <w:r>
              <w:rPr>
                <w:rFonts w:eastAsia="Times New Roman"/>
                <w:color w:val="000000"/>
                <w:lang w:val="en-IN" w:eastAsia="en-IN" w:bidi="bn-IN"/>
              </w:rPr>
              <w:t>Exploration of the purpose of employment integration through secondary research and evaluation of the qualitative data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B20997" w14:textId="77777777" w:rsidR="00E56BB2" w:rsidRDefault="00E56BB2">
            <w:pPr>
              <w:rPr>
                <w:rFonts w:ascii="Times New Roman" w:eastAsia="Times New Roman" w:hAnsi="Times New Roman" w:cs="Times New Roman"/>
                <w:sz w:val="24"/>
                <w:szCs w:val="24"/>
                <w:lang w:val="en-IN" w:eastAsia="en-IN" w:bidi="bn-IN"/>
              </w:rPr>
            </w:pPr>
            <w:r>
              <w:rPr>
                <w:rFonts w:eastAsia="Times New Roman"/>
                <w:color w:val="000000"/>
                <w:lang w:val="en-IN" w:eastAsia="en-IN" w:bidi="bn-IN"/>
              </w:rPr>
              <w:t>The estimation of improvement in workforce participation, the purpose of ensuring equal access to employment and eliminating systematic discrimination are all related to the purpose of employment integration barriers and their further removal.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26C6F7" w14:textId="77777777" w:rsidR="00E56BB2" w:rsidRDefault="00E56BB2">
            <w:pPr>
              <w:rPr>
                <w:rFonts w:ascii="Times New Roman" w:eastAsia="Times New Roman" w:hAnsi="Times New Roman" w:cs="Times New Roman"/>
                <w:sz w:val="24"/>
                <w:szCs w:val="24"/>
                <w:lang w:val="en-IN" w:eastAsia="en-IN" w:bidi="bn-IN"/>
              </w:rPr>
            </w:pPr>
            <w:r>
              <w:rPr>
                <w:rFonts w:eastAsia="Times New Roman"/>
                <w:color w:val="000000"/>
                <w:lang w:val="en-IN" w:eastAsia="en-IN" w:bidi="bn-IN"/>
              </w:rPr>
              <w:t>The fulfilment of the objective of identifying the barriers of employment integration and the promotion of improving workforce participation are found in this discussion.</w:t>
            </w:r>
          </w:p>
        </w:tc>
      </w:tr>
      <w:tr w:rsidR="00E56BB2" w14:paraId="4182AAC1"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439906" w14:textId="77777777" w:rsidR="00E56BB2" w:rsidRDefault="00E56BB2">
            <w:pPr>
              <w:rPr>
                <w:rFonts w:ascii="Times New Roman" w:eastAsia="Times New Roman" w:hAnsi="Times New Roman" w:cs="Times New Roman"/>
                <w:sz w:val="24"/>
                <w:szCs w:val="24"/>
                <w:lang w:val="en-IN" w:eastAsia="en-IN" w:bidi="bn-IN"/>
              </w:rPr>
            </w:pPr>
            <w:r>
              <w:rPr>
                <w:rFonts w:eastAsia="Times New Roman"/>
                <w:b/>
                <w:bCs/>
                <w:color w:val="000000"/>
                <w:lang w:val="en-IN" w:eastAsia="en-IN" w:bidi="bn-IN"/>
              </w:rPr>
              <w:lastRenderedPageBreak/>
              <w:t xml:space="preserve">Chadwick </w:t>
            </w:r>
            <w:r>
              <w:rPr>
                <w:rFonts w:eastAsia="Times New Roman"/>
                <w:b/>
                <w:bCs/>
                <w:i/>
                <w:iCs/>
                <w:color w:val="000000"/>
                <w:lang w:val="en-IN" w:eastAsia="en-IN" w:bidi="bn-IN"/>
              </w:rPr>
              <w:t>et al.</w:t>
            </w:r>
            <w:r>
              <w:rPr>
                <w:rFonts w:eastAsia="Times New Roman"/>
                <w:b/>
                <w:bCs/>
                <w:color w:val="000000"/>
                <w:lang w:val="en-IN" w:eastAsia="en-IN" w:bidi="bn-IN"/>
              </w:rPr>
              <w:t xml:space="preserve">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526DBE" w14:textId="2D4E9274" w:rsidR="00E56BB2" w:rsidRDefault="00E56BB2">
            <w:pPr>
              <w:rPr>
                <w:rFonts w:ascii="Times New Roman" w:eastAsia="Times New Roman" w:hAnsi="Times New Roman" w:cs="Times New Roman"/>
                <w:sz w:val="24"/>
                <w:szCs w:val="24"/>
                <w:lang w:val="en-IN" w:eastAsia="en-IN" w:bidi="bn-IN"/>
              </w:rPr>
            </w:pPr>
            <w:r>
              <w:rPr>
                <w:rFonts w:eastAsia="Times New Roman"/>
                <w:color w:val="000000"/>
                <w:lang w:val="en-IN" w:eastAsia="en-IN" w:bidi="bn-IN"/>
              </w:rPr>
              <w:t xml:space="preserve">To </w:t>
            </w:r>
            <w:r w:rsidR="002D3979">
              <w:rPr>
                <w:rFonts w:eastAsia="Times New Roman"/>
                <w:color w:val="000000"/>
                <w:lang w:val="en-IN" w:eastAsia="en-IN" w:bidi="bn-IN"/>
              </w:rPr>
              <w:t>investigate</w:t>
            </w:r>
            <w:r>
              <w:rPr>
                <w:rFonts w:eastAsia="Times New Roman"/>
                <w:color w:val="000000"/>
                <w:lang w:val="en-IN" w:eastAsia="en-IN" w:bidi="bn-IN"/>
              </w:rPr>
              <w:t xml:space="preserve"> the system of digital inclusion and participation in intellectual disability and its impact on the international process.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4907E2" w14:textId="77777777" w:rsidR="00E56BB2" w:rsidRDefault="00E56BB2">
            <w:pPr>
              <w:rPr>
                <w:rFonts w:ascii="Times New Roman" w:eastAsia="Times New Roman" w:hAnsi="Times New Roman" w:cs="Times New Roman"/>
                <w:sz w:val="24"/>
                <w:szCs w:val="24"/>
                <w:lang w:val="en-IN" w:eastAsia="en-IN" w:bidi="bn-IN"/>
              </w:rPr>
            </w:pPr>
            <w:r>
              <w:rPr>
                <w:rFonts w:eastAsia="Times New Roman"/>
                <w:color w:val="000000"/>
                <w:lang w:val="en-IN" w:eastAsia="en-IN" w:bidi="bn-IN"/>
              </w:rPr>
              <w:t>Evaluation of existing studies and different types of open resources to explore the purpose of employment integration, covering the idea of disability and its impact.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C05E98" w14:textId="77777777" w:rsidR="00E56BB2" w:rsidRDefault="00E56BB2">
            <w:pPr>
              <w:rPr>
                <w:rFonts w:ascii="Times New Roman" w:eastAsia="Times New Roman" w:hAnsi="Times New Roman" w:cs="Times New Roman"/>
                <w:sz w:val="24"/>
                <w:szCs w:val="24"/>
                <w:lang w:val="en-IN" w:eastAsia="en-IN" w:bidi="bn-IN"/>
              </w:rPr>
            </w:pPr>
            <w:r>
              <w:rPr>
                <w:rFonts w:eastAsia="Times New Roman"/>
                <w:color w:val="000000"/>
                <w:lang w:val="en-IN" w:eastAsia="en-IN" w:bidi="bn-IN"/>
              </w:rPr>
              <w:t>The estimation of the process of intellectual disability and inclusion of digital purposes is followed by the concept of human rights, social inclusion, civic engagement and enhancement of healthcare to proceed with the purpose of self-management.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F99980" w14:textId="77777777" w:rsidR="00E56BB2" w:rsidRDefault="00E56BB2">
            <w:pPr>
              <w:rPr>
                <w:rFonts w:ascii="Times New Roman" w:eastAsia="Times New Roman" w:hAnsi="Times New Roman" w:cs="Times New Roman"/>
                <w:sz w:val="24"/>
                <w:szCs w:val="24"/>
                <w:lang w:val="en-IN" w:eastAsia="en-IN" w:bidi="bn-IN"/>
              </w:rPr>
            </w:pPr>
            <w:r>
              <w:rPr>
                <w:rFonts w:eastAsia="Times New Roman"/>
                <w:color w:val="000000"/>
                <w:lang w:val="en-IN" w:eastAsia="en-IN" w:bidi="bn-IN"/>
              </w:rPr>
              <w:t>The fulfilment of the identification of digital inclusion for intellectual disability.</w:t>
            </w:r>
          </w:p>
        </w:tc>
      </w:tr>
    </w:tbl>
    <w:p w14:paraId="4CDD8421" w14:textId="77777777" w:rsidR="00E56BB2" w:rsidRDefault="00E56BB2" w:rsidP="00E56BB2">
      <w:pPr>
        <w:rPr>
          <w:rFonts w:ascii="Times New Roman" w:eastAsia="Times New Roman" w:hAnsi="Times New Roman" w:cs="Times New Roman"/>
          <w:sz w:val="24"/>
          <w:szCs w:val="24"/>
          <w:lang w:eastAsia="en-IN" w:bidi="bn-IN"/>
        </w:rPr>
      </w:pPr>
      <w:r>
        <w:rPr>
          <w:rFonts w:eastAsia="Times New Roman"/>
          <w:b/>
          <w:bCs/>
          <w:color w:val="000000"/>
          <w:lang w:eastAsia="en-IN" w:bidi="bn-IN"/>
        </w:rPr>
        <w:t> </w:t>
      </w:r>
    </w:p>
    <w:p w14:paraId="6922D3E8" w14:textId="77777777" w:rsidR="00E56BB2" w:rsidRPr="002D3979" w:rsidRDefault="00E56BB2" w:rsidP="00E56BB2">
      <w:pPr>
        <w:pStyle w:val="Heading2"/>
        <w:rPr>
          <w:rFonts w:ascii="Arial" w:eastAsia="Arial" w:hAnsi="Arial" w:cs="Arial"/>
          <w:b/>
          <w:bCs/>
          <w:color w:val="auto"/>
          <w:sz w:val="22"/>
          <w:szCs w:val="22"/>
          <w:lang w:eastAsia="en-US" w:bidi="bn-IN"/>
        </w:rPr>
      </w:pPr>
      <w:bookmarkStart w:id="27" w:name="_Toc209264107"/>
      <w:r w:rsidRPr="002D3979">
        <w:rPr>
          <w:rFonts w:ascii="Arial" w:hAnsi="Arial" w:cs="Arial"/>
          <w:b/>
          <w:bCs/>
          <w:color w:val="auto"/>
          <w:sz w:val="22"/>
          <w:szCs w:val="22"/>
          <w:lang w:bidi="bn-IN"/>
        </w:rPr>
        <w:t>4.2 Thematic Analysis</w:t>
      </w:r>
      <w:bookmarkEnd w:id="27"/>
      <w:r w:rsidRPr="002D3979">
        <w:rPr>
          <w:rFonts w:ascii="Arial" w:hAnsi="Arial" w:cs="Arial"/>
          <w:b/>
          <w:bCs/>
          <w:color w:val="auto"/>
          <w:sz w:val="22"/>
          <w:szCs w:val="22"/>
          <w:lang w:bidi="bn-IN"/>
        </w:rPr>
        <w:t> </w:t>
      </w:r>
    </w:p>
    <w:tbl>
      <w:tblPr>
        <w:tblW w:w="9921" w:type="dxa"/>
        <w:tblLook w:val="04A0" w:firstRow="1" w:lastRow="0" w:firstColumn="1" w:lastColumn="0" w:noHBand="0" w:noVBand="1"/>
      </w:tblPr>
      <w:tblGrid>
        <w:gridCol w:w="1741"/>
        <w:gridCol w:w="1741"/>
        <w:gridCol w:w="1741"/>
        <w:gridCol w:w="1595"/>
        <w:gridCol w:w="1411"/>
        <w:gridCol w:w="1692"/>
      </w:tblGrid>
      <w:tr w:rsidR="00E56BB2" w14:paraId="2C06348F"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285706" w14:textId="77777777" w:rsidR="00E56BB2" w:rsidRDefault="00E56BB2">
            <w:pPr>
              <w:jc w:val="left"/>
              <w:rPr>
                <w:rFonts w:ascii="Times New Roman" w:eastAsia="Times New Roman" w:hAnsi="Times New Roman" w:cs="Times New Roman"/>
                <w:sz w:val="24"/>
                <w:szCs w:val="24"/>
                <w:lang w:val="en-IN" w:eastAsia="en-IN" w:bidi="bn-IN"/>
              </w:rPr>
            </w:pPr>
            <w:r>
              <w:rPr>
                <w:rFonts w:eastAsia="Times New Roman"/>
                <w:b/>
                <w:bCs/>
                <w:color w:val="000000"/>
                <w:lang w:val="en-IN" w:eastAsia="en-IN" w:bidi="bn-IN"/>
              </w:rPr>
              <w:t>Familiarization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9F8906" w14:textId="77777777" w:rsidR="00E56BB2" w:rsidRDefault="00E56BB2">
            <w:pPr>
              <w:jc w:val="left"/>
              <w:rPr>
                <w:rFonts w:ascii="Times New Roman" w:eastAsia="Times New Roman" w:hAnsi="Times New Roman" w:cs="Times New Roman"/>
                <w:sz w:val="24"/>
                <w:szCs w:val="24"/>
                <w:lang w:val="en-IN" w:eastAsia="en-IN" w:bidi="bn-IN"/>
              </w:rPr>
            </w:pPr>
            <w:r>
              <w:rPr>
                <w:rFonts w:eastAsia="Times New Roman"/>
                <w:b/>
                <w:bCs/>
                <w:color w:val="000000"/>
                <w:lang w:val="en-IN" w:eastAsia="en-IN" w:bidi="bn-IN"/>
              </w:rPr>
              <w:t>Coding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589129" w14:textId="77777777" w:rsidR="00E56BB2" w:rsidRDefault="00E56BB2">
            <w:pPr>
              <w:jc w:val="left"/>
              <w:rPr>
                <w:rFonts w:ascii="Times New Roman" w:eastAsia="Times New Roman" w:hAnsi="Times New Roman" w:cs="Times New Roman"/>
                <w:sz w:val="24"/>
                <w:szCs w:val="24"/>
                <w:lang w:val="en-IN" w:eastAsia="en-IN" w:bidi="bn-IN"/>
              </w:rPr>
            </w:pPr>
            <w:r>
              <w:rPr>
                <w:rFonts w:eastAsia="Times New Roman"/>
                <w:b/>
                <w:bCs/>
                <w:color w:val="000000"/>
                <w:lang w:val="en-IN" w:eastAsia="en-IN" w:bidi="bn-IN"/>
              </w:rPr>
              <w:t>Generating themes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C58D8A" w14:textId="77777777" w:rsidR="00E56BB2" w:rsidRDefault="00E56BB2">
            <w:pPr>
              <w:jc w:val="left"/>
              <w:rPr>
                <w:rFonts w:ascii="Times New Roman" w:eastAsia="Times New Roman" w:hAnsi="Times New Roman" w:cs="Times New Roman"/>
                <w:sz w:val="24"/>
                <w:szCs w:val="24"/>
                <w:lang w:val="en-IN" w:eastAsia="en-IN" w:bidi="bn-IN"/>
              </w:rPr>
            </w:pPr>
            <w:r>
              <w:rPr>
                <w:rFonts w:eastAsia="Times New Roman"/>
                <w:b/>
                <w:bCs/>
                <w:color w:val="000000"/>
                <w:lang w:val="en-IN" w:eastAsia="en-IN" w:bidi="bn-IN"/>
              </w:rPr>
              <w:t>Reviewing themes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D3B117" w14:textId="77777777" w:rsidR="00E56BB2" w:rsidRDefault="00E56BB2">
            <w:pPr>
              <w:jc w:val="left"/>
              <w:rPr>
                <w:rFonts w:ascii="Times New Roman" w:eastAsia="Times New Roman" w:hAnsi="Times New Roman" w:cs="Times New Roman"/>
                <w:sz w:val="24"/>
                <w:szCs w:val="24"/>
                <w:lang w:val="en-IN" w:eastAsia="en-IN" w:bidi="bn-IN"/>
              </w:rPr>
            </w:pPr>
            <w:r>
              <w:rPr>
                <w:rFonts w:eastAsia="Times New Roman"/>
                <w:b/>
                <w:bCs/>
                <w:color w:val="000000"/>
                <w:lang w:val="en-IN" w:eastAsia="en-IN" w:bidi="bn-IN"/>
              </w:rPr>
              <w:t>Naming themes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3D7D8C" w14:textId="77777777" w:rsidR="00E56BB2" w:rsidRDefault="00E56BB2">
            <w:pPr>
              <w:jc w:val="left"/>
              <w:rPr>
                <w:rFonts w:ascii="Times New Roman" w:eastAsia="Times New Roman" w:hAnsi="Times New Roman" w:cs="Times New Roman"/>
                <w:sz w:val="24"/>
                <w:szCs w:val="24"/>
                <w:lang w:val="en-IN" w:eastAsia="en-IN" w:bidi="bn-IN"/>
              </w:rPr>
            </w:pPr>
            <w:r>
              <w:rPr>
                <w:rFonts w:eastAsia="Times New Roman"/>
                <w:b/>
                <w:bCs/>
                <w:color w:val="000000"/>
                <w:lang w:val="en-IN" w:eastAsia="en-IN" w:bidi="bn-IN"/>
              </w:rPr>
              <w:t>Writing up</w:t>
            </w:r>
          </w:p>
        </w:tc>
      </w:tr>
      <w:tr w:rsidR="00E56BB2" w14:paraId="291DB1E1"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1B1D7B" w14:textId="77777777" w:rsidR="00E56BB2" w:rsidRDefault="00E56BB2">
            <w:pPr>
              <w:jc w:val="left"/>
              <w:rPr>
                <w:rFonts w:ascii="Times New Roman" w:eastAsia="Times New Roman" w:hAnsi="Times New Roman" w:cs="Times New Roman"/>
                <w:sz w:val="24"/>
                <w:szCs w:val="24"/>
                <w:lang w:val="en-IN" w:eastAsia="en-IN" w:bidi="bn-IN"/>
              </w:rPr>
            </w:pPr>
            <w:r>
              <w:rPr>
                <w:rFonts w:eastAsia="Times New Roman"/>
                <w:color w:val="000000"/>
                <w:lang w:val="en-IN" w:eastAsia="en-IN" w:bidi="bn-IN"/>
              </w:rPr>
              <w:t xml:space="preserve">The purpose of estimating the experience of mental health service providers needs to go through the involvement of several key factors (Ee </w:t>
            </w:r>
            <w:r>
              <w:rPr>
                <w:rFonts w:eastAsia="Times New Roman"/>
                <w:i/>
                <w:iCs/>
                <w:color w:val="000000"/>
                <w:lang w:val="en-IN" w:eastAsia="en-IN" w:bidi="bn-IN"/>
              </w:rPr>
              <w:t>et al.</w:t>
            </w:r>
            <w:r>
              <w:rPr>
                <w:rFonts w:eastAsia="Times New Roman"/>
                <w:color w:val="000000"/>
                <w:lang w:val="en-IN" w:eastAsia="en-IN" w:bidi="bn-IN"/>
              </w:rPr>
              <w:t xml:space="preserve"> 2022). The management of different conditions, the implementation </w:t>
            </w:r>
            <w:r>
              <w:rPr>
                <w:rFonts w:eastAsia="Times New Roman"/>
                <w:color w:val="000000"/>
                <w:lang w:val="en-IN" w:eastAsia="en-IN" w:bidi="bn-IN"/>
              </w:rPr>
              <w:lastRenderedPageBreak/>
              <w:t>of the purpose of individual and group therapy and crisis intervention are followed by them to move forward for providing better services.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46AEC1" w14:textId="77777777" w:rsidR="00E56BB2" w:rsidRDefault="00E56BB2">
            <w:pPr>
              <w:jc w:val="left"/>
              <w:rPr>
                <w:rFonts w:ascii="Times New Roman" w:eastAsia="Times New Roman" w:hAnsi="Times New Roman" w:cs="Times New Roman"/>
                <w:sz w:val="24"/>
                <w:szCs w:val="24"/>
                <w:lang w:val="en-IN" w:eastAsia="en-IN" w:bidi="bn-IN"/>
              </w:rPr>
            </w:pPr>
            <w:r>
              <w:rPr>
                <w:rFonts w:eastAsia="Times New Roman"/>
                <w:color w:val="000000"/>
                <w:lang w:val="en-IN" w:eastAsia="en-IN" w:bidi="bn-IN"/>
              </w:rPr>
              <w:lastRenderedPageBreak/>
              <w:t>CBT, clinical expertise, adaptability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AB0F5C" w14:textId="77777777" w:rsidR="00E56BB2" w:rsidRDefault="00E56BB2">
            <w:pPr>
              <w:jc w:val="left"/>
              <w:rPr>
                <w:rFonts w:ascii="Times New Roman" w:eastAsia="Times New Roman" w:hAnsi="Times New Roman" w:cs="Times New Roman"/>
                <w:sz w:val="24"/>
                <w:szCs w:val="24"/>
                <w:lang w:val="en-IN" w:eastAsia="en-IN" w:bidi="bn-IN"/>
              </w:rPr>
            </w:pPr>
            <w:r>
              <w:rPr>
                <w:rFonts w:eastAsia="Times New Roman"/>
                <w:color w:val="000000"/>
                <w:lang w:val="en-IN" w:eastAsia="en-IN" w:bidi="bn-IN"/>
              </w:rPr>
              <w:t>The recurring aspect of Mental Health, the system of medication and coordination, and the mode of service delivery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790FF8" w14:textId="77777777" w:rsidR="00E56BB2" w:rsidRDefault="00E56BB2">
            <w:pPr>
              <w:jc w:val="left"/>
              <w:rPr>
                <w:rFonts w:ascii="Times New Roman" w:eastAsia="Times New Roman" w:hAnsi="Times New Roman" w:cs="Times New Roman"/>
                <w:sz w:val="24"/>
                <w:szCs w:val="24"/>
                <w:lang w:val="en-IN" w:eastAsia="en-IN" w:bidi="bn-IN"/>
              </w:rPr>
            </w:pPr>
            <w:r>
              <w:rPr>
                <w:rFonts w:eastAsia="Times New Roman"/>
                <w:color w:val="000000"/>
                <w:lang w:val="en-IN" w:eastAsia="en-IN" w:bidi="bn-IN"/>
              </w:rPr>
              <w:t>The aspect</w:t>
            </w:r>
            <w:r>
              <w:rPr>
                <w:rFonts w:eastAsia="Times New Roman"/>
                <w:b/>
                <w:bCs/>
                <w:color w:val="000000"/>
                <w:lang w:val="en-IN" w:eastAsia="en-IN" w:bidi="bn-IN"/>
              </w:rPr>
              <w:t xml:space="preserve"> </w:t>
            </w:r>
            <w:r>
              <w:rPr>
                <w:rFonts w:eastAsia="Times New Roman"/>
                <w:color w:val="000000"/>
                <w:lang w:val="en-IN" w:eastAsia="en-IN" w:bidi="bn-IN"/>
              </w:rPr>
              <w:t>of the data regarding the experience level is followed by entry, mid-career and senior level, which are associated with the treatment of common adult mental health issues.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6664E1" w14:textId="77777777" w:rsidR="00E56BB2" w:rsidRDefault="00E56BB2">
            <w:pPr>
              <w:jc w:val="left"/>
              <w:rPr>
                <w:rFonts w:ascii="Times New Roman" w:eastAsia="Times New Roman" w:hAnsi="Times New Roman" w:cs="Times New Roman"/>
                <w:sz w:val="24"/>
                <w:szCs w:val="24"/>
                <w:lang w:val="en-IN" w:eastAsia="en-IN" w:bidi="bn-IN"/>
              </w:rPr>
            </w:pPr>
            <w:r>
              <w:rPr>
                <w:rFonts w:eastAsia="Times New Roman"/>
                <w:color w:val="000000"/>
                <w:lang w:val="en-IN" w:eastAsia="en-IN" w:bidi="bn-IN"/>
              </w:rPr>
              <w:t>Therapy Treatment for removing the issues of Mental Health conditions of adults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38BFA9" w14:textId="74FCA118" w:rsidR="00E56BB2" w:rsidRDefault="00E56BB2">
            <w:pPr>
              <w:jc w:val="left"/>
              <w:rPr>
                <w:rFonts w:ascii="Times New Roman" w:eastAsia="Times New Roman" w:hAnsi="Times New Roman" w:cs="Times New Roman"/>
                <w:sz w:val="24"/>
                <w:szCs w:val="24"/>
                <w:lang w:val="en-IN" w:eastAsia="en-IN" w:bidi="bn-IN"/>
              </w:rPr>
            </w:pPr>
            <w:r>
              <w:rPr>
                <w:rFonts w:eastAsia="Times New Roman"/>
                <w:color w:val="000000"/>
                <w:lang w:val="en-IN" w:eastAsia="en-IN" w:bidi="bn-IN"/>
              </w:rPr>
              <w:t xml:space="preserve">The experience of the professionals focusing on learning practical application of theory, </w:t>
            </w:r>
            <w:r w:rsidR="002D3979">
              <w:rPr>
                <w:rFonts w:eastAsia="Times New Roman"/>
                <w:color w:val="000000"/>
                <w:lang w:val="en-IN" w:eastAsia="en-IN" w:bidi="bn-IN"/>
              </w:rPr>
              <w:t>and</w:t>
            </w:r>
            <w:r>
              <w:rPr>
                <w:rFonts w:eastAsia="Times New Roman"/>
                <w:color w:val="000000"/>
                <w:lang w:val="en-IN" w:eastAsia="en-IN" w:bidi="bn-IN"/>
              </w:rPr>
              <w:t xml:space="preserve"> the purpose of specialised systems, are associated with the implementation of different </w:t>
            </w:r>
            <w:r>
              <w:rPr>
                <w:rFonts w:eastAsia="Times New Roman"/>
                <w:color w:val="000000"/>
                <w:lang w:val="en-IN" w:eastAsia="en-IN" w:bidi="bn-IN"/>
              </w:rPr>
              <w:lastRenderedPageBreak/>
              <w:t>kinds of therapies like cognitive behavioural therapy, individual and group therapy (</w:t>
            </w:r>
            <w:r>
              <w:rPr>
                <w:lang w:val="en-IN" w:eastAsia="en-US"/>
              </w:rPr>
              <w:t xml:space="preserve">Sammie </w:t>
            </w:r>
            <w:r>
              <w:rPr>
                <w:i/>
                <w:iCs/>
                <w:lang w:val="en-IN" w:eastAsia="en-US"/>
              </w:rPr>
              <w:t xml:space="preserve">et al., </w:t>
            </w:r>
            <w:r>
              <w:rPr>
                <w:lang w:val="en-IN" w:eastAsia="en-US"/>
              </w:rPr>
              <w:t>2024).</w:t>
            </w:r>
            <w:r>
              <w:rPr>
                <w:rFonts w:eastAsia="Times New Roman"/>
                <w:b/>
                <w:bCs/>
                <w:color w:val="000000"/>
                <w:lang w:val="en-IN" w:eastAsia="en-IN" w:bidi="bn-IN"/>
              </w:rPr>
              <w:t xml:space="preserve"> </w:t>
            </w:r>
            <w:r>
              <w:rPr>
                <w:rFonts w:eastAsia="Times New Roman"/>
                <w:color w:val="000000"/>
                <w:lang w:val="en-IN" w:eastAsia="en-IN" w:bidi="bn-IN"/>
              </w:rPr>
              <w:t xml:space="preserve">The estimation of the purpose of clinical expertise is associated with the maintenance of common adult issues and different kinds of variables across the region. The purpose of engaging the clients is associated with the outcome of the experiences and there are also challenges of the underserved population </w:t>
            </w:r>
            <w:r>
              <w:rPr>
                <w:rFonts w:eastAsia="Times New Roman"/>
                <w:color w:val="000000"/>
                <w:lang w:val="en-IN" w:eastAsia="en-IN" w:bidi="bn-IN"/>
              </w:rPr>
              <w:lastRenderedPageBreak/>
              <w:t>(</w:t>
            </w:r>
            <w:r>
              <w:rPr>
                <w:lang w:val="en-IN" w:eastAsia="en-US"/>
              </w:rPr>
              <w:t xml:space="preserve">Davies </w:t>
            </w:r>
            <w:r>
              <w:rPr>
                <w:i/>
                <w:iCs/>
                <w:lang w:val="en-IN" w:eastAsia="en-US"/>
              </w:rPr>
              <w:t xml:space="preserve">et al., </w:t>
            </w:r>
            <w:r>
              <w:rPr>
                <w:lang w:val="en-IN" w:eastAsia="en-US"/>
              </w:rPr>
              <w:t>2023).</w:t>
            </w:r>
          </w:p>
        </w:tc>
      </w:tr>
      <w:tr w:rsidR="00E56BB2" w14:paraId="46A25F69"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3DC566" w14:textId="77777777" w:rsidR="00E56BB2" w:rsidRDefault="00E56BB2">
            <w:pPr>
              <w:jc w:val="left"/>
              <w:rPr>
                <w:rFonts w:ascii="Times New Roman" w:eastAsia="Times New Roman" w:hAnsi="Times New Roman" w:cs="Times New Roman"/>
                <w:sz w:val="24"/>
                <w:szCs w:val="24"/>
                <w:lang w:val="en-IN" w:eastAsia="en-IN" w:bidi="bn-IN"/>
              </w:rPr>
            </w:pPr>
            <w:r>
              <w:rPr>
                <w:rFonts w:eastAsia="Times New Roman"/>
                <w:color w:val="000000"/>
                <w:lang w:val="en-IN" w:eastAsia="en-IN" w:bidi="bn-IN"/>
              </w:rPr>
              <w:lastRenderedPageBreak/>
              <w:t>The purpose of early detection of the disease and the system of conducting a scoping review relates to identifying the benefits of early detection.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CAD0E5" w14:textId="77777777" w:rsidR="00E56BB2" w:rsidRDefault="00E56BB2">
            <w:pPr>
              <w:jc w:val="left"/>
              <w:rPr>
                <w:rFonts w:ascii="Times New Roman" w:eastAsia="Times New Roman" w:hAnsi="Times New Roman" w:cs="Times New Roman"/>
                <w:sz w:val="24"/>
                <w:szCs w:val="24"/>
                <w:lang w:val="en-IN" w:eastAsia="en-IN" w:bidi="bn-IN"/>
              </w:rPr>
            </w:pPr>
            <w:r>
              <w:rPr>
                <w:rFonts w:eastAsia="Times New Roman"/>
                <w:color w:val="000000"/>
                <w:lang w:val="en-IN" w:eastAsia="en-IN" w:bidi="bn-IN"/>
              </w:rPr>
              <w:t>Better prognosis, reduction of psychological burden, facilitative opportunity of preventive care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BC97F7" w14:textId="77777777" w:rsidR="00E56BB2" w:rsidRDefault="00E56BB2">
            <w:pPr>
              <w:spacing w:after="240"/>
              <w:rPr>
                <w:lang w:val="en-IN" w:eastAsia="en-US"/>
              </w:rPr>
            </w:pPr>
            <w:r>
              <w:rPr>
                <w:rFonts w:eastAsia="Times New Roman"/>
                <w:color w:val="000000"/>
                <w:lang w:val="en-IN" w:eastAsia="en-IN" w:bidi="bn-IN"/>
              </w:rPr>
              <w:t>The purpose of early intervention for Mental Health is to help manage it initially. The management of symptoms, reduction in the purpose of healthcare burden, and linking the process of screening programs become helpful for extending the knowledge and education of preventive strategies (</w:t>
            </w:r>
            <w:r>
              <w:rPr>
                <w:lang w:val="en-IN" w:eastAsia="en-US"/>
              </w:rPr>
              <w:t>McKinney and Swartz,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1EB019" w14:textId="16915AF8" w:rsidR="00E56BB2" w:rsidRDefault="00E56BB2">
            <w:pPr>
              <w:jc w:val="left"/>
              <w:rPr>
                <w:rFonts w:ascii="Times New Roman" w:eastAsia="Times New Roman" w:hAnsi="Times New Roman" w:cs="Times New Roman"/>
                <w:sz w:val="24"/>
                <w:szCs w:val="24"/>
                <w:lang w:val="en-IN" w:eastAsia="en-IN" w:bidi="bn-IN"/>
              </w:rPr>
            </w:pPr>
            <w:r>
              <w:rPr>
                <w:rFonts w:eastAsia="Times New Roman"/>
                <w:color w:val="000000"/>
                <w:lang w:val="en-IN" w:eastAsia="en-IN" w:bidi="bn-IN"/>
              </w:rPr>
              <w:t xml:space="preserve">The scoping review of the theme helps in the identification of the disease at an early stage, where biological, behavioural, environmental and </w:t>
            </w:r>
            <w:r w:rsidR="00E81E5A">
              <w:rPr>
                <w:rFonts w:eastAsia="Times New Roman"/>
                <w:color w:val="000000"/>
                <w:lang w:val="en-IN" w:eastAsia="en-IN" w:bidi="bn-IN"/>
              </w:rPr>
              <w:t>psychosocial</w:t>
            </w:r>
            <w:r>
              <w:rPr>
                <w:rFonts w:eastAsia="Times New Roman"/>
                <w:color w:val="000000"/>
                <w:lang w:val="en-IN" w:eastAsia="en-IN" w:bidi="bn-IN"/>
              </w:rPr>
              <w:t xml:space="preserve"> aspects are followed.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56B953" w14:textId="77777777" w:rsidR="00E56BB2" w:rsidRDefault="00E56BB2">
            <w:pPr>
              <w:jc w:val="left"/>
              <w:rPr>
                <w:rFonts w:ascii="Times New Roman" w:eastAsia="Times New Roman" w:hAnsi="Times New Roman" w:cs="Times New Roman"/>
                <w:sz w:val="24"/>
                <w:szCs w:val="24"/>
                <w:lang w:val="en-IN" w:eastAsia="en-IN" w:bidi="bn-IN"/>
              </w:rPr>
            </w:pPr>
            <w:r>
              <w:rPr>
                <w:rFonts w:eastAsia="Times New Roman"/>
                <w:color w:val="000000"/>
                <w:lang w:val="en-IN" w:eastAsia="en-IN" w:bidi="bn-IN"/>
              </w:rPr>
              <w:t>Early detection of mental health issues reduces employment disparity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1083EF" w14:textId="7D3B4977" w:rsidR="00E56BB2" w:rsidRDefault="00E56BB2">
            <w:pPr>
              <w:jc w:val="left"/>
              <w:rPr>
                <w:rFonts w:ascii="Times New Roman" w:eastAsia="Times New Roman" w:hAnsi="Times New Roman" w:cs="Times New Roman"/>
                <w:sz w:val="24"/>
                <w:szCs w:val="24"/>
                <w:lang w:val="en-IN" w:eastAsia="en-IN" w:bidi="bn-IN"/>
              </w:rPr>
            </w:pPr>
            <w:r>
              <w:rPr>
                <w:rFonts w:eastAsia="Times New Roman"/>
                <w:color w:val="000000"/>
                <w:lang w:val="en-IN" w:eastAsia="en-IN" w:bidi="bn-IN"/>
              </w:rPr>
              <w:t xml:space="preserve">Different kinds of mental disabilities have a range of symptoms. The achievement of screening, the purpose of monitoring and the assessment of risk factors are related to the </w:t>
            </w:r>
            <w:r w:rsidR="00E81E5A">
              <w:rPr>
                <w:rFonts w:eastAsia="Times New Roman"/>
                <w:color w:val="000000"/>
                <w:lang w:val="en-IN" w:eastAsia="en-IN" w:bidi="bn-IN"/>
              </w:rPr>
              <w:t>early-stage</w:t>
            </w:r>
            <w:r>
              <w:rPr>
                <w:rFonts w:eastAsia="Times New Roman"/>
                <w:color w:val="000000"/>
                <w:lang w:val="en-IN" w:eastAsia="en-IN" w:bidi="bn-IN"/>
              </w:rPr>
              <w:t xml:space="preserve"> treatment that is effective in the process of cost-effective intervention. The identification of the research questions regarding the risk factor of the disease also helps to figure out that relevant studies using different databases </w:t>
            </w:r>
            <w:r>
              <w:rPr>
                <w:rFonts w:eastAsia="Times New Roman"/>
                <w:color w:val="000000"/>
                <w:lang w:val="en-IN" w:eastAsia="en-IN" w:bidi="bn-IN"/>
              </w:rPr>
              <w:lastRenderedPageBreak/>
              <w:t>help to develop the theme of early detection, which collate and summarise the factors of betterment (</w:t>
            </w:r>
            <w:r>
              <w:rPr>
                <w:lang w:val="en-IN" w:eastAsia="en-US"/>
              </w:rPr>
              <w:t xml:space="preserve">Chadwick </w:t>
            </w:r>
            <w:r>
              <w:rPr>
                <w:i/>
                <w:iCs/>
                <w:lang w:val="en-IN" w:eastAsia="en-US"/>
              </w:rPr>
              <w:t xml:space="preserve">et al., </w:t>
            </w:r>
            <w:r>
              <w:rPr>
                <w:lang w:val="en-IN" w:eastAsia="en-US"/>
              </w:rPr>
              <w:t>2022).</w:t>
            </w:r>
          </w:p>
        </w:tc>
      </w:tr>
      <w:tr w:rsidR="00E56BB2" w14:paraId="2DD230F9"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331516" w14:textId="77777777" w:rsidR="00E56BB2" w:rsidRDefault="00E56BB2">
            <w:pPr>
              <w:jc w:val="left"/>
              <w:rPr>
                <w:rFonts w:ascii="Times New Roman" w:eastAsia="Times New Roman" w:hAnsi="Times New Roman" w:cs="Times New Roman"/>
                <w:sz w:val="24"/>
                <w:szCs w:val="24"/>
                <w:lang w:val="en-IN" w:eastAsia="en-IN" w:bidi="bn-IN"/>
              </w:rPr>
            </w:pPr>
            <w:r>
              <w:rPr>
                <w:rFonts w:eastAsia="Times New Roman"/>
                <w:color w:val="000000"/>
                <w:lang w:val="en-IN" w:eastAsia="en-IN" w:bidi="bn-IN"/>
              </w:rPr>
              <w:lastRenderedPageBreak/>
              <w:t>The estimation of the difference between a conventional and a neurodivergent adult involves the different purposes of behaviour and impact, cognition, social experience and communication.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BCD3F1" w14:textId="77777777" w:rsidR="00E56BB2" w:rsidRDefault="00E56BB2">
            <w:pPr>
              <w:jc w:val="left"/>
              <w:rPr>
                <w:rFonts w:ascii="Times New Roman" w:eastAsia="Times New Roman" w:hAnsi="Times New Roman" w:cs="Times New Roman"/>
                <w:sz w:val="24"/>
                <w:szCs w:val="24"/>
                <w:lang w:val="en-IN" w:eastAsia="en-IN" w:bidi="bn-IN"/>
              </w:rPr>
            </w:pPr>
            <w:r>
              <w:rPr>
                <w:rFonts w:eastAsia="Times New Roman"/>
                <w:color w:val="000000"/>
                <w:lang w:val="en-IN" w:eastAsia="en-IN" w:bidi="bn-IN"/>
              </w:rPr>
              <w:t>Cognitive processing, style of communication, mental health risk and conformity with a unique process of problem solving (</w:t>
            </w:r>
            <w:r>
              <w:rPr>
                <w:lang w:val="en-IN" w:eastAsia="en-US"/>
              </w:rPr>
              <w:t xml:space="preserve">Chadwick </w:t>
            </w:r>
            <w:r>
              <w:rPr>
                <w:i/>
                <w:iCs/>
                <w:lang w:val="en-IN" w:eastAsia="en-US"/>
              </w:rPr>
              <w:t xml:space="preserve">et al., </w:t>
            </w:r>
            <w:r>
              <w:rPr>
                <w:lang w:val="en-IN" w:eastAsia="en-US"/>
              </w:rPr>
              <w:t>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1BB46C" w14:textId="63AB48B8" w:rsidR="00E56BB2" w:rsidRDefault="00E56BB2">
            <w:pPr>
              <w:jc w:val="left"/>
              <w:rPr>
                <w:rFonts w:ascii="Times New Roman" w:eastAsia="Times New Roman" w:hAnsi="Times New Roman" w:cs="Times New Roman"/>
                <w:sz w:val="24"/>
                <w:szCs w:val="24"/>
                <w:lang w:val="en-IN" w:eastAsia="en-IN" w:bidi="bn-IN"/>
              </w:rPr>
            </w:pPr>
            <w:r>
              <w:rPr>
                <w:rFonts w:eastAsia="Times New Roman"/>
                <w:color w:val="000000"/>
                <w:lang w:val="en-IN" w:eastAsia="en-IN" w:bidi="bn-IN"/>
              </w:rPr>
              <w:t xml:space="preserve">The purpose of the issues of neurodivergent adults is to find the right environment. Different kinds of development and differences and issues in typical alignment </w:t>
            </w:r>
            <w:r w:rsidR="002D3979">
              <w:rPr>
                <w:rFonts w:eastAsia="Times New Roman"/>
                <w:color w:val="000000"/>
                <w:lang w:val="en-IN" w:eastAsia="en-IN" w:bidi="bn-IN"/>
              </w:rPr>
              <w:t>led</w:t>
            </w:r>
            <w:r>
              <w:rPr>
                <w:rFonts w:eastAsia="Times New Roman"/>
                <w:color w:val="000000"/>
                <w:lang w:val="en-IN" w:eastAsia="en-IN" w:bidi="bn-IN"/>
              </w:rPr>
              <w:t xml:space="preserve"> to the problems of different kinds of changes in communication.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E54DFA" w14:textId="77777777" w:rsidR="00E56BB2" w:rsidRDefault="00E56BB2">
            <w:pPr>
              <w:jc w:val="left"/>
              <w:rPr>
                <w:rFonts w:ascii="Times New Roman" w:eastAsia="Times New Roman" w:hAnsi="Times New Roman" w:cs="Times New Roman"/>
                <w:sz w:val="24"/>
                <w:szCs w:val="24"/>
                <w:lang w:val="en-IN" w:eastAsia="en-IN" w:bidi="bn-IN"/>
              </w:rPr>
            </w:pPr>
            <w:r>
              <w:rPr>
                <w:rFonts w:eastAsia="Times New Roman"/>
                <w:color w:val="000000"/>
                <w:lang w:val="en-IN" w:eastAsia="en-IN" w:bidi="bn-IN"/>
              </w:rPr>
              <w:t>Reviewing the theme of educational support and the estimation of the comparative study between common people and mentally disabled people, identify the purpose of understanding employment integration barriers.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ED593E" w14:textId="77777777" w:rsidR="00E56BB2" w:rsidRDefault="00E56BB2">
            <w:pPr>
              <w:jc w:val="left"/>
              <w:rPr>
                <w:rFonts w:ascii="Times New Roman" w:eastAsia="Times New Roman" w:hAnsi="Times New Roman" w:cs="Times New Roman"/>
                <w:sz w:val="24"/>
                <w:szCs w:val="24"/>
                <w:lang w:val="en-IN" w:eastAsia="en-IN" w:bidi="bn-IN"/>
              </w:rPr>
            </w:pPr>
            <w:r>
              <w:rPr>
                <w:rFonts w:eastAsia="Times New Roman"/>
                <w:color w:val="000000"/>
                <w:lang w:val="en-IN" w:eastAsia="en-IN" w:bidi="bn-IN"/>
              </w:rPr>
              <w:t>Educational support services for managing the mental health of disabled people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858F2A" w14:textId="77777777" w:rsidR="00E56BB2" w:rsidRDefault="00E56BB2">
            <w:pPr>
              <w:jc w:val="left"/>
              <w:rPr>
                <w:rFonts w:ascii="Times New Roman" w:eastAsia="Times New Roman" w:hAnsi="Times New Roman" w:cs="Times New Roman"/>
                <w:sz w:val="24"/>
                <w:szCs w:val="24"/>
                <w:lang w:val="en-IN" w:eastAsia="en-IN" w:bidi="bn-IN"/>
              </w:rPr>
            </w:pPr>
            <w:r>
              <w:rPr>
                <w:rFonts w:eastAsia="Times New Roman"/>
                <w:color w:val="000000"/>
                <w:lang w:val="en-IN" w:eastAsia="en-IN" w:bidi="bn-IN"/>
              </w:rPr>
              <w:t xml:space="preserve">The estimated profile of neurodivergent adults and different kinds of issues, like challenges in talking, hyposensitivity to stimuli, experience of intense emotion or difficulty in regulating stress, eventually result in the problems of disability in the long run. It is necessary to evaluate the adults in </w:t>
            </w:r>
            <w:r>
              <w:rPr>
                <w:rFonts w:eastAsia="Times New Roman"/>
                <w:color w:val="000000"/>
                <w:lang w:val="en-IN" w:eastAsia="en-IN" w:bidi="bn-IN"/>
              </w:rPr>
              <w:lastRenderedPageBreak/>
              <w:t>estimating their challenges to control them to having a normal life.</w:t>
            </w:r>
          </w:p>
        </w:tc>
      </w:tr>
      <w:tr w:rsidR="00E56BB2" w14:paraId="5E10F84B"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AD9DD1" w14:textId="77777777" w:rsidR="00E56BB2" w:rsidRDefault="00E56BB2">
            <w:pPr>
              <w:jc w:val="left"/>
              <w:rPr>
                <w:rFonts w:ascii="Times New Roman" w:eastAsia="Times New Roman" w:hAnsi="Times New Roman" w:cs="Times New Roman"/>
                <w:sz w:val="24"/>
                <w:szCs w:val="24"/>
                <w:lang w:val="en-IN" w:eastAsia="en-IN" w:bidi="bn-IN"/>
              </w:rPr>
            </w:pPr>
            <w:r>
              <w:rPr>
                <w:rFonts w:eastAsia="Times New Roman"/>
                <w:color w:val="000000"/>
                <w:lang w:val="en-IN" w:eastAsia="en-IN" w:bidi="bn-IN"/>
              </w:rPr>
              <w:lastRenderedPageBreak/>
              <w:t>The estimation of digital inclusion and participation in the purpose of intellectual disability has an impact in the international process of recruitment.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8C4133" w14:textId="77777777" w:rsidR="00E56BB2" w:rsidRDefault="00E56BB2">
            <w:pPr>
              <w:jc w:val="left"/>
              <w:rPr>
                <w:rFonts w:ascii="Times New Roman" w:eastAsia="Times New Roman" w:hAnsi="Times New Roman" w:cs="Times New Roman"/>
                <w:sz w:val="24"/>
                <w:szCs w:val="24"/>
                <w:lang w:val="en-IN" w:eastAsia="en-IN" w:bidi="bn-IN"/>
              </w:rPr>
            </w:pPr>
            <w:r>
              <w:rPr>
                <w:rFonts w:eastAsia="Times New Roman"/>
                <w:color w:val="000000"/>
                <w:lang w:val="en-IN" w:eastAsia="en-IN" w:bidi="bn-IN"/>
              </w:rPr>
              <w:t>The purpose of categorical estimation, the area of employment and civic engagement, intellectual disability and digital inclusion to achieve the purpose of digital technology and its accessibility.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AE3F7C" w14:textId="77777777" w:rsidR="00E56BB2" w:rsidRDefault="00E56BB2">
            <w:pPr>
              <w:jc w:val="left"/>
              <w:rPr>
                <w:rFonts w:ascii="Times New Roman" w:eastAsia="Times New Roman" w:hAnsi="Times New Roman" w:cs="Times New Roman"/>
                <w:sz w:val="24"/>
                <w:szCs w:val="24"/>
                <w:lang w:val="en-IN" w:eastAsia="en-IN" w:bidi="bn-IN"/>
              </w:rPr>
            </w:pPr>
            <w:r>
              <w:rPr>
                <w:rFonts w:eastAsia="Times New Roman"/>
                <w:color w:val="000000"/>
                <w:lang w:val="en-IN" w:eastAsia="en-IN" w:bidi="bn-IN"/>
              </w:rPr>
              <w:t xml:space="preserve">The generation of the theme of digital inclusion matters for the people with intellectual disability to enable the purpose of expression, information and autonomy. The estimation of the purpose of the democratic process of civic engagement, the system of enhancing an accessing to tele-health and looking into the purpose of self-management applications becomes helpful for removing the challenges of </w:t>
            </w:r>
            <w:r>
              <w:rPr>
                <w:rFonts w:eastAsia="Times New Roman"/>
                <w:color w:val="000000"/>
                <w:lang w:val="en-IN" w:eastAsia="en-IN" w:bidi="bn-IN"/>
              </w:rPr>
              <w:lastRenderedPageBreak/>
              <w:t>intellectual disability.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C6387D" w14:textId="77777777" w:rsidR="00E56BB2" w:rsidRDefault="00E56BB2">
            <w:pPr>
              <w:jc w:val="left"/>
              <w:rPr>
                <w:rFonts w:ascii="Times New Roman" w:eastAsia="Times New Roman" w:hAnsi="Times New Roman" w:cs="Times New Roman"/>
                <w:sz w:val="24"/>
                <w:szCs w:val="24"/>
                <w:lang w:val="en-IN" w:eastAsia="en-IN" w:bidi="bn-IN"/>
              </w:rPr>
            </w:pPr>
            <w:r>
              <w:rPr>
                <w:rFonts w:eastAsia="Times New Roman"/>
                <w:color w:val="000000"/>
                <w:lang w:val="en-IN" w:eastAsia="en-IN" w:bidi="bn-IN"/>
              </w:rPr>
              <w:lastRenderedPageBreak/>
              <w:t>The review of the theme of intellectual disability helps to figure out and understand the process of using information and mitigate the knowledge gap of impact in the international recruitment.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71CEFB" w14:textId="77777777" w:rsidR="00E56BB2" w:rsidRDefault="00E56BB2">
            <w:pPr>
              <w:jc w:val="left"/>
              <w:rPr>
                <w:rFonts w:ascii="Times New Roman" w:eastAsia="Times New Roman" w:hAnsi="Times New Roman" w:cs="Times New Roman"/>
                <w:sz w:val="24"/>
                <w:szCs w:val="24"/>
                <w:lang w:val="en-IN" w:eastAsia="en-IN" w:bidi="bn-IN"/>
              </w:rPr>
            </w:pPr>
            <w:r>
              <w:rPr>
                <w:rFonts w:eastAsia="Times New Roman"/>
                <w:color w:val="000000"/>
                <w:lang w:val="en-IN" w:eastAsia="en-IN" w:bidi="bn-IN"/>
              </w:rPr>
              <w:t>International recruitment process for disabled people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1E362B" w14:textId="77777777" w:rsidR="00E56BB2" w:rsidRDefault="00E56BB2">
            <w:pPr>
              <w:jc w:val="left"/>
              <w:rPr>
                <w:rFonts w:ascii="Times New Roman" w:eastAsia="Times New Roman" w:hAnsi="Times New Roman" w:cs="Times New Roman"/>
                <w:sz w:val="24"/>
                <w:szCs w:val="24"/>
                <w:lang w:val="en-IN" w:eastAsia="en-IN" w:bidi="bn-IN"/>
              </w:rPr>
            </w:pPr>
            <w:r>
              <w:rPr>
                <w:rFonts w:eastAsia="Times New Roman"/>
                <w:color w:val="000000"/>
                <w:lang w:val="en-IN" w:eastAsia="en-IN" w:bidi="bn-IN"/>
              </w:rPr>
              <w:t>The United Nations Convention on to Rights of persons with disabilities (UNCRPD) emphasizes access to ICT and other information (</w:t>
            </w:r>
            <w:r>
              <w:rPr>
                <w:lang w:val="en-IN" w:eastAsia="en-US"/>
              </w:rPr>
              <w:t>McKinney and Swartz, 2021)</w:t>
            </w:r>
            <w:r>
              <w:rPr>
                <w:rFonts w:eastAsia="Times New Roman"/>
                <w:color w:val="000000"/>
                <w:lang w:val="en-IN" w:eastAsia="en-IN" w:bidi="bn-IN"/>
              </w:rPr>
              <w:t xml:space="preserve">. The estimation of the patterns, the area of contradiction and mitigation of the knowledge gap become effective with the sustainable development goal of reducing inequalities. The purpose of the global digital </w:t>
            </w:r>
            <w:r>
              <w:rPr>
                <w:rFonts w:eastAsia="Times New Roman"/>
                <w:color w:val="000000"/>
                <w:lang w:val="en-IN" w:eastAsia="en-IN" w:bidi="bn-IN"/>
              </w:rPr>
              <w:lastRenderedPageBreak/>
              <w:t>transformation agenda and the system of international cooperation deals with different types of global action to identify the international standards of recruitment, which will remove the issue of employment barriers for disabled people. </w:t>
            </w:r>
          </w:p>
        </w:tc>
      </w:tr>
    </w:tbl>
    <w:p w14:paraId="4C124C02" w14:textId="77777777" w:rsidR="00E56BB2" w:rsidRDefault="00E56BB2" w:rsidP="00E56BB2">
      <w:pPr>
        <w:jc w:val="left"/>
        <w:rPr>
          <w:rFonts w:ascii="Times New Roman" w:eastAsia="Times New Roman" w:hAnsi="Times New Roman" w:cs="Times New Roman"/>
          <w:sz w:val="24"/>
          <w:szCs w:val="24"/>
          <w:lang w:eastAsia="en-IN" w:bidi="bn-IN"/>
        </w:rPr>
      </w:pPr>
      <w:r>
        <w:rPr>
          <w:rFonts w:ascii="Times New Roman" w:eastAsia="Times New Roman" w:hAnsi="Times New Roman" w:cs="Times New Roman"/>
          <w:sz w:val="24"/>
          <w:szCs w:val="24"/>
          <w:lang w:eastAsia="en-IN" w:bidi="bn-IN"/>
        </w:rPr>
        <w:lastRenderedPageBreak/>
        <w:t xml:space="preserve"> </w:t>
      </w:r>
    </w:p>
    <w:p w14:paraId="74FABEBE" w14:textId="77777777" w:rsidR="00E56BB2" w:rsidRPr="002D3979" w:rsidRDefault="00E56BB2" w:rsidP="00E56BB2">
      <w:pPr>
        <w:pStyle w:val="Heading2"/>
        <w:rPr>
          <w:rFonts w:ascii="Arial" w:eastAsia="Arial" w:hAnsi="Arial" w:cs="Arial"/>
          <w:b/>
          <w:bCs/>
          <w:color w:val="auto"/>
          <w:sz w:val="22"/>
          <w:szCs w:val="22"/>
          <w:lang w:eastAsia="en-US" w:bidi="bn-IN"/>
        </w:rPr>
      </w:pPr>
      <w:bookmarkStart w:id="28" w:name="_Toc209264108"/>
      <w:r w:rsidRPr="002D3979">
        <w:rPr>
          <w:rFonts w:ascii="Arial" w:hAnsi="Arial" w:cs="Arial"/>
          <w:b/>
          <w:bCs/>
          <w:color w:val="auto"/>
          <w:sz w:val="22"/>
          <w:szCs w:val="22"/>
          <w:lang w:bidi="bn-IN"/>
        </w:rPr>
        <w:t>4.3 Summary of the codes and findings</w:t>
      </w:r>
      <w:bookmarkEnd w:id="28"/>
    </w:p>
    <w:p w14:paraId="52746CF1" w14:textId="6FC2DEAF" w:rsidR="00E56BB2" w:rsidRDefault="00E56BB2" w:rsidP="00E56BB2">
      <w:pPr>
        <w:rPr>
          <w:rFonts w:eastAsia="Times New Roman"/>
          <w:color w:val="000000"/>
          <w:lang w:eastAsia="en-IN" w:bidi="bn-IN"/>
        </w:rPr>
      </w:pPr>
      <w:r>
        <w:rPr>
          <w:rFonts w:eastAsia="Times New Roman"/>
          <w:color w:val="000000"/>
          <w:lang w:eastAsia="en-IN" w:bidi="bn-IN"/>
        </w:rPr>
        <w:t xml:space="preserve">The contradictory purpose of strengths and challenges, the estimation of the knowledge of a robust foundation in adult mental healthcare and experience are all associated with the removal of employment barriers among adults with mental disabilities. The generation of the codes and estimation of the themes referred to the scope of early detection, looking into the mitigation of the knowledge gap through educational support services to proceed with the maintenance of adults with mental disability. The removal of employment disparity, the execution of the </w:t>
      </w:r>
      <w:r w:rsidR="00CF1E14">
        <w:rPr>
          <w:rFonts w:eastAsia="Times New Roman"/>
          <w:color w:val="000000"/>
          <w:lang w:eastAsia="en-IN" w:bidi="bn-IN"/>
        </w:rPr>
        <w:t>international</w:t>
      </w:r>
      <w:r>
        <w:rPr>
          <w:rFonts w:eastAsia="Times New Roman"/>
          <w:color w:val="000000"/>
          <w:lang w:eastAsia="en-IN" w:bidi="bn-IN"/>
        </w:rPr>
        <w:t xml:space="preserve"> standard of recruitment and early detection of the disease can prevent the issues of neurodivergent adults. The process of maintaining Sustainable Development goals of the United Nations will be helpful for reducing the issues of inequalities among disabled people in the process of employment. </w:t>
      </w:r>
    </w:p>
    <w:p w14:paraId="5784455F" w14:textId="77777777" w:rsidR="00E56BB2" w:rsidRDefault="00E56BB2" w:rsidP="00E56BB2">
      <w:pPr>
        <w:spacing w:before="100" w:beforeAutospacing="1" w:after="100" w:afterAutospacing="1"/>
        <w:rPr>
          <w:b/>
          <w:sz w:val="28"/>
          <w:szCs w:val="28"/>
          <w:lang w:eastAsia="en-US"/>
        </w:rPr>
      </w:pPr>
      <w:r>
        <w:br w:type="page"/>
      </w:r>
      <w:bookmarkStart w:id="29" w:name="_Toc209264109"/>
    </w:p>
    <w:p w14:paraId="086635F7" w14:textId="77777777" w:rsidR="00E56BB2" w:rsidRPr="002D3979" w:rsidRDefault="00E56BB2" w:rsidP="00E56BB2">
      <w:pPr>
        <w:pStyle w:val="Heading1"/>
        <w:rPr>
          <w:rFonts w:ascii="Arial" w:hAnsi="Arial" w:cs="Arial"/>
          <w:b/>
          <w:bCs/>
          <w:color w:val="auto"/>
          <w:sz w:val="22"/>
          <w:szCs w:val="22"/>
          <w:lang w:eastAsia="en-US"/>
        </w:rPr>
      </w:pPr>
      <w:r w:rsidRPr="002D3979">
        <w:rPr>
          <w:rFonts w:ascii="Arial" w:hAnsi="Arial" w:cs="Arial"/>
          <w:b/>
          <w:bCs/>
          <w:color w:val="auto"/>
          <w:sz w:val="22"/>
          <w:szCs w:val="22"/>
        </w:rPr>
        <w:lastRenderedPageBreak/>
        <w:t>5. Discussion</w:t>
      </w:r>
      <w:bookmarkEnd w:id="29"/>
    </w:p>
    <w:p w14:paraId="54310026" w14:textId="77777777" w:rsidR="00E56BB2" w:rsidRPr="002D3979" w:rsidRDefault="00E56BB2" w:rsidP="00E56BB2">
      <w:pPr>
        <w:pStyle w:val="Heading2"/>
        <w:rPr>
          <w:rFonts w:ascii="Arial" w:hAnsi="Arial" w:cs="Arial"/>
          <w:b/>
          <w:bCs/>
          <w:color w:val="auto"/>
          <w:sz w:val="22"/>
          <w:szCs w:val="22"/>
        </w:rPr>
      </w:pPr>
      <w:bookmarkStart w:id="30" w:name="_od3veupyqdsa"/>
      <w:bookmarkStart w:id="31" w:name="_Toc209264110"/>
      <w:bookmarkEnd w:id="30"/>
      <w:r w:rsidRPr="002D3979">
        <w:rPr>
          <w:rFonts w:ascii="Arial" w:hAnsi="Arial" w:cs="Arial"/>
          <w:b/>
          <w:bCs/>
          <w:color w:val="auto"/>
          <w:sz w:val="22"/>
          <w:szCs w:val="22"/>
        </w:rPr>
        <w:t>5.1 Comparing and constructing findings</w:t>
      </w:r>
      <w:bookmarkEnd w:id="31"/>
      <w:r w:rsidRPr="002D3979">
        <w:rPr>
          <w:rFonts w:ascii="Arial" w:hAnsi="Arial" w:cs="Arial"/>
          <w:b/>
          <w:bCs/>
          <w:color w:val="auto"/>
          <w:sz w:val="22"/>
          <w:szCs w:val="22"/>
        </w:rPr>
        <w:t xml:space="preserve"> </w:t>
      </w:r>
    </w:p>
    <w:p w14:paraId="76DF8D37" w14:textId="77777777" w:rsidR="00E56BB2" w:rsidRDefault="00E56BB2" w:rsidP="00E56BB2">
      <w:pPr>
        <w:rPr>
          <w:lang w:eastAsia="en-US"/>
        </w:rPr>
      </w:pPr>
      <w:r>
        <w:rPr>
          <w:lang w:eastAsia="en-US"/>
        </w:rPr>
        <w:t xml:space="preserve">The analysed studies demonstrate similarities and dissimilarities in the learning disabilities that UK adults face. Sammie </w:t>
      </w:r>
      <w:r>
        <w:rPr>
          <w:i/>
          <w:lang w:eastAsia="en-US"/>
        </w:rPr>
        <w:t>et al.,</w:t>
      </w:r>
      <w:r>
        <w:rPr>
          <w:lang w:eastAsia="en-US"/>
        </w:rPr>
        <w:t xml:space="preserve"> (2024) and Ee </w:t>
      </w:r>
      <w:r>
        <w:rPr>
          <w:i/>
          <w:lang w:eastAsia="en-US"/>
        </w:rPr>
        <w:t>et al.,</w:t>
      </w:r>
      <w:r>
        <w:rPr>
          <w:lang w:eastAsia="en-US"/>
        </w:rPr>
        <w:t xml:space="preserve"> (2022) emphasised the importance of professional experience and therapy in working with people, stating that professional interventions can raise the level of care and involvement. This is consistent with McKinney and Swartz (2021), who also refer to systemic barriers and the necessity of integration, but highlighted employment system discrimination more than clinical support.</w:t>
      </w:r>
    </w:p>
    <w:p w14:paraId="793967E5" w14:textId="77777777" w:rsidR="00E56BB2" w:rsidRDefault="00E56BB2" w:rsidP="00E56BB2">
      <w:pPr>
        <w:rPr>
          <w:lang w:eastAsia="en-US"/>
        </w:rPr>
      </w:pPr>
      <w:r>
        <w:rPr>
          <w:lang w:eastAsia="en-US"/>
        </w:rPr>
        <w:t xml:space="preserve">Davies </w:t>
      </w:r>
      <w:r>
        <w:rPr>
          <w:i/>
          <w:lang w:eastAsia="en-US"/>
        </w:rPr>
        <w:t>et al.,</w:t>
      </w:r>
      <w:r>
        <w:rPr>
          <w:lang w:eastAsia="en-US"/>
        </w:rPr>
        <w:t xml:space="preserve"> (2023) offer another approach by revealing how communication and cognitive dissimilarities make the recruitment process problematic. This is unlike the health-oriented research, since it points out the structural rigidity of the recruitment method. Meanwhile, the results of McKinney and Swartz (2021) demonstrated the role of exclusion at the workplace entry points.</w:t>
      </w:r>
    </w:p>
    <w:p w14:paraId="2A53B235" w14:textId="271C3F69" w:rsidR="00E56BB2" w:rsidRDefault="00E56BB2" w:rsidP="00E56BB2">
      <w:pPr>
        <w:rPr>
          <w:lang w:eastAsia="en-US"/>
        </w:rPr>
      </w:pPr>
      <w:r>
        <w:rPr>
          <w:lang w:eastAsia="en-US"/>
        </w:rPr>
        <w:t xml:space="preserve">Chadwick </w:t>
      </w:r>
      <w:r>
        <w:rPr>
          <w:i/>
          <w:lang w:eastAsia="en-US"/>
        </w:rPr>
        <w:t>et al.,</w:t>
      </w:r>
      <w:r>
        <w:rPr>
          <w:lang w:eastAsia="en-US"/>
        </w:rPr>
        <w:t xml:space="preserve"> (2022</w:t>
      </w:r>
      <w:r w:rsidR="00CF1E14">
        <w:rPr>
          <w:lang w:eastAsia="en-US"/>
        </w:rPr>
        <w:t>) focused</w:t>
      </w:r>
      <w:r>
        <w:rPr>
          <w:lang w:eastAsia="en-US"/>
        </w:rPr>
        <w:t xml:space="preserve"> on digital inclusion, which is not about health or recruitment but about accessible rights, independence, and participation. In general, the sources concur on the existence of various barriers, but they vary in finding the core issue of the problem, whether in healthcare, recruitment or digital access.</w:t>
      </w:r>
    </w:p>
    <w:p w14:paraId="67E85206" w14:textId="77777777" w:rsidR="00E56BB2" w:rsidRPr="002D3979" w:rsidRDefault="00E56BB2" w:rsidP="00E56BB2">
      <w:pPr>
        <w:pStyle w:val="Heading2"/>
        <w:rPr>
          <w:rFonts w:ascii="Arial" w:hAnsi="Arial" w:cs="Arial"/>
          <w:b/>
          <w:bCs/>
          <w:color w:val="auto"/>
          <w:sz w:val="22"/>
          <w:szCs w:val="22"/>
          <w:lang w:eastAsia="en-US"/>
        </w:rPr>
      </w:pPr>
      <w:bookmarkStart w:id="32" w:name="_eyml6dpmvrjg"/>
      <w:bookmarkStart w:id="33" w:name="_Toc209264111"/>
      <w:bookmarkEnd w:id="32"/>
      <w:r w:rsidRPr="002D3979">
        <w:rPr>
          <w:rFonts w:ascii="Arial" w:hAnsi="Arial" w:cs="Arial"/>
          <w:b/>
          <w:bCs/>
          <w:color w:val="auto"/>
          <w:sz w:val="22"/>
          <w:szCs w:val="22"/>
        </w:rPr>
        <w:t>5.2 Explaining gaps in research</w:t>
      </w:r>
      <w:bookmarkEnd w:id="33"/>
      <w:r w:rsidRPr="002D3979">
        <w:rPr>
          <w:rFonts w:ascii="Arial" w:hAnsi="Arial" w:cs="Arial"/>
          <w:b/>
          <w:bCs/>
          <w:color w:val="auto"/>
          <w:sz w:val="22"/>
          <w:szCs w:val="22"/>
        </w:rPr>
        <w:t xml:space="preserve"> </w:t>
      </w:r>
    </w:p>
    <w:p w14:paraId="569FA7EA" w14:textId="21CB3121" w:rsidR="00E56BB2" w:rsidRDefault="00E56BB2" w:rsidP="00E56BB2">
      <w:pPr>
        <w:rPr>
          <w:lang w:eastAsia="en-US"/>
        </w:rPr>
      </w:pPr>
      <w:r>
        <w:rPr>
          <w:lang w:eastAsia="en-US"/>
        </w:rPr>
        <w:t xml:space="preserve">The study demonstrates the lack of connection between early detection and actual employment outcomes. </w:t>
      </w:r>
      <w:r w:rsidR="00CF1E14">
        <w:rPr>
          <w:lang w:eastAsia="en-US"/>
        </w:rPr>
        <w:t>Most</w:t>
      </w:r>
      <w:r>
        <w:rPr>
          <w:lang w:eastAsia="en-US"/>
        </w:rPr>
        <w:t xml:space="preserve"> studies are health and </w:t>
      </w:r>
      <w:r w:rsidR="00CF1E14">
        <w:rPr>
          <w:lang w:eastAsia="en-US"/>
        </w:rPr>
        <w:t>recruitment based</w:t>
      </w:r>
      <w:r>
        <w:rPr>
          <w:lang w:eastAsia="en-US"/>
        </w:rPr>
        <w:t>. Little evidence is UK-specific, and few longitudinal studies. It restricts practical application because of the use of secondary reviews and self-reported information.</w:t>
      </w:r>
    </w:p>
    <w:p w14:paraId="45F99FE3" w14:textId="77777777" w:rsidR="00E56BB2" w:rsidRPr="002D3979" w:rsidRDefault="00E56BB2" w:rsidP="00E56BB2">
      <w:pPr>
        <w:pStyle w:val="Heading2"/>
        <w:rPr>
          <w:rFonts w:ascii="Arial" w:hAnsi="Arial" w:cs="Arial"/>
          <w:b/>
          <w:bCs/>
          <w:color w:val="auto"/>
          <w:sz w:val="22"/>
          <w:szCs w:val="22"/>
          <w:lang w:eastAsia="en-US"/>
        </w:rPr>
      </w:pPr>
      <w:bookmarkStart w:id="34" w:name="_6kqhx28g72em"/>
      <w:bookmarkStart w:id="35" w:name="_Toc209264112"/>
      <w:bookmarkEnd w:id="34"/>
      <w:r w:rsidRPr="002D3979">
        <w:rPr>
          <w:rFonts w:ascii="Arial" w:hAnsi="Arial" w:cs="Arial"/>
          <w:b/>
          <w:bCs/>
          <w:color w:val="auto"/>
          <w:sz w:val="22"/>
          <w:szCs w:val="22"/>
        </w:rPr>
        <w:t>5.3 Theoretical and practical implications</w:t>
      </w:r>
      <w:bookmarkEnd w:id="35"/>
    </w:p>
    <w:p w14:paraId="1477A62D" w14:textId="77777777" w:rsidR="00E56BB2" w:rsidRDefault="00E56BB2" w:rsidP="00E56BB2">
      <w:pPr>
        <w:rPr>
          <w:lang w:eastAsia="en-US"/>
        </w:rPr>
      </w:pPr>
      <w:r>
        <w:rPr>
          <w:lang w:eastAsia="en-US"/>
        </w:rPr>
        <w:t xml:space="preserve">These results have theoretical and practical implications.  The social model of disability can be applied in this scenario as it indicates that the barriers are normally created by society (Andrews </w:t>
      </w:r>
      <w:r>
        <w:rPr>
          <w:i/>
          <w:lang w:eastAsia="en-US"/>
        </w:rPr>
        <w:t>et al.,</w:t>
      </w:r>
      <w:r>
        <w:rPr>
          <w:lang w:eastAsia="en-US"/>
        </w:rPr>
        <w:t xml:space="preserve"> 2022).  This theory allows employers and service providers to make systems flexible rather than to ask people to work with inflexible processes. In practice, the theory indicates that employers should be better trained to learn how to communicate with people and their cognitive differences. Early interventions should be related to vocational training and employment support to improve the long-term outcomes of healthcare practice. Digital inclusion should also be made a priority to provide equal access to technology for adults with learning disabilities.</w:t>
      </w:r>
    </w:p>
    <w:p w14:paraId="4D2ED69A" w14:textId="77777777" w:rsidR="00E56BB2" w:rsidRDefault="00E56BB2" w:rsidP="00E56BB2">
      <w:pPr>
        <w:spacing w:before="100" w:beforeAutospacing="1" w:after="100" w:afterAutospacing="1"/>
        <w:rPr>
          <w:b/>
          <w:sz w:val="28"/>
          <w:szCs w:val="28"/>
          <w:lang w:eastAsia="en-US"/>
        </w:rPr>
      </w:pPr>
      <w:r>
        <w:br w:type="page"/>
      </w:r>
      <w:bookmarkStart w:id="36" w:name="_q8xjp46lk23"/>
      <w:bookmarkStart w:id="37" w:name="_Toc209264113"/>
      <w:bookmarkEnd w:id="36"/>
    </w:p>
    <w:p w14:paraId="18EBAC03" w14:textId="77777777" w:rsidR="00E56BB2" w:rsidRPr="002D3979" w:rsidRDefault="00E56BB2" w:rsidP="00E56BB2">
      <w:pPr>
        <w:pStyle w:val="Heading1"/>
        <w:rPr>
          <w:rFonts w:ascii="Arial" w:hAnsi="Arial" w:cs="Arial"/>
          <w:b/>
          <w:bCs/>
          <w:color w:val="auto"/>
          <w:sz w:val="22"/>
          <w:szCs w:val="22"/>
          <w:lang w:eastAsia="en-US"/>
        </w:rPr>
      </w:pPr>
      <w:r w:rsidRPr="002D3979">
        <w:rPr>
          <w:rFonts w:ascii="Arial" w:hAnsi="Arial" w:cs="Arial"/>
          <w:b/>
          <w:bCs/>
          <w:color w:val="auto"/>
          <w:sz w:val="22"/>
          <w:szCs w:val="22"/>
        </w:rPr>
        <w:lastRenderedPageBreak/>
        <w:t>6. Conclusion and recommendations</w:t>
      </w:r>
      <w:bookmarkEnd w:id="37"/>
      <w:r w:rsidRPr="002D3979">
        <w:rPr>
          <w:rFonts w:ascii="Arial" w:hAnsi="Arial" w:cs="Arial"/>
          <w:b/>
          <w:bCs/>
          <w:color w:val="auto"/>
          <w:sz w:val="22"/>
          <w:szCs w:val="22"/>
        </w:rPr>
        <w:t xml:space="preserve"> </w:t>
      </w:r>
    </w:p>
    <w:p w14:paraId="2432AF4E" w14:textId="77777777" w:rsidR="00E56BB2" w:rsidRPr="002D3979" w:rsidRDefault="00E56BB2" w:rsidP="00E56BB2">
      <w:pPr>
        <w:pStyle w:val="Heading2"/>
        <w:rPr>
          <w:rFonts w:ascii="Arial" w:hAnsi="Arial" w:cs="Arial"/>
          <w:b/>
          <w:bCs/>
          <w:color w:val="auto"/>
          <w:sz w:val="22"/>
          <w:szCs w:val="22"/>
        </w:rPr>
      </w:pPr>
      <w:bookmarkStart w:id="38" w:name="_j1baie7ewjtv"/>
      <w:bookmarkStart w:id="39" w:name="_Toc209264114"/>
      <w:bookmarkEnd w:id="38"/>
      <w:r w:rsidRPr="002D3979">
        <w:rPr>
          <w:rFonts w:ascii="Arial" w:hAnsi="Arial" w:cs="Arial"/>
          <w:b/>
          <w:bCs/>
          <w:color w:val="auto"/>
          <w:sz w:val="22"/>
          <w:szCs w:val="22"/>
        </w:rPr>
        <w:t>6.1 Key Takeaways</w:t>
      </w:r>
      <w:bookmarkEnd w:id="39"/>
    </w:p>
    <w:p w14:paraId="477C105D" w14:textId="77777777" w:rsidR="00E56BB2" w:rsidRDefault="00E56BB2" w:rsidP="00E56BB2">
      <w:pPr>
        <w:rPr>
          <w:lang w:eastAsia="en-US"/>
        </w:rPr>
      </w:pPr>
      <w:r>
        <w:rPr>
          <w:lang w:eastAsia="en-US"/>
        </w:rPr>
        <w:t xml:space="preserve">The scoping review established that UK adults with learning disabilities face different challenges in getting employment opportunities.  Health and employment difficulties in the future can be mitigated by early diagnosis and intervention. Communication and cognitive disparity pose a problem in recruitment, which demonstrates that the recruitment procedures tend to be rigid and unresponsive. The importance of these findings lies in the fact that the presence of barriers is not an individual issue but a structural one as well. The conclusions emphasise the significance of the connection between health support and employment opportunities, enhancing hiring activities, and access to the digital world. </w:t>
      </w:r>
    </w:p>
    <w:p w14:paraId="7D8C8F21" w14:textId="77777777" w:rsidR="00E56BB2" w:rsidRPr="002D3979" w:rsidRDefault="00E56BB2" w:rsidP="00E56BB2">
      <w:pPr>
        <w:pStyle w:val="Heading2"/>
        <w:rPr>
          <w:rFonts w:ascii="Arial" w:hAnsi="Arial" w:cs="Arial"/>
          <w:b/>
          <w:bCs/>
          <w:color w:val="auto"/>
          <w:sz w:val="22"/>
          <w:szCs w:val="22"/>
          <w:lang w:eastAsia="en-US"/>
        </w:rPr>
      </w:pPr>
      <w:bookmarkStart w:id="40" w:name="_hzsuq09507m4"/>
      <w:bookmarkStart w:id="41" w:name="_Toc209264115"/>
      <w:bookmarkEnd w:id="40"/>
      <w:r w:rsidRPr="002D3979">
        <w:rPr>
          <w:rFonts w:ascii="Arial" w:hAnsi="Arial" w:cs="Arial"/>
          <w:b/>
          <w:bCs/>
          <w:color w:val="auto"/>
          <w:sz w:val="22"/>
          <w:szCs w:val="22"/>
        </w:rPr>
        <w:t>6.2 Recommendations for Future Research</w:t>
      </w:r>
      <w:bookmarkEnd w:id="41"/>
    </w:p>
    <w:p w14:paraId="145BF2E8" w14:textId="591A3C22" w:rsidR="00E56BB2" w:rsidRDefault="00E56BB2" w:rsidP="00E56BB2">
      <w:pPr>
        <w:rPr>
          <w:lang w:eastAsia="en-US"/>
        </w:rPr>
      </w:pPr>
      <w:r>
        <w:rPr>
          <w:lang w:eastAsia="en-US"/>
        </w:rPr>
        <w:t xml:space="preserve">The longitudinal </w:t>
      </w:r>
      <w:r w:rsidR="00CF1E14">
        <w:rPr>
          <w:lang w:eastAsia="en-US"/>
        </w:rPr>
        <w:t>research</w:t>
      </w:r>
      <w:r>
        <w:rPr>
          <w:lang w:eastAsia="en-US"/>
        </w:rPr>
        <w:t xml:space="preserve"> that </w:t>
      </w:r>
      <w:r w:rsidR="00CF1E14">
        <w:rPr>
          <w:lang w:eastAsia="en-US"/>
        </w:rPr>
        <w:t>relates</w:t>
      </w:r>
      <w:r>
        <w:rPr>
          <w:lang w:eastAsia="en-US"/>
        </w:rPr>
        <w:t xml:space="preserve"> the early identification of health conditions to the employment outcomes in the long term are supposed to be conducted in the future. The combination of healthcare and recruitment perspectives should be integrated with the mixed-method design. Further UK-based studies are necessary to learn how the policies translate into practice. The impact of digital inclusion on the employment opportunities of adults with learning disabilities should also be studied. The effectiveness of employment support interventions and digital tools should be tested with the help of randomised controlled trials.</w:t>
      </w:r>
    </w:p>
    <w:p w14:paraId="268262F5" w14:textId="77777777" w:rsidR="00E56BB2" w:rsidRPr="002D3979" w:rsidRDefault="00E56BB2" w:rsidP="00E56BB2">
      <w:pPr>
        <w:pStyle w:val="Heading2"/>
        <w:rPr>
          <w:rFonts w:ascii="Arial" w:hAnsi="Arial" w:cs="Arial"/>
          <w:b/>
          <w:bCs/>
          <w:color w:val="auto"/>
          <w:sz w:val="22"/>
          <w:szCs w:val="22"/>
          <w:lang w:eastAsia="en-US"/>
        </w:rPr>
      </w:pPr>
      <w:bookmarkStart w:id="42" w:name="_hpictx81ugpz"/>
      <w:bookmarkStart w:id="43" w:name="_Toc209264116"/>
      <w:bookmarkEnd w:id="42"/>
      <w:r w:rsidRPr="002D3979">
        <w:rPr>
          <w:rFonts w:ascii="Arial" w:hAnsi="Arial" w:cs="Arial"/>
          <w:b/>
          <w:bCs/>
          <w:color w:val="auto"/>
          <w:sz w:val="22"/>
          <w:szCs w:val="22"/>
        </w:rPr>
        <w:t>6.3 Recommendations for Policy and Practice</w:t>
      </w:r>
      <w:bookmarkEnd w:id="43"/>
    </w:p>
    <w:p w14:paraId="731B1F14" w14:textId="77777777" w:rsidR="00E56BB2" w:rsidRDefault="00E56BB2" w:rsidP="00E56BB2">
      <w:pPr>
        <w:rPr>
          <w:lang w:eastAsia="en-US"/>
        </w:rPr>
      </w:pPr>
      <w:r>
        <w:rPr>
          <w:lang w:eastAsia="en-US"/>
        </w:rPr>
        <w:t>The policy and practice aim at ensuring that the employment systems are more accommodating to adults with learning disabilities. Training should be given to the employers to learn about neurodiverse communication and cognitive differences.  Policies must provide equal access to digital tools by providing financial assistance for assistive technologies and affordable internet access. Clinical guidelines are supposed to foster cooperation between the health professionals, social care, and employers. The schemes of the supported employment should be extended and regularly financed throughout the UK. The Equality Act should be enforced more strongly to minimise discrimination and enhance equitable recruitment.</w:t>
      </w:r>
    </w:p>
    <w:p w14:paraId="72842671" w14:textId="77777777" w:rsidR="00E56BB2" w:rsidRDefault="00E56BB2" w:rsidP="00E56BB2">
      <w:pPr>
        <w:rPr>
          <w:lang w:eastAsia="en-US"/>
        </w:rPr>
      </w:pPr>
      <w:r>
        <w:rPr>
          <w:lang w:eastAsia="en-US"/>
        </w:rPr>
        <w:br w:type="page"/>
      </w:r>
    </w:p>
    <w:p w14:paraId="52C3B7B5" w14:textId="77777777" w:rsidR="00E56BB2" w:rsidRPr="002548BC" w:rsidRDefault="00E56BB2" w:rsidP="00E56BB2">
      <w:pPr>
        <w:pStyle w:val="Heading1"/>
        <w:rPr>
          <w:rFonts w:ascii="Arial" w:hAnsi="Arial" w:cs="Arial"/>
          <w:b/>
          <w:bCs/>
          <w:sz w:val="24"/>
          <w:szCs w:val="24"/>
          <w:lang w:eastAsia="en-US"/>
        </w:rPr>
      </w:pPr>
      <w:bookmarkStart w:id="44" w:name="_Toc209264117"/>
      <w:r w:rsidRPr="002548BC">
        <w:rPr>
          <w:rFonts w:ascii="Arial" w:hAnsi="Arial" w:cs="Arial"/>
          <w:b/>
          <w:bCs/>
          <w:sz w:val="24"/>
          <w:szCs w:val="24"/>
        </w:rPr>
        <w:lastRenderedPageBreak/>
        <w:t>References</w:t>
      </w:r>
      <w:bookmarkEnd w:id="44"/>
      <w:r w:rsidRPr="002548BC">
        <w:rPr>
          <w:rFonts w:ascii="Arial" w:hAnsi="Arial" w:cs="Arial"/>
          <w:b/>
          <w:bCs/>
          <w:sz w:val="24"/>
          <w:szCs w:val="24"/>
        </w:rPr>
        <w:t xml:space="preserve"> </w:t>
      </w:r>
    </w:p>
    <w:p w14:paraId="396B81EE" w14:textId="77777777" w:rsidR="00E56BB2" w:rsidRDefault="00E56BB2" w:rsidP="00E56BB2">
      <w:pPr>
        <w:spacing w:before="240" w:after="220"/>
      </w:pPr>
      <w:r>
        <w:t xml:space="preserve">Ahmed, S.K., Mohammed, R.A., Nashwan, A.J., Ibrahim, R.H., Abdalla, A.Q., Ameen, B.M.M. and </w:t>
      </w:r>
      <w:proofErr w:type="spellStart"/>
      <w:r>
        <w:t>Khidhir</w:t>
      </w:r>
      <w:proofErr w:type="spellEnd"/>
      <w:r>
        <w:t xml:space="preserve">, R.M. (2025) ‘Using Thematic Analysis in Qualitative Research’, </w:t>
      </w:r>
      <w:r>
        <w:rPr>
          <w:i/>
        </w:rPr>
        <w:t>Journal of Medicine, Surgery, and Public Health</w:t>
      </w:r>
      <w:r>
        <w:t xml:space="preserve">, 6(6), pp. 100–198. Available at: </w:t>
      </w:r>
      <w:hyperlink r:id="rId34" w:history="1">
        <w:r>
          <w:rPr>
            <w:rStyle w:val="Hyperlink"/>
            <w:color w:val="1155CC"/>
          </w:rPr>
          <w:t>https://doi.org/10.1016/j.glmedi.2025.100198</w:t>
        </w:r>
      </w:hyperlink>
      <w:r>
        <w:t xml:space="preserve"> </w:t>
      </w:r>
    </w:p>
    <w:p w14:paraId="6C6465DE" w14:textId="77777777" w:rsidR="00E56BB2" w:rsidRDefault="00E56BB2" w:rsidP="00E56BB2">
      <w:pPr>
        <w:spacing w:before="240" w:after="220"/>
      </w:pPr>
      <w:r>
        <w:t xml:space="preserve">Andrews, E.E., Powell, R.M. and Ayers, K. (2022) ‘The Evolution of Disability Language: Choosing Terms to Describe Disability’, </w:t>
      </w:r>
      <w:r>
        <w:rPr>
          <w:i/>
        </w:rPr>
        <w:t>Disability and Health Journal</w:t>
      </w:r>
      <w:r>
        <w:t xml:space="preserve">, 15(3), pp. 101–328. Available at: </w:t>
      </w:r>
      <w:hyperlink r:id="rId35" w:history="1">
        <w:r>
          <w:rPr>
            <w:rStyle w:val="Hyperlink"/>
            <w:color w:val="1155CC"/>
          </w:rPr>
          <w:t>https://doi.org/10.1016/j.dhjo.2022.101328</w:t>
        </w:r>
      </w:hyperlink>
      <w:r>
        <w:t xml:space="preserve"> </w:t>
      </w:r>
    </w:p>
    <w:p w14:paraId="62A4F0C1" w14:textId="77777777" w:rsidR="00E56BB2" w:rsidRDefault="00E56BB2" w:rsidP="00E56BB2">
      <w:pPr>
        <w:spacing w:before="240" w:after="220"/>
      </w:pPr>
      <w:r>
        <w:t xml:space="preserve">Basta, M., Micheli, K., Koutra, K., </w:t>
      </w:r>
      <w:proofErr w:type="spellStart"/>
      <w:r>
        <w:t>Fountoulaki</w:t>
      </w:r>
      <w:proofErr w:type="spellEnd"/>
      <w:r>
        <w:t xml:space="preserve">, M., Dafermos, V., Drakaki, M., </w:t>
      </w:r>
      <w:proofErr w:type="spellStart"/>
      <w:r>
        <w:t>Faloutsos</w:t>
      </w:r>
      <w:proofErr w:type="spellEnd"/>
      <w:r>
        <w:t xml:space="preserve">, K., </w:t>
      </w:r>
      <w:proofErr w:type="spellStart"/>
      <w:r>
        <w:t>Soumaki</w:t>
      </w:r>
      <w:proofErr w:type="spellEnd"/>
      <w:r>
        <w:t xml:space="preserve">, E., Anagnostopoulos, D., Papadakis, N. and </w:t>
      </w:r>
      <w:proofErr w:type="spellStart"/>
      <w:r>
        <w:t>Vgontzas</w:t>
      </w:r>
      <w:proofErr w:type="spellEnd"/>
      <w:r>
        <w:t xml:space="preserve">, A.N. (2022) ‘Depression and anxiety symptoms in adolescents and young adults in Greece: Prevalence and associated factors’, </w:t>
      </w:r>
      <w:r>
        <w:rPr>
          <w:i/>
        </w:rPr>
        <w:t>Journal of Affective Disorders Reports</w:t>
      </w:r>
      <w:r>
        <w:t xml:space="preserve">, 8(4), pp. 100–334. Available at: </w:t>
      </w:r>
      <w:hyperlink r:id="rId36" w:history="1">
        <w:r>
          <w:rPr>
            <w:rStyle w:val="Hyperlink"/>
            <w:color w:val="1155CC"/>
          </w:rPr>
          <w:t>https://doi.org/10.1016/j.jadr.2022.100334</w:t>
        </w:r>
      </w:hyperlink>
      <w:r>
        <w:t xml:space="preserve"> </w:t>
      </w:r>
    </w:p>
    <w:p w14:paraId="6CB506BC" w14:textId="77777777" w:rsidR="00E56BB2" w:rsidRDefault="00E56BB2" w:rsidP="00E56BB2">
      <w:pPr>
        <w:spacing w:before="240"/>
      </w:pPr>
      <w:r>
        <w:t xml:space="preserve">Chadwick, D., Ågren, K.A., Caton, S., </w:t>
      </w:r>
      <w:proofErr w:type="spellStart"/>
      <w:r>
        <w:t>Chiner</w:t>
      </w:r>
      <w:proofErr w:type="spellEnd"/>
      <w:r>
        <w:t>, E., Danker, J., Gómez</w:t>
      </w:r>
      <w:r>
        <w:rPr>
          <w:rFonts w:ascii="Cambria Math" w:hAnsi="Cambria Math" w:cs="Cambria Math"/>
        </w:rPr>
        <w:t>‐</w:t>
      </w:r>
      <w:r>
        <w:t>Puerta, M., Heitplatz, V., Johansson, S., Normand, C.L., Murphy, E. and Plichta, P. (2022) ‘Digital inclusion and participation of people with intellectual disabilities during COVID</w:t>
      </w:r>
      <w:r>
        <w:rPr>
          <w:rFonts w:ascii="Cambria Math" w:hAnsi="Cambria Math" w:cs="Cambria Math"/>
        </w:rPr>
        <w:t>‐</w:t>
      </w:r>
      <w:r>
        <w:t>19: A rapid review and international bricolage.’ </w:t>
      </w:r>
      <w:r>
        <w:rPr>
          <w:i/>
          <w:iCs/>
        </w:rPr>
        <w:t>Journal of Policy and Practice in intellectual Disabilities</w:t>
      </w:r>
      <w:r>
        <w:t>, </w:t>
      </w:r>
      <w:r>
        <w:rPr>
          <w:i/>
          <w:iCs/>
        </w:rPr>
        <w:t>19</w:t>
      </w:r>
      <w:r>
        <w:t xml:space="preserve">(3), pp.242-256. Available at: </w:t>
      </w:r>
      <w:hyperlink r:id="rId37" w:history="1">
        <w:r>
          <w:rPr>
            <w:rStyle w:val="Hyperlink"/>
            <w:b/>
            <w:bCs/>
          </w:rPr>
          <w:t>https://doi.org/10.1111/jppi.12410</w:t>
        </w:r>
      </w:hyperlink>
      <w:r>
        <w:t xml:space="preserve"> </w:t>
      </w:r>
    </w:p>
    <w:p w14:paraId="77D04657" w14:textId="77777777" w:rsidR="00E56BB2" w:rsidRDefault="00E56BB2" w:rsidP="00E56BB2">
      <w:pPr>
        <w:spacing w:before="240" w:after="220"/>
      </w:pPr>
      <w:r>
        <w:t xml:space="preserve">Collins, J. and Murphy, G.H. (2022) ‘Detection and prevention of abuse of adults with intellectual and other developmental disabilities in care services: A systematic review’, </w:t>
      </w:r>
      <w:r>
        <w:rPr>
          <w:i/>
        </w:rPr>
        <w:t>Journal of Applied Research in Intellectual Disabilities</w:t>
      </w:r>
      <w:r>
        <w:t xml:space="preserve">, 35(2), pp. 338–373. Available at: </w:t>
      </w:r>
      <w:hyperlink r:id="rId38" w:history="1">
        <w:r>
          <w:rPr>
            <w:rStyle w:val="Hyperlink"/>
            <w:color w:val="1155CC"/>
          </w:rPr>
          <w:t>https://doi.org/10.1111/jar.12954</w:t>
        </w:r>
      </w:hyperlink>
      <w:r>
        <w:t xml:space="preserve"> </w:t>
      </w:r>
    </w:p>
    <w:p w14:paraId="0C27751D" w14:textId="77777777" w:rsidR="00E56BB2" w:rsidRDefault="00E56BB2" w:rsidP="00E56BB2">
      <w:pPr>
        <w:spacing w:before="240"/>
      </w:pPr>
      <w:r>
        <w:t>Davies, J., Heasman, B., Livesey, A., Walker, A., Pellicano, E. and Remington, A. (2023) ‘Access to employment: A comparison of autistic, neurodivergent and neurotypical adults’ experiences of hiring processes in the United Kingdom.’ </w:t>
      </w:r>
      <w:r>
        <w:rPr>
          <w:i/>
          <w:iCs/>
        </w:rPr>
        <w:t>Autism</w:t>
      </w:r>
      <w:r>
        <w:t>, </w:t>
      </w:r>
      <w:r>
        <w:rPr>
          <w:i/>
          <w:iCs/>
        </w:rPr>
        <w:t>27</w:t>
      </w:r>
      <w:r>
        <w:t xml:space="preserve">(6), pp.1746-1763. Available at: </w:t>
      </w:r>
      <w:hyperlink r:id="rId39" w:history="1">
        <w:r>
          <w:rPr>
            <w:rStyle w:val="Hyperlink"/>
          </w:rPr>
          <w:t>https://doi.org/10.1177/13623613221145377</w:t>
        </w:r>
      </w:hyperlink>
      <w:r>
        <w:t xml:space="preserve"> </w:t>
      </w:r>
    </w:p>
    <w:p w14:paraId="60C4969A" w14:textId="77777777" w:rsidR="00E56BB2" w:rsidRDefault="00E56BB2" w:rsidP="00E56BB2">
      <w:pPr>
        <w:spacing w:before="240" w:after="220"/>
      </w:pPr>
      <w:r>
        <w:t xml:space="preserve">Deb, S., Perera, B., Krysta, K., Ozer, M., Bertelli, M., Novell, R., Wieland, J. and </w:t>
      </w:r>
      <w:proofErr w:type="spellStart"/>
      <w:r>
        <w:t>Sappok</w:t>
      </w:r>
      <w:proofErr w:type="spellEnd"/>
      <w:r>
        <w:t xml:space="preserve">, T. (2022) ‘The European guideline on the assessment and diagnosis of psychiatric disorders in adults with intellectual disabilities’, </w:t>
      </w:r>
      <w:r>
        <w:rPr>
          <w:i/>
        </w:rPr>
        <w:t>The European Journal of Psychiatry</w:t>
      </w:r>
      <w:r>
        <w:t xml:space="preserve">, 36(1), pp. 11–25. Available at: </w:t>
      </w:r>
      <w:hyperlink r:id="rId40" w:history="1">
        <w:r>
          <w:rPr>
            <w:rStyle w:val="Hyperlink"/>
            <w:color w:val="1155CC"/>
          </w:rPr>
          <w:t>https://doi.org/10.1016/j.ejpsy.2021.10.002</w:t>
        </w:r>
      </w:hyperlink>
      <w:r>
        <w:t xml:space="preserve"> </w:t>
      </w:r>
    </w:p>
    <w:p w14:paraId="70D26D35" w14:textId="77777777" w:rsidR="00E56BB2" w:rsidRDefault="00E56BB2" w:rsidP="00E56BB2">
      <w:pPr>
        <w:spacing w:before="240"/>
      </w:pPr>
      <w:r>
        <w:lastRenderedPageBreak/>
        <w:t xml:space="preserve">Ee, J., Kroese, B.S. and Rose, J. (2022) ‘Experiences of Mental Health Professionals Providing Services to Adults with Intellectual Disabilities and Mental Health problems: a Systematic Review and meta-synthesis of Qualitative Research Studies’, </w:t>
      </w:r>
      <w:r>
        <w:rPr>
          <w:i/>
        </w:rPr>
        <w:t>Journal of Intellectual Disabilities</w:t>
      </w:r>
      <w:r>
        <w:t xml:space="preserve">, 26(3), pp. 758–781. Available at: </w:t>
      </w:r>
      <w:hyperlink r:id="rId41" w:history="1">
        <w:r>
          <w:rPr>
            <w:rStyle w:val="Hyperlink"/>
            <w:color w:val="1155CC"/>
          </w:rPr>
          <w:t>https://doi.org/10.1177/17446295211016182</w:t>
        </w:r>
      </w:hyperlink>
      <w:r>
        <w:t xml:space="preserve"> </w:t>
      </w:r>
    </w:p>
    <w:p w14:paraId="53B46D3C" w14:textId="77777777" w:rsidR="00E56BB2" w:rsidRDefault="00E56BB2" w:rsidP="00E56BB2">
      <w:pPr>
        <w:spacing w:before="240" w:after="220"/>
      </w:pPr>
      <w:r>
        <w:t xml:space="preserve">Ewald, H., </w:t>
      </w:r>
      <w:proofErr w:type="spellStart"/>
      <w:r>
        <w:t>Klerings</w:t>
      </w:r>
      <w:proofErr w:type="spellEnd"/>
      <w:r>
        <w:t xml:space="preserve">, I., Wagner, G., Heise, T.L., </w:t>
      </w:r>
      <w:proofErr w:type="spellStart"/>
      <w:r>
        <w:t>Stratil</w:t>
      </w:r>
      <w:proofErr w:type="spellEnd"/>
      <w:r>
        <w:t xml:space="preserve">, J.M., </w:t>
      </w:r>
      <w:proofErr w:type="spellStart"/>
      <w:r>
        <w:t>Lhachimi</w:t>
      </w:r>
      <w:proofErr w:type="spellEnd"/>
      <w:r>
        <w:t xml:space="preserve">, S.K., LG, H., </w:t>
      </w:r>
      <w:proofErr w:type="spellStart"/>
      <w:r>
        <w:t>Gartlehner</w:t>
      </w:r>
      <w:proofErr w:type="spellEnd"/>
      <w:r>
        <w:t xml:space="preserve">, G., Armijo-Olivo, S. and Nussbaumer-Streit, B. (2022) ‘Searching Two or More Databases Decreased the Risk of Missing Relevant studies: a </w:t>
      </w:r>
      <w:proofErr w:type="spellStart"/>
      <w:r>
        <w:t>Metaresearch</w:t>
      </w:r>
      <w:proofErr w:type="spellEnd"/>
      <w:r>
        <w:t xml:space="preserve"> Study’, </w:t>
      </w:r>
      <w:r>
        <w:rPr>
          <w:i/>
        </w:rPr>
        <w:t>Journal of Clinical Epidemiology</w:t>
      </w:r>
      <w:r>
        <w:t xml:space="preserve">, 149(149), pp. 154–164. Available at: </w:t>
      </w:r>
      <w:hyperlink r:id="rId42" w:history="1">
        <w:r>
          <w:rPr>
            <w:rStyle w:val="Hyperlink"/>
            <w:color w:val="1155CC"/>
          </w:rPr>
          <w:t>https://doi.org/10.1016/j.jclinepi.2022.05.022</w:t>
        </w:r>
      </w:hyperlink>
      <w:r>
        <w:t xml:space="preserve"> </w:t>
      </w:r>
    </w:p>
    <w:p w14:paraId="4BCF6EB0" w14:textId="77777777" w:rsidR="00E56BB2" w:rsidRDefault="00E56BB2" w:rsidP="00E56BB2">
      <w:pPr>
        <w:spacing w:before="240" w:after="220"/>
      </w:pPr>
      <w:r>
        <w:t xml:space="preserve">Giri, A., </w:t>
      </w:r>
      <w:proofErr w:type="spellStart"/>
      <w:r>
        <w:t>Aylott</w:t>
      </w:r>
      <w:proofErr w:type="spellEnd"/>
      <w:r>
        <w:t>, J., Giri, P., Ferguson</w:t>
      </w:r>
      <w:r>
        <w:rPr>
          <w:rFonts w:ascii="Cambria Math" w:hAnsi="Cambria Math" w:cs="Cambria Math"/>
        </w:rPr>
        <w:t>‐</w:t>
      </w:r>
      <w:r>
        <w:t>Wormley, S. and Evans, J. (2022) ‘Lived experience and the social model of disability: conflicted and inter</w:t>
      </w:r>
      <w:r>
        <w:rPr>
          <w:rFonts w:ascii="Cambria Math" w:hAnsi="Cambria Math" w:cs="Cambria Math"/>
        </w:rPr>
        <w:t>‐</w:t>
      </w:r>
      <w:r>
        <w:t xml:space="preserve">dependent ambitions for employment of people with a learning disability and their family carers’, </w:t>
      </w:r>
      <w:r>
        <w:rPr>
          <w:i/>
        </w:rPr>
        <w:t>British Journal of Learning Disabilities</w:t>
      </w:r>
      <w:r>
        <w:t xml:space="preserve">, 50(1), pp. 98–106. Available at: </w:t>
      </w:r>
      <w:hyperlink r:id="rId43" w:history="1">
        <w:r>
          <w:rPr>
            <w:rStyle w:val="Hyperlink"/>
            <w:color w:val="1155CC"/>
          </w:rPr>
          <w:t>https://doi.org/10.1111/bld.12378</w:t>
        </w:r>
      </w:hyperlink>
      <w:r>
        <w:t xml:space="preserve"> </w:t>
      </w:r>
    </w:p>
    <w:p w14:paraId="6FD6323F" w14:textId="77777777" w:rsidR="00E56BB2" w:rsidRDefault="00E56BB2" w:rsidP="00E56BB2">
      <w:pPr>
        <w:spacing w:before="240" w:after="220"/>
      </w:pPr>
      <w:r>
        <w:t xml:space="preserve">GOV.UK (2025) </w:t>
      </w:r>
      <w:r>
        <w:rPr>
          <w:i/>
        </w:rPr>
        <w:t>The Equality Act 2010 and Schools Departmental Advice for School leaders, School staff, Governing Bodies and Local Authorities</w:t>
      </w:r>
      <w:r>
        <w:t xml:space="preserve">. Available at: </w:t>
      </w:r>
      <w:hyperlink r:id="rId44" w:history="1">
        <w:r>
          <w:rPr>
            <w:rStyle w:val="Hyperlink"/>
            <w:color w:val="1155CC"/>
          </w:rPr>
          <w:t>https://assets.publishing.service.gov.uk/media/5a7e3237ed915d74e33f0ac9/Equality_Act_Advice_Final.pdf</w:t>
        </w:r>
      </w:hyperlink>
      <w:r>
        <w:t xml:space="preserve"> (Accessed: 20 September 2025).</w:t>
      </w:r>
    </w:p>
    <w:p w14:paraId="075292B3" w14:textId="77777777" w:rsidR="00E56BB2" w:rsidRDefault="00E56BB2" w:rsidP="00E56BB2">
      <w:pPr>
        <w:spacing w:before="240" w:after="240"/>
      </w:pPr>
      <w:r>
        <w:t>McKinney, E.L. and Swartz, L. (2021) ‘Employment integration barriers: Experiences of people with disabilities.’ </w:t>
      </w:r>
      <w:r>
        <w:rPr>
          <w:i/>
          <w:iCs/>
        </w:rPr>
        <w:t>The International Journal of Human Resource Management</w:t>
      </w:r>
      <w:r>
        <w:t>, </w:t>
      </w:r>
      <w:r>
        <w:rPr>
          <w:i/>
          <w:iCs/>
        </w:rPr>
        <w:t>32</w:t>
      </w:r>
      <w:r>
        <w:t xml:space="preserve">(10), pp.2298-2320. Available at: </w:t>
      </w:r>
      <w:hyperlink r:id="rId45" w:history="1">
        <w:r>
          <w:rPr>
            <w:rStyle w:val="Hyperlink"/>
          </w:rPr>
          <w:t>https://doi.org/10.1080/09585192.2019.1579749</w:t>
        </w:r>
      </w:hyperlink>
    </w:p>
    <w:p w14:paraId="05D2A197" w14:textId="77777777" w:rsidR="00E56BB2" w:rsidRDefault="00E56BB2" w:rsidP="00E56BB2">
      <w:pPr>
        <w:spacing w:before="240" w:after="220"/>
      </w:pPr>
      <w:r>
        <w:t xml:space="preserve">Mencap (2024) </w:t>
      </w:r>
      <w:r>
        <w:rPr>
          <w:i/>
        </w:rPr>
        <w:t xml:space="preserve">How common is learning </w:t>
      </w:r>
      <w:proofErr w:type="gramStart"/>
      <w:r>
        <w:rPr>
          <w:i/>
        </w:rPr>
        <w:t>disability?</w:t>
      </w:r>
      <w:r>
        <w:t>,</w:t>
      </w:r>
      <w:proofErr w:type="gramEnd"/>
      <w:r>
        <w:t xml:space="preserve"> </w:t>
      </w:r>
      <w:r>
        <w:rPr>
          <w:i/>
        </w:rPr>
        <w:t>Mencap</w:t>
      </w:r>
      <w:r>
        <w:t xml:space="preserve">. Available at: </w:t>
      </w:r>
      <w:hyperlink r:id="rId46" w:history="1">
        <w:r>
          <w:rPr>
            <w:rStyle w:val="Hyperlink"/>
            <w:color w:val="1155CC"/>
          </w:rPr>
          <w:t>https://www.mencap.org.uk/learning-disability-explained/research-and-statistics/how-common-learning-disability</w:t>
        </w:r>
      </w:hyperlink>
      <w:r>
        <w:t xml:space="preserve"> (Accessed: 19 September 2025).</w:t>
      </w:r>
    </w:p>
    <w:p w14:paraId="7C8DD90C" w14:textId="77777777" w:rsidR="00E56BB2" w:rsidRDefault="00E56BB2" w:rsidP="00E56BB2">
      <w:pPr>
        <w:spacing w:before="240" w:after="220"/>
      </w:pPr>
      <w:r>
        <w:t xml:space="preserve">Remillard, E.T., Campbell, M.L., Koon, L.M. and Rogers, W.A. (2022) 'Transportation challenges for persons ageing with mobility disability: Qualitative insights and policy implications', </w:t>
      </w:r>
      <w:r>
        <w:rPr>
          <w:i/>
        </w:rPr>
        <w:t>Disability and Health Journal</w:t>
      </w:r>
      <w:r>
        <w:t xml:space="preserve">, 15(1), pp. 101–209. Available at: </w:t>
      </w:r>
      <w:hyperlink r:id="rId47" w:history="1">
        <w:r>
          <w:rPr>
            <w:rStyle w:val="Hyperlink"/>
            <w:color w:val="1155CC"/>
          </w:rPr>
          <w:t>https://doi.org/10.1016/j.dhjo.2021.101209</w:t>
        </w:r>
      </w:hyperlink>
      <w:r>
        <w:t xml:space="preserve"> </w:t>
      </w:r>
    </w:p>
    <w:p w14:paraId="68CC8E3A" w14:textId="77777777" w:rsidR="00E56BB2" w:rsidRDefault="00E56BB2" w:rsidP="00E56BB2">
      <w:pPr>
        <w:spacing w:before="240"/>
      </w:pPr>
      <w:r>
        <w:t xml:space="preserve">Sammie, </w:t>
      </w:r>
      <w:proofErr w:type="spellStart"/>
      <w:r>
        <w:t>Kamphorst</w:t>
      </w:r>
      <w:proofErr w:type="spellEnd"/>
      <w:r>
        <w:t xml:space="preserve">, B.A., Mulder, B.C., Kamp, I. van, </w:t>
      </w:r>
      <w:proofErr w:type="spellStart"/>
      <w:r>
        <w:t>Boekhold</w:t>
      </w:r>
      <w:proofErr w:type="spellEnd"/>
      <w:r>
        <w:t xml:space="preserve">, S., Peter and Verweij, M.F. (2024) 'Ethics of Early Detection of Disease Risk Factors: </w:t>
      </w:r>
      <w:proofErr w:type="gramStart"/>
      <w:r>
        <w:t>a</w:t>
      </w:r>
      <w:proofErr w:type="gramEnd"/>
      <w:r>
        <w:t xml:space="preserve"> Scoping Review', </w:t>
      </w:r>
      <w:r>
        <w:rPr>
          <w:i/>
        </w:rPr>
        <w:t>BMC Medical Ethics</w:t>
      </w:r>
      <w:r>
        <w:t xml:space="preserve">, 25(1), pp. 1–25. Available at: </w:t>
      </w:r>
      <w:hyperlink r:id="rId48" w:history="1">
        <w:r>
          <w:rPr>
            <w:rStyle w:val="Hyperlink"/>
            <w:color w:val="1155CC"/>
          </w:rPr>
          <w:t>https://doi.org/10.1186/s12910-024-01012-4</w:t>
        </w:r>
      </w:hyperlink>
      <w:r>
        <w:t xml:space="preserve"> </w:t>
      </w:r>
    </w:p>
    <w:p w14:paraId="0A79446E" w14:textId="77777777" w:rsidR="00E56BB2" w:rsidRDefault="00E56BB2" w:rsidP="00E56BB2">
      <w:pPr>
        <w:spacing w:before="240" w:after="220"/>
      </w:pPr>
      <w:r>
        <w:lastRenderedPageBreak/>
        <w:t xml:space="preserve">Scope (2022) </w:t>
      </w:r>
      <w:r>
        <w:rPr>
          <w:i/>
        </w:rPr>
        <w:t>Home | Disability charity Scope UK</w:t>
      </w:r>
      <w:r>
        <w:t xml:space="preserve">, </w:t>
      </w:r>
      <w:r>
        <w:rPr>
          <w:i/>
        </w:rPr>
        <w:t>Scope</w:t>
      </w:r>
      <w:r>
        <w:t xml:space="preserve">. Available at: </w:t>
      </w:r>
      <w:hyperlink r:id="rId49" w:history="1">
        <w:r>
          <w:rPr>
            <w:rStyle w:val="Hyperlink"/>
            <w:color w:val="1155CC"/>
          </w:rPr>
          <w:t>https://www.scope.org.uk/</w:t>
        </w:r>
      </w:hyperlink>
      <w:r>
        <w:t xml:space="preserve"> (Accessed: 20 September 2025).</w:t>
      </w:r>
    </w:p>
    <w:p w14:paraId="6942DF04" w14:textId="77777777" w:rsidR="00E56BB2" w:rsidRDefault="00E56BB2" w:rsidP="00E56BB2">
      <w:pPr>
        <w:spacing w:before="240" w:after="220"/>
      </w:pPr>
      <w:r>
        <w:t xml:space="preserve">United Nations (2025) </w:t>
      </w:r>
      <w:r>
        <w:rPr>
          <w:i/>
        </w:rPr>
        <w:t>Convention on the Rights of Persons with Disabilities</w:t>
      </w:r>
      <w:r>
        <w:t xml:space="preserve">, </w:t>
      </w:r>
      <w:r>
        <w:rPr>
          <w:i/>
        </w:rPr>
        <w:t>United Nations</w:t>
      </w:r>
      <w:r>
        <w:t xml:space="preserve">. United Nations, pp. 1–37. Available at: </w:t>
      </w:r>
      <w:hyperlink r:id="rId50" w:history="1">
        <w:r>
          <w:rPr>
            <w:rStyle w:val="Hyperlink"/>
            <w:color w:val="1155CC"/>
          </w:rPr>
          <w:t>https://www.un.org/disabilities/documents/convention/convoptprot-e.pdf</w:t>
        </w:r>
      </w:hyperlink>
      <w:r>
        <w:t xml:space="preserve"> (Accessed: 20 September 2025).</w:t>
      </w:r>
    </w:p>
    <w:p w14:paraId="457278FD" w14:textId="77777777" w:rsidR="00E56BB2" w:rsidRDefault="00E56BB2" w:rsidP="00E56BB2">
      <w:pPr>
        <w:spacing w:before="240" w:after="220"/>
      </w:pPr>
      <w:r>
        <w:t xml:space="preserve">Uttley, L., </w:t>
      </w:r>
      <w:proofErr w:type="spellStart"/>
      <w:r>
        <w:t>Quintana</w:t>
      </w:r>
      <w:proofErr w:type="spellEnd"/>
      <w:r>
        <w:t xml:space="preserve">, D.S., Montgomery, P., Carroll, C., Page, M.J., Falzon, L., Sutton, A. and Moher, D. (2023) ‘The Problems with Systematic reviews: a Living Systematic Review’, </w:t>
      </w:r>
      <w:r>
        <w:rPr>
          <w:i/>
        </w:rPr>
        <w:t>Journal of Clinical Epidemiology</w:t>
      </w:r>
      <w:r>
        <w:t xml:space="preserve">, 156(5), pp. 30–41. Available at: </w:t>
      </w:r>
      <w:hyperlink r:id="rId51" w:history="1">
        <w:r>
          <w:rPr>
            <w:rStyle w:val="Hyperlink"/>
            <w:color w:val="1155CC"/>
          </w:rPr>
          <w:t>https://doi.org/10.1016/j.jclinepi.2023.01.011</w:t>
        </w:r>
      </w:hyperlink>
      <w:r>
        <w:t xml:space="preserve"> </w:t>
      </w:r>
    </w:p>
    <w:p w14:paraId="53986843" w14:textId="77777777" w:rsidR="00E56BB2" w:rsidRDefault="00E56BB2" w:rsidP="00E56BB2">
      <w:pPr>
        <w:spacing w:before="240" w:after="220"/>
      </w:pPr>
      <w:r>
        <w:t xml:space="preserve">Wagner, M.L., Cosand, K., </w:t>
      </w:r>
      <w:proofErr w:type="spellStart"/>
      <w:r>
        <w:t>Zagona</w:t>
      </w:r>
      <w:proofErr w:type="spellEnd"/>
      <w:r>
        <w:t xml:space="preserve">, A.L. and Malone, B.J. (2023) ‘Students’ Perceptions of Instruction in Co-Teaching Classrooms: A Systematic Literature Review and Thematic Analysis’, </w:t>
      </w:r>
      <w:r>
        <w:rPr>
          <w:i/>
        </w:rPr>
        <w:t>Exceptional Children</w:t>
      </w:r>
      <w:r>
        <w:t xml:space="preserve">, 90(3). Available at: </w:t>
      </w:r>
      <w:hyperlink r:id="rId52" w:history="1">
        <w:r>
          <w:rPr>
            <w:rStyle w:val="Hyperlink"/>
            <w:color w:val="1155CC"/>
          </w:rPr>
          <w:t>https://doi.org/10.1177/00144029231220303</w:t>
        </w:r>
      </w:hyperlink>
      <w:r>
        <w:t xml:space="preserve"> </w:t>
      </w:r>
    </w:p>
    <w:p w14:paraId="18E4B0D4" w14:textId="77777777" w:rsidR="00E56BB2" w:rsidRDefault="00E56BB2" w:rsidP="00E56BB2">
      <w:pPr>
        <w:spacing w:before="240" w:after="220"/>
      </w:pPr>
      <w:r>
        <w:t xml:space="preserve">WLA (2024) </w:t>
      </w:r>
      <w:r>
        <w:rPr>
          <w:i/>
        </w:rPr>
        <w:t>Supported Employment - Our Programmes - West London Alliance</w:t>
      </w:r>
      <w:r>
        <w:t xml:space="preserve">, </w:t>
      </w:r>
      <w:r>
        <w:rPr>
          <w:i/>
        </w:rPr>
        <w:t>West London Alliance</w:t>
      </w:r>
      <w:r>
        <w:t xml:space="preserve">. Available at: </w:t>
      </w:r>
      <w:hyperlink r:id="rId53" w:history="1">
        <w:r>
          <w:rPr>
            <w:rStyle w:val="Hyperlink"/>
            <w:color w:val="1155CC"/>
          </w:rPr>
          <w:t>https://wla.london/our-programmes/supported-employment/</w:t>
        </w:r>
      </w:hyperlink>
      <w:r>
        <w:t xml:space="preserve"> (Accessed: 20 September 2025).</w:t>
      </w:r>
    </w:p>
    <w:p w14:paraId="18606A5E" w14:textId="77777777" w:rsidR="00E56BB2" w:rsidRDefault="00E56BB2" w:rsidP="00E56BB2"/>
    <w:p w14:paraId="45DD5836" w14:textId="77777777" w:rsidR="00E56BB2" w:rsidRDefault="00E56BB2" w:rsidP="00E56BB2"/>
    <w:p w14:paraId="578DF512" w14:textId="77777777" w:rsidR="00E56BB2" w:rsidRDefault="00E56BB2" w:rsidP="00E56BB2">
      <w:pPr>
        <w:rPr>
          <w:lang w:eastAsia="en-US"/>
        </w:rPr>
      </w:pPr>
    </w:p>
    <w:p w14:paraId="3D45FE5D" w14:textId="77777777" w:rsidR="00E56BB2" w:rsidRDefault="00E56BB2"/>
    <w:p w14:paraId="38E556A6" w14:textId="77777777" w:rsidR="00E56BB2" w:rsidRDefault="00E56BB2"/>
    <w:p w14:paraId="5331237C" w14:textId="77777777" w:rsidR="00E56BB2" w:rsidRDefault="00E56BB2"/>
    <w:p w14:paraId="585304DD" w14:textId="77777777" w:rsidR="00E56BB2" w:rsidRDefault="00E56BB2"/>
    <w:sectPr w:rsidR="00E56BB2">
      <w:foot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1A314D" w14:textId="77777777" w:rsidR="007E6002" w:rsidRDefault="007E6002" w:rsidP="000A0FC2">
      <w:pPr>
        <w:spacing w:line="240" w:lineRule="auto"/>
      </w:pPr>
      <w:r>
        <w:separator/>
      </w:r>
    </w:p>
  </w:endnote>
  <w:endnote w:type="continuationSeparator" w:id="0">
    <w:p w14:paraId="0223E57B" w14:textId="77777777" w:rsidR="007E6002" w:rsidRDefault="007E6002" w:rsidP="000A0FC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8055080"/>
      <w:docPartObj>
        <w:docPartGallery w:val="Page Numbers (Bottom of Page)"/>
        <w:docPartUnique/>
      </w:docPartObj>
    </w:sdtPr>
    <w:sdtEndPr>
      <w:rPr>
        <w:noProof/>
      </w:rPr>
    </w:sdtEndPr>
    <w:sdtContent>
      <w:p w14:paraId="1CEDC93B" w14:textId="64427984" w:rsidR="000A0FC2" w:rsidRDefault="000A0FC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9F220D" w14:textId="77777777" w:rsidR="000A0FC2" w:rsidRDefault="000A0F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EE8D4A" w14:textId="77777777" w:rsidR="007E6002" w:rsidRDefault="007E6002" w:rsidP="000A0FC2">
      <w:pPr>
        <w:spacing w:line="240" w:lineRule="auto"/>
      </w:pPr>
      <w:r>
        <w:separator/>
      </w:r>
    </w:p>
  </w:footnote>
  <w:footnote w:type="continuationSeparator" w:id="0">
    <w:p w14:paraId="729F836C" w14:textId="77777777" w:rsidR="007E6002" w:rsidRDefault="007E6002" w:rsidP="000A0FC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9B6659"/>
    <w:multiLevelType w:val="hybridMultilevel"/>
    <w:tmpl w:val="D50267D8"/>
    <w:lvl w:ilvl="0" w:tplc="B704BFE0">
      <w:start w:val="1"/>
      <w:numFmt w:val="bullet"/>
      <w:lvlText w:val="●"/>
      <w:lvlJc w:val="left"/>
      <w:pPr>
        <w:ind w:left="720" w:hanging="360"/>
      </w:pPr>
      <w:rPr>
        <w:strike w:val="0"/>
        <w:dstrike w:val="0"/>
        <w:u w:val="none"/>
        <w:effect w:val="none"/>
      </w:rPr>
    </w:lvl>
    <w:lvl w:ilvl="1" w:tplc="85B85672">
      <w:start w:val="1"/>
      <w:numFmt w:val="bullet"/>
      <w:lvlText w:val="○"/>
      <w:lvlJc w:val="left"/>
      <w:pPr>
        <w:ind w:left="1440" w:hanging="360"/>
      </w:pPr>
      <w:rPr>
        <w:strike w:val="0"/>
        <w:dstrike w:val="0"/>
        <w:u w:val="none"/>
        <w:effect w:val="none"/>
      </w:rPr>
    </w:lvl>
    <w:lvl w:ilvl="2" w:tplc="AE266554">
      <w:start w:val="1"/>
      <w:numFmt w:val="bullet"/>
      <w:lvlText w:val="■"/>
      <w:lvlJc w:val="left"/>
      <w:pPr>
        <w:ind w:left="2160" w:hanging="360"/>
      </w:pPr>
      <w:rPr>
        <w:strike w:val="0"/>
        <w:dstrike w:val="0"/>
        <w:u w:val="none"/>
        <w:effect w:val="none"/>
      </w:rPr>
    </w:lvl>
    <w:lvl w:ilvl="3" w:tplc="B27A91DE">
      <w:start w:val="1"/>
      <w:numFmt w:val="bullet"/>
      <w:lvlText w:val="●"/>
      <w:lvlJc w:val="left"/>
      <w:pPr>
        <w:ind w:left="2880" w:hanging="360"/>
      </w:pPr>
      <w:rPr>
        <w:strike w:val="0"/>
        <w:dstrike w:val="0"/>
        <w:u w:val="none"/>
        <w:effect w:val="none"/>
      </w:rPr>
    </w:lvl>
    <w:lvl w:ilvl="4" w:tplc="63B23A16">
      <w:start w:val="1"/>
      <w:numFmt w:val="bullet"/>
      <w:lvlText w:val="○"/>
      <w:lvlJc w:val="left"/>
      <w:pPr>
        <w:ind w:left="3600" w:hanging="360"/>
      </w:pPr>
      <w:rPr>
        <w:strike w:val="0"/>
        <w:dstrike w:val="0"/>
        <w:u w:val="none"/>
        <w:effect w:val="none"/>
      </w:rPr>
    </w:lvl>
    <w:lvl w:ilvl="5" w:tplc="A7F60130">
      <w:start w:val="1"/>
      <w:numFmt w:val="bullet"/>
      <w:lvlText w:val="■"/>
      <w:lvlJc w:val="left"/>
      <w:pPr>
        <w:ind w:left="4320" w:hanging="360"/>
      </w:pPr>
      <w:rPr>
        <w:strike w:val="0"/>
        <w:dstrike w:val="0"/>
        <w:u w:val="none"/>
        <w:effect w:val="none"/>
      </w:rPr>
    </w:lvl>
    <w:lvl w:ilvl="6" w:tplc="C6E8267C">
      <w:start w:val="1"/>
      <w:numFmt w:val="bullet"/>
      <w:lvlText w:val="●"/>
      <w:lvlJc w:val="left"/>
      <w:pPr>
        <w:ind w:left="5040" w:hanging="360"/>
      </w:pPr>
      <w:rPr>
        <w:strike w:val="0"/>
        <w:dstrike w:val="0"/>
        <w:u w:val="none"/>
        <w:effect w:val="none"/>
      </w:rPr>
    </w:lvl>
    <w:lvl w:ilvl="7" w:tplc="EE9EE370">
      <w:start w:val="1"/>
      <w:numFmt w:val="bullet"/>
      <w:lvlText w:val="○"/>
      <w:lvlJc w:val="left"/>
      <w:pPr>
        <w:ind w:left="5760" w:hanging="360"/>
      </w:pPr>
      <w:rPr>
        <w:strike w:val="0"/>
        <w:dstrike w:val="0"/>
        <w:u w:val="none"/>
        <w:effect w:val="none"/>
      </w:rPr>
    </w:lvl>
    <w:lvl w:ilvl="8" w:tplc="F2240CCA">
      <w:start w:val="1"/>
      <w:numFmt w:val="bullet"/>
      <w:lvlText w:val="■"/>
      <w:lvlJc w:val="left"/>
      <w:pPr>
        <w:ind w:left="6480" w:hanging="360"/>
      </w:pPr>
      <w:rPr>
        <w:strike w:val="0"/>
        <w:dstrike w:val="0"/>
        <w:u w:val="none"/>
        <w:effect w:val="none"/>
      </w:rPr>
    </w:lvl>
  </w:abstractNum>
  <w:num w:numId="1" w16cid:durableId="20023517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6BB2"/>
    <w:rsid w:val="000A0FC2"/>
    <w:rsid w:val="000D3195"/>
    <w:rsid w:val="001132EB"/>
    <w:rsid w:val="002548BC"/>
    <w:rsid w:val="002D3979"/>
    <w:rsid w:val="00502349"/>
    <w:rsid w:val="007E15A4"/>
    <w:rsid w:val="007E6002"/>
    <w:rsid w:val="00804EBC"/>
    <w:rsid w:val="00914965"/>
    <w:rsid w:val="00960672"/>
    <w:rsid w:val="009959EE"/>
    <w:rsid w:val="00A32375"/>
    <w:rsid w:val="00C10840"/>
    <w:rsid w:val="00C23985"/>
    <w:rsid w:val="00C47758"/>
    <w:rsid w:val="00CF1E14"/>
    <w:rsid w:val="00DA2505"/>
    <w:rsid w:val="00E220F5"/>
    <w:rsid w:val="00E56BB2"/>
    <w:rsid w:val="00E81E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7FEF8E"/>
  <w15:chartTrackingRefBased/>
  <w15:docId w15:val="{FB2E9380-3981-4800-B4BC-1D5DDEB297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6BB2"/>
    <w:pPr>
      <w:spacing w:after="0" w:line="360" w:lineRule="auto"/>
      <w:jc w:val="both"/>
    </w:pPr>
    <w:rPr>
      <w:rFonts w:ascii="Arial" w:eastAsia="Arial" w:hAnsi="Arial" w:cs="Arial"/>
      <w:lang w:eastAsia="en-GB"/>
    </w:rPr>
  </w:style>
  <w:style w:type="paragraph" w:styleId="Heading1">
    <w:name w:val="heading 1"/>
    <w:basedOn w:val="Normal"/>
    <w:next w:val="Normal"/>
    <w:link w:val="Heading1Char"/>
    <w:uiPriority w:val="9"/>
    <w:qFormat/>
    <w:rsid w:val="00E56B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6B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6B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6B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6B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6BB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6BB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6BB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6BB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6B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6B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6B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6B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6B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6B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6B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6B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6BB2"/>
    <w:rPr>
      <w:rFonts w:eastAsiaTheme="majorEastAsia" w:cstheme="majorBidi"/>
      <w:color w:val="272727" w:themeColor="text1" w:themeTint="D8"/>
    </w:rPr>
  </w:style>
  <w:style w:type="paragraph" w:styleId="Title">
    <w:name w:val="Title"/>
    <w:basedOn w:val="Normal"/>
    <w:next w:val="Normal"/>
    <w:link w:val="TitleChar"/>
    <w:uiPriority w:val="10"/>
    <w:qFormat/>
    <w:rsid w:val="00E56B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6B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6B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6B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6BB2"/>
    <w:pPr>
      <w:spacing w:before="160"/>
      <w:jc w:val="center"/>
    </w:pPr>
    <w:rPr>
      <w:i/>
      <w:iCs/>
      <w:color w:val="404040" w:themeColor="text1" w:themeTint="BF"/>
    </w:rPr>
  </w:style>
  <w:style w:type="character" w:customStyle="1" w:styleId="QuoteChar">
    <w:name w:val="Quote Char"/>
    <w:basedOn w:val="DefaultParagraphFont"/>
    <w:link w:val="Quote"/>
    <w:uiPriority w:val="29"/>
    <w:rsid w:val="00E56BB2"/>
    <w:rPr>
      <w:i/>
      <w:iCs/>
      <w:color w:val="404040" w:themeColor="text1" w:themeTint="BF"/>
    </w:rPr>
  </w:style>
  <w:style w:type="paragraph" w:styleId="ListParagraph">
    <w:name w:val="List Paragraph"/>
    <w:basedOn w:val="Normal"/>
    <w:uiPriority w:val="34"/>
    <w:qFormat/>
    <w:rsid w:val="00E56BB2"/>
    <w:pPr>
      <w:ind w:left="720"/>
      <w:contextualSpacing/>
    </w:pPr>
  </w:style>
  <w:style w:type="character" w:styleId="IntenseEmphasis">
    <w:name w:val="Intense Emphasis"/>
    <w:basedOn w:val="DefaultParagraphFont"/>
    <w:uiPriority w:val="21"/>
    <w:qFormat/>
    <w:rsid w:val="00E56BB2"/>
    <w:rPr>
      <w:i/>
      <w:iCs/>
      <w:color w:val="0F4761" w:themeColor="accent1" w:themeShade="BF"/>
    </w:rPr>
  </w:style>
  <w:style w:type="paragraph" w:styleId="IntenseQuote">
    <w:name w:val="Intense Quote"/>
    <w:basedOn w:val="Normal"/>
    <w:next w:val="Normal"/>
    <w:link w:val="IntenseQuoteChar"/>
    <w:uiPriority w:val="30"/>
    <w:qFormat/>
    <w:rsid w:val="00E56B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6BB2"/>
    <w:rPr>
      <w:i/>
      <w:iCs/>
      <w:color w:val="0F4761" w:themeColor="accent1" w:themeShade="BF"/>
    </w:rPr>
  </w:style>
  <w:style w:type="character" w:styleId="IntenseReference">
    <w:name w:val="Intense Reference"/>
    <w:basedOn w:val="DefaultParagraphFont"/>
    <w:uiPriority w:val="32"/>
    <w:qFormat/>
    <w:rsid w:val="00E56BB2"/>
    <w:rPr>
      <w:b/>
      <w:bCs/>
      <w:smallCaps/>
      <w:color w:val="0F4761" w:themeColor="accent1" w:themeShade="BF"/>
      <w:spacing w:val="5"/>
    </w:rPr>
  </w:style>
  <w:style w:type="character" w:styleId="Hyperlink">
    <w:name w:val="Hyperlink"/>
    <w:basedOn w:val="DefaultParagraphFont"/>
    <w:uiPriority w:val="99"/>
    <w:semiHidden/>
    <w:unhideWhenUsed/>
    <w:rsid w:val="00E56BB2"/>
    <w:rPr>
      <w:color w:val="467886" w:themeColor="hyperlink"/>
      <w:u w:val="single"/>
    </w:rPr>
  </w:style>
  <w:style w:type="paragraph" w:styleId="TOC1">
    <w:name w:val="toc 1"/>
    <w:basedOn w:val="Normal"/>
    <w:next w:val="Normal"/>
    <w:autoRedefine/>
    <w:uiPriority w:val="39"/>
    <w:semiHidden/>
    <w:unhideWhenUsed/>
    <w:rsid w:val="00E56BB2"/>
    <w:pPr>
      <w:spacing w:after="100"/>
    </w:pPr>
  </w:style>
  <w:style w:type="paragraph" w:styleId="TOC2">
    <w:name w:val="toc 2"/>
    <w:basedOn w:val="Normal"/>
    <w:next w:val="Normal"/>
    <w:autoRedefine/>
    <w:uiPriority w:val="39"/>
    <w:semiHidden/>
    <w:unhideWhenUsed/>
    <w:rsid w:val="00E56BB2"/>
    <w:pPr>
      <w:spacing w:after="100"/>
      <w:ind w:left="220"/>
    </w:pPr>
  </w:style>
  <w:style w:type="paragraph" w:styleId="TOCHeading">
    <w:name w:val="TOC Heading"/>
    <w:basedOn w:val="Heading1"/>
    <w:next w:val="Normal"/>
    <w:uiPriority w:val="39"/>
    <w:semiHidden/>
    <w:unhideWhenUsed/>
    <w:qFormat/>
    <w:rsid w:val="00E56BB2"/>
    <w:pPr>
      <w:spacing w:before="240" w:after="0" w:line="256" w:lineRule="auto"/>
      <w:outlineLvl w:val="9"/>
    </w:pPr>
    <w:rPr>
      <w:rFonts w:eastAsia="Arial" w:cs="Arial"/>
      <w:bCs/>
      <w:color w:val="auto"/>
      <w:sz w:val="32"/>
      <w:szCs w:val="32"/>
      <w:lang w:val="en-US"/>
    </w:rPr>
  </w:style>
  <w:style w:type="table" w:customStyle="1" w:styleId="Table1">
    <w:name w:val="Table1"/>
    <w:basedOn w:val="TableNormal"/>
    <w:rsid w:val="00E56BB2"/>
    <w:pPr>
      <w:spacing w:after="0" w:line="360" w:lineRule="auto"/>
      <w:jc w:val="both"/>
    </w:pPr>
    <w:rPr>
      <w:rFonts w:ascii="Arial" w:eastAsia="Arial" w:hAnsi="Arial" w:cs="Arial"/>
      <w:lang w:val="en"/>
    </w:rPr>
    <w:tblPr>
      <w:tblStyleRowBandSize w:val="1"/>
      <w:tblStyleColBandSize w:val="1"/>
      <w:tblInd w:w="0" w:type="nil"/>
      <w:tblCellMar>
        <w:top w:w="100" w:type="dxa"/>
        <w:left w:w="100" w:type="dxa"/>
        <w:bottom w:w="100" w:type="dxa"/>
        <w:right w:w="100" w:type="dxa"/>
      </w:tblCellMar>
    </w:tblPr>
  </w:style>
  <w:style w:type="table" w:customStyle="1" w:styleId="Table2">
    <w:name w:val="Table2"/>
    <w:basedOn w:val="TableNormal"/>
    <w:rsid w:val="00E56BB2"/>
    <w:pPr>
      <w:spacing w:after="0" w:line="360" w:lineRule="auto"/>
      <w:jc w:val="both"/>
    </w:pPr>
    <w:rPr>
      <w:rFonts w:ascii="Arial" w:eastAsia="Arial" w:hAnsi="Arial" w:cs="Arial"/>
      <w:lang w:val="en"/>
    </w:rPr>
    <w:tblPr>
      <w:tblStyleRowBandSize w:val="1"/>
      <w:tblStyleColBandSize w:val="1"/>
      <w:tblInd w:w="0" w:type="nil"/>
      <w:tblCellMar>
        <w:top w:w="100" w:type="dxa"/>
        <w:left w:w="100" w:type="dxa"/>
        <w:bottom w:w="100" w:type="dxa"/>
        <w:right w:w="100" w:type="dxa"/>
      </w:tblCellMar>
    </w:tblPr>
  </w:style>
  <w:style w:type="paragraph" w:styleId="Header">
    <w:name w:val="header"/>
    <w:basedOn w:val="Normal"/>
    <w:link w:val="HeaderChar"/>
    <w:uiPriority w:val="99"/>
    <w:unhideWhenUsed/>
    <w:rsid w:val="000A0FC2"/>
    <w:pPr>
      <w:tabs>
        <w:tab w:val="center" w:pos="4513"/>
        <w:tab w:val="right" w:pos="9026"/>
      </w:tabs>
      <w:spacing w:line="240" w:lineRule="auto"/>
    </w:pPr>
  </w:style>
  <w:style w:type="character" w:customStyle="1" w:styleId="HeaderChar">
    <w:name w:val="Header Char"/>
    <w:basedOn w:val="DefaultParagraphFont"/>
    <w:link w:val="Header"/>
    <w:uiPriority w:val="99"/>
    <w:rsid w:val="000A0FC2"/>
    <w:rPr>
      <w:rFonts w:ascii="Arial" w:eastAsia="Arial" w:hAnsi="Arial" w:cs="Arial"/>
      <w:lang w:eastAsia="en-GB"/>
    </w:rPr>
  </w:style>
  <w:style w:type="paragraph" w:styleId="Footer">
    <w:name w:val="footer"/>
    <w:basedOn w:val="Normal"/>
    <w:link w:val="FooterChar"/>
    <w:uiPriority w:val="99"/>
    <w:unhideWhenUsed/>
    <w:rsid w:val="000A0FC2"/>
    <w:pPr>
      <w:tabs>
        <w:tab w:val="center" w:pos="4513"/>
        <w:tab w:val="right" w:pos="9026"/>
      </w:tabs>
      <w:spacing w:line="240" w:lineRule="auto"/>
    </w:pPr>
  </w:style>
  <w:style w:type="character" w:customStyle="1" w:styleId="FooterChar">
    <w:name w:val="Footer Char"/>
    <w:basedOn w:val="DefaultParagraphFont"/>
    <w:link w:val="Footer"/>
    <w:uiPriority w:val="99"/>
    <w:rsid w:val="000A0FC2"/>
    <w:rPr>
      <w:rFonts w:ascii="Arial" w:eastAsia="Arial" w:hAnsi="Arial" w:cs="Arial"/>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berth\AppData\Local\Microsoft\Olk\Attachments\ooa-933333a6-ef49-408a-9640-4efb9cc6eee0\0cd12aac117b67ae641a5498760848377b6ae94a9eee1aa0774b3dd46a9d6684\56fbf1eedc2ad6de25e788dc9c3b6a7be192a589e12dfe573628a1462f7.docx" TargetMode="External"/><Relationship Id="rId18" Type="http://schemas.openxmlformats.org/officeDocument/2006/relationships/hyperlink" Target="file:///C:\Users\berth\AppData\Local\Microsoft\Olk\Attachments\ooa-933333a6-ef49-408a-9640-4efb9cc6eee0\0cd12aac117b67ae641a5498760848377b6ae94a9eee1aa0774b3dd46a9d6684\56fbf1eedc2ad6de25e788dc9c3b6a7be192a589e12dfe573628a1462f7.docx" TargetMode="External"/><Relationship Id="rId26" Type="http://schemas.openxmlformats.org/officeDocument/2006/relationships/hyperlink" Target="file:///C:\Users\berth\AppData\Local\Microsoft\Olk\Attachments\ooa-933333a6-ef49-408a-9640-4efb9cc6eee0\0cd12aac117b67ae641a5498760848377b6ae94a9eee1aa0774b3dd46a9d6684\56fbf1eedc2ad6de25e788dc9c3b6a7be192a589e12dfe573628a1462f7.docx" TargetMode="External"/><Relationship Id="rId39" Type="http://schemas.openxmlformats.org/officeDocument/2006/relationships/hyperlink" Target="https://doi.org/10.1177/13623613221145377" TargetMode="External"/><Relationship Id="rId21" Type="http://schemas.openxmlformats.org/officeDocument/2006/relationships/hyperlink" Target="file:///C:\Users\berth\AppData\Local\Microsoft\Olk\Attachments\ooa-933333a6-ef49-408a-9640-4efb9cc6eee0\0cd12aac117b67ae641a5498760848377b6ae94a9eee1aa0774b3dd46a9d6684\56fbf1eedc2ad6de25e788dc9c3b6a7be192a589e12dfe573628a1462f7.docx" TargetMode="External"/><Relationship Id="rId34" Type="http://schemas.openxmlformats.org/officeDocument/2006/relationships/hyperlink" Target="https://doi.org/10.1016/j.glmedi.2025.100198" TargetMode="External"/><Relationship Id="rId42" Type="http://schemas.openxmlformats.org/officeDocument/2006/relationships/hyperlink" Target="https://doi.org/10.1016/j.jclinepi.2022.05.022" TargetMode="External"/><Relationship Id="rId47" Type="http://schemas.openxmlformats.org/officeDocument/2006/relationships/hyperlink" Target="https://doi.org/10.1016/j.dhjo.2021.101209" TargetMode="External"/><Relationship Id="rId50" Type="http://schemas.openxmlformats.org/officeDocument/2006/relationships/hyperlink" Target="https://www.un.org/disabilities/documents/convention/convoptprot-e.pdf" TargetMode="External"/><Relationship Id="rId55" Type="http://schemas.openxmlformats.org/officeDocument/2006/relationships/fontTable" Target="fontTable.xml"/><Relationship Id="rId7" Type="http://schemas.openxmlformats.org/officeDocument/2006/relationships/hyperlink" Target="file:///C:\Users\berth\AppData\Local\Microsoft\Olk\Attachments\ooa-933333a6-ef49-408a-9640-4efb9cc6eee0\0cd12aac117b67ae641a5498760848377b6ae94a9eee1aa0774b3dd46a9d6684\56fbf1eedc2ad6de25e788dc9c3b6a7be192a589e12dfe573628a1462f7.docx" TargetMode="External"/><Relationship Id="rId2" Type="http://schemas.openxmlformats.org/officeDocument/2006/relationships/styles" Target="styles.xml"/><Relationship Id="rId16" Type="http://schemas.openxmlformats.org/officeDocument/2006/relationships/hyperlink" Target="file:///C:\Users\berth\AppData\Local\Microsoft\Olk\Attachments\ooa-933333a6-ef49-408a-9640-4efb9cc6eee0\0cd12aac117b67ae641a5498760848377b6ae94a9eee1aa0774b3dd46a9d6684\56fbf1eedc2ad6de25e788dc9c3b6a7be192a589e12dfe573628a1462f7.docx" TargetMode="External"/><Relationship Id="rId29" Type="http://schemas.openxmlformats.org/officeDocument/2006/relationships/hyperlink" Target="file:///C:\Users\berth\AppData\Local\Microsoft\Olk\Attachments\ooa-933333a6-ef49-408a-9640-4efb9cc6eee0\0cd12aac117b67ae641a5498760848377b6ae94a9eee1aa0774b3dd46a9d6684\56fbf1eedc2ad6de25e788dc9c3b6a7be192a589e12dfe573628a1462f7.docx" TargetMode="External"/><Relationship Id="rId11" Type="http://schemas.openxmlformats.org/officeDocument/2006/relationships/hyperlink" Target="file:///C:\Users\berth\AppData\Local\Microsoft\Olk\Attachments\ooa-933333a6-ef49-408a-9640-4efb9cc6eee0\0cd12aac117b67ae641a5498760848377b6ae94a9eee1aa0774b3dd46a9d6684\56fbf1eedc2ad6de25e788dc9c3b6a7be192a589e12dfe573628a1462f7.docx" TargetMode="External"/><Relationship Id="rId24" Type="http://schemas.openxmlformats.org/officeDocument/2006/relationships/hyperlink" Target="file:///C:\Users\berth\AppData\Local\Microsoft\Olk\Attachments\ooa-933333a6-ef49-408a-9640-4efb9cc6eee0\0cd12aac117b67ae641a5498760848377b6ae94a9eee1aa0774b3dd46a9d6684\56fbf1eedc2ad6de25e788dc9c3b6a7be192a589e12dfe573628a1462f7.docx" TargetMode="External"/><Relationship Id="rId32" Type="http://schemas.openxmlformats.org/officeDocument/2006/relationships/hyperlink" Target="file:///C:\Users\berth\AppData\Local\Microsoft\Olk\Attachments\ooa-933333a6-ef49-408a-9640-4efb9cc6eee0\0cd12aac117b67ae641a5498760848377b6ae94a9eee1aa0774b3dd46a9d6684\56fbf1eedc2ad6de25e788dc9c3b6a7be192a589e12dfe573628a1462f7.docx" TargetMode="External"/><Relationship Id="rId37" Type="http://schemas.openxmlformats.org/officeDocument/2006/relationships/hyperlink" Target="https://doi.org/10.1111/jppi.12410" TargetMode="External"/><Relationship Id="rId40" Type="http://schemas.openxmlformats.org/officeDocument/2006/relationships/hyperlink" Target="https://doi.org/10.1016/j.ejpsy.2021.10.002" TargetMode="External"/><Relationship Id="rId45" Type="http://schemas.openxmlformats.org/officeDocument/2006/relationships/hyperlink" Target="https://doi.org/10.1080/09585192.2019.1579749" TargetMode="External"/><Relationship Id="rId53" Type="http://schemas.openxmlformats.org/officeDocument/2006/relationships/hyperlink" Target="https://wla.london/our-programmes/supported-employment/" TargetMode="External"/><Relationship Id="rId5" Type="http://schemas.openxmlformats.org/officeDocument/2006/relationships/footnotes" Target="footnotes.xml"/><Relationship Id="rId10" Type="http://schemas.openxmlformats.org/officeDocument/2006/relationships/hyperlink" Target="file:///C:\Users\berth\AppData\Local\Microsoft\Olk\Attachments\ooa-933333a6-ef49-408a-9640-4efb9cc6eee0\0cd12aac117b67ae641a5498760848377b6ae94a9eee1aa0774b3dd46a9d6684\56fbf1eedc2ad6de25e788dc9c3b6a7be192a589e12dfe573628a1462f7.docx" TargetMode="External"/><Relationship Id="rId19" Type="http://schemas.openxmlformats.org/officeDocument/2006/relationships/hyperlink" Target="file:///C:\Users\berth\AppData\Local\Microsoft\Olk\Attachments\ooa-933333a6-ef49-408a-9640-4efb9cc6eee0\0cd12aac117b67ae641a5498760848377b6ae94a9eee1aa0774b3dd46a9d6684\56fbf1eedc2ad6de25e788dc9c3b6a7be192a589e12dfe573628a1462f7.docx" TargetMode="External"/><Relationship Id="rId31" Type="http://schemas.openxmlformats.org/officeDocument/2006/relationships/hyperlink" Target="file:///C:\Users\berth\AppData\Local\Microsoft\Olk\Attachments\ooa-933333a6-ef49-408a-9640-4efb9cc6eee0\0cd12aac117b67ae641a5498760848377b6ae94a9eee1aa0774b3dd46a9d6684\56fbf1eedc2ad6de25e788dc9c3b6a7be192a589e12dfe573628a1462f7.docx" TargetMode="External"/><Relationship Id="rId44" Type="http://schemas.openxmlformats.org/officeDocument/2006/relationships/hyperlink" Target="https://assets.publishing.service.gov.uk/media/5a7e3237ed915d74e33f0ac9/Equality_Act_Advice_Final.pdf" TargetMode="External"/><Relationship Id="rId52" Type="http://schemas.openxmlformats.org/officeDocument/2006/relationships/hyperlink" Target="https://doi.org/10.1177/00144029231220303" TargetMode="External"/><Relationship Id="rId4" Type="http://schemas.openxmlformats.org/officeDocument/2006/relationships/webSettings" Target="webSettings.xml"/><Relationship Id="rId9" Type="http://schemas.openxmlformats.org/officeDocument/2006/relationships/hyperlink" Target="file:///C:\Users\berth\AppData\Local\Microsoft\Olk\Attachments\ooa-933333a6-ef49-408a-9640-4efb9cc6eee0\0cd12aac117b67ae641a5498760848377b6ae94a9eee1aa0774b3dd46a9d6684\56fbf1eedc2ad6de25e788dc9c3b6a7be192a589e12dfe573628a1462f7.docx" TargetMode="External"/><Relationship Id="rId14" Type="http://schemas.openxmlformats.org/officeDocument/2006/relationships/hyperlink" Target="file:///C:\Users\berth\AppData\Local\Microsoft\Olk\Attachments\ooa-933333a6-ef49-408a-9640-4efb9cc6eee0\0cd12aac117b67ae641a5498760848377b6ae94a9eee1aa0774b3dd46a9d6684\56fbf1eedc2ad6de25e788dc9c3b6a7be192a589e12dfe573628a1462f7.docx" TargetMode="External"/><Relationship Id="rId22" Type="http://schemas.openxmlformats.org/officeDocument/2006/relationships/hyperlink" Target="file:///C:\Users\berth\AppData\Local\Microsoft\Olk\Attachments\ooa-933333a6-ef49-408a-9640-4efb9cc6eee0\0cd12aac117b67ae641a5498760848377b6ae94a9eee1aa0774b3dd46a9d6684\56fbf1eedc2ad6de25e788dc9c3b6a7be192a589e12dfe573628a1462f7.docx" TargetMode="External"/><Relationship Id="rId27" Type="http://schemas.openxmlformats.org/officeDocument/2006/relationships/hyperlink" Target="file:///C:\Users\berth\AppData\Local\Microsoft\Olk\Attachments\ooa-933333a6-ef49-408a-9640-4efb9cc6eee0\0cd12aac117b67ae641a5498760848377b6ae94a9eee1aa0774b3dd46a9d6684\56fbf1eedc2ad6de25e788dc9c3b6a7be192a589e12dfe573628a1462f7.docx" TargetMode="External"/><Relationship Id="rId30" Type="http://schemas.openxmlformats.org/officeDocument/2006/relationships/hyperlink" Target="file:///C:\Users\berth\AppData\Local\Microsoft\Olk\Attachments\ooa-933333a6-ef49-408a-9640-4efb9cc6eee0\0cd12aac117b67ae641a5498760848377b6ae94a9eee1aa0774b3dd46a9d6684\56fbf1eedc2ad6de25e788dc9c3b6a7be192a589e12dfe573628a1462f7.docx" TargetMode="External"/><Relationship Id="rId35" Type="http://schemas.openxmlformats.org/officeDocument/2006/relationships/hyperlink" Target="https://doi.org/10.1016/j.dhjo.2022.101328" TargetMode="External"/><Relationship Id="rId43" Type="http://schemas.openxmlformats.org/officeDocument/2006/relationships/hyperlink" Target="https://doi.org/10.1111/bld.12378" TargetMode="External"/><Relationship Id="rId48" Type="http://schemas.openxmlformats.org/officeDocument/2006/relationships/hyperlink" Target="https://doi.org/10.1186/s12910-024-01012-4" TargetMode="External"/><Relationship Id="rId56" Type="http://schemas.openxmlformats.org/officeDocument/2006/relationships/theme" Target="theme/theme1.xml"/><Relationship Id="rId8" Type="http://schemas.openxmlformats.org/officeDocument/2006/relationships/hyperlink" Target="file:///C:\Users\berth\AppData\Local\Microsoft\Olk\Attachments\ooa-933333a6-ef49-408a-9640-4efb9cc6eee0\0cd12aac117b67ae641a5498760848377b6ae94a9eee1aa0774b3dd46a9d6684\56fbf1eedc2ad6de25e788dc9c3b6a7be192a589e12dfe573628a1462f7.docx" TargetMode="External"/><Relationship Id="rId51" Type="http://schemas.openxmlformats.org/officeDocument/2006/relationships/hyperlink" Target="https://doi.org/10.1016/j.jclinepi.2023.01.011" TargetMode="External"/><Relationship Id="rId3" Type="http://schemas.openxmlformats.org/officeDocument/2006/relationships/settings" Target="settings.xml"/><Relationship Id="rId12" Type="http://schemas.openxmlformats.org/officeDocument/2006/relationships/hyperlink" Target="file:///C:\Users\berth\AppData\Local\Microsoft\Olk\Attachments\ooa-933333a6-ef49-408a-9640-4efb9cc6eee0\0cd12aac117b67ae641a5498760848377b6ae94a9eee1aa0774b3dd46a9d6684\56fbf1eedc2ad6de25e788dc9c3b6a7be192a589e12dfe573628a1462f7.docx" TargetMode="External"/><Relationship Id="rId17" Type="http://schemas.openxmlformats.org/officeDocument/2006/relationships/hyperlink" Target="file:///C:\Users\berth\AppData\Local\Microsoft\Olk\Attachments\ooa-933333a6-ef49-408a-9640-4efb9cc6eee0\0cd12aac117b67ae641a5498760848377b6ae94a9eee1aa0774b3dd46a9d6684\56fbf1eedc2ad6de25e788dc9c3b6a7be192a589e12dfe573628a1462f7.docx" TargetMode="External"/><Relationship Id="rId25" Type="http://schemas.openxmlformats.org/officeDocument/2006/relationships/hyperlink" Target="file:///C:\Users\berth\AppData\Local\Microsoft\Olk\Attachments\ooa-933333a6-ef49-408a-9640-4efb9cc6eee0\0cd12aac117b67ae641a5498760848377b6ae94a9eee1aa0774b3dd46a9d6684\56fbf1eedc2ad6de25e788dc9c3b6a7be192a589e12dfe573628a1462f7.docx" TargetMode="External"/><Relationship Id="rId33" Type="http://schemas.openxmlformats.org/officeDocument/2006/relationships/image" Target="media/image1.png"/><Relationship Id="rId38" Type="http://schemas.openxmlformats.org/officeDocument/2006/relationships/hyperlink" Target="https://doi.org/10.1111/jar.12954" TargetMode="External"/><Relationship Id="rId46" Type="http://schemas.openxmlformats.org/officeDocument/2006/relationships/hyperlink" Target="https://www.mencap.org.uk/learning-disability-explained/research-and-statistics/how-common-learning-disability" TargetMode="External"/><Relationship Id="rId20" Type="http://schemas.openxmlformats.org/officeDocument/2006/relationships/hyperlink" Target="file:///C:\Users\berth\AppData\Local\Microsoft\Olk\Attachments\ooa-933333a6-ef49-408a-9640-4efb9cc6eee0\0cd12aac117b67ae641a5498760848377b6ae94a9eee1aa0774b3dd46a9d6684\56fbf1eedc2ad6de25e788dc9c3b6a7be192a589e12dfe573628a1462f7.docx" TargetMode="External"/><Relationship Id="rId41" Type="http://schemas.openxmlformats.org/officeDocument/2006/relationships/hyperlink" Target="https://doi.org/10.1177/17446295211016182" TargetMode="External"/><Relationship Id="rId54"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file:///C:\Users\berth\AppData\Local\Microsoft\Olk\Attachments\ooa-933333a6-ef49-408a-9640-4efb9cc6eee0\0cd12aac117b67ae641a5498760848377b6ae94a9eee1aa0774b3dd46a9d6684\56fbf1eedc2ad6de25e788dc9c3b6a7be192a589e12dfe573628a1462f7.docx" TargetMode="External"/><Relationship Id="rId23" Type="http://schemas.openxmlformats.org/officeDocument/2006/relationships/hyperlink" Target="file:///C:\Users\berth\AppData\Local\Microsoft\Olk\Attachments\ooa-933333a6-ef49-408a-9640-4efb9cc6eee0\0cd12aac117b67ae641a5498760848377b6ae94a9eee1aa0774b3dd46a9d6684\56fbf1eedc2ad6de25e788dc9c3b6a7be192a589e12dfe573628a1462f7.docx" TargetMode="External"/><Relationship Id="rId28" Type="http://schemas.openxmlformats.org/officeDocument/2006/relationships/hyperlink" Target="file:///C:\Users\berth\AppData\Local\Microsoft\Olk\Attachments\ooa-933333a6-ef49-408a-9640-4efb9cc6eee0\0cd12aac117b67ae641a5498760848377b6ae94a9eee1aa0774b3dd46a9d6684\56fbf1eedc2ad6de25e788dc9c3b6a7be192a589e12dfe573628a1462f7.docx" TargetMode="External"/><Relationship Id="rId36" Type="http://schemas.openxmlformats.org/officeDocument/2006/relationships/hyperlink" Target="https://doi.org/10.1016/j.jadr.2022.100334" TargetMode="External"/><Relationship Id="rId49" Type="http://schemas.openxmlformats.org/officeDocument/2006/relationships/hyperlink" Target="https://www.scop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264</TotalTime>
  <Pages>22</Pages>
  <Words>6145</Words>
  <Characters>35033</Characters>
  <Application>Microsoft Office Word</Application>
  <DocSecurity>0</DocSecurity>
  <Lines>291</Lines>
  <Paragraphs>82</Paragraphs>
  <ScaleCrop>false</ScaleCrop>
  <Company/>
  <LinksUpToDate>false</LinksUpToDate>
  <CharactersWithSpaces>41096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Bertha Quarschie Ep Amoah (2324071)</dc:creator>
  <cp:keywords/>
  <dc:description/>
  <cp:lastModifiedBy>Bertha Quarschie Ep Amoah (2324071)</cp:lastModifiedBy>
  <cp:revision>15</cp:revision>
  <dcterms:created xsi:type="dcterms:W3CDTF">2025-10-19T12:45:00Z</dcterms:created>
  <dcterms:modified xsi:type="dcterms:W3CDTF">2025-11-11T11:17:00Z</dcterms:modified>
</cp:coreProperties>
</file>