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E38C6" w14:textId="170909AC" w:rsidR="000330F6" w:rsidRPr="00854247" w:rsidRDefault="0055193F">
      <w:pPr>
        <w:rPr>
          <w:b/>
          <w:bCs/>
          <w:sz w:val="22"/>
          <w:szCs w:val="22"/>
          <w:u w:val="single"/>
        </w:rPr>
      </w:pPr>
      <w:r w:rsidRPr="00854247">
        <w:rPr>
          <w:b/>
          <w:bCs/>
          <w:sz w:val="22"/>
          <w:szCs w:val="22"/>
          <w:u w:val="single"/>
        </w:rPr>
        <w:t xml:space="preserve">Psychology Component 2 </w:t>
      </w:r>
    </w:p>
    <w:p w14:paraId="40F732DE" w14:textId="77777777" w:rsidR="00F668F8" w:rsidRPr="00854247" w:rsidRDefault="00F668F8" w:rsidP="00F668F8">
      <w:pPr>
        <w:rPr>
          <w:rFonts w:ascii="Arial" w:hAnsi="Arial" w:cs="Arial"/>
          <w:b/>
          <w:bCs/>
          <w:sz w:val="22"/>
          <w:szCs w:val="22"/>
        </w:rPr>
      </w:pPr>
      <w:r w:rsidRPr="00854247">
        <w:rPr>
          <w:rFonts w:ascii="Arial" w:hAnsi="Arial" w:cs="Arial"/>
          <w:b/>
          <w:bCs/>
          <w:sz w:val="22"/>
          <w:szCs w:val="22"/>
        </w:rPr>
        <w:t>Module code: LCHS4010</w:t>
      </w:r>
    </w:p>
    <w:p w14:paraId="11FD0937" w14:textId="66673D8C" w:rsidR="00F668F8" w:rsidRPr="00854247" w:rsidRDefault="00F668F8" w:rsidP="00F668F8">
      <w:pPr>
        <w:rPr>
          <w:rFonts w:ascii="Arial" w:hAnsi="Arial" w:cs="Arial"/>
          <w:b/>
          <w:bCs/>
          <w:sz w:val="22"/>
          <w:szCs w:val="22"/>
        </w:rPr>
      </w:pPr>
      <w:r w:rsidRPr="00854247">
        <w:rPr>
          <w:rFonts w:ascii="Arial" w:hAnsi="Arial" w:cs="Arial"/>
          <w:b/>
          <w:bCs/>
          <w:sz w:val="22"/>
          <w:szCs w:val="22"/>
        </w:rPr>
        <w:t>Assignment title: Assessment 2: Bibliography &amp; report</w:t>
      </w:r>
    </w:p>
    <w:p w14:paraId="376BAEAA" w14:textId="24117659" w:rsidR="00F668F8" w:rsidRPr="00854247" w:rsidRDefault="00F668F8">
      <w:pPr>
        <w:rPr>
          <w:rFonts w:ascii="Arial" w:hAnsi="Arial" w:cs="Arial"/>
          <w:b/>
          <w:bCs/>
          <w:sz w:val="22"/>
          <w:szCs w:val="22"/>
        </w:rPr>
      </w:pPr>
      <w:r w:rsidRPr="00854247">
        <w:rPr>
          <w:rFonts w:ascii="Arial" w:hAnsi="Arial" w:cs="Arial"/>
          <w:b/>
          <w:bCs/>
          <w:sz w:val="22"/>
          <w:szCs w:val="22"/>
        </w:rPr>
        <w:t>Module code: LCHS4010</w:t>
      </w:r>
    </w:p>
    <w:p w14:paraId="730F75FC" w14:textId="33574E82" w:rsidR="0055193F" w:rsidRPr="00854247" w:rsidRDefault="0055193F">
      <w:pPr>
        <w:rPr>
          <w:rFonts w:ascii="Arial" w:hAnsi="Arial" w:cs="Arial"/>
          <w:b/>
          <w:bCs/>
          <w:sz w:val="22"/>
          <w:szCs w:val="22"/>
        </w:rPr>
      </w:pPr>
      <w:r w:rsidRPr="00854247">
        <w:rPr>
          <w:rFonts w:ascii="Arial" w:hAnsi="Arial" w:cs="Arial"/>
          <w:b/>
          <w:bCs/>
          <w:sz w:val="22"/>
          <w:szCs w:val="22"/>
        </w:rPr>
        <w:t>Name: Atfa Xasan</w:t>
      </w:r>
    </w:p>
    <w:p w14:paraId="3B0762CE" w14:textId="4F3F4BD2" w:rsidR="0055193F" w:rsidRPr="00854247" w:rsidRDefault="0055193F">
      <w:pPr>
        <w:rPr>
          <w:rFonts w:ascii="Arial" w:hAnsi="Arial" w:cs="Arial"/>
          <w:b/>
          <w:bCs/>
          <w:sz w:val="22"/>
          <w:szCs w:val="22"/>
        </w:rPr>
      </w:pPr>
      <w:r w:rsidRPr="00854247">
        <w:rPr>
          <w:rFonts w:ascii="Arial" w:hAnsi="Arial" w:cs="Arial"/>
          <w:b/>
          <w:bCs/>
          <w:sz w:val="22"/>
          <w:szCs w:val="22"/>
        </w:rPr>
        <w:t>Student number: 2433460</w:t>
      </w:r>
    </w:p>
    <w:p w14:paraId="2658D891" w14:textId="5B14BFBB" w:rsidR="0055193F" w:rsidRPr="00854247" w:rsidRDefault="0055193F">
      <w:pPr>
        <w:rPr>
          <w:rFonts w:ascii="Arial" w:hAnsi="Arial" w:cs="Arial"/>
          <w:b/>
          <w:bCs/>
          <w:sz w:val="22"/>
          <w:szCs w:val="22"/>
        </w:rPr>
      </w:pPr>
      <w:r w:rsidRPr="00854247">
        <w:rPr>
          <w:rFonts w:ascii="Arial" w:hAnsi="Arial" w:cs="Arial"/>
          <w:b/>
          <w:bCs/>
          <w:sz w:val="22"/>
          <w:szCs w:val="22"/>
        </w:rPr>
        <w:t xml:space="preserve">Lecture: Alice </w:t>
      </w:r>
    </w:p>
    <w:p w14:paraId="793F3E6C" w14:textId="77777777" w:rsidR="00D745FB" w:rsidRPr="002637DF" w:rsidRDefault="00D745FB" w:rsidP="00854247"/>
    <w:p w14:paraId="5A2220EA" w14:textId="77777777" w:rsidR="00CD270B" w:rsidRPr="00CD270B" w:rsidRDefault="00CD270B" w:rsidP="00CD270B">
      <w:r w:rsidRPr="00CD270B">
        <w:t>Part A: Annotated Bibliography – Psychological Theories and Wellbeing in Older Adults</w:t>
      </w:r>
      <w:r w:rsidRPr="00CD270B">
        <w:br/>
        <w:t>Source 1</w:t>
      </w:r>
      <w:r w:rsidRPr="00CD270B">
        <w:br/>
        <w:t>Reference:</w:t>
      </w:r>
      <w:r w:rsidRPr="00CD270B">
        <w:br/>
        <w:t xml:space="preserve">Erikson, E.H. (1982) </w:t>
      </w:r>
      <w:r w:rsidRPr="00CD270B">
        <w:rPr>
          <w:i/>
          <w:iCs/>
        </w:rPr>
        <w:t>The life cycle completed</w:t>
      </w:r>
      <w:r w:rsidRPr="00CD270B">
        <w:t>. New York: W.W. Norton &amp; Company.</w:t>
      </w:r>
    </w:p>
    <w:p w14:paraId="6A559D21" w14:textId="77777777" w:rsidR="00CD270B" w:rsidRPr="00CD270B" w:rsidRDefault="00CD270B" w:rsidP="00CD270B">
      <w:r w:rsidRPr="00CD270B">
        <w:t>Summary:</w:t>
      </w:r>
      <w:r w:rsidRPr="00CD270B">
        <w:br/>
        <w:t>Erikson’s psychosocial theory examines human development across the lifespan, with each stage presenting a psychological challenge or conflict. The final stage, relevant to older adulthood, is ego integrity versus despair. Ego integrity represents acceptance of one’s life and satisfaction with experiences, whereas despair arises from regret or feeling unfulfilled (Erikson, 1982). Achieving ego integrity enables older adults to experience wisdom, peace and emotional wellbeing. The theory emphasises life reflection and social relationships and is commonly applied in ageing research to understand coping with retirement, loss of loved ones or health decline. Research suggests that older adults who actively reflect on achievements and maintain social engagement experience higher life satisfaction and resilience against depression. Despite its usefulness, the theory is generalised and may not fully consider cultural or individual differences in ageing experiences.</w:t>
      </w:r>
    </w:p>
    <w:p w14:paraId="7179D8F2" w14:textId="77777777" w:rsidR="00CD270B" w:rsidRPr="00CD270B" w:rsidRDefault="00CD270B" w:rsidP="00CD270B">
      <w:r w:rsidRPr="00CD270B">
        <w:t>Critical Comment:</w:t>
      </w:r>
      <w:r w:rsidRPr="00CD270B">
        <w:br/>
        <w:t>This theory is highly relevant to health and social care, as it provides a framework for understanding emotional challenges and promoting wellbeing in older adults. Care professionals can apply its principles through life story work, reminiscence activities or guided discussions about achievements and meaningful experiences. Its limitation lies in the broad nature of the model, which may not capture diverse cultural perspectives or unique personal histories (Erikson, 1982). Additionally, while the theory highlights the importance of reflection, it does not provide specific methods for facilitating these processes, so practical strategies must be tailored to each resident.</w:t>
      </w:r>
    </w:p>
    <w:p w14:paraId="6A84B393" w14:textId="77777777" w:rsidR="00CD270B" w:rsidRPr="00CD270B" w:rsidRDefault="00CD270B" w:rsidP="00CD270B">
      <w:r w:rsidRPr="00CD270B">
        <w:pict w14:anchorId="30E6EB0F">
          <v:rect id="_x0000_i1220" style="width:0;height:1.5pt" o:hralign="center" o:hrstd="t" o:hr="t" fillcolor="#a0a0a0" stroked="f"/>
        </w:pict>
      </w:r>
    </w:p>
    <w:p w14:paraId="7FE9EB63" w14:textId="77777777" w:rsidR="00CD270B" w:rsidRPr="00CD270B" w:rsidRDefault="00CD270B" w:rsidP="00CD270B">
      <w:r w:rsidRPr="00CD270B">
        <w:t>Source 2</w:t>
      </w:r>
      <w:r w:rsidRPr="00CD270B">
        <w:br/>
        <w:t>Reference:</w:t>
      </w:r>
      <w:r w:rsidRPr="00CD270B">
        <w:br/>
        <w:t xml:space="preserve">Bandura, A. (1977) </w:t>
      </w:r>
      <w:r w:rsidRPr="00CD270B">
        <w:rPr>
          <w:i/>
          <w:iCs/>
        </w:rPr>
        <w:t>Social learning theory</w:t>
      </w:r>
      <w:r w:rsidRPr="00CD270B">
        <w:t>. Englewood Cliffs: Prentice Hall.</w:t>
      </w:r>
    </w:p>
    <w:p w14:paraId="4BF81EC3" w14:textId="77777777" w:rsidR="00CD270B" w:rsidRPr="00CD270B" w:rsidRDefault="00CD270B" w:rsidP="00CD270B">
      <w:r w:rsidRPr="00CD270B">
        <w:t>Summary:</w:t>
      </w:r>
      <w:r w:rsidRPr="00CD270B">
        <w:br/>
        <w:t>Bandura’s Social Learning Theory proposes that behaviours are learned through observation, imitation and modelling. Individuals notice the actions of others and the outcomes, which influences their own behaviours (Bandura, 1977). The theory highlights the importance of social environments, reinforcement and cognitive processes in shaping behaviour. In older adults, social learning can explain the adoption of health behaviours, coping strategies or participation in social activities by observing peers. For example, residents in a care home may engage in exercise or join community programmes after witnessing positive results in others. The concept of self-efficacy is also central, reflecting an individual’s belief in their ability to perform tasks successfully. Strengths of the theory include its focus on the interaction of social, cognitive and behavioural factors, making it practical for promoting behaviour change and engagement in care settings.</w:t>
      </w:r>
    </w:p>
    <w:p w14:paraId="08C10AF7" w14:textId="77777777" w:rsidR="00CD270B" w:rsidRPr="00CD270B" w:rsidRDefault="00CD270B" w:rsidP="00CD270B">
      <w:r w:rsidRPr="00CD270B">
        <w:t>Critical Comment:</w:t>
      </w:r>
      <w:r w:rsidRPr="00CD270B">
        <w:br/>
        <w:t>This theory is relevant in care settings as it informs strategies to encourage positive behaviours and social participation among older adults. Staff can model healthy routines, celebrate successes and use peer encouragement to enhance engagement. Its limitation is that learning through observation may be less effective in individuals with cognitive impairments or limited social contact, highlighting the need for personalised strategies. Additionally, reliance on peer modelling may create challenges if the social environment does not consistently demonstrate positive behaviours, making staff facilitation critical (Bandura, 1977).</w:t>
      </w:r>
    </w:p>
    <w:p w14:paraId="70CE5D53" w14:textId="77777777" w:rsidR="00CD270B" w:rsidRPr="00CD270B" w:rsidRDefault="00CD270B" w:rsidP="00CD270B">
      <w:r w:rsidRPr="00CD270B">
        <w:pict w14:anchorId="25D45F1D">
          <v:rect id="_x0000_i1221" style="width:0;height:1.5pt" o:hralign="center" o:hrstd="t" o:hr="t" fillcolor="#a0a0a0" stroked="f"/>
        </w:pict>
      </w:r>
    </w:p>
    <w:p w14:paraId="37DF30D0" w14:textId="77777777" w:rsidR="00CD270B" w:rsidRPr="00CD270B" w:rsidRDefault="00CD270B" w:rsidP="00CD270B">
      <w:r w:rsidRPr="00CD270B">
        <w:t>Source 3</w:t>
      </w:r>
      <w:r w:rsidRPr="00CD270B">
        <w:br/>
        <w:t>Reference:</w:t>
      </w:r>
      <w:r w:rsidRPr="00CD270B">
        <w:br/>
        <w:t xml:space="preserve">Havighurst, R.J. (1961) ‘Successful ageing’, </w:t>
      </w:r>
      <w:r w:rsidRPr="00CD270B">
        <w:rPr>
          <w:i/>
          <w:iCs/>
        </w:rPr>
        <w:t>The Gerontologist</w:t>
      </w:r>
      <w:r w:rsidRPr="00CD270B">
        <w:t>, 1(1), pp. 8–13.</w:t>
      </w:r>
    </w:p>
    <w:p w14:paraId="0860788D" w14:textId="77777777" w:rsidR="00CD270B" w:rsidRPr="00CD270B" w:rsidRDefault="00CD270B" w:rsidP="00CD270B">
      <w:r w:rsidRPr="00CD270B">
        <w:t>Summary:</w:t>
      </w:r>
      <w:r w:rsidRPr="00CD270B">
        <w:br/>
        <w:t xml:space="preserve">Activity theory suggests that older adults experience greater satisfaction when they remain socially and physically active. Continuation of roles, relationships and activities </w:t>
      </w:r>
      <w:proofErr w:type="gramStart"/>
      <w:r w:rsidRPr="00CD270B">
        <w:t>similar to</w:t>
      </w:r>
      <w:proofErr w:type="gramEnd"/>
      <w:r w:rsidRPr="00CD270B">
        <w:t xml:space="preserve"> those in middle adulthood helps maintain identity and purpose (Havighurst, 1961). Research shows engagement in hobbies, social groups and community programmes is linked to better mental health, increased wellbeing and lower loneliness. This contrasts with disengagement theory, which posits withdrawal is natural with age. In practice, activity theory emphasises promoting active lifestyles through structured activities, volunteer opportunities or physical exercise. Evidence also indicates that remaining socially engaged reduces cognitive decline and supports emotional regulation. Limitations include its reduced applicability for individuals with physical restrictions or chronic illnesses that limit participation.</w:t>
      </w:r>
    </w:p>
    <w:p w14:paraId="77FD7CA8" w14:textId="77777777" w:rsidR="00CD270B" w:rsidRPr="00CD270B" w:rsidRDefault="00CD270B" w:rsidP="00CD270B">
      <w:r w:rsidRPr="00CD270B">
        <w:t>Critical Comment:</w:t>
      </w:r>
      <w:r w:rsidRPr="00CD270B">
        <w:br/>
        <w:t>Activity theory is highly relevant for care planning, offering practical strategies to enhance quality of life. It underscores the value of structured social and physical activities for maintaining psychological wellbeing. However, care professionals must adapt approaches to residents’ individual abilities, recognising that not all can participate fully in activities, and ensuring inclusivity. Staff need to balance encouragement for engagement with sensitivity to residents’ limitations and preferences, ensuring activities are meaningful rather than obligatory (Havighurst, 1961).</w:t>
      </w:r>
    </w:p>
    <w:p w14:paraId="52A42527" w14:textId="77777777" w:rsidR="00CD270B" w:rsidRPr="00CD270B" w:rsidRDefault="00CD270B" w:rsidP="00CD270B">
      <w:r w:rsidRPr="00CD270B">
        <w:pict w14:anchorId="5F51AC02">
          <v:rect id="_x0000_i1222" style="width:0;height:1.5pt" o:hralign="center" o:hrstd="t" o:hr="t" fillcolor="#a0a0a0" stroked="f"/>
        </w:pict>
      </w:r>
    </w:p>
    <w:p w14:paraId="7E322733" w14:textId="77777777" w:rsidR="00CD270B" w:rsidRPr="00CD270B" w:rsidRDefault="00CD270B" w:rsidP="00CD270B">
      <w:r w:rsidRPr="00CD270B">
        <w:t>Source 4</w:t>
      </w:r>
      <w:r w:rsidRPr="00CD270B">
        <w:br/>
        <w:t>Reference:</w:t>
      </w:r>
      <w:r w:rsidRPr="00CD270B">
        <w:br/>
        <w:t xml:space="preserve">Maslow, A.H. (1943) ‘A theory of human motivation’, </w:t>
      </w:r>
      <w:r w:rsidRPr="00CD270B">
        <w:rPr>
          <w:i/>
          <w:iCs/>
        </w:rPr>
        <w:t>Psychological Review</w:t>
      </w:r>
      <w:r w:rsidRPr="00CD270B">
        <w:t>, 50(4), pp. 370–396.</w:t>
      </w:r>
    </w:p>
    <w:p w14:paraId="6516CE27" w14:textId="77777777" w:rsidR="00CD270B" w:rsidRPr="00CD270B" w:rsidRDefault="00CD270B" w:rsidP="00CD270B">
      <w:r w:rsidRPr="00CD270B">
        <w:t>Summary:</w:t>
      </w:r>
      <w:r w:rsidRPr="00CD270B">
        <w:br/>
        <w:t>Maslow’s hierarchy of needs describes five levels: physiological, safety, love and belonging, esteem and self-actualisation. Basic needs must be met before higher-level psychological needs can be addressed. In older adults, wellbeing relies on fulfilling both physical and psychological needs. Access to healthcare, safe environments and supportive social relationships are essential for maintaining dignity, independence and personal fulfilment (Maslow, 1943). Maslow’s model provides a practical framework for holistic support in care settings. Strengths include its clarity and usability in planning care, but limitations exist because it may not reflect cultural or personal differences in prioritising needs. Research suggests that unmet needs, particularly social and emotional ones, increase risk of depression and social withdrawal.</w:t>
      </w:r>
    </w:p>
    <w:p w14:paraId="36EFAD79" w14:textId="77777777" w:rsidR="00CD270B" w:rsidRPr="00CD270B" w:rsidRDefault="00CD270B" w:rsidP="00CD270B">
      <w:r w:rsidRPr="00CD270B">
        <w:t>Critical Comment:</w:t>
      </w:r>
      <w:r w:rsidRPr="00CD270B">
        <w:br/>
        <w:t>Maslow’s theory informs the creation of care plans that address both physical and psychological needs. It encourages staff to support residents’ social and emotional needs alongside medical requirements. Its limitation is the assumption that all individuals progress through the hierarchy in a linear fashion, which may not reflect diverse personal or cultural experiences. Care professionals must adopt a flexible approach, recognising that different residents may prioritise needs differently at various times in later life (Maslow, 1943).</w:t>
      </w:r>
    </w:p>
    <w:p w14:paraId="23DEC5BD" w14:textId="77777777" w:rsidR="00CD270B" w:rsidRPr="00CD270B" w:rsidRDefault="00CD270B" w:rsidP="00CD270B">
      <w:r w:rsidRPr="00CD270B">
        <w:pict w14:anchorId="5B40A5B6">
          <v:rect id="_x0000_i1223" style="width:0;height:1.5pt" o:hralign="center" o:hrstd="t" o:hr="t" fillcolor="#a0a0a0" stroked="f"/>
        </w:pict>
      </w:r>
    </w:p>
    <w:p w14:paraId="3454A1C7" w14:textId="77777777" w:rsidR="00CD270B" w:rsidRPr="00CD270B" w:rsidRDefault="00CD270B" w:rsidP="00CD270B">
      <w:r w:rsidRPr="00CD270B">
        <w:t>Part B: Short Report – Applying Psychosocial Theory to Support Older Adults in Care Homes</w:t>
      </w:r>
    </w:p>
    <w:p w14:paraId="2DCF1906" w14:textId="77777777" w:rsidR="00CD270B" w:rsidRPr="00CD270B" w:rsidRDefault="00CD270B" w:rsidP="00CD270B">
      <w:r w:rsidRPr="00CD270B">
        <w:t>Introduction</w:t>
      </w:r>
      <w:r w:rsidRPr="00CD270B">
        <w:br/>
        <w:t>Working in care homes has reinforced the importance of addressing older adults’ emotional and psychological needs alongside their physical care. Psychological knowledge allows professionals to provide person-centred care that supports overall wellbeing. This report focuses on Erikson’s psychosocial theory, particularly ego integrity versus despair, and demonstrates how it can be applied in care homes to promote emotional wellbeing (Erikson, 1982). By exploring theory, practical application and real-life examples, the report highlights strategies for fostering dignity, identity and self-worth in older adults. Understanding this stage of development helps professionals support residents through life reflection, life transitions and coping with loss. Psychology provides a framework for planning interventions that are not only preventative but also restorative, helping residents maintain a sense of meaning and purpose.</w:t>
      </w:r>
    </w:p>
    <w:p w14:paraId="7CFFCAD3" w14:textId="77777777" w:rsidR="00CD270B" w:rsidRPr="00CD270B" w:rsidRDefault="00CD270B" w:rsidP="00CD270B">
      <w:r w:rsidRPr="00CD270B">
        <w:t>Explanation of the Theory</w:t>
      </w:r>
      <w:r w:rsidRPr="00CD270B">
        <w:br/>
        <w:t xml:space="preserve">Erikson’s psychosocial theory describes eight stages of development, each involving a psychological challenge. Older adulthood is defined by ego integrity versus despair. Ego integrity occurs when individuals feel fulfilled and at peace with life experiences, whereas despair arises from regret, disappointment or perceived lack of achievement (Erikson, 1982). Achieving ego integrity supports wisdom, contentment and emotional stability. Conversely, despair can lead to loneliness, depression and anxiety. This stage is particularly relevant in care homes where residents reflect on past roles, relationships and life achievements. Understanding this theory highlights the importance of emotional care, including active listening, life story work, reminiscence therapy, and encouraging residents to maintain dignity, purpose and a positive sense of identity. Emotional wellbeing is enhanced when care professionals acknowledge </w:t>
      </w:r>
      <w:proofErr w:type="gramStart"/>
      <w:r w:rsidRPr="00CD270B">
        <w:t>residents’</w:t>
      </w:r>
      <w:proofErr w:type="gramEnd"/>
      <w:r w:rsidRPr="00CD270B">
        <w:t xml:space="preserve"> lived experiences and create opportunities for meaningful reflection.</w:t>
      </w:r>
    </w:p>
    <w:p w14:paraId="7C150413" w14:textId="77777777" w:rsidR="00CD270B" w:rsidRPr="00CD270B" w:rsidRDefault="00CD270B" w:rsidP="00CD270B">
      <w:r w:rsidRPr="00CD270B">
        <w:t>Application of the Theory</w:t>
      </w:r>
      <w:r w:rsidRPr="00CD270B">
        <w:br/>
        <w:t>Erikson’s theory helps care professionals interpret behaviours and provide person-centred support. Residents who appear withdrawn or disengaged may be experiencing despair rather than physical discomfort. Activities that encourage sharing memories, storytelling or creating memory books can reinforce identity, self-worth and a sense of continuity (Erikson, 1982). Such approaches promote ego integrity, reduce loneliness, and improve emotional wellbeing. Staff can also model empathy, provide reassurance and foster supportive relationships to strengthen residents’ sense of belonging. Integrating this theory with Bandura’s Social Learning Theory and activity theory allows staff to not only focus on psychological wellbeing but also encourage engagement in social and physical activities, creating holistic care plans that are evidence-based and practical.</w:t>
      </w:r>
    </w:p>
    <w:p w14:paraId="4D4A3DD2" w14:textId="77777777" w:rsidR="00CD270B" w:rsidRPr="00CD270B" w:rsidRDefault="00CD270B" w:rsidP="00CD270B">
      <w:r w:rsidRPr="00CD270B">
        <w:t>Real-World Example</w:t>
      </w:r>
      <w:r w:rsidRPr="00CD270B">
        <w:br/>
        <w:t>While working at Omega Care, I supported a resident who was quiet and disengaged. Initially, it was assumed she was tired or unwell, but she revealed feelings of loss regarding her previous home and life. Applying Erikson’s theory, I encouraged her to discuss family memories, achievements and hobbies. Gradually, she engaged more with group activities, smiled during conversations, and displayed greater confidence. This illustrated how reflection and support can foster ego integrity, enhance emotional wellbeing, boost self-esteem, and help residents feel valued. This example demonstrates how combining theory with practical interventions leads to measurable improvements in resident engagement, socialisation, and emotional resilience (Erikson, 1982; Bandura, 1977).</w:t>
      </w:r>
    </w:p>
    <w:p w14:paraId="343270F0" w14:textId="77777777" w:rsidR="00CD270B" w:rsidRPr="00CD270B" w:rsidRDefault="00CD270B" w:rsidP="00CD270B">
      <w:r w:rsidRPr="00CD270B">
        <w:t>Challenges</w:t>
      </w:r>
      <w:r w:rsidRPr="00CD270B">
        <w:br/>
        <w:t>Cognitive decline, such as dementia, can limit residents’ ability to reflect or communicate experiences. Some residents may struggle to recall memories or express feelings. Strategies to overcome this include using photos, music, familiar objects or sensory cues to stimulate memory, along with patience and trust-building. Staff can also adapt activities to the individual’s preferences and abilities, ensuring inclusivity. Even brief interactions, such as sitting with a resident, offering reassurance, or acknowledging feelings, provide meaningful emotional support.</w:t>
      </w:r>
    </w:p>
    <w:p w14:paraId="0E238440" w14:textId="77777777" w:rsidR="00CD270B" w:rsidRPr="00CD270B" w:rsidRDefault="00CD270B" w:rsidP="00CD270B">
      <w:r w:rsidRPr="00CD270B">
        <w:t>Conclusion</w:t>
      </w:r>
      <w:r w:rsidRPr="00CD270B">
        <w:br/>
        <w:t>Erikson’s psychosocial theory is a valuable tool for understanding and supporting older adults’ emotional needs. Encouraging reflection on life experiences fosters ego integrity, emotional wellbeing and self-worth. Practical application in care homes, as observed at Omega Care, shows that person-centred interventions informed by this theory can improve residents’ quality of life. Integrating Erikson’s framework with activity theory, social learning and Maslow’s hierarchy allows holistic approaches that address psychological, social and physical needs. Overall, psychology is essential in delivering compassionate, holistic care that supports both mental and physical wellbeing of older adults.</w:t>
      </w:r>
    </w:p>
    <w:p w14:paraId="6B210AD5" w14:textId="77777777" w:rsidR="00CD270B" w:rsidRPr="002637DF" w:rsidRDefault="00CD270B" w:rsidP="00854247"/>
    <w:sectPr w:rsidR="00CD270B" w:rsidRPr="002637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7EAC"/>
    <w:multiLevelType w:val="hybridMultilevel"/>
    <w:tmpl w:val="AF3AE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E92506"/>
    <w:multiLevelType w:val="hybridMultilevel"/>
    <w:tmpl w:val="B70AAC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4E4A91"/>
    <w:multiLevelType w:val="hybridMultilevel"/>
    <w:tmpl w:val="03C4D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8022644">
    <w:abstractNumId w:val="1"/>
  </w:num>
  <w:num w:numId="2" w16cid:durableId="440106161">
    <w:abstractNumId w:val="0"/>
  </w:num>
  <w:num w:numId="3" w16cid:durableId="20097495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93F"/>
    <w:rsid w:val="000330F6"/>
    <w:rsid w:val="000535CD"/>
    <w:rsid w:val="00062C71"/>
    <w:rsid w:val="002637DF"/>
    <w:rsid w:val="002B333C"/>
    <w:rsid w:val="003C0687"/>
    <w:rsid w:val="003E61AF"/>
    <w:rsid w:val="00466EA2"/>
    <w:rsid w:val="004B0BAB"/>
    <w:rsid w:val="004E092A"/>
    <w:rsid w:val="0055193F"/>
    <w:rsid w:val="00593F5D"/>
    <w:rsid w:val="0068798C"/>
    <w:rsid w:val="00757420"/>
    <w:rsid w:val="00804BE5"/>
    <w:rsid w:val="00823177"/>
    <w:rsid w:val="00854247"/>
    <w:rsid w:val="008C6E19"/>
    <w:rsid w:val="00921D8B"/>
    <w:rsid w:val="009C1491"/>
    <w:rsid w:val="009E672F"/>
    <w:rsid w:val="00AB1901"/>
    <w:rsid w:val="00AF3B49"/>
    <w:rsid w:val="00B21BAD"/>
    <w:rsid w:val="00B21ECC"/>
    <w:rsid w:val="00C001CB"/>
    <w:rsid w:val="00CC0EF3"/>
    <w:rsid w:val="00CD270B"/>
    <w:rsid w:val="00D060F2"/>
    <w:rsid w:val="00D17039"/>
    <w:rsid w:val="00D36628"/>
    <w:rsid w:val="00D745FB"/>
    <w:rsid w:val="00DA6B1F"/>
    <w:rsid w:val="00F668F8"/>
    <w:rsid w:val="00FC7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CD323"/>
  <w15:chartTrackingRefBased/>
  <w15:docId w15:val="{9584CF44-94AB-416B-B892-68785F9B3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9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19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19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19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19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19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19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19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19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9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19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19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19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19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19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19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19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193F"/>
    <w:rPr>
      <w:rFonts w:eastAsiaTheme="majorEastAsia" w:cstheme="majorBidi"/>
      <w:color w:val="272727" w:themeColor="text1" w:themeTint="D8"/>
    </w:rPr>
  </w:style>
  <w:style w:type="paragraph" w:styleId="Title">
    <w:name w:val="Title"/>
    <w:basedOn w:val="Normal"/>
    <w:next w:val="Normal"/>
    <w:link w:val="TitleChar"/>
    <w:uiPriority w:val="10"/>
    <w:qFormat/>
    <w:rsid w:val="005519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19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19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19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193F"/>
    <w:pPr>
      <w:spacing w:before="160"/>
      <w:jc w:val="center"/>
    </w:pPr>
    <w:rPr>
      <w:i/>
      <w:iCs/>
      <w:color w:val="404040" w:themeColor="text1" w:themeTint="BF"/>
    </w:rPr>
  </w:style>
  <w:style w:type="character" w:customStyle="1" w:styleId="QuoteChar">
    <w:name w:val="Quote Char"/>
    <w:basedOn w:val="DefaultParagraphFont"/>
    <w:link w:val="Quote"/>
    <w:uiPriority w:val="29"/>
    <w:rsid w:val="0055193F"/>
    <w:rPr>
      <w:i/>
      <w:iCs/>
      <w:color w:val="404040" w:themeColor="text1" w:themeTint="BF"/>
    </w:rPr>
  </w:style>
  <w:style w:type="paragraph" w:styleId="ListParagraph">
    <w:name w:val="List Paragraph"/>
    <w:basedOn w:val="Normal"/>
    <w:uiPriority w:val="34"/>
    <w:qFormat/>
    <w:rsid w:val="0055193F"/>
    <w:pPr>
      <w:ind w:left="720"/>
      <w:contextualSpacing/>
    </w:pPr>
  </w:style>
  <w:style w:type="character" w:styleId="IntenseEmphasis">
    <w:name w:val="Intense Emphasis"/>
    <w:basedOn w:val="DefaultParagraphFont"/>
    <w:uiPriority w:val="21"/>
    <w:qFormat/>
    <w:rsid w:val="0055193F"/>
    <w:rPr>
      <w:i/>
      <w:iCs/>
      <w:color w:val="0F4761" w:themeColor="accent1" w:themeShade="BF"/>
    </w:rPr>
  </w:style>
  <w:style w:type="paragraph" w:styleId="IntenseQuote">
    <w:name w:val="Intense Quote"/>
    <w:basedOn w:val="Normal"/>
    <w:next w:val="Normal"/>
    <w:link w:val="IntenseQuoteChar"/>
    <w:uiPriority w:val="30"/>
    <w:qFormat/>
    <w:rsid w:val="005519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193F"/>
    <w:rPr>
      <w:i/>
      <w:iCs/>
      <w:color w:val="0F4761" w:themeColor="accent1" w:themeShade="BF"/>
    </w:rPr>
  </w:style>
  <w:style w:type="character" w:styleId="IntenseReference">
    <w:name w:val="Intense Reference"/>
    <w:basedOn w:val="DefaultParagraphFont"/>
    <w:uiPriority w:val="32"/>
    <w:qFormat/>
    <w:rsid w:val="005519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1784</Words>
  <Characters>10175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Fatma Abdul</dc:creator>
  <cp:keywords/>
  <dc:description/>
  <cp:lastModifiedBy>Fatma Abdul</cp:lastModifiedBy>
  <cp:revision>2</cp:revision>
  <dcterms:created xsi:type="dcterms:W3CDTF">2026-03-23T21:03:00Z</dcterms:created>
  <dcterms:modified xsi:type="dcterms:W3CDTF">2026-03-23T21:03:00Z</dcterms:modified>
</cp:coreProperties>
</file>