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p>
    <w:p>
      <w:pPr>
        <w:pStyle w:val="3"/>
        <w:spacing w:line="360" w:lineRule="auto"/>
        <w:jc w:val="center"/>
        <w:rPr>
          <w:rFonts w:ascii="Times New Roman" w:hAnsi="Times New Roman" w:eastAsia="Times New Roman" w:cs="Times New Roman"/>
          <w:b/>
          <w:color w:val="000000" w:themeColor="text1"/>
          <w:sz w:val="32"/>
          <w:szCs w:val="32"/>
          <w:lang w:val="en-GB"/>
        </w:rPr>
      </w:pPr>
      <w:r>
        <w:rPr>
          <w:rFonts w:ascii="Times New Roman" w:hAnsi="Times New Roman" w:eastAsia="Times New Roman" w:cs="Times New Roman"/>
          <w:b/>
          <w:color w:val="000000" w:themeColor="text1"/>
          <w:sz w:val="32"/>
          <w:szCs w:val="32"/>
          <w:lang w:val="en-GB"/>
        </w:rPr>
        <w:t>INTERNATIONAL MARKETING</w:t>
      </w:r>
    </w:p>
    <w:p>
      <w:pPr>
        <w:pStyle w:val="3"/>
        <w:spacing w:line="360" w:lineRule="auto"/>
        <w:jc w:val="center"/>
        <w:rPr>
          <w:rFonts w:ascii="Times New Roman" w:hAnsi="Times New Roman" w:eastAsia="Times New Roman" w:cs="Times New Roman"/>
          <w:b/>
          <w:color w:val="000000" w:themeColor="text1"/>
          <w:sz w:val="32"/>
          <w:szCs w:val="32"/>
          <w:lang w:val="en-GB"/>
        </w:rPr>
      </w:pPr>
    </w:p>
    <w:p>
      <w:pPr>
        <w:spacing w:line="360" w:lineRule="auto"/>
        <w:rPr>
          <w:rFonts w:hint="default" w:ascii="Times New Roman" w:hAnsi="Times New Roman" w:eastAsia="Times New Roman" w:cs="Times New Roman"/>
          <w:b/>
          <w:sz w:val="32"/>
          <w:szCs w:val="24"/>
          <w:lang w:val="en-GB"/>
        </w:rPr>
      </w:pPr>
      <w:r>
        <w:rPr>
          <w:rFonts w:hint="default" w:ascii="Times New Roman" w:hAnsi="Times New Roman" w:eastAsia="Times New Roman" w:cs="Times New Roman"/>
          <w:b/>
          <w:sz w:val="32"/>
          <w:szCs w:val="24"/>
          <w:lang w:val="en-GB"/>
        </w:rPr>
        <w:t>STUDENT NAME: MANSI PRAJAPATI</w:t>
      </w:r>
    </w:p>
    <w:p>
      <w:pPr>
        <w:spacing w:line="360" w:lineRule="auto"/>
        <w:rPr>
          <w:rFonts w:hint="default" w:ascii="Times New Roman" w:hAnsi="Times New Roman" w:eastAsia="Times New Roman" w:cs="Times New Roman"/>
          <w:b/>
          <w:sz w:val="32"/>
          <w:szCs w:val="24"/>
          <w:lang w:val="en-GB"/>
        </w:rPr>
      </w:pPr>
      <w:r>
        <w:rPr>
          <w:rFonts w:hint="default" w:ascii="Times New Roman" w:hAnsi="Times New Roman" w:eastAsia="Times New Roman" w:cs="Times New Roman"/>
          <w:b/>
          <w:sz w:val="32"/>
          <w:szCs w:val="24"/>
          <w:lang w:val="en-GB"/>
        </w:rPr>
        <w:t>SUBJECT: INTERNATIONAL MARKETING</w:t>
      </w:r>
    </w:p>
    <w:p>
      <w:pPr>
        <w:spacing w:line="360" w:lineRule="auto"/>
        <w:rPr>
          <w:rFonts w:ascii="Times New Roman" w:hAnsi="Times New Roman" w:eastAsia="Times New Roman" w:cs="Times New Roman"/>
          <w:b/>
          <w:color w:val="000000" w:themeColor="text1"/>
          <w:sz w:val="32"/>
          <w:szCs w:val="32"/>
          <w:lang w:val="en-GB"/>
        </w:rPr>
      </w:pPr>
      <w:r>
        <w:rPr>
          <w:rFonts w:hint="default" w:ascii="Times New Roman" w:hAnsi="Times New Roman" w:eastAsia="Times New Roman" w:cs="Times New Roman"/>
          <w:b/>
          <w:sz w:val="32"/>
          <w:szCs w:val="24"/>
          <w:lang w:val="en-GB"/>
        </w:rPr>
        <w:t xml:space="preserve">  STUDENT NUMBER:  2228670 </w:t>
      </w:r>
      <w:bookmarkStart w:id="18" w:name="_GoBack"/>
      <w:bookmarkEnd w:id="18"/>
      <w:r>
        <w:rPr>
          <w:rFonts w:ascii="Times New Roman" w:hAnsi="Times New Roman" w:eastAsia="Times New Roman" w:cs="Times New Roman"/>
          <w:b/>
          <w:sz w:val="32"/>
          <w:szCs w:val="24"/>
          <w:lang w:val="en-GB"/>
        </w:rPr>
        <w:br w:type="page"/>
      </w:r>
      <w:r>
        <w:rPr>
          <w:rFonts w:ascii="Times New Roman" w:hAnsi="Times New Roman" w:eastAsia="Times New Roman" w:cs="Times New Roman"/>
          <w:b/>
          <w:color w:val="000000" w:themeColor="text1"/>
          <w:sz w:val="32"/>
          <w:szCs w:val="32"/>
          <w:lang w:val="en-GB"/>
        </w:rPr>
        <w:t xml:space="preserve"> </w:t>
      </w:r>
      <w:r>
        <w:rPr>
          <w:rFonts w:ascii="Times New Roman" w:hAnsi="Times New Roman" w:cs="Times New Roman"/>
          <w:color w:val="000000" w:themeColor="text1"/>
          <w:lang w:val="en-GB"/>
        </w:rPr>
        <w:br w:type="page"/>
      </w:r>
    </w:p>
    <w:sdt>
      <w:sdtPr>
        <w:rPr>
          <w:rFonts w:ascii="Arial" w:hAnsi="Arial" w:eastAsia="Arial" w:cs="Arial"/>
          <w:b w:val="0"/>
          <w:bCs w:val="0"/>
          <w:color w:val="auto"/>
          <w:sz w:val="22"/>
          <w:szCs w:val="22"/>
          <w:lang w:val="en-US"/>
        </w:rPr>
        <w:id w:val="14558123"/>
        <w:docPartObj>
          <w:docPartGallery w:val="Table of Contents"/>
          <w:docPartUnique/>
        </w:docPartObj>
      </w:sdtPr>
      <w:sdtEndPr>
        <w:rPr>
          <w:rFonts w:ascii="Times New Roman" w:hAnsi="Times New Roman" w:eastAsia="Arial" w:cs="Times New Roman"/>
          <w:b w:val="0"/>
          <w:bCs w:val="0"/>
          <w:color w:val="000000" w:themeColor="text1"/>
          <w:sz w:val="22"/>
          <w:szCs w:val="22"/>
          <w:lang w:val="en-US"/>
        </w:rPr>
      </w:sdtEndPr>
      <w:sdtContent>
        <w:p>
          <w:pPr>
            <w:pStyle w:val="27"/>
            <w:rPr>
              <w:sz w:val="24"/>
            </w:rPr>
          </w:pPr>
          <w:r>
            <w:t>Table of Contents</w:t>
          </w:r>
        </w:p>
        <w:p>
          <w:pPr>
            <w:pStyle w:val="20"/>
            <w:tabs>
              <w:tab w:val="right" w:leader="dot" w:pos="9019"/>
            </w:tabs>
            <w:spacing w:line="360" w:lineRule="auto"/>
            <w:jc w:val="both"/>
            <w:rPr>
              <w:rFonts w:ascii="Times New Roman" w:hAnsi="Times New Roman" w:cs="Times New Roman" w:eastAsiaTheme="minorEastAsia"/>
              <w:sz w:val="24"/>
            </w:rPr>
          </w:pPr>
          <w:r>
            <w:rPr>
              <w:rFonts w:ascii="Times New Roman" w:hAnsi="Times New Roman" w:cs="Times New Roman"/>
              <w:color w:val="000000" w:themeColor="text1"/>
              <w:sz w:val="24"/>
              <w:szCs w:val="24"/>
              <w:lang w:val="en-GB"/>
            </w:rPr>
            <w:fldChar w:fldCharType="begin"/>
          </w:r>
          <w:r>
            <w:rPr>
              <w:rFonts w:ascii="Times New Roman" w:hAnsi="Times New Roman" w:cs="Times New Roman"/>
              <w:color w:val="000000" w:themeColor="text1"/>
              <w:sz w:val="24"/>
              <w:szCs w:val="24"/>
              <w:lang w:val="en-GB"/>
            </w:rPr>
            <w:instrText xml:space="preserve"> TOC \o "1-3" \h \z \u </w:instrText>
          </w:r>
          <w:r>
            <w:rPr>
              <w:rFonts w:ascii="Times New Roman" w:hAnsi="Times New Roman" w:cs="Times New Roman"/>
              <w:color w:val="000000" w:themeColor="text1"/>
              <w:sz w:val="24"/>
              <w:szCs w:val="24"/>
              <w:lang w:val="en-GB"/>
            </w:rPr>
            <w:fldChar w:fldCharType="separate"/>
          </w:r>
          <w:r>
            <w:fldChar w:fldCharType="begin"/>
          </w:r>
          <w:r>
            <w:instrText xml:space="preserve"> HYPERLINK \l "_Toc143176822" </w:instrText>
          </w:r>
          <w:r>
            <w:fldChar w:fldCharType="separate"/>
          </w:r>
          <w:r>
            <w:rPr>
              <w:rStyle w:val="16"/>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_Toc143176822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"_Toc143176823" </w:instrText>
          </w:r>
          <w:r>
            <w:fldChar w:fldCharType="separate"/>
          </w:r>
          <w:r>
            <w:rPr>
              <w:rStyle w:val="16"/>
              <w:rFonts w:ascii="Times New Roman" w:hAnsi="Times New Roman" w:cs="Times New Roman"/>
              <w:sz w:val="24"/>
            </w:rPr>
            <w:t>Company background</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_Toc143176823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"_Toc143176824" </w:instrText>
          </w:r>
          <w:r>
            <w:fldChar w:fldCharType="separate"/>
          </w:r>
          <w:r>
            <w:rPr>
              <w:rStyle w:val="16"/>
              <w:rFonts w:ascii="Times New Roman" w:hAnsi="Times New Roman" w:cs="Times New Roman"/>
              <w:sz w:val="24"/>
            </w:rPr>
            <w:t>Macro environment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_Toc143176824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"_Toc143176825" </w:instrText>
          </w:r>
          <w:r>
            <w:fldChar w:fldCharType="separate"/>
          </w:r>
          <w:r>
            <w:rPr>
              <w:rStyle w:val="16"/>
              <w:rFonts w:ascii="Times New Roman" w:hAnsi="Times New Roman" w:cs="Times New Roman"/>
              <w:sz w:val="24"/>
            </w:rPr>
            <w:t>PESTLE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_Toc143176825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"_Toc143176826" </w:instrText>
          </w:r>
          <w:r>
            <w:fldChar w:fldCharType="separate"/>
          </w:r>
          <w:r>
            <w:rPr>
              <w:rStyle w:val="16"/>
              <w:rFonts w:ascii="Times New Roman" w:hAnsi="Times New Roman" w:cs="Times New Roman"/>
              <w:sz w:val="24"/>
            </w:rPr>
            <w:t>Hofstede model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_Toc143176826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"_Toc143176827" </w:instrText>
          </w:r>
          <w:r>
            <w:fldChar w:fldCharType="separate"/>
          </w:r>
          <w:r>
            <w:rPr>
              <w:rStyle w:val="16"/>
              <w:rFonts w:ascii="Times New Roman" w:hAnsi="Times New Roman" w:cs="Times New Roman"/>
              <w:sz w:val="24"/>
            </w:rPr>
            <w:t>Porter’s Five Forces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_Toc143176827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"_Toc143176828" </w:instrText>
          </w:r>
          <w:r>
            <w:fldChar w:fldCharType="separate"/>
          </w:r>
          <w:r>
            <w:rPr>
              <w:rStyle w:val="16"/>
              <w:rFonts w:ascii="Times New Roman" w:hAnsi="Times New Roman" w:cs="Times New Roman"/>
              <w:sz w:val="24"/>
            </w:rPr>
            <w:t>SWOT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_Toc143176828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"_Toc143176829" </w:instrText>
          </w:r>
          <w:r>
            <w:fldChar w:fldCharType="separate"/>
          </w:r>
          <w:r>
            <w:rPr>
              <w:rStyle w:val="16"/>
              <w:rFonts w:ascii="Times New Roman" w:hAnsi="Times New Roman" w:cs="Times New Roman"/>
              <w:sz w:val="24"/>
            </w:rPr>
            <w:t>STP</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_Toc143176829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"_Toc143176830" </w:instrText>
          </w:r>
          <w:r>
            <w:fldChar w:fldCharType="separate"/>
          </w:r>
          <w:r>
            <w:rPr>
              <w:rStyle w:val="16"/>
              <w:rFonts w:ascii="Times New Roman" w:hAnsi="Times New Roman" w:cs="Times New Roman"/>
              <w:sz w:val="24"/>
            </w:rPr>
            <w:t>Marketing mix elements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_Toc143176830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"_Toc143176831" </w:instrText>
          </w:r>
          <w:r>
            <w:fldChar w:fldCharType="separate"/>
          </w:r>
          <w:r>
            <w:rPr>
              <w:rStyle w:val="16"/>
              <w:rFonts w:ascii="Times New Roman" w:hAnsi="Times New Roman" w:cs="Times New Roman"/>
              <w:sz w:val="24"/>
            </w:rPr>
            <w:t>7Ps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_Toc143176831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21"/>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"_Toc143176832" </w:instrText>
          </w:r>
          <w:r>
            <w:fldChar w:fldCharType="separate"/>
          </w:r>
          <w:r>
            <w:rPr>
              <w:rStyle w:val="16"/>
              <w:rFonts w:ascii="Times New Roman" w:hAnsi="Times New Roman" w:cs="Times New Roman"/>
              <w:sz w:val="24"/>
            </w:rPr>
            <w:t>BCG matrix</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_Toc143176832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"_Toc143176833" </w:instrText>
          </w:r>
          <w:r>
            <w:fldChar w:fldCharType="separate"/>
          </w:r>
          <w:r>
            <w:rPr>
              <w:rStyle w:val="16"/>
              <w:rFonts w:ascii="Times New Roman" w:hAnsi="Times New Roman" w:cs="Times New Roman"/>
              <w:sz w:val="24"/>
            </w:rPr>
            <w:t>Directional Development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_Toc143176833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"_Toc143176834" </w:instrText>
          </w:r>
          <w:r>
            <w:fldChar w:fldCharType="separate"/>
          </w:r>
          <w:r>
            <w:rPr>
              <w:rStyle w:val="16"/>
              <w:rFonts w:ascii="Times New Roman" w:hAnsi="Times New Roman" w:cs="Times New Roman"/>
              <w:sz w:val="24"/>
            </w:rPr>
            <w:t>Similarities and differences across two countries’ range of variables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_Toc143176834 \h </w:instrText>
          </w:r>
          <w:r>
            <w:rPr>
              <w:rFonts w:ascii="Times New Roman" w:hAnsi="Times New Roman" w:cs="Times New Roman"/>
              <w:sz w:val="24"/>
            </w:rPr>
            <w:fldChar w:fldCharType="separate"/>
          </w:r>
          <w:r>
            <w:rPr>
              <w:rFonts w:ascii="Times New Roman" w:hAnsi="Times New Roman" w:cs="Times New Roman"/>
              <w:sz w:val="24"/>
            </w:rPr>
            <w:t>14</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"_Toc143176835" </w:instrText>
          </w:r>
          <w:r>
            <w:fldChar w:fldCharType="separate"/>
          </w:r>
          <w:r>
            <w:rPr>
              <w:rStyle w:val="16"/>
              <w:rFonts w:ascii="Times New Roman" w:hAnsi="Times New Roman" w:cs="Times New Roman"/>
              <w:sz w:val="24"/>
            </w:rPr>
            <w:t>Organisational approaches and strategies for addressing the variables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_Toc143176835 \h </w:instrText>
          </w:r>
          <w:r>
            <w:rPr>
              <w:rFonts w:ascii="Times New Roman" w:hAnsi="Times New Roman" w:cs="Times New Roman"/>
              <w:sz w:val="24"/>
            </w:rPr>
            <w:fldChar w:fldCharType="separate"/>
          </w:r>
          <w:r>
            <w:rPr>
              <w:rFonts w:ascii="Times New Roman" w:hAnsi="Times New Roman" w:cs="Times New Roman"/>
              <w:sz w:val="24"/>
            </w:rPr>
            <w:t>15</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"_Toc143176836" </w:instrText>
          </w:r>
          <w:r>
            <w:fldChar w:fldCharType="separate"/>
          </w:r>
          <w:r>
            <w:rPr>
              <w:rStyle w:val="16"/>
              <w:rFonts w:ascii="Times New Roman" w:hAnsi="Times New Roman" w:cs="Times New Roman"/>
              <w:sz w:val="24"/>
            </w:rPr>
            <w:t>Suitability of chosen approaches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_Toc143176836 \h </w:instrText>
          </w:r>
          <w:r>
            <w:rPr>
              <w:rFonts w:ascii="Times New Roman" w:hAnsi="Times New Roman" w:cs="Times New Roman"/>
              <w:sz w:val="24"/>
            </w:rPr>
            <w:fldChar w:fldCharType="separate"/>
          </w:r>
          <w:r>
            <w:rPr>
              <w:rFonts w:ascii="Times New Roman" w:hAnsi="Times New Roman" w:cs="Times New Roman"/>
              <w:sz w:val="24"/>
            </w:rPr>
            <w:t>16</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"_Toc143176837" </w:instrText>
          </w:r>
          <w:r>
            <w:fldChar w:fldCharType="separate"/>
          </w:r>
          <w:r>
            <w:rPr>
              <w:rStyle w:val="16"/>
              <w:rFonts w:ascii="Times New Roman" w:hAnsi="Times New Roman" w:cs="Times New Roman"/>
              <w:sz w:val="24"/>
            </w:rPr>
            <w:t>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_Toc143176837 \h </w:instrText>
          </w:r>
          <w:r>
            <w:rPr>
              <w:rFonts w:ascii="Times New Roman" w:hAnsi="Times New Roman" w:cs="Times New Roman"/>
              <w:sz w:val="24"/>
            </w:rPr>
            <w:fldChar w:fldCharType="separate"/>
          </w:r>
          <w:r>
            <w:rPr>
              <w:rFonts w:ascii="Times New Roman" w:hAnsi="Times New Roman" w:cs="Times New Roman"/>
              <w:sz w:val="24"/>
            </w:rPr>
            <w:t>18</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"_Toc143176838" </w:instrText>
          </w:r>
          <w:r>
            <w:fldChar w:fldCharType="separate"/>
          </w:r>
          <w:r>
            <w:rPr>
              <w:rStyle w:val="16"/>
              <w:rFonts w:ascii="Times New Roman" w:hAnsi="Times New Roman" w:cs="Times New Roman"/>
              <w:sz w:val="24"/>
            </w:rPr>
            <w:t>Recommended approaches need to be developed</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_Toc143176838 \h </w:instrText>
          </w:r>
          <w:r>
            <w:rPr>
              <w:rFonts w:ascii="Times New Roman" w:hAnsi="Times New Roman" w:cs="Times New Roman"/>
              <w:sz w:val="24"/>
            </w:rPr>
            <w:fldChar w:fldCharType="separate"/>
          </w:r>
          <w:r>
            <w:rPr>
              <w:rFonts w:ascii="Times New Roman" w:hAnsi="Times New Roman" w:cs="Times New Roman"/>
              <w:sz w:val="24"/>
            </w:rPr>
            <w:t>18</w:t>
          </w:r>
          <w:r>
            <w:rPr>
              <w:rFonts w:ascii="Times New Roman" w:hAnsi="Times New Roman" w:cs="Times New Roman"/>
              <w:sz w:val="24"/>
            </w:rPr>
            <w:fldChar w:fldCharType="end"/>
          </w:r>
          <w:r>
            <w:rPr>
              <w:rFonts w:ascii="Times New Roman" w:hAnsi="Times New Roman" w:cs="Times New Roman"/>
              <w:sz w:val="24"/>
            </w:rPr>
            <w:fldChar w:fldCharType="end"/>
          </w:r>
        </w:p>
        <w:p>
          <w:pPr>
            <w:pStyle w:val="20"/>
            <w:tabs>
              <w:tab w:val="right" w:leader="dot" w:pos="9019"/>
            </w:tabs>
            <w:spacing w:line="360" w:lineRule="auto"/>
            <w:jc w:val="both"/>
            <w:rPr>
              <w:rFonts w:ascii="Times New Roman" w:hAnsi="Times New Roman" w:cs="Times New Roman" w:eastAsiaTheme="minorEastAsia"/>
              <w:sz w:val="24"/>
            </w:rPr>
          </w:pPr>
          <w:r>
            <w:fldChar w:fldCharType="begin"/>
          </w:r>
          <w:r>
            <w:instrText xml:space="preserve"> HYPERLINK \l "_Toc143176839" </w:instrText>
          </w:r>
          <w:r>
            <w:fldChar w:fldCharType="separate"/>
          </w:r>
          <w:r>
            <w:rPr>
              <w:rStyle w:val="16"/>
              <w:rFonts w:ascii="Times New Roman" w:hAnsi="Times New Roman" w:cs="Times New Roman"/>
              <w:sz w:val="24"/>
            </w:rPr>
            <w:t>Reference list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_Toc143176839 \h </w:instrText>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r>
            <w:rPr>
              <w:rFonts w:ascii="Times New Roman" w:hAnsi="Times New Roman" w:cs="Times New Roman"/>
              <w:sz w:val="24"/>
            </w:rPr>
            <w:fldChar w:fldCharType="end"/>
          </w:r>
        </w:p>
        <w:p>
          <w:pPr>
            <w:spacing w:line="360" w:lineRule="auto"/>
            <w:jc w:val="both"/>
            <w:rPr>
              <w:rFonts w:ascii="Times New Roman" w:hAnsi="Times New Roman" w:cs="Times New Roman"/>
              <w:color w:val="000000" w:themeColor="text1"/>
              <w:lang w:val="en-GB"/>
            </w:rPr>
          </w:pPr>
          <w:r>
            <w:rPr>
              <w:rFonts w:ascii="Times New Roman" w:hAnsi="Times New Roman" w:cs="Times New Roman"/>
              <w:color w:val="000000" w:themeColor="text1"/>
              <w:sz w:val="24"/>
              <w:szCs w:val="24"/>
              <w:lang w:val="en-GB"/>
            </w:rPr>
            <w:fldChar w:fldCharType="end"/>
          </w:r>
        </w:p>
      </w:sdtContent>
    </w:sdt>
    <w:p>
      <w:pPr>
        <w:spacing w:line="360" w:lineRule="auto"/>
        <w:rPr>
          <w:rFonts w:ascii="Times New Roman" w:hAnsi="Times New Roman" w:cs="Times New Roman"/>
          <w:b/>
          <w:color w:val="000000" w:themeColor="text1"/>
          <w:sz w:val="28"/>
          <w:szCs w:val="40"/>
          <w:lang w:val="en-GB"/>
        </w:rPr>
      </w:pPr>
      <w:r>
        <w:rPr>
          <w:rFonts w:ascii="Times New Roman" w:hAnsi="Times New Roman" w:cs="Times New Roman"/>
          <w:color w:val="000000" w:themeColor="text1"/>
          <w:lang w:val="en-GB"/>
        </w:rPr>
        <w:br w:type="page"/>
      </w:r>
    </w:p>
    <w:p>
      <w:pPr>
        <w:pStyle w:val="2"/>
      </w:pPr>
      <w:bookmarkStart w:id="0" w:name="_Toc143176822"/>
      <w:r>
        <w:t>Introduction</w:t>
      </w:r>
      <w:bookmarkEnd w:id="0"/>
      <w:r>
        <w:t xml:space="preserve">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study is going to analyse international marketing strategies in different countries. </w:t>
      </w:r>
      <w:r>
        <w:rPr>
          <w:rFonts w:ascii="Times New Roman" w:hAnsi="Times New Roman" w:eastAsia="Times New Roman" w:cs="Times New Roman"/>
          <w:i/>
          <w:color w:val="000000" w:themeColor="text1"/>
          <w:sz w:val="24"/>
          <w:szCs w:val="24"/>
          <w:lang w:val="en-GB"/>
        </w:rPr>
        <w:t>MacBook</w:t>
      </w:r>
      <w:r>
        <w:rPr>
          <w:rFonts w:ascii="Times New Roman" w:hAnsi="Times New Roman" w:eastAsia="Times New Roman" w:cs="Times New Roman"/>
          <w:color w:val="000000" w:themeColor="text1"/>
          <w:sz w:val="24"/>
          <w:szCs w:val="24"/>
          <w:lang w:val="en-GB"/>
        </w:rPr>
        <w:t xml:space="preserve"> will be chosen as high development product and </w:t>
      </w:r>
      <w:r>
        <w:rPr>
          <w:rFonts w:ascii="Times New Roman" w:hAnsi="Times New Roman" w:eastAsia="Times New Roman" w:cs="Times New Roman"/>
          <w:i/>
          <w:color w:val="000000" w:themeColor="text1"/>
          <w:sz w:val="24"/>
          <w:szCs w:val="24"/>
          <w:lang w:val="en-GB"/>
        </w:rPr>
        <w:t>USA</w:t>
      </w:r>
      <w:r>
        <w:rPr>
          <w:rFonts w:ascii="Times New Roman" w:hAnsi="Times New Roman" w:eastAsia="Times New Roman" w:cs="Times New Roman"/>
          <w:color w:val="000000" w:themeColor="text1"/>
          <w:sz w:val="24"/>
          <w:szCs w:val="24"/>
          <w:lang w:val="en-GB"/>
        </w:rPr>
        <w:t xml:space="preserve"> and </w:t>
      </w:r>
      <w:r>
        <w:rPr>
          <w:rFonts w:ascii="Times New Roman" w:hAnsi="Times New Roman" w:eastAsia="Times New Roman" w:cs="Times New Roman"/>
          <w:i/>
          <w:color w:val="000000" w:themeColor="text1"/>
          <w:sz w:val="24"/>
          <w:szCs w:val="24"/>
          <w:lang w:val="en-GB"/>
        </w:rPr>
        <w:t>Switzerland</w:t>
      </w:r>
      <w:r>
        <w:rPr>
          <w:rFonts w:ascii="Times New Roman" w:hAnsi="Times New Roman" w:eastAsia="Times New Roman" w:cs="Times New Roman"/>
          <w:color w:val="000000" w:themeColor="text1"/>
          <w:sz w:val="24"/>
          <w:szCs w:val="24"/>
          <w:lang w:val="en-GB"/>
        </w:rPr>
        <w:t xml:space="preserve"> will be chosen here for different countries of the chosen product operation. PESTLE of both countries along with the Hofstede model will be discussed in this section. In addition to this, a 4P of the marketing mix will be discussed to compare the marketing strategies of both countries. Directional development fool will be additionally discussed to improve the authenticity of the study. Similarities and differences between both countries will be demonstrated here and organisational approaches will be done for addressing the variables. Practical as well as ethical approaches will be used in this study to improve future outcomes. </w:t>
      </w:r>
    </w:p>
    <w:p>
      <w:pPr>
        <w:pStyle w:val="2"/>
      </w:pPr>
      <w:bookmarkStart w:id="1" w:name="_Toc143176823"/>
      <w:r>
        <w:t>Company background</w:t>
      </w:r>
      <w:bookmarkEnd w:id="1"/>
    </w:p>
    <w:p>
      <w:pPr>
        <w:pStyle w:val="3"/>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Apple is a multinational technological organisation has it’s headquarter in California, USA. The company produces own build computers and it has maintained the competitive business strategy (Apple.com, 2023). The organisation has used an effective CSR policy to implement better environmental outcomes. </w:t>
      </w:r>
    </w:p>
    <w:p>
      <w:pPr>
        <w:pStyle w:val="2"/>
      </w:pPr>
      <w:bookmarkStart w:id="2" w:name="_Toc143176824"/>
      <w:r>
        <w:t>Macro environment</w:t>
      </w:r>
      <w:bookmarkEnd w:id="2"/>
      <w:r>
        <w:t xml:space="preserve"> </w:t>
      </w:r>
    </w:p>
    <w:p>
      <w:pPr>
        <w:pStyle w:val="4"/>
      </w:pPr>
      <w:bookmarkStart w:id="3" w:name="_Toc143176825"/>
      <w:r>
        <w:t>PESTLE</w:t>
      </w:r>
      <w:bookmarkEnd w:id="3"/>
      <w:r>
        <w:t xml:space="preserve"> </w:t>
      </w:r>
    </w:p>
    <w:tbl>
      <w:tblPr>
        <w:tblStyle w:val="10"/>
        <w:tblW w:w="903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890"/>
        <w:gridCol w:w="3480"/>
        <w:gridCol w:w="36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Countries</w:t>
            </w:r>
          </w:p>
        </w:tc>
        <w:tc>
          <w:tcPr>
            <w:tcW w:w="348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USA</w:t>
            </w:r>
          </w:p>
        </w:tc>
        <w:tc>
          <w:tcPr>
            <w:tcW w:w="36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Switzerland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Political</w:t>
            </w:r>
          </w:p>
        </w:tc>
        <w:tc>
          <w:tcPr>
            <w:tcW w:w="3480" w:type="dxa"/>
            <w:shd w:val="clear" w:color="auto" w:fill="auto"/>
            <w:tcMar>
              <w:top w:w="100" w:type="dxa"/>
              <w:left w:w="100" w:type="dxa"/>
              <w:bottom w:w="100" w:type="dxa"/>
              <w:right w:w="100" w:type="dxa"/>
            </w:tcMar>
          </w:tcPr>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Political stability index - 0 points</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Corruption perception index - 90</w:t>
            </w:r>
          </w:p>
        </w:tc>
        <w:tc>
          <w:tcPr>
            <w:tcW w:w="3660" w:type="dxa"/>
            <w:shd w:val="clear" w:color="auto" w:fill="auto"/>
            <w:tcMar>
              <w:top w:w="100" w:type="dxa"/>
              <w:left w:w="100" w:type="dxa"/>
              <w:bottom w:w="100" w:type="dxa"/>
              <w:right w:w="100" w:type="dxa"/>
            </w:tcMar>
          </w:tcPr>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Political stability index - 1.13 points</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Corruption perception index - 82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Economic</w:t>
            </w:r>
          </w:p>
        </w:tc>
        <w:tc>
          <w:tcPr>
            <w:tcW w:w="3480" w:type="dxa"/>
            <w:shd w:val="clear" w:color="auto" w:fill="auto"/>
            <w:tcMar>
              <w:top w:w="100" w:type="dxa"/>
              <w:left w:w="100" w:type="dxa"/>
              <w:bottom w:w="100" w:type="dxa"/>
              <w:right w:w="100" w:type="dxa"/>
            </w:tcMar>
          </w:tcPr>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GDP rate - 5.9% in 2021</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$2 trillion contribution of the technology sector in overall GDP (Statista.com, 2023)</w:t>
            </w:r>
          </w:p>
        </w:tc>
        <w:tc>
          <w:tcPr>
            <w:tcW w:w="3660" w:type="dxa"/>
            <w:shd w:val="clear" w:color="auto" w:fill="auto"/>
            <w:tcMar>
              <w:top w:w="100" w:type="dxa"/>
              <w:left w:w="100" w:type="dxa"/>
              <w:bottom w:w="100" w:type="dxa"/>
              <w:right w:w="100" w:type="dxa"/>
            </w:tcMar>
          </w:tcPr>
          <w:p>
            <w:pPr>
              <w:widowControl w:val="0"/>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GDP rate - 4.2% in 2021</w:t>
            </w:r>
          </w:p>
          <w:p>
            <w:pPr>
              <w:widowControl w:val="0"/>
              <w:numPr>
                <w:ilvl w:val="0"/>
                <w:numId w:val="3"/>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Around 8% of the contribution of the technology sector to the overall GDP</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Social</w:t>
            </w:r>
          </w:p>
        </w:tc>
        <w:tc>
          <w:tcPr>
            <w:tcW w:w="3480" w:type="dxa"/>
            <w:shd w:val="clear" w:color="auto" w:fill="auto"/>
            <w:tcMar>
              <w:top w:w="100" w:type="dxa"/>
              <w:left w:w="100" w:type="dxa"/>
              <w:bottom w:w="100" w:type="dxa"/>
              <w:right w:w="100" w:type="dxa"/>
            </w:tcMar>
          </w:tcPr>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8% of tech employees in the total workforce</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More than 7 million tech industry jobs</w:t>
            </w:r>
          </w:p>
        </w:tc>
        <w:tc>
          <w:tcPr>
            <w:tcW w:w="3660" w:type="dxa"/>
            <w:shd w:val="clear" w:color="auto" w:fill="auto"/>
            <w:tcMar>
              <w:top w:w="100" w:type="dxa"/>
              <w:left w:w="100" w:type="dxa"/>
              <w:bottom w:w="100" w:type="dxa"/>
              <w:right w:w="100" w:type="dxa"/>
            </w:tcMar>
          </w:tcPr>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10% decrease in tech-related jobs in 2023</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More than 350 tech companies in Switzerland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Technological</w:t>
            </w:r>
          </w:p>
        </w:tc>
        <w:tc>
          <w:tcPr>
            <w:tcW w:w="3480" w:type="dxa"/>
            <w:shd w:val="clear" w:color="auto" w:fill="auto"/>
            <w:tcMar>
              <w:top w:w="100" w:type="dxa"/>
              <w:left w:w="100" w:type="dxa"/>
              <w:bottom w:w="100" w:type="dxa"/>
              <w:right w:w="100" w:type="dxa"/>
            </w:tcMar>
          </w:tcPr>
          <w:p>
            <w:pPr>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Global innovation index - 3</w:t>
            </w:r>
          </w:p>
          <w:p>
            <w:pPr>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Revenue generation from the technology sector is almost $450bn</w:t>
            </w:r>
          </w:p>
        </w:tc>
        <w:tc>
          <w:tcPr>
            <w:tcW w:w="3660" w:type="dxa"/>
            <w:shd w:val="clear" w:color="auto" w:fill="auto"/>
            <w:tcMar>
              <w:top w:w="100" w:type="dxa"/>
              <w:left w:w="100" w:type="dxa"/>
              <w:bottom w:w="100" w:type="dxa"/>
              <w:right w:w="100" w:type="dxa"/>
            </w:tcMar>
          </w:tcPr>
          <w:p>
            <w:pPr>
              <w:widowControl w:val="0"/>
              <w:numPr>
                <w:ilvl w:val="0"/>
                <w:numId w:val="5"/>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Global innovation index - 1</w:t>
            </w:r>
          </w:p>
          <w:p>
            <w:pPr>
              <w:widowControl w:val="0"/>
              <w:numPr>
                <w:ilvl w:val="0"/>
                <w:numId w:val="5"/>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$18.3bn revenue generation from the Technology sector (Statista.com, 2023)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Legal </w:t>
            </w:r>
          </w:p>
        </w:tc>
        <w:tc>
          <w:tcPr>
            <w:tcW w:w="3480" w:type="dxa"/>
            <w:shd w:val="clear" w:color="auto" w:fill="auto"/>
            <w:tcMar>
              <w:top w:w="100" w:type="dxa"/>
              <w:left w:w="100" w:type="dxa"/>
              <w:bottom w:w="100" w:type="dxa"/>
              <w:right w:w="100" w:type="dxa"/>
            </w:tcMar>
          </w:tcPr>
          <w:p>
            <w:pPr>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Information technology act 21 (Congress.gov, 2023)</w:t>
            </w:r>
          </w:p>
          <w:p>
            <w:pPr>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Federal Technology Transfer Act</w:t>
            </w:r>
          </w:p>
        </w:tc>
        <w:tc>
          <w:tcPr>
            <w:tcW w:w="3660" w:type="dxa"/>
            <w:shd w:val="clear" w:color="auto" w:fill="auto"/>
            <w:tcMar>
              <w:top w:w="100" w:type="dxa"/>
              <w:left w:w="100" w:type="dxa"/>
              <w:bottom w:w="100" w:type="dxa"/>
              <w:right w:w="100" w:type="dxa"/>
            </w:tcMar>
          </w:tcPr>
          <w:p>
            <w:pPr>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DLT Act</w:t>
            </w:r>
          </w:p>
          <w:p>
            <w:pPr>
              <w:widowControl w:val="0"/>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Swiss Intellectual Property Law (Admin.ch, 2023)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rPr>
          <w:cantSplit/>
          <w:tblHeader/>
        </w:trPr>
        <w:tc>
          <w:tcPr>
            <w:tcW w:w="189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Environmental </w:t>
            </w:r>
          </w:p>
        </w:tc>
        <w:tc>
          <w:tcPr>
            <w:tcW w:w="3480" w:type="dxa"/>
            <w:shd w:val="clear" w:color="auto" w:fill="auto"/>
            <w:tcMar>
              <w:top w:w="100" w:type="dxa"/>
              <w:left w:w="100" w:type="dxa"/>
              <w:bottom w:w="100" w:type="dxa"/>
              <w:right w:w="100" w:type="dxa"/>
            </w:tcMar>
          </w:tcPr>
          <w:p>
            <w:pPr>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Index for environmental performance - 24</w:t>
            </w:r>
          </w:p>
          <w:p>
            <w:pPr>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Climatic changes caused by unsustainable business practices (Debnath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2021)</w:t>
            </w:r>
          </w:p>
        </w:tc>
        <w:tc>
          <w:tcPr>
            <w:tcW w:w="3660" w:type="dxa"/>
            <w:shd w:val="clear" w:color="auto" w:fill="auto"/>
            <w:tcMar>
              <w:top w:w="100" w:type="dxa"/>
              <w:left w:w="100" w:type="dxa"/>
              <w:bottom w:w="100" w:type="dxa"/>
              <w:right w:w="100" w:type="dxa"/>
            </w:tcMar>
          </w:tcPr>
          <w:p>
            <w:pPr>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Index for environmental performance - 9</w:t>
            </w:r>
          </w:p>
          <w:p>
            <w:pPr>
              <w:widowControl w:val="0"/>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Less amount of climatic changes</w:t>
            </w:r>
          </w:p>
        </w:tc>
      </w:tr>
    </w:tbl>
    <w:p>
      <w:pPr>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Table 1: PESTLE analysis</w:t>
      </w:r>
    </w:p>
    <w:p>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Self-created)</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Analysis</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political stability index of the USA has been 0 points whereas this index has been 1.13 points for Switzerland. The corruption perception index for the USA has been 90 whereas this index has been 82 for Switzerland. It can be said that Switzerland has a higher political stability that can be helpful for expanding the Macbook business in the country (Statista.com, 2023). The economic stability of the countries can be identified with the GDP rate of the country. The GDP rate of the USA has been 5.9% in 2021 whereas this GDP rate has been 4.2% in 2021. As stated by Thomas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(2021), the GDP rate has been one of the most important factors of the country. The technology sector of the USA has been contributing almost $2 trillion to the overall GDP of the country. It has seen multiple tech start-ups and established companies in the past few years. It would be easier for the company to expand their businesses within the country (Debnath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2021). On the other hand, the GDP contribution of the technology sector in Switzerland has been around 8% which suggests that the country has not been able to earn higher economic wealth from the technology sector.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Almost 8% of the employees of overall USA workforce work in the technology sector and the number of jobs within the tech industry of the country has been 7 million. On the other hand, Switzerland has seen a decrease of 10% in tech-related jobs and almost 350 tech companies have been providing tech-related jobs. Switzerland has been more inclined towards innovation as its innovation index has been 1 in comparison to the USA’s innovation index of 3 (Statista.com, 2023). The tech sector of the USA has provided a revenue of almost $450bn whereas the tech sector of Switzerland has provided a revenue of $18.3bn. The legal acts that have been used by the USA has been the Information Technology Act of 21 and the Federal Technology Transfer Act. On the other hand, the DLT Act and Swiss Intellectual Property Law have been followed by Switzerland (Admin.ch, 2023). The environmental performance index of the USA has been 24 which have happened due to climatic change challenges. The environmental performance of Switzerland has been 9 and this suggests a level of lower climatic challenge.</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Overall, there are a lot factors which works in favour of firm such as major contributor technology sector in overall GDP but USA has been a more favourable than Switzerland due to higher GDP rate and higher revenue but Switzerland has higher global innovation index. However, higher emission rate and plastic waste could act against Apple. As firm needs to take a lot measures and there could be more stringent regulations in future.</w:t>
      </w:r>
    </w:p>
    <w:p>
      <w:pPr>
        <w:pStyle w:val="4"/>
      </w:pPr>
      <w:bookmarkStart w:id="4" w:name="_Toc143176826"/>
      <w:r>
        <w:t>Hofstede model</w:t>
      </w:r>
      <w:bookmarkEnd w:id="4"/>
      <w:r>
        <w:t xml:space="preserve">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Hofstede model has been considered an impactful tool to identify the cultural differences between two countries. The market strategy differences for Macbook can be identified with the help of the Hofstede model (Huang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2019). There have been six factors within the model such as “power distance, individualism, masculinity, uncertainty avoidance, long-term orientation and indulgence”. These factors determine the differences between these two countries.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rPr>
        <w:drawing>
          <wp:inline distT="114300" distB="114300" distL="114300" distR="114300">
            <wp:extent cx="5730875" cy="27432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7" cstate="print"/>
                    <a:srcRect/>
                    <a:stretch>
                      <a:fillRect/>
                    </a:stretch>
                  </pic:blipFill>
                  <pic:spPr>
                    <a:xfrm>
                      <a:off x="0" y="0"/>
                      <a:ext cx="5731200" cy="27432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1: Hofstede of Switzerland and the USA</w:t>
      </w:r>
    </w:p>
    <w:p>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Hofstede-insights.com, 2023)</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Each factor has a certain score for each country and these scores have been helpful to determine their position. The power distance of the country refers to the dimension where the individual does not have a similar amount of power. As stated by Lawter and Garnjost (2021), the inequalities of power have been visible within organisations. The power distance score for Switzerland has been 34 whereas this score has been 40 in the USA. The second dimension of the model has been individualism which estimates the interdependency level of the individuals. As argued by Huang and Crotts (2019), the interest level of the employees to work together within an organisation can be identified with the help of this dimension. The individuality score of Switzerland has been 68 whereas this score has been 91 for the USA.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third dimension of the model has been masculinity which has been helpful to understand the country’s interest to achieve success. The country can be more inclined towards quality of life as well instead of success (Taras et al. 2023). The chosen countries for MacBook have been Switzerland and the USA and this model has helped to identify the scores of these two countries. Switzerland has scored 70 in this dimension whereas the USA has scored 62 (Hofstede-insights.com, 2023). The fourth dimension has been known as uncertainty avoidance which refers to the country’s capability for dealing with future unpredictable situations. Switzerland has scored 58 in this dimension whereas the USA has scored 46.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fifth dimension of the model has been called long-term orientation which refers to the society’s dealing process with its past traditions. Sometimes countries have been inclined towards modern education (Huang et al. 2019). At other times, countries have been willing to follow the past traditions that have been maintained so far. Switzerland has scored almost 74 in this dimension whereas the USA’s score has been 26 in this context. The final dimension of this model has been indulgence level within the countries. This dimension has been helpful to determine the country’s capability to control its impulses as well as desires. Switzerland scored 66 in this dimension whereas the USA scored 68.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Hofstede model offer various benefits but it has several limitations as well. It provides benefits in terms of evaluation framework for understanding and developing a cross cultural understanding, provides valuable insights into the leadership and management practices for different cultures, as well as development of understanding cultural dimensions which in turn help strategies such as marketing, negotiation etc (Hofstede, 1980). However, the reduction to fewer dimensions and static nature of the model cannot capture the changes and conduct a detailed analysis.</w:t>
      </w:r>
    </w:p>
    <w:p>
      <w:pPr>
        <w:pStyle w:val="4"/>
      </w:pPr>
      <w:bookmarkStart w:id="5" w:name="_Toc143176827"/>
      <w:r>
        <w:t>Porter’s Five Forces</w:t>
      </w:r>
      <w:bookmarkEnd w:id="5"/>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Apple is an established company and therefore it would be difficult for new companies to enter this marketplace. The threat for new entrants has been low for Apple’s MacBook due to this reason. There have been multiple companies within the tech industry which has increased industry competition and made it high. Buyers’ Bargaining Power has also become high due to this reason since they have choice to move towards other companies (Apple.com, 2023). Apple’s Macbook has a high chance of product substitution since there have been other products such as mobile, laptops and more. The supplier’s bargaining power has been low since there have been many available suppliers within the market.</w:t>
      </w:r>
    </w:p>
    <w:p>
      <w:pPr>
        <w:pStyle w:val="4"/>
      </w:pPr>
      <w:bookmarkStart w:id="6" w:name="_Toc143176828"/>
      <w:r>
        <w:t>SWOT analysis</w:t>
      </w:r>
      <w:bookmarkEnd w:id="6"/>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Apple has strong brand awareness and it has been providing high quality products which have worked as the company strengths. However, its products have been highly expensive as well as the customisation processes have been limited which have created weaknesses for the company. The company has expansive distribution network which acts as opportunity and the company bullied by counterfeits. </w:t>
      </w:r>
    </w:p>
    <w:p>
      <w:pPr>
        <w:pStyle w:val="4"/>
      </w:pPr>
      <w:bookmarkStart w:id="7" w:name="_Toc143176829"/>
      <w:r>
        <w:t>STP</w:t>
      </w:r>
      <w:bookmarkEnd w:id="7"/>
      <w:r>
        <w:t xml:space="preserve"> </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Segmentation</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Marketing segmentation has been highlighted below to compare the extent of the marketing strategies of Apple in selling MacBooks in the USA and Switzerland.</w:t>
      </w:r>
    </w:p>
    <w:tbl>
      <w:tblPr>
        <w:tblStyle w:val="23"/>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707"/>
        <w:gridCol w:w="497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Geographic</w:t>
            </w:r>
          </w:p>
        </w:tc>
        <w:tc>
          <w:tcPr>
            <w:tcW w:w="0" w:type="auto"/>
            <w:shd w:val="clear" w:color="auto" w:fill="auto"/>
            <w:tcMar>
              <w:top w:w="100" w:type="dxa"/>
              <w:left w:w="100" w:type="dxa"/>
              <w:bottom w:w="100" w:type="dxa"/>
              <w:right w:w="100" w:type="dxa"/>
            </w:tcMar>
          </w:tcPr>
          <w:p>
            <w:pPr>
              <w:pStyle w:val="3"/>
              <w:widowControl w:val="0"/>
              <w:numPr>
                <w:ilvl w:val="0"/>
                <w:numId w:val="8"/>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Mainly in the urban part of the USA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Demographic</w:t>
            </w:r>
          </w:p>
        </w:tc>
        <w:tc>
          <w:tcPr>
            <w:tcW w:w="0" w:type="auto"/>
            <w:shd w:val="clear" w:color="auto" w:fill="auto"/>
            <w:tcMar>
              <w:top w:w="100" w:type="dxa"/>
              <w:left w:w="100" w:type="dxa"/>
              <w:bottom w:w="100" w:type="dxa"/>
              <w:right w:w="100" w:type="dxa"/>
            </w:tcMar>
          </w:tcPr>
          <w:p>
            <w:pPr>
              <w:pStyle w:val="3"/>
              <w:widowControl w:val="0"/>
              <w:numPr>
                <w:ilvl w:val="0"/>
                <w:numId w:val="9"/>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Both female and male</w:t>
            </w:r>
          </w:p>
          <w:p>
            <w:pPr>
              <w:pStyle w:val="3"/>
              <w:widowControl w:val="0"/>
              <w:numPr>
                <w:ilvl w:val="0"/>
                <w:numId w:val="9"/>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Age group: 20-50 years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Psychographic</w:t>
            </w:r>
          </w:p>
        </w:tc>
        <w:tc>
          <w:tcPr>
            <w:tcW w:w="0" w:type="auto"/>
            <w:shd w:val="clear" w:color="auto" w:fill="auto"/>
            <w:tcMar>
              <w:top w:w="100" w:type="dxa"/>
              <w:left w:w="100" w:type="dxa"/>
              <w:bottom w:w="100" w:type="dxa"/>
              <w:right w:w="100" w:type="dxa"/>
            </w:tcMar>
          </w:tcPr>
          <w:p>
            <w:pPr>
              <w:pStyle w:val="3"/>
              <w:widowControl w:val="0"/>
              <w:numPr>
                <w:ilvl w:val="0"/>
                <w:numId w:val="10"/>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High knowledge of technology</w:t>
            </w:r>
          </w:p>
          <w:p>
            <w:pPr>
              <w:pStyle w:val="3"/>
              <w:widowControl w:val="0"/>
              <w:numPr>
                <w:ilvl w:val="0"/>
                <w:numId w:val="10"/>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From academic and business backgrounds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Behavioural</w:t>
            </w:r>
          </w:p>
        </w:tc>
        <w:tc>
          <w:tcPr>
            <w:tcW w:w="0" w:type="auto"/>
            <w:shd w:val="clear" w:color="auto" w:fill="auto"/>
            <w:tcMar>
              <w:top w:w="100" w:type="dxa"/>
              <w:left w:w="100" w:type="dxa"/>
              <w:bottom w:w="100" w:type="dxa"/>
              <w:right w:w="100" w:type="dxa"/>
            </w:tcMar>
          </w:tcPr>
          <w:p>
            <w:pPr>
              <w:pStyle w:val="3"/>
              <w:widowControl w:val="0"/>
              <w:numPr>
                <w:ilvl w:val="0"/>
                <w:numId w:val="11"/>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High customer loyalty</w:t>
            </w:r>
          </w:p>
          <w:p>
            <w:pPr>
              <w:pStyle w:val="3"/>
              <w:widowControl w:val="0"/>
              <w:numPr>
                <w:ilvl w:val="0"/>
                <w:numId w:val="11"/>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High concern for virtual security</w:t>
            </w:r>
          </w:p>
        </w:tc>
      </w:tr>
    </w:tbl>
    <w:p>
      <w:pPr>
        <w:pStyle w:val="3"/>
        <w:spacing w:line="360" w:lineRule="auto"/>
        <w:jc w:val="center"/>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Table 2: Market segmentation in the USA</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(Source: Self-created)</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segmentation of the US market has highlighted the focus of Apple on students and business professionals. In this regard, the demands of the customers such as the presence of maximum security and the maximum concern for the technology have been prioritised. </w:t>
      </w:r>
    </w:p>
    <w:tbl>
      <w:tblPr>
        <w:tblStyle w:val="24"/>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707"/>
        <w:gridCol w:w="626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Geographic</w:t>
            </w:r>
          </w:p>
        </w:tc>
        <w:tc>
          <w:tcPr>
            <w:tcW w:w="0" w:type="auto"/>
            <w:shd w:val="clear" w:color="auto" w:fill="auto"/>
            <w:tcMar>
              <w:top w:w="100" w:type="dxa"/>
              <w:left w:w="100" w:type="dxa"/>
              <w:bottom w:w="100" w:type="dxa"/>
              <w:right w:w="100" w:type="dxa"/>
            </w:tcMar>
          </w:tcPr>
          <w:p>
            <w:pPr>
              <w:pStyle w:val="3"/>
              <w:widowControl w:val="0"/>
              <w:numPr>
                <w:ilvl w:val="0"/>
                <w:numId w:val="12"/>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All over Switzerland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Demographic</w:t>
            </w:r>
          </w:p>
        </w:tc>
        <w:tc>
          <w:tcPr>
            <w:tcW w:w="0" w:type="auto"/>
            <w:shd w:val="clear" w:color="auto" w:fill="auto"/>
            <w:tcMar>
              <w:top w:w="100" w:type="dxa"/>
              <w:left w:w="100" w:type="dxa"/>
              <w:bottom w:w="100" w:type="dxa"/>
              <w:right w:w="100" w:type="dxa"/>
            </w:tcMar>
          </w:tcPr>
          <w:p>
            <w:pPr>
              <w:pStyle w:val="3"/>
              <w:widowControl w:val="0"/>
              <w:numPr>
                <w:ilvl w:val="0"/>
                <w:numId w:val="13"/>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Business professionals of age group 25-40 years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Psychographic</w:t>
            </w:r>
          </w:p>
        </w:tc>
        <w:tc>
          <w:tcPr>
            <w:tcW w:w="0" w:type="auto"/>
            <w:shd w:val="clear" w:color="auto" w:fill="auto"/>
            <w:tcMar>
              <w:top w:w="100" w:type="dxa"/>
              <w:left w:w="100" w:type="dxa"/>
              <w:bottom w:w="100" w:type="dxa"/>
              <w:right w:w="100" w:type="dxa"/>
            </w:tcMar>
          </w:tcPr>
          <w:p>
            <w:pPr>
              <w:pStyle w:val="3"/>
              <w:widowControl w:val="0"/>
              <w:numPr>
                <w:ilvl w:val="0"/>
                <w:numId w:val="14"/>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High-class and middle-class customers</w:t>
            </w:r>
          </w:p>
          <w:p>
            <w:pPr>
              <w:pStyle w:val="3"/>
              <w:widowControl w:val="0"/>
              <w:numPr>
                <w:ilvl w:val="0"/>
                <w:numId w:val="14"/>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Maximum concern for upgraded technology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Behavioural</w:t>
            </w:r>
          </w:p>
        </w:tc>
        <w:tc>
          <w:tcPr>
            <w:tcW w:w="0" w:type="auto"/>
            <w:shd w:val="clear" w:color="auto" w:fill="auto"/>
            <w:tcMar>
              <w:top w:w="100" w:type="dxa"/>
              <w:left w:w="100" w:type="dxa"/>
              <w:bottom w:w="100" w:type="dxa"/>
              <w:right w:w="100" w:type="dxa"/>
            </w:tcMar>
          </w:tcPr>
          <w:p>
            <w:pPr>
              <w:pStyle w:val="3"/>
              <w:widowControl w:val="0"/>
              <w:numPr>
                <w:ilvl w:val="0"/>
                <w:numId w:val="15"/>
              </w:numPr>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Satisfied customers with experiences of Apple products</w:t>
            </w:r>
          </w:p>
        </w:tc>
      </w:tr>
    </w:tbl>
    <w:p>
      <w:pPr>
        <w:pStyle w:val="3"/>
        <w:spacing w:line="360" w:lineRule="auto"/>
        <w:jc w:val="center"/>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Table 3: Market segmentation in Switzerland</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(Source: Self-created)</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The segmentation of the Swiss market has highlighted the focus of Apple on business professionals only for the successful marketing of Macbooks. Customer satisfaction and the experience of the customers with Apple products have been aligned with the market segmentation.</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The comparison of the market segmentation has highlighted the difference between the selling markets of MacBook. Apple has focused the marketing of the MacBooks only in the urban part of the US, whereas all over the Switzerland market has been targeted for the marketing.</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Target market</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main target market of the MacBook in the US market has been customers with concerns about virtual security and of the age group 20-50 years. As mentioned by Olson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(2021), the identification of the target market has been essential for the preparation of business strategies. The target market of the product in Switzerland has been middle-class and high-class business professionals who are ready for paying for the optimum product quality. </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Positioning map</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rPr>
        <w:drawing>
          <wp:inline distT="114300" distB="114300" distL="114300" distR="114300">
            <wp:extent cx="4019550" cy="2867025"/>
            <wp:effectExtent l="38100" t="57150" r="114300" b="1047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cstate="print"/>
                    <a:srcRect/>
                    <a:stretch>
                      <a:fillRect/>
                    </a:stretch>
                  </pic:blipFill>
                  <pic:spPr>
                    <a:xfrm>
                      <a:off x="0" y="0"/>
                      <a:ext cx="4019550" cy="28670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3"/>
        <w:spacing w:line="360" w:lineRule="auto"/>
        <w:jc w:val="center"/>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Figure 2: Positioning map in the USA market</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(Source: Self-created)</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above-attached positioning map has highlighted the strong position of Apple in the US market. Macbook is saturated by the exceptional features such as high capability of the processor, high memory and string security however; the price is higher compared to the market (Apple.com, 2023). The presence of high-quality features in the Macbook has increased the challenges for other laptop manufacturers such as Lenovo and Dell. </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rPr>
        <w:drawing>
          <wp:inline distT="114300" distB="114300" distL="114300" distR="114300">
            <wp:extent cx="4057650" cy="3028950"/>
            <wp:effectExtent l="38100" t="57150" r="114300" b="9525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9" cstate="print"/>
                    <a:srcRect/>
                    <a:stretch>
                      <a:fillRect/>
                    </a:stretch>
                  </pic:blipFill>
                  <pic:spPr>
                    <a:xfrm>
                      <a:off x="0" y="0"/>
                      <a:ext cx="4057650" cy="30289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3"/>
        <w:spacing w:line="360" w:lineRule="auto"/>
        <w:jc w:val="center"/>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color w:val="000000" w:themeColor="text1"/>
          <w:sz w:val="24"/>
          <w:szCs w:val="24"/>
          <w:lang w:val="en-GB"/>
        </w:rPr>
        <w:t>Figure 3: Positioning map in Switzerland market</w:t>
      </w:r>
    </w:p>
    <w:p>
      <w:pPr>
        <w:pStyle w:val="3"/>
        <w:spacing w:line="360" w:lineRule="auto"/>
        <w:jc w:val="center"/>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(Source: Self-created)</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Macbook has a significant position in the market in Switzerland, and the marketing position denotes its dominance in the laptop segment in the country. 31% of consumers highly prefer Macbooks in this country and this has been the highest compared to other brands such as HP, Dell, Toshiba and Microsoft (Statista.com, 2023). Macbook offers premium quality service to the customers; consequently, the cost of the products has been also high.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comparison of the market positions has highlighted that Macbook has generated strong competition in the US market. On the other hand, the brand value and high quality of the product have helped MacBook to gather maximum popularity in Switzerland. In this regard, maximum selling and use of MacBooks in Switzerland has been observed. </w:t>
      </w:r>
    </w:p>
    <w:p>
      <w:pPr>
        <w:pStyle w:val="2"/>
      </w:pPr>
      <w:bookmarkStart w:id="8" w:name="_Toc143176830"/>
      <w:r>
        <w:t>Marketing mix elements</w:t>
      </w:r>
      <w:bookmarkEnd w:id="8"/>
    </w:p>
    <w:p>
      <w:pPr>
        <w:pStyle w:val="4"/>
      </w:pPr>
      <w:bookmarkStart w:id="9" w:name="_Toc143176831"/>
      <w:r>
        <w:t>7Ps</w:t>
      </w:r>
      <w:bookmarkEnd w:id="9"/>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This marketing strategy has been based on four factors which have helped companies to introduce a specific product to their target market. This strategy has been required to market MacBook among its customers. As stated by Adams et al. (2019), the product has been known as the most important factor within the marketing mix. Apple would require creative plans so that it would be able to market its MacBook among its target customers. Product has been stating the core identity of the company that has created brand popularity. It has been required for the company to identify the core product so that it can establish its services successfully.</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rPr>
        <w:drawing>
          <wp:inline distT="0" distB="0" distL="0" distR="0">
            <wp:extent cx="5486400" cy="3200400"/>
            <wp:effectExtent l="0" t="57150" r="0" b="952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pStyle w:val="3"/>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4: 7P’s of Marketing</w:t>
      </w:r>
    </w:p>
    <w:p>
      <w:pPr>
        <w:pStyle w:val="3"/>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Self-created)</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second factor of this strategy refers to the price of the service or product. The company has estimated multiple price ranges for the MacBooks depending on the additional features it would be providing. As stated by Mintz et al. (2021), it has been required to have an effective analysis of the price before estimating the cost of the product. This would include the production cost and design cost in the pricing model. It has been a high-priced product and the pricing of the product has been within the range of $1,299-$2,499. However, this high-priced product has not been for every individual in the country. As argued by Chou et al. (2020), the targeting process has been helpful for companies to identify which customers to promote. Apple has not been required to promote its MacBook services to the customers hugely since everybody did not have the capacity to buy these products. The usage of digital platforms such as social media and search engines has been helpful for companies to specifically target the customers that have been willing to buy their products. The company did not have required using traditional marketing platforms for marketing its products. This has helped the companies to cut down additional marketing costs and utilise that amount for product development purposes.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last factor of this model has been the place that it has chosen for selling the product. The chosen countries for selling MacBooks have been the USA and Switzerland. The USA has been the home country of Apple where the products have been initially manufactured. However, its services have also expanded into multiple other countries and this study has discussed the selling strategies that have been required within Switzerland (Apple.com, 2023). It can be said that the usage of this model has been helpful for Apple to identify how to enter different marketplaces and introduce their products into those marketplaces. Apple has been providing efficient services to the people for making its customers satisfied. The company has provided fast and efficient delivery process along with product returns (Apple.com, 2023). The physical designs of the product such as its style, logo and other elements have helped to create an effective marketing process.</w:t>
      </w:r>
    </w:p>
    <w:p>
      <w:pPr>
        <w:pStyle w:val="3"/>
        <w:spacing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Discussion over Market entry methods:</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For any organization, there could be different market entry methods such as strategic alliance, Foreign direct investment (Dunning,1988), Joint ventures (Contractor et.al.,1988), licencing and franchising (Caves, 1996), exporting etc. FDI’s purpose is to generate a physical presence in any foreign country through subsidiaries, branches, or production. Strategic alliance and partnerships for any project can provide flexibility and companies can get an access to resources. On the other side,m through joint ventures, different entity is generated through which company shares risk and rewards. In licencing and franchising is another strategy. Apple being a global company uses various methods such as exporting, online sales, E-commerce, supply chain integration, localizing marketing and product adaption. It also uses licencing and partnerships as it ensures that its products are available with different data plans and cellular networks.</w:t>
      </w:r>
    </w:p>
    <w:p>
      <w:pPr>
        <w:pStyle w:val="4"/>
      </w:pPr>
      <w:bookmarkStart w:id="10" w:name="_Toc143176832"/>
      <w:r>
        <w:t>BCG matrix</w:t>
      </w:r>
      <w:bookmarkEnd w:id="10"/>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company has placed in the cash cow position in the BCG matrix and this represents a big market share with a low growth of industry. The profits will be minimised with the absence of further investment in the organisation.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rPr>
        <w:drawing>
          <wp:inline distT="0" distB="0" distL="0" distR="0">
            <wp:extent cx="5486400" cy="3200400"/>
            <wp:effectExtent l="0" t="0" r="0" b="0"/>
            <wp:docPr id="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Figure 5: BCG Matrix</w:t>
      </w:r>
    </w:p>
    <w:p>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Self-created)</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the declining market, supplier management of the company has been responsible for the further development in research and wings.</w:t>
      </w:r>
    </w:p>
    <w:p>
      <w:pPr>
        <w:pStyle w:val="2"/>
      </w:pPr>
      <w:bookmarkStart w:id="11" w:name="_Toc143176833"/>
      <w:r>
        <w:t>Directional Development</w:t>
      </w:r>
      <w:bookmarkEnd w:id="11"/>
      <w:r>
        <w:t xml:space="preserve"> </w:t>
      </w:r>
    </w:p>
    <w:p>
      <w:pPr>
        <w:pStyle w:val="3"/>
        <w:spacing w:line="360" w:lineRule="auto"/>
        <w:jc w:val="both"/>
        <w:rPr>
          <w:rFonts w:ascii="Times New Roman" w:hAnsi="Times New Roman" w:eastAsia="Times New Roman" w:cs="Times New Roman"/>
          <w:color w:val="000000" w:themeColor="text1"/>
          <w:sz w:val="24"/>
          <w:szCs w:val="24"/>
          <w:highlight w:val="white"/>
          <w:lang w:val="en-GB"/>
        </w:rPr>
      </w:pPr>
      <w:r>
        <w:rPr>
          <w:rFonts w:ascii="Times New Roman" w:hAnsi="Times New Roman" w:eastAsia="Times New Roman" w:cs="Times New Roman"/>
          <w:color w:val="000000" w:themeColor="text1"/>
          <w:sz w:val="24"/>
          <w:szCs w:val="24"/>
          <w:lang w:val="en-GB"/>
        </w:rPr>
        <w:t xml:space="preserve">It is a kind of business strategy in which additional planning has been done for the growth of any product and preparing the future with specific profit, operational and marketing strategies. It is important to get in the right direction for any organisation and this strategy also helps in the vision, mission and values of the venture in a clarified way. As opined by </w:t>
      </w:r>
      <w:r>
        <w:rPr>
          <w:rFonts w:ascii="Times New Roman" w:hAnsi="Times New Roman" w:eastAsia="Times New Roman" w:cs="Times New Roman"/>
          <w:color w:val="000000" w:themeColor="text1"/>
          <w:sz w:val="24"/>
          <w:szCs w:val="24"/>
          <w:highlight w:val="white"/>
          <w:lang w:val="en-GB"/>
        </w:rPr>
        <w:t xml:space="preserve">Debbarma </w:t>
      </w:r>
      <w:r>
        <w:rPr>
          <w:rFonts w:ascii="Times New Roman" w:hAnsi="Times New Roman" w:eastAsia="Times New Roman" w:cs="Times New Roman"/>
          <w:i/>
          <w:color w:val="000000" w:themeColor="text1"/>
          <w:sz w:val="24"/>
          <w:szCs w:val="24"/>
          <w:highlight w:val="white"/>
          <w:lang w:val="en-GB"/>
        </w:rPr>
        <w:t>et al</w:t>
      </w:r>
      <w:r>
        <w:rPr>
          <w:rFonts w:ascii="Times New Roman" w:hAnsi="Times New Roman" w:eastAsia="Times New Roman" w:cs="Times New Roman"/>
          <w:color w:val="000000" w:themeColor="text1"/>
          <w:sz w:val="24"/>
          <w:szCs w:val="24"/>
          <w:highlight w:val="white"/>
          <w:lang w:val="en-GB"/>
        </w:rPr>
        <w:t xml:space="preserve">. (2022), the export process in any business helps in the further business connection and sustainable development of any venture. Suppliers, customers, the media and other stakeholders’ perspective have to be mitigated for an improved mission statement by the venture. Different companies use different types of directional development and the venture is the sole proprietor to decide a policy for the increase of profit and accomplishment of goals and objectives. As per the statement of Efthymiou and Christidis (2023), low carriers are needed in organisations for route network development. Customer service and technical support have to be improved in any organisation to fit into the competitive environment. </w:t>
      </w:r>
    </w:p>
    <w:p>
      <w:pPr>
        <w:spacing w:line="360" w:lineRule="auto"/>
        <w:jc w:val="center"/>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rPr>
        <w:drawing>
          <wp:inline distT="0" distB="0" distL="0" distR="0">
            <wp:extent cx="2886075" cy="2619375"/>
            <wp:effectExtent l="0" t="0" r="9525" b="952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pPr>
        <w:spacing w:line="360" w:lineRule="auto"/>
        <w:jc w:val="center"/>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Figure 6: Pillars of Directional development</w:t>
      </w:r>
    </w:p>
    <w:p>
      <w:pPr>
        <w:pStyle w:val="17"/>
        <w:spacing w:before="0" w:beforeAutospacing="0" w:after="0" w:afterAutospacing="0" w:line="360" w:lineRule="auto"/>
        <w:jc w:val="center"/>
        <w:rPr>
          <w:color w:val="000000" w:themeColor="text1"/>
          <w:lang w:val="en-GB"/>
        </w:rPr>
      </w:pPr>
      <w:r>
        <w:rPr>
          <w:color w:val="000000" w:themeColor="text1"/>
          <w:shd w:val="clear" w:color="auto" w:fill="FFFFFF"/>
          <w:lang w:val="en-GB"/>
        </w:rPr>
        <w:t>(Source: Self-Created)</w:t>
      </w:r>
    </w:p>
    <w:p>
      <w:pPr>
        <w:pStyle w:val="3"/>
        <w:spacing w:line="360" w:lineRule="auto"/>
        <w:jc w:val="both"/>
        <w:rPr>
          <w:rFonts w:ascii="Times New Roman" w:hAnsi="Times New Roman" w:eastAsia="Times New Roman" w:cs="Times New Roman"/>
          <w:color w:val="000000" w:themeColor="text1"/>
          <w:sz w:val="24"/>
          <w:szCs w:val="24"/>
          <w:highlight w:val="white"/>
          <w:lang w:val="en-GB"/>
        </w:rPr>
      </w:pPr>
      <w:r>
        <w:rPr>
          <w:rFonts w:ascii="Times New Roman" w:hAnsi="Times New Roman" w:eastAsia="Times New Roman" w:cs="Times New Roman"/>
          <w:color w:val="000000" w:themeColor="text1"/>
          <w:sz w:val="24"/>
          <w:szCs w:val="24"/>
          <w:highlight w:val="white"/>
          <w:lang w:val="en-GB"/>
        </w:rPr>
        <w:t xml:space="preserve">On the other hand, MacBook is a popular product of Apple and new innovation policy has been taken by the organisation. Driver-kit Framework policy is seen in the products and it defines the fundamental behaviour of the device system. The products are well available in both countries such as Switzerland and USA. The operating system of the product has been developed by UNIX so that a better customer-friendly approach has been seen. The directional strategy has been based on three policies- stability, growth and retrenchment. As stated by Leiting et al. (2022), changing business models are appropriate for any multi-directional logistic approaches. Both types of business growth have been seen in the directional strategies of business. Vertical growth and horizontal growth both commenced as the result of the directional development of the business. Vertical growth of business includes current customer and client of the business and it also observe the involvement of new clients in spending on the product. It has been observed that both counties have an active customer of MacBook and the number of active customers is high in the USA as compared to Switzerland.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highlight w:val="white"/>
          <w:lang w:val="en-GB"/>
        </w:rPr>
        <w:t>On the other hand, horizontal growth includes the number of new clients and customers in the immediate area to buy the product. It will help to grow the immediate base of active customers. As per the statement of Adiguzel et al. (2020), the leadership model is valuable to improve work efficiency in any organisation. Hence, appropriate leadership has been needed to achieve directional development in a strategic way. The customer base of MacBook has been developed in Switzerland and it is a sign of new customer involvement in the competitive environment. Any development is not random and it slowly proceeds in a mannered way and any developmental trend is more seen in a technical wing of any organisation.</w:t>
      </w:r>
    </w:p>
    <w:p>
      <w:pPr>
        <w:pStyle w:val="2"/>
        <w:rPr>
          <w:i/>
        </w:rPr>
      </w:pPr>
      <w:bookmarkStart w:id="12" w:name="_Toc143176834"/>
      <w:r>
        <w:t>Similarities and differences across two countries’ range of variables</w:t>
      </w:r>
      <w:bookmarkEnd w:id="12"/>
      <w:r>
        <w:t xml:space="preserve">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cross-cultural differences between Switzerland and the USA have created a range of variables. The previously used cultural model of Hofstede has been useful to identify this range of variables. These variables have created a significant difference between marketing strategies that have been used for MacBook in the USA and Switzerland. The similarities between these two countries have been in the dimensions of power distance, indulgence and masculinity. As stated by Lawter and Garnjost (2021), a low amount of power distance among the employees refers to the less amount of power of the higher authorities. Both Switzerland and the USA have been facing a low level of power distance which suggests that ground-level employees have a strong power to express their decisions.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These countries have an almost similar level of indulgence score which has been 66 for Switzerland and 68 for the USA. This score refers to a high level of indulgence among the countries where the citizens have been working hard to enjoy hard. According to Taras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(2023), the higher amount of indulgence score refers to the country’s inclination towards not having effective control over impulses. It can be said that the economic growth of both countries has pushed these countries towards a higher amount of indulgence. They have been willing to spend their money as per their will. The last similarity between these two countries has been Masculinity where both countries have been inclined towards achieving a higher amount of success. Switzerland scores 70 whereas the USA scores 62 in this dimension which suggests that Switzerland has a higher inclination towards success (Hofstede-insights.com, 2023). However, the achievement desire difference has been very minimal between these countries and this suggests that both of the countries have similar qualities.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different variables that have been seen between these countries have been related to long-term orientation, individualism and uncertainty avoidance. As stated by Huang and Crotts (2019), pragmatic societies have a high inclination towards using modern technologies and modern education. It has been seen that Switzerland with its 74 scores has a high level of pragmatic society. They have been more prone towards technology usage and have the capability for adapting to traditions. On the other hand, the USA has a 26 score in this dimension and has the capability to form a normative society. The culture of the USA has a high level of superstition even though they have been able to implement modern technologies.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individuality dimension has also created a difference between these two countries. The USA has a high level of individual score in comparison to Switzerland. As stated by Taras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(2023), the individuality of the employees has been detrimental towards creating a mutual understanding within the team. The individuality score of the USA has been 91 which states that the employees have a high level of self-esteem. The individuals have not been relying much on the other individuals which has created difficulty for team working skills. As argued by Huang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(2019), uncertainty avoidance has been helpful for countries to deal with any type of difficult situation. The higher score of this dimension highlights that individuals have the capability to avoid uncertain situations. Switzerland has a higher amount of capability to deal with uncertain situations in comparison to the USA.</w:t>
      </w:r>
    </w:p>
    <w:p>
      <w:pPr>
        <w:pStyle w:val="2"/>
      </w:pPr>
      <w:bookmarkStart w:id="13" w:name="_Toc143176835"/>
      <w:r>
        <w:t>Organisational approaches and strategies for addressing the variables</w:t>
      </w:r>
      <w:bookmarkEnd w:id="13"/>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Power distance is low in Switzerland as compared to the USA and it indicates that inequality is low in the former country. Here, a hierarchical order has been seen in Switzerland and needs no further justification. The organisation has planned to create an open forum with equal participation in Switzerland for the project feedback. On the other hand, power distance is high in the USA which means that inequality is seen in the USA society. An open communication policy has been provided by the organisation to improve the business of Apple in the country.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In addition to this, individualism is high in the USA as compared to Switzerland and it demonstrates that the collective approach is mainly seen in Switzerland and individualism is seen in the USA. The former country has social approaches and the USA has used individual approaches in overall instances. The company has planned to use a group orientation process regarding the product and the involvement of customers for product feedback. In addition to this, higher employee engagement is needed to carry out the functional work of the company in Switzerland.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Masculinity is high in Switzerland than in the USA and it defines the former country faces high competition in the market. Product development is also high in Switzerland and diversified product is seen in the nation. Most dwellers of the nation have focused on the career development process. On the other hand, the USA follows a low masculinity aspect that defines the decent lifestyle of the people. Hence, Apple has planned to develop two different policies that will be appropriate for the two nations. Annual training for all employees will be given by Apple in Switzerland to improve employee skills. The company is planning to launch a new variation of the product to withstand the competition in the US market. </w:t>
      </w:r>
    </w:p>
    <w:p>
      <w:pPr>
        <w:pStyle w:val="3"/>
        <w:spacing w:line="360" w:lineRule="auto"/>
        <w:jc w:val="both"/>
        <w:rPr>
          <w:rFonts w:ascii="Times New Roman" w:hAnsi="Times New Roman" w:eastAsia="Times New Roman" w:cs="Times New Roman"/>
          <w:color w:val="000000" w:themeColor="text1"/>
          <w:sz w:val="24"/>
          <w:szCs w:val="24"/>
          <w:highlight w:val="white"/>
          <w:lang w:val="en-GB"/>
        </w:rPr>
      </w:pPr>
      <w:r>
        <w:rPr>
          <w:rFonts w:ascii="Times New Roman" w:hAnsi="Times New Roman" w:eastAsia="Times New Roman" w:cs="Times New Roman"/>
          <w:color w:val="000000" w:themeColor="text1"/>
          <w:sz w:val="24"/>
          <w:szCs w:val="24"/>
          <w:lang w:val="en-GB"/>
        </w:rPr>
        <w:t xml:space="preserve">The next pillar is uncertainty avoidance in the Hofstede cultural model and Switzerland scored high as compared to the USA in this aspect. High uncertainty avoidance means that the former county is not affected by the future. The lifestyle of dwellers has focused on the present status. On the other hand, the latter country has scored low in uncertainty avoidance which means the USA focused on the present time and appropriate future development is seen in the nation. Continued strong policy action has been planned by Apple to be used in Switzerland to improve the business culture. As opined by </w:t>
      </w:r>
      <w:r>
        <w:rPr>
          <w:rFonts w:ascii="Times New Roman" w:hAnsi="Times New Roman" w:eastAsia="Times New Roman" w:cs="Times New Roman"/>
          <w:color w:val="000000" w:themeColor="text1"/>
          <w:sz w:val="24"/>
          <w:szCs w:val="24"/>
          <w:highlight w:val="white"/>
          <w:lang w:val="en-GB"/>
        </w:rPr>
        <w:t xml:space="preserve">Ye et al. (2023), sustainable economic development has been needed in the operation of any organisation. On the other hand, contingency planning will be used by the organisation to improve the status of the organisation in the USA.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highlight w:val="white"/>
          <w:lang w:val="en-GB"/>
        </w:rPr>
        <w:t xml:space="preserve">In this context, </w:t>
      </w:r>
      <w:r>
        <w:rPr>
          <w:rFonts w:ascii="Times New Roman" w:hAnsi="Times New Roman" w:eastAsia="Times New Roman" w:cs="Times New Roman"/>
          <w:color w:val="000000" w:themeColor="text1"/>
          <w:sz w:val="24"/>
          <w:szCs w:val="24"/>
          <w:lang w:val="en-GB"/>
        </w:rPr>
        <w:t xml:space="preserve">Switzerland has scored high in long-term orientation than the USA. It means that the former county has focused on long-term goals for the development and growth indices. On the other hand, the USA has primarily focused on short-term goals that are based on present perspectives. As per the statement of </w:t>
      </w:r>
      <w:r>
        <w:rPr>
          <w:rFonts w:ascii="Times New Roman" w:hAnsi="Times New Roman" w:eastAsia="Times New Roman" w:cs="Times New Roman"/>
          <w:color w:val="000000" w:themeColor="text1"/>
          <w:sz w:val="24"/>
          <w:szCs w:val="24"/>
          <w:highlight w:val="white"/>
          <w:lang w:val="en-GB"/>
        </w:rPr>
        <w:t xml:space="preserve">Qamruzzaman </w:t>
      </w:r>
      <w:r>
        <w:rPr>
          <w:rFonts w:ascii="Times New Roman" w:hAnsi="Times New Roman" w:eastAsia="Times New Roman" w:cs="Times New Roman"/>
          <w:i/>
          <w:color w:val="000000" w:themeColor="text1"/>
          <w:sz w:val="24"/>
          <w:szCs w:val="24"/>
          <w:highlight w:val="white"/>
          <w:lang w:val="en-GB"/>
        </w:rPr>
        <w:t>et al</w:t>
      </w:r>
      <w:r>
        <w:rPr>
          <w:rFonts w:ascii="Times New Roman" w:hAnsi="Times New Roman" w:eastAsia="Times New Roman" w:cs="Times New Roman"/>
          <w:color w:val="000000" w:themeColor="text1"/>
          <w:sz w:val="24"/>
          <w:szCs w:val="24"/>
          <w:highlight w:val="white"/>
          <w:lang w:val="en-GB"/>
        </w:rPr>
        <w:t xml:space="preserve">. (2021), the international flow of capital has improved the plan adaptation and framing of existing plans to improve the future perspective of the organisation. The organisation has planned to improve the present strategic goals in the USA and also planned to improve employee goals in </w:t>
      </w:r>
      <w:r>
        <w:rPr>
          <w:rFonts w:ascii="Times New Roman" w:hAnsi="Times New Roman" w:eastAsia="Times New Roman" w:cs="Times New Roman"/>
          <w:color w:val="000000" w:themeColor="text1"/>
          <w:sz w:val="24"/>
          <w:szCs w:val="24"/>
          <w:lang w:val="en-GB"/>
        </w:rPr>
        <w:t>Switzerland.</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In addition to this, the last section of Hofstede cultural model is the indulgence in which a similar trend has been seen both in USA and Switzerland. As opined by </w:t>
      </w:r>
      <w:r>
        <w:rPr>
          <w:rFonts w:ascii="Times New Roman" w:hAnsi="Times New Roman" w:eastAsia="Times New Roman" w:cs="Times New Roman"/>
          <w:color w:val="000000" w:themeColor="text1"/>
          <w:sz w:val="24"/>
          <w:szCs w:val="24"/>
          <w:highlight w:val="white"/>
          <w:lang w:val="en-GB"/>
        </w:rPr>
        <w:t xml:space="preserve">Loučanová </w:t>
      </w:r>
      <w:r>
        <w:rPr>
          <w:rFonts w:ascii="Times New Roman" w:hAnsi="Times New Roman" w:eastAsia="Times New Roman" w:cs="Times New Roman"/>
          <w:i/>
          <w:color w:val="000000" w:themeColor="text1"/>
          <w:sz w:val="24"/>
          <w:szCs w:val="24"/>
          <w:highlight w:val="white"/>
          <w:lang w:val="en-GB"/>
        </w:rPr>
        <w:t xml:space="preserve">et al. </w:t>
      </w:r>
      <w:r>
        <w:rPr>
          <w:rFonts w:ascii="Times New Roman" w:hAnsi="Times New Roman" w:eastAsia="Times New Roman" w:cs="Times New Roman"/>
          <w:color w:val="000000" w:themeColor="text1"/>
          <w:sz w:val="24"/>
          <w:szCs w:val="24"/>
          <w:highlight w:val="white"/>
          <w:lang w:val="en-GB"/>
        </w:rPr>
        <w:t xml:space="preserve">(2022), an eco-innovation process is needed for the future growth and development of any venture. </w:t>
      </w:r>
      <w:r>
        <w:rPr>
          <w:rFonts w:ascii="Times New Roman" w:hAnsi="Times New Roman" w:eastAsia="Times New Roman" w:cs="Times New Roman"/>
          <w:color w:val="000000" w:themeColor="text1"/>
          <w:sz w:val="24"/>
          <w:szCs w:val="24"/>
          <w:lang w:val="en-GB"/>
        </w:rPr>
        <w:t>Both countries focus on quality of life and present aspects of life. Less dutiful approaches have been seen in both countries and Apple has planned to use a strong corporate culture strategy that will help the company's performance in future.</w:t>
      </w:r>
    </w:p>
    <w:p>
      <w:pPr>
        <w:pStyle w:val="2"/>
      </w:pPr>
      <w:bookmarkStart w:id="14" w:name="_Toc143176836"/>
      <w:r>
        <w:t>Suitability of chosen approaches</w:t>
      </w:r>
      <w:bookmarkEnd w:id="14"/>
    </w:p>
    <w:p>
      <w:pPr>
        <w:pStyle w:val="3"/>
        <w:spacing w:line="360" w:lineRule="auto"/>
        <w:jc w:val="both"/>
        <w:rPr>
          <w:rFonts w:ascii="Times New Roman" w:hAnsi="Times New Roman" w:eastAsia="Times New Roman" w:cs="Times New Roman"/>
          <w:color w:val="000000" w:themeColor="text1"/>
          <w:sz w:val="24"/>
          <w:szCs w:val="24"/>
          <w:highlight w:val="white"/>
          <w:lang w:val="en-GB"/>
        </w:rPr>
      </w:pPr>
      <w:r>
        <w:rPr>
          <w:rFonts w:ascii="Times New Roman" w:hAnsi="Times New Roman" w:eastAsia="Times New Roman" w:cs="Times New Roman"/>
          <w:color w:val="000000" w:themeColor="text1"/>
          <w:sz w:val="24"/>
          <w:szCs w:val="24"/>
          <w:lang w:val="en-GB"/>
        </w:rPr>
        <w:t xml:space="preserve">The organisation has planned to create an open forum as well as an open communication policy for the improvement of business in the two nations. In this context, an open feedback process has been initiated which helps in the future product development of the organisation. As opined by </w:t>
      </w:r>
      <w:r>
        <w:rPr>
          <w:rFonts w:ascii="Times New Roman" w:hAnsi="Times New Roman" w:eastAsia="Times New Roman" w:cs="Times New Roman"/>
          <w:color w:val="000000" w:themeColor="text1"/>
          <w:sz w:val="24"/>
          <w:szCs w:val="24"/>
          <w:highlight w:val="white"/>
          <w:lang w:val="en-GB"/>
        </w:rPr>
        <w:t xml:space="preserve">Koehne </w:t>
      </w:r>
      <w:r>
        <w:rPr>
          <w:rFonts w:ascii="Times New Roman" w:hAnsi="Times New Roman" w:eastAsia="Times New Roman" w:cs="Times New Roman"/>
          <w:i/>
          <w:color w:val="000000" w:themeColor="text1"/>
          <w:sz w:val="24"/>
          <w:szCs w:val="24"/>
          <w:highlight w:val="white"/>
          <w:lang w:val="en-GB"/>
        </w:rPr>
        <w:t>et al</w:t>
      </w:r>
      <w:r>
        <w:rPr>
          <w:rFonts w:ascii="Times New Roman" w:hAnsi="Times New Roman" w:eastAsia="Times New Roman" w:cs="Times New Roman"/>
          <w:color w:val="000000" w:themeColor="text1"/>
          <w:sz w:val="24"/>
          <w:szCs w:val="24"/>
          <w:highlight w:val="white"/>
          <w:lang w:val="en-GB"/>
        </w:rPr>
        <w:t xml:space="preserve">. (2022), entrepreneurship approaches are needed for the improvement of the potentialities of business. The company has planned to develop different approaches that are based on the need of present nations. The company has also planned to develop a group orientation process as well as higher employee engagement to improve the existing performance of the venture. It will also help to manage the workforce of the organisation and high employee retention has been seen here. In this context, annual training for all employees is needed to improve the skills of workers and product variation is needed to diversify the business in a globally competitive environment. Effective company growth has been seen through the use of above mentioned strategic policies.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preparation of strong policies by Apple for Switzerland has been essential for addressing the high uncertainty avoidance. The implementation of strong actions and policies assists the organisation to manage the issues of the society and customers of Switzerland. The market volatility has been very high in the US, and due to technical development, the competition in the market has been high. In this regard, contingency planning helps Apple in selling MacBooks in the US market by changing its marketing strategies frequently to generate competitive dominance. The focus of the organisation on the development of the employee goal has the rationale of addressing the human aspects of the business. Training for the workers has been essential for the improvement of the company's performance in the global market in the business (Ribeiro-Navarrete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2021). Concern for the well-being of the employees and providing the maximum growth opportunities for the workers have been addressed by Apple in this regard. The implementation of this strategy has helped in the development of employee loyalty. Hence, the application of the strategy such as focusing on the improvement of workers’ goals has supported the organisation in enriching the product quality of MacBook. Strong market performance in Switzerland has also been linked to the implementation of this strategy. </w:t>
      </w:r>
    </w:p>
    <w:p>
      <w:pPr>
        <w:pStyle w:val="3"/>
        <w:spacing w:line="360" w:lineRule="auto"/>
        <w:jc w:val="both"/>
        <w:rPr>
          <w:rFonts w:ascii="Times New Roman" w:hAnsi="Times New Roman" w:eastAsia="Times New Roman" w:cs="Times New Roman"/>
          <w:color w:val="000000" w:themeColor="text1"/>
          <w:sz w:val="24"/>
          <w:szCs w:val="24"/>
          <w:highlight w:val="white"/>
          <w:lang w:val="en-GB"/>
        </w:rPr>
      </w:pPr>
      <w:r>
        <w:rPr>
          <w:rFonts w:ascii="Times New Roman" w:hAnsi="Times New Roman" w:eastAsia="Times New Roman" w:cs="Times New Roman"/>
          <w:color w:val="000000" w:themeColor="text1"/>
          <w:sz w:val="24"/>
          <w:szCs w:val="24"/>
          <w:lang w:val="en-GB"/>
        </w:rPr>
        <w:t xml:space="preserve">The development of the strategic goals has been focused on by Apple in the USA. The implementation of this strategy has the rationale of addressing the complex market structure of the US. The socio-demographic aspects such as purchasing ability of the customers have been addressed with the preparation of the strategy. Strategic goals insist Apple control the price and provide discounts to the customers after determining the sales performance of MacBooks in the US market. The implementation of a strong organisational culture has been observed in both the markets of the US and Switzerland. Strategic planning has been essential for the management of the sustainability of corporate performance (Abbas, 2020). The management of the effectiveness of the workers has been linked with the implementation of the action in the global marketing of Apple. On the other hand, controlling the monopoly in the market and positive extent of customer service and the improvement of the relationship with the customers have been addressed by the effective corporate culture of Apple. The implementation of this strategy has been supported by the market research of the organisation. Apple has focused on market research with identifying the political trends of both countries and this has helped the organisation in controlling the extent of export and import of MacBooks. The implementation of the marketing strategies has positively assisted in increasing the sales of MacBook. </w:t>
      </w:r>
    </w:p>
    <w:p>
      <w:pPr>
        <w:pStyle w:val="2"/>
      </w:pPr>
      <w:bookmarkStart w:id="15" w:name="_Toc143176837"/>
      <w:r>
        <w:t>Conclusion</w:t>
      </w:r>
      <w:bookmarkEnd w:id="15"/>
      <w:r>
        <w:t xml:space="preserve">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Based on the above analysis, it has been stated that MacBook is a popular product in USA and Switzerland. The cultures, as well as macro environmental conditions, are different in these nations. In addition to this, both nations have used the 4P marketing mix in different ways. The Hofstede cultural model has been used in this study to reflect the dissimilarity of cultures in the above-mentioned nations. The appropriate company strategy based on Hofstede cultural model has been included in this section to improve the total outcome of the business and improve the authenticity of the study. </w:t>
      </w:r>
    </w:p>
    <w:p>
      <w:pPr>
        <w:pStyle w:val="2"/>
      </w:pPr>
      <w:bookmarkStart w:id="16" w:name="_Toc143176838"/>
      <w:r>
        <w:t>Recommended approaches need to be developed</w:t>
      </w:r>
      <w:bookmarkEnd w:id="16"/>
    </w:p>
    <w:p>
      <w:pPr>
        <w:pStyle w:val="3"/>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b/>
          <w:i/>
          <w:color w:val="000000" w:themeColor="text1"/>
          <w:sz w:val="24"/>
          <w:szCs w:val="24"/>
          <w:lang w:val="en-GB"/>
        </w:rPr>
        <w:t>Focusing on digital Promotion:</w:t>
      </w:r>
      <w:r>
        <w:rPr>
          <w:rFonts w:ascii="Times New Roman" w:hAnsi="Times New Roman" w:eastAsia="Times New Roman" w:cs="Times New Roman"/>
          <w:b/>
          <w:color w:val="000000" w:themeColor="text1"/>
          <w:sz w:val="24"/>
          <w:szCs w:val="24"/>
          <w:lang w:val="en-GB"/>
        </w:rPr>
        <w:t xml:space="preserve"> </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brand value of Apple and the presence of exceptional features have been responsible for the increase in the sales of MacBooks. Apple has not properly focused on the digital promotion of the product for its high popularity in the market. The company needs to increase the utilisation of digital platforms such as websites and Emails for the purpose of marketing. The expansion of the scope of marketing in the business has been addressed by the consideration of digital platforms (Krishen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2021). Scopes such as inclusion of the skilful workers in the supply chain and optimisation of the promotional expense in the business can be addressed by the promotion of MacBook with the assistance of digital marketing. On the other hand, the application of social media marketing can also be beneficial for the organisation in developing the market expansion of the MacBook. </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Controlling the high price of MacBook:</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cost of MacBook has been higher than its competitors such as the laptops of Dell, Lenovo and Microsoft. Lowering the price and providing effective discounts to the customers have been the practical approaches for increasing the sales of MacBooks in the market. The profitability of the business has been dependent on the competitive advantage and competitive position in the market (Azeem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2021). The lowered price of the Macbook would increase sales; consequently, this would increase the profitability of the organisation. Most importantly, lowering the price would assist Apple to access middle-class customers in both Switzerland and USA. This would help to enhance the marketing position of the company in the international market. </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Ethical leadership and management:</w:t>
      </w:r>
    </w:p>
    <w:p>
      <w:pPr>
        <w:pStyle w:val="3"/>
        <w:spacing w:line="360" w:lineRule="auto"/>
        <w:jc w:val="both"/>
        <w:rPr>
          <w:rFonts w:ascii="Times New Roman" w:hAnsi="Times New Roman" w:eastAsia="Times New Roman" w:cs="Times New Roman"/>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The development of the extent of leadership and management can be relevant for Apple. The leaders need to provide skill development programs for the workers, additionally; the appropriate management of the diverse culture in the workspace would result in the positive approach of the workers in enhancing the sales performance of MacBook in the market. The characteristics of the leadership have been responsible for the digital transformation of the business (Porfírio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2021). The management of the marketing ethics such as the avoidance of monopoly in the markets, price control of MacBook and management of the supply chain workers would assist the organisational in performing the sustainable business. The effectiveness of ethical activities in the business would result in the inclination of the brand value of the organisation in the global market. </w:t>
      </w:r>
    </w:p>
    <w:p>
      <w:pPr>
        <w:pStyle w:val="3"/>
        <w:spacing w:line="360" w:lineRule="auto"/>
        <w:jc w:val="both"/>
        <w:rPr>
          <w:rFonts w:ascii="Times New Roman" w:hAnsi="Times New Roman" w:eastAsia="Times New Roman" w:cs="Times New Roman"/>
          <w:b/>
          <w:i/>
          <w:color w:val="000000" w:themeColor="text1"/>
          <w:sz w:val="24"/>
          <w:szCs w:val="24"/>
          <w:lang w:val="en-GB"/>
        </w:rPr>
      </w:pPr>
      <w:r>
        <w:rPr>
          <w:rFonts w:ascii="Times New Roman" w:hAnsi="Times New Roman" w:eastAsia="Times New Roman" w:cs="Times New Roman"/>
          <w:b/>
          <w:i/>
          <w:color w:val="000000" w:themeColor="text1"/>
          <w:sz w:val="24"/>
          <w:szCs w:val="24"/>
          <w:lang w:val="en-GB"/>
        </w:rPr>
        <w:t>Focusing on customer feedback:</w:t>
      </w:r>
    </w:p>
    <w:p>
      <w:pPr>
        <w:pStyle w:val="3"/>
        <w:spacing w:line="360" w:lineRule="auto"/>
        <w:jc w:val="both"/>
        <w:rPr>
          <w:rFonts w:ascii="Times New Roman" w:hAnsi="Times New Roman" w:eastAsia="Times New Roman" w:cs="Times New Roman"/>
          <w:b/>
          <w:color w:val="000000" w:themeColor="text1"/>
          <w:sz w:val="24"/>
          <w:szCs w:val="24"/>
          <w:lang w:val="en-GB"/>
        </w:rPr>
      </w:pPr>
      <w:r>
        <w:rPr>
          <w:rFonts w:ascii="Times New Roman" w:hAnsi="Times New Roman" w:eastAsia="Times New Roman" w:cs="Times New Roman"/>
          <w:color w:val="000000" w:themeColor="text1"/>
          <w:sz w:val="24"/>
          <w:szCs w:val="24"/>
          <w:lang w:val="en-GB"/>
        </w:rPr>
        <w:t xml:space="preserve">Communication with the customers has been useful for identifying their demands. Most importantly, transparency in the business and the maintenance of ethics in business activities have been addressed by prioritising customer concerns. Apple needs to provide friendly and 24*7 service to its customers for resolving issues related to the activities of MacBook. The collection of reviews from the customers and the focus on the user experience has been essential for the product designing process (Yang </w:t>
      </w:r>
      <w:r>
        <w:rPr>
          <w:rFonts w:ascii="Times New Roman" w:hAnsi="Times New Roman" w:eastAsia="Times New Roman" w:cs="Times New Roman"/>
          <w:i/>
          <w:color w:val="000000" w:themeColor="text1"/>
          <w:sz w:val="24"/>
          <w:szCs w:val="24"/>
          <w:lang w:val="en-GB"/>
        </w:rPr>
        <w:t xml:space="preserve">et al. </w:t>
      </w:r>
      <w:r>
        <w:rPr>
          <w:rFonts w:ascii="Times New Roman" w:hAnsi="Times New Roman" w:eastAsia="Times New Roman" w:cs="Times New Roman"/>
          <w:color w:val="000000" w:themeColor="text1"/>
          <w:sz w:val="24"/>
          <w:szCs w:val="24"/>
          <w:lang w:val="en-GB"/>
        </w:rPr>
        <w:t xml:space="preserve">2019). The enrichment of the product design of the MacBook and the inclusion of attractive features can be addressed by considering the demands of the consumers. This would result in generating high satisfaction among the customers and assist Apple in executing successful marketing on the global platform. </w:t>
      </w:r>
      <w:r>
        <w:rPr>
          <w:rFonts w:ascii="Times New Roman" w:hAnsi="Times New Roman" w:eastAsia="Times New Roman" w:cs="Times New Roman"/>
          <w:color w:val="000000" w:themeColor="text1"/>
          <w:sz w:val="24"/>
          <w:szCs w:val="24"/>
          <w:lang w:val="en-GB"/>
        </w:rPr>
        <w:br w:type="page"/>
      </w:r>
    </w:p>
    <w:p>
      <w:pPr>
        <w:pStyle w:val="2"/>
      </w:pPr>
      <w:bookmarkStart w:id="17" w:name="_Toc143176839"/>
      <w:r>
        <w:t>Reference list</w:t>
      </w:r>
      <w:bookmarkEnd w:id="17"/>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Abbas, J., 2020. Impact of total quality management on corporate green performance through the mediating role of corporate social responsibility. </w:t>
      </w:r>
      <w:r>
        <w:rPr>
          <w:rFonts w:ascii="Times New Roman" w:hAnsi="Times New Roman" w:cs="Times New Roman"/>
          <w:i/>
          <w:iCs/>
          <w:color w:val="000000" w:themeColor="text1"/>
          <w:sz w:val="24"/>
          <w:szCs w:val="24"/>
          <w:shd w:val="clear" w:color="auto" w:fill="FFFFFF"/>
          <w:lang w:val="en-GB"/>
        </w:rPr>
        <w:t>Journal of Cleaner Production</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242</w:t>
      </w:r>
      <w:r>
        <w:rPr>
          <w:rFonts w:ascii="Times New Roman" w:hAnsi="Times New Roman" w:cs="Times New Roman"/>
          <w:color w:val="000000" w:themeColor="text1"/>
          <w:sz w:val="24"/>
          <w:szCs w:val="24"/>
          <w:shd w:val="clear" w:color="auto" w:fill="FFFFFF"/>
          <w:lang w:val="en-GB"/>
        </w:rPr>
        <w:t xml:space="preserve">, p.118458. </w:t>
      </w:r>
      <w:r>
        <w:fldChar w:fldCharType="begin"/>
      </w:r>
      <w:r>
        <w:instrText xml:space="preserve"> HYPERLINK "https://doi.org/10.1016/j.jclepro.2019.118458"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https://doi.org/10.1016/j.jclepro.2019.118458</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Adams, P., Freitas, I.M.B. and Fontana, R., 2019. Strategic orientation, innovation performance and the moderating influence of marketing management. </w:t>
      </w:r>
      <w:r>
        <w:rPr>
          <w:rFonts w:ascii="Times New Roman" w:hAnsi="Times New Roman" w:cs="Times New Roman"/>
          <w:i/>
          <w:iCs/>
          <w:color w:val="000000" w:themeColor="text1"/>
          <w:sz w:val="24"/>
          <w:szCs w:val="24"/>
          <w:shd w:val="clear" w:color="auto" w:fill="FFFFFF"/>
          <w:lang w:val="en-GB"/>
        </w:rPr>
        <w:t>Journal of Business Research</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97</w:t>
      </w:r>
      <w:r>
        <w:rPr>
          <w:rFonts w:ascii="Times New Roman" w:hAnsi="Times New Roman" w:cs="Times New Roman"/>
          <w:color w:val="000000" w:themeColor="text1"/>
          <w:sz w:val="24"/>
          <w:szCs w:val="24"/>
          <w:shd w:val="clear" w:color="auto" w:fill="FFFFFF"/>
          <w:lang w:val="en-GB"/>
        </w:rPr>
        <w:t>, pp.129-140. https://doi.org/10.1016/j.jbusres.2018.12.071 </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Adiguzel, Z., Ozcinar, M.F. and Karadal, H., 2020. Does servant leadership moderate the link between strategic human resource management on rule breaking and job satisfaction?. </w:t>
      </w:r>
      <w:r>
        <w:rPr>
          <w:rFonts w:ascii="Times New Roman" w:hAnsi="Times New Roman" w:cs="Times New Roman"/>
          <w:i/>
          <w:iCs/>
          <w:color w:val="000000" w:themeColor="text1"/>
          <w:sz w:val="24"/>
          <w:szCs w:val="24"/>
          <w:shd w:val="clear" w:color="auto" w:fill="FFFFFF"/>
          <w:lang w:val="en-GB"/>
        </w:rPr>
        <w:t>European Research on Management and Business Economics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26</w:t>
      </w:r>
      <w:r>
        <w:rPr>
          <w:rFonts w:ascii="Times New Roman" w:hAnsi="Times New Roman" w:cs="Times New Roman"/>
          <w:color w:val="000000" w:themeColor="text1"/>
          <w:sz w:val="24"/>
          <w:szCs w:val="24"/>
          <w:shd w:val="clear" w:color="auto" w:fill="FFFFFF"/>
          <w:lang w:val="en-GB"/>
        </w:rPr>
        <w:t>(2), pp.103-110.</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"https://doi.org/10.1016/j.iedeen.2020.04.002"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https://doi.org/10.1016/j.iedeen.2020.04.002</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Admin.ch, 2023. </w:t>
      </w:r>
      <w:r>
        <w:rPr>
          <w:rFonts w:ascii="Times New Roman" w:hAnsi="Times New Roman" w:cs="Times New Roman"/>
          <w:i/>
          <w:iCs/>
          <w:color w:val="000000" w:themeColor="text1"/>
          <w:sz w:val="24"/>
          <w:szCs w:val="24"/>
          <w:shd w:val="clear" w:color="auto" w:fill="FFFFFF"/>
          <w:lang w:val="en-GB"/>
        </w:rPr>
        <w:t>Swiss Intellectual Property Law</w:t>
      </w:r>
      <w:r>
        <w:rPr>
          <w:rFonts w:ascii="Times New Roman" w:hAnsi="Times New Roman" w:cs="Times New Roman"/>
          <w:color w:val="000000" w:themeColor="text1"/>
          <w:sz w:val="24"/>
          <w:szCs w:val="24"/>
          <w:shd w:val="clear" w:color="auto" w:fill="FFFFFF"/>
          <w:lang w:val="en-GB"/>
        </w:rPr>
        <w:t>. Available at: https://www.admin.ch/gov/en/start.html [Accessed on: 19.07.2023]</w:t>
      </w:r>
    </w:p>
    <w:p>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Apple.com, 2023. </w:t>
      </w:r>
      <w:r>
        <w:rPr>
          <w:rFonts w:ascii="Times New Roman" w:hAnsi="Times New Roman" w:cs="Times New Roman"/>
          <w:i/>
          <w:color w:val="000000" w:themeColor="text1"/>
          <w:sz w:val="24"/>
          <w:szCs w:val="24"/>
          <w:lang w:val="en-GB"/>
        </w:rPr>
        <w:t>Choose your new MacBook Pro</w:t>
      </w:r>
      <w:r>
        <w:rPr>
          <w:rFonts w:ascii="Times New Roman" w:hAnsi="Times New Roman" w:cs="Times New Roman"/>
          <w:color w:val="000000" w:themeColor="text1"/>
          <w:sz w:val="24"/>
          <w:szCs w:val="24"/>
          <w:lang w:val="en-GB"/>
        </w:rPr>
        <w:t xml:space="preserve">. Available at: </w:t>
      </w:r>
      <w:r>
        <w:fldChar w:fldCharType="begin"/>
      </w:r>
      <w:r>
        <w:instrText xml:space="preserve"> HYPERLINK "https://www.apple.com/shop/buy-mac/macbook-pro" </w:instrText>
      </w:r>
      <w:r>
        <w:fldChar w:fldCharType="separate"/>
      </w:r>
      <w:r>
        <w:rPr>
          <w:rStyle w:val="16"/>
          <w:rFonts w:ascii="Times New Roman" w:hAnsi="Times New Roman" w:cs="Times New Roman"/>
          <w:color w:val="000000" w:themeColor="text1"/>
          <w:sz w:val="24"/>
          <w:szCs w:val="24"/>
          <w:u w:val="none"/>
          <w:lang w:val="en-GB"/>
        </w:rPr>
        <w:t>https://www.apple.com/shop/buy-mac/macbook-pro</w:t>
      </w:r>
      <w:r>
        <w:rPr>
          <w:rStyle w:val="16"/>
          <w:rFonts w:ascii="Times New Roman" w:hAnsi="Times New Roman" w:cs="Times New Roman"/>
          <w:color w:val="000000" w:themeColor="text1"/>
          <w:sz w:val="24"/>
          <w:szCs w:val="24"/>
          <w:u w:val="none"/>
          <w:lang w:val="en-GB"/>
        </w:rPr>
        <w:fldChar w:fldCharType="end"/>
      </w:r>
      <w:r>
        <w:rPr>
          <w:rFonts w:ascii="Times New Roman" w:hAnsi="Times New Roman" w:cs="Times New Roman"/>
          <w:color w:val="000000" w:themeColor="text1"/>
          <w:sz w:val="24"/>
          <w:szCs w:val="24"/>
          <w:lang w:val="en-GB"/>
        </w:rPr>
        <w:t xml:space="preserve"> [Accessed on 18.07.2023]</w:t>
      </w:r>
    </w:p>
    <w:p>
      <w:pPr>
        <w:spacing w:line="360" w:lineRule="auto"/>
        <w:jc w:val="both"/>
        <w:rPr>
          <w:rStyle w:val="16"/>
          <w:rFonts w:ascii="Times New Roman" w:hAnsi="Times New Roman" w:cs="Times New Roman"/>
          <w:color w:val="000000" w:themeColor="text1"/>
          <w:sz w:val="24"/>
          <w:szCs w:val="24"/>
          <w:u w:val="none"/>
          <w:shd w:val="clear" w:color="auto" w:fill="FFFFFF"/>
          <w:lang w:val="en-GB"/>
        </w:rPr>
      </w:pPr>
      <w:r>
        <w:rPr>
          <w:rFonts w:ascii="Times New Roman" w:hAnsi="Times New Roman" w:cs="Times New Roman"/>
          <w:color w:val="000000" w:themeColor="text1"/>
          <w:sz w:val="24"/>
          <w:szCs w:val="24"/>
          <w:shd w:val="clear" w:color="auto" w:fill="FFFFFF"/>
          <w:lang w:val="en-GB"/>
        </w:rPr>
        <w:t>Azeem, M., Ahmed, M., Haider, S. and Sajjad, M., 2021. Expanding competitive advantage through organizational culture, knowledge sharing and organizational innovation. </w:t>
      </w:r>
      <w:r>
        <w:rPr>
          <w:rFonts w:ascii="Times New Roman" w:hAnsi="Times New Roman" w:cs="Times New Roman"/>
          <w:i/>
          <w:iCs/>
          <w:color w:val="000000" w:themeColor="text1"/>
          <w:sz w:val="24"/>
          <w:szCs w:val="24"/>
          <w:shd w:val="clear" w:color="auto" w:fill="FFFFFF"/>
          <w:lang w:val="en-GB"/>
        </w:rPr>
        <w:t>Technology in Society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66</w:t>
      </w:r>
      <w:r>
        <w:rPr>
          <w:rFonts w:ascii="Times New Roman" w:hAnsi="Times New Roman" w:cs="Times New Roman"/>
          <w:color w:val="000000" w:themeColor="text1"/>
          <w:sz w:val="24"/>
          <w:szCs w:val="24"/>
          <w:shd w:val="clear" w:color="auto" w:fill="FFFFFF"/>
          <w:lang w:val="en-GB"/>
        </w:rPr>
        <w:t xml:space="preserve">, p.101635. </w:t>
      </w:r>
      <w:r>
        <w:fldChar w:fldCharType="begin"/>
      </w:r>
      <w:r>
        <w:instrText xml:space="preserve"> HYPERLINK "https://doi.org/10.1016/j.techsoc.2021.101635"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https://doi.org/10.1016/j.techsoc.2021.101635</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Style w:val="16"/>
          <w:rFonts w:ascii="Times New Roman" w:hAnsi="Times New Roman" w:cs="Times New Roman"/>
          <w:color w:val="000000" w:themeColor="text1"/>
          <w:sz w:val="24"/>
          <w:szCs w:val="24"/>
          <w:u w:val="none"/>
          <w:shd w:val="clear" w:color="auto" w:fill="FFFFFF"/>
          <w:lang w:val="en-GB"/>
        </w:rPr>
        <w:t xml:space="preserve">Caves, R. (1996), Multinational enterprise and economic analysis, </w:t>
      </w:r>
      <w:r>
        <w:rPr>
          <w:rStyle w:val="16"/>
          <w:rFonts w:ascii="Times New Roman" w:hAnsi="Times New Roman" w:cs="Times New Roman"/>
          <w:i/>
          <w:iCs/>
          <w:color w:val="000000" w:themeColor="text1"/>
          <w:sz w:val="24"/>
          <w:szCs w:val="24"/>
          <w:u w:val="none"/>
          <w:shd w:val="clear" w:color="auto" w:fill="FFFFFF"/>
          <w:lang w:val="en-GB"/>
        </w:rPr>
        <w:t>Cambridge University</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Chou, S.F., Horng, J.S., Liu, C.H.S. and Lin, J.Y., 2020. Identifying the critical factors of customer behavior: An integration perspective of marketing strategy and components of attitudes. </w:t>
      </w:r>
      <w:r>
        <w:rPr>
          <w:rFonts w:ascii="Times New Roman" w:hAnsi="Times New Roman" w:cs="Times New Roman"/>
          <w:i/>
          <w:iCs/>
          <w:color w:val="000000" w:themeColor="text1"/>
          <w:sz w:val="24"/>
          <w:szCs w:val="24"/>
          <w:shd w:val="clear" w:color="auto" w:fill="FFFFFF"/>
          <w:lang w:val="en-GB"/>
        </w:rPr>
        <w:t>Journal of retailing and consumer services</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55</w:t>
      </w:r>
      <w:r>
        <w:rPr>
          <w:rFonts w:ascii="Times New Roman" w:hAnsi="Times New Roman" w:cs="Times New Roman"/>
          <w:color w:val="000000" w:themeColor="text1"/>
          <w:sz w:val="24"/>
          <w:szCs w:val="24"/>
          <w:shd w:val="clear" w:color="auto" w:fill="FFFFFF"/>
          <w:lang w:val="en-GB"/>
        </w:rPr>
        <w:t>, p.102113. https://doi.org/10.1016/j.jretconser.2020.102113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Congress.gov, 2023. </w:t>
      </w:r>
      <w:r>
        <w:rPr>
          <w:rFonts w:ascii="Times New Roman" w:hAnsi="Times New Roman" w:cs="Times New Roman"/>
          <w:i/>
          <w:iCs/>
          <w:color w:val="000000" w:themeColor="text1"/>
          <w:sz w:val="24"/>
          <w:szCs w:val="24"/>
          <w:shd w:val="clear" w:color="auto" w:fill="FFFFFF"/>
          <w:lang w:val="en-GB"/>
        </w:rPr>
        <w:t>Information technology act 21</w:t>
      </w:r>
      <w:r>
        <w:rPr>
          <w:rFonts w:ascii="Times New Roman" w:hAnsi="Times New Roman" w:cs="Times New Roman"/>
          <w:color w:val="000000" w:themeColor="text1"/>
          <w:sz w:val="24"/>
          <w:szCs w:val="24"/>
          <w:shd w:val="clear" w:color="auto" w:fill="FFFFFF"/>
          <w:lang w:val="en-GB"/>
        </w:rPr>
        <w:t>. Available at: https://www.congress.gov/state-legislature-websites#:~:text=Congress.gov%20provides%20legislative%20information,the%20U.S.%20states%20and%20territories. [Accessed on: 19.07.2023]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Contractor, F. &amp; Lorange, P. (1988). Why should firm co-opetrate? Academy of Management executive. 2(4). 275-290.</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Debbarma, J., Choi, Y., Yang, F. and Lee, H., 2022. Exports as a new paradigm to connect business and information technology for sustainable development. </w:t>
      </w:r>
      <w:r>
        <w:rPr>
          <w:rFonts w:ascii="Times New Roman" w:hAnsi="Times New Roman" w:cs="Times New Roman"/>
          <w:i/>
          <w:iCs/>
          <w:color w:val="000000" w:themeColor="text1"/>
          <w:sz w:val="24"/>
          <w:szCs w:val="24"/>
          <w:shd w:val="clear" w:color="auto" w:fill="FFFFFF"/>
          <w:lang w:val="en-GB"/>
        </w:rPr>
        <w:t>Journal of Innovation &amp; Knowledge</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7</w:t>
      </w:r>
      <w:r>
        <w:rPr>
          <w:rFonts w:ascii="Times New Roman" w:hAnsi="Times New Roman" w:cs="Times New Roman"/>
          <w:color w:val="000000" w:themeColor="text1"/>
          <w:sz w:val="24"/>
          <w:szCs w:val="24"/>
          <w:shd w:val="clear" w:color="auto" w:fill="FFFFFF"/>
          <w:lang w:val="en-GB"/>
        </w:rPr>
        <w:t>(4), p.100233.</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"https://doi.org/10.1016/j.jik.2022.100233"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https://doi.org/10.1016/j.jik.2022.100233</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Debnath, R., Bardhan, R., Reiner, D.M. and Miller, J.R., 2021. Political, economic, social, technological, legal and environmental dimensions of electric vehicle adoption in the United States: A social-media interaction analysis. </w:t>
      </w:r>
      <w:r>
        <w:rPr>
          <w:rFonts w:ascii="Times New Roman" w:hAnsi="Times New Roman" w:cs="Times New Roman"/>
          <w:i/>
          <w:iCs/>
          <w:color w:val="000000" w:themeColor="text1"/>
          <w:sz w:val="24"/>
          <w:szCs w:val="24"/>
          <w:shd w:val="clear" w:color="auto" w:fill="FFFFFF"/>
          <w:lang w:val="en-GB"/>
        </w:rPr>
        <w:t>Renewable and Sustainable Energy Reviews</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152</w:t>
      </w:r>
      <w:r>
        <w:rPr>
          <w:rFonts w:ascii="Times New Roman" w:hAnsi="Times New Roman" w:cs="Times New Roman"/>
          <w:color w:val="000000" w:themeColor="text1"/>
          <w:sz w:val="24"/>
          <w:szCs w:val="24"/>
          <w:shd w:val="clear" w:color="auto" w:fill="FFFFFF"/>
          <w:lang w:val="en-GB"/>
        </w:rPr>
        <w:t xml:space="preserve">, p.111707. </w:t>
      </w:r>
      <w:r>
        <w:fldChar w:fldCharType="begin"/>
      </w:r>
      <w:r>
        <w:instrText xml:space="preserve"> HYPERLINK "https://doi.org/10.1016/j.rser.2021.111707" </w:instrText>
      </w:r>
      <w:r>
        <w:fldChar w:fldCharType="separate"/>
      </w:r>
      <w:r>
        <w:rPr>
          <w:rStyle w:val="16"/>
          <w:rFonts w:ascii="Times New Roman" w:hAnsi="Times New Roman" w:cs="Times New Roman"/>
          <w:sz w:val="24"/>
          <w:szCs w:val="24"/>
          <w:shd w:val="clear" w:color="auto" w:fill="FFFFFF"/>
          <w:lang w:val="en-GB"/>
        </w:rPr>
        <w:t>https://doi.org/10.1016/j.rser.2021.111707</w:t>
      </w:r>
      <w:r>
        <w:rPr>
          <w:rStyle w:val="16"/>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Dunning, J. (1988). The Eclectic paradigm of international production. Journal of international business studies.19(1). 1-31</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Efthymiou, M. and Christidis, P., 2023. Low-Cost Carriers route network development. </w:t>
      </w:r>
      <w:r>
        <w:rPr>
          <w:rFonts w:ascii="Times New Roman" w:hAnsi="Times New Roman" w:cs="Times New Roman"/>
          <w:i/>
          <w:iCs/>
          <w:color w:val="000000" w:themeColor="text1"/>
          <w:sz w:val="24"/>
          <w:szCs w:val="24"/>
          <w:shd w:val="clear" w:color="auto" w:fill="FFFFFF"/>
          <w:lang w:val="en-GB"/>
        </w:rPr>
        <w:t>Annals of Tourism Research</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101</w:t>
      </w:r>
      <w:r>
        <w:rPr>
          <w:rFonts w:ascii="Times New Roman" w:hAnsi="Times New Roman" w:cs="Times New Roman"/>
          <w:color w:val="000000" w:themeColor="text1"/>
          <w:sz w:val="24"/>
          <w:szCs w:val="24"/>
          <w:shd w:val="clear" w:color="auto" w:fill="FFFFFF"/>
          <w:lang w:val="en-GB"/>
        </w:rPr>
        <w:t>, p.103608.</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"https://doi.org/10.1016/j.annals.2023.103608"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https://doi.org/10.1016/j.annals.2023.103608</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Hofstede-insights.com, 2023. Cultural difference between the USA and Switzerland. Available at: https://www.hofstede-insights.com/country-comparison-tool?countries=switzerland%2Cunited+states [Accessed on: 19.07.2023]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Huang, F., Teo, T., Sánchez-Prieto, J.C., García-Peñalvo, F.J. and Olmos-Migueláñez, S., 2019. Cultural values and technology adoption: A model comparison with university teachers from China and Spain. </w:t>
      </w:r>
      <w:r>
        <w:rPr>
          <w:rFonts w:ascii="Times New Roman" w:hAnsi="Times New Roman" w:cs="Times New Roman"/>
          <w:i/>
          <w:iCs/>
          <w:color w:val="000000" w:themeColor="text1"/>
          <w:sz w:val="24"/>
          <w:szCs w:val="24"/>
          <w:shd w:val="clear" w:color="auto" w:fill="FFFFFF"/>
          <w:lang w:val="en-GB"/>
        </w:rPr>
        <w:t>Computers &amp; Education</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133</w:t>
      </w:r>
      <w:r>
        <w:rPr>
          <w:rFonts w:ascii="Times New Roman" w:hAnsi="Times New Roman" w:cs="Times New Roman"/>
          <w:color w:val="000000" w:themeColor="text1"/>
          <w:sz w:val="24"/>
          <w:szCs w:val="24"/>
          <w:shd w:val="clear" w:color="auto" w:fill="FFFFFF"/>
          <w:lang w:val="en-GB"/>
        </w:rPr>
        <w:t>, pp.69-81. https://doi.org/10.1016/j.compedu.2019.01.012</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Huang, S.S. and Crotts, J., 2019. Relationships between Hofstede's cultural dimensions and tourist satisfaction: A cross-country cross-sample examination. </w:t>
      </w:r>
      <w:r>
        <w:rPr>
          <w:rFonts w:ascii="Times New Roman" w:hAnsi="Times New Roman" w:cs="Times New Roman"/>
          <w:i/>
          <w:iCs/>
          <w:color w:val="000000" w:themeColor="text1"/>
          <w:sz w:val="24"/>
          <w:szCs w:val="24"/>
          <w:shd w:val="clear" w:color="auto" w:fill="FFFFFF"/>
          <w:lang w:val="en-GB"/>
        </w:rPr>
        <w:t>Tourism management</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72</w:t>
      </w:r>
      <w:r>
        <w:rPr>
          <w:rFonts w:ascii="Times New Roman" w:hAnsi="Times New Roman" w:cs="Times New Roman"/>
          <w:color w:val="000000" w:themeColor="text1"/>
          <w:sz w:val="24"/>
          <w:szCs w:val="24"/>
          <w:shd w:val="clear" w:color="auto" w:fill="FFFFFF"/>
          <w:lang w:val="en-GB"/>
        </w:rPr>
        <w:t>, pp.232-241. https://doi.org/10.1016/j.tourman.2018.12.001</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Koehne, F., Woodward, R. and Honig, B., 2022. The potentials and perils of prosocial power: Transnational social entrepreneurship dynamics in vulnerable places. </w:t>
      </w:r>
      <w:r>
        <w:rPr>
          <w:rFonts w:ascii="Times New Roman" w:hAnsi="Times New Roman" w:cs="Times New Roman"/>
          <w:i/>
          <w:iCs/>
          <w:color w:val="000000" w:themeColor="text1"/>
          <w:sz w:val="24"/>
          <w:szCs w:val="24"/>
          <w:shd w:val="clear" w:color="auto" w:fill="FFFFFF"/>
          <w:lang w:val="en-GB"/>
        </w:rPr>
        <w:t>Journal of Business Venturing</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37</w:t>
      </w:r>
      <w:r>
        <w:rPr>
          <w:rFonts w:ascii="Times New Roman" w:hAnsi="Times New Roman" w:cs="Times New Roman"/>
          <w:color w:val="000000" w:themeColor="text1"/>
          <w:sz w:val="24"/>
          <w:szCs w:val="24"/>
          <w:shd w:val="clear" w:color="auto" w:fill="FFFFFF"/>
          <w:lang w:val="en-GB"/>
        </w:rPr>
        <w:t>(4), p.106206.</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"https://doi.org/10.1016/j.jbusvent.2022.106206"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https://doi.org/10.1016/j.jbusvent.2022.106206</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Krishen, A.S., Dwivedi, Y.K., Bindu, N. and Kumar, K.S., 2021. A broad overview of interactive digital marketing: A bibliometric network analysis. </w:t>
      </w:r>
      <w:r>
        <w:rPr>
          <w:rFonts w:ascii="Times New Roman" w:hAnsi="Times New Roman" w:cs="Times New Roman"/>
          <w:i/>
          <w:iCs/>
          <w:color w:val="000000" w:themeColor="text1"/>
          <w:sz w:val="24"/>
          <w:szCs w:val="24"/>
          <w:shd w:val="clear" w:color="auto" w:fill="FFFFFF"/>
          <w:lang w:val="en-GB"/>
        </w:rPr>
        <w:t>Journal of Business Research</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131</w:t>
      </w:r>
      <w:r>
        <w:rPr>
          <w:rFonts w:ascii="Times New Roman" w:hAnsi="Times New Roman" w:cs="Times New Roman"/>
          <w:color w:val="000000" w:themeColor="text1"/>
          <w:sz w:val="24"/>
          <w:szCs w:val="24"/>
          <w:shd w:val="clear" w:color="auto" w:fill="FFFFFF"/>
          <w:lang w:val="en-GB"/>
        </w:rPr>
        <w:t xml:space="preserve">, pp.183-195. </w:t>
      </w:r>
      <w:r>
        <w:fldChar w:fldCharType="begin"/>
      </w:r>
      <w:r>
        <w:instrText xml:space="preserve"> HYPERLINK "https://doi.org/10.1016/j.jbusres.2021.03.061"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https://doi.org/10.1016/j.jbusres.2021.03.061</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Lawter, L. and Garnjost, P., 2021. Cross-Cultural comparison of digital natives in flipped classrooms. </w:t>
      </w:r>
      <w:r>
        <w:rPr>
          <w:rFonts w:ascii="Times New Roman" w:hAnsi="Times New Roman" w:cs="Times New Roman"/>
          <w:i/>
          <w:iCs/>
          <w:color w:val="000000" w:themeColor="text1"/>
          <w:sz w:val="24"/>
          <w:szCs w:val="24"/>
          <w:shd w:val="clear" w:color="auto" w:fill="FFFFFF"/>
          <w:lang w:val="en-GB"/>
        </w:rPr>
        <w:t>The International Journal of Management Education</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19</w:t>
      </w:r>
      <w:r>
        <w:rPr>
          <w:rFonts w:ascii="Times New Roman" w:hAnsi="Times New Roman" w:cs="Times New Roman"/>
          <w:color w:val="000000" w:themeColor="text1"/>
          <w:sz w:val="24"/>
          <w:szCs w:val="24"/>
          <w:shd w:val="clear" w:color="auto" w:fill="FFFFFF"/>
          <w:lang w:val="en-GB"/>
        </w:rPr>
        <w:t>(3), p.100559. https://doi.org/10.1016/j.ijme.2021.100559</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Leiting, A.K., De Cuyper, L. and Kauffmann, C., 2022. The Internet of Things and the case of Bosch: Changing business models while staying true to yourself. </w:t>
      </w:r>
      <w:r>
        <w:rPr>
          <w:rFonts w:ascii="Times New Roman" w:hAnsi="Times New Roman" w:cs="Times New Roman"/>
          <w:i/>
          <w:iCs/>
          <w:color w:val="000000" w:themeColor="text1"/>
          <w:sz w:val="24"/>
          <w:szCs w:val="24"/>
          <w:shd w:val="clear" w:color="auto" w:fill="FFFFFF"/>
          <w:lang w:val="en-GB"/>
        </w:rPr>
        <w:t>Technovation</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118</w:t>
      </w:r>
      <w:r>
        <w:rPr>
          <w:rFonts w:ascii="Times New Roman" w:hAnsi="Times New Roman" w:cs="Times New Roman"/>
          <w:color w:val="000000" w:themeColor="text1"/>
          <w:sz w:val="24"/>
          <w:szCs w:val="24"/>
          <w:shd w:val="clear" w:color="auto" w:fill="FFFFFF"/>
          <w:lang w:val="en-GB"/>
        </w:rPr>
        <w:t>, p.102497.</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"https://doi.org/10.1016/j.technovation.2022.102497"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https://doi.org/10.1016/j.technovation.2022.102497</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Loučanová, E., Olšiaková, M. and Štofková, J., 2022. Open business model of eco-innovation for sustainability development: Implications for the open-innovation dynamics of Slovakia. </w:t>
      </w:r>
      <w:r>
        <w:rPr>
          <w:rFonts w:ascii="Times New Roman" w:hAnsi="Times New Roman" w:cs="Times New Roman"/>
          <w:i/>
          <w:iCs/>
          <w:color w:val="000000" w:themeColor="text1"/>
          <w:sz w:val="24"/>
          <w:szCs w:val="24"/>
          <w:shd w:val="clear" w:color="auto" w:fill="FFFFFF"/>
          <w:lang w:val="en-GB"/>
        </w:rPr>
        <w:t>Journal of Open Innovation: Technology, Market, and Complexity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8</w:t>
      </w:r>
      <w:r>
        <w:rPr>
          <w:rFonts w:ascii="Times New Roman" w:hAnsi="Times New Roman" w:cs="Times New Roman"/>
          <w:color w:val="000000" w:themeColor="text1"/>
          <w:sz w:val="24"/>
          <w:szCs w:val="24"/>
          <w:shd w:val="clear" w:color="auto" w:fill="FFFFFF"/>
          <w:lang w:val="en-GB"/>
        </w:rPr>
        <w:t>(2), p.98.</w:t>
      </w:r>
      <w:r>
        <w:rPr>
          <w:rFonts w:ascii="Times New Roman" w:hAnsi="Times New Roman" w:cs="Times New Roman"/>
          <w:color w:val="000000" w:themeColor="text1"/>
          <w:sz w:val="24"/>
          <w:szCs w:val="24"/>
          <w:lang w:val="en-GB"/>
        </w:rPr>
        <w:t xml:space="preserve"> </w:t>
      </w:r>
      <w:r>
        <w:fldChar w:fldCharType="begin"/>
      </w:r>
      <w:r>
        <w:instrText xml:space="preserve"> HYPERLINK "https://doi.org/10.3390/joitmc8020098"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https://doi.org/10.3390/joitmc8020098</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Mintz, O., Gilbride, T.J., Lenk, P. and Currim, I.S., 2021. The right metrics for marketing-mix decisions. </w:t>
      </w:r>
      <w:r>
        <w:rPr>
          <w:rFonts w:ascii="Times New Roman" w:hAnsi="Times New Roman" w:cs="Times New Roman"/>
          <w:i/>
          <w:iCs/>
          <w:color w:val="000000" w:themeColor="text1"/>
          <w:sz w:val="24"/>
          <w:szCs w:val="24"/>
          <w:shd w:val="clear" w:color="auto" w:fill="FFFFFF"/>
          <w:lang w:val="en-GB"/>
        </w:rPr>
        <w:t>International Journal of Research in Marketing</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38</w:t>
      </w:r>
      <w:r>
        <w:rPr>
          <w:rFonts w:ascii="Times New Roman" w:hAnsi="Times New Roman" w:cs="Times New Roman"/>
          <w:color w:val="000000" w:themeColor="text1"/>
          <w:sz w:val="24"/>
          <w:szCs w:val="24"/>
          <w:shd w:val="clear" w:color="auto" w:fill="FFFFFF"/>
          <w:lang w:val="en-GB"/>
        </w:rPr>
        <w:t>(1), pp.32-49. https://doi.org/10.1016/j.ijresmar.2020.08.003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Olson, E.M., Olson, K.M., Czaplewski, A.J. and Key, T.M., 2021. Business strategy and the management of digital marketing. </w:t>
      </w:r>
      <w:r>
        <w:rPr>
          <w:rFonts w:ascii="Times New Roman" w:hAnsi="Times New Roman" w:cs="Times New Roman"/>
          <w:i/>
          <w:iCs/>
          <w:color w:val="000000" w:themeColor="text1"/>
          <w:sz w:val="24"/>
          <w:szCs w:val="24"/>
          <w:shd w:val="clear" w:color="auto" w:fill="FFFFFF"/>
          <w:lang w:val="en-GB"/>
        </w:rPr>
        <w:t>Business horizons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64</w:t>
      </w:r>
      <w:r>
        <w:rPr>
          <w:rFonts w:ascii="Times New Roman" w:hAnsi="Times New Roman" w:cs="Times New Roman"/>
          <w:color w:val="000000" w:themeColor="text1"/>
          <w:sz w:val="24"/>
          <w:szCs w:val="24"/>
          <w:shd w:val="clear" w:color="auto" w:fill="FFFFFF"/>
          <w:lang w:val="en-GB"/>
        </w:rPr>
        <w:t xml:space="preserve">(2), pp.285-293. </w:t>
      </w:r>
      <w:r>
        <w:fldChar w:fldCharType="begin"/>
      </w:r>
      <w:r>
        <w:instrText xml:space="preserve"> HYPERLINK "https://doi.org/10.1016/j.bushor.2020.12.004"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https://doi.org/10.1016/j.bushor.2020.12.004</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Porfírio, J.A., Carrilho, T., Felício, J.A. and Jardim, J., 2021. Leadership characteristics and digital transformation. </w:t>
      </w:r>
      <w:r>
        <w:rPr>
          <w:rFonts w:ascii="Times New Roman" w:hAnsi="Times New Roman" w:cs="Times New Roman"/>
          <w:i/>
          <w:iCs/>
          <w:color w:val="000000" w:themeColor="text1"/>
          <w:sz w:val="24"/>
          <w:szCs w:val="24"/>
          <w:shd w:val="clear" w:color="auto" w:fill="FFFFFF"/>
          <w:lang w:val="en-GB"/>
        </w:rPr>
        <w:t>Journal of Business Research</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124</w:t>
      </w:r>
      <w:r>
        <w:rPr>
          <w:rFonts w:ascii="Times New Roman" w:hAnsi="Times New Roman" w:cs="Times New Roman"/>
          <w:color w:val="000000" w:themeColor="text1"/>
          <w:sz w:val="24"/>
          <w:szCs w:val="24"/>
          <w:shd w:val="clear" w:color="auto" w:fill="FFFFFF"/>
          <w:lang w:val="en-GB"/>
        </w:rPr>
        <w:t xml:space="preserve">, pp.610-619. </w:t>
      </w:r>
      <w:r>
        <w:fldChar w:fldCharType="begin"/>
      </w:r>
      <w:r>
        <w:instrText xml:space="preserve"> HYPERLINK "https://doi.org/10.1016/j.jbusres.2020.10.058"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https://doi.org/10.1016/j.jbusres.2020.10.058</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Qamruzzaman, M., Tayachi, T., Mehta, A.M. and Ali, M., 2021. Do international capital flows, institutional quality matter for innovation output: The mediating role of economic policy uncertainty. </w:t>
      </w:r>
      <w:r>
        <w:rPr>
          <w:rFonts w:ascii="Times New Roman" w:hAnsi="Times New Roman" w:cs="Times New Roman"/>
          <w:i/>
          <w:iCs/>
          <w:color w:val="000000" w:themeColor="text1"/>
          <w:sz w:val="24"/>
          <w:szCs w:val="24"/>
          <w:shd w:val="clear" w:color="auto" w:fill="FFFFFF"/>
          <w:lang w:val="en-GB"/>
        </w:rPr>
        <w:t>Journal of Open Innovation: Technology, Market, and Complexity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7</w:t>
      </w:r>
      <w:r>
        <w:rPr>
          <w:rFonts w:ascii="Times New Roman" w:hAnsi="Times New Roman" w:cs="Times New Roman"/>
          <w:color w:val="000000" w:themeColor="text1"/>
          <w:sz w:val="24"/>
          <w:szCs w:val="24"/>
          <w:shd w:val="clear" w:color="auto" w:fill="FFFFFF"/>
          <w:lang w:val="en-GB"/>
        </w:rPr>
        <w:t>(2), p.141.</w:t>
      </w:r>
      <w:r>
        <w:rPr>
          <w:rFonts w:ascii="Times New Roman" w:hAnsi="Times New Roman" w:cs="Times New Roman"/>
          <w:color w:val="000000" w:themeColor="text1"/>
          <w:sz w:val="24"/>
          <w:szCs w:val="24"/>
          <w:lang w:val="en-GB"/>
        </w:rPr>
        <w:t xml:space="preserve"> </w:t>
      </w:r>
      <w:r>
        <w:fldChar w:fldCharType="begin"/>
      </w:r>
      <w:r>
        <w:instrText xml:space="preserve"> HYPERLINK "https://doi.org/10.3390/joitmc7020141"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https://doi.org/10.3390/joitmc7020141</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Ribeiro-Navarrete, S., Botella-Carrubi, D., Palacios-Marqués, D. and Orero-Blat, M., 2021. The effect of digitalization on business performance: An applied study of KIBS. </w:t>
      </w:r>
      <w:r>
        <w:rPr>
          <w:rFonts w:ascii="Times New Roman" w:hAnsi="Times New Roman" w:cs="Times New Roman"/>
          <w:i/>
          <w:iCs/>
          <w:color w:val="000000" w:themeColor="text1"/>
          <w:sz w:val="24"/>
          <w:szCs w:val="24"/>
          <w:shd w:val="clear" w:color="auto" w:fill="FFFFFF"/>
          <w:lang w:val="en-GB"/>
        </w:rPr>
        <w:t>Journal of business research</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126</w:t>
      </w:r>
      <w:r>
        <w:rPr>
          <w:rFonts w:ascii="Times New Roman" w:hAnsi="Times New Roman" w:cs="Times New Roman"/>
          <w:color w:val="000000" w:themeColor="text1"/>
          <w:sz w:val="24"/>
          <w:szCs w:val="24"/>
          <w:shd w:val="clear" w:color="auto" w:fill="FFFFFF"/>
          <w:lang w:val="en-GB"/>
        </w:rPr>
        <w:t xml:space="preserve">, pp.319-326. </w:t>
      </w:r>
      <w:r>
        <w:fldChar w:fldCharType="begin"/>
      </w:r>
      <w:r>
        <w:instrText xml:space="preserve"> HYPERLINK "https://doi.org/10.1016/j.jbusres.2020.12.065"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https://doi.org/10.1016/j.jbusres.2020.12.065</w:t>
      </w:r>
      <w:r>
        <w:rPr>
          <w:rStyle w:val="16"/>
          <w:rFonts w:ascii="Times New Roman" w:hAnsi="Times New Roman" w:cs="Times New Roman"/>
          <w:color w:val="000000" w:themeColor="text1"/>
          <w:sz w:val="24"/>
          <w:szCs w:val="24"/>
          <w:u w:val="none"/>
          <w:shd w:val="clear" w:color="auto" w:fill="FFFFFF"/>
          <w:lang w:val="en-GB"/>
        </w:rPr>
        <w:fldChar w:fldCharType="end"/>
      </w:r>
      <w:r>
        <w:rPr>
          <w:rFonts w:ascii="Times New Roman" w:hAnsi="Times New Roman" w:cs="Times New Roman"/>
          <w:color w:val="000000" w:themeColor="text1"/>
          <w:sz w:val="24"/>
          <w:szCs w:val="24"/>
          <w:shd w:val="clear" w:color="auto" w:fill="FFFFFF"/>
          <w:lang w:val="en-GB"/>
        </w:rPr>
        <w:t xml:space="preserve"> </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Statista.com, 2023. </w:t>
      </w:r>
      <w:r>
        <w:rPr>
          <w:rFonts w:ascii="Times New Roman" w:hAnsi="Times New Roman" w:cs="Times New Roman"/>
          <w:i/>
          <w:iCs/>
          <w:color w:val="000000" w:themeColor="text1"/>
          <w:sz w:val="24"/>
          <w:szCs w:val="24"/>
          <w:shd w:val="clear" w:color="auto" w:fill="FFFFFF"/>
          <w:lang w:val="en-GB"/>
        </w:rPr>
        <w:t xml:space="preserve">IT market revenue in Switzerland from 2016 to 2021. </w:t>
      </w:r>
      <w:r>
        <w:rPr>
          <w:rFonts w:ascii="Times New Roman" w:hAnsi="Times New Roman" w:cs="Times New Roman"/>
          <w:color w:val="000000" w:themeColor="text1"/>
          <w:sz w:val="24"/>
          <w:szCs w:val="24"/>
          <w:shd w:val="clear" w:color="auto" w:fill="FFFFFF"/>
          <w:lang w:val="en-GB"/>
        </w:rPr>
        <w:t>Available at: https://www.statista.com/forecasts/961411/it-revenue-in-switzerland#:~:text=The%20statistic%20displays%20the%20IT,billion%20U.S.%20Dollars%20by%202021. [Accessed on: 19.07.2023]</w:t>
      </w:r>
    </w:p>
    <w:p>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Statista.com, 2023. </w:t>
      </w:r>
      <w:r>
        <w:rPr>
          <w:rFonts w:ascii="Times New Roman" w:hAnsi="Times New Roman" w:cs="Times New Roman"/>
          <w:i/>
          <w:color w:val="000000" w:themeColor="text1"/>
          <w:sz w:val="24"/>
          <w:szCs w:val="24"/>
          <w:lang w:val="en-GB"/>
        </w:rPr>
        <w:t>Laptop ownership by brand in Switzerland as of March 2023.</w:t>
      </w:r>
      <w:r>
        <w:rPr>
          <w:rFonts w:ascii="Times New Roman" w:hAnsi="Times New Roman" w:cs="Times New Roman"/>
          <w:color w:val="000000" w:themeColor="text1"/>
          <w:sz w:val="24"/>
          <w:szCs w:val="24"/>
          <w:lang w:val="en-GB"/>
        </w:rPr>
        <w:t xml:space="preserve"> Available at: </w:t>
      </w:r>
      <w:r>
        <w:fldChar w:fldCharType="begin"/>
      </w:r>
      <w:r>
        <w:instrText xml:space="preserve"> HYPERLINK "https://www.statista.com/forecasts/1348578/laptop-ownership-by-brand-in-switzerland" </w:instrText>
      </w:r>
      <w:r>
        <w:fldChar w:fldCharType="separate"/>
      </w:r>
      <w:r>
        <w:rPr>
          <w:rStyle w:val="16"/>
          <w:rFonts w:ascii="Times New Roman" w:hAnsi="Times New Roman" w:cs="Times New Roman"/>
          <w:color w:val="000000" w:themeColor="text1"/>
          <w:sz w:val="24"/>
          <w:szCs w:val="24"/>
          <w:u w:val="none"/>
          <w:lang w:val="en-GB"/>
        </w:rPr>
        <w:t>https://www.statista.com/forecasts/1348578/laptop-ownership-by-brand-in-switzerland</w:t>
      </w:r>
      <w:r>
        <w:rPr>
          <w:rStyle w:val="16"/>
          <w:rFonts w:ascii="Times New Roman" w:hAnsi="Times New Roman" w:cs="Times New Roman"/>
          <w:color w:val="000000" w:themeColor="text1"/>
          <w:sz w:val="24"/>
          <w:szCs w:val="24"/>
          <w:u w:val="none"/>
          <w:lang w:val="en-GB"/>
        </w:rPr>
        <w:fldChar w:fldCharType="end"/>
      </w:r>
      <w:r>
        <w:rPr>
          <w:rFonts w:ascii="Times New Roman" w:hAnsi="Times New Roman" w:cs="Times New Roman"/>
          <w:color w:val="000000" w:themeColor="text1"/>
          <w:sz w:val="24"/>
          <w:szCs w:val="24"/>
          <w:lang w:val="en-GB"/>
        </w:rPr>
        <w:t xml:space="preserve"> [Accessed on 18.07.2023]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Statista.com, 2023. </w:t>
      </w:r>
      <w:r>
        <w:rPr>
          <w:rFonts w:ascii="Times New Roman" w:hAnsi="Times New Roman" w:cs="Times New Roman"/>
          <w:i/>
          <w:iCs/>
          <w:color w:val="000000" w:themeColor="text1"/>
          <w:sz w:val="24"/>
          <w:szCs w:val="24"/>
          <w:shd w:val="clear" w:color="auto" w:fill="FFFFFF"/>
          <w:lang w:val="en-GB"/>
        </w:rPr>
        <w:t xml:space="preserve">Tech GDP as a percent of total GDP in the U.S. 2017-2022. </w:t>
      </w:r>
      <w:r>
        <w:rPr>
          <w:rFonts w:ascii="Times New Roman" w:hAnsi="Times New Roman" w:cs="Times New Roman"/>
          <w:color w:val="000000" w:themeColor="text1"/>
          <w:sz w:val="24"/>
          <w:szCs w:val="24"/>
          <w:shd w:val="clear" w:color="auto" w:fill="FFFFFF"/>
          <w:lang w:val="en-GB"/>
        </w:rPr>
        <w:t>Available at: https://www.statista.com/statistics/1239480/united-states-leading-states-by-tech-contribution-to-gross-product/#:~:text=Premium%20statistics-,Tech%20GDP%20as%20a%20percent%20of,in%20the%20U.S.%202017%2D2022&amp;text=In%202022%2C%20the%20United%20States,9.3%20percent%20of%20total%20GDP. [Accessed on: 19.07.2023]</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Taras, V., Steel, P. and Stackhouse, M., 2023. A comparative evaluation of seven instruments for measuring values comprising Hofstede's model of culture. </w:t>
      </w:r>
      <w:r>
        <w:rPr>
          <w:rFonts w:ascii="Times New Roman" w:hAnsi="Times New Roman" w:cs="Times New Roman"/>
          <w:i/>
          <w:iCs/>
          <w:color w:val="000000" w:themeColor="text1"/>
          <w:sz w:val="24"/>
          <w:szCs w:val="24"/>
          <w:shd w:val="clear" w:color="auto" w:fill="FFFFFF"/>
          <w:lang w:val="en-GB"/>
        </w:rPr>
        <w:t>Journal of World Business</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58</w:t>
      </w:r>
      <w:r>
        <w:rPr>
          <w:rFonts w:ascii="Times New Roman" w:hAnsi="Times New Roman" w:cs="Times New Roman"/>
          <w:color w:val="000000" w:themeColor="text1"/>
          <w:sz w:val="24"/>
          <w:szCs w:val="24"/>
          <w:shd w:val="clear" w:color="auto" w:fill="FFFFFF"/>
          <w:lang w:val="en-GB"/>
        </w:rPr>
        <w:t>(1), p.101386. https://doi.org/10.1016/j.jwb.2022.101386</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Thomas, P.J.M., Sandwell, P., Williamson, S.J. and Harper, P.W., 2021. A PESTLE analysis of solar home systems in refugee camps in Rwanda. </w:t>
      </w:r>
      <w:r>
        <w:rPr>
          <w:rFonts w:ascii="Times New Roman" w:hAnsi="Times New Roman" w:cs="Times New Roman"/>
          <w:i/>
          <w:iCs/>
          <w:color w:val="000000" w:themeColor="text1"/>
          <w:sz w:val="24"/>
          <w:szCs w:val="24"/>
          <w:shd w:val="clear" w:color="auto" w:fill="FFFFFF"/>
          <w:lang w:val="en-GB"/>
        </w:rPr>
        <w:t>Renewable and Sustainable Energy Reviews</w:t>
      </w:r>
      <w:r>
        <w:rPr>
          <w:rFonts w:ascii="Times New Roman" w:hAnsi="Times New Roman" w:cs="Times New Roman"/>
          <w:color w:val="000000" w:themeColor="text1"/>
          <w:sz w:val="24"/>
          <w:szCs w:val="24"/>
          <w:shd w:val="clear" w:color="auto" w:fill="FFFFFF"/>
          <w:lang w:val="en-GB"/>
        </w:rPr>
        <w:t xml:space="preserve">, </w:t>
      </w:r>
      <w:r>
        <w:rPr>
          <w:rFonts w:ascii="Times New Roman" w:hAnsi="Times New Roman" w:cs="Times New Roman"/>
          <w:i/>
          <w:iCs/>
          <w:color w:val="000000" w:themeColor="text1"/>
          <w:sz w:val="24"/>
          <w:szCs w:val="24"/>
          <w:shd w:val="clear" w:color="auto" w:fill="FFFFFF"/>
          <w:lang w:val="en-GB"/>
        </w:rPr>
        <w:t>143</w:t>
      </w:r>
      <w:r>
        <w:rPr>
          <w:rFonts w:ascii="Times New Roman" w:hAnsi="Times New Roman" w:cs="Times New Roman"/>
          <w:color w:val="000000" w:themeColor="text1"/>
          <w:sz w:val="24"/>
          <w:szCs w:val="24"/>
          <w:shd w:val="clear" w:color="auto" w:fill="FFFFFF"/>
          <w:lang w:val="en-GB"/>
        </w:rPr>
        <w:t>, p.110872. https://doi.org/10.1016/j.rser.2021.110872</w:t>
      </w:r>
    </w:p>
    <w:p>
      <w:pPr>
        <w:spacing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Yang, B., Liu, Y., Liang, Y. and Tang, M., 2019. Exploiting user experience from online customer reviews for product design. </w:t>
      </w:r>
      <w:r>
        <w:rPr>
          <w:rFonts w:ascii="Times New Roman" w:hAnsi="Times New Roman" w:cs="Times New Roman"/>
          <w:i/>
          <w:iCs/>
          <w:color w:val="000000" w:themeColor="text1"/>
          <w:sz w:val="24"/>
          <w:szCs w:val="24"/>
          <w:shd w:val="clear" w:color="auto" w:fill="FFFFFF"/>
          <w:lang w:val="en-GB"/>
        </w:rPr>
        <w:t>International Journal of Information Management</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46</w:t>
      </w:r>
      <w:r>
        <w:rPr>
          <w:rFonts w:ascii="Times New Roman" w:hAnsi="Times New Roman" w:cs="Times New Roman"/>
          <w:color w:val="000000" w:themeColor="text1"/>
          <w:sz w:val="24"/>
          <w:szCs w:val="24"/>
          <w:shd w:val="clear" w:color="auto" w:fill="FFFFFF"/>
          <w:lang w:val="en-GB"/>
        </w:rPr>
        <w:t xml:space="preserve">, pp.173-186. </w:t>
      </w:r>
      <w:r>
        <w:fldChar w:fldCharType="begin"/>
      </w:r>
      <w:r>
        <w:instrText xml:space="preserve"> HYPERLINK "https://doi.org/10.1016/j.ijinfomgt.2018.12.006"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https://doi.org/10.1016/j.ijinfomgt.2018.12.006</w:t>
      </w:r>
      <w:r>
        <w:rPr>
          <w:rStyle w:val="16"/>
          <w:rFonts w:ascii="Times New Roman" w:hAnsi="Times New Roman" w:cs="Times New Roman"/>
          <w:color w:val="000000" w:themeColor="text1"/>
          <w:sz w:val="24"/>
          <w:szCs w:val="24"/>
          <w:u w:val="none"/>
          <w:shd w:val="clear" w:color="auto" w:fill="FFFFFF"/>
          <w:lang w:val="en-GB"/>
        </w:rPr>
        <w:fldChar w:fldCharType="end"/>
      </w:r>
    </w:p>
    <w:p>
      <w:pPr>
        <w:spacing w:line="360" w:lineRule="auto"/>
        <w:jc w:val="both"/>
        <w:rPr>
          <w:lang w:val="en-GB"/>
        </w:rPr>
      </w:pPr>
      <w:r>
        <w:rPr>
          <w:rFonts w:ascii="Times New Roman" w:hAnsi="Times New Roman" w:cs="Times New Roman"/>
          <w:color w:val="000000" w:themeColor="text1"/>
          <w:sz w:val="24"/>
          <w:szCs w:val="24"/>
          <w:shd w:val="clear" w:color="auto" w:fill="FFFFFF"/>
          <w:lang w:val="en-GB"/>
        </w:rPr>
        <w:t>Ye, F., Li, Y. and Liu, P., 2023. Impact of energy efficiency and sharing economy on the achievement of sustainable economic development: New evidences from China. </w:t>
      </w:r>
      <w:r>
        <w:rPr>
          <w:rFonts w:ascii="Times New Roman" w:hAnsi="Times New Roman" w:cs="Times New Roman"/>
          <w:i/>
          <w:iCs/>
          <w:color w:val="000000" w:themeColor="text1"/>
          <w:sz w:val="24"/>
          <w:szCs w:val="24"/>
          <w:shd w:val="clear" w:color="auto" w:fill="FFFFFF"/>
          <w:lang w:val="en-GB"/>
        </w:rPr>
        <w:t>Journal of Innovation &amp; Knowledge</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8</w:t>
      </w:r>
      <w:r>
        <w:rPr>
          <w:rFonts w:ascii="Times New Roman" w:hAnsi="Times New Roman" w:cs="Times New Roman"/>
          <w:color w:val="000000" w:themeColor="text1"/>
          <w:sz w:val="24"/>
          <w:szCs w:val="24"/>
          <w:shd w:val="clear" w:color="auto" w:fill="FFFFFF"/>
          <w:lang w:val="en-GB"/>
        </w:rPr>
        <w:t>(1), p.100311.</w:t>
      </w:r>
      <w:r>
        <w:rPr>
          <w:rFonts w:ascii="Times New Roman" w:hAnsi="Times New Roman" w:cs="Times New Roman"/>
          <w:color w:val="000000" w:themeColor="text1"/>
          <w:sz w:val="24"/>
          <w:szCs w:val="24"/>
          <w:lang w:val="en-GB"/>
        </w:rPr>
        <w:t xml:space="preserve"> </w:t>
      </w:r>
      <w:r>
        <w:fldChar w:fldCharType="begin"/>
      </w:r>
      <w:r>
        <w:instrText xml:space="preserve"> HYPERLINK "https://doi.org/10.1016/j.jik.2023.100311" </w:instrText>
      </w:r>
      <w:r>
        <w:fldChar w:fldCharType="separate"/>
      </w:r>
      <w:r>
        <w:rPr>
          <w:rStyle w:val="16"/>
          <w:rFonts w:ascii="Times New Roman" w:hAnsi="Times New Roman" w:cs="Times New Roman"/>
          <w:color w:val="000000" w:themeColor="text1"/>
          <w:sz w:val="24"/>
          <w:szCs w:val="24"/>
          <w:u w:val="none"/>
          <w:shd w:val="clear" w:color="auto" w:fill="FFFFFF"/>
          <w:lang w:val="en-GB"/>
        </w:rPr>
        <w:t>https://doi.org/10.1016/j.jik.2023.100311</w:t>
      </w:r>
      <w:r>
        <w:rPr>
          <w:rStyle w:val="16"/>
          <w:rFonts w:ascii="Times New Roman" w:hAnsi="Times New Roman" w:cs="Times New Roman"/>
          <w:color w:val="000000" w:themeColor="text1"/>
          <w:sz w:val="24"/>
          <w:szCs w:val="24"/>
          <w:u w:val="none"/>
          <w:shd w:val="clear" w:color="auto" w:fill="FFFFFF"/>
          <w:lang w:val="en-GB"/>
        </w:rPr>
        <w:fldChar w:fldCharType="end"/>
      </w: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558134"/>
      <w:docPartObj>
        <w:docPartGallery w:val="AutoText"/>
      </w:docPartObj>
    </w:sdtPr>
    <w:sdtContent>
      <w:p>
        <w:pPr>
          <w:pStyle w:val="14"/>
          <w:jc w:val="right"/>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2</w:t>
        </w:r>
        <w:r>
          <w:rPr>
            <w:rFonts w:ascii="Times New Roman" w:hAnsi="Times New Roman" w:cs="Times New Roman"/>
            <w:sz w:val="20"/>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9F18CD"/>
    <w:multiLevelType w:val="multilevel"/>
    <w:tmpl w:val="0E9F18C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EE108AF"/>
    <w:multiLevelType w:val="multilevel"/>
    <w:tmpl w:val="0EE108A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21317ADF"/>
    <w:multiLevelType w:val="multilevel"/>
    <w:tmpl w:val="21317AD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21601318"/>
    <w:multiLevelType w:val="multilevel"/>
    <w:tmpl w:val="2160131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44552B51"/>
    <w:multiLevelType w:val="multilevel"/>
    <w:tmpl w:val="44552B5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4B5839FE"/>
    <w:multiLevelType w:val="multilevel"/>
    <w:tmpl w:val="4B5839F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4FB46940"/>
    <w:multiLevelType w:val="multilevel"/>
    <w:tmpl w:val="4FB4694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51E1787B"/>
    <w:multiLevelType w:val="multilevel"/>
    <w:tmpl w:val="51E1787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55304C0A"/>
    <w:multiLevelType w:val="multilevel"/>
    <w:tmpl w:val="55304C0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nsid w:val="5738598A"/>
    <w:multiLevelType w:val="multilevel"/>
    <w:tmpl w:val="5738598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nsid w:val="5C416B64"/>
    <w:multiLevelType w:val="multilevel"/>
    <w:tmpl w:val="5C416B6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nsid w:val="5D1B2077"/>
    <w:multiLevelType w:val="multilevel"/>
    <w:tmpl w:val="5D1B207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nsid w:val="71E1113A"/>
    <w:multiLevelType w:val="multilevel"/>
    <w:tmpl w:val="71E1113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3">
    <w:nsid w:val="7D696F03"/>
    <w:multiLevelType w:val="multilevel"/>
    <w:tmpl w:val="7D696F0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4">
    <w:nsid w:val="7DF15D8C"/>
    <w:multiLevelType w:val="multilevel"/>
    <w:tmpl w:val="7DF15D8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4"/>
  </w:num>
  <w:num w:numId="2">
    <w:abstractNumId w:val="2"/>
  </w:num>
  <w:num w:numId="3">
    <w:abstractNumId w:val="5"/>
  </w:num>
  <w:num w:numId="4">
    <w:abstractNumId w:val="9"/>
  </w:num>
  <w:num w:numId="5">
    <w:abstractNumId w:val="6"/>
  </w:num>
  <w:num w:numId="6">
    <w:abstractNumId w:val="14"/>
  </w:num>
  <w:num w:numId="7">
    <w:abstractNumId w:val="8"/>
  </w:num>
  <w:num w:numId="8">
    <w:abstractNumId w:val="11"/>
  </w:num>
  <w:num w:numId="9">
    <w:abstractNumId w:val="13"/>
  </w:num>
  <w:num w:numId="10">
    <w:abstractNumId w:val="10"/>
  </w:num>
  <w:num w:numId="11">
    <w:abstractNumId w:val="3"/>
  </w:num>
  <w:num w:numId="12">
    <w:abstractNumId w:val="12"/>
  </w:num>
  <w:num w:numId="13">
    <w:abstractNumId w:val="1"/>
  </w:num>
  <w:num w:numId="14">
    <w:abstractNumId w:val="7"/>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660BE7"/>
    <w:rsid w:val="00000E35"/>
    <w:rsid w:val="00010554"/>
    <w:rsid w:val="0007704F"/>
    <w:rsid w:val="00090D0F"/>
    <w:rsid w:val="000B0FC7"/>
    <w:rsid w:val="000D2E67"/>
    <w:rsid w:val="00100C2A"/>
    <w:rsid w:val="001548A4"/>
    <w:rsid w:val="00197ECE"/>
    <w:rsid w:val="001A5595"/>
    <w:rsid w:val="001B056D"/>
    <w:rsid w:val="001C0F93"/>
    <w:rsid w:val="001F2991"/>
    <w:rsid w:val="002D0852"/>
    <w:rsid w:val="002F456F"/>
    <w:rsid w:val="003522CE"/>
    <w:rsid w:val="00360191"/>
    <w:rsid w:val="0042405E"/>
    <w:rsid w:val="0046370E"/>
    <w:rsid w:val="0049222E"/>
    <w:rsid w:val="004C098B"/>
    <w:rsid w:val="00505C99"/>
    <w:rsid w:val="0051077D"/>
    <w:rsid w:val="005468A1"/>
    <w:rsid w:val="00565621"/>
    <w:rsid w:val="00592829"/>
    <w:rsid w:val="00595419"/>
    <w:rsid w:val="005C5E47"/>
    <w:rsid w:val="005F2ED6"/>
    <w:rsid w:val="00632E8C"/>
    <w:rsid w:val="00654F04"/>
    <w:rsid w:val="00660BE7"/>
    <w:rsid w:val="006677BE"/>
    <w:rsid w:val="006A6344"/>
    <w:rsid w:val="006B1FFD"/>
    <w:rsid w:val="006F2DA7"/>
    <w:rsid w:val="007A580D"/>
    <w:rsid w:val="007C6C89"/>
    <w:rsid w:val="00801D65"/>
    <w:rsid w:val="00823B68"/>
    <w:rsid w:val="00853BBD"/>
    <w:rsid w:val="0087219B"/>
    <w:rsid w:val="008737CC"/>
    <w:rsid w:val="008832EC"/>
    <w:rsid w:val="008E7F08"/>
    <w:rsid w:val="009072E8"/>
    <w:rsid w:val="00935CEC"/>
    <w:rsid w:val="00976BFD"/>
    <w:rsid w:val="009A1088"/>
    <w:rsid w:val="009D4D92"/>
    <w:rsid w:val="009E030F"/>
    <w:rsid w:val="009E4557"/>
    <w:rsid w:val="00A01342"/>
    <w:rsid w:val="00A15B53"/>
    <w:rsid w:val="00AF3661"/>
    <w:rsid w:val="00B300F5"/>
    <w:rsid w:val="00B306D2"/>
    <w:rsid w:val="00B761F1"/>
    <w:rsid w:val="00B8534A"/>
    <w:rsid w:val="00BC76FE"/>
    <w:rsid w:val="00BD7B5C"/>
    <w:rsid w:val="00C207BE"/>
    <w:rsid w:val="00C63594"/>
    <w:rsid w:val="00C7763B"/>
    <w:rsid w:val="00C84524"/>
    <w:rsid w:val="00D16480"/>
    <w:rsid w:val="00D83C75"/>
    <w:rsid w:val="00DA708E"/>
    <w:rsid w:val="00E05D48"/>
    <w:rsid w:val="00E5285A"/>
    <w:rsid w:val="00E55EDD"/>
    <w:rsid w:val="00E6617A"/>
    <w:rsid w:val="00E77A80"/>
    <w:rsid w:val="00E91A47"/>
    <w:rsid w:val="00E940F0"/>
    <w:rsid w:val="00ED732A"/>
    <w:rsid w:val="00F001F1"/>
    <w:rsid w:val="00F5098A"/>
    <w:rsid w:val="00F571F8"/>
    <w:rsid w:val="00FD2A88"/>
    <w:rsid w:val="00FD3C29"/>
    <w:rsid w:val="00FE24F0"/>
    <w:rsid w:val="41FC01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uiPriority w:val="0"/>
    <w:pPr>
      <w:keepNext/>
      <w:keepLines/>
      <w:spacing w:line="360" w:lineRule="auto"/>
      <w:jc w:val="both"/>
      <w:outlineLvl w:val="0"/>
    </w:pPr>
    <w:rPr>
      <w:rFonts w:ascii="Times New Roman" w:hAnsi="Times New Roman"/>
      <w:b/>
      <w:sz w:val="28"/>
      <w:szCs w:val="40"/>
      <w:lang w:val="en-GB"/>
    </w:rPr>
  </w:style>
  <w:style w:type="paragraph" w:styleId="4">
    <w:name w:val="heading 2"/>
    <w:basedOn w:val="3"/>
    <w:next w:val="3"/>
    <w:uiPriority w:val="0"/>
    <w:pPr>
      <w:keepNext/>
      <w:keepLines/>
      <w:spacing w:line="360" w:lineRule="auto"/>
      <w:jc w:val="both"/>
      <w:outlineLvl w:val="1"/>
    </w:pPr>
    <w:rPr>
      <w:rFonts w:ascii="Times New Roman" w:hAnsi="Times New Roman"/>
      <w:b/>
      <w:sz w:val="26"/>
      <w:szCs w:val="32"/>
      <w:lang w:val="en-GB"/>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qFormat/>
    <w:uiPriority w:val="0"/>
    <w:pPr>
      <w:spacing w:line="276" w:lineRule="auto"/>
    </w:pPr>
    <w:rPr>
      <w:rFonts w:ascii="Arial" w:hAnsi="Arial" w:eastAsia="Arial" w:cs="Arial"/>
      <w:sz w:val="22"/>
      <w:szCs w:val="22"/>
      <w:lang w:val="en-US" w:eastAsia="en-US" w:bidi="ar-SA"/>
    </w:rPr>
  </w:style>
  <w:style w:type="paragraph" w:styleId="11">
    <w:name w:val="Balloon Text"/>
    <w:basedOn w:val="1"/>
    <w:link w:val="26"/>
    <w:semiHidden/>
    <w:unhideWhenUsed/>
    <w:qFormat/>
    <w:uiPriority w:val="99"/>
    <w:pPr>
      <w:spacing w:line="240" w:lineRule="auto"/>
    </w:pPr>
    <w:rPr>
      <w:rFonts w:ascii="Tahoma" w:hAnsi="Tahoma" w:cs="Tahoma"/>
      <w:sz w:val="16"/>
      <w:szCs w:val="16"/>
    </w:rPr>
  </w:style>
  <w:style w:type="character" w:styleId="12">
    <w:name w:val="annotation reference"/>
    <w:basedOn w:val="9"/>
    <w:semiHidden/>
    <w:unhideWhenUsed/>
    <w:qFormat/>
    <w:uiPriority w:val="99"/>
    <w:rPr>
      <w:sz w:val="16"/>
      <w:szCs w:val="16"/>
    </w:rPr>
  </w:style>
  <w:style w:type="paragraph" w:styleId="13">
    <w:name w:val="annotation text"/>
    <w:basedOn w:val="1"/>
    <w:link w:val="25"/>
    <w:semiHidden/>
    <w:unhideWhenUsed/>
    <w:qFormat/>
    <w:uiPriority w:val="99"/>
    <w:pPr>
      <w:spacing w:line="240" w:lineRule="auto"/>
    </w:pPr>
    <w:rPr>
      <w:sz w:val="20"/>
      <w:szCs w:val="20"/>
    </w:rPr>
  </w:style>
  <w:style w:type="paragraph" w:styleId="14">
    <w:name w:val="footer"/>
    <w:basedOn w:val="1"/>
    <w:link w:val="29"/>
    <w:unhideWhenUsed/>
    <w:qFormat/>
    <w:uiPriority w:val="99"/>
    <w:pPr>
      <w:tabs>
        <w:tab w:val="center" w:pos="4680"/>
        <w:tab w:val="right" w:pos="9360"/>
      </w:tabs>
      <w:spacing w:line="240" w:lineRule="auto"/>
    </w:pPr>
  </w:style>
  <w:style w:type="paragraph" w:styleId="15">
    <w:name w:val="header"/>
    <w:basedOn w:val="1"/>
    <w:link w:val="28"/>
    <w:semiHidden/>
    <w:unhideWhenUsed/>
    <w:qFormat/>
    <w:uiPriority w:val="99"/>
    <w:pPr>
      <w:tabs>
        <w:tab w:val="center" w:pos="4680"/>
        <w:tab w:val="right" w:pos="9360"/>
      </w:tabs>
      <w:spacing w:line="240" w:lineRule="auto"/>
    </w:pPr>
  </w:style>
  <w:style w:type="character" w:styleId="16">
    <w:name w:val="Hyperlink"/>
    <w:basedOn w:val="9"/>
    <w:unhideWhenUsed/>
    <w:qFormat/>
    <w:uiPriority w:val="99"/>
    <w:rPr>
      <w:color w:val="0000FF" w:themeColor="hyperlink"/>
      <w:u w:val="single"/>
    </w:rPr>
  </w:style>
  <w:style w:type="paragraph" w:styleId="17">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8">
    <w:name w:val="Subtitle"/>
    <w:basedOn w:val="3"/>
    <w:next w:val="3"/>
    <w:qFormat/>
    <w:uiPriority w:val="0"/>
    <w:pPr>
      <w:keepNext/>
      <w:keepLines/>
      <w:spacing w:after="320"/>
    </w:pPr>
    <w:rPr>
      <w:color w:val="666666"/>
      <w:sz w:val="30"/>
      <w:szCs w:val="30"/>
    </w:rPr>
  </w:style>
  <w:style w:type="paragraph" w:styleId="19">
    <w:name w:val="Title"/>
    <w:basedOn w:val="3"/>
    <w:next w:val="3"/>
    <w:qFormat/>
    <w:uiPriority w:val="0"/>
    <w:pPr>
      <w:keepNext/>
      <w:keepLines/>
      <w:spacing w:after="60"/>
    </w:pPr>
    <w:rPr>
      <w:sz w:val="52"/>
      <w:szCs w:val="52"/>
    </w:rPr>
  </w:style>
  <w:style w:type="paragraph" w:styleId="20">
    <w:name w:val="toc 1"/>
    <w:basedOn w:val="1"/>
    <w:next w:val="1"/>
    <w:unhideWhenUsed/>
    <w:qFormat/>
    <w:uiPriority w:val="39"/>
    <w:pPr>
      <w:spacing w:after="100"/>
    </w:pPr>
  </w:style>
  <w:style w:type="paragraph" w:styleId="21">
    <w:name w:val="toc 2"/>
    <w:basedOn w:val="1"/>
    <w:next w:val="1"/>
    <w:unhideWhenUsed/>
    <w:uiPriority w:val="39"/>
    <w:pPr>
      <w:spacing w:after="100"/>
      <w:ind w:left="220"/>
    </w:pPr>
  </w:style>
  <w:style w:type="table" w:customStyle="1" w:styleId="22">
    <w:name w:val="_Style 12"/>
    <w:basedOn w:val="10"/>
    <w:qFormat/>
    <w:uiPriority w:val="0"/>
    <w:tblPr>
      <w:tblCellMar>
        <w:top w:w="100" w:type="dxa"/>
        <w:left w:w="100" w:type="dxa"/>
        <w:bottom w:w="100" w:type="dxa"/>
        <w:right w:w="100" w:type="dxa"/>
      </w:tblCellMar>
    </w:tblPr>
  </w:style>
  <w:style w:type="table" w:customStyle="1" w:styleId="23">
    <w:name w:val="_Style 13"/>
    <w:basedOn w:val="10"/>
    <w:qFormat/>
    <w:uiPriority w:val="0"/>
    <w:tblPr>
      <w:tblCellMar>
        <w:top w:w="100" w:type="dxa"/>
        <w:left w:w="100" w:type="dxa"/>
        <w:bottom w:w="100" w:type="dxa"/>
        <w:right w:w="100" w:type="dxa"/>
      </w:tblCellMar>
    </w:tblPr>
  </w:style>
  <w:style w:type="table" w:customStyle="1" w:styleId="24">
    <w:name w:val="_Style 14"/>
    <w:basedOn w:val="10"/>
    <w:qFormat/>
    <w:uiPriority w:val="0"/>
    <w:tblPr>
      <w:tblCellMar>
        <w:top w:w="100" w:type="dxa"/>
        <w:left w:w="100" w:type="dxa"/>
        <w:bottom w:w="100" w:type="dxa"/>
        <w:right w:w="100" w:type="dxa"/>
      </w:tblCellMar>
    </w:tblPr>
  </w:style>
  <w:style w:type="character" w:customStyle="1" w:styleId="25">
    <w:name w:val="Comment Text Char"/>
    <w:basedOn w:val="9"/>
    <w:link w:val="13"/>
    <w:semiHidden/>
    <w:qFormat/>
    <w:uiPriority w:val="99"/>
    <w:rPr>
      <w:sz w:val="20"/>
      <w:szCs w:val="20"/>
    </w:rPr>
  </w:style>
  <w:style w:type="character" w:customStyle="1" w:styleId="26">
    <w:name w:val="Balloon Text Char"/>
    <w:basedOn w:val="9"/>
    <w:link w:val="11"/>
    <w:semiHidden/>
    <w:qFormat/>
    <w:uiPriority w:val="99"/>
    <w:rPr>
      <w:rFonts w:ascii="Tahoma" w:hAnsi="Tahoma" w:cs="Tahoma"/>
      <w:sz w:val="16"/>
      <w:szCs w:val="16"/>
    </w:rPr>
  </w:style>
  <w:style w:type="paragraph" w:customStyle="1" w:styleId="27">
    <w:name w:val="TOC Heading"/>
    <w:basedOn w:val="2"/>
    <w:next w:val="1"/>
    <w:unhideWhenUsed/>
    <w:qFormat/>
    <w:uiPriority w:val="39"/>
    <w:pPr>
      <w:spacing w:before="48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8">
    <w:name w:val="Header Char"/>
    <w:basedOn w:val="9"/>
    <w:link w:val="15"/>
    <w:semiHidden/>
    <w:qFormat/>
    <w:uiPriority w:val="99"/>
  </w:style>
  <w:style w:type="character" w:customStyle="1" w:styleId="29">
    <w:name w:val="Footer Char"/>
    <w:basedOn w:val="9"/>
    <w:link w:val="14"/>
    <w:qFormat/>
    <w:uiPriority w:val="99"/>
  </w:style>
  <w:style w:type="character" w:customStyle="1" w:styleId="30">
    <w:name w:val="Unresolved Mention"/>
    <w:basedOn w:val="9"/>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7" Type="http://schemas.openxmlformats.org/officeDocument/2006/relationships/fontTable" Target="fontTable.xml"/><Relationship Id="rId26" Type="http://schemas.openxmlformats.org/officeDocument/2006/relationships/customXml" Target="../customXml/item1.xml"/><Relationship Id="rId25" Type="http://schemas.openxmlformats.org/officeDocument/2006/relationships/numbering" Target="numbering.xml"/><Relationship Id="rId24" Type="http://schemas.microsoft.com/office/2007/relationships/diagramDrawing" Target="diagrams/drawing3.xml"/><Relationship Id="rId23" Type="http://schemas.openxmlformats.org/officeDocument/2006/relationships/diagramColors" Target="diagrams/colors3.xml"/><Relationship Id="rId22" Type="http://schemas.openxmlformats.org/officeDocument/2006/relationships/diagramQuickStyle" Target="diagrams/quickStyle3.xml"/><Relationship Id="rId21" Type="http://schemas.openxmlformats.org/officeDocument/2006/relationships/diagramLayout" Target="diagrams/layout3.xml"/><Relationship Id="rId20" Type="http://schemas.openxmlformats.org/officeDocument/2006/relationships/diagramData" Target="diagrams/data3.xml"/><Relationship Id="rId2" Type="http://schemas.openxmlformats.org/officeDocument/2006/relationships/settings" Target="settings.xml"/><Relationship Id="rId19" Type="http://schemas.microsoft.com/office/2007/relationships/diagramDrawing" Target="diagrams/drawing2.xml"/><Relationship Id="rId18" Type="http://schemas.openxmlformats.org/officeDocument/2006/relationships/diagramColors" Target="diagrams/colors2.xml"/><Relationship Id="rId17" Type="http://schemas.openxmlformats.org/officeDocument/2006/relationships/diagramQuickStyle" Target="diagrams/quickStyle2.xml"/><Relationship Id="rId16" Type="http://schemas.openxmlformats.org/officeDocument/2006/relationships/diagramLayout" Target="diagrams/layout2.xml"/><Relationship Id="rId15" Type="http://schemas.openxmlformats.org/officeDocument/2006/relationships/diagramData" Target="diagrams/data2.xml"/><Relationship Id="rId14" Type="http://schemas.microsoft.com/office/2007/relationships/diagramDrawing" Target="diagrams/drawing1.xml"/><Relationship Id="rId13" Type="http://schemas.openxmlformats.org/officeDocument/2006/relationships/diagramColors" Target="diagrams/colors1.xml"/><Relationship Id="rId12" Type="http://schemas.openxmlformats.org/officeDocument/2006/relationships/diagramQuickStyle" Target="diagrams/quickStyle1.xml"/><Relationship Id="rId11" Type="http://schemas.openxmlformats.org/officeDocument/2006/relationships/diagramLayout" Target="diagrams/layout1.xml"/><Relationship Id="rId10" Type="http://schemas.openxmlformats.org/officeDocument/2006/relationships/diagramData" Target="diagrams/data1.xml"/><Relationship Id="rId1" Type="http://schemas.openxmlformats.org/officeDocument/2006/relationships/styles" Target="styles.xml"/></Relationships>
</file>

<file path=word/diagrams/_rels/data2.xml.rels><?xml version="1.0" encoding="UTF-8" standalone="yes"?>
<Relationships xmlns="http://schemas.openxmlformats.org/package/2006/relationships"><Relationship Id="rId4" Type="http://schemas.openxmlformats.org/officeDocument/2006/relationships/image" Target="../media/image7.png"/><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s>
</file>

<file path=word/diagrams/_rels/drawing2.xml.rels><?xml version="1.0" encoding="UTF-8" standalone="yes"?>
<Relationships xmlns="http://schemas.openxmlformats.org/package/2006/relationships"><Relationship Id="rId4" Type="http://schemas.openxmlformats.org/officeDocument/2006/relationships/image" Target="../media/image7.png"/><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DF3FACCD-AD39-4AEE-B7CE-CB0E7F69561E}" type="doc">
      <dgm:prSet loTypeId="urn:microsoft.com/office/officeart/2005/8/layout/bProcess3" loCatId="process" qsTypeId="urn:microsoft.com/office/officeart/2005/8/quickstyle/simple3" qsCatId="simple" csTypeId="urn:microsoft.com/office/officeart/2005/8/colors/colorful2" csCatId="colorful" phldr="1"/>
      <dgm:spPr/>
    </dgm:pt>
    <dgm:pt modelId="{01A8361D-2219-4579-94FC-A29284C7351C}">
      <dgm:prSet phldrT="[Text]"/>
      <dgm:spPr/>
      <dgm:t>
        <a:bodyPr/>
        <a:p>
          <a:r>
            <a:rPr lang="en-US" b="1">
              <a:latin typeface="Times New Roman" panose="02020603050405020304" charset="0"/>
              <a:cs typeface="Times New Roman" panose="02020603050405020304" charset="0"/>
            </a:rPr>
            <a:t>Product</a:t>
          </a:r>
        </a:p>
      </dgm:t>
    </dgm:pt>
    <dgm:pt modelId="{4B51DEE9-3441-4CD3-8E34-90B8E7BCB4EF}" cxnId="{20082261-0D9F-4EDB-8E82-B3868C82548D}" type="parTrans">
      <dgm:prSet/>
      <dgm:spPr/>
      <dgm:t>
        <a:bodyPr/>
        <a:p>
          <a:endParaRPr lang="en-US"/>
        </a:p>
      </dgm:t>
    </dgm:pt>
    <dgm:pt modelId="{ABDEEDCF-57B9-4EA2-B281-2C04766D74F4}" cxnId="{20082261-0D9F-4EDB-8E82-B3868C82548D}" type="sibTrans">
      <dgm:prSet/>
      <dgm:spPr/>
      <dgm:t>
        <a:bodyPr/>
        <a:p>
          <a:endParaRPr lang="en-US"/>
        </a:p>
      </dgm:t>
    </dgm:pt>
    <dgm:pt modelId="{D27E40AD-8D07-4C3D-B2F9-2FF5E7B1FAC7}">
      <dgm:prSet phldrT="[Text]"/>
      <dgm:spPr/>
      <dgm:t>
        <a:bodyPr/>
        <a:p>
          <a:r>
            <a:rPr lang="en-US" b="1">
              <a:latin typeface="Times New Roman" panose="02020603050405020304" charset="0"/>
              <a:cs typeface="Times New Roman" panose="02020603050405020304" charset="0"/>
            </a:rPr>
            <a:t>Price</a:t>
          </a:r>
        </a:p>
      </dgm:t>
    </dgm:pt>
    <dgm:pt modelId="{2C72A8DA-4BD9-4F17-BFAA-59F5B826D72A}" cxnId="{AFF3EAB5-6331-4FD0-97C0-7CDD62F24543}" type="parTrans">
      <dgm:prSet/>
      <dgm:spPr/>
      <dgm:t>
        <a:bodyPr/>
        <a:p>
          <a:endParaRPr lang="en-US"/>
        </a:p>
      </dgm:t>
    </dgm:pt>
    <dgm:pt modelId="{D23996E6-B35A-49DD-8293-9C15311899CA}" cxnId="{AFF3EAB5-6331-4FD0-97C0-7CDD62F24543}" type="sibTrans">
      <dgm:prSet/>
      <dgm:spPr/>
      <dgm:t>
        <a:bodyPr/>
        <a:p>
          <a:endParaRPr lang="en-US"/>
        </a:p>
      </dgm:t>
    </dgm:pt>
    <dgm:pt modelId="{18166028-F136-4F18-A080-7CFAA0ACD9AA}">
      <dgm:prSet phldrT="[Text]"/>
      <dgm:spPr/>
      <dgm:t>
        <a:bodyPr/>
        <a:p>
          <a:r>
            <a:rPr lang="en-US" b="1">
              <a:latin typeface="Times New Roman" panose="02020603050405020304" charset="0"/>
              <a:cs typeface="Times New Roman" panose="02020603050405020304" charset="0"/>
            </a:rPr>
            <a:t>Promotion</a:t>
          </a:r>
        </a:p>
      </dgm:t>
    </dgm:pt>
    <dgm:pt modelId="{36C3C497-146B-47EB-9E61-CEA0148EC67F}" cxnId="{B7BAA8B1-5B8E-4A77-8584-8495B53DD23B}" type="parTrans">
      <dgm:prSet/>
      <dgm:spPr/>
      <dgm:t>
        <a:bodyPr/>
        <a:p>
          <a:endParaRPr lang="en-US"/>
        </a:p>
      </dgm:t>
    </dgm:pt>
    <dgm:pt modelId="{2E0A448D-4847-446A-B2CF-75BE8D536152}" cxnId="{B7BAA8B1-5B8E-4A77-8584-8495B53DD23B}" type="sibTrans">
      <dgm:prSet/>
      <dgm:spPr/>
      <dgm:t>
        <a:bodyPr/>
        <a:p>
          <a:endParaRPr lang="en-US"/>
        </a:p>
      </dgm:t>
    </dgm:pt>
    <dgm:pt modelId="{00F4CCE9-985F-4B3A-A970-E38E929D9EE2}">
      <dgm:prSet phldrT="[Text]"/>
      <dgm:spPr/>
      <dgm:t>
        <a:bodyPr/>
        <a:p>
          <a:r>
            <a:rPr lang="en-US" b="1">
              <a:latin typeface="Times New Roman" panose="02020603050405020304" charset="0"/>
              <a:cs typeface="Times New Roman" panose="02020603050405020304" charset="0"/>
            </a:rPr>
            <a:t>Place</a:t>
          </a:r>
        </a:p>
      </dgm:t>
    </dgm:pt>
    <dgm:pt modelId="{2BA5F796-70DF-47E0-A49E-A664602117AD}" cxnId="{6EE4CCFD-9E34-4D34-A0F6-30D889F6E279}" type="parTrans">
      <dgm:prSet/>
      <dgm:spPr/>
      <dgm:t>
        <a:bodyPr/>
        <a:p>
          <a:endParaRPr lang="en-US"/>
        </a:p>
      </dgm:t>
    </dgm:pt>
    <dgm:pt modelId="{248ACE6F-62A4-4016-9A1F-0C93FAC4F655}" cxnId="{6EE4CCFD-9E34-4D34-A0F6-30D889F6E279}" type="sibTrans">
      <dgm:prSet/>
      <dgm:spPr/>
      <dgm:t>
        <a:bodyPr/>
        <a:p>
          <a:endParaRPr lang="en-US"/>
        </a:p>
      </dgm:t>
    </dgm:pt>
    <dgm:pt modelId="{EA628C5D-FED9-496D-A029-FADB0EBEC618}">
      <dgm:prSet phldrT="[Text]"/>
      <dgm:spPr/>
      <dgm:t>
        <a:bodyPr/>
        <a:p>
          <a:r>
            <a:rPr lang="en-US" b="1">
              <a:latin typeface="Times New Roman" panose="02020603050405020304" charset="0"/>
              <a:cs typeface="Times New Roman" panose="02020603050405020304" charset="0"/>
            </a:rPr>
            <a:t>People</a:t>
          </a:r>
        </a:p>
      </dgm:t>
    </dgm:pt>
    <dgm:pt modelId="{B84D8B54-52D2-4B9D-8570-DFDD1C1BF0CC}" cxnId="{937FA88F-BCAC-4E00-880A-6B335EC6960D}" type="parTrans">
      <dgm:prSet/>
      <dgm:spPr/>
      <dgm:t>
        <a:bodyPr/>
        <a:p>
          <a:endParaRPr lang="en-US"/>
        </a:p>
      </dgm:t>
    </dgm:pt>
    <dgm:pt modelId="{1636F1DA-598D-4B9F-BA00-314A3C4D02E5}" cxnId="{937FA88F-BCAC-4E00-880A-6B335EC6960D}" type="sibTrans">
      <dgm:prSet/>
      <dgm:spPr/>
      <dgm:t>
        <a:bodyPr/>
        <a:p>
          <a:endParaRPr lang="en-US"/>
        </a:p>
      </dgm:t>
    </dgm:pt>
    <dgm:pt modelId="{F4BC4761-23A7-4212-8F76-5A78AD29DCDA}">
      <dgm:prSet phldrT="[Text]"/>
      <dgm:spPr/>
      <dgm:t>
        <a:bodyPr/>
        <a:p>
          <a:r>
            <a:rPr lang="en-US" b="1">
              <a:latin typeface="Times New Roman" panose="02020603050405020304" charset="0"/>
              <a:cs typeface="Times New Roman" panose="02020603050405020304" charset="0"/>
            </a:rPr>
            <a:t>Process</a:t>
          </a:r>
        </a:p>
      </dgm:t>
    </dgm:pt>
    <dgm:pt modelId="{DE66B32E-B1CE-4D53-AC9F-227C89E8DF55}" cxnId="{4A599434-04B3-4CAA-8353-C27C23CFD4CC}" type="parTrans">
      <dgm:prSet/>
      <dgm:spPr/>
      <dgm:t>
        <a:bodyPr/>
        <a:p>
          <a:endParaRPr lang="en-US"/>
        </a:p>
      </dgm:t>
    </dgm:pt>
    <dgm:pt modelId="{EEBB9844-6B9A-47E4-AD6B-F5DEEB2FBB30}" cxnId="{4A599434-04B3-4CAA-8353-C27C23CFD4CC}" type="sibTrans">
      <dgm:prSet/>
      <dgm:spPr/>
      <dgm:t>
        <a:bodyPr/>
        <a:p>
          <a:endParaRPr lang="en-US"/>
        </a:p>
      </dgm:t>
    </dgm:pt>
    <dgm:pt modelId="{15FB4226-A331-4336-8DC7-5131A1C007D2}">
      <dgm:prSet phldrT="[Text]"/>
      <dgm:spPr/>
      <dgm:t>
        <a:bodyPr/>
        <a:p>
          <a:r>
            <a:rPr lang="en-US" b="1">
              <a:latin typeface="Times New Roman" panose="02020603050405020304" charset="0"/>
              <a:cs typeface="Times New Roman" panose="02020603050405020304" charset="0"/>
            </a:rPr>
            <a:t>Physical Environment</a:t>
          </a:r>
        </a:p>
      </dgm:t>
    </dgm:pt>
    <dgm:pt modelId="{89C9CF4C-91A7-4687-8EC7-19EFBEDBB574}" cxnId="{6ADAF791-C832-491C-9081-A4B3800FD2A2}" type="parTrans">
      <dgm:prSet/>
      <dgm:spPr/>
      <dgm:t>
        <a:bodyPr/>
        <a:p>
          <a:endParaRPr lang="en-US"/>
        </a:p>
      </dgm:t>
    </dgm:pt>
    <dgm:pt modelId="{BD9C67D9-8C2B-41B3-93F7-A5A698AB4F3B}" cxnId="{6ADAF791-C832-491C-9081-A4B3800FD2A2}" type="sibTrans">
      <dgm:prSet/>
      <dgm:spPr/>
      <dgm:t>
        <a:bodyPr/>
        <a:p>
          <a:endParaRPr lang="en-US"/>
        </a:p>
      </dgm:t>
    </dgm:pt>
    <dgm:pt modelId="{68745B0E-CFDF-4053-B78E-27535115C059}" type="pres">
      <dgm:prSet presAssocID="{DF3FACCD-AD39-4AEE-B7CE-CB0E7F69561E}" presName="Name0" presStyleCnt="0">
        <dgm:presLayoutVars>
          <dgm:dir/>
          <dgm:resizeHandles val="exact"/>
        </dgm:presLayoutVars>
      </dgm:prSet>
      <dgm:spPr/>
    </dgm:pt>
    <dgm:pt modelId="{93793152-104C-4420-A870-36CE5D3CA4E7}" type="pres">
      <dgm:prSet presAssocID="{01A8361D-2219-4579-94FC-A29284C7351C}" presName="node" presStyleLbl="node1" presStyleIdx="0" presStyleCnt="7">
        <dgm:presLayoutVars>
          <dgm:bulletEnabled val="1"/>
        </dgm:presLayoutVars>
      </dgm:prSet>
      <dgm:spPr/>
    </dgm:pt>
    <dgm:pt modelId="{045D695E-70F4-4C79-9C61-B836F3BCEAB0}" type="pres">
      <dgm:prSet presAssocID="{ABDEEDCF-57B9-4EA2-B281-2C04766D74F4}" presName="sibTrans" presStyleLbl="sibTrans1D1" presStyleIdx="0" presStyleCnt="6"/>
      <dgm:spPr/>
    </dgm:pt>
    <dgm:pt modelId="{6A5A0F43-6951-40F3-9F6D-7730DD6D2744}" type="pres">
      <dgm:prSet presAssocID="{ABDEEDCF-57B9-4EA2-B281-2C04766D74F4}" presName="connectorText" presStyleLbl="sibTrans1D1" presStyleIdx="0" presStyleCnt="6"/>
      <dgm:spPr/>
    </dgm:pt>
    <dgm:pt modelId="{DCB46183-63B5-4D59-B4A8-F999D7AEB3B6}" type="pres">
      <dgm:prSet presAssocID="{D27E40AD-8D07-4C3D-B2F9-2FF5E7B1FAC7}" presName="node" presStyleLbl="node1" presStyleIdx="1" presStyleCnt="7">
        <dgm:presLayoutVars>
          <dgm:bulletEnabled val="1"/>
        </dgm:presLayoutVars>
      </dgm:prSet>
      <dgm:spPr/>
    </dgm:pt>
    <dgm:pt modelId="{FE0CF946-5061-4BE3-9CB8-D985C9FDE0CF}" type="pres">
      <dgm:prSet presAssocID="{D23996E6-B35A-49DD-8293-9C15311899CA}" presName="sibTrans" presStyleLbl="sibTrans1D1" presStyleIdx="1" presStyleCnt="6"/>
      <dgm:spPr/>
    </dgm:pt>
    <dgm:pt modelId="{F03C0ABC-9ED1-4AE8-B17A-83AA698405DE}" type="pres">
      <dgm:prSet presAssocID="{D23996E6-B35A-49DD-8293-9C15311899CA}" presName="connectorText" presStyleLbl="sibTrans1D1" presStyleIdx="1" presStyleCnt="6"/>
      <dgm:spPr/>
    </dgm:pt>
    <dgm:pt modelId="{DBFE1D8D-0859-478B-9B8B-2BDD6EA4E19D}" type="pres">
      <dgm:prSet presAssocID="{18166028-F136-4F18-A080-7CFAA0ACD9AA}" presName="node" presStyleLbl="node1" presStyleIdx="2" presStyleCnt="7">
        <dgm:presLayoutVars>
          <dgm:bulletEnabled val="1"/>
        </dgm:presLayoutVars>
      </dgm:prSet>
      <dgm:spPr/>
    </dgm:pt>
    <dgm:pt modelId="{C1315DF6-BEC5-4110-876C-01E3282AD55F}" type="pres">
      <dgm:prSet presAssocID="{2E0A448D-4847-446A-B2CF-75BE8D536152}" presName="sibTrans" presStyleLbl="sibTrans1D1" presStyleIdx="2" presStyleCnt="6"/>
      <dgm:spPr/>
    </dgm:pt>
    <dgm:pt modelId="{8C7A3AC4-0F35-4397-B125-4F1C186B9A0C}" type="pres">
      <dgm:prSet presAssocID="{2E0A448D-4847-446A-B2CF-75BE8D536152}" presName="connectorText" presStyleLbl="sibTrans1D1" presStyleIdx="2" presStyleCnt="6"/>
      <dgm:spPr/>
    </dgm:pt>
    <dgm:pt modelId="{FA915D4C-9DFE-4A45-8538-D9FB379F5054}" type="pres">
      <dgm:prSet presAssocID="{00F4CCE9-985F-4B3A-A970-E38E929D9EE2}" presName="node" presStyleLbl="node1" presStyleIdx="3" presStyleCnt="7">
        <dgm:presLayoutVars>
          <dgm:bulletEnabled val="1"/>
        </dgm:presLayoutVars>
      </dgm:prSet>
      <dgm:spPr/>
    </dgm:pt>
    <dgm:pt modelId="{D5A80209-AE55-4505-9539-E45FE447BE44}" type="pres">
      <dgm:prSet presAssocID="{248ACE6F-62A4-4016-9A1F-0C93FAC4F655}" presName="sibTrans" presStyleLbl="sibTrans1D1" presStyleIdx="3" presStyleCnt="6"/>
      <dgm:spPr/>
    </dgm:pt>
    <dgm:pt modelId="{F0282A86-D744-4AAD-BF1C-EFDBB2786A22}" type="pres">
      <dgm:prSet presAssocID="{248ACE6F-62A4-4016-9A1F-0C93FAC4F655}" presName="connectorText" presStyleLbl="sibTrans1D1" presStyleIdx="3" presStyleCnt="6"/>
      <dgm:spPr/>
    </dgm:pt>
    <dgm:pt modelId="{C6477526-FFFF-4D24-9589-8046A2E3BD00}" type="pres">
      <dgm:prSet presAssocID="{EA628C5D-FED9-496D-A029-FADB0EBEC618}" presName="node" presStyleLbl="node1" presStyleIdx="4" presStyleCnt="7">
        <dgm:presLayoutVars>
          <dgm:bulletEnabled val="1"/>
        </dgm:presLayoutVars>
      </dgm:prSet>
      <dgm:spPr/>
    </dgm:pt>
    <dgm:pt modelId="{B76A3F13-DA72-4018-85B6-667A6468C7B3}" type="pres">
      <dgm:prSet presAssocID="{1636F1DA-598D-4B9F-BA00-314A3C4D02E5}" presName="sibTrans" presStyleLbl="sibTrans1D1" presStyleIdx="4" presStyleCnt="6"/>
      <dgm:spPr/>
    </dgm:pt>
    <dgm:pt modelId="{B781A245-F1CE-4FC0-B042-2B7A13D173A0}" type="pres">
      <dgm:prSet presAssocID="{1636F1DA-598D-4B9F-BA00-314A3C4D02E5}" presName="connectorText" presStyleLbl="sibTrans1D1" presStyleIdx="4" presStyleCnt="6"/>
      <dgm:spPr/>
    </dgm:pt>
    <dgm:pt modelId="{F7D0A245-5E5B-4396-82BF-CFEA626462B1}" type="pres">
      <dgm:prSet presAssocID="{F4BC4761-23A7-4212-8F76-5A78AD29DCDA}" presName="node" presStyleLbl="node1" presStyleIdx="5" presStyleCnt="7">
        <dgm:presLayoutVars>
          <dgm:bulletEnabled val="1"/>
        </dgm:presLayoutVars>
      </dgm:prSet>
      <dgm:spPr/>
    </dgm:pt>
    <dgm:pt modelId="{63BB5A9E-2B01-473A-9E35-A6240149E7CC}" type="pres">
      <dgm:prSet presAssocID="{EEBB9844-6B9A-47E4-AD6B-F5DEEB2FBB30}" presName="sibTrans" presStyleLbl="sibTrans1D1" presStyleIdx="5" presStyleCnt="6"/>
      <dgm:spPr/>
    </dgm:pt>
    <dgm:pt modelId="{E0655C88-910C-43E9-9457-FB5186DC7E66}" type="pres">
      <dgm:prSet presAssocID="{EEBB9844-6B9A-47E4-AD6B-F5DEEB2FBB30}" presName="connectorText" presStyleLbl="sibTrans1D1" presStyleIdx="5" presStyleCnt="6"/>
      <dgm:spPr/>
    </dgm:pt>
    <dgm:pt modelId="{25FC84BF-69D2-44C0-B901-FE53C90086D2}" type="pres">
      <dgm:prSet presAssocID="{15FB4226-A331-4336-8DC7-5131A1C007D2}" presName="node" presStyleLbl="node1" presStyleIdx="6" presStyleCnt="7">
        <dgm:presLayoutVars>
          <dgm:bulletEnabled val="1"/>
        </dgm:presLayoutVars>
      </dgm:prSet>
      <dgm:spPr/>
    </dgm:pt>
  </dgm:ptLst>
  <dgm:cxnLst>
    <dgm:cxn modelId="{7A44A104-87E7-4B32-9078-D5B57EEA4BCB}" type="presOf" srcId="{EEBB9844-6B9A-47E4-AD6B-F5DEEB2FBB30}" destId="{63BB5A9E-2B01-473A-9E35-A6240149E7CC}" srcOrd="0" destOrd="0" presId="urn:microsoft.com/office/officeart/2005/8/layout/bProcess3"/>
    <dgm:cxn modelId="{86E5F01D-E0FB-4CB4-909B-7CDA297BCE1D}" type="presOf" srcId="{1636F1DA-598D-4B9F-BA00-314A3C4D02E5}" destId="{B76A3F13-DA72-4018-85B6-667A6468C7B3}" srcOrd="0" destOrd="0" presId="urn:microsoft.com/office/officeart/2005/8/layout/bProcess3"/>
    <dgm:cxn modelId="{A391581F-521E-4C76-A7AC-642C653F0D7B}" type="presOf" srcId="{18166028-F136-4F18-A080-7CFAA0ACD9AA}" destId="{DBFE1D8D-0859-478B-9B8B-2BDD6EA4E19D}" srcOrd="0" destOrd="0" presId="urn:microsoft.com/office/officeart/2005/8/layout/bProcess3"/>
    <dgm:cxn modelId="{4A599434-04B3-4CAA-8353-C27C23CFD4CC}" srcId="{DF3FACCD-AD39-4AEE-B7CE-CB0E7F69561E}" destId="{F4BC4761-23A7-4212-8F76-5A78AD29DCDA}" srcOrd="5" destOrd="0" parTransId="{DE66B32E-B1CE-4D53-AC9F-227C89E8DF55}" sibTransId="{EEBB9844-6B9A-47E4-AD6B-F5DEEB2FBB30}"/>
    <dgm:cxn modelId="{20082261-0D9F-4EDB-8E82-B3868C82548D}" srcId="{DF3FACCD-AD39-4AEE-B7CE-CB0E7F69561E}" destId="{01A8361D-2219-4579-94FC-A29284C7351C}" srcOrd="0" destOrd="0" parTransId="{4B51DEE9-3441-4CD3-8E34-90B8E7BCB4EF}" sibTransId="{ABDEEDCF-57B9-4EA2-B281-2C04766D74F4}"/>
    <dgm:cxn modelId="{31192361-46FA-4755-BC43-3D99976F453C}" type="presOf" srcId="{EEBB9844-6B9A-47E4-AD6B-F5DEEB2FBB30}" destId="{E0655C88-910C-43E9-9457-FB5186DC7E66}" srcOrd="1" destOrd="0" presId="urn:microsoft.com/office/officeart/2005/8/layout/bProcess3"/>
    <dgm:cxn modelId="{BEBEF342-3EB9-4503-B3C1-20183A93FDB2}" type="presOf" srcId="{01A8361D-2219-4579-94FC-A29284C7351C}" destId="{93793152-104C-4420-A870-36CE5D3CA4E7}" srcOrd="0" destOrd="0" presId="urn:microsoft.com/office/officeart/2005/8/layout/bProcess3"/>
    <dgm:cxn modelId="{65935944-79BA-4715-A65D-7898F42EDC3E}" type="presOf" srcId="{1636F1DA-598D-4B9F-BA00-314A3C4D02E5}" destId="{B781A245-F1CE-4FC0-B042-2B7A13D173A0}" srcOrd="1" destOrd="0" presId="urn:microsoft.com/office/officeart/2005/8/layout/bProcess3"/>
    <dgm:cxn modelId="{FF31C169-D235-4EA1-995B-AE09A4F92DF3}" type="presOf" srcId="{2E0A448D-4847-446A-B2CF-75BE8D536152}" destId="{8C7A3AC4-0F35-4397-B125-4F1C186B9A0C}" srcOrd="1" destOrd="0" presId="urn:microsoft.com/office/officeart/2005/8/layout/bProcess3"/>
    <dgm:cxn modelId="{04E0614C-C76B-4BD0-BA67-ED4DE14358A7}" type="presOf" srcId="{ABDEEDCF-57B9-4EA2-B281-2C04766D74F4}" destId="{6A5A0F43-6951-40F3-9F6D-7730DD6D2744}" srcOrd="1" destOrd="0" presId="urn:microsoft.com/office/officeart/2005/8/layout/bProcess3"/>
    <dgm:cxn modelId="{FB526950-FE8E-4596-9199-82ED5DB47DF1}" type="presOf" srcId="{D23996E6-B35A-49DD-8293-9C15311899CA}" destId="{F03C0ABC-9ED1-4AE8-B17A-83AA698405DE}" srcOrd="1" destOrd="0" presId="urn:microsoft.com/office/officeart/2005/8/layout/bProcess3"/>
    <dgm:cxn modelId="{882B2658-2F1C-46E5-BF66-87B57C1302B3}" type="presOf" srcId="{DF3FACCD-AD39-4AEE-B7CE-CB0E7F69561E}" destId="{68745B0E-CFDF-4053-B78E-27535115C059}" srcOrd="0" destOrd="0" presId="urn:microsoft.com/office/officeart/2005/8/layout/bProcess3"/>
    <dgm:cxn modelId="{76F0BA7C-1298-41D9-ACB3-20F474E8B09F}" type="presOf" srcId="{EA628C5D-FED9-496D-A029-FADB0EBEC618}" destId="{C6477526-FFFF-4D24-9589-8046A2E3BD00}" srcOrd="0" destOrd="0" presId="urn:microsoft.com/office/officeart/2005/8/layout/bProcess3"/>
    <dgm:cxn modelId="{92D17885-EFF7-4F2C-8E78-76DF3EC4B2BF}" type="presOf" srcId="{248ACE6F-62A4-4016-9A1F-0C93FAC4F655}" destId="{F0282A86-D744-4AAD-BF1C-EFDBB2786A22}" srcOrd="1" destOrd="0" presId="urn:microsoft.com/office/officeart/2005/8/layout/bProcess3"/>
    <dgm:cxn modelId="{3813A08F-B5F0-4C40-A403-0AB311713138}" type="presOf" srcId="{D27E40AD-8D07-4C3D-B2F9-2FF5E7B1FAC7}" destId="{DCB46183-63B5-4D59-B4A8-F999D7AEB3B6}" srcOrd="0" destOrd="0" presId="urn:microsoft.com/office/officeart/2005/8/layout/bProcess3"/>
    <dgm:cxn modelId="{937FA88F-BCAC-4E00-880A-6B335EC6960D}" srcId="{DF3FACCD-AD39-4AEE-B7CE-CB0E7F69561E}" destId="{EA628C5D-FED9-496D-A029-FADB0EBEC618}" srcOrd="4" destOrd="0" parTransId="{B84D8B54-52D2-4B9D-8570-DFDD1C1BF0CC}" sibTransId="{1636F1DA-598D-4B9F-BA00-314A3C4D02E5}"/>
    <dgm:cxn modelId="{6ADAF791-C832-491C-9081-A4B3800FD2A2}" srcId="{DF3FACCD-AD39-4AEE-B7CE-CB0E7F69561E}" destId="{15FB4226-A331-4336-8DC7-5131A1C007D2}" srcOrd="6" destOrd="0" parTransId="{89C9CF4C-91A7-4687-8EC7-19EFBEDBB574}" sibTransId="{BD9C67D9-8C2B-41B3-93F7-A5A698AB4F3B}"/>
    <dgm:cxn modelId="{71D94996-DA05-4AC6-968F-9103B6C5A292}" type="presOf" srcId="{15FB4226-A331-4336-8DC7-5131A1C007D2}" destId="{25FC84BF-69D2-44C0-B901-FE53C90086D2}" srcOrd="0" destOrd="0" presId="urn:microsoft.com/office/officeart/2005/8/layout/bProcess3"/>
    <dgm:cxn modelId="{B7BAA8B1-5B8E-4A77-8584-8495B53DD23B}" srcId="{DF3FACCD-AD39-4AEE-B7CE-CB0E7F69561E}" destId="{18166028-F136-4F18-A080-7CFAA0ACD9AA}" srcOrd="2" destOrd="0" parTransId="{36C3C497-146B-47EB-9E61-CEA0148EC67F}" sibTransId="{2E0A448D-4847-446A-B2CF-75BE8D536152}"/>
    <dgm:cxn modelId="{CC3AC4B4-23BB-481E-A14E-FED972B35E85}" type="presOf" srcId="{D23996E6-B35A-49DD-8293-9C15311899CA}" destId="{FE0CF946-5061-4BE3-9CB8-D985C9FDE0CF}" srcOrd="0" destOrd="0" presId="urn:microsoft.com/office/officeart/2005/8/layout/bProcess3"/>
    <dgm:cxn modelId="{AFF3EAB5-6331-4FD0-97C0-7CDD62F24543}" srcId="{DF3FACCD-AD39-4AEE-B7CE-CB0E7F69561E}" destId="{D27E40AD-8D07-4C3D-B2F9-2FF5E7B1FAC7}" srcOrd="1" destOrd="0" parTransId="{2C72A8DA-4BD9-4F17-BFAA-59F5B826D72A}" sibTransId="{D23996E6-B35A-49DD-8293-9C15311899CA}"/>
    <dgm:cxn modelId="{577598BF-2872-4060-A98F-B32C3ABA0482}" type="presOf" srcId="{F4BC4761-23A7-4212-8F76-5A78AD29DCDA}" destId="{F7D0A245-5E5B-4396-82BF-CFEA626462B1}" srcOrd="0" destOrd="0" presId="urn:microsoft.com/office/officeart/2005/8/layout/bProcess3"/>
    <dgm:cxn modelId="{753005EB-EEE3-4099-94BF-040F3333B700}" type="presOf" srcId="{00F4CCE9-985F-4B3A-A970-E38E929D9EE2}" destId="{FA915D4C-9DFE-4A45-8538-D9FB379F5054}" srcOrd="0" destOrd="0" presId="urn:microsoft.com/office/officeart/2005/8/layout/bProcess3"/>
    <dgm:cxn modelId="{A66676F4-1239-487E-BE25-93665FBA8435}" type="presOf" srcId="{248ACE6F-62A4-4016-9A1F-0C93FAC4F655}" destId="{D5A80209-AE55-4505-9539-E45FE447BE44}" srcOrd="0" destOrd="0" presId="urn:microsoft.com/office/officeart/2005/8/layout/bProcess3"/>
    <dgm:cxn modelId="{2CA496F8-F169-4FD9-9349-7BDA911F3427}" type="presOf" srcId="{2E0A448D-4847-446A-B2CF-75BE8D536152}" destId="{C1315DF6-BEC5-4110-876C-01E3282AD55F}" srcOrd="0" destOrd="0" presId="urn:microsoft.com/office/officeart/2005/8/layout/bProcess3"/>
    <dgm:cxn modelId="{39C686F9-F068-4AD0-9BD7-0087E89547A1}" type="presOf" srcId="{ABDEEDCF-57B9-4EA2-B281-2C04766D74F4}" destId="{045D695E-70F4-4C79-9C61-B836F3BCEAB0}" srcOrd="0" destOrd="0" presId="urn:microsoft.com/office/officeart/2005/8/layout/bProcess3"/>
    <dgm:cxn modelId="{6EE4CCFD-9E34-4D34-A0F6-30D889F6E279}" srcId="{DF3FACCD-AD39-4AEE-B7CE-CB0E7F69561E}" destId="{00F4CCE9-985F-4B3A-A970-E38E929D9EE2}" srcOrd="3" destOrd="0" parTransId="{2BA5F796-70DF-47E0-A49E-A664602117AD}" sibTransId="{248ACE6F-62A4-4016-9A1F-0C93FAC4F655}"/>
    <dgm:cxn modelId="{0C6E9100-7EE0-4BE6-A6E3-38FF67FC4AA4}" type="presParOf" srcId="{68745B0E-CFDF-4053-B78E-27535115C059}" destId="{93793152-104C-4420-A870-36CE5D3CA4E7}" srcOrd="0" destOrd="0" presId="urn:microsoft.com/office/officeart/2005/8/layout/bProcess3"/>
    <dgm:cxn modelId="{B6A96392-5F95-4E92-9C72-FF45D957B3FE}" type="presParOf" srcId="{68745B0E-CFDF-4053-B78E-27535115C059}" destId="{045D695E-70F4-4C79-9C61-B836F3BCEAB0}" srcOrd="1" destOrd="0" presId="urn:microsoft.com/office/officeart/2005/8/layout/bProcess3"/>
    <dgm:cxn modelId="{1F5742FB-A820-4284-8B87-41546CDF76B6}" type="presParOf" srcId="{045D695E-70F4-4C79-9C61-B836F3BCEAB0}" destId="{6A5A0F43-6951-40F3-9F6D-7730DD6D2744}" srcOrd="0" destOrd="0" presId="urn:microsoft.com/office/officeart/2005/8/layout/bProcess3"/>
    <dgm:cxn modelId="{67704267-20D3-4ADC-B5BE-63A8A5313FB0}" type="presParOf" srcId="{68745B0E-CFDF-4053-B78E-27535115C059}" destId="{DCB46183-63B5-4D59-B4A8-F999D7AEB3B6}" srcOrd="2" destOrd="0" presId="urn:microsoft.com/office/officeart/2005/8/layout/bProcess3"/>
    <dgm:cxn modelId="{223737A1-A79D-4B89-B3F7-3C9A5C4A7E93}" type="presParOf" srcId="{68745B0E-CFDF-4053-B78E-27535115C059}" destId="{FE0CF946-5061-4BE3-9CB8-D985C9FDE0CF}" srcOrd="3" destOrd="0" presId="urn:microsoft.com/office/officeart/2005/8/layout/bProcess3"/>
    <dgm:cxn modelId="{6B8F7ED6-31D9-48BC-B361-0FDFFD14B3D7}" type="presParOf" srcId="{FE0CF946-5061-4BE3-9CB8-D985C9FDE0CF}" destId="{F03C0ABC-9ED1-4AE8-B17A-83AA698405DE}" srcOrd="0" destOrd="0" presId="urn:microsoft.com/office/officeart/2005/8/layout/bProcess3"/>
    <dgm:cxn modelId="{45E18920-AFB2-4A3C-B84B-51D640B727A0}" type="presParOf" srcId="{68745B0E-CFDF-4053-B78E-27535115C059}" destId="{DBFE1D8D-0859-478B-9B8B-2BDD6EA4E19D}" srcOrd="4" destOrd="0" presId="urn:microsoft.com/office/officeart/2005/8/layout/bProcess3"/>
    <dgm:cxn modelId="{2100EF9D-B31B-41F9-BA9F-FCDEC74CFAF4}" type="presParOf" srcId="{68745B0E-CFDF-4053-B78E-27535115C059}" destId="{C1315DF6-BEC5-4110-876C-01E3282AD55F}" srcOrd="5" destOrd="0" presId="urn:microsoft.com/office/officeart/2005/8/layout/bProcess3"/>
    <dgm:cxn modelId="{7E5A8B84-354F-437F-BC3E-EDBCAF7D7EE2}" type="presParOf" srcId="{C1315DF6-BEC5-4110-876C-01E3282AD55F}" destId="{8C7A3AC4-0F35-4397-B125-4F1C186B9A0C}" srcOrd="0" destOrd="0" presId="urn:microsoft.com/office/officeart/2005/8/layout/bProcess3"/>
    <dgm:cxn modelId="{ED7DF245-F0CD-4054-A91A-6FCE84CAAF71}" type="presParOf" srcId="{68745B0E-CFDF-4053-B78E-27535115C059}" destId="{FA915D4C-9DFE-4A45-8538-D9FB379F5054}" srcOrd="6" destOrd="0" presId="urn:microsoft.com/office/officeart/2005/8/layout/bProcess3"/>
    <dgm:cxn modelId="{01621BF3-0BBA-4BD3-A643-14A0BC5531F9}" type="presParOf" srcId="{68745B0E-CFDF-4053-B78E-27535115C059}" destId="{D5A80209-AE55-4505-9539-E45FE447BE44}" srcOrd="7" destOrd="0" presId="urn:microsoft.com/office/officeart/2005/8/layout/bProcess3"/>
    <dgm:cxn modelId="{CBC4CC93-99E1-4262-8F64-76BF9C5DF25E}" type="presParOf" srcId="{D5A80209-AE55-4505-9539-E45FE447BE44}" destId="{F0282A86-D744-4AAD-BF1C-EFDBB2786A22}" srcOrd="0" destOrd="0" presId="urn:microsoft.com/office/officeart/2005/8/layout/bProcess3"/>
    <dgm:cxn modelId="{C981566B-432F-4D4E-B57D-7836F1D4EC13}" type="presParOf" srcId="{68745B0E-CFDF-4053-B78E-27535115C059}" destId="{C6477526-FFFF-4D24-9589-8046A2E3BD00}" srcOrd="8" destOrd="0" presId="urn:microsoft.com/office/officeart/2005/8/layout/bProcess3"/>
    <dgm:cxn modelId="{8A2AE846-015F-481B-A05C-0A1EFA9825A0}" type="presParOf" srcId="{68745B0E-CFDF-4053-B78E-27535115C059}" destId="{B76A3F13-DA72-4018-85B6-667A6468C7B3}" srcOrd="9" destOrd="0" presId="urn:microsoft.com/office/officeart/2005/8/layout/bProcess3"/>
    <dgm:cxn modelId="{A44657FC-D1E9-4E17-82C6-64E15DB1682D}" type="presParOf" srcId="{B76A3F13-DA72-4018-85B6-667A6468C7B3}" destId="{B781A245-F1CE-4FC0-B042-2B7A13D173A0}" srcOrd="0" destOrd="0" presId="urn:microsoft.com/office/officeart/2005/8/layout/bProcess3"/>
    <dgm:cxn modelId="{0CF6C465-E1B4-4DD9-B1DF-381F78A85DD9}" type="presParOf" srcId="{68745B0E-CFDF-4053-B78E-27535115C059}" destId="{F7D0A245-5E5B-4396-82BF-CFEA626462B1}" srcOrd="10" destOrd="0" presId="urn:microsoft.com/office/officeart/2005/8/layout/bProcess3"/>
    <dgm:cxn modelId="{40119B55-6E8B-439A-B556-84449311EC23}" type="presParOf" srcId="{68745B0E-CFDF-4053-B78E-27535115C059}" destId="{63BB5A9E-2B01-473A-9E35-A6240149E7CC}" srcOrd="11" destOrd="0" presId="urn:microsoft.com/office/officeart/2005/8/layout/bProcess3"/>
    <dgm:cxn modelId="{F5A67279-E013-4AD0-B302-0E9D6F05D8F7}" type="presParOf" srcId="{63BB5A9E-2B01-473A-9E35-A6240149E7CC}" destId="{E0655C88-910C-43E9-9457-FB5186DC7E66}" srcOrd="0" destOrd="0" presId="urn:microsoft.com/office/officeart/2005/8/layout/bProcess3"/>
    <dgm:cxn modelId="{C31B3B0E-D71F-40EE-BC49-FEC602F5B561}" type="presParOf" srcId="{68745B0E-CFDF-4053-B78E-27535115C059}" destId="{25FC84BF-69D2-44C0-B901-FE53C90086D2}" srcOrd="12"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B979BCC-8524-4111-B08E-60E25D60730C}" type="doc">
      <dgm:prSet loTypeId="urn:microsoft.com/office/officeart/2005/8/layout/lProcess2" loCatId="list" qsTypeId="urn:microsoft.com/office/officeart/2005/8/quickstyle/simple1" qsCatId="simple" csTypeId="urn:microsoft.com/office/officeart/2005/8/colors/accent1_2" csCatId="accent1" phldr="1"/>
      <dgm:spPr/>
      <dgm:t>
        <a:bodyPr/>
        <a:p>
          <a:endParaRPr lang="en-US"/>
        </a:p>
      </dgm:t>
    </dgm:pt>
    <dgm:pt modelId="{1505AB9B-8057-4CE8-9CC5-B3C0C6A4FC7A}">
      <dgm:prSet phldrT="[Text]" custT="1"/>
      <dgm:spPr/>
      <dgm:t>
        <a:bodyPr/>
        <a:p>
          <a:r>
            <a:rPr lang="en-US" sz="1800">
              <a:latin typeface="Times New Roman" panose="02020603050405020304" charset="0"/>
              <a:cs typeface="Times New Roman" panose="02020603050405020304" charset="0"/>
            </a:rPr>
            <a:t>High</a:t>
          </a:r>
        </a:p>
      </dgm:t>
    </dgm:pt>
    <dgm:pt modelId="{42EEE4E5-C0F9-4098-8B33-DDF5838ABF59}" cxnId="{0893C18A-2F81-4D49-B04D-5AF7D5C35360}" type="parTrans">
      <dgm:prSet/>
      <dgm:spPr/>
      <dgm:t>
        <a:bodyPr/>
        <a:p>
          <a:endParaRPr lang="en-US"/>
        </a:p>
      </dgm:t>
    </dgm:pt>
    <dgm:pt modelId="{A626CD97-4FE7-4DA6-9022-05C4004BA458}" cxnId="{0893C18A-2F81-4D49-B04D-5AF7D5C35360}" type="sibTrans">
      <dgm:prSet/>
      <dgm:spPr/>
      <dgm:t>
        <a:bodyPr/>
        <a:p>
          <a:endParaRPr lang="en-US"/>
        </a:p>
      </dgm:t>
    </dgm:pt>
    <dgm:pt modelId="{8A2E0F97-2F8A-4465-948C-0481D8B59E19}">
      <dgm:prSet phldrT="[Text]" custT="1"/>
      <dgm:spPr>
        <a:blipFill rotWithShape="0">
          <a:blip xmlns:r="http://schemas.openxmlformats.org/officeDocument/2006/relationships" r:embed="rId1"/>
          <a:stretch>
            <a:fillRect/>
          </a:stretch>
        </a:blipFill>
      </dgm:spPr>
      <dgm:t>
        <a:bodyPr/>
        <a:p>
          <a:endParaRPr lang="en-US" sz="1800">
            <a:latin typeface="Times New Roman" panose="02020603050405020304" charset="0"/>
            <a:cs typeface="Times New Roman" panose="02020603050405020304" charset="0"/>
          </a:endParaRPr>
        </a:p>
      </dgm:t>
    </dgm:pt>
    <dgm:pt modelId="{AEA78750-51FD-49D3-8204-021F14371CC1}" cxnId="{E79D92F4-DBC0-4FE7-AA5E-66E695B4357B}" type="parTrans">
      <dgm:prSet/>
      <dgm:spPr/>
      <dgm:t>
        <a:bodyPr/>
        <a:p>
          <a:endParaRPr lang="en-US"/>
        </a:p>
      </dgm:t>
    </dgm:pt>
    <dgm:pt modelId="{A41D3392-41F5-4692-8927-2369805AE71D}" cxnId="{E79D92F4-DBC0-4FE7-AA5E-66E695B4357B}" type="sibTrans">
      <dgm:prSet/>
      <dgm:spPr/>
      <dgm:t>
        <a:bodyPr/>
        <a:p>
          <a:endParaRPr lang="en-US"/>
        </a:p>
      </dgm:t>
    </dgm:pt>
    <dgm:pt modelId="{E07B79DD-C911-49E2-B6F6-3624647A1FD7}">
      <dgm:prSet phldrT="[Text]" custT="1"/>
      <dgm:spPr>
        <a:blipFill rotWithShape="0">
          <a:blip xmlns:r="http://schemas.openxmlformats.org/officeDocument/2006/relationships" r:embed="rId2"/>
          <a:stretch>
            <a:fillRect/>
          </a:stretch>
        </a:blipFill>
      </dgm:spPr>
      <dgm:t>
        <a:bodyPr/>
        <a:p>
          <a:endParaRPr lang="en-US" sz="1800">
            <a:latin typeface="Times New Roman" panose="02020603050405020304" charset="0"/>
            <a:cs typeface="Times New Roman" panose="02020603050405020304" charset="0"/>
          </a:endParaRPr>
        </a:p>
      </dgm:t>
    </dgm:pt>
    <dgm:pt modelId="{72CBA5C6-0696-44D8-B0FB-43E889D68BB4}" cxnId="{038400C8-DB79-4F55-8579-61A05EB93041}" type="parTrans">
      <dgm:prSet/>
      <dgm:spPr/>
      <dgm:t>
        <a:bodyPr/>
        <a:p>
          <a:endParaRPr lang="en-US"/>
        </a:p>
      </dgm:t>
    </dgm:pt>
    <dgm:pt modelId="{0F6261EC-6FFE-4569-97D5-26EBF08162F7}" cxnId="{038400C8-DB79-4F55-8579-61A05EB93041}" type="sibTrans">
      <dgm:prSet/>
      <dgm:spPr/>
      <dgm:t>
        <a:bodyPr/>
        <a:p>
          <a:endParaRPr lang="en-US"/>
        </a:p>
      </dgm:t>
    </dgm:pt>
    <dgm:pt modelId="{48687661-1C4B-4631-B0F0-30E40A129D56}">
      <dgm:prSet phldrT="[Text]" custT="1"/>
      <dgm:spPr/>
      <dgm:t>
        <a:bodyPr/>
        <a:p>
          <a:r>
            <a:rPr lang="en-US" sz="1800">
              <a:latin typeface="Times New Roman" panose="02020603050405020304" charset="0"/>
              <a:cs typeface="Times New Roman" panose="02020603050405020304" charset="0"/>
            </a:rPr>
            <a:t>Low</a:t>
          </a:r>
        </a:p>
      </dgm:t>
    </dgm:pt>
    <dgm:pt modelId="{FCA26AFD-A553-49C6-BC44-064E3C6F8A63}" cxnId="{9ECBC936-AB10-4E1C-9D61-8C8C065AFDBC}" type="parTrans">
      <dgm:prSet/>
      <dgm:spPr/>
      <dgm:t>
        <a:bodyPr/>
        <a:p>
          <a:endParaRPr lang="en-US"/>
        </a:p>
      </dgm:t>
    </dgm:pt>
    <dgm:pt modelId="{A790FE45-E6D9-43B4-941A-F785DC5DF88E}" cxnId="{9ECBC936-AB10-4E1C-9D61-8C8C065AFDBC}" type="sibTrans">
      <dgm:prSet/>
      <dgm:spPr/>
      <dgm:t>
        <a:bodyPr/>
        <a:p>
          <a:endParaRPr lang="en-US"/>
        </a:p>
      </dgm:t>
    </dgm:pt>
    <dgm:pt modelId="{21603841-7421-4479-AC0A-A1D17F15F16E}">
      <dgm:prSet phldrT="[Text]" custT="1"/>
      <dgm:spPr>
        <a:blipFill rotWithShape="0">
          <a:blip xmlns:r="http://schemas.openxmlformats.org/officeDocument/2006/relationships" r:embed="rId3"/>
          <a:stretch>
            <a:fillRect/>
          </a:stretch>
        </a:blipFill>
      </dgm:spPr>
      <dgm:t>
        <a:bodyPr/>
        <a:p>
          <a:endParaRPr lang="en-US" sz="1800">
            <a:latin typeface="Times New Roman" panose="02020603050405020304" charset="0"/>
            <a:cs typeface="Times New Roman" panose="02020603050405020304" charset="0"/>
          </a:endParaRPr>
        </a:p>
      </dgm:t>
    </dgm:pt>
    <dgm:pt modelId="{56C82DB4-6C01-4E94-959B-62A2165C992D}" cxnId="{EF10C5DC-3ADF-4B79-87C6-CFD6D53503C8}" type="parTrans">
      <dgm:prSet/>
      <dgm:spPr/>
      <dgm:t>
        <a:bodyPr/>
        <a:p>
          <a:endParaRPr lang="en-US"/>
        </a:p>
      </dgm:t>
    </dgm:pt>
    <dgm:pt modelId="{B8B3CFED-4B72-4609-9D8B-171045175007}" cxnId="{EF10C5DC-3ADF-4B79-87C6-CFD6D53503C8}" type="sibTrans">
      <dgm:prSet/>
      <dgm:spPr/>
      <dgm:t>
        <a:bodyPr/>
        <a:p>
          <a:endParaRPr lang="en-US"/>
        </a:p>
      </dgm:t>
    </dgm:pt>
    <dgm:pt modelId="{C81235FD-CF1A-43A3-B860-3B997C7B45BE}">
      <dgm:prSet phldrT="[Text]" custT="1"/>
      <dgm:spPr>
        <a:blipFill rotWithShape="0">
          <a:blip xmlns:r="http://schemas.openxmlformats.org/officeDocument/2006/relationships" r:embed="rId4"/>
          <a:stretch>
            <a:fillRect/>
          </a:stretch>
        </a:blipFill>
      </dgm:spPr>
      <dgm:t>
        <a:bodyPr/>
        <a:p>
          <a:endParaRPr lang="en-US" sz="1800">
            <a:latin typeface="Times New Roman" panose="02020603050405020304" charset="0"/>
            <a:cs typeface="Times New Roman" panose="02020603050405020304" charset="0"/>
          </a:endParaRPr>
        </a:p>
      </dgm:t>
    </dgm:pt>
    <dgm:pt modelId="{287D5732-C0D6-4B01-A25E-E1A6A0CABB60}" cxnId="{58D5CE45-CDC9-4846-9EE3-42AB9B79448D}" type="sibTrans">
      <dgm:prSet/>
      <dgm:spPr/>
      <dgm:t>
        <a:bodyPr/>
        <a:p>
          <a:endParaRPr lang="en-US"/>
        </a:p>
      </dgm:t>
    </dgm:pt>
    <dgm:pt modelId="{41D1B00C-59C9-4002-B3C1-D60B3BD6A37B}" cxnId="{58D5CE45-CDC9-4846-9EE3-42AB9B79448D}" type="parTrans">
      <dgm:prSet/>
      <dgm:spPr/>
      <dgm:t>
        <a:bodyPr/>
        <a:p>
          <a:endParaRPr lang="en-US"/>
        </a:p>
      </dgm:t>
    </dgm:pt>
    <dgm:pt modelId="{FC4FB26D-5868-4DF3-B9CA-95EB0BFA66DE}" type="pres">
      <dgm:prSet presAssocID="{7B979BCC-8524-4111-B08E-60E25D60730C}" presName="theList" presStyleCnt="0">
        <dgm:presLayoutVars>
          <dgm:dir/>
          <dgm:animLvl val="lvl"/>
          <dgm:resizeHandles val="exact"/>
        </dgm:presLayoutVars>
      </dgm:prSet>
      <dgm:spPr/>
    </dgm:pt>
    <dgm:pt modelId="{EB31DB44-A37B-451F-AA65-18A1B466A4EB}" type="pres">
      <dgm:prSet presAssocID="{1505AB9B-8057-4CE8-9CC5-B3C0C6A4FC7A}" presName="compNode" presStyleCnt="0"/>
      <dgm:spPr/>
    </dgm:pt>
    <dgm:pt modelId="{C6B129D4-70A1-4923-A596-D322C3E39A37}" type="pres">
      <dgm:prSet presAssocID="{1505AB9B-8057-4CE8-9CC5-B3C0C6A4FC7A}" presName="aNode" presStyleLbl="bgShp" presStyleIdx="0" presStyleCnt="2" custLinFactNeighborX="-103" custLinFactNeighborY="3571"/>
      <dgm:spPr/>
    </dgm:pt>
    <dgm:pt modelId="{EC726973-33CD-4E42-A89F-9B3D6DABE2B5}" type="pres">
      <dgm:prSet presAssocID="{1505AB9B-8057-4CE8-9CC5-B3C0C6A4FC7A}" presName="textNode" presStyleLbl="bgShp" presStyleIdx="0" presStyleCnt="2"/>
      <dgm:spPr/>
    </dgm:pt>
    <dgm:pt modelId="{4D98D314-5639-4688-B8D0-BDA197DC9A39}" type="pres">
      <dgm:prSet presAssocID="{1505AB9B-8057-4CE8-9CC5-B3C0C6A4FC7A}" presName="compChildNode" presStyleCnt="0"/>
      <dgm:spPr/>
    </dgm:pt>
    <dgm:pt modelId="{2AA4C9A4-68ED-4C24-801E-C17D355719F9}" type="pres">
      <dgm:prSet presAssocID="{1505AB9B-8057-4CE8-9CC5-B3C0C6A4FC7A}" presName="theInnerList" presStyleCnt="0"/>
      <dgm:spPr/>
    </dgm:pt>
    <dgm:pt modelId="{8CB5A744-5C6E-44F0-AF5B-D8649DD1B1A4}" type="pres">
      <dgm:prSet presAssocID="{8A2E0F97-2F8A-4465-948C-0481D8B59E19}" presName="childNode" presStyleLbl="node1" presStyleIdx="0" presStyleCnt="4" custScaleX="71170" custScaleY="70975" custLinFactNeighborX="-2704" custLinFactNeighborY="-6415">
        <dgm:presLayoutVars>
          <dgm:bulletEnabled val="1"/>
        </dgm:presLayoutVars>
      </dgm:prSet>
      <dgm:spPr/>
    </dgm:pt>
    <dgm:pt modelId="{D83AE92A-CD88-483D-B822-E53E9B46BDBF}" type="pres">
      <dgm:prSet presAssocID="{8A2E0F97-2F8A-4465-948C-0481D8B59E19}" presName="aSpace2" presStyleCnt="0"/>
      <dgm:spPr/>
    </dgm:pt>
    <dgm:pt modelId="{2805F1D6-5C52-4CD6-A38D-F1CEFF89224D}" type="pres">
      <dgm:prSet presAssocID="{E07B79DD-C911-49E2-B6F6-3624647A1FD7}" presName="childNode" presStyleLbl="node1" presStyleIdx="1" presStyleCnt="4" custScaleX="86495">
        <dgm:presLayoutVars>
          <dgm:bulletEnabled val="1"/>
        </dgm:presLayoutVars>
      </dgm:prSet>
      <dgm:spPr/>
    </dgm:pt>
    <dgm:pt modelId="{822A55A7-CB8D-4F6C-BCE9-D09B1F755715}" type="pres">
      <dgm:prSet presAssocID="{1505AB9B-8057-4CE8-9CC5-B3C0C6A4FC7A}" presName="aSpace" presStyleCnt="0"/>
      <dgm:spPr/>
    </dgm:pt>
    <dgm:pt modelId="{53E8273D-03B8-42C9-903C-9C83D4BD00B9}" type="pres">
      <dgm:prSet presAssocID="{48687661-1C4B-4631-B0F0-30E40A129D56}" presName="compNode" presStyleCnt="0"/>
      <dgm:spPr/>
    </dgm:pt>
    <dgm:pt modelId="{63CC5301-AB6D-4F8A-94BC-3C05374072A6}" type="pres">
      <dgm:prSet presAssocID="{48687661-1C4B-4631-B0F0-30E40A129D56}" presName="aNode" presStyleLbl="bgShp" presStyleIdx="1" presStyleCnt="2"/>
      <dgm:spPr/>
    </dgm:pt>
    <dgm:pt modelId="{74F3AE98-ABD8-4B41-A991-2898C57491AC}" type="pres">
      <dgm:prSet presAssocID="{48687661-1C4B-4631-B0F0-30E40A129D56}" presName="textNode" presStyleLbl="bgShp" presStyleIdx="1" presStyleCnt="2"/>
      <dgm:spPr/>
    </dgm:pt>
    <dgm:pt modelId="{8095C502-4A60-4DF6-A2DD-123413B0302E}" type="pres">
      <dgm:prSet presAssocID="{48687661-1C4B-4631-B0F0-30E40A129D56}" presName="compChildNode" presStyleCnt="0"/>
      <dgm:spPr/>
    </dgm:pt>
    <dgm:pt modelId="{822B9625-6902-48BC-8678-5A069B6AA6FC}" type="pres">
      <dgm:prSet presAssocID="{48687661-1C4B-4631-B0F0-30E40A129D56}" presName="theInnerList" presStyleCnt="0"/>
      <dgm:spPr/>
    </dgm:pt>
    <dgm:pt modelId="{32240F6A-1F7A-4961-AF07-49629A48BB6E}" type="pres">
      <dgm:prSet presAssocID="{21603841-7421-4479-AC0A-A1D17F15F16E}" presName="childNode" presStyleLbl="node1" presStyleIdx="2" presStyleCnt="4">
        <dgm:presLayoutVars>
          <dgm:bulletEnabled val="1"/>
        </dgm:presLayoutVars>
      </dgm:prSet>
      <dgm:spPr/>
    </dgm:pt>
    <dgm:pt modelId="{785D46E5-2F94-4530-B980-33A1B7C5B82F}" type="pres">
      <dgm:prSet presAssocID="{21603841-7421-4479-AC0A-A1D17F15F16E}" presName="aSpace2" presStyleCnt="0"/>
      <dgm:spPr/>
    </dgm:pt>
    <dgm:pt modelId="{14954BD5-6084-4E97-B313-EB53F7126287}" type="pres">
      <dgm:prSet presAssocID="{C81235FD-CF1A-43A3-B860-3B997C7B45BE}" presName="childNode" presStyleLbl="node1" presStyleIdx="3" presStyleCnt="4" custScaleX="96512" custScaleY="149147" custLinFactNeighborX="451" custLinFactNeighborY="-47250">
        <dgm:presLayoutVars>
          <dgm:bulletEnabled val="1"/>
        </dgm:presLayoutVars>
      </dgm:prSet>
      <dgm:spPr/>
    </dgm:pt>
  </dgm:ptLst>
  <dgm:cxnLst>
    <dgm:cxn modelId="{EAA0E60A-93FC-473D-B0F8-BD0D1129D618}" type="presOf" srcId="{E07B79DD-C911-49E2-B6F6-3624647A1FD7}" destId="{2805F1D6-5C52-4CD6-A38D-F1CEFF89224D}" srcOrd="0" destOrd="0" presId="urn:microsoft.com/office/officeart/2005/8/layout/lProcess2"/>
    <dgm:cxn modelId="{5F7C1227-149E-41BE-9DAF-A8FE5D9E115F}" type="presOf" srcId="{21603841-7421-4479-AC0A-A1D17F15F16E}" destId="{32240F6A-1F7A-4961-AF07-49629A48BB6E}" srcOrd="0" destOrd="0" presId="urn:microsoft.com/office/officeart/2005/8/layout/lProcess2"/>
    <dgm:cxn modelId="{9ECBC936-AB10-4E1C-9D61-8C8C065AFDBC}" srcId="{7B979BCC-8524-4111-B08E-60E25D60730C}" destId="{48687661-1C4B-4631-B0F0-30E40A129D56}" srcOrd="1" destOrd="0" parTransId="{FCA26AFD-A553-49C6-BC44-064E3C6F8A63}" sibTransId="{A790FE45-E6D9-43B4-941A-F785DC5DF88E}"/>
    <dgm:cxn modelId="{AF13BC64-1829-4322-B973-87A16F503B88}" type="presOf" srcId="{8A2E0F97-2F8A-4465-948C-0481D8B59E19}" destId="{8CB5A744-5C6E-44F0-AF5B-D8649DD1B1A4}" srcOrd="0" destOrd="0" presId="urn:microsoft.com/office/officeart/2005/8/layout/lProcess2"/>
    <dgm:cxn modelId="{58D5CE45-CDC9-4846-9EE3-42AB9B79448D}" srcId="{48687661-1C4B-4631-B0F0-30E40A129D56}" destId="{C81235FD-CF1A-43A3-B860-3B997C7B45BE}" srcOrd="1" destOrd="0" parTransId="{41D1B00C-59C9-4002-B3C1-D60B3BD6A37B}" sibTransId="{287D5732-C0D6-4B01-A25E-E1A6A0CABB60}"/>
    <dgm:cxn modelId="{AB36B66A-F2B6-48BC-9BF1-119EE63BACD9}" type="presOf" srcId="{7B979BCC-8524-4111-B08E-60E25D60730C}" destId="{FC4FB26D-5868-4DF3-B9CA-95EB0BFA66DE}" srcOrd="0" destOrd="0" presId="urn:microsoft.com/office/officeart/2005/8/layout/lProcess2"/>
    <dgm:cxn modelId="{04DBE950-AE33-4651-949C-C67401156F3D}" type="presOf" srcId="{1505AB9B-8057-4CE8-9CC5-B3C0C6A4FC7A}" destId="{EC726973-33CD-4E42-A89F-9B3D6DABE2B5}" srcOrd="1" destOrd="0" presId="urn:microsoft.com/office/officeart/2005/8/layout/lProcess2"/>
    <dgm:cxn modelId="{C114A759-B66A-4A0D-9BE8-A6B70DE7C46F}" type="presOf" srcId="{1505AB9B-8057-4CE8-9CC5-B3C0C6A4FC7A}" destId="{C6B129D4-70A1-4923-A596-D322C3E39A37}" srcOrd="0" destOrd="0" presId="urn:microsoft.com/office/officeart/2005/8/layout/lProcess2"/>
    <dgm:cxn modelId="{0893C18A-2F81-4D49-B04D-5AF7D5C35360}" srcId="{7B979BCC-8524-4111-B08E-60E25D60730C}" destId="{1505AB9B-8057-4CE8-9CC5-B3C0C6A4FC7A}" srcOrd="0" destOrd="0" parTransId="{42EEE4E5-C0F9-4098-8B33-DDF5838ABF59}" sibTransId="{A626CD97-4FE7-4DA6-9022-05C4004BA458}"/>
    <dgm:cxn modelId="{6E85089C-B02F-4955-BE05-65366CDB219B}" type="presOf" srcId="{C81235FD-CF1A-43A3-B860-3B997C7B45BE}" destId="{14954BD5-6084-4E97-B313-EB53F7126287}" srcOrd="0" destOrd="0" presId="urn:microsoft.com/office/officeart/2005/8/layout/lProcess2"/>
    <dgm:cxn modelId="{038400C8-DB79-4F55-8579-61A05EB93041}" srcId="{1505AB9B-8057-4CE8-9CC5-B3C0C6A4FC7A}" destId="{E07B79DD-C911-49E2-B6F6-3624647A1FD7}" srcOrd="1" destOrd="0" parTransId="{72CBA5C6-0696-44D8-B0FB-43E889D68BB4}" sibTransId="{0F6261EC-6FFE-4569-97D5-26EBF08162F7}"/>
    <dgm:cxn modelId="{19FA48DB-2827-4154-9BF6-0BF2EA6C4F67}" type="presOf" srcId="{48687661-1C4B-4631-B0F0-30E40A129D56}" destId="{74F3AE98-ABD8-4B41-A991-2898C57491AC}" srcOrd="1" destOrd="0" presId="urn:microsoft.com/office/officeart/2005/8/layout/lProcess2"/>
    <dgm:cxn modelId="{EF10C5DC-3ADF-4B79-87C6-CFD6D53503C8}" srcId="{48687661-1C4B-4631-B0F0-30E40A129D56}" destId="{21603841-7421-4479-AC0A-A1D17F15F16E}" srcOrd="0" destOrd="0" parTransId="{56C82DB4-6C01-4E94-959B-62A2165C992D}" sibTransId="{B8B3CFED-4B72-4609-9D8B-171045175007}"/>
    <dgm:cxn modelId="{E79D92F4-DBC0-4FE7-AA5E-66E695B4357B}" srcId="{1505AB9B-8057-4CE8-9CC5-B3C0C6A4FC7A}" destId="{8A2E0F97-2F8A-4465-948C-0481D8B59E19}" srcOrd="0" destOrd="0" parTransId="{AEA78750-51FD-49D3-8204-021F14371CC1}" sibTransId="{A41D3392-41F5-4692-8927-2369805AE71D}"/>
    <dgm:cxn modelId="{864E74F6-8B7A-4BA3-8DC5-DD8A52B07064}" type="presOf" srcId="{48687661-1C4B-4631-B0F0-30E40A129D56}" destId="{63CC5301-AB6D-4F8A-94BC-3C05374072A6}" srcOrd="0" destOrd="0" presId="urn:microsoft.com/office/officeart/2005/8/layout/lProcess2"/>
    <dgm:cxn modelId="{9FA5CF75-2201-4B52-AA32-8DF7AEF7B89F}" type="presParOf" srcId="{FC4FB26D-5868-4DF3-B9CA-95EB0BFA66DE}" destId="{EB31DB44-A37B-451F-AA65-18A1B466A4EB}" srcOrd="0" destOrd="0" presId="urn:microsoft.com/office/officeart/2005/8/layout/lProcess2"/>
    <dgm:cxn modelId="{94ABEC66-13C7-4575-B66B-A8EFA2EEF8E2}" type="presParOf" srcId="{EB31DB44-A37B-451F-AA65-18A1B466A4EB}" destId="{C6B129D4-70A1-4923-A596-D322C3E39A37}" srcOrd="0" destOrd="0" presId="urn:microsoft.com/office/officeart/2005/8/layout/lProcess2"/>
    <dgm:cxn modelId="{13FAC035-79C4-4A62-8DEF-FB6F8983C485}" type="presParOf" srcId="{EB31DB44-A37B-451F-AA65-18A1B466A4EB}" destId="{EC726973-33CD-4E42-A89F-9B3D6DABE2B5}" srcOrd="1" destOrd="0" presId="urn:microsoft.com/office/officeart/2005/8/layout/lProcess2"/>
    <dgm:cxn modelId="{97777693-8FAE-486F-A631-263D3671CBB8}" type="presParOf" srcId="{EB31DB44-A37B-451F-AA65-18A1B466A4EB}" destId="{4D98D314-5639-4688-B8D0-BDA197DC9A39}" srcOrd="2" destOrd="0" presId="urn:microsoft.com/office/officeart/2005/8/layout/lProcess2"/>
    <dgm:cxn modelId="{C39850D0-9E58-48D0-9042-456C6C21A693}" type="presParOf" srcId="{4D98D314-5639-4688-B8D0-BDA197DC9A39}" destId="{2AA4C9A4-68ED-4C24-801E-C17D355719F9}" srcOrd="0" destOrd="0" presId="urn:microsoft.com/office/officeart/2005/8/layout/lProcess2"/>
    <dgm:cxn modelId="{2D9D94B4-E6DE-45D4-B742-9FC28D0A483C}" type="presParOf" srcId="{2AA4C9A4-68ED-4C24-801E-C17D355719F9}" destId="{8CB5A744-5C6E-44F0-AF5B-D8649DD1B1A4}" srcOrd="0" destOrd="0" presId="urn:microsoft.com/office/officeart/2005/8/layout/lProcess2"/>
    <dgm:cxn modelId="{C876D6AE-D1DB-419A-9E6B-318EF822E7E6}" type="presParOf" srcId="{2AA4C9A4-68ED-4C24-801E-C17D355719F9}" destId="{D83AE92A-CD88-483D-B822-E53E9B46BDBF}" srcOrd="1" destOrd="0" presId="urn:microsoft.com/office/officeart/2005/8/layout/lProcess2"/>
    <dgm:cxn modelId="{AC32AA05-25AF-494D-A986-5C8016D63274}" type="presParOf" srcId="{2AA4C9A4-68ED-4C24-801E-C17D355719F9}" destId="{2805F1D6-5C52-4CD6-A38D-F1CEFF89224D}" srcOrd="2" destOrd="0" presId="urn:microsoft.com/office/officeart/2005/8/layout/lProcess2"/>
    <dgm:cxn modelId="{042F9F6C-C7A6-47C7-AE59-9D854186A154}" type="presParOf" srcId="{FC4FB26D-5868-4DF3-B9CA-95EB0BFA66DE}" destId="{822A55A7-CB8D-4F6C-BCE9-D09B1F755715}" srcOrd="1" destOrd="0" presId="urn:microsoft.com/office/officeart/2005/8/layout/lProcess2"/>
    <dgm:cxn modelId="{B85C3FA1-88E6-4A22-8EB5-7FAE95F1AD5C}" type="presParOf" srcId="{FC4FB26D-5868-4DF3-B9CA-95EB0BFA66DE}" destId="{53E8273D-03B8-42C9-903C-9C83D4BD00B9}" srcOrd="2" destOrd="0" presId="urn:microsoft.com/office/officeart/2005/8/layout/lProcess2"/>
    <dgm:cxn modelId="{BA3B75D2-FE4C-435A-BE47-34BCEC627379}" type="presParOf" srcId="{53E8273D-03B8-42C9-903C-9C83D4BD00B9}" destId="{63CC5301-AB6D-4F8A-94BC-3C05374072A6}" srcOrd="0" destOrd="0" presId="urn:microsoft.com/office/officeart/2005/8/layout/lProcess2"/>
    <dgm:cxn modelId="{28B87F25-8007-4959-BFE9-BCF2B63B7764}" type="presParOf" srcId="{53E8273D-03B8-42C9-903C-9C83D4BD00B9}" destId="{74F3AE98-ABD8-4B41-A991-2898C57491AC}" srcOrd="1" destOrd="0" presId="urn:microsoft.com/office/officeart/2005/8/layout/lProcess2"/>
    <dgm:cxn modelId="{97B9A0E2-3299-4E22-916E-250FE1157ED6}" type="presParOf" srcId="{53E8273D-03B8-42C9-903C-9C83D4BD00B9}" destId="{8095C502-4A60-4DF6-A2DD-123413B0302E}" srcOrd="2" destOrd="0" presId="urn:microsoft.com/office/officeart/2005/8/layout/lProcess2"/>
    <dgm:cxn modelId="{442C21B7-4D94-468E-9258-AC15BDA91D97}" type="presParOf" srcId="{8095C502-4A60-4DF6-A2DD-123413B0302E}" destId="{822B9625-6902-48BC-8678-5A069B6AA6FC}" srcOrd="0" destOrd="0" presId="urn:microsoft.com/office/officeart/2005/8/layout/lProcess2"/>
    <dgm:cxn modelId="{6EFA44A6-531B-4EE7-B075-5E88ABCDB0D7}" type="presParOf" srcId="{822B9625-6902-48BC-8678-5A069B6AA6FC}" destId="{32240F6A-1F7A-4961-AF07-49629A48BB6E}" srcOrd="0" destOrd="0" presId="urn:microsoft.com/office/officeart/2005/8/layout/lProcess2"/>
    <dgm:cxn modelId="{2B4717A6-C507-49BA-98A5-6580CE9DD52E}" type="presParOf" srcId="{822B9625-6902-48BC-8678-5A069B6AA6FC}" destId="{785D46E5-2F94-4530-B980-33A1B7C5B82F}" srcOrd="1" destOrd="0" presId="urn:microsoft.com/office/officeart/2005/8/layout/lProcess2"/>
    <dgm:cxn modelId="{69F9690A-864D-4F6C-B3FF-839C035378B7}" type="presParOf" srcId="{822B9625-6902-48BC-8678-5A069B6AA6FC}" destId="{14954BD5-6084-4E97-B313-EB53F7126287}" srcOrd="2" destOrd="0" presId="urn:microsoft.com/office/officeart/2005/8/layout/lProcess2"/>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7EBF917-7EA1-4E87-A067-2489F05212C8}" type="doc">
      <dgm:prSet loTypeId="urn:microsoft.com/office/officeart/2005/8/layout/cycle8" loCatId="cycle" qsTypeId="urn:microsoft.com/office/officeart/2005/8/quickstyle/simple1" qsCatId="simple" csTypeId="urn:microsoft.com/office/officeart/2005/8/colors/accent2_5" csCatId="accent2" phldr="1"/>
      <dgm:spPr/>
    </dgm:pt>
    <dgm:pt modelId="{EC1EFA27-7B3D-446C-A232-2C3FF65553C1}">
      <dgm:prSet phldrT="[Text]" custT="1"/>
      <dgm:spPr/>
      <dgm:t>
        <a:bodyPr/>
        <a:p>
          <a:r>
            <a:rPr lang="en-US" sz="900" b="1" i="0">
              <a:solidFill>
                <a:schemeClr val="tx1"/>
              </a:solidFill>
              <a:latin typeface="Times New Roman" panose="02020603050405020304" charset="0"/>
              <a:cs typeface="Times New Roman" panose="02020603050405020304" charset="0"/>
            </a:rPr>
            <a:t>Stability</a:t>
          </a:r>
        </a:p>
      </dgm:t>
    </dgm:pt>
    <dgm:pt modelId="{0D6C5142-B8C9-441F-B3FC-C580E0530362}" cxnId="{E008E27B-217F-4C7F-9158-0B69FC95DDEE}" type="parTrans">
      <dgm:prSet/>
      <dgm:spPr/>
      <dgm:t>
        <a:bodyPr/>
        <a:p>
          <a:endParaRPr lang="en-US"/>
        </a:p>
      </dgm:t>
    </dgm:pt>
    <dgm:pt modelId="{6BBC0307-B092-4565-B445-FAEF3F73DDC6}" cxnId="{E008E27B-217F-4C7F-9158-0B69FC95DDEE}" type="sibTrans">
      <dgm:prSet/>
      <dgm:spPr/>
      <dgm:t>
        <a:bodyPr/>
        <a:p>
          <a:endParaRPr lang="en-US"/>
        </a:p>
      </dgm:t>
    </dgm:pt>
    <dgm:pt modelId="{6BEC8CCC-B831-4841-AF78-5C3682876920}">
      <dgm:prSet phldrT="[Text]" custT="1"/>
      <dgm:spPr/>
      <dgm:t>
        <a:bodyPr/>
        <a:p>
          <a:r>
            <a:rPr lang="en-US" sz="900" b="1" i="0">
              <a:solidFill>
                <a:schemeClr val="tx1"/>
              </a:solidFill>
              <a:latin typeface="Times New Roman" panose="02020603050405020304" charset="0"/>
              <a:cs typeface="Times New Roman" panose="02020603050405020304" charset="0"/>
            </a:rPr>
            <a:t>Growth</a:t>
          </a:r>
        </a:p>
      </dgm:t>
    </dgm:pt>
    <dgm:pt modelId="{3A12D06A-9A90-4E4D-BA20-841EF9D1E3B2}" cxnId="{3DC82FEA-3F16-4A14-B735-5796D32E1D40}" type="parTrans">
      <dgm:prSet/>
      <dgm:spPr/>
      <dgm:t>
        <a:bodyPr/>
        <a:p>
          <a:endParaRPr lang="en-US"/>
        </a:p>
      </dgm:t>
    </dgm:pt>
    <dgm:pt modelId="{54F163C1-D9B5-492B-B6FE-F8DABB6B1C40}" cxnId="{3DC82FEA-3F16-4A14-B735-5796D32E1D40}" type="sibTrans">
      <dgm:prSet/>
      <dgm:spPr/>
      <dgm:t>
        <a:bodyPr/>
        <a:p>
          <a:endParaRPr lang="en-US"/>
        </a:p>
      </dgm:t>
    </dgm:pt>
    <dgm:pt modelId="{EA1372B0-E7EF-4315-9A5A-7EBBFA7E48C5}">
      <dgm:prSet phldrT="[Text]" custT="1"/>
      <dgm:spPr/>
      <dgm:t>
        <a:bodyPr/>
        <a:p>
          <a:r>
            <a:rPr lang="en-US" sz="900" b="1" i="0" u="none">
              <a:solidFill>
                <a:schemeClr val="tx1"/>
              </a:solidFill>
              <a:latin typeface="Times New Roman" panose="02020603050405020304" charset="0"/>
              <a:cs typeface="Times New Roman" panose="02020603050405020304" charset="0"/>
            </a:rPr>
            <a:t>Retrenchment</a:t>
          </a:r>
          <a:endParaRPr lang="en-US" sz="900" b="1" i="0">
            <a:solidFill>
              <a:schemeClr val="tx1"/>
            </a:solidFill>
            <a:latin typeface="Times New Roman" panose="02020603050405020304" charset="0"/>
            <a:cs typeface="Times New Roman" panose="02020603050405020304" charset="0"/>
          </a:endParaRPr>
        </a:p>
      </dgm:t>
    </dgm:pt>
    <dgm:pt modelId="{1C4C03DB-79A3-4527-A433-FCF982A8CA6F}" cxnId="{A37B2444-A2BA-4811-A26D-BD3381BD4BC9}" type="parTrans">
      <dgm:prSet/>
      <dgm:spPr/>
      <dgm:t>
        <a:bodyPr/>
        <a:p>
          <a:endParaRPr lang="en-US"/>
        </a:p>
      </dgm:t>
    </dgm:pt>
    <dgm:pt modelId="{E9EDB59B-3447-4F6E-98AA-4A14E7D003B8}" cxnId="{A37B2444-A2BA-4811-A26D-BD3381BD4BC9}" type="sibTrans">
      <dgm:prSet/>
      <dgm:spPr/>
      <dgm:t>
        <a:bodyPr/>
        <a:p>
          <a:endParaRPr lang="en-US"/>
        </a:p>
      </dgm:t>
    </dgm:pt>
    <dgm:pt modelId="{46DAB6B9-26DA-45B3-AEDF-1AAA5864C815}" type="pres">
      <dgm:prSet presAssocID="{D7EBF917-7EA1-4E87-A067-2489F05212C8}" presName="compositeShape" presStyleCnt="0">
        <dgm:presLayoutVars>
          <dgm:chMax val="7"/>
          <dgm:dir/>
          <dgm:resizeHandles val="exact"/>
        </dgm:presLayoutVars>
      </dgm:prSet>
      <dgm:spPr/>
    </dgm:pt>
    <dgm:pt modelId="{6EF4BE93-712B-4861-AE57-D84F6050F63D}" type="pres">
      <dgm:prSet presAssocID="{D7EBF917-7EA1-4E87-A067-2489F05212C8}" presName="wedge1" presStyleLbl="node1" presStyleIdx="0" presStyleCnt="3"/>
      <dgm:spPr/>
    </dgm:pt>
    <dgm:pt modelId="{95FDB11A-9544-4722-A69B-FCAB9C836BDD}" type="pres">
      <dgm:prSet presAssocID="{D7EBF917-7EA1-4E87-A067-2489F05212C8}" presName="dummy1a" presStyleCnt="0"/>
      <dgm:spPr/>
    </dgm:pt>
    <dgm:pt modelId="{2024AF9F-2A04-4F19-9647-147C3644153E}" type="pres">
      <dgm:prSet presAssocID="{D7EBF917-7EA1-4E87-A067-2489F05212C8}" presName="dummy1b" presStyleCnt="0"/>
      <dgm:spPr/>
    </dgm:pt>
    <dgm:pt modelId="{486E5720-E2B7-4C2C-B2BC-3EA938252F29}" type="pres">
      <dgm:prSet presAssocID="{D7EBF917-7EA1-4E87-A067-2489F05212C8}" presName="wedge1Tx" presStyleLbl="node1" presStyleIdx="0" presStyleCnt="3">
        <dgm:presLayoutVars>
          <dgm:chMax val="0"/>
          <dgm:chPref val="0"/>
          <dgm:bulletEnabled val="1"/>
        </dgm:presLayoutVars>
      </dgm:prSet>
      <dgm:spPr/>
    </dgm:pt>
    <dgm:pt modelId="{B5A216B4-870A-430D-9D56-582CC223F21B}" type="pres">
      <dgm:prSet presAssocID="{D7EBF917-7EA1-4E87-A067-2489F05212C8}" presName="wedge2" presStyleLbl="node1" presStyleIdx="1" presStyleCnt="3"/>
      <dgm:spPr/>
    </dgm:pt>
    <dgm:pt modelId="{F142A263-DF45-4F16-9A79-56C7B1027FBC}" type="pres">
      <dgm:prSet presAssocID="{D7EBF917-7EA1-4E87-A067-2489F05212C8}" presName="dummy2a" presStyleCnt="0"/>
      <dgm:spPr/>
    </dgm:pt>
    <dgm:pt modelId="{62CA1BF6-F2C7-4BA4-BD8D-35681A7B277A}" type="pres">
      <dgm:prSet presAssocID="{D7EBF917-7EA1-4E87-A067-2489F05212C8}" presName="dummy2b" presStyleCnt="0"/>
      <dgm:spPr/>
    </dgm:pt>
    <dgm:pt modelId="{8F5B07F0-728D-41EA-89C2-01D81B63528A}" type="pres">
      <dgm:prSet presAssocID="{D7EBF917-7EA1-4E87-A067-2489F05212C8}" presName="wedge2Tx" presStyleLbl="node1" presStyleIdx="1" presStyleCnt="3">
        <dgm:presLayoutVars>
          <dgm:chMax val="0"/>
          <dgm:chPref val="0"/>
          <dgm:bulletEnabled val="1"/>
        </dgm:presLayoutVars>
      </dgm:prSet>
      <dgm:spPr/>
    </dgm:pt>
    <dgm:pt modelId="{3A547CD6-5D88-4DB6-B281-B9B188ECFA84}" type="pres">
      <dgm:prSet presAssocID="{D7EBF917-7EA1-4E87-A067-2489F05212C8}" presName="wedge3" presStyleLbl="node1" presStyleIdx="2" presStyleCnt="3"/>
      <dgm:spPr/>
    </dgm:pt>
    <dgm:pt modelId="{6116BB4F-77A2-428C-ABD8-A152BDB53762}" type="pres">
      <dgm:prSet presAssocID="{D7EBF917-7EA1-4E87-A067-2489F05212C8}" presName="dummy3a" presStyleCnt="0"/>
      <dgm:spPr/>
    </dgm:pt>
    <dgm:pt modelId="{C1C295EF-0672-4C82-8D91-947A17B04D9D}" type="pres">
      <dgm:prSet presAssocID="{D7EBF917-7EA1-4E87-A067-2489F05212C8}" presName="dummy3b" presStyleCnt="0"/>
      <dgm:spPr/>
    </dgm:pt>
    <dgm:pt modelId="{C2882783-7857-40AA-B063-974198A8E5E6}" type="pres">
      <dgm:prSet presAssocID="{D7EBF917-7EA1-4E87-A067-2489F05212C8}" presName="wedge3Tx" presStyleLbl="node1" presStyleIdx="2" presStyleCnt="3">
        <dgm:presLayoutVars>
          <dgm:chMax val="0"/>
          <dgm:chPref val="0"/>
          <dgm:bulletEnabled val="1"/>
        </dgm:presLayoutVars>
      </dgm:prSet>
      <dgm:spPr/>
    </dgm:pt>
    <dgm:pt modelId="{A1A8D703-BD33-4AA6-ABBA-B83950729D03}" type="pres">
      <dgm:prSet presAssocID="{6BBC0307-B092-4565-B445-FAEF3F73DDC6}" presName="arrowWedge1" presStyleLbl="fgSibTrans2D1" presStyleIdx="0" presStyleCnt="3"/>
      <dgm:spPr/>
    </dgm:pt>
    <dgm:pt modelId="{649D4A84-B8BB-43D7-BAAD-3194099C9EF6}" type="pres">
      <dgm:prSet presAssocID="{54F163C1-D9B5-492B-B6FE-F8DABB6B1C40}" presName="arrowWedge2" presStyleLbl="fgSibTrans2D1" presStyleIdx="1" presStyleCnt="3"/>
      <dgm:spPr/>
    </dgm:pt>
    <dgm:pt modelId="{BF0FDCCE-67BA-4EB7-95A8-1F12768EF73B}" type="pres">
      <dgm:prSet presAssocID="{E9EDB59B-3447-4F6E-98AA-4A14E7D003B8}" presName="arrowWedge3" presStyleLbl="fgSibTrans2D1" presStyleIdx="2" presStyleCnt="3"/>
      <dgm:spPr/>
    </dgm:pt>
  </dgm:ptLst>
  <dgm:cxnLst>
    <dgm:cxn modelId="{6F0C011E-1B79-4A74-9D0C-BBE30A7C5457}" type="presOf" srcId="{EA1372B0-E7EF-4315-9A5A-7EBBFA7E48C5}" destId="{C2882783-7857-40AA-B063-974198A8E5E6}" srcOrd="1" destOrd="0" presId="urn:microsoft.com/office/officeart/2005/8/layout/cycle8"/>
    <dgm:cxn modelId="{DC47BA25-E86B-4BB1-9CD0-4B1E1FB06C1D}" type="presOf" srcId="{EC1EFA27-7B3D-446C-A232-2C3FF65553C1}" destId="{6EF4BE93-712B-4861-AE57-D84F6050F63D}" srcOrd="0" destOrd="0" presId="urn:microsoft.com/office/officeart/2005/8/layout/cycle8"/>
    <dgm:cxn modelId="{A37B2444-A2BA-4811-A26D-BD3381BD4BC9}" srcId="{D7EBF917-7EA1-4E87-A067-2489F05212C8}" destId="{EA1372B0-E7EF-4315-9A5A-7EBBFA7E48C5}" srcOrd="2" destOrd="0" parTransId="{1C4C03DB-79A3-4527-A433-FCF982A8CA6F}" sibTransId="{E9EDB59B-3447-4F6E-98AA-4A14E7D003B8}"/>
    <dgm:cxn modelId="{BA970A6F-2529-47CE-9239-7E7FE7418F10}" type="presOf" srcId="{D7EBF917-7EA1-4E87-A067-2489F05212C8}" destId="{46DAB6B9-26DA-45B3-AEDF-1AAA5864C815}" srcOrd="0" destOrd="0" presId="urn:microsoft.com/office/officeart/2005/8/layout/cycle8"/>
    <dgm:cxn modelId="{1970EC52-7792-4014-B1F5-33BDB015BCF6}" type="presOf" srcId="{6BEC8CCC-B831-4841-AF78-5C3682876920}" destId="{B5A216B4-870A-430D-9D56-582CC223F21B}" srcOrd="0" destOrd="0" presId="urn:microsoft.com/office/officeart/2005/8/layout/cycle8"/>
    <dgm:cxn modelId="{E008E27B-217F-4C7F-9158-0B69FC95DDEE}" srcId="{D7EBF917-7EA1-4E87-A067-2489F05212C8}" destId="{EC1EFA27-7B3D-446C-A232-2C3FF65553C1}" srcOrd="0" destOrd="0" parTransId="{0D6C5142-B8C9-441F-B3FC-C580E0530362}" sibTransId="{6BBC0307-B092-4565-B445-FAEF3F73DDC6}"/>
    <dgm:cxn modelId="{F8E2E088-C1D4-453E-94DC-86A2EF530A2F}" type="presOf" srcId="{EC1EFA27-7B3D-446C-A232-2C3FF65553C1}" destId="{486E5720-E2B7-4C2C-B2BC-3EA938252F29}" srcOrd="1" destOrd="0" presId="urn:microsoft.com/office/officeart/2005/8/layout/cycle8"/>
    <dgm:cxn modelId="{EA3ED791-3BCC-4391-A0A4-1A2DFF6E2A96}" type="presOf" srcId="{EA1372B0-E7EF-4315-9A5A-7EBBFA7E48C5}" destId="{3A547CD6-5D88-4DB6-B281-B9B188ECFA84}" srcOrd="0" destOrd="0" presId="urn:microsoft.com/office/officeart/2005/8/layout/cycle8"/>
    <dgm:cxn modelId="{10EF30CA-ABA7-4DE5-B74F-297C1F2EF6E7}" type="presOf" srcId="{6BEC8CCC-B831-4841-AF78-5C3682876920}" destId="{8F5B07F0-728D-41EA-89C2-01D81B63528A}" srcOrd="1" destOrd="0" presId="urn:microsoft.com/office/officeart/2005/8/layout/cycle8"/>
    <dgm:cxn modelId="{3DC82FEA-3F16-4A14-B735-5796D32E1D40}" srcId="{D7EBF917-7EA1-4E87-A067-2489F05212C8}" destId="{6BEC8CCC-B831-4841-AF78-5C3682876920}" srcOrd="1" destOrd="0" parTransId="{3A12D06A-9A90-4E4D-BA20-841EF9D1E3B2}" sibTransId="{54F163C1-D9B5-492B-B6FE-F8DABB6B1C40}"/>
    <dgm:cxn modelId="{202D0B54-C278-45B2-AF81-862569DBD0BB}" type="presParOf" srcId="{46DAB6B9-26DA-45B3-AEDF-1AAA5864C815}" destId="{6EF4BE93-712B-4861-AE57-D84F6050F63D}" srcOrd="0" destOrd="0" presId="urn:microsoft.com/office/officeart/2005/8/layout/cycle8"/>
    <dgm:cxn modelId="{17EB0E2A-207E-4B6D-BC7F-73D20603A0C1}" type="presParOf" srcId="{46DAB6B9-26DA-45B3-AEDF-1AAA5864C815}" destId="{95FDB11A-9544-4722-A69B-FCAB9C836BDD}" srcOrd="1" destOrd="0" presId="urn:microsoft.com/office/officeart/2005/8/layout/cycle8"/>
    <dgm:cxn modelId="{ACA4069F-D766-4018-BC7D-CCEA7F6370D1}" type="presParOf" srcId="{46DAB6B9-26DA-45B3-AEDF-1AAA5864C815}" destId="{2024AF9F-2A04-4F19-9647-147C3644153E}" srcOrd="2" destOrd="0" presId="urn:microsoft.com/office/officeart/2005/8/layout/cycle8"/>
    <dgm:cxn modelId="{69803C9C-FBDC-439A-A2DB-2100970496A1}" type="presParOf" srcId="{46DAB6B9-26DA-45B3-AEDF-1AAA5864C815}" destId="{486E5720-E2B7-4C2C-B2BC-3EA938252F29}" srcOrd="3" destOrd="0" presId="urn:microsoft.com/office/officeart/2005/8/layout/cycle8"/>
    <dgm:cxn modelId="{D9A33AFF-420F-4788-AFE0-4A5631AC8385}" type="presParOf" srcId="{46DAB6B9-26DA-45B3-AEDF-1AAA5864C815}" destId="{B5A216B4-870A-430D-9D56-582CC223F21B}" srcOrd="4" destOrd="0" presId="urn:microsoft.com/office/officeart/2005/8/layout/cycle8"/>
    <dgm:cxn modelId="{3CE14D0A-26FF-4437-84BA-F38292204A4C}" type="presParOf" srcId="{46DAB6B9-26DA-45B3-AEDF-1AAA5864C815}" destId="{F142A263-DF45-4F16-9A79-56C7B1027FBC}" srcOrd="5" destOrd="0" presId="urn:microsoft.com/office/officeart/2005/8/layout/cycle8"/>
    <dgm:cxn modelId="{AFDA5BCD-6AE0-4967-86BC-977E2984EB49}" type="presParOf" srcId="{46DAB6B9-26DA-45B3-AEDF-1AAA5864C815}" destId="{62CA1BF6-F2C7-4BA4-BD8D-35681A7B277A}" srcOrd="6" destOrd="0" presId="urn:microsoft.com/office/officeart/2005/8/layout/cycle8"/>
    <dgm:cxn modelId="{882B6605-849A-44C5-A917-8220B6EC1B15}" type="presParOf" srcId="{46DAB6B9-26DA-45B3-AEDF-1AAA5864C815}" destId="{8F5B07F0-728D-41EA-89C2-01D81B63528A}" srcOrd="7" destOrd="0" presId="urn:microsoft.com/office/officeart/2005/8/layout/cycle8"/>
    <dgm:cxn modelId="{84ABDEA8-477F-41CE-BA70-9C873CDDE9B7}" type="presParOf" srcId="{46DAB6B9-26DA-45B3-AEDF-1AAA5864C815}" destId="{3A547CD6-5D88-4DB6-B281-B9B188ECFA84}" srcOrd="8" destOrd="0" presId="urn:microsoft.com/office/officeart/2005/8/layout/cycle8"/>
    <dgm:cxn modelId="{AE24D2A1-BEE8-4020-AE69-895B82CE0A34}" type="presParOf" srcId="{46DAB6B9-26DA-45B3-AEDF-1AAA5864C815}" destId="{6116BB4F-77A2-428C-ABD8-A152BDB53762}" srcOrd="9" destOrd="0" presId="urn:microsoft.com/office/officeart/2005/8/layout/cycle8"/>
    <dgm:cxn modelId="{D78D1441-05E4-4FDF-91C8-19F7B900F874}" type="presParOf" srcId="{46DAB6B9-26DA-45B3-AEDF-1AAA5864C815}" destId="{C1C295EF-0672-4C82-8D91-947A17B04D9D}" srcOrd="10" destOrd="0" presId="urn:microsoft.com/office/officeart/2005/8/layout/cycle8"/>
    <dgm:cxn modelId="{528A2F64-D945-464B-854E-B44A06F9CC76}" type="presParOf" srcId="{46DAB6B9-26DA-45B3-AEDF-1AAA5864C815}" destId="{C2882783-7857-40AA-B063-974198A8E5E6}" srcOrd="11" destOrd="0" presId="urn:microsoft.com/office/officeart/2005/8/layout/cycle8"/>
    <dgm:cxn modelId="{9F6D8F6D-4047-4349-AB0C-0D4ADD617F89}" type="presParOf" srcId="{46DAB6B9-26DA-45B3-AEDF-1AAA5864C815}" destId="{A1A8D703-BD33-4AA6-ABBA-B83950729D03}" srcOrd="12" destOrd="0" presId="urn:microsoft.com/office/officeart/2005/8/layout/cycle8"/>
    <dgm:cxn modelId="{CF1C8F26-33E7-4E72-8B89-040F4830C0F4}" type="presParOf" srcId="{46DAB6B9-26DA-45B3-AEDF-1AAA5864C815}" destId="{649D4A84-B8BB-43D7-BAAD-3194099C9EF6}" srcOrd="13" destOrd="0" presId="urn:microsoft.com/office/officeart/2005/8/layout/cycle8"/>
    <dgm:cxn modelId="{83F095C7-3381-4060-9B39-F786FD92102E}" type="presParOf" srcId="{46DAB6B9-26DA-45B3-AEDF-1AAA5864C815}" destId="{BF0FDCCE-67BA-4EB7-95A8-1F12768EF73B}" srcOrd="14" destOrd="0" presId="urn:microsoft.com/office/officeart/2005/8/layout/cycle8"/>
  </dgm:cxnLst>
  <dgm:bg/>
  <dgm:whole>
    <a:ln>
      <a:solidFill>
        <a:schemeClr val="tx1"/>
      </a:solidFill>
    </a:ln>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D695E-70F4-4C79-9C61-B836F3BCEAB0}">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48072" y="424569"/>
        <a:ext cx="16266" cy="3253"/>
      </dsp:txXfrm>
    </dsp:sp>
    <dsp:sp modelId="{93793152-104C-4420-A870-36CE5D3CA4E7}">
      <dsp:nvSpPr>
        <dsp:cNvPr id="0" name=""/>
        <dsp:cNvSpPr/>
      </dsp:nvSpPr>
      <dsp:spPr>
        <a:xfrm>
          <a:off x="296179" y="1857"/>
          <a:ext cx="1414462" cy="848677"/>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Product</a:t>
          </a:r>
        </a:p>
      </dsp:txBody>
      <dsp:txXfrm>
        <a:off x="296179" y="1857"/>
        <a:ext cx="1414462" cy="848677"/>
      </dsp:txXfrm>
    </dsp:sp>
    <dsp:sp modelId="{FE0CF946-5061-4BE3-9CB8-D985C9FDE0CF}">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9525" cap="flat" cmpd="sng" algn="ctr">
          <a:solidFill>
            <a:schemeClr val="accent2">
              <a:hueOff val="936304"/>
              <a:satOff val="-1168"/>
              <a:lumOff val="275"/>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7861" y="424569"/>
        <a:ext cx="16266" cy="3253"/>
      </dsp:txXfrm>
    </dsp:sp>
    <dsp:sp modelId="{DCB46183-63B5-4D59-B4A8-F999D7AEB3B6}">
      <dsp:nvSpPr>
        <dsp:cNvPr id="0" name=""/>
        <dsp:cNvSpPr/>
      </dsp:nvSpPr>
      <dsp:spPr>
        <a:xfrm>
          <a:off x="2035968" y="1857"/>
          <a:ext cx="1414462" cy="848677"/>
        </a:xfrm>
        <a:prstGeom prst="rect">
          <a:avLst/>
        </a:prstGeom>
        <a:gradFill rotWithShape="0">
          <a:gsLst>
            <a:gs pos="0">
              <a:schemeClr val="accent2">
                <a:hueOff val="780253"/>
                <a:satOff val="-973"/>
                <a:lumOff val="229"/>
                <a:alphaOff val="0"/>
                <a:tint val="50000"/>
                <a:satMod val="300000"/>
              </a:schemeClr>
            </a:gs>
            <a:gs pos="35000">
              <a:schemeClr val="accent2">
                <a:hueOff val="780253"/>
                <a:satOff val="-973"/>
                <a:lumOff val="229"/>
                <a:alphaOff val="0"/>
                <a:tint val="37000"/>
                <a:satMod val="300000"/>
              </a:schemeClr>
            </a:gs>
            <a:gs pos="100000">
              <a:schemeClr val="accent2">
                <a:hueOff val="780253"/>
                <a:satOff val="-973"/>
                <a:lumOff val="22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Price</a:t>
          </a:r>
        </a:p>
      </dsp:txBody>
      <dsp:txXfrm>
        <a:off x="2035968" y="1857"/>
        <a:ext cx="1414462" cy="848677"/>
      </dsp:txXfrm>
    </dsp:sp>
    <dsp:sp modelId="{C1315DF6-BEC5-4110-876C-01E3282AD55F}">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2">
              <a:hueOff val="1872608"/>
              <a:satOff val="-2336"/>
              <a:lumOff val="549"/>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55831" y="994471"/>
        <a:ext cx="174737" cy="3253"/>
      </dsp:txXfrm>
    </dsp:sp>
    <dsp:sp modelId="{DBFE1D8D-0859-478B-9B8B-2BDD6EA4E19D}">
      <dsp:nvSpPr>
        <dsp:cNvPr id="0" name=""/>
        <dsp:cNvSpPr/>
      </dsp:nvSpPr>
      <dsp:spPr>
        <a:xfrm>
          <a:off x="3775757" y="1857"/>
          <a:ext cx="1414462" cy="848677"/>
        </a:xfrm>
        <a:prstGeom prst="rect">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Promotion</a:t>
          </a:r>
        </a:p>
      </dsp:txBody>
      <dsp:txXfrm>
        <a:off x="3775757" y="1857"/>
        <a:ext cx="1414462" cy="848677"/>
      </dsp:txXfrm>
    </dsp:sp>
    <dsp:sp modelId="{D5A80209-AE55-4505-9539-E45FE447BE44}">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9525" cap="flat" cmpd="sng" algn="ctr">
          <a:solidFill>
            <a:schemeClr val="accent2">
              <a:hueOff val="2808911"/>
              <a:satOff val="-3503"/>
              <a:lumOff val="824"/>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48072" y="1598573"/>
        <a:ext cx="16266" cy="3253"/>
      </dsp:txXfrm>
    </dsp:sp>
    <dsp:sp modelId="{FA915D4C-9DFE-4A45-8538-D9FB379F5054}">
      <dsp:nvSpPr>
        <dsp:cNvPr id="0" name=""/>
        <dsp:cNvSpPr/>
      </dsp:nvSpPr>
      <dsp:spPr>
        <a:xfrm>
          <a:off x="296179" y="1175861"/>
          <a:ext cx="1414462" cy="848677"/>
        </a:xfrm>
        <a:prstGeom prst="rect">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Place</a:t>
          </a:r>
        </a:p>
      </dsp:txBody>
      <dsp:txXfrm>
        <a:off x="296179" y="1175861"/>
        <a:ext cx="1414462" cy="848677"/>
      </dsp:txXfrm>
    </dsp:sp>
    <dsp:sp modelId="{B76A3F13-DA72-4018-85B6-667A6468C7B3}">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9525" cap="flat" cmpd="sng" algn="ctr">
          <a:solidFill>
            <a:schemeClr val="accent2">
              <a:hueOff val="3745215"/>
              <a:satOff val="-4671"/>
              <a:lumOff val="1098"/>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87861" y="1598573"/>
        <a:ext cx="16266" cy="3253"/>
      </dsp:txXfrm>
    </dsp:sp>
    <dsp:sp modelId="{C6477526-FFFF-4D24-9589-8046A2E3BD00}">
      <dsp:nvSpPr>
        <dsp:cNvPr id="0" name=""/>
        <dsp:cNvSpPr/>
      </dsp:nvSpPr>
      <dsp:spPr>
        <a:xfrm>
          <a:off x="2035968" y="1175861"/>
          <a:ext cx="1414462" cy="848677"/>
        </a:xfrm>
        <a:prstGeom prst="rect">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People</a:t>
          </a:r>
        </a:p>
      </dsp:txBody>
      <dsp:txXfrm>
        <a:off x="2035968" y="1175861"/>
        <a:ext cx="1414462" cy="848677"/>
      </dsp:txXfrm>
    </dsp:sp>
    <dsp:sp modelId="{63BB5A9E-2B01-473A-9E35-A6240149E7CC}">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2">
              <a:hueOff val="4681519"/>
              <a:satOff val="-5839"/>
              <a:lumOff val="1373"/>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55831" y="2168475"/>
        <a:ext cx="174737" cy="3253"/>
      </dsp:txXfrm>
    </dsp:sp>
    <dsp:sp modelId="{F7D0A245-5E5B-4396-82BF-CFEA626462B1}">
      <dsp:nvSpPr>
        <dsp:cNvPr id="0" name=""/>
        <dsp:cNvSpPr/>
      </dsp:nvSpPr>
      <dsp:spPr>
        <a:xfrm>
          <a:off x="3775757" y="1175861"/>
          <a:ext cx="1414462" cy="848677"/>
        </a:xfrm>
        <a:prstGeom prst="rect">
          <a:avLst/>
        </a:prstGeom>
        <a:gradFill rotWithShape="0">
          <a:gsLst>
            <a:gs pos="0">
              <a:schemeClr val="accent2">
                <a:hueOff val="3901266"/>
                <a:satOff val="-4866"/>
                <a:lumOff val="1144"/>
                <a:alphaOff val="0"/>
                <a:tint val="50000"/>
                <a:satMod val="300000"/>
              </a:schemeClr>
            </a:gs>
            <a:gs pos="35000">
              <a:schemeClr val="accent2">
                <a:hueOff val="3901266"/>
                <a:satOff val="-4866"/>
                <a:lumOff val="1144"/>
                <a:alphaOff val="0"/>
                <a:tint val="37000"/>
                <a:satMod val="300000"/>
              </a:schemeClr>
            </a:gs>
            <a:gs pos="100000">
              <a:schemeClr val="accent2">
                <a:hueOff val="3901266"/>
                <a:satOff val="-4866"/>
                <a:lumOff val="114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Process</a:t>
          </a:r>
        </a:p>
      </dsp:txBody>
      <dsp:txXfrm>
        <a:off x="3775757" y="1175861"/>
        <a:ext cx="1414462" cy="848677"/>
      </dsp:txXfrm>
    </dsp:sp>
    <dsp:sp modelId="{25FC84BF-69D2-44C0-B901-FE53C90086D2}">
      <dsp:nvSpPr>
        <dsp:cNvPr id="0" name=""/>
        <dsp:cNvSpPr/>
      </dsp:nvSpPr>
      <dsp:spPr>
        <a:xfrm>
          <a:off x="296179" y="2349865"/>
          <a:ext cx="1414462" cy="848677"/>
        </a:xfrm>
        <a:prstGeom prst="rect">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Physical Environment</a:t>
          </a:r>
        </a:p>
      </dsp:txBody>
      <dsp:txXfrm>
        <a:off x="296179" y="2349865"/>
        <a:ext cx="1414462" cy="8486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B129D4-70A1-4923-A596-D322C3E39A37}">
      <dsp:nvSpPr>
        <dsp:cNvPr id="0" name=""/>
        <dsp:cNvSpPr/>
      </dsp:nvSpPr>
      <dsp:spPr>
        <a:xfrm>
          <a:off x="0" y="0"/>
          <a:ext cx="2641401"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High</a:t>
          </a:r>
        </a:p>
      </dsp:txBody>
      <dsp:txXfrm>
        <a:off x="0" y="0"/>
        <a:ext cx="2641401" cy="960120"/>
      </dsp:txXfrm>
    </dsp:sp>
    <dsp:sp modelId="{8CB5A744-5C6E-44F0-AF5B-D8649DD1B1A4}">
      <dsp:nvSpPr>
        <dsp:cNvPr id="0" name=""/>
        <dsp:cNvSpPr/>
      </dsp:nvSpPr>
      <dsp:spPr>
        <a:xfrm>
          <a:off x="514353" y="950010"/>
          <a:ext cx="1503908" cy="791581"/>
        </a:xfrm>
        <a:prstGeom prst="roundRect">
          <a:avLst>
            <a:gd name="adj" fmla="val 10000"/>
          </a:avLst>
        </a:prstGeom>
        <a:blipFill rotWithShape="0">
          <a:blip xmlns:r="http://schemas.openxmlformats.org/officeDocument/2006/relationships" r:embed="rId1"/>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4290" rIns="45720" bIns="34290" numCol="1" spcCol="1270" anchor="ctr" anchorCtr="0">
          <a:noAutofit/>
        </a:bodyPr>
        <a:lstStyle/>
        <a:p>
          <a:pPr marL="0" lvl="0" indent="0" algn="ctr" defTabSz="800100">
            <a:lnSpc>
              <a:spcPct val="90000"/>
            </a:lnSpc>
            <a:spcBef>
              <a:spcPct val="0"/>
            </a:spcBef>
            <a:spcAft>
              <a:spcPct val="35000"/>
            </a:spcAft>
            <a:buNone/>
          </a:pPr>
          <a:endParaRPr lang="en-US" sz="1800" kern="1200">
            <a:latin typeface="Times New Roman" pitchFamily="18" charset="0"/>
            <a:cs typeface="Times New Roman" pitchFamily="18" charset="0"/>
          </a:endParaRPr>
        </a:p>
      </dsp:txBody>
      <dsp:txXfrm>
        <a:off x="537538" y="973195"/>
        <a:ext cx="1457538" cy="745211"/>
      </dsp:txXfrm>
    </dsp:sp>
    <dsp:sp modelId="{2805F1D6-5C52-4CD6-A38D-F1CEFF89224D}">
      <dsp:nvSpPr>
        <dsp:cNvPr id="0" name=""/>
        <dsp:cNvSpPr/>
      </dsp:nvSpPr>
      <dsp:spPr>
        <a:xfrm>
          <a:off x="409574" y="1924184"/>
          <a:ext cx="1827744" cy="1115295"/>
        </a:xfrm>
        <a:prstGeom prst="roundRect">
          <a:avLst>
            <a:gd name="adj" fmla="val 10000"/>
          </a:avLst>
        </a:prstGeom>
        <a:blipFill rotWithShape="0">
          <a:blip xmlns:r="http://schemas.openxmlformats.org/officeDocument/2006/relationships" r:embed="rId2"/>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4290" rIns="45720" bIns="34290" numCol="1" spcCol="1270" anchor="ctr" anchorCtr="0">
          <a:noAutofit/>
        </a:bodyPr>
        <a:lstStyle/>
        <a:p>
          <a:pPr marL="0" lvl="0" indent="0" algn="ctr" defTabSz="800100">
            <a:lnSpc>
              <a:spcPct val="90000"/>
            </a:lnSpc>
            <a:spcBef>
              <a:spcPct val="0"/>
            </a:spcBef>
            <a:spcAft>
              <a:spcPct val="35000"/>
            </a:spcAft>
            <a:buNone/>
          </a:pPr>
          <a:endParaRPr lang="en-US" sz="1800" kern="1200">
            <a:latin typeface="Times New Roman" pitchFamily="18" charset="0"/>
            <a:cs typeface="Times New Roman" pitchFamily="18" charset="0"/>
          </a:endParaRPr>
        </a:p>
      </dsp:txBody>
      <dsp:txXfrm>
        <a:off x="442240" y="1956850"/>
        <a:ext cx="1762412" cy="1049963"/>
      </dsp:txXfrm>
    </dsp:sp>
    <dsp:sp modelId="{63CC5301-AB6D-4F8A-94BC-3C05374072A6}">
      <dsp:nvSpPr>
        <dsp:cNvPr id="0" name=""/>
        <dsp:cNvSpPr/>
      </dsp:nvSpPr>
      <dsp:spPr>
        <a:xfrm>
          <a:off x="2842252" y="0"/>
          <a:ext cx="2641401"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Low</a:t>
          </a:r>
        </a:p>
      </dsp:txBody>
      <dsp:txXfrm>
        <a:off x="2842252" y="0"/>
        <a:ext cx="2641401" cy="960120"/>
      </dsp:txXfrm>
    </dsp:sp>
    <dsp:sp modelId="{32240F6A-1F7A-4961-AF07-49629A48BB6E}">
      <dsp:nvSpPr>
        <dsp:cNvPr id="0" name=""/>
        <dsp:cNvSpPr/>
      </dsp:nvSpPr>
      <dsp:spPr>
        <a:xfrm>
          <a:off x="3106392" y="960386"/>
          <a:ext cx="2113121" cy="786192"/>
        </a:xfrm>
        <a:prstGeom prst="roundRect">
          <a:avLst>
            <a:gd name="adj" fmla="val 10000"/>
          </a:avLst>
        </a:prstGeom>
        <a:blipFill rotWithShape="0">
          <a:blip xmlns:r="http://schemas.openxmlformats.org/officeDocument/2006/relationships" r:embed="rId3"/>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4290" rIns="45720" bIns="34290" numCol="1" spcCol="1270" anchor="ctr" anchorCtr="0">
          <a:noAutofit/>
        </a:bodyPr>
        <a:lstStyle/>
        <a:p>
          <a:pPr marL="0" lvl="0" indent="0" algn="ctr" defTabSz="800100">
            <a:lnSpc>
              <a:spcPct val="90000"/>
            </a:lnSpc>
            <a:spcBef>
              <a:spcPct val="0"/>
            </a:spcBef>
            <a:spcAft>
              <a:spcPct val="35000"/>
            </a:spcAft>
            <a:buNone/>
          </a:pPr>
          <a:endParaRPr lang="en-US" sz="1800" kern="1200">
            <a:latin typeface="Times New Roman" pitchFamily="18" charset="0"/>
            <a:cs typeface="Times New Roman" pitchFamily="18" charset="0"/>
          </a:endParaRPr>
        </a:p>
      </dsp:txBody>
      <dsp:txXfrm>
        <a:off x="3129419" y="983413"/>
        <a:ext cx="2067067" cy="740138"/>
      </dsp:txXfrm>
    </dsp:sp>
    <dsp:sp modelId="{14954BD5-6084-4E97-B313-EB53F7126287}">
      <dsp:nvSpPr>
        <dsp:cNvPr id="0" name=""/>
        <dsp:cNvSpPr/>
      </dsp:nvSpPr>
      <dsp:spPr>
        <a:xfrm>
          <a:off x="3152775" y="1810381"/>
          <a:ext cx="2039415" cy="1172581"/>
        </a:xfrm>
        <a:prstGeom prst="roundRect">
          <a:avLst>
            <a:gd name="adj" fmla="val 10000"/>
          </a:avLst>
        </a:prstGeom>
        <a:blipFill rotWithShape="0">
          <a:blip xmlns:r="http://schemas.openxmlformats.org/officeDocument/2006/relationships" r:embed="rId4"/>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4290" rIns="45720" bIns="34290" numCol="1" spcCol="1270" anchor="ctr" anchorCtr="0">
          <a:noAutofit/>
        </a:bodyPr>
        <a:lstStyle/>
        <a:p>
          <a:pPr marL="0" lvl="0" indent="0" algn="ctr" defTabSz="800100">
            <a:lnSpc>
              <a:spcPct val="90000"/>
            </a:lnSpc>
            <a:spcBef>
              <a:spcPct val="0"/>
            </a:spcBef>
            <a:spcAft>
              <a:spcPct val="35000"/>
            </a:spcAft>
            <a:buNone/>
          </a:pPr>
          <a:endParaRPr lang="en-US" sz="1800" kern="1200">
            <a:latin typeface="Times New Roman" pitchFamily="18" charset="0"/>
            <a:cs typeface="Times New Roman" pitchFamily="18" charset="0"/>
          </a:endParaRPr>
        </a:p>
      </dsp:txBody>
      <dsp:txXfrm>
        <a:off x="3187119" y="1844725"/>
        <a:ext cx="1970727" cy="11038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F4BE93-712B-4861-AE57-D84F6050F63D}">
      <dsp:nvSpPr>
        <dsp:cNvPr id="0" name=""/>
        <dsp:cNvSpPr/>
      </dsp:nvSpPr>
      <dsp:spPr>
        <a:xfrm>
          <a:off x="388215" y="170259"/>
          <a:ext cx="2200275" cy="2200275"/>
        </a:xfrm>
        <a:prstGeom prst="pie">
          <a:avLst>
            <a:gd name="adj1" fmla="val 16200000"/>
            <a:gd name="adj2" fmla="val 1800000"/>
          </a:avLst>
        </a:prstGeom>
        <a:solidFill>
          <a:schemeClr val="accent2">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kern="1200">
              <a:solidFill>
                <a:schemeClr val="tx1"/>
              </a:solidFill>
              <a:latin typeface="Times New Roman" pitchFamily="18" charset="0"/>
              <a:cs typeface="Times New Roman" pitchFamily="18" charset="0"/>
            </a:rPr>
            <a:t>Stability</a:t>
          </a:r>
        </a:p>
      </dsp:txBody>
      <dsp:txXfrm>
        <a:off x="1547812" y="636508"/>
        <a:ext cx="785812" cy="654843"/>
      </dsp:txXfrm>
    </dsp:sp>
    <dsp:sp modelId="{B5A216B4-870A-430D-9D56-582CC223F21B}">
      <dsp:nvSpPr>
        <dsp:cNvPr id="0" name=""/>
        <dsp:cNvSpPr/>
      </dsp:nvSpPr>
      <dsp:spPr>
        <a:xfrm>
          <a:off x="342899" y="248840"/>
          <a:ext cx="2200275" cy="2200275"/>
        </a:xfrm>
        <a:prstGeom prst="pie">
          <a:avLst>
            <a:gd name="adj1" fmla="val 1800000"/>
            <a:gd name="adj2" fmla="val 9000000"/>
          </a:avLst>
        </a:prstGeom>
        <a:solidFill>
          <a:schemeClr val="accent2">
            <a:alpha val="90000"/>
            <a:hueOff val="0"/>
            <a:satOff val="0"/>
            <a:lumOff val="0"/>
            <a:alphaOff val="-2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kern="1200">
              <a:solidFill>
                <a:schemeClr val="tx1"/>
              </a:solidFill>
              <a:latin typeface="Times New Roman" pitchFamily="18" charset="0"/>
              <a:cs typeface="Times New Roman" pitchFamily="18" charset="0"/>
            </a:rPr>
            <a:t>Growth</a:t>
          </a:r>
        </a:p>
      </dsp:txBody>
      <dsp:txXfrm>
        <a:off x="866774" y="1676400"/>
        <a:ext cx="1178718" cy="576262"/>
      </dsp:txXfrm>
    </dsp:sp>
    <dsp:sp modelId="{3A547CD6-5D88-4DB6-B281-B9B188ECFA84}">
      <dsp:nvSpPr>
        <dsp:cNvPr id="0" name=""/>
        <dsp:cNvSpPr/>
      </dsp:nvSpPr>
      <dsp:spPr>
        <a:xfrm>
          <a:off x="297584" y="170259"/>
          <a:ext cx="2200275" cy="2200275"/>
        </a:xfrm>
        <a:prstGeom prst="pie">
          <a:avLst>
            <a:gd name="adj1" fmla="val 9000000"/>
            <a:gd name="adj2" fmla="val 16200000"/>
          </a:avLst>
        </a:prstGeom>
        <a:solidFill>
          <a:schemeClr val="accent2">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u="none" kern="1200">
              <a:solidFill>
                <a:schemeClr val="tx1"/>
              </a:solidFill>
              <a:latin typeface="Times New Roman" pitchFamily="18" charset="0"/>
              <a:cs typeface="Times New Roman" pitchFamily="18" charset="0"/>
            </a:rPr>
            <a:t>Retrenchment</a:t>
          </a:r>
          <a:endParaRPr lang="en-US" sz="900" b="1" i="0" kern="1200">
            <a:solidFill>
              <a:schemeClr val="tx1"/>
            </a:solidFill>
            <a:latin typeface="Times New Roman" pitchFamily="18" charset="0"/>
            <a:cs typeface="Times New Roman" pitchFamily="18" charset="0"/>
          </a:endParaRPr>
        </a:p>
      </dsp:txBody>
      <dsp:txXfrm>
        <a:off x="552449" y="636508"/>
        <a:ext cx="785812" cy="654843"/>
      </dsp:txXfrm>
    </dsp:sp>
    <dsp:sp modelId="{A1A8D703-BD33-4AA6-ABBA-B83950729D03}">
      <dsp:nvSpPr>
        <dsp:cNvPr id="0" name=""/>
        <dsp:cNvSpPr/>
      </dsp:nvSpPr>
      <dsp:spPr>
        <a:xfrm>
          <a:off x="252189" y="34051"/>
          <a:ext cx="2472690" cy="2472690"/>
        </a:xfrm>
        <a:prstGeom prst="circularArrow">
          <a:avLst>
            <a:gd name="adj1" fmla="val 5085"/>
            <a:gd name="adj2" fmla="val 327528"/>
            <a:gd name="adj3" fmla="val 1472472"/>
            <a:gd name="adj4" fmla="val 16199432"/>
            <a:gd name="adj5" fmla="val 5932"/>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49D4A84-B8BB-43D7-BAAD-3194099C9EF6}">
      <dsp:nvSpPr>
        <dsp:cNvPr id="0" name=""/>
        <dsp:cNvSpPr/>
      </dsp:nvSpPr>
      <dsp:spPr>
        <a:xfrm>
          <a:off x="206692" y="112494"/>
          <a:ext cx="2472690" cy="2472690"/>
        </a:xfrm>
        <a:prstGeom prst="circularArrow">
          <a:avLst>
            <a:gd name="adj1" fmla="val 5085"/>
            <a:gd name="adj2" fmla="val 327528"/>
            <a:gd name="adj3" fmla="val 8671970"/>
            <a:gd name="adj4" fmla="val 1800502"/>
            <a:gd name="adj5" fmla="val 5932"/>
          </a:avLst>
        </a:prstGeom>
        <a:solidFill>
          <a:schemeClr val="accent2">
            <a:shade val="90000"/>
            <a:hueOff val="-20501"/>
            <a:satOff val="-3472"/>
            <a:lumOff val="1605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F0FDCCE-67BA-4EB7-95A8-1F12768EF73B}">
      <dsp:nvSpPr>
        <dsp:cNvPr id="0" name=""/>
        <dsp:cNvSpPr/>
      </dsp:nvSpPr>
      <dsp:spPr>
        <a:xfrm>
          <a:off x="161195" y="34051"/>
          <a:ext cx="2472690" cy="2472690"/>
        </a:xfrm>
        <a:prstGeom prst="circularArrow">
          <a:avLst>
            <a:gd name="adj1" fmla="val 5085"/>
            <a:gd name="adj2" fmla="val 327528"/>
            <a:gd name="adj3" fmla="val 15873039"/>
            <a:gd name="adj4" fmla="val 9000000"/>
            <a:gd name="adj5" fmla="val 5932"/>
          </a:avLst>
        </a:prstGeom>
        <a:solidFill>
          <a:schemeClr val="accent2">
            <a:shade val="90000"/>
            <a:hueOff val="-41001"/>
            <a:satOff val="-6944"/>
            <a:lumOff val="32113"/>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bkpt" val="endCnv"/>
          <dgm:param type="contDir" val="sameDir"/>
          <dgm:param type="grDir" val="tL"/>
          <dgm:param type="flowDir" val="row"/>
        </dgm:alg>
      </dgm:if>
      <dgm:else name="Name3">
        <dgm:alg type="snake">
          <dgm:param type="bkpt" val="endCnv"/>
          <dgm:param type="contDir" val="sameDir"/>
          <dgm:param type="grDir" val="tR"/>
          <dgm:param type="flowDir" val="row"/>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dim" val="1D"/>
                <dgm:param type="connRout" val="bend"/>
                <dgm:param type="begPts" val="midR bCtr"/>
                <dgm:param type="endPts" val="midL tCtr"/>
              </dgm:alg>
            </dgm:if>
            <dgm:else name="Name6">
              <dgm:alg type="conn">
                <dgm:param type="dim" val="1D"/>
                <dgm:param type="connRout" val="ben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vertAlign" val="mid"/>
      <dgm:param type="horzAlign" val="ctr"/>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srcNode" val="dummy1a"/>
                  <dgm:param type="dstNode" val="dummy1b"/>
                  <dgm:param type="begSty" val="arr"/>
                  <dgm:param type="endSty" val="noArr"/>
                  <dgm:param type="connRout" val="longCurve"/>
                  <dgm:param type="begPts" val="tL"/>
                  <dgm:param type="endPts" val="tR"/>
                </dgm:alg>
              </dgm:if>
              <dgm:else name="Name175">
                <dgm:alg type="conn">
                  <dgm:param type="srcNode" val="dummy1a"/>
                  <dgm:param type="dstNode" val="dummy1b"/>
                  <dgm:param type="begSty" val="noArr"/>
                  <dgm:param type="endSty" val="arr"/>
                  <dgm:param type="connRout" val="longCurve"/>
                  <dgm:param type="begPts" val="tL"/>
                  <dgm:param type="endPts" val="t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srcNode" val="dummy1a"/>
                  <dgm:param type="dstNode" val="dummy1b"/>
                  <dgm:param type="begSty" val="noArr"/>
                  <dgm:param type="endSty" val="arr"/>
                  <dgm:param type="connRout" val="curve"/>
                  <dgm:param type="begPts" val="tL"/>
                  <dgm:param type="endPts" val="tL"/>
                </dgm:alg>
              </dgm:if>
              <dgm:else name="Name180">
                <dgm:alg type="conn">
                  <dgm:param type="srcNode" val="dummy1a"/>
                  <dgm:param type="dstNode" val="dummy1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srcNode" val="dummy2a"/>
              <dgm:param type="dstNode" val="dummy2b"/>
              <dgm:param type="begSty" val="noArr"/>
              <dgm:param type="endSty" val="arr"/>
              <dgm:param type="connRout" val="curve"/>
              <dgm:param type="begPts" val="tL"/>
              <dgm:param type="endPts" val="tL"/>
            </dgm:alg>
          </dgm:if>
          <dgm:else name="Name185">
            <dgm:alg type="conn">
              <dgm:param type="srcNode" val="dummy2a"/>
              <dgm:param type="dstNode" val="dummy2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srcNode" val="dummy3a"/>
              <dgm:param type="dstNode" val="dummy3b"/>
              <dgm:param type="begSty" val="noArr"/>
              <dgm:param type="endSty" val="arr"/>
              <dgm:param type="connRout" val="curve"/>
              <dgm:param type="begPts" val="tL"/>
              <dgm:param type="endPts" val="tL"/>
            </dgm:alg>
          </dgm:if>
          <dgm:else name="Name189">
            <dgm:alg type="conn">
              <dgm:param type="srcNode" val="dummy3a"/>
              <dgm:param type="dstNode" val="dummy3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srcNode" val="dummy4a"/>
              <dgm:param type="dstNode" val="dummy4b"/>
              <dgm:param type="begSty" val="noArr"/>
              <dgm:param type="endSty" val="arr"/>
              <dgm:param type="connRout" val="curve"/>
              <dgm:param type="begPts" val="tL"/>
              <dgm:param type="endPts" val="tL"/>
            </dgm:alg>
          </dgm:if>
          <dgm:else name="Name193">
            <dgm:alg type="conn">
              <dgm:param type="srcNode" val="dummy4a"/>
              <dgm:param type="dstNode" val="dummy4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srcNode" val="dummy5a"/>
              <dgm:param type="dstNode" val="dummy5b"/>
              <dgm:param type="begSty" val="noArr"/>
              <dgm:param type="endSty" val="arr"/>
              <dgm:param type="connRout" val="curve"/>
              <dgm:param type="begPts" val="tL"/>
              <dgm:param type="endPts" val="tL"/>
            </dgm:alg>
          </dgm:if>
          <dgm:else name="Name197">
            <dgm:alg type="conn">
              <dgm:param type="srcNode" val="dummy5a"/>
              <dgm:param type="dstNode" val="dummy5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srcNode" val="dummy6a"/>
              <dgm:param type="dstNode" val="dummy6b"/>
              <dgm:param type="begSty" val="noArr"/>
              <dgm:param type="endSty" val="arr"/>
              <dgm:param type="connRout" val="curve"/>
              <dgm:param type="begPts" val="tL"/>
              <dgm:param type="endPts" val="tL"/>
            </dgm:alg>
          </dgm:if>
          <dgm:else name="Name201">
            <dgm:alg type="conn">
              <dgm:param type="srcNode" val="dummy6a"/>
              <dgm:param type="dstNode" val="dummy6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srcNode" val="dummy7a"/>
              <dgm:param type="dstNode" val="dummy7b"/>
              <dgm:param type="begSty" val="noArr"/>
              <dgm:param type="endSty" val="arr"/>
              <dgm:param type="connRout" val="curve"/>
              <dgm:param type="begPts" val="tL"/>
              <dgm:param type="endPts" val="tL"/>
            </dgm:alg>
          </dgm:if>
          <dgm:else name="Name205">
            <dgm:alg type="conn">
              <dgm:param type="srcNode" val="dummy7a"/>
              <dgm:param type="dstNode" val="dummy7b"/>
              <dgm:param type="begSty" val="arr"/>
              <dgm:param type="endSty" val="noArr"/>
              <dgm:param type="connRout" val="curve"/>
              <dgm:param type="begPts" val="tL"/>
              <dgm:param type="endPts" val="tL"/>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E7D0F1-3E4D-4D01-AD94-465016BF28E5}">
  <ds:schemaRefs/>
</ds:datastoreItem>
</file>

<file path=docProps/app.xml><?xml version="1.0" encoding="utf-8"?>
<Properties xmlns="http://schemas.openxmlformats.org/officeDocument/2006/extended-properties" xmlns:vt="http://schemas.openxmlformats.org/officeDocument/2006/docPropsVTypes">
  <Template>Normal</Template>
  <Pages>24</Pages>
  <Words>6976</Words>
  <Characters>39766</Characters>
  <Lines>331</Lines>
  <Paragraphs>93</Paragraphs>
  <TotalTime>0</TotalTime>
  <ScaleCrop>false</ScaleCrop>
  <LinksUpToDate>false</LinksUpToDate>
  <CharactersWithSpaces>46649</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2023-07-19T08:30:00Z</dcterms:created>
  <dc:creator>samir</dc:creator>
  <cp:lastModifiedBy>PREMA PRAJAPATI</cp:lastModifiedBy>
  <dcterms:modified xsi:type="dcterms:W3CDTF">2023-08-21T10:32:03Z</dcterms:modified>
  <cp:revision>61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C8386371A0D94A7DA2296538DFE680F8</vt:lpwstr>
  </property>
</Properties>
</file>