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8D8FD9" w14:textId="69AD2C36" w:rsidR="002154B3" w:rsidRPr="002154B3" w:rsidRDefault="002154B3" w:rsidP="002154B3">
      <w:pPr>
        <w:spacing w:line="360" w:lineRule="auto"/>
        <w:jc w:val="center"/>
        <w:rPr>
          <w:rFonts w:eastAsia="Times New Roman" w:cs="Arial"/>
          <w:b/>
          <w:bCs/>
          <w:kern w:val="36"/>
          <w:sz w:val="32"/>
          <w:szCs w:val="32"/>
          <w:lang w:eastAsia="en-GB"/>
        </w:rPr>
      </w:pPr>
      <w:r w:rsidRPr="002154B3">
        <w:rPr>
          <w:rFonts w:eastAsia="Times New Roman" w:cs="Arial"/>
          <w:b/>
          <w:bCs/>
          <w:kern w:val="36"/>
          <w:sz w:val="32"/>
          <w:szCs w:val="32"/>
          <w:lang w:eastAsia="en-GB"/>
        </w:rPr>
        <w:t>The Ethics of Care as a Foundation for Person-</w:t>
      </w:r>
      <w:proofErr w:type="spellStart"/>
      <w:r w:rsidRPr="002154B3">
        <w:rPr>
          <w:rFonts w:eastAsia="Times New Roman" w:cs="Arial"/>
          <w:b/>
          <w:bCs/>
          <w:kern w:val="36"/>
          <w:sz w:val="32"/>
          <w:szCs w:val="32"/>
          <w:lang w:eastAsia="en-GB"/>
        </w:rPr>
        <w:t>Centred</w:t>
      </w:r>
      <w:proofErr w:type="spellEnd"/>
      <w:r w:rsidRPr="002154B3">
        <w:rPr>
          <w:rFonts w:eastAsia="Times New Roman" w:cs="Arial"/>
          <w:b/>
          <w:bCs/>
          <w:kern w:val="36"/>
          <w:sz w:val="32"/>
          <w:szCs w:val="32"/>
          <w:lang w:eastAsia="en-GB"/>
        </w:rPr>
        <w:t xml:space="preserve"> Practice: Emergence, Critique, and Application to Health and Social Care Policy</w:t>
      </w:r>
    </w:p>
    <w:p w14:paraId="03D4659B" w14:textId="77777777" w:rsidR="002154B3" w:rsidRDefault="002154B3" w:rsidP="002154B3">
      <w:pPr>
        <w:spacing w:line="360" w:lineRule="auto"/>
        <w:jc w:val="center"/>
        <w:rPr>
          <w:rFonts w:eastAsia="Times New Roman" w:cs="Arial"/>
          <w:b/>
          <w:bCs/>
          <w:kern w:val="36"/>
          <w:sz w:val="32"/>
          <w:szCs w:val="32"/>
          <w:lang w:eastAsia="en-GB"/>
        </w:rPr>
      </w:pPr>
    </w:p>
    <w:p w14:paraId="064AA2C2" w14:textId="77777777" w:rsidR="002154B3" w:rsidRDefault="002154B3" w:rsidP="002154B3">
      <w:pPr>
        <w:spacing w:line="360" w:lineRule="auto"/>
        <w:jc w:val="center"/>
      </w:pPr>
      <w:r>
        <w:rPr>
          <w:noProof/>
          <w:lang w:val="en-GB" w:eastAsia="en-GB"/>
        </w:rPr>
        <w:drawing>
          <wp:inline distT="0" distB="0" distL="0" distR="0" wp14:anchorId="110D1832" wp14:editId="3E65FB40">
            <wp:extent cx="3848100" cy="1455003"/>
            <wp:effectExtent l="0" t="0" r="0" b="0"/>
            <wp:docPr id="1957779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77967" name=""/>
                    <pic:cNvPicPr/>
                  </pic:nvPicPr>
                  <pic:blipFill>
                    <a:blip r:embed="rId7"/>
                    <a:stretch>
                      <a:fillRect/>
                    </a:stretch>
                  </pic:blipFill>
                  <pic:spPr>
                    <a:xfrm>
                      <a:off x="0" y="0"/>
                      <a:ext cx="3894802" cy="1472662"/>
                    </a:xfrm>
                    <a:prstGeom prst="rect">
                      <a:avLst/>
                    </a:prstGeom>
                  </pic:spPr>
                </pic:pic>
              </a:graphicData>
            </a:graphic>
          </wp:inline>
        </w:drawing>
      </w:r>
    </w:p>
    <w:tbl>
      <w:tblPr>
        <w:tblStyle w:val="TableGrid"/>
        <w:tblW w:w="0" w:type="auto"/>
        <w:tblLook w:val="04A0" w:firstRow="1" w:lastRow="0" w:firstColumn="1" w:lastColumn="0" w:noHBand="0" w:noVBand="1"/>
      </w:tblPr>
      <w:tblGrid>
        <w:gridCol w:w="4675"/>
        <w:gridCol w:w="4675"/>
      </w:tblGrid>
      <w:tr w:rsidR="002154B3" w14:paraId="3C26F86C" w14:textId="77777777" w:rsidTr="00B67C42">
        <w:trPr>
          <w:trHeight w:val="872"/>
        </w:trPr>
        <w:tc>
          <w:tcPr>
            <w:tcW w:w="4675" w:type="dxa"/>
            <w:vAlign w:val="center"/>
          </w:tcPr>
          <w:p w14:paraId="7852AFD6" w14:textId="77777777" w:rsidR="002154B3" w:rsidRDefault="002154B3" w:rsidP="002154B3">
            <w:pPr>
              <w:spacing w:line="360" w:lineRule="auto"/>
              <w:jc w:val="center"/>
            </w:pPr>
            <w:r>
              <w:t>Student Name</w:t>
            </w:r>
          </w:p>
        </w:tc>
        <w:tc>
          <w:tcPr>
            <w:tcW w:w="4675" w:type="dxa"/>
            <w:vAlign w:val="center"/>
          </w:tcPr>
          <w:p w14:paraId="173089E6" w14:textId="0A585D5D" w:rsidR="002154B3" w:rsidRDefault="009E41B4" w:rsidP="002154B3">
            <w:pPr>
              <w:spacing w:line="360" w:lineRule="auto"/>
              <w:jc w:val="center"/>
            </w:pPr>
            <w:r>
              <w:t>Antonio Mario Arsenio Fernandes</w:t>
            </w:r>
          </w:p>
        </w:tc>
      </w:tr>
      <w:tr w:rsidR="002154B3" w14:paraId="16714278" w14:textId="77777777" w:rsidTr="00B67C42">
        <w:trPr>
          <w:trHeight w:val="872"/>
        </w:trPr>
        <w:tc>
          <w:tcPr>
            <w:tcW w:w="4675" w:type="dxa"/>
            <w:vAlign w:val="center"/>
          </w:tcPr>
          <w:p w14:paraId="3E152618" w14:textId="77777777" w:rsidR="002154B3" w:rsidRDefault="002154B3" w:rsidP="002154B3">
            <w:pPr>
              <w:spacing w:line="360" w:lineRule="auto"/>
              <w:jc w:val="center"/>
            </w:pPr>
            <w:r>
              <w:t>Student ID</w:t>
            </w:r>
          </w:p>
        </w:tc>
        <w:tc>
          <w:tcPr>
            <w:tcW w:w="4675" w:type="dxa"/>
            <w:vAlign w:val="center"/>
          </w:tcPr>
          <w:p w14:paraId="4C633EE9" w14:textId="7EDEC85A" w:rsidR="002154B3" w:rsidRDefault="009E41B4" w:rsidP="002154B3">
            <w:pPr>
              <w:spacing w:line="360" w:lineRule="auto"/>
              <w:jc w:val="center"/>
            </w:pPr>
            <w:r>
              <w:t>2440649</w:t>
            </w:r>
          </w:p>
        </w:tc>
      </w:tr>
      <w:tr w:rsidR="002154B3" w14:paraId="1BE30A54" w14:textId="77777777" w:rsidTr="00B67C42">
        <w:trPr>
          <w:trHeight w:val="872"/>
        </w:trPr>
        <w:tc>
          <w:tcPr>
            <w:tcW w:w="4675" w:type="dxa"/>
            <w:vAlign w:val="center"/>
          </w:tcPr>
          <w:p w14:paraId="120FB68F" w14:textId="77777777" w:rsidR="002154B3" w:rsidRDefault="002154B3" w:rsidP="002154B3">
            <w:pPr>
              <w:spacing w:line="360" w:lineRule="auto"/>
              <w:jc w:val="center"/>
            </w:pPr>
            <w:proofErr w:type="spellStart"/>
            <w:r>
              <w:t>Programme</w:t>
            </w:r>
            <w:proofErr w:type="spellEnd"/>
          </w:p>
        </w:tc>
        <w:tc>
          <w:tcPr>
            <w:tcW w:w="4675" w:type="dxa"/>
            <w:vAlign w:val="center"/>
          </w:tcPr>
          <w:p w14:paraId="7FDB51EE" w14:textId="77777777" w:rsidR="002154B3" w:rsidRDefault="002154B3" w:rsidP="002154B3">
            <w:pPr>
              <w:spacing w:line="360" w:lineRule="auto"/>
              <w:jc w:val="center"/>
            </w:pPr>
            <w:r w:rsidRPr="00436B47">
              <w:t>BSc (Hons) Health and Social Care</w:t>
            </w:r>
          </w:p>
        </w:tc>
      </w:tr>
      <w:tr w:rsidR="002154B3" w14:paraId="686E27B7" w14:textId="77777777" w:rsidTr="00B67C42">
        <w:trPr>
          <w:trHeight w:val="872"/>
        </w:trPr>
        <w:tc>
          <w:tcPr>
            <w:tcW w:w="4675" w:type="dxa"/>
            <w:vAlign w:val="center"/>
          </w:tcPr>
          <w:p w14:paraId="700FFD86" w14:textId="77777777" w:rsidR="002154B3" w:rsidRDefault="002154B3" w:rsidP="002154B3">
            <w:pPr>
              <w:spacing w:line="360" w:lineRule="auto"/>
              <w:jc w:val="center"/>
            </w:pPr>
            <w:r>
              <w:t>Module</w:t>
            </w:r>
          </w:p>
        </w:tc>
        <w:tc>
          <w:tcPr>
            <w:tcW w:w="4675" w:type="dxa"/>
            <w:vAlign w:val="center"/>
          </w:tcPr>
          <w:p w14:paraId="307DE2AF" w14:textId="77777777" w:rsidR="002154B3" w:rsidRDefault="002154B3" w:rsidP="002154B3">
            <w:pPr>
              <w:spacing w:line="360" w:lineRule="auto"/>
              <w:jc w:val="center"/>
            </w:pPr>
            <w:r w:rsidRPr="00436B47">
              <w:t>Principles of Health and Social Care Practice</w:t>
            </w:r>
          </w:p>
        </w:tc>
      </w:tr>
      <w:tr w:rsidR="002154B3" w14:paraId="5F851F42" w14:textId="77777777" w:rsidTr="00B67C42">
        <w:trPr>
          <w:trHeight w:val="872"/>
        </w:trPr>
        <w:tc>
          <w:tcPr>
            <w:tcW w:w="4675" w:type="dxa"/>
            <w:vAlign w:val="center"/>
          </w:tcPr>
          <w:p w14:paraId="64F69702" w14:textId="77777777" w:rsidR="002154B3" w:rsidRDefault="002154B3" w:rsidP="002154B3">
            <w:pPr>
              <w:spacing w:line="360" w:lineRule="auto"/>
              <w:jc w:val="center"/>
            </w:pPr>
            <w:r w:rsidRPr="0089114B">
              <w:t>Assignment Title</w:t>
            </w:r>
          </w:p>
        </w:tc>
        <w:tc>
          <w:tcPr>
            <w:tcW w:w="4675" w:type="dxa"/>
            <w:vAlign w:val="center"/>
          </w:tcPr>
          <w:p w14:paraId="2E21BABC" w14:textId="5F059CA1" w:rsidR="009E41B4" w:rsidRDefault="002154B3" w:rsidP="009E41B4">
            <w:pPr>
              <w:spacing w:line="360" w:lineRule="auto"/>
              <w:jc w:val="center"/>
            </w:pPr>
            <w:r w:rsidRPr="00436B47">
              <w:t>Component 2: Written Assignment (Essay)</w:t>
            </w:r>
          </w:p>
          <w:p w14:paraId="630C0768" w14:textId="77777777" w:rsidR="009E41B4" w:rsidRPr="0089114B" w:rsidRDefault="009E41B4" w:rsidP="002154B3">
            <w:pPr>
              <w:spacing w:line="360" w:lineRule="auto"/>
              <w:jc w:val="center"/>
            </w:pPr>
          </w:p>
        </w:tc>
      </w:tr>
    </w:tbl>
    <w:p w14:paraId="3CAE157A" w14:textId="77777777" w:rsidR="002154B3" w:rsidRDefault="002154B3" w:rsidP="002154B3">
      <w:pPr>
        <w:spacing w:line="360" w:lineRule="auto"/>
        <w:rPr>
          <w:b/>
          <w:bCs/>
          <w:lang w:val="en-GB"/>
        </w:rPr>
        <w:sectPr w:rsidR="002154B3">
          <w:footerReference w:type="default" r:id="rId8"/>
          <w:pgSz w:w="12240" w:h="15840"/>
          <w:pgMar w:top="1440" w:right="1440" w:bottom="1440" w:left="1440" w:header="720" w:footer="720" w:gutter="0"/>
          <w:cols w:space="720"/>
          <w:docGrid w:linePitch="360"/>
        </w:sectPr>
      </w:pPr>
    </w:p>
    <w:sdt>
      <w:sdtPr>
        <w:rPr>
          <w:rFonts w:eastAsiaTheme="minorHAnsi" w:cstheme="minorBidi"/>
          <w:b w:val="0"/>
          <w:kern w:val="2"/>
          <w:sz w:val="22"/>
          <w:szCs w:val="24"/>
          <w14:ligatures w14:val="standardContextual"/>
        </w:rPr>
        <w:id w:val="-1546367714"/>
        <w:docPartObj>
          <w:docPartGallery w:val="Table of Contents"/>
          <w:docPartUnique/>
        </w:docPartObj>
      </w:sdtPr>
      <w:sdtEndPr>
        <w:rPr>
          <w:bCs/>
          <w:noProof/>
        </w:rPr>
      </w:sdtEndPr>
      <w:sdtContent>
        <w:p w14:paraId="6D71762A" w14:textId="7EA57D21" w:rsidR="002154B3" w:rsidRDefault="002154B3" w:rsidP="002154B3">
          <w:pPr>
            <w:pStyle w:val="TOCHeading"/>
            <w:spacing w:line="360" w:lineRule="auto"/>
            <w:jc w:val="center"/>
          </w:pPr>
          <w:r>
            <w:t>Table of Content</w:t>
          </w:r>
        </w:p>
        <w:p w14:paraId="49F290F7" w14:textId="58C62B8F" w:rsidR="002154B3" w:rsidRDefault="002154B3" w:rsidP="002154B3">
          <w:pPr>
            <w:pStyle w:val="TOC1"/>
            <w:tabs>
              <w:tab w:val="right" w:leader="dot" w:pos="9350"/>
            </w:tabs>
            <w:spacing w:line="360" w:lineRule="auto"/>
            <w:rPr>
              <w:noProof/>
            </w:rPr>
          </w:pPr>
          <w:r>
            <w:fldChar w:fldCharType="begin"/>
          </w:r>
          <w:r>
            <w:instrText xml:space="preserve"> TOC \o "1-3" \h \z \u </w:instrText>
          </w:r>
          <w:r>
            <w:fldChar w:fldCharType="separate"/>
          </w:r>
          <w:hyperlink w:anchor="_Toc236089853" w:history="1">
            <w:r w:rsidRPr="00DD2221">
              <w:rPr>
                <w:rStyle w:val="Hyperlink"/>
                <w:noProof/>
                <w:lang w:val="en-GB"/>
              </w:rPr>
              <w:t>Introduction</w:t>
            </w:r>
            <w:r>
              <w:rPr>
                <w:noProof/>
                <w:webHidden/>
              </w:rPr>
              <w:tab/>
            </w:r>
            <w:r>
              <w:rPr>
                <w:noProof/>
                <w:webHidden/>
              </w:rPr>
              <w:fldChar w:fldCharType="begin"/>
            </w:r>
            <w:r>
              <w:rPr>
                <w:noProof/>
                <w:webHidden/>
              </w:rPr>
              <w:instrText xml:space="preserve"> PAGEREF _Toc236089853 \h </w:instrText>
            </w:r>
            <w:r>
              <w:rPr>
                <w:noProof/>
                <w:webHidden/>
              </w:rPr>
            </w:r>
            <w:r>
              <w:rPr>
                <w:noProof/>
                <w:webHidden/>
              </w:rPr>
              <w:fldChar w:fldCharType="separate"/>
            </w:r>
            <w:r>
              <w:rPr>
                <w:noProof/>
                <w:webHidden/>
              </w:rPr>
              <w:t>3</w:t>
            </w:r>
            <w:r>
              <w:rPr>
                <w:noProof/>
                <w:webHidden/>
              </w:rPr>
              <w:fldChar w:fldCharType="end"/>
            </w:r>
          </w:hyperlink>
        </w:p>
        <w:p w14:paraId="79B040AC" w14:textId="20497642" w:rsidR="002154B3" w:rsidRDefault="002154B3" w:rsidP="002154B3">
          <w:pPr>
            <w:pStyle w:val="TOC1"/>
            <w:tabs>
              <w:tab w:val="right" w:leader="dot" w:pos="9350"/>
            </w:tabs>
            <w:spacing w:line="360" w:lineRule="auto"/>
            <w:rPr>
              <w:noProof/>
            </w:rPr>
          </w:pPr>
          <w:hyperlink w:anchor="_Toc236089854" w:history="1">
            <w:r w:rsidRPr="00DD2221">
              <w:rPr>
                <w:rStyle w:val="Hyperlink"/>
                <w:noProof/>
              </w:rPr>
              <w:t>The Emergence and Development of the Ethics of Care</w:t>
            </w:r>
            <w:r>
              <w:rPr>
                <w:noProof/>
                <w:webHidden/>
              </w:rPr>
              <w:tab/>
            </w:r>
            <w:r>
              <w:rPr>
                <w:noProof/>
                <w:webHidden/>
              </w:rPr>
              <w:fldChar w:fldCharType="begin"/>
            </w:r>
            <w:r>
              <w:rPr>
                <w:noProof/>
                <w:webHidden/>
              </w:rPr>
              <w:instrText xml:space="preserve"> PAGEREF _Toc236089854 \h </w:instrText>
            </w:r>
            <w:r>
              <w:rPr>
                <w:noProof/>
                <w:webHidden/>
              </w:rPr>
            </w:r>
            <w:r>
              <w:rPr>
                <w:noProof/>
                <w:webHidden/>
              </w:rPr>
              <w:fldChar w:fldCharType="separate"/>
            </w:r>
            <w:r>
              <w:rPr>
                <w:noProof/>
                <w:webHidden/>
              </w:rPr>
              <w:t>3</w:t>
            </w:r>
            <w:r>
              <w:rPr>
                <w:noProof/>
                <w:webHidden/>
              </w:rPr>
              <w:fldChar w:fldCharType="end"/>
            </w:r>
          </w:hyperlink>
        </w:p>
        <w:p w14:paraId="79AE0ABB" w14:textId="6748E104" w:rsidR="002154B3" w:rsidRDefault="002154B3" w:rsidP="002154B3">
          <w:pPr>
            <w:pStyle w:val="TOC1"/>
            <w:tabs>
              <w:tab w:val="right" w:leader="dot" w:pos="9350"/>
            </w:tabs>
            <w:spacing w:line="360" w:lineRule="auto"/>
            <w:rPr>
              <w:noProof/>
            </w:rPr>
          </w:pPr>
          <w:hyperlink w:anchor="_Toc236089855" w:history="1">
            <w:r w:rsidRPr="00DD2221">
              <w:rPr>
                <w:rStyle w:val="Hyperlink"/>
                <w:noProof/>
                <w:lang w:val="en-GB"/>
              </w:rPr>
              <w:t>Critiques and Responses</w:t>
            </w:r>
            <w:r>
              <w:rPr>
                <w:noProof/>
                <w:webHidden/>
              </w:rPr>
              <w:tab/>
            </w:r>
            <w:r>
              <w:rPr>
                <w:noProof/>
                <w:webHidden/>
              </w:rPr>
              <w:fldChar w:fldCharType="begin"/>
            </w:r>
            <w:r>
              <w:rPr>
                <w:noProof/>
                <w:webHidden/>
              </w:rPr>
              <w:instrText xml:space="preserve"> PAGEREF _Toc236089855 \h </w:instrText>
            </w:r>
            <w:r>
              <w:rPr>
                <w:noProof/>
                <w:webHidden/>
              </w:rPr>
            </w:r>
            <w:r>
              <w:rPr>
                <w:noProof/>
                <w:webHidden/>
              </w:rPr>
              <w:fldChar w:fldCharType="separate"/>
            </w:r>
            <w:r>
              <w:rPr>
                <w:noProof/>
                <w:webHidden/>
              </w:rPr>
              <w:t>3</w:t>
            </w:r>
            <w:r>
              <w:rPr>
                <w:noProof/>
                <w:webHidden/>
              </w:rPr>
              <w:fldChar w:fldCharType="end"/>
            </w:r>
          </w:hyperlink>
        </w:p>
        <w:p w14:paraId="24DE98B4" w14:textId="7A4C13BB" w:rsidR="002154B3" w:rsidRDefault="002154B3" w:rsidP="002154B3">
          <w:pPr>
            <w:pStyle w:val="TOC1"/>
            <w:tabs>
              <w:tab w:val="right" w:leader="dot" w:pos="9350"/>
            </w:tabs>
            <w:spacing w:line="360" w:lineRule="auto"/>
            <w:rPr>
              <w:noProof/>
            </w:rPr>
          </w:pPr>
          <w:hyperlink w:anchor="_Toc236089856" w:history="1">
            <w:r w:rsidRPr="00DD2221">
              <w:rPr>
                <w:rStyle w:val="Hyperlink"/>
                <w:noProof/>
                <w:lang w:val="en-GB"/>
              </w:rPr>
              <w:t>Application to Health and Social Care Policy and Practice</w:t>
            </w:r>
            <w:r>
              <w:rPr>
                <w:noProof/>
                <w:webHidden/>
              </w:rPr>
              <w:tab/>
            </w:r>
            <w:r>
              <w:rPr>
                <w:noProof/>
                <w:webHidden/>
              </w:rPr>
              <w:fldChar w:fldCharType="begin"/>
            </w:r>
            <w:r>
              <w:rPr>
                <w:noProof/>
                <w:webHidden/>
              </w:rPr>
              <w:instrText xml:space="preserve"> PAGEREF _Toc236089856 \h </w:instrText>
            </w:r>
            <w:r>
              <w:rPr>
                <w:noProof/>
                <w:webHidden/>
              </w:rPr>
            </w:r>
            <w:r>
              <w:rPr>
                <w:noProof/>
                <w:webHidden/>
              </w:rPr>
              <w:fldChar w:fldCharType="separate"/>
            </w:r>
            <w:r>
              <w:rPr>
                <w:noProof/>
                <w:webHidden/>
              </w:rPr>
              <w:t>4</w:t>
            </w:r>
            <w:r>
              <w:rPr>
                <w:noProof/>
                <w:webHidden/>
              </w:rPr>
              <w:fldChar w:fldCharType="end"/>
            </w:r>
          </w:hyperlink>
        </w:p>
        <w:p w14:paraId="0A94F31B" w14:textId="7B72A456" w:rsidR="002154B3" w:rsidRDefault="002154B3" w:rsidP="002154B3">
          <w:pPr>
            <w:pStyle w:val="TOC1"/>
            <w:tabs>
              <w:tab w:val="right" w:leader="dot" w:pos="9350"/>
            </w:tabs>
            <w:spacing w:line="360" w:lineRule="auto"/>
            <w:rPr>
              <w:noProof/>
            </w:rPr>
          </w:pPr>
          <w:hyperlink w:anchor="_Toc236089857" w:history="1">
            <w:r w:rsidRPr="00DD2221">
              <w:rPr>
                <w:rStyle w:val="Hyperlink"/>
                <w:noProof/>
                <w:lang w:val="en-GB"/>
              </w:rPr>
              <w:t>Recommendations and Conclusion</w:t>
            </w:r>
            <w:r>
              <w:rPr>
                <w:noProof/>
                <w:webHidden/>
              </w:rPr>
              <w:tab/>
            </w:r>
            <w:r>
              <w:rPr>
                <w:noProof/>
                <w:webHidden/>
              </w:rPr>
              <w:fldChar w:fldCharType="begin"/>
            </w:r>
            <w:r>
              <w:rPr>
                <w:noProof/>
                <w:webHidden/>
              </w:rPr>
              <w:instrText xml:space="preserve"> PAGEREF _Toc236089857 \h </w:instrText>
            </w:r>
            <w:r>
              <w:rPr>
                <w:noProof/>
                <w:webHidden/>
              </w:rPr>
            </w:r>
            <w:r>
              <w:rPr>
                <w:noProof/>
                <w:webHidden/>
              </w:rPr>
              <w:fldChar w:fldCharType="separate"/>
            </w:r>
            <w:r>
              <w:rPr>
                <w:noProof/>
                <w:webHidden/>
              </w:rPr>
              <w:t>5</w:t>
            </w:r>
            <w:r>
              <w:rPr>
                <w:noProof/>
                <w:webHidden/>
              </w:rPr>
              <w:fldChar w:fldCharType="end"/>
            </w:r>
          </w:hyperlink>
        </w:p>
        <w:p w14:paraId="0F3F11C0" w14:textId="1061E841" w:rsidR="002154B3" w:rsidRDefault="002154B3" w:rsidP="002154B3">
          <w:pPr>
            <w:pStyle w:val="TOC1"/>
            <w:tabs>
              <w:tab w:val="right" w:leader="dot" w:pos="9350"/>
            </w:tabs>
            <w:spacing w:line="360" w:lineRule="auto"/>
            <w:rPr>
              <w:noProof/>
            </w:rPr>
          </w:pPr>
          <w:hyperlink w:anchor="_Toc236089858" w:history="1">
            <w:r w:rsidRPr="00DD2221">
              <w:rPr>
                <w:rStyle w:val="Hyperlink"/>
                <w:noProof/>
                <w:lang w:val="en-GB"/>
              </w:rPr>
              <w:t>References</w:t>
            </w:r>
            <w:r>
              <w:rPr>
                <w:noProof/>
                <w:webHidden/>
              </w:rPr>
              <w:tab/>
            </w:r>
            <w:r>
              <w:rPr>
                <w:noProof/>
                <w:webHidden/>
              </w:rPr>
              <w:fldChar w:fldCharType="begin"/>
            </w:r>
            <w:r>
              <w:rPr>
                <w:noProof/>
                <w:webHidden/>
              </w:rPr>
              <w:instrText xml:space="preserve"> PAGEREF _Toc236089858 \h </w:instrText>
            </w:r>
            <w:r>
              <w:rPr>
                <w:noProof/>
                <w:webHidden/>
              </w:rPr>
            </w:r>
            <w:r>
              <w:rPr>
                <w:noProof/>
                <w:webHidden/>
              </w:rPr>
              <w:fldChar w:fldCharType="separate"/>
            </w:r>
            <w:r>
              <w:rPr>
                <w:noProof/>
                <w:webHidden/>
              </w:rPr>
              <w:t>5</w:t>
            </w:r>
            <w:r>
              <w:rPr>
                <w:noProof/>
                <w:webHidden/>
              </w:rPr>
              <w:fldChar w:fldCharType="end"/>
            </w:r>
          </w:hyperlink>
        </w:p>
        <w:p w14:paraId="34CF1FA5" w14:textId="03B1756D" w:rsidR="002154B3" w:rsidRDefault="002154B3" w:rsidP="002154B3">
          <w:pPr>
            <w:spacing w:line="360" w:lineRule="auto"/>
          </w:pPr>
          <w:r>
            <w:rPr>
              <w:b/>
              <w:bCs/>
              <w:noProof/>
            </w:rPr>
            <w:fldChar w:fldCharType="end"/>
          </w:r>
        </w:p>
      </w:sdtContent>
    </w:sdt>
    <w:p w14:paraId="5D25B929" w14:textId="77777777" w:rsidR="002154B3" w:rsidRDefault="002154B3" w:rsidP="002154B3">
      <w:pPr>
        <w:spacing w:line="360" w:lineRule="auto"/>
        <w:rPr>
          <w:b/>
          <w:bCs/>
          <w:lang w:val="en-GB"/>
        </w:rPr>
        <w:sectPr w:rsidR="002154B3">
          <w:pgSz w:w="12240" w:h="15840"/>
          <w:pgMar w:top="1440" w:right="1440" w:bottom="1440" w:left="1440" w:header="720" w:footer="720" w:gutter="0"/>
          <w:cols w:space="720"/>
          <w:docGrid w:linePitch="360"/>
        </w:sectPr>
      </w:pPr>
    </w:p>
    <w:p w14:paraId="6956C125" w14:textId="3368F903" w:rsidR="0093711D" w:rsidRPr="0093711D" w:rsidRDefault="0093711D" w:rsidP="002154B3">
      <w:pPr>
        <w:pStyle w:val="Heading1"/>
        <w:spacing w:line="360" w:lineRule="auto"/>
        <w:rPr>
          <w:lang w:val="en-GB"/>
        </w:rPr>
      </w:pPr>
      <w:bookmarkStart w:id="0" w:name="_Toc236089853"/>
      <w:r w:rsidRPr="0093711D">
        <w:rPr>
          <w:lang w:val="en-GB"/>
        </w:rPr>
        <w:lastRenderedPageBreak/>
        <w:t>Introduction</w:t>
      </w:r>
      <w:bookmarkEnd w:id="0"/>
    </w:p>
    <w:p w14:paraId="2D071AF6" w14:textId="4512D18D" w:rsidR="0093711D" w:rsidRDefault="0093711D" w:rsidP="002154B3">
      <w:pPr>
        <w:spacing w:line="360" w:lineRule="auto"/>
      </w:pPr>
      <w:r w:rsidRPr="0093711D">
        <w:t>Person-</w:t>
      </w:r>
      <w:proofErr w:type="spellStart"/>
      <w:r w:rsidRPr="0093711D">
        <w:t>centred</w:t>
      </w:r>
      <w:proofErr w:type="spellEnd"/>
      <w:r w:rsidRPr="0093711D">
        <w:t xml:space="preserve"> care assumes that people are not passive recipients of services but relational beings whose needs, values and social contexts need to inform the care that they receive. Among the theoretical frameworks that underlie this orientation, the ethics of care occupies a distinctive place. The ethics of care developed out of feminist moral philosophy in the early 1980s and </w:t>
      </w:r>
      <w:proofErr w:type="spellStart"/>
      <w:r w:rsidRPr="0093711D">
        <w:t>reconceptualises</w:t>
      </w:r>
      <w:proofErr w:type="spellEnd"/>
      <w:r w:rsidRPr="0093711D">
        <w:t xml:space="preserve"> caring as a key moral and political activity that </w:t>
      </w:r>
      <w:proofErr w:type="spellStart"/>
      <w:r w:rsidRPr="0093711D">
        <w:t>organises</w:t>
      </w:r>
      <w:proofErr w:type="spellEnd"/>
      <w:r w:rsidRPr="0093711D">
        <w:t xml:space="preserve"> social life, rather than as a marginal, private virtue. In this essay, we consider the emergence and development of the ethics of care, the criticisms it has attracted and the responses these have generated, and the way in which the framework has been applied – and struggled – in health and social care policy and practice in the UK. It ends with recommendations for more meaningful embedding of the ethics of care into service design and workforce policy.</w:t>
      </w:r>
    </w:p>
    <w:p w14:paraId="59BDC2D3" w14:textId="7A4A8496" w:rsidR="0093711D" w:rsidRPr="0093711D" w:rsidRDefault="0093711D" w:rsidP="002154B3">
      <w:pPr>
        <w:pStyle w:val="Heading1"/>
        <w:spacing w:line="360" w:lineRule="auto"/>
      </w:pPr>
      <w:bookmarkStart w:id="1" w:name="_Toc236089854"/>
      <w:r w:rsidRPr="0093711D">
        <w:t>The Emergence and Development of the Ethics of Care</w:t>
      </w:r>
      <w:bookmarkEnd w:id="1"/>
    </w:p>
    <w:p w14:paraId="54526A12" w14:textId="77777777" w:rsidR="002154B3" w:rsidRDefault="0093711D" w:rsidP="002154B3">
      <w:pPr>
        <w:spacing w:line="360" w:lineRule="auto"/>
      </w:pPr>
      <w:r w:rsidRPr="0093711D">
        <w:t>Ethics of care originated in Carol Gilligan’s (1982) In a Different Voice, a psychology study that challenged Lawrence Kohlberg’s stage model of moral development. Kohlberg had placed justice-based, rule-following reasoning at the top of the hierarchy of moral maturity, relative to which women's moral reasoning consistently scored lower. Gilligan argued that this was not evidence of women's moral deficiency but of a different, equally valid moral orientation – one focused on relationships, responsibility and responsiveness to the needs of particular others, rather than abstract, impartial rules. This “different voice” was the seed of a larger theoretical project.</w:t>
      </w:r>
    </w:p>
    <w:p w14:paraId="4DB9CC26" w14:textId="068C6D86" w:rsidR="0093711D" w:rsidRDefault="0093711D" w:rsidP="002154B3">
      <w:pPr>
        <w:spacing w:line="360" w:lineRule="auto"/>
      </w:pPr>
      <w:r w:rsidRPr="0093711D">
        <w:t xml:space="preserve">Nel </w:t>
      </w:r>
      <w:proofErr w:type="spellStart"/>
      <w:r w:rsidRPr="0093711D">
        <w:t>Noddings</w:t>
      </w:r>
      <w:proofErr w:type="spellEnd"/>
      <w:r w:rsidRPr="0093711D">
        <w:t xml:space="preserve"> (1984) developed this insight into a full ethical theory built around the relation between the "one-caring" and the "cared-for", in which moral action is grounded in engrossment in and responsiveness to the other's reality rather than in universal principle. Joan Tronto and Berenice Fisher extended the concept beyond interpersonal ethics into political theory. Fisher and </w:t>
      </w:r>
      <w:proofErr w:type="spellStart"/>
      <w:r w:rsidRPr="0093711D">
        <w:t>Tronto's</w:t>
      </w:r>
      <w:proofErr w:type="spellEnd"/>
      <w:r w:rsidRPr="0093711D">
        <w:t xml:space="preserve"> influential definition described care as a species activity encompassing everything done to maintain, continue, and repair a shared world so that people can live in it as well as possible. </w:t>
      </w:r>
      <w:proofErr w:type="spellStart"/>
      <w:r w:rsidRPr="0093711D">
        <w:t>Tronto</w:t>
      </w:r>
      <w:proofErr w:type="spellEnd"/>
      <w:r w:rsidRPr="0093711D">
        <w:t xml:space="preserve"> (1993) subsequently identified interlocking phases of caring — caring about, caring for, care-giving, and care-receiving — later adding "caring with" to </w:t>
      </w:r>
      <w:proofErr w:type="spellStart"/>
      <w:r w:rsidRPr="0093711D">
        <w:t>emphasise</w:t>
      </w:r>
      <w:proofErr w:type="spellEnd"/>
      <w:r w:rsidRPr="0093711D">
        <w:t xml:space="preserve"> solidarity and trust as the basis of a caring democracy (</w:t>
      </w:r>
      <w:proofErr w:type="spellStart"/>
      <w:r w:rsidRPr="0093711D">
        <w:t>Tronto</w:t>
      </w:r>
      <w:proofErr w:type="spellEnd"/>
      <w:r w:rsidRPr="0093711D">
        <w:t>, 2013).</w:t>
      </w:r>
      <w:r>
        <w:t xml:space="preserve"> This shift redefined care as a public good and a political duty, a matter of immediate concern to the </w:t>
      </w:r>
      <w:proofErr w:type="spellStart"/>
      <w:r>
        <w:t>organisation</w:t>
      </w:r>
      <w:proofErr w:type="spellEnd"/>
      <w:r>
        <w:t xml:space="preserve"> of health and social care in welfare states, and moved it away from being a private, </w:t>
      </w:r>
      <w:proofErr w:type="spellStart"/>
      <w:r>
        <w:t>feminised</w:t>
      </w:r>
      <w:proofErr w:type="spellEnd"/>
      <w:r>
        <w:t xml:space="preserve"> virtue.</w:t>
      </w:r>
    </w:p>
    <w:p w14:paraId="22AF5F32" w14:textId="63D09644" w:rsidR="0093711D" w:rsidRDefault="0093711D" w:rsidP="002154B3">
      <w:pPr>
        <w:spacing w:line="360" w:lineRule="auto"/>
      </w:pPr>
      <w:r>
        <w:lastRenderedPageBreak/>
        <w:t>Virginia Held (2006) and Selma Sevenhuijsen (1998) have elaborated the ethics of care as a separate moral epistemology, claiming that care ethics does not deny justice but rather demands that abstract principles be understood through an awareness of context, dependence and relationship. Eva Feder Kittay (1999), from her own experience as a mother of a profoundly disabled daughter, developed the idea of “dependency work,” and argued that all people experience periods of unavoidable dependency, and that care is therefore a universal rather than an exceptional feature of human life.</w:t>
      </w:r>
    </w:p>
    <w:p w14:paraId="42D8DA61" w14:textId="77777777" w:rsidR="0093711D" w:rsidRPr="0093711D" w:rsidRDefault="0093711D" w:rsidP="002154B3">
      <w:pPr>
        <w:pStyle w:val="Heading1"/>
        <w:spacing w:line="360" w:lineRule="auto"/>
        <w:rPr>
          <w:lang w:val="en-GB"/>
        </w:rPr>
      </w:pPr>
      <w:bookmarkStart w:id="2" w:name="_Toc236089855"/>
      <w:r w:rsidRPr="0093711D">
        <w:rPr>
          <w:lang w:val="en-GB"/>
        </w:rPr>
        <w:t>Critiques and Responses</w:t>
      </w:r>
      <w:bookmarkEnd w:id="2"/>
    </w:p>
    <w:p w14:paraId="143E98E7" w14:textId="77777777" w:rsidR="0093711D" w:rsidRPr="0093711D" w:rsidRDefault="0093711D" w:rsidP="002154B3">
      <w:pPr>
        <w:spacing w:line="360" w:lineRule="auto"/>
        <w:rPr>
          <w:lang w:val="en-GB"/>
        </w:rPr>
      </w:pPr>
      <w:r w:rsidRPr="0093711D">
        <w:rPr>
          <w:lang w:val="en-GB"/>
        </w:rPr>
        <w:t>The ethics of care has faced several sustained critiques. The first is the charge of essentialism: by grounding moral insight in women's experience, early formulations risked naturalising the association between women and caregiving, potentially reinforcing rather than challenging the gendered division of labour that has historically disadvantaged women in both paid and unpaid care work (Bubeck, 1995). A second critique concerns cultural and moral relativism — if moral judgement depends on particular relationships and contexts, the theory appears to lack resources for addressing injustice or abuse that occurs within intimate or caring relationships, such as domestic coercion. A third critique concerns vagueness: critics argue that "responsiveness to need" offers little practical guidance for resolving conflicts between competing needs, or for allocating scarce resources fairly. Finally, feminist political economists have argued that romanticising care as virtue can obscure the material exploitation of paid carers — disproportionately women, migrants, and racialised workers — within global care chains (Hochschild, 2000), where the ethics of care's moral language of vocation and devotion has historically been used to justify low pay.</w:t>
      </w:r>
    </w:p>
    <w:p w14:paraId="1EF508C4" w14:textId="673C5788" w:rsidR="00092E38" w:rsidRDefault="00092E38" w:rsidP="002154B3">
      <w:pPr>
        <w:spacing w:line="360" w:lineRule="auto"/>
      </w:pPr>
      <w:r w:rsidRPr="00092E38">
        <w:t xml:space="preserve">In response, care ethicists have redefined the theory considerably. In her ‘caring democracy’, </w:t>
      </w:r>
      <w:proofErr w:type="spellStart"/>
      <w:r w:rsidRPr="00092E38">
        <w:t>Tronto</w:t>
      </w:r>
      <w:proofErr w:type="spellEnd"/>
      <w:r w:rsidRPr="00092E38">
        <w:t xml:space="preserve"> (2013) explicitly separates the practice and political value of care from any claims about the natural disposition to care. She insists that the division of care responsibilities should be a subject of democratic deliberation rather than one assumed along gender lines. This is a response to the essentialism critique by detaching the ethical claim from any biological or gendered grounding. Justice gives us the language of rights and fair </w:t>
      </w:r>
      <w:proofErr w:type="gramStart"/>
      <w:r w:rsidRPr="00092E38">
        <w:t>distribution</w:t>
      </w:r>
      <w:proofErr w:type="gramEnd"/>
      <w:r w:rsidRPr="00092E38">
        <w:t xml:space="preserve"> and care gives us the responsiveness and attentiveness we need to apply those rights to actual, situated people” (</w:t>
      </w:r>
      <w:proofErr w:type="spellStart"/>
      <w:r w:rsidRPr="00092E38">
        <w:t>Sevenhuijsen</w:t>
      </w:r>
      <w:proofErr w:type="spellEnd"/>
      <w:r w:rsidRPr="00092E38">
        <w:t xml:space="preserve">, 1998, p. 104). Held (2006) has also argued that care ethics is not an alternative to justice but a complement to justice. These authors have addressed the vagueness critique by taking an integrated rather than substitutive relationship with justice-based reasoning. The </w:t>
      </w:r>
      <w:r w:rsidRPr="00092E38">
        <w:lastRenderedPageBreak/>
        <w:t>concept of '</w:t>
      </w:r>
      <w:proofErr w:type="spellStart"/>
      <w:r w:rsidRPr="00092E38">
        <w:t>doulia</w:t>
      </w:r>
      <w:proofErr w:type="spellEnd"/>
      <w:r w:rsidRPr="00092E38">
        <w:t>' (Kittay, 1999) - the idea that carers themselves require to be cared for and supported by wider social structures - is a direct response to the exploitation critique, in that it demands that a just care ethic must apply to the working conditions of carers as well as to those receiving care. These responses have transformed the ethics of care from a psychological observation about gender difference into an adult political and social theory useful for institutional design.</w:t>
      </w:r>
    </w:p>
    <w:p w14:paraId="16A85F74" w14:textId="77777777" w:rsidR="00092E38" w:rsidRPr="00092E38" w:rsidRDefault="00092E38" w:rsidP="002154B3">
      <w:pPr>
        <w:pStyle w:val="Heading1"/>
        <w:spacing w:line="360" w:lineRule="auto"/>
        <w:rPr>
          <w:lang w:val="en-GB"/>
        </w:rPr>
      </w:pPr>
      <w:bookmarkStart w:id="3" w:name="_Toc236089856"/>
      <w:r w:rsidRPr="00092E38">
        <w:rPr>
          <w:lang w:val="en-GB"/>
        </w:rPr>
        <w:t>Application to Health and Social Care Policy and Practice</w:t>
      </w:r>
      <w:bookmarkEnd w:id="3"/>
    </w:p>
    <w:p w14:paraId="6957A97D" w14:textId="7F9866BB" w:rsidR="00092E38" w:rsidRDefault="00092E38" w:rsidP="002154B3">
      <w:pPr>
        <w:spacing w:line="360" w:lineRule="auto"/>
      </w:pPr>
      <w:r w:rsidRPr="00092E38">
        <w:t>The ethics of care has been a significant influence on the rhetorical shift to person-</w:t>
      </w:r>
      <w:proofErr w:type="spellStart"/>
      <w:r w:rsidRPr="00092E38">
        <w:t>centred</w:t>
      </w:r>
      <w:proofErr w:type="spellEnd"/>
      <w:r w:rsidRPr="00092E38">
        <w:t xml:space="preserve"> care in UK health and social care policy. The NHS’s 2010s ‘no decision about me, without me’ agenda, the wellbeing principle embedded in the Care Act 2014 and recovery-oriented approaches in mental health services all rest, explicitly or implicitly, on the idea that good care requires attentiveness to the particular person’s circumstances, values and relationships rather than </w:t>
      </w:r>
      <w:proofErr w:type="spellStart"/>
      <w:r w:rsidRPr="00092E38">
        <w:t>standardised</w:t>
      </w:r>
      <w:proofErr w:type="spellEnd"/>
      <w:r w:rsidRPr="00092E38">
        <w:t>, one-size-fits-all provision. Similarly, advance care planning and palliative care express a care-ethics sensibility that emphasizes relational dialogue about what matters to the person rather than solely clinical protocol.</w:t>
      </w:r>
    </w:p>
    <w:p w14:paraId="08AB78D4" w14:textId="77777777" w:rsidR="00092E38" w:rsidRPr="00092E38" w:rsidRDefault="00092E38" w:rsidP="002154B3">
      <w:pPr>
        <w:spacing w:line="360" w:lineRule="auto"/>
        <w:rPr>
          <w:lang w:val="en-GB"/>
        </w:rPr>
      </w:pPr>
      <w:r w:rsidRPr="00092E38">
        <w:rPr>
          <w:lang w:val="en-GB"/>
        </w:rPr>
        <w:t xml:space="preserve">However, the application of the ethics of care to policy and practice reveals significant problems, many of which mirror the critiques above. First, the managerialist and </w:t>
      </w:r>
      <w:proofErr w:type="spellStart"/>
      <w:r w:rsidRPr="00092E38">
        <w:rPr>
          <w:lang w:val="en-GB"/>
        </w:rPr>
        <w:t>marketised</w:t>
      </w:r>
      <w:proofErr w:type="spellEnd"/>
      <w:r w:rsidRPr="00092E38">
        <w:rPr>
          <w:lang w:val="en-GB"/>
        </w:rPr>
        <w:t xml:space="preserve"> character of contemporary social care creates deep tension with relational care. Domiciliary care commissioned in fifteen-minute, task-based visits — timed and costed for discrete physical tasks such as washing or medication administration — leaves little space for the "engrossment" and relationship-building that </w:t>
      </w:r>
      <w:proofErr w:type="spellStart"/>
      <w:r w:rsidRPr="00092E38">
        <w:rPr>
          <w:lang w:val="en-GB"/>
        </w:rPr>
        <w:t>Noddings</w:t>
      </w:r>
      <w:proofErr w:type="spellEnd"/>
      <w:r w:rsidRPr="00092E38">
        <w:rPr>
          <w:lang w:val="en-GB"/>
        </w:rPr>
        <w:t xml:space="preserve"> and </w:t>
      </w:r>
      <w:proofErr w:type="spellStart"/>
      <w:r w:rsidRPr="00092E38">
        <w:rPr>
          <w:lang w:val="en-GB"/>
        </w:rPr>
        <w:t>Tronto</w:t>
      </w:r>
      <w:proofErr w:type="spellEnd"/>
      <w:r w:rsidRPr="00092E38">
        <w:rPr>
          <w:lang w:val="en-GB"/>
        </w:rPr>
        <w:t xml:space="preserve"> consider central to caring. Time-and-task commissioning models effectively reward speed and throughput, the opposite of what an ethics of care would prioritise (Barnes, 2012).</w:t>
      </w:r>
    </w:p>
    <w:p w14:paraId="354707F3" w14:textId="77777777" w:rsidR="00092E38" w:rsidRPr="00092E38" w:rsidRDefault="00092E38" w:rsidP="002154B3">
      <w:pPr>
        <w:spacing w:line="360" w:lineRule="auto"/>
        <w:rPr>
          <w:lang w:val="en-GB"/>
        </w:rPr>
      </w:pPr>
      <w:r w:rsidRPr="00092E38">
        <w:rPr>
          <w:lang w:val="en-GB"/>
        </w:rPr>
        <w:t xml:space="preserve">Second, the low pay, precarious contracts, and limited training that characterise much of the social care workforce in England reproduce precisely the exploitation that Kittay's </w:t>
      </w:r>
      <w:proofErr w:type="spellStart"/>
      <w:r w:rsidRPr="00092E38">
        <w:rPr>
          <w:lang w:val="en-GB"/>
        </w:rPr>
        <w:t>doulia</w:t>
      </w:r>
      <w:proofErr w:type="spellEnd"/>
      <w:r w:rsidRPr="00092E38">
        <w:rPr>
          <w:lang w:val="en-GB"/>
        </w:rPr>
        <w:t xml:space="preserve"> principle warns against. The sector remains overwhelmingly staffed by women, and a substantial proportion by migrant workers, whose labour is frequently undervalued despite policy rhetoric celebrating "compassionate care" — illustrating how the moral language of care can be invoked by institutions without the material investment that a genuine ethics of care would require.</w:t>
      </w:r>
    </w:p>
    <w:p w14:paraId="5B9CB6D8" w14:textId="5B9C1A04" w:rsidR="00092E38" w:rsidRDefault="00092E38" w:rsidP="002154B3">
      <w:pPr>
        <w:spacing w:line="360" w:lineRule="auto"/>
      </w:pPr>
      <w:r w:rsidRPr="00092E38">
        <w:t xml:space="preserve">Third, the </w:t>
      </w:r>
      <w:proofErr w:type="spellStart"/>
      <w:r w:rsidRPr="00092E38">
        <w:t>personalisation</w:t>
      </w:r>
      <w:proofErr w:type="spellEnd"/>
      <w:r w:rsidRPr="00092E38">
        <w:t xml:space="preserve"> agenda, including personal budgets and direct payments, is at odds with relational care ethics. </w:t>
      </w:r>
      <w:proofErr w:type="spellStart"/>
      <w:r w:rsidRPr="00092E38">
        <w:t>Personalisation</w:t>
      </w:r>
      <w:proofErr w:type="spellEnd"/>
      <w:r w:rsidRPr="00092E38">
        <w:t xml:space="preserve"> is </w:t>
      </w:r>
      <w:proofErr w:type="spellStart"/>
      <w:r w:rsidRPr="00092E38">
        <w:t>conceptualised</w:t>
      </w:r>
      <w:proofErr w:type="spellEnd"/>
      <w:r w:rsidRPr="00092E38">
        <w:t xml:space="preserve"> as individual choice and control, an essentially liberal-autonomy model, whereas the ethics of care foregrounds interdependence and </w:t>
      </w:r>
      <w:r w:rsidRPr="00092E38">
        <w:lastRenderedPageBreak/>
        <w:t xml:space="preserve">relationship. In practice this can produce contradictory policy messages: service users are portrayed as autonomous consumers exercising choice, and as relationally embedded people whose wellbeing is dependent upon ongoing relationships with carers who need continuity and support to provide good care (Lloyd, 2010). Where personal budgets are tightly controlled or limited by austerity funding, the promise of </w:t>
      </w:r>
      <w:proofErr w:type="spellStart"/>
      <w:r w:rsidRPr="00092E38">
        <w:t>personalised</w:t>
      </w:r>
      <w:proofErr w:type="spellEnd"/>
      <w:r w:rsidRPr="00092E38">
        <w:t>, relational care can become a bureaucratic exercise in rationing.</w:t>
      </w:r>
    </w:p>
    <w:p w14:paraId="55D06856" w14:textId="25447BFA" w:rsidR="00092E38" w:rsidRPr="002154B3" w:rsidRDefault="00092E38" w:rsidP="002154B3">
      <w:pPr>
        <w:spacing w:line="360" w:lineRule="auto"/>
        <w:rPr>
          <w:lang w:val="en-GB"/>
        </w:rPr>
      </w:pPr>
      <w:r w:rsidRPr="00092E38">
        <w:rPr>
          <w:lang w:val="en-GB"/>
        </w:rPr>
        <w:t>Fourth, professional paternalism remains a risk. Practitioners applying an ethics-of-care framework may substitute their own judgement about a person's "best interests" for the person's own stated wishes, particularly with people who have communication difficulties, dementia, or complex needs — precisely the population an ethics of care claims to centre. Without robust attention to power and voice, "responsiveness to need" can slide into professionals deciding what a person needs on their behalf.</w:t>
      </w:r>
    </w:p>
    <w:p w14:paraId="3C6CFABD" w14:textId="1FC14DBF" w:rsidR="00092E38" w:rsidRPr="00092E38" w:rsidRDefault="00092E38" w:rsidP="002154B3">
      <w:pPr>
        <w:pStyle w:val="Heading1"/>
        <w:spacing w:line="360" w:lineRule="auto"/>
        <w:rPr>
          <w:lang w:val="en-GB"/>
        </w:rPr>
      </w:pPr>
      <w:bookmarkStart w:id="4" w:name="_Toc236089857"/>
      <w:r w:rsidRPr="00092E38">
        <w:rPr>
          <w:lang w:val="en-GB"/>
        </w:rPr>
        <w:t>Recommendations and Conclusion</w:t>
      </w:r>
      <w:bookmarkEnd w:id="4"/>
    </w:p>
    <w:p w14:paraId="3BDC0578" w14:textId="77777777" w:rsidR="00092E38" w:rsidRPr="00092E38" w:rsidRDefault="00092E38" w:rsidP="002154B3">
      <w:pPr>
        <w:spacing w:line="360" w:lineRule="auto"/>
        <w:rPr>
          <w:lang w:val="en-GB"/>
        </w:rPr>
      </w:pPr>
      <w:r w:rsidRPr="00092E38">
        <w:rPr>
          <w:lang w:val="en-GB"/>
        </w:rPr>
        <w:t xml:space="preserve">Several recommendations follow. First, commissioning models for social care should move away from narrow time-and-task metrics toward outcome- and relationship-based measures that value continuity of carer, relationship-building, and quality of interaction, not merely the completion of discrete tasks. Second, workforce policy should treat fair pay, secure contracts, training, and career progression for care workers as a precondition for ethical care, operationalising Kittay's </w:t>
      </w:r>
      <w:proofErr w:type="spellStart"/>
      <w:r w:rsidRPr="00092E38">
        <w:rPr>
          <w:lang w:val="en-GB"/>
        </w:rPr>
        <w:t>doulia</w:t>
      </w:r>
      <w:proofErr w:type="spellEnd"/>
      <w:r w:rsidRPr="00092E38">
        <w:rPr>
          <w:lang w:val="en-GB"/>
        </w:rPr>
        <w:t xml:space="preserve"> principle by ensuring that those who care are themselves supported by adequate social and economic structures. Third, personalisation policies should be redesigned to hold individual choice and relational interdependency together rather than in tension — for example, by allowing personal budgets to fund relationship continuity with trusted carers rather than only discrete units of service, and by involving service users and their networks in co-producing care plans, reflecting </w:t>
      </w:r>
      <w:proofErr w:type="spellStart"/>
      <w:r w:rsidRPr="00092E38">
        <w:rPr>
          <w:lang w:val="en-GB"/>
        </w:rPr>
        <w:t>Tronto's</w:t>
      </w:r>
      <w:proofErr w:type="spellEnd"/>
      <w:r w:rsidRPr="00092E38">
        <w:rPr>
          <w:lang w:val="en-GB"/>
        </w:rPr>
        <w:t xml:space="preserve"> "caring with" phase. Fourth, professional training should combine ethics-of-care sensibilities with rights-based and justice frameworks, equipping practitioners to balance responsiveness to particular need with respect for autonomy and protection against paternalism. Finally, policymakers should acknowledge the global dimension of care work, addressing the conditions of migrant care workers who increasingly fill gaps in domestic care markets, in line with critiques of global care chains.</w:t>
      </w:r>
    </w:p>
    <w:p w14:paraId="02CA9A26" w14:textId="77777777" w:rsidR="00092E38" w:rsidRPr="00092E38" w:rsidRDefault="00092E38" w:rsidP="002154B3">
      <w:pPr>
        <w:spacing w:line="360" w:lineRule="auto"/>
        <w:rPr>
          <w:lang w:val="en-GB"/>
        </w:rPr>
      </w:pPr>
      <w:r w:rsidRPr="00092E38">
        <w:rPr>
          <w:lang w:val="en-GB"/>
        </w:rPr>
        <w:t xml:space="preserve">In conclusion, the ethics of care offers a powerful theoretical foundation for person-centred practice, reframing caring from a private, gendered virtue into a public, political, and relational responsibility. Its development — from Gilligan's psychological observations to </w:t>
      </w:r>
      <w:proofErr w:type="spellStart"/>
      <w:r w:rsidRPr="00092E38">
        <w:rPr>
          <w:lang w:val="en-GB"/>
        </w:rPr>
        <w:t>Tronto's</w:t>
      </w:r>
      <w:proofErr w:type="spellEnd"/>
      <w:r w:rsidRPr="00092E38">
        <w:rPr>
          <w:lang w:val="en-GB"/>
        </w:rPr>
        <w:t xml:space="preserve"> political </w:t>
      </w:r>
      <w:r w:rsidRPr="00092E38">
        <w:rPr>
          <w:lang w:val="en-GB"/>
        </w:rPr>
        <w:lastRenderedPageBreak/>
        <w:t xml:space="preserve">theory of caring democracy — has substantially addressed early charges of essentialism and vagueness by detaching care from gender and integrating it with justice. Yet its application to UK health and social care policy exposes a persistent gap between the rhetoric of person-centredness and the material realities of </w:t>
      </w:r>
      <w:proofErr w:type="spellStart"/>
      <w:r w:rsidRPr="00092E38">
        <w:rPr>
          <w:lang w:val="en-GB"/>
        </w:rPr>
        <w:t>marketised</w:t>
      </w:r>
      <w:proofErr w:type="spellEnd"/>
      <w:r w:rsidRPr="00092E38">
        <w:rPr>
          <w:lang w:val="en-GB"/>
        </w:rPr>
        <w:t>, underfunded, and undervalued care work. Realising the ethics of care's promise requires not only a change in professional attitude but a redistribution of the political and economic resources that make genuinely relational, person-centred care possible.</w:t>
      </w:r>
    </w:p>
    <w:p w14:paraId="53F9519F" w14:textId="5DF88CBC" w:rsidR="00092E38" w:rsidRDefault="00092E38" w:rsidP="002154B3">
      <w:pPr>
        <w:pStyle w:val="Heading1"/>
        <w:spacing w:line="360" w:lineRule="auto"/>
        <w:rPr>
          <w:lang w:val="en-GB"/>
        </w:rPr>
      </w:pPr>
      <w:bookmarkStart w:id="5" w:name="_Toc236089858"/>
      <w:r w:rsidRPr="00092E38">
        <w:rPr>
          <w:lang w:val="en-GB"/>
        </w:rPr>
        <w:t>References</w:t>
      </w:r>
      <w:bookmarkEnd w:id="5"/>
    </w:p>
    <w:p w14:paraId="28142597" w14:textId="77777777" w:rsidR="002154B3" w:rsidRPr="00225C06" w:rsidRDefault="002154B3" w:rsidP="002154B3">
      <w:pPr>
        <w:spacing w:line="360" w:lineRule="auto"/>
        <w:rPr>
          <w:lang w:eastAsia="en-GB"/>
        </w:rPr>
      </w:pPr>
      <w:r w:rsidRPr="00225C06">
        <w:rPr>
          <w:lang w:eastAsia="en-GB"/>
        </w:rPr>
        <w:t>Barnes, M. (2012) Care in Everyday Life: An Ethic of Care in Practice. Bristol: Policy Press.</w:t>
      </w:r>
    </w:p>
    <w:p w14:paraId="27F2D9B7" w14:textId="77777777" w:rsidR="002154B3" w:rsidRPr="00225C06" w:rsidRDefault="002154B3" w:rsidP="002154B3">
      <w:pPr>
        <w:spacing w:line="360" w:lineRule="auto"/>
        <w:rPr>
          <w:lang w:eastAsia="en-GB"/>
        </w:rPr>
      </w:pPr>
      <w:r w:rsidRPr="00225C06">
        <w:rPr>
          <w:lang w:eastAsia="en-GB"/>
        </w:rPr>
        <w:t>Bubeck, D. (1995) Care, Gender and Justice. Oxford: Oxford University Press.</w:t>
      </w:r>
    </w:p>
    <w:p w14:paraId="2A96FC60" w14:textId="77777777" w:rsidR="002154B3" w:rsidRPr="00225C06" w:rsidRDefault="002154B3" w:rsidP="002154B3">
      <w:pPr>
        <w:spacing w:line="360" w:lineRule="auto"/>
        <w:rPr>
          <w:lang w:eastAsia="en-GB"/>
        </w:rPr>
      </w:pPr>
      <w:r w:rsidRPr="00225C06">
        <w:rPr>
          <w:lang w:eastAsia="en-GB"/>
        </w:rPr>
        <w:t xml:space="preserve">Fisher, B. and </w:t>
      </w:r>
      <w:proofErr w:type="spellStart"/>
      <w:r w:rsidRPr="00225C06">
        <w:rPr>
          <w:lang w:eastAsia="en-GB"/>
        </w:rPr>
        <w:t>Tronto</w:t>
      </w:r>
      <w:proofErr w:type="spellEnd"/>
      <w:r w:rsidRPr="00225C06">
        <w:rPr>
          <w:lang w:eastAsia="en-GB"/>
        </w:rPr>
        <w:t>, J. (1990) 'Toward a feminist theory of caring', in Abel, E. and Nelson, M. (eds) Circles of Care. Albany: State University of New York Press.</w:t>
      </w:r>
    </w:p>
    <w:p w14:paraId="7D5CBFDE" w14:textId="77777777" w:rsidR="002154B3" w:rsidRPr="00225C06" w:rsidRDefault="002154B3" w:rsidP="002154B3">
      <w:pPr>
        <w:spacing w:line="360" w:lineRule="auto"/>
        <w:rPr>
          <w:lang w:eastAsia="en-GB"/>
        </w:rPr>
      </w:pPr>
      <w:r w:rsidRPr="00225C06">
        <w:rPr>
          <w:lang w:eastAsia="en-GB"/>
        </w:rPr>
        <w:t>Gilligan, C. (1982) In a Different Voice: Psychological Theory and Women's Development. Cambridge, MA: Harvard University Press.</w:t>
      </w:r>
    </w:p>
    <w:p w14:paraId="6A39B569" w14:textId="77777777" w:rsidR="002154B3" w:rsidRPr="00225C06" w:rsidRDefault="002154B3" w:rsidP="002154B3">
      <w:pPr>
        <w:spacing w:line="360" w:lineRule="auto"/>
        <w:rPr>
          <w:lang w:eastAsia="en-GB"/>
        </w:rPr>
      </w:pPr>
      <w:r w:rsidRPr="00225C06">
        <w:rPr>
          <w:lang w:eastAsia="en-GB"/>
        </w:rPr>
        <w:t>Held, V. (2006) The Ethics of Care: Personal, Political, and Global. New York: Oxford University Press.</w:t>
      </w:r>
    </w:p>
    <w:p w14:paraId="42F17076" w14:textId="77777777" w:rsidR="002154B3" w:rsidRPr="00225C06" w:rsidRDefault="002154B3" w:rsidP="002154B3">
      <w:pPr>
        <w:spacing w:line="360" w:lineRule="auto"/>
        <w:rPr>
          <w:lang w:eastAsia="en-GB"/>
        </w:rPr>
      </w:pPr>
      <w:r w:rsidRPr="00225C06">
        <w:rPr>
          <w:lang w:eastAsia="en-GB"/>
        </w:rPr>
        <w:t>Hochschild, A. R. (2000) 'Global care chains and emotional surplus value', in Hutton, W. and Giddens, A. (eds) On the Edge: Living with Global Capitalism. London: Jonathan Cape.</w:t>
      </w:r>
    </w:p>
    <w:p w14:paraId="4374273F" w14:textId="77777777" w:rsidR="002154B3" w:rsidRPr="00225C06" w:rsidRDefault="002154B3" w:rsidP="002154B3">
      <w:pPr>
        <w:spacing w:line="360" w:lineRule="auto"/>
        <w:rPr>
          <w:lang w:eastAsia="en-GB"/>
        </w:rPr>
      </w:pPr>
      <w:r w:rsidRPr="00225C06">
        <w:rPr>
          <w:lang w:eastAsia="en-GB"/>
        </w:rPr>
        <w:t>Kittay, E. F. (1999) Love's Labor: Essays on Women, Equality, and Dependency. New York: Routledge.</w:t>
      </w:r>
    </w:p>
    <w:p w14:paraId="5A12878F" w14:textId="77777777" w:rsidR="002154B3" w:rsidRPr="00225C06" w:rsidRDefault="002154B3" w:rsidP="002154B3">
      <w:pPr>
        <w:spacing w:line="360" w:lineRule="auto"/>
        <w:rPr>
          <w:lang w:eastAsia="en-GB"/>
        </w:rPr>
      </w:pPr>
      <w:r w:rsidRPr="00225C06">
        <w:rPr>
          <w:lang w:eastAsia="en-GB"/>
        </w:rPr>
        <w:t>Lloyd, L. (2010) 'The individual in social care: The ethics of care and the "</w:t>
      </w:r>
      <w:proofErr w:type="spellStart"/>
      <w:r w:rsidRPr="00225C06">
        <w:rPr>
          <w:lang w:eastAsia="en-GB"/>
        </w:rPr>
        <w:t>personalisation</w:t>
      </w:r>
      <w:proofErr w:type="spellEnd"/>
      <w:r w:rsidRPr="00225C06">
        <w:rPr>
          <w:lang w:eastAsia="en-GB"/>
        </w:rPr>
        <w:t xml:space="preserve"> agenda" in services for older people in England', Ethics and Social Welfare, 4(2), pp. 188–200.</w:t>
      </w:r>
    </w:p>
    <w:p w14:paraId="13E75377" w14:textId="77777777" w:rsidR="002154B3" w:rsidRPr="00225C06" w:rsidRDefault="002154B3" w:rsidP="002154B3">
      <w:pPr>
        <w:spacing w:line="360" w:lineRule="auto"/>
        <w:rPr>
          <w:lang w:eastAsia="en-GB"/>
        </w:rPr>
      </w:pPr>
      <w:proofErr w:type="spellStart"/>
      <w:r w:rsidRPr="00225C06">
        <w:rPr>
          <w:lang w:eastAsia="en-GB"/>
        </w:rPr>
        <w:t>Noddings</w:t>
      </w:r>
      <w:proofErr w:type="spellEnd"/>
      <w:r w:rsidRPr="00225C06">
        <w:rPr>
          <w:lang w:eastAsia="en-GB"/>
        </w:rPr>
        <w:t>, N. (1984) Caring: A Feminine Approach to Ethics and Moral Education. Berkeley: University of California Press.</w:t>
      </w:r>
    </w:p>
    <w:p w14:paraId="2C79BFE4" w14:textId="77777777" w:rsidR="002154B3" w:rsidRPr="00225C06" w:rsidRDefault="002154B3" w:rsidP="002154B3">
      <w:pPr>
        <w:spacing w:line="360" w:lineRule="auto"/>
        <w:rPr>
          <w:lang w:eastAsia="en-GB"/>
        </w:rPr>
      </w:pPr>
      <w:proofErr w:type="spellStart"/>
      <w:r w:rsidRPr="00225C06">
        <w:rPr>
          <w:lang w:eastAsia="en-GB"/>
        </w:rPr>
        <w:t>Sevenhuijsen</w:t>
      </w:r>
      <w:proofErr w:type="spellEnd"/>
      <w:r w:rsidRPr="00225C06">
        <w:rPr>
          <w:lang w:eastAsia="en-GB"/>
        </w:rPr>
        <w:t>, S. (1998) Citizenship and the Ethics of Care: Feminist Considerations on Justice, Morality and Politics. London: Routledge.</w:t>
      </w:r>
    </w:p>
    <w:p w14:paraId="55C3687E" w14:textId="77777777" w:rsidR="002154B3" w:rsidRPr="00225C06" w:rsidRDefault="002154B3" w:rsidP="002154B3">
      <w:pPr>
        <w:spacing w:line="360" w:lineRule="auto"/>
        <w:rPr>
          <w:lang w:eastAsia="en-GB"/>
        </w:rPr>
      </w:pPr>
      <w:proofErr w:type="spellStart"/>
      <w:r w:rsidRPr="00225C06">
        <w:rPr>
          <w:lang w:eastAsia="en-GB"/>
        </w:rPr>
        <w:t>Tronto</w:t>
      </w:r>
      <w:proofErr w:type="spellEnd"/>
      <w:r w:rsidRPr="00225C06">
        <w:rPr>
          <w:lang w:eastAsia="en-GB"/>
        </w:rPr>
        <w:t>, J. (1993) Moral Boundaries: A Political Argument for an Ethic of Care. New York: Routledge.</w:t>
      </w:r>
    </w:p>
    <w:p w14:paraId="233BE73C" w14:textId="448C7B5F" w:rsidR="002154B3" w:rsidRPr="002154B3" w:rsidRDefault="002154B3" w:rsidP="002154B3">
      <w:pPr>
        <w:spacing w:line="360" w:lineRule="auto"/>
        <w:rPr>
          <w:lang w:val="en-GB"/>
        </w:rPr>
      </w:pPr>
      <w:proofErr w:type="spellStart"/>
      <w:r w:rsidRPr="00225C06">
        <w:rPr>
          <w:lang w:eastAsia="en-GB"/>
        </w:rPr>
        <w:lastRenderedPageBreak/>
        <w:t>Tronto</w:t>
      </w:r>
      <w:proofErr w:type="spellEnd"/>
      <w:r w:rsidRPr="00225C06">
        <w:rPr>
          <w:lang w:eastAsia="en-GB"/>
        </w:rPr>
        <w:t>, J. (2013) Caring Democracy: Markets, Equality, and Justice. New York: New York University Press.</w:t>
      </w:r>
    </w:p>
    <w:p w14:paraId="046436AB" w14:textId="77777777" w:rsidR="00092E38" w:rsidRDefault="00092E38" w:rsidP="002154B3">
      <w:pPr>
        <w:spacing w:line="360" w:lineRule="auto"/>
      </w:pPr>
    </w:p>
    <w:sectPr w:rsidR="00092E3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45B99A" w14:textId="77777777" w:rsidR="00674A03" w:rsidRDefault="00674A03" w:rsidP="002154B3">
      <w:pPr>
        <w:spacing w:after="0"/>
      </w:pPr>
      <w:r>
        <w:separator/>
      </w:r>
    </w:p>
  </w:endnote>
  <w:endnote w:type="continuationSeparator" w:id="0">
    <w:p w14:paraId="4511E427" w14:textId="77777777" w:rsidR="00674A03" w:rsidRDefault="00674A03" w:rsidP="002154B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0121978"/>
      <w:docPartObj>
        <w:docPartGallery w:val="Page Numbers (Bottom of Page)"/>
        <w:docPartUnique/>
      </w:docPartObj>
    </w:sdtPr>
    <w:sdtEndPr>
      <w:rPr>
        <w:noProof/>
      </w:rPr>
    </w:sdtEndPr>
    <w:sdtContent>
      <w:p w14:paraId="4D2BEFA4" w14:textId="2B42F7C7" w:rsidR="002154B3" w:rsidRDefault="002154B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D2C9FCB" w14:textId="77777777" w:rsidR="002154B3" w:rsidRDefault="002154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322E4F" w14:textId="77777777" w:rsidR="00674A03" w:rsidRDefault="00674A03" w:rsidP="002154B3">
      <w:pPr>
        <w:spacing w:after="0"/>
      </w:pPr>
      <w:r>
        <w:separator/>
      </w:r>
    </w:p>
  </w:footnote>
  <w:footnote w:type="continuationSeparator" w:id="0">
    <w:p w14:paraId="0BC6EE24" w14:textId="77777777" w:rsidR="00674A03" w:rsidRDefault="00674A03" w:rsidP="002154B3">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711D"/>
    <w:rsid w:val="00092E38"/>
    <w:rsid w:val="002154B3"/>
    <w:rsid w:val="006465DB"/>
    <w:rsid w:val="00674A03"/>
    <w:rsid w:val="00714F07"/>
    <w:rsid w:val="0093711D"/>
    <w:rsid w:val="009E41B4"/>
    <w:rsid w:val="00A24D59"/>
    <w:rsid w:val="00AC3126"/>
    <w:rsid w:val="00CD7C80"/>
    <w:rsid w:val="00FA76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A0812"/>
  <w15:chartTrackingRefBased/>
  <w15:docId w15:val="{76027672-E8BC-4111-8C24-F399F55A6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54B3"/>
    <w:pPr>
      <w:spacing w:line="240" w:lineRule="auto"/>
      <w:jc w:val="both"/>
    </w:pPr>
    <w:rPr>
      <w:rFonts w:ascii="Arial" w:hAnsi="Arial"/>
      <w:sz w:val="22"/>
    </w:rPr>
  </w:style>
  <w:style w:type="paragraph" w:styleId="Heading1">
    <w:name w:val="heading 1"/>
    <w:basedOn w:val="Normal"/>
    <w:next w:val="Normal"/>
    <w:link w:val="Heading1Char"/>
    <w:uiPriority w:val="9"/>
    <w:qFormat/>
    <w:rsid w:val="002154B3"/>
    <w:pPr>
      <w:keepNext/>
      <w:keepLines/>
      <w:spacing w:before="120" w:after="120"/>
      <w:outlineLvl w:val="0"/>
    </w:pPr>
    <w:rPr>
      <w:rFonts w:eastAsiaTheme="majorEastAsia" w:cstheme="majorBidi"/>
      <w:b/>
      <w:sz w:val="32"/>
      <w:szCs w:val="40"/>
    </w:rPr>
  </w:style>
  <w:style w:type="paragraph" w:styleId="Heading2">
    <w:name w:val="heading 2"/>
    <w:basedOn w:val="Normal"/>
    <w:next w:val="Normal"/>
    <w:link w:val="Heading2Char"/>
    <w:uiPriority w:val="9"/>
    <w:semiHidden/>
    <w:unhideWhenUsed/>
    <w:qFormat/>
    <w:rsid w:val="0093711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3711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3711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3711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371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71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71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71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54B3"/>
    <w:rPr>
      <w:rFonts w:ascii="Arial" w:eastAsiaTheme="majorEastAsia" w:hAnsi="Arial" w:cstheme="majorBidi"/>
      <w:b/>
      <w:sz w:val="32"/>
      <w:szCs w:val="40"/>
    </w:rPr>
  </w:style>
  <w:style w:type="character" w:customStyle="1" w:styleId="Heading2Char">
    <w:name w:val="Heading 2 Char"/>
    <w:basedOn w:val="DefaultParagraphFont"/>
    <w:link w:val="Heading2"/>
    <w:uiPriority w:val="9"/>
    <w:semiHidden/>
    <w:rsid w:val="0093711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3711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3711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3711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371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71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71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711D"/>
    <w:rPr>
      <w:rFonts w:eastAsiaTheme="majorEastAsia" w:cstheme="majorBidi"/>
      <w:color w:val="272727" w:themeColor="text1" w:themeTint="D8"/>
    </w:rPr>
  </w:style>
  <w:style w:type="paragraph" w:styleId="Title">
    <w:name w:val="Title"/>
    <w:basedOn w:val="Normal"/>
    <w:next w:val="Normal"/>
    <w:link w:val="TitleChar"/>
    <w:uiPriority w:val="10"/>
    <w:qFormat/>
    <w:rsid w:val="0093711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71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71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71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711D"/>
    <w:pPr>
      <w:spacing w:before="160"/>
      <w:jc w:val="center"/>
    </w:pPr>
    <w:rPr>
      <w:i/>
      <w:iCs/>
      <w:color w:val="404040" w:themeColor="text1" w:themeTint="BF"/>
    </w:rPr>
  </w:style>
  <w:style w:type="character" w:customStyle="1" w:styleId="QuoteChar">
    <w:name w:val="Quote Char"/>
    <w:basedOn w:val="DefaultParagraphFont"/>
    <w:link w:val="Quote"/>
    <w:uiPriority w:val="29"/>
    <w:rsid w:val="0093711D"/>
    <w:rPr>
      <w:i/>
      <w:iCs/>
      <w:color w:val="404040" w:themeColor="text1" w:themeTint="BF"/>
    </w:rPr>
  </w:style>
  <w:style w:type="paragraph" w:styleId="ListParagraph">
    <w:name w:val="List Paragraph"/>
    <w:basedOn w:val="Normal"/>
    <w:uiPriority w:val="34"/>
    <w:qFormat/>
    <w:rsid w:val="0093711D"/>
    <w:pPr>
      <w:ind w:left="720"/>
      <w:contextualSpacing/>
    </w:pPr>
  </w:style>
  <w:style w:type="character" w:styleId="IntenseEmphasis">
    <w:name w:val="Intense Emphasis"/>
    <w:basedOn w:val="DefaultParagraphFont"/>
    <w:uiPriority w:val="21"/>
    <w:qFormat/>
    <w:rsid w:val="0093711D"/>
    <w:rPr>
      <w:i/>
      <w:iCs/>
      <w:color w:val="2F5496" w:themeColor="accent1" w:themeShade="BF"/>
    </w:rPr>
  </w:style>
  <w:style w:type="paragraph" w:styleId="IntenseQuote">
    <w:name w:val="Intense Quote"/>
    <w:basedOn w:val="Normal"/>
    <w:next w:val="Normal"/>
    <w:link w:val="IntenseQuoteChar"/>
    <w:uiPriority w:val="30"/>
    <w:qFormat/>
    <w:rsid w:val="0093711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3711D"/>
    <w:rPr>
      <w:i/>
      <w:iCs/>
      <w:color w:val="2F5496" w:themeColor="accent1" w:themeShade="BF"/>
    </w:rPr>
  </w:style>
  <w:style w:type="character" w:styleId="IntenseReference">
    <w:name w:val="Intense Reference"/>
    <w:basedOn w:val="DefaultParagraphFont"/>
    <w:uiPriority w:val="32"/>
    <w:qFormat/>
    <w:rsid w:val="0093711D"/>
    <w:rPr>
      <w:b/>
      <w:bCs/>
      <w:smallCaps/>
      <w:color w:val="2F5496" w:themeColor="accent1" w:themeShade="BF"/>
      <w:spacing w:val="5"/>
    </w:rPr>
  </w:style>
  <w:style w:type="table" w:styleId="TableGrid">
    <w:name w:val="Table Grid"/>
    <w:basedOn w:val="TableNormal"/>
    <w:uiPriority w:val="39"/>
    <w:rsid w:val="002154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154B3"/>
    <w:pPr>
      <w:spacing w:before="240" w:after="0" w:line="259" w:lineRule="auto"/>
      <w:outlineLvl w:val="9"/>
    </w:pPr>
    <w:rPr>
      <w:kern w:val="0"/>
      <w:szCs w:val="32"/>
      <w14:ligatures w14:val="none"/>
    </w:rPr>
  </w:style>
  <w:style w:type="paragraph" w:styleId="TOC1">
    <w:name w:val="toc 1"/>
    <w:basedOn w:val="Normal"/>
    <w:next w:val="Normal"/>
    <w:autoRedefine/>
    <w:uiPriority w:val="39"/>
    <w:unhideWhenUsed/>
    <w:rsid w:val="002154B3"/>
    <w:pPr>
      <w:spacing w:after="100"/>
    </w:pPr>
  </w:style>
  <w:style w:type="character" w:styleId="Hyperlink">
    <w:name w:val="Hyperlink"/>
    <w:basedOn w:val="DefaultParagraphFont"/>
    <w:uiPriority w:val="99"/>
    <w:unhideWhenUsed/>
    <w:rsid w:val="002154B3"/>
    <w:rPr>
      <w:color w:val="0563C1" w:themeColor="hyperlink"/>
      <w:u w:val="single"/>
    </w:rPr>
  </w:style>
  <w:style w:type="paragraph" w:styleId="Header">
    <w:name w:val="header"/>
    <w:basedOn w:val="Normal"/>
    <w:link w:val="HeaderChar"/>
    <w:uiPriority w:val="99"/>
    <w:unhideWhenUsed/>
    <w:rsid w:val="002154B3"/>
    <w:pPr>
      <w:tabs>
        <w:tab w:val="center" w:pos="4513"/>
        <w:tab w:val="right" w:pos="9026"/>
      </w:tabs>
      <w:spacing w:after="0"/>
    </w:pPr>
  </w:style>
  <w:style w:type="character" w:customStyle="1" w:styleId="HeaderChar">
    <w:name w:val="Header Char"/>
    <w:basedOn w:val="DefaultParagraphFont"/>
    <w:link w:val="Header"/>
    <w:uiPriority w:val="99"/>
    <w:rsid w:val="002154B3"/>
    <w:rPr>
      <w:rFonts w:ascii="Arial" w:hAnsi="Arial"/>
      <w:sz w:val="22"/>
    </w:rPr>
  </w:style>
  <w:style w:type="paragraph" w:styleId="Footer">
    <w:name w:val="footer"/>
    <w:basedOn w:val="Normal"/>
    <w:link w:val="FooterChar"/>
    <w:uiPriority w:val="99"/>
    <w:unhideWhenUsed/>
    <w:rsid w:val="002154B3"/>
    <w:pPr>
      <w:tabs>
        <w:tab w:val="center" w:pos="4513"/>
        <w:tab w:val="right" w:pos="9026"/>
      </w:tabs>
      <w:spacing w:after="0"/>
    </w:pPr>
  </w:style>
  <w:style w:type="character" w:customStyle="1" w:styleId="FooterChar">
    <w:name w:val="Footer Char"/>
    <w:basedOn w:val="DefaultParagraphFont"/>
    <w:link w:val="Footer"/>
    <w:uiPriority w:val="99"/>
    <w:rsid w:val="002154B3"/>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8FA40F-389F-4374-B796-8D80A8199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2117</Words>
  <Characters>12072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Faizi Khan</dc:creator>
  <cp:keywords/>
  <dc:description/>
  <cp:lastModifiedBy>Antonio Mario Arsenio Fernandes (2440649)</cp:lastModifiedBy>
  <cp:revision>2</cp:revision>
  <dcterms:created xsi:type="dcterms:W3CDTF">2026-08-05T16:14:00Z</dcterms:created>
  <dcterms:modified xsi:type="dcterms:W3CDTF">2026-08-05T16:14:00Z</dcterms:modified>
</cp:coreProperties>
</file>