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center"/>
        <w:rPr>
          <w:sz w:val="28"/>
          <w:szCs w:val="28"/>
        </w:rPr>
      </w:pPr>
      <w:r w:rsidDel="00000000" w:rsidR="00000000" w:rsidRPr="00000000">
        <w:rPr>
          <w:sz w:val="28"/>
          <w:szCs w:val="28"/>
          <w:rtl w:val="0"/>
        </w:rPr>
        <w:t xml:space="preserve">LCHS4003 Introduction to Health and Social Care</w:t>
      </w:r>
    </w:p>
    <w:p w:rsidR="00000000" w:rsidDel="00000000" w:rsidP="00000000" w:rsidRDefault="00000000" w:rsidRPr="00000000" w14:paraId="00000006">
      <w:pPr>
        <w:jc w:val="center"/>
        <w:rPr>
          <w:sz w:val="28"/>
          <w:szCs w:val="28"/>
        </w:rPr>
      </w:pPr>
      <w:r w:rsidDel="00000000" w:rsidR="00000000" w:rsidRPr="00000000">
        <w:rPr>
          <w:sz w:val="28"/>
          <w:szCs w:val="28"/>
          <w:rtl w:val="0"/>
        </w:rPr>
        <w:t xml:space="preserve">Component 2</w:t>
      </w:r>
    </w:p>
    <w:p w:rsidR="00000000" w:rsidDel="00000000" w:rsidP="00000000" w:rsidRDefault="00000000" w:rsidRPr="00000000" w14:paraId="00000007">
      <w:pPr>
        <w:jc w:val="center"/>
        <w:rPr>
          <w:sz w:val="28"/>
          <w:szCs w:val="28"/>
        </w:rPr>
      </w:pPr>
      <w:r w:rsidDel="00000000" w:rsidR="00000000" w:rsidRPr="00000000">
        <w:rPr>
          <w:sz w:val="28"/>
          <w:szCs w:val="28"/>
          <w:rtl w:val="0"/>
        </w:rPr>
        <w:t xml:space="preserve">Case Study Report</w:t>
      </w:r>
    </w:p>
    <w:p w:rsidR="00000000" w:rsidDel="00000000" w:rsidP="00000000" w:rsidRDefault="00000000" w:rsidRPr="00000000" w14:paraId="00000008">
      <w:pPr>
        <w:jc w:val="center"/>
        <w:rPr>
          <w:sz w:val="28"/>
          <w:szCs w:val="28"/>
        </w:rPr>
      </w:pPr>
      <w:r w:rsidDel="00000000" w:rsidR="00000000" w:rsidRPr="00000000">
        <w:rPr>
          <w:sz w:val="28"/>
          <w:szCs w:val="28"/>
          <w:rtl w:val="0"/>
        </w:rPr>
        <w:t xml:space="preserve">Student Name: Joynal Miah</w:t>
      </w:r>
    </w:p>
    <w:p w:rsidR="00000000" w:rsidDel="00000000" w:rsidP="00000000" w:rsidRDefault="00000000" w:rsidRPr="00000000" w14:paraId="00000009">
      <w:pPr>
        <w:jc w:val="center"/>
        <w:rPr>
          <w:sz w:val="28"/>
          <w:szCs w:val="28"/>
        </w:rPr>
      </w:pPr>
      <w:r w:rsidDel="00000000" w:rsidR="00000000" w:rsidRPr="00000000">
        <w:rPr>
          <w:sz w:val="28"/>
          <w:szCs w:val="28"/>
          <w:rtl w:val="0"/>
        </w:rPr>
        <w:t xml:space="preserve">Student ID: 2423302</w:t>
      </w:r>
    </w:p>
    <w:p w:rsidR="00000000" w:rsidDel="00000000" w:rsidP="00000000" w:rsidRDefault="00000000" w:rsidRPr="00000000" w14:paraId="0000000A">
      <w:pPr>
        <w:jc w:val="center"/>
        <w:rPr>
          <w:sz w:val="28"/>
          <w:szCs w:val="28"/>
        </w:rPr>
      </w:pPr>
      <w:r w:rsidDel="00000000" w:rsidR="00000000" w:rsidRPr="00000000">
        <w:rPr>
          <w:sz w:val="28"/>
          <w:szCs w:val="28"/>
          <w:rtl w:val="0"/>
        </w:rPr>
        <w:t xml:space="preserve">Tutor Azida Zainol</w:t>
      </w:r>
    </w:p>
    <w:p w:rsidR="00000000" w:rsidDel="00000000" w:rsidP="00000000" w:rsidRDefault="00000000" w:rsidRPr="00000000" w14:paraId="0000000B">
      <w:pPr>
        <w:jc w:val="center"/>
        <w:rPr>
          <w:sz w:val="28"/>
          <w:szCs w:val="28"/>
        </w:rPr>
      </w:pPr>
      <w:r w:rsidDel="00000000" w:rsidR="00000000" w:rsidRPr="00000000">
        <w:rPr>
          <w:rtl w:val="0"/>
        </w:rPr>
      </w:r>
    </w:p>
    <w:p w:rsidR="00000000" w:rsidDel="00000000" w:rsidP="00000000" w:rsidRDefault="00000000" w:rsidRPr="00000000" w14:paraId="0000000C">
      <w:pPr>
        <w:jc w:val="center"/>
        <w:rPr>
          <w:sz w:val="28"/>
          <w:szCs w:val="28"/>
        </w:rPr>
      </w:pPr>
      <w:r w:rsidDel="00000000" w:rsidR="00000000" w:rsidRPr="00000000">
        <w:rPr>
          <w:rtl w:val="0"/>
        </w:rPr>
      </w:r>
    </w:p>
    <w:p w:rsidR="00000000" w:rsidDel="00000000" w:rsidP="00000000" w:rsidRDefault="00000000" w:rsidRPr="00000000" w14:paraId="0000000D">
      <w:pPr>
        <w:jc w:val="center"/>
        <w:rPr>
          <w:sz w:val="28"/>
          <w:szCs w:val="28"/>
        </w:rPr>
      </w:pPr>
      <w:r w:rsidDel="00000000" w:rsidR="00000000" w:rsidRPr="00000000">
        <w:rPr>
          <w:rtl w:val="0"/>
        </w:rPr>
      </w:r>
    </w:p>
    <w:p w:rsidR="00000000" w:rsidDel="00000000" w:rsidP="00000000" w:rsidRDefault="00000000" w:rsidRPr="00000000" w14:paraId="0000000E">
      <w:pPr>
        <w:jc w:val="center"/>
        <w:rPr>
          <w:sz w:val="28"/>
          <w:szCs w:val="28"/>
        </w:rPr>
      </w:pPr>
      <w:r w:rsidDel="00000000" w:rsidR="00000000" w:rsidRPr="00000000">
        <w:rPr>
          <w:rtl w:val="0"/>
        </w:rPr>
      </w:r>
    </w:p>
    <w:p w:rsidR="00000000" w:rsidDel="00000000" w:rsidP="00000000" w:rsidRDefault="00000000" w:rsidRPr="00000000" w14:paraId="0000000F">
      <w:pPr>
        <w:jc w:val="center"/>
        <w:rPr>
          <w:sz w:val="28"/>
          <w:szCs w:val="28"/>
        </w:rPr>
      </w:pPr>
      <w:r w:rsidDel="00000000" w:rsidR="00000000" w:rsidRPr="00000000">
        <w:rPr>
          <w:rtl w:val="0"/>
        </w:rPr>
      </w:r>
    </w:p>
    <w:p w:rsidR="00000000" w:rsidDel="00000000" w:rsidP="00000000" w:rsidRDefault="00000000" w:rsidRPr="00000000" w14:paraId="00000010">
      <w:pPr>
        <w:jc w:val="center"/>
        <w:rPr>
          <w:sz w:val="28"/>
          <w:szCs w:val="28"/>
        </w:rPr>
      </w:pPr>
      <w:r w:rsidDel="00000000" w:rsidR="00000000" w:rsidRPr="00000000">
        <w:rPr>
          <w:rtl w:val="0"/>
        </w:rPr>
      </w:r>
    </w:p>
    <w:p w:rsidR="00000000" w:rsidDel="00000000" w:rsidP="00000000" w:rsidRDefault="00000000" w:rsidRPr="00000000" w14:paraId="00000011">
      <w:pPr>
        <w:jc w:val="center"/>
        <w:rPr>
          <w:sz w:val="28"/>
          <w:szCs w:val="28"/>
        </w:rPr>
      </w:pPr>
      <w:r w:rsidDel="00000000" w:rsidR="00000000" w:rsidRPr="00000000">
        <w:rPr>
          <w:rtl w:val="0"/>
        </w:rPr>
      </w:r>
    </w:p>
    <w:p w:rsidR="00000000" w:rsidDel="00000000" w:rsidP="00000000" w:rsidRDefault="00000000" w:rsidRPr="00000000" w14:paraId="00000012">
      <w:pPr>
        <w:jc w:val="center"/>
        <w:rPr>
          <w:sz w:val="28"/>
          <w:szCs w:val="28"/>
        </w:rPr>
      </w:pPr>
      <w:r w:rsidDel="00000000" w:rsidR="00000000" w:rsidRPr="00000000">
        <w:rPr>
          <w:rtl w:val="0"/>
        </w:rPr>
      </w:r>
    </w:p>
    <w:p w:rsidR="00000000" w:rsidDel="00000000" w:rsidP="00000000" w:rsidRDefault="00000000" w:rsidRPr="00000000" w14:paraId="00000013">
      <w:pPr>
        <w:jc w:val="center"/>
        <w:rPr>
          <w:sz w:val="28"/>
          <w:szCs w:val="28"/>
        </w:rPr>
      </w:pPr>
      <w:r w:rsidDel="00000000" w:rsidR="00000000" w:rsidRPr="00000000">
        <w:rPr>
          <w:rtl w:val="0"/>
        </w:rPr>
      </w:r>
    </w:p>
    <w:p w:rsidR="00000000" w:rsidDel="00000000" w:rsidP="00000000" w:rsidRDefault="00000000" w:rsidRPr="00000000" w14:paraId="00000014">
      <w:pPr>
        <w:spacing w:line="259" w:lineRule="auto"/>
        <w:jc w:val="left"/>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bCs w:val="0"/>
          <w:i w:val="0"/>
          <w:iCs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bCs w:val="0"/>
          <w:i w:val="0"/>
          <w:iCs w:val="0"/>
          <w:smallCaps w:val="0"/>
          <w:strike w:val="0"/>
          <w:color w:val="2f5496"/>
          <w:sz w:val="32"/>
          <w:szCs w:val="32"/>
          <w:u w:val="none"/>
          <w:shd w:fill="auto" w:val="clear"/>
          <w:vertAlign w:val="baseline"/>
          <w:rtl w:val="0"/>
        </w:rPr>
        <w:t xml:space="preserve">Table of Contents</w:t>
      </w:r>
    </w:p>
    <w:sdt>
      <w:sdtPr>
        <w:id w:val="-1443471808"/>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rrsxcfdc9c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9xhogsthzu6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Importance of effective communication within the context of Mr. Ahmed’s care</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cjj3u4x4j4e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Importance of good administrative skills within professional practice within the context of Mr. Ahmed’s care</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9058rn5o7vp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Importance of working collaboratively with other professionals involved in Mr. Ahmed’s care</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3y0ak87xo25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Approaches used to foster effective collaboration</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6zmqu7m6qtv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vtnabsl3gc0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spacing w:line="259" w:lineRule="auto"/>
        <w:jc w:val="left"/>
        <w:rPr>
          <w:b w:val="1"/>
          <w:bCs w:val="1"/>
          <w:color w:val="2f5496"/>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rrsxcfdc9c0" w:id="0"/>
      <w:bookmarkEnd w:id="0"/>
      <w:r w:rsidDel="00000000" w:rsidR="00000000" w:rsidRPr="00000000">
        <w:rPr>
          <w:rtl w:val="0"/>
        </w:rPr>
        <w:t xml:space="preserve">Introduction</w:t>
      </w:r>
    </w:p>
    <w:p w:rsidR="00000000" w:rsidDel="00000000" w:rsidP="00000000" w:rsidRDefault="00000000" w:rsidRPr="00000000" w14:paraId="0000002A">
      <w:pPr>
        <w:rPr/>
      </w:pPr>
      <w:r w:rsidDel="00000000" w:rsidR="00000000" w:rsidRPr="00000000">
        <w:rPr>
          <w:rtl w:val="0"/>
        </w:rPr>
        <w:t xml:space="preserve">In the UK, the Health and social care services focuses on providing quality services by ensuring safety, security, and providing user-centred support to individuals with various healthcare requirements (Miller, et al., 2021). To deliver quality health and social care services, the integration of an effective flow of communication and work collaboration is essential (Moss, 2017). Effective communication is crucial especially when providing services to individuals with critical health conditions, linguistic barriers, and continuous service requirements. Mr. Ahmed’s case study reveals various particulars related to health and social care services. Mr. Ahmed is a patient who experienced stoke recently and receives healthcare services from a domiciliary care agency and another multidisciplinary team consist of a GP, district nurse, etc., after being discharged from the hospital. However, Mr. Ahmed faced challenges related to communication in terms of perceived services, particularly due to language barriers. Thus, this report will illustrate the significance of an effective communication system in the health and social care services. It will also demonstrate the importance of good administrative skills and work collaboration in the context of Mr. Ahmed’s care.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pStyle w:val="Heading1"/>
        <w:rPr/>
      </w:pPr>
      <w:bookmarkStart w:colFirst="0" w:colLast="0" w:name="_9xhogsthzu6c" w:id="1"/>
      <w:bookmarkEnd w:id="1"/>
      <w:r w:rsidDel="00000000" w:rsidR="00000000" w:rsidRPr="00000000">
        <w:rPr>
          <w:rtl w:val="0"/>
        </w:rPr>
        <w:t xml:space="preserve">Importance of effective communication within the context of Mr. Ahmed’s care</w:t>
      </w:r>
    </w:p>
    <w:p w:rsidR="00000000" w:rsidDel="00000000" w:rsidP="00000000" w:rsidRDefault="00000000" w:rsidRPr="00000000" w14:paraId="00000037">
      <w:pPr>
        <w:spacing w:after="200" w:lineRule="auto"/>
        <w:rPr/>
      </w:pPr>
      <w:r w:rsidDel="00000000" w:rsidR="00000000" w:rsidRPr="00000000">
        <w:rPr>
          <w:rtl w:val="0"/>
        </w:rPr>
        <w:t xml:space="preserve">Effective communication is considered the most significant factor in providing superior health and social care services (Russell et al., 2025). Because it assists both the service receiver and the service provider in understanding the problems and prescribed solutions. In the case of Mr. Ahmed, the communication function is a very pivotal driver because he is getting healthcare services, as he experienced a stroke recently. His primary language is Bengali, and he is not proficient in speaking in English. Therefore, his inability to speak fluently in English affects the perceived health care services in terms of understanding information related to treatments, medications, and daily activities. To communicate with the healthcare service-providing team, sometimes he took help from his wife, as she is fluent in English. In this case, Mr. Ahmed’s wife performs the role of an informal interpreter. Although the interference of Mr. Ahmed’s wife is very helpful, it involves certain issues related to ethical and professional agitation based on information accuracy, privacy, and susceptibility to information distortion. </w:t>
      </w:r>
    </w:p>
    <w:p w:rsidR="00000000" w:rsidDel="00000000" w:rsidP="00000000" w:rsidRDefault="00000000" w:rsidRPr="00000000" w14:paraId="00000038">
      <w:pPr>
        <w:spacing w:after="200" w:lineRule="auto"/>
        <w:rPr/>
      </w:pPr>
      <w:r w:rsidDel="00000000" w:rsidR="00000000" w:rsidRPr="00000000">
        <w:rPr>
          <w:rtl w:val="0"/>
        </w:rPr>
        <w:t xml:space="preserve">The Equality Act 2010, a legislation of the UK imposed for protecting the people from discrimination, harassment, and other social issues, clearly mentions the legal duty of the health care service providers, as well as including certain adjustments in terms of removing barriers experienced by the individuals, such as language barriers and barriers for disability (Fell and Dyban, 2017). Inability to speak fluently in English is a language barrier faced by Mr. Ahmed, which affects the communication process with the care providers. Mr. Ahmed's primary language is Bengali; thus, the service provider's inability to speak in a language that Mr. Ahmed can perceive may also create unintended discrimination and sabotage his rights in terms of autonomy, and also informed consent based on the process of care services. Based on the principles of the Equality Act 2010, it is the responsibility of the healthcare service provider team to hire a professional interpreter who can translate the language that Mr. Ahmed can understand, instead of depending on his family members.</w:t>
      </w:r>
    </w:p>
    <w:p w:rsidR="00000000" w:rsidDel="00000000" w:rsidP="00000000" w:rsidRDefault="00000000" w:rsidRPr="00000000" w14:paraId="00000039">
      <w:pPr>
        <w:spacing w:after="200" w:lineRule="auto"/>
        <w:rPr/>
      </w:pPr>
      <w:r w:rsidDel="00000000" w:rsidR="00000000" w:rsidRPr="00000000">
        <w:rPr>
          <w:rtl w:val="0"/>
        </w:rPr>
        <w:t xml:space="preserve">Shannon and Weaver's Model of Communication, designed in 1949 in terms of explaining communication process, is an effective framework for understanding the communication in the context of Mr. Ahmed's case (Kubota, 2019). According to this model, communication is considered a linear process consisting of five elements: the source of the information, the transmitter that transfers the information, the communication channel, the information receiver, and the final destination (Al-Fedaghi, 2012). In this model, noise is a factor that can create obstacle to the entire communication process and disrupt the message. In the case of Mr. Ahmed, the source of noise includes the language barriers and the unavailability of a language translator. Therefore, the role of Shannon and Weaver's Transmission Model in the Mr. Ahmed case is to improve communication by reducing the relevant barriers. </w:t>
      </w:r>
    </w:p>
    <w:p w:rsidR="00000000" w:rsidDel="00000000" w:rsidP="00000000" w:rsidRDefault="00000000" w:rsidRPr="00000000" w14:paraId="0000003A">
      <w:pPr>
        <w:spacing w:after="240" w:lineRule="auto"/>
        <w:jc w:val="center"/>
        <w:rPr/>
      </w:pPr>
      <w:r w:rsidDel="00000000" w:rsidR="00000000" w:rsidRPr="00000000">
        <w:rPr/>
        <w:drawing>
          <wp:inline distB="0" distT="0" distL="0" distR="0">
            <wp:extent cx="5457825" cy="25527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457825"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jc w:val="center"/>
        <w:rPr/>
      </w:pPr>
      <w:r w:rsidDel="00000000" w:rsidR="00000000" w:rsidRPr="00000000">
        <w:rPr>
          <w:b w:val="1"/>
          <w:bCs w:val="1"/>
          <w:rtl w:val="0"/>
        </w:rPr>
        <w:t xml:space="preserve">Figure 1:</w:t>
      </w:r>
      <w:r w:rsidDel="00000000" w:rsidR="00000000" w:rsidRPr="00000000">
        <w:rPr>
          <w:rtl w:val="0"/>
        </w:rPr>
        <w:t xml:space="preserve"> Shannon-Waver Model of Communication</w:t>
      </w:r>
    </w:p>
    <w:p w:rsidR="00000000" w:rsidDel="00000000" w:rsidP="00000000" w:rsidRDefault="00000000" w:rsidRPr="00000000" w14:paraId="0000003C">
      <w:pPr>
        <w:jc w:val="center"/>
        <w:rPr/>
      </w:pPr>
      <w:r w:rsidDel="00000000" w:rsidR="00000000" w:rsidRPr="00000000">
        <w:rPr>
          <w:b w:val="1"/>
          <w:bCs w:val="1"/>
          <w:rtl w:val="0"/>
        </w:rPr>
        <w:t xml:space="preserve">Source:</w:t>
      </w:r>
      <w:r w:rsidDel="00000000" w:rsidR="00000000" w:rsidRPr="00000000">
        <w:rPr>
          <w:rtl w:val="0"/>
        </w:rPr>
        <w:t xml:space="preserve"> (</w:t>
      </w:r>
      <w:r w:rsidDel="00000000" w:rsidR="00000000" w:rsidRPr="00000000">
        <w:rPr>
          <w:highlight w:val="white"/>
          <w:rtl w:val="0"/>
        </w:rPr>
        <w:t xml:space="preserve">Saha and Barui, 2023)</w:t>
      </w:r>
      <w:r w:rsidDel="00000000" w:rsidR="00000000" w:rsidRPr="00000000">
        <w:rPr>
          <w:rtl w:val="0"/>
        </w:rPr>
      </w:r>
    </w:p>
    <w:p w:rsidR="00000000" w:rsidDel="00000000" w:rsidP="00000000" w:rsidRDefault="00000000" w:rsidRPr="00000000" w14:paraId="0000003D">
      <w:pPr>
        <w:pStyle w:val="Heading1"/>
        <w:rPr/>
      </w:pPr>
      <w:bookmarkStart w:colFirst="0" w:colLast="0" w:name="_cjj3u4x4j4eh" w:id="2"/>
      <w:bookmarkEnd w:id="2"/>
      <w:r w:rsidDel="00000000" w:rsidR="00000000" w:rsidRPr="00000000">
        <w:rPr>
          <w:rtl w:val="0"/>
        </w:rPr>
        <w:t xml:space="preserve">Importance of good administrative skills within professional practice within the context of Mr. Ahmed’s care</w:t>
      </w:r>
    </w:p>
    <w:p w:rsidR="00000000" w:rsidDel="00000000" w:rsidP="00000000" w:rsidRDefault="00000000" w:rsidRPr="00000000" w14:paraId="0000003E">
      <w:pPr>
        <w:rPr/>
      </w:pPr>
      <w:r w:rsidDel="00000000" w:rsidR="00000000" w:rsidRPr="00000000">
        <w:rPr>
          <w:rtl w:val="0"/>
        </w:rPr>
        <w:t xml:space="preserve">In the health and social care services, administrative skills are crucial because they facilitate the process of delivering services and ensure that services are provided in an organised, co-ordinated and secure manner (Onunwor, 2024). Good administrative skills involve proper reporting, documentation, record keeping, scheduling, and the management of information properly (Al-Balawi et al., 2024). In the context of Mr. Ahmed's care, the practices of good administrative skills are significant because Mr. Ahmed's care is associated with various healthcare professionals which required the management of information rigorously and need to ensure that the services are provided consistently and reliably. </w:t>
      </w:r>
    </w:p>
    <w:p w:rsidR="00000000" w:rsidDel="00000000" w:rsidP="00000000" w:rsidRDefault="00000000" w:rsidRPr="00000000" w14:paraId="0000003F">
      <w:pPr>
        <w:rPr/>
      </w:pPr>
      <w:r w:rsidDel="00000000" w:rsidR="00000000" w:rsidRPr="00000000">
        <w:rPr>
          <w:rtl w:val="0"/>
        </w:rPr>
        <w:t xml:space="preserve">One of the primary functions of the administrative practice includes </w:t>
      </w:r>
      <w:r w:rsidDel="00000000" w:rsidR="00000000" w:rsidRPr="00000000">
        <w:rPr>
          <w:b w:val="1"/>
          <w:bCs w:val="1"/>
          <w:rtl w:val="0"/>
        </w:rPr>
        <w:t xml:space="preserve">record-keeping </w:t>
      </w:r>
      <w:r w:rsidDel="00000000" w:rsidR="00000000" w:rsidRPr="00000000">
        <w:rPr>
          <w:rtl w:val="0"/>
        </w:rPr>
        <w:t xml:space="preserve">(Onunwor, 2024). Health care service providers have to keep proper records of Mr. Ahmed’s treatments, schedule of taking medications, date of home appointment, assessment of health conditions, and communicate the progress with other expert professionals. Accurate record keeping and documentation also assist the health care team members to perceive Mr. Ahmed medical history, present requirements, and plan for further treatment. Therefore, the current incident of Mr. Ahmed's case includes the failure of the healthcare agency to conduct a home visit, which indicates a poor administrative system of the healthcare service provider. Thus, the consequence of this incident is that Mr. Ahmed forgot to take his medication on time, which affected his health condition. </w:t>
      </w:r>
    </w:p>
    <w:p w:rsidR="00000000" w:rsidDel="00000000" w:rsidP="00000000" w:rsidRDefault="00000000" w:rsidRPr="00000000" w14:paraId="00000040">
      <w:pPr>
        <w:rPr/>
      </w:pPr>
      <w:r w:rsidDel="00000000" w:rsidR="00000000" w:rsidRPr="00000000">
        <w:rPr>
          <w:rtl w:val="0"/>
        </w:rPr>
        <w:t xml:space="preserve">One of the key pieces of legislation of the UK government related to handling personal information includes the </w:t>
      </w:r>
      <w:r w:rsidDel="00000000" w:rsidR="00000000" w:rsidRPr="00000000">
        <w:rPr>
          <w:b w:val="1"/>
          <w:bCs w:val="1"/>
          <w:rtl w:val="0"/>
        </w:rPr>
        <w:t xml:space="preserve">Data Protection Act 2018</w:t>
      </w:r>
      <w:r w:rsidDel="00000000" w:rsidR="00000000" w:rsidRPr="00000000">
        <w:rPr>
          <w:rtl w:val="0"/>
        </w:rPr>
        <w:t xml:space="preserve">, which concerns keeping and storing people's personal and medical information in the secured manner, and utilising this information only for necessary purposes (PART, 2018). Therefore, the professionals of the Health and Social Care have to maintain certain principles while utilizing the data of Mr. Ahmed. must follow several principles when handling Mr. Ahmed’s data, such as the professional need to gather the information of Mr.  Ahmed only for legitimate purposes, and store the information by ensuring privacy measure, safety, and security. </w:t>
      </w:r>
    </w:p>
    <w:p w:rsidR="00000000" w:rsidDel="00000000" w:rsidP="00000000" w:rsidRDefault="00000000" w:rsidRPr="00000000" w14:paraId="00000041">
      <w:pPr>
        <w:rPr/>
      </w:pPr>
      <w:r w:rsidDel="00000000" w:rsidR="00000000" w:rsidRPr="00000000">
        <w:rPr>
          <w:b w:val="1"/>
          <w:bCs w:val="1"/>
          <w:rtl w:val="0"/>
        </w:rPr>
        <w:t xml:space="preserve">Caldicott Principles</w:t>
      </w:r>
      <w:r w:rsidDel="00000000" w:rsidR="00000000" w:rsidRPr="00000000">
        <w:rPr>
          <w:rtl w:val="0"/>
        </w:rPr>
        <w:t xml:space="preserve"> is another useful framework for health and social care, which focuses on protecting patients' information and reducing inappropriate sharing (Warren, 2021). The Caldicott Principles are concerned with the significance of privacy at the same time acknowledging that importance of sharing necessary information with other expert professionals for providing effective health care services. </w:t>
      </w:r>
    </w:p>
    <w:p w:rsidR="00000000" w:rsidDel="00000000" w:rsidP="00000000" w:rsidRDefault="00000000" w:rsidRPr="00000000" w14:paraId="00000042">
      <w:pPr>
        <w:rPr/>
      </w:pPr>
      <w:r w:rsidDel="00000000" w:rsidR="00000000" w:rsidRPr="00000000">
        <w:rPr>
          <w:rtl w:val="0"/>
        </w:rPr>
        <w:t xml:space="preserve">Finally, in the case of Mr. Ahmed, good administrative skills and a system of accurate record keeping are essential because they assist the health care services through ensuring accountability of the service provider, enhancing safety and security of the patients, and facilitating the care co-ordination among the professionals. </w:t>
      </w:r>
    </w:p>
    <w:p w:rsidR="00000000" w:rsidDel="00000000" w:rsidP="00000000" w:rsidRDefault="00000000" w:rsidRPr="00000000" w14:paraId="00000043">
      <w:pPr>
        <w:spacing w:after="200" w:lineRule="auto"/>
        <w:jc w:val="center"/>
        <w:rPr/>
      </w:pPr>
      <w:r w:rsidDel="00000000" w:rsidR="00000000" w:rsidRPr="00000000">
        <w:rPr/>
        <w:drawing>
          <wp:inline distB="0" distT="0" distL="0" distR="0">
            <wp:extent cx="3579969" cy="3563584"/>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579969" cy="3563584"/>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after="200" w:lineRule="auto"/>
        <w:jc w:val="center"/>
        <w:rPr/>
      </w:pPr>
      <w:r w:rsidDel="00000000" w:rsidR="00000000" w:rsidRPr="00000000">
        <w:rPr>
          <w:b w:val="1"/>
          <w:bCs w:val="1"/>
          <w:rtl w:val="0"/>
        </w:rPr>
        <w:t xml:space="preserve">Figure 2:</w:t>
      </w:r>
      <w:r w:rsidDel="00000000" w:rsidR="00000000" w:rsidRPr="00000000">
        <w:rPr>
          <w:rtl w:val="0"/>
        </w:rPr>
        <w:t xml:space="preserve"> Administrative Skills </w:t>
      </w:r>
    </w:p>
    <w:p w:rsidR="00000000" w:rsidDel="00000000" w:rsidP="00000000" w:rsidRDefault="00000000" w:rsidRPr="00000000" w14:paraId="00000045">
      <w:pPr>
        <w:spacing w:after="200" w:lineRule="auto"/>
        <w:jc w:val="center"/>
        <w:rPr/>
      </w:pPr>
      <w:r w:rsidDel="00000000" w:rsidR="00000000" w:rsidRPr="00000000">
        <w:rPr>
          <w:b w:val="1"/>
          <w:bCs w:val="1"/>
          <w:rtl w:val="0"/>
        </w:rPr>
        <w:t xml:space="preserve">Source:</w:t>
      </w:r>
      <w:r w:rsidDel="00000000" w:rsidR="00000000" w:rsidRPr="00000000">
        <w:rPr>
          <w:rtl w:val="0"/>
        </w:rPr>
        <w:t xml:space="preserve"> (Sonsaard and Darbavasu, 2019)</w:t>
      </w:r>
    </w:p>
    <w:p w:rsidR="00000000" w:rsidDel="00000000" w:rsidP="00000000" w:rsidRDefault="00000000" w:rsidRPr="00000000" w14:paraId="00000046">
      <w:pPr>
        <w:pStyle w:val="Heading1"/>
        <w:rPr/>
      </w:pPr>
      <w:bookmarkStart w:colFirst="0" w:colLast="0" w:name="_9058rn5o7vpm" w:id="3"/>
      <w:bookmarkEnd w:id="3"/>
      <w:r w:rsidDel="00000000" w:rsidR="00000000" w:rsidRPr="00000000">
        <w:rPr>
          <w:rtl w:val="0"/>
        </w:rPr>
        <w:t xml:space="preserve">Importance of working collaboratively with other professionals involved in Mr. Ahmed’s care</w:t>
      </w:r>
    </w:p>
    <w:p w:rsidR="00000000" w:rsidDel="00000000" w:rsidP="00000000" w:rsidRDefault="00000000" w:rsidRPr="00000000" w14:paraId="00000047">
      <w:pPr>
        <w:rPr/>
      </w:pPr>
      <w:r w:rsidDel="00000000" w:rsidR="00000000" w:rsidRPr="00000000">
        <w:rPr>
          <w:rtl w:val="0"/>
        </w:rPr>
        <w:t xml:space="preserve">In the health and social care services, collaborative working is essential, especially when the patient needs care from various healthcare professions (Schot et al., 2020). In the case of Mr. Ahmed's care, a multidisciplinary health care team is appointed to provide medical services, including his GP, district nurse, and the staff of domiciliary care. The healthcare of Mr. Ahmed also involves a therapist specialist in improving speech and language, which helps to improve Mr. Ahmed's English proficiency and reduce communication barriers. Therefore, each professional involved in Mr. Ahmed's care contributes significantly to improve overall health and well-being of Mr.  Ahmed.</w:t>
      </w:r>
    </w:p>
    <w:p w:rsidR="00000000" w:rsidDel="00000000" w:rsidP="00000000" w:rsidRDefault="00000000" w:rsidRPr="00000000" w14:paraId="00000048">
      <w:pPr>
        <w:rPr/>
      </w:pPr>
      <w:r w:rsidDel="00000000" w:rsidR="00000000" w:rsidRPr="00000000">
        <w:rPr>
          <w:rtl w:val="0"/>
        </w:rPr>
        <w:t xml:space="preserve">The GP has a great contribution to the overall health management of Mr. Ahmed and is prescribing essential medication. The district nurse performs the duties of monitoring the blood pressure of Mr. Ahmed and also provides other necessary services at the time of regular home visits. The workers of Domiciliary care used to help Mr. Ahmed with his personal care, assisting in meal preparation, and taking medication. </w:t>
      </w:r>
    </w:p>
    <w:p w:rsidR="00000000" w:rsidDel="00000000" w:rsidP="00000000" w:rsidRDefault="00000000" w:rsidRPr="00000000" w14:paraId="00000049">
      <w:pPr>
        <w:pStyle w:val="Heading1"/>
        <w:rPr/>
      </w:pPr>
      <w:bookmarkStart w:colFirst="0" w:colLast="0" w:name="_3y0ak87xo25m" w:id="4"/>
      <w:bookmarkEnd w:id="4"/>
      <w:r w:rsidDel="00000000" w:rsidR="00000000" w:rsidRPr="00000000">
        <w:rPr>
          <w:rtl w:val="0"/>
        </w:rPr>
        <w:t xml:space="preserve">Approaches used to foster effective collaboration </w:t>
      </w:r>
    </w:p>
    <w:p w:rsidR="00000000" w:rsidDel="00000000" w:rsidP="00000000" w:rsidRDefault="00000000" w:rsidRPr="00000000" w14:paraId="0000004A">
      <w:pPr>
        <w:rPr/>
      </w:pPr>
      <w:r w:rsidDel="00000000" w:rsidR="00000000" w:rsidRPr="00000000">
        <w:rPr>
          <w:rtl w:val="0"/>
        </w:rPr>
        <w:t xml:space="preserve">Multiple approaches can be utilized for fostering effective collaboration in a multi-agency work setting. Shared planning could be the most effective approach for collaborative working in the case of Mr. Ahmed, where all healthcare service providers can have access to a single service plan (Malomo, 2025). The approach of electronic health record keeping can assist the service providers in getting updated regarding the conditions of Mr. Ahmed. Regular team meetings and communication among the service providers can also the useful approaches that effective communication of the Mr. Ahmed's progress among the professionals. </w:t>
      </w:r>
    </w:p>
    <w:p w:rsidR="00000000" w:rsidDel="00000000" w:rsidP="00000000" w:rsidRDefault="00000000" w:rsidRPr="00000000" w14:paraId="0000004B">
      <w:pPr>
        <w:rPr/>
      </w:pPr>
      <w:r w:rsidDel="00000000" w:rsidR="00000000" w:rsidRPr="00000000">
        <w:rPr>
          <w:rtl w:val="0"/>
        </w:rPr>
        <w:t xml:space="preserve">Therefore, the multi-agency working is associated with certain challenges such as communication malfunctions, ambiguous roles and responsibilities, limitation of time, and the differences in organizational structures of health care service providing agencies (Malomo, 2025.  One of the examples of poor coordination of the healthcare service providers in the case of Mr. Ahmed's care is the incident of the missed home visit of the service provider. To address these challenges associated with the multi-agency working, organization have to utilize a strict protocol for communication, define roles and responsibilities of different service providers, and ensuring information sharing on the regular basis.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spacing w:line="259" w:lineRule="auto"/>
        <w:jc w:val="left"/>
        <w:rPr>
          <w:b w:val="1"/>
          <w:bCs w:val="1"/>
          <w:color w:val="2f5496"/>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3">
      <w:pPr>
        <w:pStyle w:val="Heading1"/>
        <w:rPr/>
      </w:pPr>
      <w:bookmarkStart w:colFirst="0" w:colLast="0" w:name="_6zmqu7m6qtv3" w:id="5"/>
      <w:bookmarkEnd w:id="5"/>
      <w:r w:rsidDel="00000000" w:rsidR="00000000" w:rsidRPr="00000000">
        <w:rPr>
          <w:rtl w:val="0"/>
        </w:rPr>
        <w:t xml:space="preserve">Conclusion </w:t>
      </w:r>
    </w:p>
    <w:p w:rsidR="00000000" w:rsidDel="00000000" w:rsidP="00000000" w:rsidRDefault="00000000" w:rsidRPr="00000000" w14:paraId="00000054">
      <w:pPr>
        <w:rPr/>
      </w:pPr>
      <w:r w:rsidDel="00000000" w:rsidR="00000000" w:rsidRPr="00000000">
        <w:rPr>
          <w:rtl w:val="0"/>
        </w:rPr>
        <w:t xml:space="preserve">This report demonstrates the essential elements of high-quality health and social care services by considering the case of Mr. Ahmed, which includes effective communication, practice of good administrative skills and record keeping, and work collaboration. Effective administrative skills and record keeping help to ensure accountability among the healthcare professionals and reduce perceived error. The Data Protection Act 2018 provides guidelines for handling patients' information and ensures data privacy and security. In the case of Mr. Ahmed, language barriers are found as a factor for disrupting effective communication, and it undermines the Equality Act 2010. Therefore, collaborative work, effective teamwork, and shared planning can be useful approaches to foster communication among healthcare professional and enhance the quality of their services.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pStyle w:val="Heading1"/>
        <w:rPr/>
      </w:pPr>
      <w:bookmarkStart w:colFirst="0" w:colLast="0" w:name="_vtnabsl3gc06" w:id="6"/>
      <w:bookmarkEnd w:id="6"/>
      <w:r w:rsidDel="00000000" w:rsidR="00000000" w:rsidRPr="00000000">
        <w:rPr>
          <w:rtl w:val="0"/>
        </w:rPr>
        <w:t xml:space="preserve">References</w:t>
      </w:r>
    </w:p>
    <w:p w:rsidR="00000000" w:rsidDel="00000000" w:rsidP="00000000" w:rsidRDefault="00000000" w:rsidRPr="00000000" w14:paraId="00000064">
      <w:pPr>
        <w:rPr>
          <w:highlight w:val="white"/>
        </w:rPr>
      </w:pPr>
      <w:r w:rsidDel="00000000" w:rsidR="00000000" w:rsidRPr="00000000">
        <w:rPr>
          <w:highlight w:val="white"/>
          <w:rtl w:val="0"/>
        </w:rPr>
        <w:t xml:space="preserve">Al-Balawi, F.A.M., Al-Otaibi, A.M.D., Al-Harbi, S.A., Alenzy, A.O.S., Aldhafeeri, M.A.S., Alanazi, S.F.K., Aldhafee, B.S.R., Alanazi, A.F.H., Almutairi, F.R.A., khalfa Alshammari, A.A. and Alsuwait, J.F., 2024. Improving healthcare delivery through effective health administration practices. </w:t>
      </w:r>
      <w:r w:rsidDel="00000000" w:rsidR="00000000" w:rsidRPr="00000000">
        <w:rPr>
          <w:i w:val="1"/>
          <w:iCs w:val="1"/>
          <w:highlight w:val="white"/>
          <w:rtl w:val="0"/>
        </w:rPr>
        <w:t xml:space="preserve">The Review of Diabetic Studies</w:t>
      </w:r>
      <w:r w:rsidDel="00000000" w:rsidR="00000000" w:rsidRPr="00000000">
        <w:rPr>
          <w:highlight w:val="white"/>
          <w:rtl w:val="0"/>
        </w:rPr>
        <w:t xml:space="preserve">, pp.294-299.</w:t>
      </w:r>
    </w:p>
    <w:p w:rsidR="00000000" w:rsidDel="00000000" w:rsidP="00000000" w:rsidRDefault="00000000" w:rsidRPr="00000000" w14:paraId="00000065">
      <w:pPr>
        <w:rPr>
          <w:highlight w:val="white"/>
        </w:rPr>
      </w:pPr>
      <w:r w:rsidDel="00000000" w:rsidR="00000000" w:rsidRPr="00000000">
        <w:rPr>
          <w:highlight w:val="white"/>
          <w:rtl w:val="0"/>
        </w:rPr>
        <w:t xml:space="preserve">Al-Fedaghi, S., 2012. A conceptual foundation for the Shannon-Weaver model of communication. </w:t>
      </w:r>
      <w:r w:rsidDel="00000000" w:rsidR="00000000" w:rsidRPr="00000000">
        <w:rPr>
          <w:i w:val="1"/>
          <w:iCs w:val="1"/>
          <w:highlight w:val="white"/>
          <w:rtl w:val="0"/>
        </w:rPr>
        <w:t xml:space="preserve">International journal of soft computing</w:t>
      </w:r>
      <w:r w:rsidDel="00000000" w:rsidR="00000000" w:rsidRPr="00000000">
        <w:rPr>
          <w:highlight w:val="white"/>
          <w:rtl w:val="0"/>
        </w:rPr>
        <w:t xml:space="preserve">, </w:t>
      </w:r>
      <w:r w:rsidDel="00000000" w:rsidR="00000000" w:rsidRPr="00000000">
        <w:rPr>
          <w:i w:val="1"/>
          <w:iCs w:val="1"/>
          <w:highlight w:val="white"/>
          <w:rtl w:val="0"/>
        </w:rPr>
        <w:t xml:space="preserve">7</w:t>
      </w:r>
      <w:r w:rsidDel="00000000" w:rsidR="00000000" w:rsidRPr="00000000">
        <w:rPr>
          <w:highlight w:val="white"/>
          <w:rtl w:val="0"/>
        </w:rPr>
        <w:t xml:space="preserve">(1), pp.12-19.</w:t>
      </w:r>
    </w:p>
    <w:p w:rsidR="00000000" w:rsidDel="00000000" w:rsidP="00000000" w:rsidRDefault="00000000" w:rsidRPr="00000000" w14:paraId="00000066">
      <w:pPr>
        <w:rPr>
          <w:i w:val="1"/>
          <w:iCs w:val="1"/>
          <w:highlight w:val="white"/>
        </w:rPr>
      </w:pPr>
      <w:r w:rsidDel="00000000" w:rsidR="00000000" w:rsidRPr="00000000">
        <w:rPr>
          <w:highlight w:val="white"/>
          <w:rtl w:val="0"/>
        </w:rPr>
        <w:t xml:space="preserve">Fell, E.V. and Dyban, M., 2017. Against discrimination: equality act 2010 (UK). </w:t>
      </w:r>
      <w:r w:rsidDel="00000000" w:rsidR="00000000" w:rsidRPr="00000000">
        <w:rPr>
          <w:i w:val="1"/>
          <w:iCs w:val="1"/>
          <w:highlight w:val="white"/>
          <w:rtl w:val="0"/>
        </w:rPr>
        <w:t xml:space="preserve">The European Proceedings of Social &amp; Behavioural Sciences (EpSBS). Vol. 19: Lifelong Wellbeing in the World (WELLSO 2016).—Nicosia, 2017.</w:t>
      </w:r>
    </w:p>
    <w:p w:rsidR="00000000" w:rsidDel="00000000" w:rsidP="00000000" w:rsidRDefault="00000000" w:rsidRPr="00000000" w14:paraId="00000067">
      <w:pPr>
        <w:rPr>
          <w:highlight w:val="white"/>
        </w:rPr>
      </w:pPr>
      <w:r w:rsidDel="00000000" w:rsidR="00000000" w:rsidRPr="00000000">
        <w:rPr>
          <w:highlight w:val="white"/>
          <w:rtl w:val="0"/>
        </w:rPr>
        <w:t xml:space="preserve">Kubota, M., 2019. What is" Communication"?-Beyond the Shannon &amp; Weaver’s Model. </w:t>
      </w:r>
      <w:r w:rsidDel="00000000" w:rsidR="00000000" w:rsidRPr="00000000">
        <w:rPr>
          <w:i w:val="1"/>
          <w:iCs w:val="1"/>
          <w:highlight w:val="white"/>
          <w:rtl w:val="0"/>
        </w:rPr>
        <w:t xml:space="preserve">International Journal for Educational Media and Technology</w:t>
      </w:r>
      <w:r w:rsidDel="00000000" w:rsidR="00000000" w:rsidRPr="00000000">
        <w:rPr>
          <w:highlight w:val="white"/>
          <w:rtl w:val="0"/>
        </w:rPr>
        <w:t xml:space="preserve">, </w:t>
      </w:r>
      <w:r w:rsidDel="00000000" w:rsidR="00000000" w:rsidRPr="00000000">
        <w:rPr>
          <w:i w:val="1"/>
          <w:iCs w:val="1"/>
          <w:highlight w:val="white"/>
          <w:rtl w:val="0"/>
        </w:rPr>
        <w:t xml:space="preserve">13</w:t>
      </w:r>
      <w:r w:rsidDel="00000000" w:rsidR="00000000" w:rsidRPr="00000000">
        <w:rPr>
          <w:highlight w:val="white"/>
          <w:rtl w:val="0"/>
        </w:rPr>
        <w:t xml:space="preserve">(1).</w:t>
      </w:r>
    </w:p>
    <w:p w:rsidR="00000000" w:rsidDel="00000000" w:rsidP="00000000" w:rsidRDefault="00000000" w:rsidRPr="00000000" w14:paraId="00000068">
      <w:pPr>
        <w:rPr/>
      </w:pPr>
      <w:r w:rsidDel="00000000" w:rsidR="00000000" w:rsidRPr="00000000">
        <w:rPr>
          <w:highlight w:val="white"/>
          <w:rtl w:val="0"/>
        </w:rPr>
        <w:t xml:space="preserve">Malomo, M., 2025. Collaboration–the power of multi-agency working. In </w:t>
      </w:r>
      <w:r w:rsidDel="00000000" w:rsidR="00000000" w:rsidRPr="00000000">
        <w:rPr>
          <w:i w:val="1"/>
          <w:iCs w:val="1"/>
          <w:highlight w:val="white"/>
          <w:rtl w:val="0"/>
        </w:rPr>
        <w:t xml:space="preserve">Embracing Change and Developing Leadership in the Early Years Sector</w:t>
      </w:r>
      <w:r w:rsidDel="00000000" w:rsidR="00000000" w:rsidRPr="00000000">
        <w:rPr>
          <w:highlight w:val="white"/>
          <w:rtl w:val="0"/>
        </w:rPr>
        <w:t xml:space="preserve"> (pp. 159-169). Routledge.</w:t>
      </w:r>
      <w:r w:rsidDel="00000000" w:rsidR="00000000" w:rsidRPr="00000000">
        <w:rPr>
          <w:rtl w:val="0"/>
        </w:rPr>
      </w:r>
    </w:p>
    <w:p w:rsidR="00000000" w:rsidDel="00000000" w:rsidP="00000000" w:rsidRDefault="00000000" w:rsidRPr="00000000" w14:paraId="00000069">
      <w:pPr>
        <w:rPr>
          <w:highlight w:val="white"/>
        </w:rPr>
      </w:pPr>
      <w:r w:rsidDel="00000000" w:rsidR="00000000" w:rsidRPr="00000000">
        <w:rPr>
          <w:highlight w:val="white"/>
          <w:rtl w:val="0"/>
        </w:rPr>
        <w:t xml:space="preserve">Miller, R., Glasby, J. and Dickinson, H., 2021. Integrated health and social care in England: ten years on. </w:t>
      </w:r>
      <w:r w:rsidDel="00000000" w:rsidR="00000000" w:rsidRPr="00000000">
        <w:rPr>
          <w:i w:val="1"/>
          <w:iCs w:val="1"/>
          <w:highlight w:val="white"/>
          <w:rtl w:val="0"/>
        </w:rPr>
        <w:t xml:space="preserve">International journal of integrated care</w:t>
      </w:r>
      <w:r w:rsidDel="00000000" w:rsidR="00000000" w:rsidRPr="00000000">
        <w:rPr>
          <w:highlight w:val="white"/>
          <w:rtl w:val="0"/>
        </w:rPr>
        <w:t xml:space="preserve">, </w:t>
      </w:r>
      <w:r w:rsidDel="00000000" w:rsidR="00000000" w:rsidRPr="00000000">
        <w:rPr>
          <w:i w:val="1"/>
          <w:iCs w:val="1"/>
          <w:highlight w:val="white"/>
          <w:rtl w:val="0"/>
        </w:rPr>
        <w:t xml:space="preserve">21</w:t>
      </w:r>
      <w:r w:rsidDel="00000000" w:rsidR="00000000" w:rsidRPr="00000000">
        <w:rPr>
          <w:highlight w:val="white"/>
          <w:rtl w:val="0"/>
        </w:rPr>
        <w:t xml:space="preserve">(4), p.6.</w:t>
      </w:r>
    </w:p>
    <w:p w:rsidR="00000000" w:rsidDel="00000000" w:rsidP="00000000" w:rsidRDefault="00000000" w:rsidRPr="00000000" w14:paraId="0000006A">
      <w:pPr>
        <w:rPr>
          <w:highlight w:val="white"/>
        </w:rPr>
      </w:pPr>
      <w:r w:rsidDel="00000000" w:rsidR="00000000" w:rsidRPr="00000000">
        <w:rPr>
          <w:highlight w:val="white"/>
          <w:rtl w:val="0"/>
        </w:rPr>
        <w:t xml:space="preserve">Moss, B., 2017. </w:t>
      </w:r>
      <w:r w:rsidDel="00000000" w:rsidR="00000000" w:rsidRPr="00000000">
        <w:rPr>
          <w:i w:val="1"/>
          <w:iCs w:val="1"/>
          <w:highlight w:val="white"/>
          <w:rtl w:val="0"/>
        </w:rPr>
        <w:t xml:space="preserve">Communication skills in health and social care</w:t>
      </w:r>
      <w:r w:rsidDel="00000000" w:rsidR="00000000" w:rsidRPr="00000000">
        <w:rPr>
          <w:highlight w:val="white"/>
          <w:rtl w:val="0"/>
        </w:rPr>
        <w:t xml:space="preserve">. Sage.</w:t>
      </w:r>
    </w:p>
    <w:p w:rsidR="00000000" w:rsidDel="00000000" w:rsidP="00000000" w:rsidRDefault="00000000" w:rsidRPr="00000000" w14:paraId="0000006B">
      <w:pPr>
        <w:rPr>
          <w:highlight w:val="white"/>
        </w:rPr>
      </w:pPr>
      <w:r w:rsidDel="00000000" w:rsidR="00000000" w:rsidRPr="00000000">
        <w:rPr>
          <w:highlight w:val="white"/>
          <w:rtl w:val="0"/>
        </w:rPr>
        <w:t xml:space="preserve">Onunwor, A.A., 2024. ADMINISTRATIVE SKILLS ENHANCEMENT STRATEGIES AND EFFECTIVENESS OF PRIMARY HEALTHCARE CENTRES IN PORT HARCOURT CITY LOCAL GOVERNMENT AREA IN RIVERS STATE. </w:t>
      </w:r>
      <w:r w:rsidDel="00000000" w:rsidR="00000000" w:rsidRPr="00000000">
        <w:rPr>
          <w:i w:val="1"/>
          <w:iCs w:val="1"/>
          <w:highlight w:val="white"/>
          <w:rtl w:val="0"/>
        </w:rPr>
        <w:t xml:space="preserve">BW Academic Journal</w:t>
      </w:r>
      <w:r w:rsidDel="00000000" w:rsidR="00000000" w:rsidRPr="00000000">
        <w:rPr>
          <w:highlight w:val="white"/>
          <w:rtl w:val="0"/>
        </w:rPr>
        <w:t xml:space="preserve">.</w:t>
      </w:r>
    </w:p>
    <w:p w:rsidR="00000000" w:rsidDel="00000000" w:rsidP="00000000" w:rsidRDefault="00000000" w:rsidRPr="00000000" w14:paraId="0000006C">
      <w:pPr>
        <w:rPr>
          <w:highlight w:val="white"/>
        </w:rPr>
      </w:pPr>
      <w:r w:rsidDel="00000000" w:rsidR="00000000" w:rsidRPr="00000000">
        <w:rPr>
          <w:highlight w:val="white"/>
          <w:rtl w:val="0"/>
        </w:rPr>
        <w:t xml:space="preserve">PART, I., 2018. Data Protection Act, 2018.</w:t>
      </w:r>
    </w:p>
    <w:p w:rsidR="00000000" w:rsidDel="00000000" w:rsidP="00000000" w:rsidRDefault="00000000" w:rsidRPr="00000000" w14:paraId="0000006D">
      <w:pPr>
        <w:rPr>
          <w:highlight w:val="white"/>
        </w:rPr>
      </w:pPr>
      <w:r w:rsidDel="00000000" w:rsidR="00000000" w:rsidRPr="00000000">
        <w:rPr>
          <w:highlight w:val="white"/>
          <w:rtl w:val="0"/>
        </w:rPr>
        <w:t xml:space="preserve">Russell, S., Stocker, R., Cockshott, Z., Mason, S., Knight, J., Hanratty, B. and Preston, N., 2025. Use of a digital application to enhance communication and triage between care homes and National Health Service community services in the United Kingdom: a qualitative evaluation. </w:t>
      </w:r>
      <w:r w:rsidDel="00000000" w:rsidR="00000000" w:rsidRPr="00000000">
        <w:rPr>
          <w:i w:val="1"/>
          <w:iCs w:val="1"/>
          <w:highlight w:val="white"/>
          <w:rtl w:val="0"/>
        </w:rPr>
        <w:t xml:space="preserve">BMC geriatrics</w:t>
      </w:r>
      <w:r w:rsidDel="00000000" w:rsidR="00000000" w:rsidRPr="00000000">
        <w:rPr>
          <w:highlight w:val="white"/>
          <w:rtl w:val="0"/>
        </w:rPr>
        <w:t xml:space="preserve">, </w:t>
      </w:r>
      <w:r w:rsidDel="00000000" w:rsidR="00000000" w:rsidRPr="00000000">
        <w:rPr>
          <w:i w:val="1"/>
          <w:iCs w:val="1"/>
          <w:highlight w:val="white"/>
          <w:rtl w:val="0"/>
        </w:rPr>
        <w:t xml:space="preserve">25</w:t>
      </w:r>
      <w:r w:rsidDel="00000000" w:rsidR="00000000" w:rsidRPr="00000000">
        <w:rPr>
          <w:highlight w:val="white"/>
          <w:rtl w:val="0"/>
        </w:rPr>
        <w:t xml:space="preserve">(1), p.875.</w:t>
      </w:r>
    </w:p>
    <w:p w:rsidR="00000000" w:rsidDel="00000000" w:rsidP="00000000" w:rsidRDefault="00000000" w:rsidRPr="00000000" w14:paraId="0000006E">
      <w:pPr>
        <w:rPr>
          <w:highlight w:val="white"/>
        </w:rPr>
      </w:pPr>
      <w:r w:rsidDel="00000000" w:rsidR="00000000" w:rsidRPr="00000000">
        <w:rPr>
          <w:highlight w:val="white"/>
          <w:rtl w:val="0"/>
        </w:rPr>
        <w:t xml:space="preserve">Saha, T. and Barui, T., 2023. Developing Communication Competencies of Library Professionals Through Semiotics Theory Approach in the Contemporary Information System. </w:t>
      </w:r>
      <w:r w:rsidDel="00000000" w:rsidR="00000000" w:rsidRPr="00000000">
        <w:rPr>
          <w:i w:val="1"/>
          <w:iCs w:val="1"/>
          <w:highlight w:val="white"/>
          <w:rtl w:val="0"/>
        </w:rPr>
        <w:t xml:space="preserve">Access: An International Journal of Nepal Library Association</w:t>
      </w:r>
      <w:r w:rsidDel="00000000" w:rsidR="00000000" w:rsidRPr="00000000">
        <w:rPr>
          <w:highlight w:val="white"/>
          <w:rtl w:val="0"/>
        </w:rPr>
        <w:t xml:space="preserve">, </w:t>
      </w:r>
      <w:r w:rsidDel="00000000" w:rsidR="00000000" w:rsidRPr="00000000">
        <w:rPr>
          <w:i w:val="1"/>
          <w:iCs w:val="1"/>
          <w:highlight w:val="white"/>
          <w:rtl w:val="0"/>
        </w:rPr>
        <w:t xml:space="preserve">2</w:t>
      </w:r>
      <w:r w:rsidDel="00000000" w:rsidR="00000000" w:rsidRPr="00000000">
        <w:rPr>
          <w:highlight w:val="white"/>
          <w:rtl w:val="0"/>
        </w:rPr>
        <w:t xml:space="preserve">(01), pp.58-76.</w:t>
      </w:r>
    </w:p>
    <w:p w:rsidR="00000000" w:rsidDel="00000000" w:rsidP="00000000" w:rsidRDefault="00000000" w:rsidRPr="00000000" w14:paraId="0000006F">
      <w:pPr>
        <w:rPr>
          <w:highlight w:val="white"/>
        </w:rPr>
      </w:pPr>
      <w:r w:rsidDel="00000000" w:rsidR="00000000" w:rsidRPr="00000000">
        <w:rPr>
          <w:highlight w:val="white"/>
          <w:rtl w:val="0"/>
        </w:rPr>
        <w:t xml:space="preserve">Schot, E., Tummers, L. and Noordegraaf, M., 2020. Working on working together. A systematic review on how healthcare professionals contribute to interprofessional collaboration. </w:t>
      </w:r>
      <w:r w:rsidDel="00000000" w:rsidR="00000000" w:rsidRPr="00000000">
        <w:rPr>
          <w:i w:val="1"/>
          <w:iCs w:val="1"/>
          <w:highlight w:val="white"/>
          <w:rtl w:val="0"/>
        </w:rPr>
        <w:t xml:space="preserve">Journal of interprofessional care</w:t>
      </w:r>
      <w:r w:rsidDel="00000000" w:rsidR="00000000" w:rsidRPr="00000000">
        <w:rPr>
          <w:highlight w:val="white"/>
          <w:rtl w:val="0"/>
        </w:rPr>
        <w:t xml:space="preserve">, </w:t>
      </w:r>
      <w:r w:rsidDel="00000000" w:rsidR="00000000" w:rsidRPr="00000000">
        <w:rPr>
          <w:i w:val="1"/>
          <w:iCs w:val="1"/>
          <w:highlight w:val="white"/>
          <w:rtl w:val="0"/>
        </w:rPr>
        <w:t xml:space="preserve">34</w:t>
      </w:r>
      <w:r w:rsidDel="00000000" w:rsidR="00000000" w:rsidRPr="00000000">
        <w:rPr>
          <w:highlight w:val="white"/>
          <w:rtl w:val="0"/>
        </w:rPr>
        <w:t xml:space="preserve">(3), pp.332-342.</w:t>
      </w:r>
    </w:p>
    <w:p w:rsidR="00000000" w:rsidDel="00000000" w:rsidP="00000000" w:rsidRDefault="00000000" w:rsidRPr="00000000" w14:paraId="00000070">
      <w:pPr>
        <w:rPr>
          <w:highlight w:val="white"/>
        </w:rPr>
      </w:pPr>
      <w:r w:rsidDel="00000000" w:rsidR="00000000" w:rsidRPr="00000000">
        <w:rPr>
          <w:highlight w:val="white"/>
          <w:rtl w:val="0"/>
        </w:rPr>
        <w:t xml:space="preserve">Sonsaard, S. and Darbavasu, S., 2019. Administrative skills of modern school administrators. </w:t>
      </w:r>
      <w:r w:rsidDel="00000000" w:rsidR="00000000" w:rsidRPr="00000000">
        <w:rPr>
          <w:i w:val="1"/>
          <w:iCs w:val="1"/>
          <w:highlight w:val="white"/>
          <w:rtl w:val="0"/>
        </w:rPr>
        <w:t xml:space="preserve">European Proceedings of Social and Behavioural Sciences</w:t>
      </w:r>
      <w:r w:rsidDel="00000000" w:rsidR="00000000" w:rsidRPr="00000000">
        <w:rPr>
          <w:highlight w:val="white"/>
          <w:rtl w:val="0"/>
        </w:rPr>
        <w:t xml:space="preserve">.</w:t>
      </w:r>
    </w:p>
    <w:p w:rsidR="00000000" w:rsidDel="00000000" w:rsidP="00000000" w:rsidRDefault="00000000" w:rsidRPr="00000000" w14:paraId="00000071">
      <w:pPr>
        <w:rPr>
          <w:highlight w:val="white"/>
        </w:rPr>
      </w:pPr>
      <w:r w:rsidDel="00000000" w:rsidR="00000000" w:rsidRPr="00000000">
        <w:rPr>
          <w:highlight w:val="white"/>
          <w:rtl w:val="0"/>
        </w:rPr>
        <w:t xml:space="preserve">Warren, P., 2021. Fiona Caldicott: president of the Royal College of Psychiatrists and the first national data guardian, whose legacy includes the Caldicott principles and Caldicott guardians.</w:t>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28"/>
      <w:szCs w:val="28"/>
    </w:rPr>
  </w:style>
  <w:style w:type="paragraph" w:styleId="Heading2">
    <w:name w:val="heading 2"/>
    <w:basedOn w:val="Normal"/>
    <w:next w:val="Normal"/>
    <w:pPr>
      <w:keepNext w:val="1"/>
      <w:keepLines w:val="1"/>
      <w:spacing w:after="0" w:before="40" w:lineRule="auto"/>
    </w:pPr>
    <w:rPr>
      <w:b w:val="1"/>
      <w:bCs w:val="1"/>
      <w:color w:val="7030a0"/>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