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F927A1" w:rsidRPr="005D3F07" w14:paraId="68CAA39D" w14:textId="77777777" w:rsidTr="00463C1A">
        <w:tc>
          <w:tcPr>
            <w:tcW w:w="10060" w:type="dxa"/>
          </w:tcPr>
          <w:p w14:paraId="02F8EE88" w14:textId="0CAAC45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C2C33">
              <w:rPr>
                <w:rFonts w:ascii="Times New Roman" w:hAnsi="Times New Roman" w:cs="Times New Roman"/>
                <w:b/>
                <w:color w:val="auto"/>
                <w:sz w:val="48"/>
              </w:rPr>
              <w:t>Lara Klos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63BD51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C2C33">
              <w:rPr>
                <w:rFonts w:ascii="Times New Roman" w:hAnsi="Times New Roman" w:cs="Times New Roman"/>
                <w:b/>
                <w:color w:val="auto"/>
                <w:sz w:val="48"/>
              </w:rPr>
              <w:t xml:space="preserve"> lara.klos@ceredigion.gov.uk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153275B" w14:textId="77777777" w:rsidR="00463C1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 xml:space="preserve">Learner’s University </w:t>
            </w:r>
          </w:p>
          <w:p w14:paraId="0DE696B2" w14:textId="401DC67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Registration</w:t>
            </w:r>
            <w:r w:rsidR="00F927A1" w:rsidRPr="005D3F07">
              <w:rPr>
                <w:rFonts w:ascii="Times New Roman" w:hAnsi="Times New Roman" w:cs="Times New Roman"/>
                <w:b/>
                <w:color w:val="auto"/>
                <w:sz w:val="48"/>
              </w:rPr>
              <w:t xml:space="preserve"> Number:</w:t>
            </w:r>
            <w:r w:rsidR="00D14AB5">
              <w:rPr>
                <w:rFonts w:ascii="Times New Roman" w:hAnsi="Times New Roman" w:cs="Times New Roman"/>
                <w:b/>
                <w:color w:val="auto"/>
                <w:sz w:val="48"/>
              </w:rPr>
              <w:t>2418807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3D913EF6" w14:textId="2E737C98" w:rsidR="0051463C" w:rsidRPr="00DD700E" w:rsidRDefault="0051463C" w:rsidP="0051463C">
            <w:pPr>
              <w:pStyle w:val="p1"/>
              <w:spacing w:line="480" w:lineRule="auto"/>
              <w:rPr>
                <w:rFonts w:ascii="Arial" w:hAnsi="Arial" w:cs="Arial"/>
              </w:rPr>
            </w:pPr>
            <w:r w:rsidRPr="00DD700E">
              <w:rPr>
                <w:rStyle w:val="s1"/>
                <w:rFonts w:ascii="Arial" w:hAnsi="Arial" w:cs="Arial"/>
              </w:rPr>
              <w:t xml:space="preserve">A </w:t>
            </w:r>
            <w:r w:rsidRPr="00DD700E">
              <w:rPr>
                <w:rStyle w:val="s2"/>
                <w:rFonts w:ascii="Arial" w:hAnsi="Arial" w:cs="Arial"/>
              </w:rPr>
              <w:t>child at risk</w:t>
            </w:r>
            <w:r w:rsidRPr="00DD700E">
              <w:rPr>
                <w:rStyle w:val="s1"/>
                <w:rFonts w:ascii="Arial" w:hAnsi="Arial" w:cs="Arial"/>
              </w:rPr>
              <w:t xml:space="preserve"> is defined under the </w:t>
            </w:r>
            <w:r w:rsidRPr="00DD700E">
              <w:rPr>
                <w:rStyle w:val="s2"/>
                <w:rFonts w:ascii="Arial" w:hAnsi="Arial" w:cs="Arial"/>
                <w:i/>
                <w:iCs/>
              </w:rPr>
              <w:t>Social Services and Well-being (Wales) Act 2014</w:t>
            </w:r>
            <w:r w:rsidRPr="00DD700E">
              <w:rPr>
                <w:rStyle w:val="s1"/>
                <w:rFonts w:ascii="Arial" w:hAnsi="Arial" w:cs="Arial"/>
              </w:rPr>
              <w:t xml:space="preserve"> as someone who is experiencing or is at risk of abuse, neglect or other kinds of harm and who has needs for care and support, whether or not those needs are being met (Welsh Government, 201</w:t>
            </w:r>
            <w:r w:rsidR="0084799E">
              <w:rPr>
                <w:rStyle w:val="s1"/>
                <w:rFonts w:ascii="Arial" w:hAnsi="Arial" w:cs="Arial"/>
              </w:rPr>
              <w:t>5</w:t>
            </w:r>
            <w:r w:rsidRPr="00DD700E">
              <w:rPr>
                <w:rStyle w:val="s1"/>
                <w:rFonts w:ascii="Arial" w:hAnsi="Arial" w:cs="Arial"/>
              </w:rPr>
              <w:t>). This definition places emphasis not just on current harm but also the potential for harm and makes clear that even when a child’s care and support needs appear to be addressed, safeguarding duties still apply.</w:t>
            </w:r>
          </w:p>
          <w:p w14:paraId="08292FA6" w14:textId="3309FDE1" w:rsidR="0051463C" w:rsidRPr="00DD700E" w:rsidRDefault="00477E58" w:rsidP="0051463C">
            <w:pPr>
              <w:pStyle w:val="p1"/>
              <w:spacing w:line="480" w:lineRule="auto"/>
              <w:rPr>
                <w:rFonts w:ascii="Arial" w:hAnsi="Arial" w:cs="Arial"/>
              </w:rPr>
            </w:pPr>
            <w:bookmarkStart w:id="0" w:name="_Hlk210298083"/>
            <w:r>
              <w:rPr>
                <w:rStyle w:val="s1"/>
                <w:rFonts w:ascii="Arial" w:hAnsi="Arial" w:cs="Arial"/>
              </w:rPr>
              <w:t>Under the Act, r</w:t>
            </w:r>
            <w:r w:rsidR="0051463C" w:rsidRPr="00DD700E">
              <w:rPr>
                <w:rStyle w:val="s1"/>
                <w:rFonts w:ascii="Arial" w:hAnsi="Arial" w:cs="Arial"/>
              </w:rPr>
              <w:t xml:space="preserve">elevant partners such as police, health and social care professionals, teachers, and youth workers have a legal </w:t>
            </w:r>
            <w:r w:rsidR="0051463C" w:rsidRPr="00DD700E">
              <w:rPr>
                <w:rStyle w:val="s2"/>
                <w:rFonts w:ascii="Arial" w:hAnsi="Arial" w:cs="Arial"/>
              </w:rPr>
              <w:t>duty to report children at risk</w:t>
            </w:r>
            <w:r w:rsidR="0051463C" w:rsidRPr="00DD700E">
              <w:rPr>
                <w:rStyle w:val="s1"/>
                <w:rFonts w:ascii="Arial" w:hAnsi="Arial" w:cs="Arial"/>
              </w:rPr>
              <w:t xml:space="preserve"> to the local authority (</w:t>
            </w:r>
            <w:r w:rsidR="00EB73BB" w:rsidRPr="00EB73BB">
              <w:rPr>
                <w:rFonts w:ascii="Arial" w:hAnsi="Arial" w:cs="Arial"/>
                <w:i/>
                <w:iCs/>
              </w:rPr>
              <w:t>Social Services and Well-being (Wales) Act 2014</w:t>
            </w:r>
            <w:r w:rsidR="0051463C" w:rsidRPr="00DD700E">
              <w:rPr>
                <w:rStyle w:val="s1"/>
                <w:rFonts w:ascii="Arial" w:hAnsi="Arial" w:cs="Arial"/>
              </w:rPr>
              <w:t>); this ensures concerns are shared and addressed in a timely manner and supports a wider multi-agency safeguarding approach.</w:t>
            </w:r>
          </w:p>
          <w:p w14:paraId="2F15A356" w14:textId="68EEB5E5" w:rsidR="0051463C" w:rsidRPr="00DD700E" w:rsidRDefault="0051463C" w:rsidP="0051463C">
            <w:pPr>
              <w:pStyle w:val="p1"/>
              <w:spacing w:line="480" w:lineRule="auto"/>
              <w:rPr>
                <w:rFonts w:ascii="Arial" w:hAnsi="Arial" w:cs="Arial"/>
              </w:rPr>
            </w:pPr>
            <w:bookmarkStart w:id="1" w:name="_Hlk210298168"/>
            <w:bookmarkEnd w:id="0"/>
            <w:r w:rsidRPr="00DD700E">
              <w:rPr>
                <w:rStyle w:val="s1"/>
                <w:rFonts w:ascii="Arial" w:hAnsi="Arial" w:cs="Arial"/>
              </w:rPr>
              <w:t xml:space="preserve">Once a child is reported to the local authority, it has a statutory responsibility under </w:t>
            </w:r>
            <w:r>
              <w:rPr>
                <w:rStyle w:val="s2"/>
                <w:rFonts w:ascii="Arial" w:hAnsi="Arial" w:cs="Arial"/>
              </w:rPr>
              <w:t>s</w:t>
            </w:r>
            <w:r w:rsidRPr="00DD700E">
              <w:rPr>
                <w:rStyle w:val="s2"/>
                <w:rFonts w:ascii="Arial" w:hAnsi="Arial" w:cs="Arial"/>
              </w:rPr>
              <w:t xml:space="preserve">ection 47 of the </w:t>
            </w:r>
            <w:r w:rsidRPr="00ED7736">
              <w:rPr>
                <w:rStyle w:val="s2"/>
                <w:rFonts w:ascii="Arial" w:hAnsi="Arial" w:cs="Arial"/>
                <w:i/>
                <w:iCs/>
              </w:rPr>
              <w:t>Children Act 1989</w:t>
            </w:r>
            <w:r w:rsidRPr="00DD700E">
              <w:rPr>
                <w:rStyle w:val="s1"/>
                <w:rFonts w:ascii="Arial" w:hAnsi="Arial" w:cs="Arial"/>
              </w:rPr>
              <w:t xml:space="preserve"> to make enquiries where there is reasonable cause to suspect a child is suffering or likely to suffer significant harm. </w:t>
            </w:r>
            <w:bookmarkEnd w:id="1"/>
            <w:r w:rsidRPr="00DD700E">
              <w:rPr>
                <w:rStyle w:val="s1"/>
                <w:rFonts w:ascii="Arial" w:hAnsi="Arial" w:cs="Arial"/>
              </w:rPr>
              <w:t xml:space="preserve">These enquiries are often conducted </w:t>
            </w:r>
            <w:r w:rsidRPr="00DD700E">
              <w:rPr>
                <w:rStyle w:val="s1"/>
                <w:rFonts w:ascii="Arial" w:hAnsi="Arial" w:cs="Arial"/>
              </w:rPr>
              <w:lastRenderedPageBreak/>
              <w:t xml:space="preserve">jointly with the police to ensure child protection concerns are fully investigated and the appropriate support is offered. Section 132 of </w:t>
            </w:r>
            <w:r>
              <w:rPr>
                <w:rStyle w:val="s1"/>
                <w:rFonts w:ascii="Arial" w:hAnsi="Arial" w:cs="Arial"/>
              </w:rPr>
              <w:t>p</w:t>
            </w:r>
            <w:r w:rsidRPr="00DD700E">
              <w:rPr>
                <w:rStyle w:val="s1"/>
                <w:rFonts w:ascii="Arial" w:hAnsi="Arial" w:cs="Arial"/>
              </w:rPr>
              <w:t xml:space="preserve">art 7 of the </w:t>
            </w:r>
            <w:r w:rsidRPr="00DD700E">
              <w:rPr>
                <w:rStyle w:val="s2"/>
                <w:rFonts w:ascii="Arial" w:hAnsi="Arial" w:cs="Arial"/>
              </w:rPr>
              <w:t>Wales Safeguarding Procedures</w:t>
            </w:r>
            <w:r w:rsidRPr="00DD700E">
              <w:rPr>
                <w:rStyle w:val="s1"/>
                <w:rFonts w:ascii="Arial" w:hAnsi="Arial" w:cs="Arial"/>
              </w:rPr>
              <w:t xml:space="preserve"> </w:t>
            </w:r>
            <w:r w:rsidR="00DF13B0">
              <w:rPr>
                <w:rStyle w:val="s1"/>
                <w:rFonts w:ascii="Arial" w:hAnsi="Arial" w:cs="Arial"/>
              </w:rPr>
              <w:t xml:space="preserve">2019 </w:t>
            </w:r>
            <w:r w:rsidRPr="00DD700E">
              <w:rPr>
                <w:rStyle w:val="s1"/>
                <w:rFonts w:ascii="Arial" w:hAnsi="Arial" w:cs="Arial"/>
              </w:rPr>
              <w:t>also outlines the requirement for strategy discussions to be held and coordination between agencies in such cases (</w:t>
            </w:r>
            <w:r w:rsidR="00907425">
              <w:rPr>
                <w:rStyle w:val="s1"/>
                <w:rFonts w:ascii="Arial" w:hAnsi="Arial" w:cs="Arial"/>
              </w:rPr>
              <w:t xml:space="preserve">Social Care Wales, </w:t>
            </w:r>
            <w:r w:rsidR="00DF13B0">
              <w:rPr>
                <w:rStyle w:val="s1"/>
                <w:rFonts w:ascii="Arial" w:hAnsi="Arial" w:cs="Arial"/>
              </w:rPr>
              <w:t>2025</w:t>
            </w:r>
            <w:r w:rsidRPr="00DD700E">
              <w:rPr>
                <w:rStyle w:val="s1"/>
                <w:rFonts w:ascii="Arial" w:hAnsi="Arial" w:cs="Arial"/>
              </w:rPr>
              <w:t>).</w:t>
            </w:r>
          </w:p>
          <w:p w14:paraId="6C27DE46" w14:textId="56FAD17E" w:rsidR="0051463C" w:rsidRPr="00DD700E" w:rsidRDefault="0051463C" w:rsidP="0051463C">
            <w:pPr>
              <w:pStyle w:val="p1"/>
              <w:spacing w:line="480" w:lineRule="auto"/>
              <w:rPr>
                <w:rFonts w:ascii="Arial" w:hAnsi="Arial" w:cs="Arial"/>
              </w:rPr>
            </w:pPr>
            <w:r w:rsidRPr="00DD700E">
              <w:rPr>
                <w:rStyle w:val="s1"/>
                <w:rFonts w:ascii="Arial" w:hAnsi="Arial" w:cs="Arial"/>
              </w:rPr>
              <w:t xml:space="preserve">Children may be at risk due to a range of factors including parental substance misuse, mental ill health, domestic abuse, poverty, homelessness, and social isolation. The National Society for the Prevention of Cruelty to Children </w:t>
            </w:r>
            <w:r w:rsidR="00567416">
              <w:rPr>
                <w:rStyle w:val="s1"/>
                <w:rFonts w:ascii="Arial" w:hAnsi="Arial" w:cs="Arial"/>
              </w:rPr>
              <w:t xml:space="preserve">[hereafter </w:t>
            </w:r>
            <w:r w:rsidRPr="00DD700E">
              <w:rPr>
                <w:rStyle w:val="s1"/>
                <w:rFonts w:ascii="Arial" w:hAnsi="Arial" w:cs="Arial"/>
              </w:rPr>
              <w:t>NSPCC</w:t>
            </w:r>
            <w:r w:rsidR="00567416">
              <w:rPr>
                <w:rStyle w:val="s1"/>
                <w:rFonts w:ascii="Arial" w:hAnsi="Arial" w:cs="Arial"/>
              </w:rPr>
              <w:t>],</w:t>
            </w:r>
            <w:r w:rsidRPr="00DD700E">
              <w:rPr>
                <w:rStyle w:val="s1"/>
                <w:rFonts w:ascii="Arial" w:hAnsi="Arial" w:cs="Arial"/>
              </w:rPr>
              <w:t xml:space="preserve"> </w:t>
            </w:r>
            <w:r w:rsidR="003621E2">
              <w:rPr>
                <w:rStyle w:val="s1"/>
                <w:rFonts w:ascii="Arial" w:hAnsi="Arial" w:cs="Arial"/>
              </w:rPr>
              <w:t>(</w:t>
            </w:r>
            <w:r w:rsidR="001F6783">
              <w:rPr>
                <w:rStyle w:val="s1"/>
                <w:rFonts w:ascii="Arial" w:hAnsi="Arial" w:cs="Arial"/>
              </w:rPr>
              <w:t>2025)</w:t>
            </w:r>
            <w:r w:rsidR="009C643D">
              <w:rPr>
                <w:rStyle w:val="s1"/>
                <w:rFonts w:ascii="Arial" w:hAnsi="Arial" w:cs="Arial"/>
              </w:rPr>
              <w:t>,</w:t>
            </w:r>
            <w:r w:rsidR="001F6783">
              <w:rPr>
                <w:rStyle w:val="s1"/>
                <w:rFonts w:ascii="Arial" w:hAnsi="Arial" w:cs="Arial"/>
              </w:rPr>
              <w:t xml:space="preserve"> </w:t>
            </w:r>
            <w:r w:rsidRPr="00DD700E">
              <w:rPr>
                <w:rStyle w:val="s1"/>
                <w:rFonts w:ascii="Arial" w:hAnsi="Arial" w:cs="Arial"/>
              </w:rPr>
              <w:t xml:space="preserve">also highlight that vulnerable groups such as children with disabilities or those in care are particularly at risk. Recognising the </w:t>
            </w:r>
            <w:r w:rsidRPr="00DD700E">
              <w:rPr>
                <w:rStyle w:val="s2"/>
                <w:rFonts w:ascii="Arial" w:hAnsi="Arial" w:cs="Arial"/>
              </w:rPr>
              <w:t>indicators of harm</w:t>
            </w:r>
            <w:r w:rsidRPr="00DD700E">
              <w:rPr>
                <w:rStyle w:val="s1"/>
                <w:rFonts w:ascii="Arial" w:hAnsi="Arial" w:cs="Arial"/>
              </w:rPr>
              <w:t xml:space="preserve"> is vital in effective safeguarding. Physical abuse may be visible through bruises, burns or injuries which appear inconsistent with the explanation given as to the cause. Children experiencing emotional abuse may have low self-esteem, developmental delays or withdrawal from those around them. Signs of neglect could include poor hygiene, lack of supervision or a child who is constantly hungry whilst indications of sexual abuse might involve inappropriate sexual behaviour, secrecy or regression in behaviour (Department for Education, 20</w:t>
            </w:r>
            <w:r w:rsidR="00A110C4">
              <w:rPr>
                <w:rStyle w:val="s1"/>
                <w:rFonts w:ascii="Arial" w:hAnsi="Arial" w:cs="Arial"/>
              </w:rPr>
              <w:t>23</w:t>
            </w:r>
            <w:r w:rsidRPr="00DD700E">
              <w:rPr>
                <w:rStyle w:val="s1"/>
                <w:rFonts w:ascii="Arial" w:hAnsi="Arial" w:cs="Arial"/>
              </w:rPr>
              <w:t>).</w:t>
            </w:r>
          </w:p>
          <w:p w14:paraId="508720EF" w14:textId="4412AD21" w:rsidR="0051463C" w:rsidRPr="00DD700E" w:rsidRDefault="0051463C" w:rsidP="0051463C">
            <w:pPr>
              <w:pStyle w:val="p1"/>
              <w:spacing w:line="480" w:lineRule="auto"/>
              <w:rPr>
                <w:rFonts w:ascii="Arial" w:hAnsi="Arial" w:cs="Arial"/>
              </w:rPr>
            </w:pPr>
            <w:r w:rsidRPr="00DD700E">
              <w:rPr>
                <w:rStyle w:val="s1"/>
                <w:rFonts w:ascii="Arial" w:hAnsi="Arial" w:cs="Arial"/>
              </w:rPr>
              <w:t>Whilst it is understood that safeguarding interventions should aim to provide safety, stability, and emotional well-being for the child, it is important that this is achieved by involving those affected and identifying their goals. Children may require additional therapeutic support or secure accommodation, whilst families may benefit from mental health treatment, parenting programmes, housing or substance misuse support. Establishing these outcomes supports long-term change and ensures the child’s voice is central to the process (Welsh Government, 2022</w:t>
            </w:r>
            <w:r w:rsidR="0026366B">
              <w:rPr>
                <w:rStyle w:val="s1"/>
                <w:rFonts w:ascii="Arial" w:hAnsi="Arial" w:cs="Arial"/>
              </w:rPr>
              <w:t>b</w:t>
            </w:r>
            <w:r w:rsidRPr="00DD700E">
              <w:rPr>
                <w:rStyle w:val="s1"/>
                <w:rFonts w:ascii="Arial" w:hAnsi="Arial" w:cs="Arial"/>
              </w:rPr>
              <w:t>).</w:t>
            </w:r>
          </w:p>
          <w:p w14:paraId="6B075440" w14:textId="709A1AFD" w:rsidR="0051463C" w:rsidRPr="00DD700E" w:rsidRDefault="0051463C" w:rsidP="0051463C">
            <w:pPr>
              <w:pStyle w:val="p1"/>
              <w:spacing w:line="480" w:lineRule="auto"/>
              <w:rPr>
                <w:rStyle w:val="s1"/>
                <w:rFonts w:ascii="Arial" w:hAnsi="Arial" w:cs="Arial"/>
              </w:rPr>
            </w:pPr>
            <w:r w:rsidRPr="00DD700E">
              <w:rPr>
                <w:rStyle w:val="s1"/>
                <w:rFonts w:ascii="Arial" w:hAnsi="Arial" w:cs="Arial"/>
              </w:rPr>
              <w:lastRenderedPageBreak/>
              <w:t>In XX</w:t>
            </w:r>
            <w:r>
              <w:rPr>
                <w:rStyle w:val="s1"/>
                <w:rFonts w:ascii="Arial" w:hAnsi="Arial" w:cs="Arial"/>
              </w:rPr>
              <w:t>X</w:t>
            </w:r>
            <w:r w:rsidRPr="00DD700E">
              <w:rPr>
                <w:rStyle w:val="s1"/>
                <w:rFonts w:ascii="Arial" w:hAnsi="Arial" w:cs="Arial"/>
              </w:rPr>
              <w:t>, regional coordination is managed by Mid and West Wales Safeguarding Board (CYSUR), which ensures agencies across the area follow consistent safeguarding practices. Locally, XX</w:t>
            </w:r>
            <w:r>
              <w:rPr>
                <w:rStyle w:val="s1"/>
                <w:rFonts w:ascii="Arial" w:hAnsi="Arial" w:cs="Arial"/>
              </w:rPr>
              <w:t>X</w:t>
            </w:r>
            <w:r w:rsidRPr="00DD700E">
              <w:rPr>
                <w:rStyle w:val="s1"/>
                <w:rFonts w:ascii="Arial" w:hAnsi="Arial" w:cs="Arial"/>
              </w:rPr>
              <w:t xml:space="preserve"> </w:t>
            </w:r>
            <w:r w:rsidR="0029092A">
              <w:rPr>
                <w:rStyle w:val="s1"/>
                <w:rFonts w:ascii="Arial" w:hAnsi="Arial" w:cs="Arial"/>
              </w:rPr>
              <w:t xml:space="preserve">Local Authority </w:t>
            </w:r>
            <w:r w:rsidRPr="00DD700E">
              <w:rPr>
                <w:rStyle w:val="s1"/>
                <w:rFonts w:ascii="Arial" w:hAnsi="Arial" w:cs="Arial"/>
              </w:rPr>
              <w:t>Corporate Safeguarding Policy provides guidance on how to identify and report concerns, as well as how to uphold safe recruitment and staff training standards (X</w:t>
            </w:r>
            <w:r>
              <w:rPr>
                <w:rStyle w:val="s1"/>
                <w:rFonts w:ascii="Arial" w:hAnsi="Arial" w:cs="Arial"/>
              </w:rPr>
              <w:t>X</w:t>
            </w:r>
            <w:r w:rsidRPr="00DD700E">
              <w:rPr>
                <w:rStyle w:val="s1"/>
                <w:rFonts w:ascii="Arial" w:hAnsi="Arial" w:cs="Arial"/>
              </w:rPr>
              <w:t xml:space="preserve">X </w:t>
            </w:r>
            <w:r w:rsidR="00D316A6">
              <w:rPr>
                <w:rStyle w:val="s1"/>
                <w:rFonts w:ascii="Arial" w:hAnsi="Arial" w:cs="Arial"/>
              </w:rPr>
              <w:t>Local Authority</w:t>
            </w:r>
            <w:r w:rsidRPr="00DD700E">
              <w:rPr>
                <w:rStyle w:val="s1"/>
                <w:rFonts w:ascii="Arial" w:hAnsi="Arial" w:cs="Arial"/>
              </w:rPr>
              <w:t>, 202</w:t>
            </w:r>
            <w:r w:rsidR="00591E63">
              <w:rPr>
                <w:rStyle w:val="s1"/>
                <w:rFonts w:ascii="Arial" w:hAnsi="Arial" w:cs="Arial"/>
              </w:rPr>
              <w:t>5</w:t>
            </w:r>
            <w:r w:rsidR="00BE2A5B">
              <w:rPr>
                <w:rStyle w:val="s1"/>
                <w:rFonts w:ascii="Arial" w:hAnsi="Arial" w:cs="Arial"/>
              </w:rPr>
              <w:t>b</w:t>
            </w:r>
            <w:r w:rsidRPr="00DD700E">
              <w:rPr>
                <w:rStyle w:val="s1"/>
                <w:rFonts w:ascii="Arial" w:hAnsi="Arial" w:cs="Arial"/>
              </w:rPr>
              <w:t>).</w:t>
            </w:r>
          </w:p>
          <w:p w14:paraId="49641ACD" w14:textId="7171AF4E" w:rsidR="00FC0334" w:rsidRDefault="0051463C" w:rsidP="00FF7EBB">
            <w:pPr>
              <w:jc w:val="both"/>
              <w:rPr>
                <w:sz w:val="24"/>
                <w:szCs w:val="24"/>
              </w:rPr>
            </w:pPr>
            <w:r>
              <w:rPr>
                <w:sz w:val="24"/>
                <w:szCs w:val="24"/>
              </w:rPr>
              <w:t>(Word count 5</w:t>
            </w:r>
            <w:r w:rsidR="00160292">
              <w:rPr>
                <w:sz w:val="24"/>
                <w:szCs w:val="24"/>
              </w:rPr>
              <w:t>10</w:t>
            </w:r>
            <w:r>
              <w:rPr>
                <w:sz w:val="24"/>
                <w:szCs w:val="24"/>
              </w:rPr>
              <w:t>)</w:t>
            </w: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024C638A" w14:textId="5CC533D5" w:rsidR="000C6D03" w:rsidRPr="000C6D03" w:rsidRDefault="000C6D03" w:rsidP="004022F2">
            <w:pPr>
              <w:spacing w:line="480" w:lineRule="auto"/>
              <w:rPr>
                <w:sz w:val="24"/>
                <w:szCs w:val="24"/>
              </w:rPr>
            </w:pPr>
            <w:r w:rsidRPr="000C6D03">
              <w:rPr>
                <w:sz w:val="24"/>
                <w:szCs w:val="24"/>
              </w:rPr>
              <w:t xml:space="preserve">Safeguarding in </w:t>
            </w:r>
            <w:r w:rsidR="001D7C32">
              <w:rPr>
                <w:sz w:val="24"/>
                <w:szCs w:val="24"/>
              </w:rPr>
              <w:t xml:space="preserve">children’s </w:t>
            </w:r>
            <w:r w:rsidRPr="000C6D03">
              <w:rPr>
                <w:sz w:val="24"/>
                <w:szCs w:val="24"/>
              </w:rPr>
              <w:t xml:space="preserve">social work practice is </w:t>
            </w:r>
            <w:r w:rsidR="005611D7">
              <w:rPr>
                <w:sz w:val="24"/>
                <w:szCs w:val="24"/>
              </w:rPr>
              <w:t xml:space="preserve">guided </w:t>
            </w:r>
            <w:r w:rsidRPr="000C6D03">
              <w:rPr>
                <w:sz w:val="24"/>
                <w:szCs w:val="24"/>
              </w:rPr>
              <w:t xml:space="preserve">by </w:t>
            </w:r>
            <w:r w:rsidR="0015061D">
              <w:rPr>
                <w:sz w:val="24"/>
                <w:szCs w:val="24"/>
              </w:rPr>
              <w:t>specific</w:t>
            </w:r>
            <w:r w:rsidRPr="000C6D03">
              <w:rPr>
                <w:sz w:val="24"/>
                <w:szCs w:val="24"/>
              </w:rPr>
              <w:t xml:space="preserve"> legal and ethical frameworks compared to adults. </w:t>
            </w:r>
            <w:r w:rsidR="00DD192F">
              <w:rPr>
                <w:sz w:val="24"/>
                <w:szCs w:val="24"/>
              </w:rPr>
              <w:t>Arguably, t</w:t>
            </w:r>
            <w:r w:rsidRPr="000C6D03">
              <w:rPr>
                <w:sz w:val="24"/>
                <w:szCs w:val="24"/>
              </w:rPr>
              <w:t xml:space="preserve">he most significant difference </w:t>
            </w:r>
            <w:r w:rsidR="00DD192F">
              <w:rPr>
                <w:sz w:val="24"/>
                <w:szCs w:val="24"/>
              </w:rPr>
              <w:t>is i</w:t>
            </w:r>
            <w:r w:rsidRPr="000C6D03">
              <w:rPr>
                <w:sz w:val="24"/>
                <w:szCs w:val="24"/>
              </w:rPr>
              <w:t xml:space="preserve">n the paramountcy principle </w:t>
            </w:r>
            <w:r w:rsidR="00FC1780">
              <w:rPr>
                <w:sz w:val="24"/>
                <w:szCs w:val="24"/>
              </w:rPr>
              <w:t xml:space="preserve">found </w:t>
            </w:r>
            <w:r w:rsidRPr="000C6D03">
              <w:rPr>
                <w:sz w:val="24"/>
                <w:szCs w:val="24"/>
              </w:rPr>
              <w:t xml:space="preserve">in the </w:t>
            </w:r>
            <w:r w:rsidRPr="000C6D03">
              <w:rPr>
                <w:i/>
                <w:iCs/>
                <w:sz w:val="24"/>
                <w:szCs w:val="24"/>
              </w:rPr>
              <w:t>Children Act 1989</w:t>
            </w:r>
            <w:r w:rsidR="00BA18E3">
              <w:rPr>
                <w:i/>
                <w:iCs/>
                <w:sz w:val="24"/>
                <w:szCs w:val="24"/>
              </w:rPr>
              <w:t xml:space="preserve">; </w:t>
            </w:r>
            <w:r w:rsidR="00BA18E3">
              <w:rPr>
                <w:sz w:val="24"/>
                <w:szCs w:val="24"/>
              </w:rPr>
              <w:t xml:space="preserve">this </w:t>
            </w:r>
            <w:r w:rsidRPr="000C6D03">
              <w:rPr>
                <w:sz w:val="24"/>
                <w:szCs w:val="24"/>
              </w:rPr>
              <w:t xml:space="preserve">makes clear that the welfare of the child must always be the first consideration in safeguarding decisions. This </w:t>
            </w:r>
            <w:r w:rsidR="001A4A4F">
              <w:rPr>
                <w:sz w:val="24"/>
                <w:szCs w:val="24"/>
              </w:rPr>
              <w:t xml:space="preserve">is different from </w:t>
            </w:r>
            <w:r w:rsidRPr="000C6D03">
              <w:rPr>
                <w:sz w:val="24"/>
                <w:szCs w:val="24"/>
              </w:rPr>
              <w:t>adult safeguarding</w:t>
            </w:r>
            <w:r w:rsidR="001A4A4F">
              <w:rPr>
                <w:sz w:val="24"/>
                <w:szCs w:val="24"/>
              </w:rPr>
              <w:t xml:space="preserve"> </w:t>
            </w:r>
            <w:r w:rsidR="00C71498">
              <w:rPr>
                <w:sz w:val="24"/>
                <w:szCs w:val="24"/>
              </w:rPr>
              <w:t xml:space="preserve">where </w:t>
            </w:r>
            <w:r w:rsidRPr="000C6D03">
              <w:rPr>
                <w:sz w:val="24"/>
                <w:szCs w:val="24"/>
              </w:rPr>
              <w:t xml:space="preserve">autonomy and the </w:t>
            </w:r>
            <w:r w:rsidR="00A34640">
              <w:rPr>
                <w:sz w:val="24"/>
                <w:szCs w:val="24"/>
              </w:rPr>
              <w:t xml:space="preserve">adults </w:t>
            </w:r>
            <w:r w:rsidRPr="000C6D03">
              <w:rPr>
                <w:sz w:val="24"/>
                <w:szCs w:val="24"/>
              </w:rPr>
              <w:t>right to self-determination take precedence unless the individual lacks mental capacity or others are at risk of harm.</w:t>
            </w:r>
          </w:p>
          <w:p w14:paraId="479360A0" w14:textId="77777777" w:rsidR="000C6D03" w:rsidRPr="000C6D03" w:rsidRDefault="000C6D03" w:rsidP="004022F2">
            <w:pPr>
              <w:spacing w:line="480" w:lineRule="auto"/>
              <w:rPr>
                <w:sz w:val="24"/>
                <w:szCs w:val="24"/>
              </w:rPr>
            </w:pPr>
          </w:p>
          <w:p w14:paraId="7BEEBC81" w14:textId="1824C1D1" w:rsidR="000C6D03" w:rsidRPr="000C6D03" w:rsidRDefault="000C6D03" w:rsidP="004022F2">
            <w:pPr>
              <w:spacing w:line="480" w:lineRule="auto"/>
              <w:rPr>
                <w:sz w:val="24"/>
                <w:szCs w:val="24"/>
              </w:rPr>
            </w:pPr>
            <w:r w:rsidRPr="000C6D03">
              <w:rPr>
                <w:sz w:val="24"/>
                <w:szCs w:val="24"/>
              </w:rPr>
              <w:t xml:space="preserve">In children’s safeguarding, professionals must balance the child’s welfare with recognition of their developing </w:t>
            </w:r>
            <w:r w:rsidR="00307AF4">
              <w:rPr>
                <w:sz w:val="24"/>
                <w:szCs w:val="24"/>
              </w:rPr>
              <w:t xml:space="preserve">maturity and </w:t>
            </w:r>
            <w:r w:rsidR="00F97FEF">
              <w:rPr>
                <w:sz w:val="24"/>
                <w:szCs w:val="24"/>
              </w:rPr>
              <w:t>decision-making</w:t>
            </w:r>
            <w:r w:rsidR="00FD37B0">
              <w:rPr>
                <w:sz w:val="24"/>
                <w:szCs w:val="24"/>
              </w:rPr>
              <w:t xml:space="preserve"> ability</w:t>
            </w:r>
            <w:r w:rsidRPr="000C6D03">
              <w:rPr>
                <w:sz w:val="24"/>
                <w:szCs w:val="24"/>
              </w:rPr>
              <w:t>.</w:t>
            </w:r>
            <w:r w:rsidR="00160292">
              <w:rPr>
                <w:sz w:val="24"/>
                <w:szCs w:val="24"/>
              </w:rPr>
              <w:t xml:space="preserve"> </w:t>
            </w:r>
            <w:r w:rsidRPr="000C6D03">
              <w:rPr>
                <w:sz w:val="24"/>
                <w:szCs w:val="24"/>
              </w:rPr>
              <w:t xml:space="preserve">Gillick competence and the Fraser guidelines are </w:t>
            </w:r>
            <w:r w:rsidR="00FD37B0">
              <w:rPr>
                <w:sz w:val="24"/>
                <w:szCs w:val="24"/>
              </w:rPr>
              <w:t>important in</w:t>
            </w:r>
            <w:r w:rsidRPr="000C6D03">
              <w:rPr>
                <w:sz w:val="24"/>
                <w:szCs w:val="24"/>
              </w:rPr>
              <w:t xml:space="preserve"> this respect</w:t>
            </w:r>
            <w:r w:rsidR="008D6A43">
              <w:rPr>
                <w:sz w:val="24"/>
                <w:szCs w:val="24"/>
              </w:rPr>
              <w:t xml:space="preserve"> </w:t>
            </w:r>
            <w:r w:rsidR="008D6A43" w:rsidRPr="000C6D03">
              <w:rPr>
                <w:sz w:val="24"/>
                <w:szCs w:val="24"/>
              </w:rPr>
              <w:t>(</w:t>
            </w:r>
            <w:r w:rsidR="00480723">
              <w:rPr>
                <w:sz w:val="24"/>
                <w:szCs w:val="24"/>
              </w:rPr>
              <w:t>‘</w:t>
            </w:r>
            <w:r w:rsidR="008D6A43" w:rsidRPr="000C6D03">
              <w:rPr>
                <w:sz w:val="24"/>
                <w:szCs w:val="24"/>
              </w:rPr>
              <w:t>Gillick v West Norfolk and Wisbech</w:t>
            </w:r>
            <w:r w:rsidR="00BE6F0C">
              <w:rPr>
                <w:sz w:val="24"/>
                <w:szCs w:val="24"/>
              </w:rPr>
              <w:t>’</w:t>
            </w:r>
            <w:r w:rsidR="008D6A43" w:rsidRPr="000C6D03">
              <w:rPr>
                <w:sz w:val="24"/>
                <w:szCs w:val="24"/>
              </w:rPr>
              <w:t xml:space="preserve"> A</w:t>
            </w:r>
            <w:r w:rsidR="00DC6936">
              <w:rPr>
                <w:sz w:val="24"/>
                <w:szCs w:val="24"/>
              </w:rPr>
              <w:t>rea Health Authority</w:t>
            </w:r>
            <w:r w:rsidR="00540754">
              <w:rPr>
                <w:sz w:val="24"/>
                <w:szCs w:val="24"/>
              </w:rPr>
              <w:t>’</w:t>
            </w:r>
            <w:r w:rsidR="00815596">
              <w:rPr>
                <w:sz w:val="24"/>
                <w:szCs w:val="24"/>
              </w:rPr>
              <w:t>,</w:t>
            </w:r>
            <w:r w:rsidR="008D6A43" w:rsidRPr="000C6D03">
              <w:rPr>
                <w:sz w:val="24"/>
                <w:szCs w:val="24"/>
              </w:rPr>
              <w:t xml:space="preserve"> 1986)</w:t>
            </w:r>
            <w:r w:rsidRPr="000C6D03">
              <w:rPr>
                <w:sz w:val="24"/>
                <w:szCs w:val="24"/>
              </w:rPr>
              <w:t xml:space="preserve"> as they enable practitioners to determine whether a child under sixteen has sufficient maturity to understand and consent to decisions affecting them</w:t>
            </w:r>
            <w:r w:rsidR="008D6A43">
              <w:rPr>
                <w:sz w:val="24"/>
                <w:szCs w:val="24"/>
              </w:rPr>
              <w:t>.</w:t>
            </w:r>
            <w:r w:rsidRPr="000C6D03">
              <w:rPr>
                <w:sz w:val="24"/>
                <w:szCs w:val="24"/>
              </w:rPr>
              <w:t xml:space="preserve"> </w:t>
            </w:r>
            <w:r w:rsidR="00C8092D">
              <w:rPr>
                <w:sz w:val="24"/>
                <w:szCs w:val="24"/>
              </w:rPr>
              <w:t xml:space="preserve">On the one hand, </w:t>
            </w:r>
            <w:r w:rsidR="00C8092D">
              <w:rPr>
                <w:sz w:val="24"/>
                <w:szCs w:val="24"/>
              </w:rPr>
              <w:lastRenderedPageBreak/>
              <w:t>a</w:t>
            </w:r>
            <w:r w:rsidRPr="000C6D03">
              <w:rPr>
                <w:sz w:val="24"/>
                <w:szCs w:val="24"/>
              </w:rPr>
              <w:t xml:space="preserve"> Gillick competent child may</w:t>
            </w:r>
            <w:r w:rsidR="00C8092D">
              <w:rPr>
                <w:sz w:val="24"/>
                <w:szCs w:val="24"/>
              </w:rPr>
              <w:t xml:space="preserve"> </w:t>
            </w:r>
            <w:r w:rsidRPr="000C6D03">
              <w:rPr>
                <w:sz w:val="24"/>
                <w:szCs w:val="24"/>
              </w:rPr>
              <w:t>make decisions regarding medical treatment</w:t>
            </w:r>
            <w:r w:rsidR="00C8092D">
              <w:rPr>
                <w:sz w:val="24"/>
                <w:szCs w:val="24"/>
              </w:rPr>
              <w:t>, h</w:t>
            </w:r>
            <w:r w:rsidRPr="000C6D03">
              <w:rPr>
                <w:sz w:val="24"/>
                <w:szCs w:val="24"/>
              </w:rPr>
              <w:t xml:space="preserve">owever, there are thresholds where safeguarding duties override a child’s expressed wishes. </w:t>
            </w:r>
            <w:r w:rsidR="00F128AE">
              <w:rPr>
                <w:sz w:val="24"/>
                <w:szCs w:val="24"/>
              </w:rPr>
              <w:t>Included in these is where</w:t>
            </w:r>
            <w:r w:rsidR="0021443E">
              <w:rPr>
                <w:sz w:val="24"/>
                <w:szCs w:val="24"/>
              </w:rPr>
              <w:t xml:space="preserve"> </w:t>
            </w:r>
            <w:r w:rsidRPr="000C6D03">
              <w:rPr>
                <w:sz w:val="24"/>
                <w:szCs w:val="24"/>
              </w:rPr>
              <w:t>there is evidence of abuse, neglect, or risk of significant harm</w:t>
            </w:r>
            <w:r w:rsidR="00F128AE">
              <w:rPr>
                <w:sz w:val="24"/>
                <w:szCs w:val="24"/>
              </w:rPr>
              <w:t>. In such instances</w:t>
            </w:r>
            <w:r w:rsidR="00B857D4">
              <w:rPr>
                <w:sz w:val="24"/>
                <w:szCs w:val="24"/>
              </w:rPr>
              <w:t>,</w:t>
            </w:r>
            <w:r w:rsidR="00F128AE">
              <w:rPr>
                <w:sz w:val="24"/>
                <w:szCs w:val="24"/>
              </w:rPr>
              <w:t xml:space="preserve"> </w:t>
            </w:r>
            <w:r w:rsidRPr="000C6D03">
              <w:rPr>
                <w:sz w:val="24"/>
                <w:szCs w:val="24"/>
              </w:rPr>
              <w:t>professionals must intervene regardless of a child’s competency or consent, reflecting the prioritisation of protection over autonomy (</w:t>
            </w:r>
            <w:r w:rsidR="0098504A">
              <w:rPr>
                <w:sz w:val="24"/>
                <w:szCs w:val="24"/>
              </w:rPr>
              <w:t>NSPCC</w:t>
            </w:r>
            <w:r w:rsidRPr="000C6D03">
              <w:rPr>
                <w:sz w:val="24"/>
                <w:szCs w:val="24"/>
              </w:rPr>
              <w:t>, 2023).</w:t>
            </w:r>
          </w:p>
          <w:p w14:paraId="10C2A4AA" w14:textId="77777777" w:rsidR="000C6D03" w:rsidRPr="000C6D03" w:rsidRDefault="000C6D03" w:rsidP="004022F2">
            <w:pPr>
              <w:spacing w:line="480" w:lineRule="auto"/>
              <w:rPr>
                <w:sz w:val="24"/>
                <w:szCs w:val="24"/>
              </w:rPr>
            </w:pPr>
          </w:p>
          <w:p w14:paraId="1633D4B8" w14:textId="488E83D7" w:rsidR="000C6D03" w:rsidRPr="000C6D03" w:rsidRDefault="000C6D03" w:rsidP="004022F2">
            <w:pPr>
              <w:spacing w:line="480" w:lineRule="auto"/>
              <w:rPr>
                <w:sz w:val="24"/>
                <w:szCs w:val="24"/>
              </w:rPr>
            </w:pPr>
            <w:r w:rsidRPr="000C6D03">
              <w:rPr>
                <w:sz w:val="24"/>
                <w:szCs w:val="24"/>
              </w:rPr>
              <w:t>In contrast, safeguarding adults operates within a different ethical and legal framework</w:t>
            </w:r>
            <w:r w:rsidR="00E041A0">
              <w:rPr>
                <w:sz w:val="24"/>
                <w:szCs w:val="24"/>
              </w:rPr>
              <w:t>.</w:t>
            </w:r>
            <w:r w:rsidRPr="000C6D03">
              <w:rPr>
                <w:sz w:val="24"/>
                <w:szCs w:val="24"/>
              </w:rPr>
              <w:t xml:space="preserve"> </w:t>
            </w:r>
            <w:r w:rsidR="00E041A0">
              <w:rPr>
                <w:sz w:val="24"/>
                <w:szCs w:val="24"/>
              </w:rPr>
              <w:t>A</w:t>
            </w:r>
            <w:r w:rsidRPr="000C6D03">
              <w:rPr>
                <w:sz w:val="24"/>
                <w:szCs w:val="24"/>
              </w:rPr>
              <w:t>n adult’s ability to make informed choices</w:t>
            </w:r>
            <w:r w:rsidR="00E041A0">
              <w:rPr>
                <w:sz w:val="24"/>
                <w:szCs w:val="24"/>
              </w:rPr>
              <w:t xml:space="preserve"> is </w:t>
            </w:r>
            <w:r w:rsidR="009609E7">
              <w:rPr>
                <w:sz w:val="24"/>
                <w:szCs w:val="24"/>
              </w:rPr>
              <w:t xml:space="preserve">determined and guided by the </w:t>
            </w:r>
            <w:r w:rsidR="009609E7" w:rsidRPr="000C6D03">
              <w:rPr>
                <w:i/>
                <w:iCs/>
                <w:sz w:val="24"/>
                <w:szCs w:val="24"/>
              </w:rPr>
              <w:t>Mental Capacity Act 2005</w:t>
            </w:r>
            <w:r w:rsidRPr="000C6D03">
              <w:rPr>
                <w:sz w:val="24"/>
                <w:szCs w:val="24"/>
              </w:rPr>
              <w:t xml:space="preserve">. </w:t>
            </w:r>
            <w:r w:rsidR="004F490C">
              <w:rPr>
                <w:sz w:val="24"/>
                <w:szCs w:val="24"/>
              </w:rPr>
              <w:t xml:space="preserve">If </w:t>
            </w:r>
            <w:r w:rsidRPr="000C6D03">
              <w:rPr>
                <w:sz w:val="24"/>
                <w:szCs w:val="24"/>
              </w:rPr>
              <w:t>an adult is deemed to have capacity</w:t>
            </w:r>
            <w:r w:rsidR="004F490C">
              <w:rPr>
                <w:sz w:val="24"/>
                <w:szCs w:val="24"/>
              </w:rPr>
              <w:t xml:space="preserve"> to make a particular decision</w:t>
            </w:r>
            <w:r w:rsidRPr="000C6D03">
              <w:rPr>
                <w:sz w:val="24"/>
                <w:szCs w:val="24"/>
              </w:rPr>
              <w:t>, their right to self-determination is respected</w:t>
            </w:r>
            <w:r w:rsidR="00D33F53">
              <w:rPr>
                <w:sz w:val="24"/>
                <w:szCs w:val="24"/>
              </w:rPr>
              <w:t>,</w:t>
            </w:r>
            <w:r w:rsidRPr="000C6D03">
              <w:rPr>
                <w:sz w:val="24"/>
                <w:szCs w:val="24"/>
              </w:rPr>
              <w:t xml:space="preserve"> even if their choices appear to place them at risk (Department of Health, 2007). </w:t>
            </w:r>
            <w:r w:rsidR="0067350A">
              <w:rPr>
                <w:sz w:val="24"/>
                <w:szCs w:val="24"/>
              </w:rPr>
              <w:t>A</w:t>
            </w:r>
            <w:r w:rsidRPr="000C6D03">
              <w:rPr>
                <w:sz w:val="24"/>
                <w:szCs w:val="24"/>
              </w:rPr>
              <w:t xml:space="preserve">n adult may </w:t>
            </w:r>
            <w:r w:rsidR="0067350A">
              <w:rPr>
                <w:sz w:val="24"/>
                <w:szCs w:val="24"/>
              </w:rPr>
              <w:t xml:space="preserve">therefore </w:t>
            </w:r>
            <w:r w:rsidRPr="000C6D03">
              <w:rPr>
                <w:sz w:val="24"/>
                <w:szCs w:val="24"/>
              </w:rPr>
              <w:t>choose not to engage with support services or refuse protective interventions. However, exceptions arise where others may be harmed, where coercion or exploitation is suspected, or where there is concern about consent, as outlined in the Wales Safeguarding Procedures (Wales Safeguarding Procedures Project Board, 2019).</w:t>
            </w:r>
          </w:p>
          <w:p w14:paraId="5D744AD8" w14:textId="77777777" w:rsidR="000C6D03" w:rsidRPr="000C6D03" w:rsidRDefault="000C6D03" w:rsidP="004022F2">
            <w:pPr>
              <w:spacing w:line="480" w:lineRule="auto"/>
              <w:rPr>
                <w:sz w:val="24"/>
                <w:szCs w:val="24"/>
              </w:rPr>
            </w:pPr>
          </w:p>
          <w:p w14:paraId="51681C8E" w14:textId="5E9D9010" w:rsidR="000C6D03" w:rsidRPr="000C6D03" w:rsidRDefault="000C6D03" w:rsidP="004022F2">
            <w:pPr>
              <w:spacing w:line="480" w:lineRule="auto"/>
              <w:rPr>
                <w:sz w:val="24"/>
                <w:szCs w:val="24"/>
              </w:rPr>
            </w:pPr>
            <w:r w:rsidRPr="000C6D03">
              <w:rPr>
                <w:sz w:val="24"/>
                <w:szCs w:val="24"/>
              </w:rPr>
              <w:t xml:space="preserve">Reflecting on these differences highlights the ethical tension between autonomy and protection. </w:t>
            </w:r>
            <w:r w:rsidR="002E199E">
              <w:rPr>
                <w:sz w:val="24"/>
                <w:szCs w:val="24"/>
              </w:rPr>
              <w:t>Arguably, f</w:t>
            </w:r>
            <w:r w:rsidRPr="000C6D03">
              <w:rPr>
                <w:sz w:val="24"/>
                <w:szCs w:val="24"/>
              </w:rPr>
              <w:t xml:space="preserve">or children, </w:t>
            </w:r>
            <w:r w:rsidR="00FE4048">
              <w:rPr>
                <w:sz w:val="24"/>
                <w:szCs w:val="24"/>
              </w:rPr>
              <w:t xml:space="preserve">in </w:t>
            </w:r>
            <w:r w:rsidR="00FE4048" w:rsidRPr="000C6D03">
              <w:rPr>
                <w:sz w:val="24"/>
                <w:szCs w:val="24"/>
              </w:rPr>
              <w:t>recognising</w:t>
            </w:r>
            <w:r w:rsidR="00EA1B52" w:rsidRPr="000C6D03">
              <w:rPr>
                <w:sz w:val="24"/>
                <w:szCs w:val="24"/>
              </w:rPr>
              <w:t xml:space="preserve"> their developmental vulnerability and legal rights under the U</w:t>
            </w:r>
            <w:r w:rsidR="00EE4B54">
              <w:rPr>
                <w:sz w:val="24"/>
                <w:szCs w:val="24"/>
              </w:rPr>
              <w:t xml:space="preserve">nited </w:t>
            </w:r>
            <w:r w:rsidR="00EA1B52" w:rsidRPr="000C6D03">
              <w:rPr>
                <w:sz w:val="24"/>
                <w:szCs w:val="24"/>
              </w:rPr>
              <w:t>N</w:t>
            </w:r>
            <w:r w:rsidR="00EE4B54">
              <w:rPr>
                <w:sz w:val="24"/>
                <w:szCs w:val="24"/>
              </w:rPr>
              <w:t>ations</w:t>
            </w:r>
            <w:r w:rsidR="00EA1B52" w:rsidRPr="000C6D03">
              <w:rPr>
                <w:sz w:val="24"/>
                <w:szCs w:val="24"/>
              </w:rPr>
              <w:t xml:space="preserve"> Convention on the Rights of the Child (</w:t>
            </w:r>
            <w:r w:rsidR="00EE4B54">
              <w:rPr>
                <w:sz w:val="24"/>
                <w:szCs w:val="24"/>
              </w:rPr>
              <w:t>1989</w:t>
            </w:r>
            <w:r w:rsidR="00EA1B52" w:rsidRPr="000C6D03">
              <w:rPr>
                <w:sz w:val="24"/>
                <w:szCs w:val="24"/>
              </w:rPr>
              <w:t>)</w:t>
            </w:r>
            <w:r w:rsidR="00EA1B52">
              <w:rPr>
                <w:sz w:val="24"/>
                <w:szCs w:val="24"/>
              </w:rPr>
              <w:t xml:space="preserve">, </w:t>
            </w:r>
            <w:r w:rsidRPr="000C6D03">
              <w:rPr>
                <w:sz w:val="24"/>
                <w:szCs w:val="24"/>
              </w:rPr>
              <w:t xml:space="preserve">safeguarding </w:t>
            </w:r>
            <w:r w:rsidR="00CA4AD4">
              <w:rPr>
                <w:sz w:val="24"/>
                <w:szCs w:val="24"/>
              </w:rPr>
              <w:t xml:space="preserve">tends </w:t>
            </w:r>
            <w:r w:rsidRPr="000C6D03">
              <w:rPr>
                <w:sz w:val="24"/>
                <w:szCs w:val="24"/>
              </w:rPr>
              <w:t xml:space="preserve">towards </w:t>
            </w:r>
            <w:r w:rsidR="003F1AFF">
              <w:rPr>
                <w:sz w:val="24"/>
                <w:szCs w:val="24"/>
              </w:rPr>
              <w:t>‘</w:t>
            </w:r>
            <w:r w:rsidRPr="000C6D03">
              <w:rPr>
                <w:sz w:val="24"/>
                <w:szCs w:val="24"/>
              </w:rPr>
              <w:t>protection</w:t>
            </w:r>
            <w:r w:rsidR="003F1AFF">
              <w:rPr>
                <w:sz w:val="24"/>
                <w:szCs w:val="24"/>
              </w:rPr>
              <w:t>’</w:t>
            </w:r>
            <w:r w:rsidR="00E7027E">
              <w:rPr>
                <w:sz w:val="24"/>
                <w:szCs w:val="24"/>
              </w:rPr>
              <w:t xml:space="preserve">. </w:t>
            </w:r>
            <w:r w:rsidRPr="000C6D03">
              <w:rPr>
                <w:sz w:val="24"/>
                <w:szCs w:val="24"/>
              </w:rPr>
              <w:t xml:space="preserve">For adults, </w:t>
            </w:r>
            <w:r w:rsidR="003F1AFF">
              <w:rPr>
                <w:sz w:val="24"/>
                <w:szCs w:val="24"/>
              </w:rPr>
              <w:t xml:space="preserve">on the other hand, </w:t>
            </w:r>
            <w:r w:rsidRPr="000C6D03">
              <w:rPr>
                <w:sz w:val="24"/>
                <w:szCs w:val="24"/>
              </w:rPr>
              <w:t xml:space="preserve">the emphasis </w:t>
            </w:r>
            <w:r w:rsidR="003F1AFF">
              <w:rPr>
                <w:sz w:val="24"/>
                <w:szCs w:val="24"/>
              </w:rPr>
              <w:t>is more</w:t>
            </w:r>
            <w:r w:rsidRPr="000C6D03">
              <w:rPr>
                <w:sz w:val="24"/>
                <w:szCs w:val="24"/>
              </w:rPr>
              <w:t xml:space="preserve"> towards empowerment and autonomy</w:t>
            </w:r>
            <w:r w:rsidR="0078332F">
              <w:rPr>
                <w:sz w:val="24"/>
                <w:szCs w:val="24"/>
              </w:rPr>
              <w:t xml:space="preserve"> </w:t>
            </w:r>
            <w:r w:rsidR="004022F2">
              <w:rPr>
                <w:sz w:val="24"/>
                <w:szCs w:val="24"/>
              </w:rPr>
              <w:t xml:space="preserve">with </w:t>
            </w:r>
            <w:r w:rsidR="006809B0">
              <w:rPr>
                <w:sz w:val="24"/>
                <w:szCs w:val="24"/>
              </w:rPr>
              <w:t xml:space="preserve">professional </w:t>
            </w:r>
            <w:r w:rsidR="004022F2">
              <w:rPr>
                <w:sz w:val="24"/>
                <w:szCs w:val="24"/>
              </w:rPr>
              <w:t>involvement limited</w:t>
            </w:r>
            <w:r w:rsidR="003D3DDF">
              <w:rPr>
                <w:sz w:val="24"/>
                <w:szCs w:val="24"/>
              </w:rPr>
              <w:t xml:space="preserve"> </w:t>
            </w:r>
            <w:r w:rsidRPr="000C6D03">
              <w:rPr>
                <w:sz w:val="24"/>
                <w:szCs w:val="24"/>
              </w:rPr>
              <w:t xml:space="preserve">to circumstances where capacity, consent, or wider risks justify </w:t>
            </w:r>
            <w:r w:rsidR="003D3DDF">
              <w:rPr>
                <w:sz w:val="24"/>
                <w:szCs w:val="24"/>
              </w:rPr>
              <w:t xml:space="preserve">state intervention. </w:t>
            </w:r>
          </w:p>
          <w:p w14:paraId="22A4936A" w14:textId="77777777" w:rsidR="000C6D03" w:rsidRDefault="000C6D03" w:rsidP="00FC0334">
            <w:pPr>
              <w:jc w:val="both"/>
              <w:rPr>
                <w:sz w:val="24"/>
                <w:szCs w:val="24"/>
              </w:rPr>
            </w:pPr>
          </w:p>
          <w:p w14:paraId="7B7B4827" w14:textId="458D6037" w:rsidR="00FC0334" w:rsidRDefault="00F65BB3" w:rsidP="00FC0334">
            <w:pPr>
              <w:jc w:val="both"/>
              <w:rPr>
                <w:sz w:val="24"/>
                <w:szCs w:val="24"/>
              </w:rPr>
            </w:pPr>
            <w:r>
              <w:rPr>
                <w:sz w:val="24"/>
                <w:szCs w:val="24"/>
              </w:rPr>
              <w:t>(Word count 39</w:t>
            </w:r>
            <w:r w:rsidR="00900208">
              <w:rPr>
                <w:sz w:val="24"/>
                <w:szCs w:val="24"/>
              </w:rPr>
              <w:t>5</w:t>
            </w:r>
            <w:r>
              <w:rPr>
                <w:sz w:val="24"/>
                <w:szCs w:val="24"/>
              </w:rPr>
              <w:t>)</w:t>
            </w: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93C4B" w14:textId="77777777" w:rsidR="00D755BD" w:rsidRDefault="00D755BD">
      <w:r>
        <w:separator/>
      </w:r>
    </w:p>
  </w:endnote>
  <w:endnote w:type="continuationSeparator" w:id="0">
    <w:p w14:paraId="2772CC97" w14:textId="77777777" w:rsidR="00D755BD" w:rsidRDefault="00D755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69219" w14:textId="77777777" w:rsidR="00D755BD" w:rsidRDefault="00D755BD">
      <w:r>
        <w:separator/>
      </w:r>
    </w:p>
  </w:footnote>
  <w:footnote w:type="continuationSeparator" w:id="0">
    <w:p w14:paraId="3190F9B8" w14:textId="77777777" w:rsidR="00D755BD" w:rsidRDefault="00D755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2D2F"/>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D03"/>
    <w:rsid w:val="000C6FFE"/>
    <w:rsid w:val="000D0BB6"/>
    <w:rsid w:val="000D2E29"/>
    <w:rsid w:val="000D2ED2"/>
    <w:rsid w:val="000D605E"/>
    <w:rsid w:val="000D6653"/>
    <w:rsid w:val="000E0D51"/>
    <w:rsid w:val="000E26B0"/>
    <w:rsid w:val="000E37C2"/>
    <w:rsid w:val="000E38C3"/>
    <w:rsid w:val="000E7D79"/>
    <w:rsid w:val="000F1599"/>
    <w:rsid w:val="000F1769"/>
    <w:rsid w:val="000F1A97"/>
    <w:rsid w:val="000F42AE"/>
    <w:rsid w:val="000F6196"/>
    <w:rsid w:val="000F6BC3"/>
    <w:rsid w:val="0010312C"/>
    <w:rsid w:val="00105026"/>
    <w:rsid w:val="00105355"/>
    <w:rsid w:val="0010662B"/>
    <w:rsid w:val="00106DC7"/>
    <w:rsid w:val="00112391"/>
    <w:rsid w:val="00114F52"/>
    <w:rsid w:val="00130119"/>
    <w:rsid w:val="00132812"/>
    <w:rsid w:val="001347F8"/>
    <w:rsid w:val="001359EE"/>
    <w:rsid w:val="00137BB5"/>
    <w:rsid w:val="00137E05"/>
    <w:rsid w:val="001447F6"/>
    <w:rsid w:val="00147DE3"/>
    <w:rsid w:val="0015061D"/>
    <w:rsid w:val="00150794"/>
    <w:rsid w:val="00151DA6"/>
    <w:rsid w:val="00160292"/>
    <w:rsid w:val="001608C4"/>
    <w:rsid w:val="00164832"/>
    <w:rsid w:val="00171418"/>
    <w:rsid w:val="001772BF"/>
    <w:rsid w:val="001772DE"/>
    <w:rsid w:val="0019496C"/>
    <w:rsid w:val="001961CF"/>
    <w:rsid w:val="001A4A4F"/>
    <w:rsid w:val="001A59BB"/>
    <w:rsid w:val="001A607E"/>
    <w:rsid w:val="001A6A51"/>
    <w:rsid w:val="001A79C4"/>
    <w:rsid w:val="001B331A"/>
    <w:rsid w:val="001C0237"/>
    <w:rsid w:val="001C0E74"/>
    <w:rsid w:val="001C4DB8"/>
    <w:rsid w:val="001C50B8"/>
    <w:rsid w:val="001D229F"/>
    <w:rsid w:val="001D3BA9"/>
    <w:rsid w:val="001D7C32"/>
    <w:rsid w:val="001E2EB6"/>
    <w:rsid w:val="001F349F"/>
    <w:rsid w:val="001F4552"/>
    <w:rsid w:val="001F6783"/>
    <w:rsid w:val="002019EB"/>
    <w:rsid w:val="00204B58"/>
    <w:rsid w:val="00205051"/>
    <w:rsid w:val="00211F65"/>
    <w:rsid w:val="00214047"/>
    <w:rsid w:val="0021443E"/>
    <w:rsid w:val="00215F21"/>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366B"/>
    <w:rsid w:val="002657E9"/>
    <w:rsid w:val="0026665E"/>
    <w:rsid w:val="0027147E"/>
    <w:rsid w:val="002761F4"/>
    <w:rsid w:val="002775E1"/>
    <w:rsid w:val="00277979"/>
    <w:rsid w:val="0029092A"/>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6A4"/>
    <w:rsid w:val="002C2536"/>
    <w:rsid w:val="002C256A"/>
    <w:rsid w:val="002C3031"/>
    <w:rsid w:val="002C4233"/>
    <w:rsid w:val="002C496D"/>
    <w:rsid w:val="002D05EB"/>
    <w:rsid w:val="002D11A8"/>
    <w:rsid w:val="002D2F29"/>
    <w:rsid w:val="002D46C0"/>
    <w:rsid w:val="002D5A92"/>
    <w:rsid w:val="002D65D2"/>
    <w:rsid w:val="002D6B31"/>
    <w:rsid w:val="002E199E"/>
    <w:rsid w:val="002E6D17"/>
    <w:rsid w:val="002E7017"/>
    <w:rsid w:val="002E7F2C"/>
    <w:rsid w:val="002F1FC7"/>
    <w:rsid w:val="002F2185"/>
    <w:rsid w:val="002F3845"/>
    <w:rsid w:val="002F4F6E"/>
    <w:rsid w:val="003015C3"/>
    <w:rsid w:val="00307AF4"/>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68ED"/>
    <w:rsid w:val="00354B6D"/>
    <w:rsid w:val="00355210"/>
    <w:rsid w:val="00355CFD"/>
    <w:rsid w:val="003621E2"/>
    <w:rsid w:val="00365DF9"/>
    <w:rsid w:val="0037066E"/>
    <w:rsid w:val="00372DB4"/>
    <w:rsid w:val="00373A36"/>
    <w:rsid w:val="0037419E"/>
    <w:rsid w:val="00375203"/>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3DDF"/>
    <w:rsid w:val="003D4710"/>
    <w:rsid w:val="003E16D7"/>
    <w:rsid w:val="003E197E"/>
    <w:rsid w:val="003E4B70"/>
    <w:rsid w:val="003E54CF"/>
    <w:rsid w:val="003E5FBA"/>
    <w:rsid w:val="003F1233"/>
    <w:rsid w:val="003F1AFF"/>
    <w:rsid w:val="003F67A4"/>
    <w:rsid w:val="00400786"/>
    <w:rsid w:val="00401FDA"/>
    <w:rsid w:val="004022F2"/>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3C1A"/>
    <w:rsid w:val="00465947"/>
    <w:rsid w:val="004667B1"/>
    <w:rsid w:val="00467F66"/>
    <w:rsid w:val="00470461"/>
    <w:rsid w:val="00470BB1"/>
    <w:rsid w:val="00473153"/>
    <w:rsid w:val="0047350F"/>
    <w:rsid w:val="004743AF"/>
    <w:rsid w:val="00477E58"/>
    <w:rsid w:val="00480723"/>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90C"/>
    <w:rsid w:val="004F4E33"/>
    <w:rsid w:val="004F740D"/>
    <w:rsid w:val="004F7B8F"/>
    <w:rsid w:val="00500748"/>
    <w:rsid w:val="005011D6"/>
    <w:rsid w:val="00502A14"/>
    <w:rsid w:val="005042F1"/>
    <w:rsid w:val="0050481B"/>
    <w:rsid w:val="005113D4"/>
    <w:rsid w:val="0051287D"/>
    <w:rsid w:val="00513C7D"/>
    <w:rsid w:val="0051463C"/>
    <w:rsid w:val="00521123"/>
    <w:rsid w:val="00521221"/>
    <w:rsid w:val="0052250B"/>
    <w:rsid w:val="005305C6"/>
    <w:rsid w:val="00540754"/>
    <w:rsid w:val="00540EEC"/>
    <w:rsid w:val="005414F4"/>
    <w:rsid w:val="00546187"/>
    <w:rsid w:val="00547B11"/>
    <w:rsid w:val="00554556"/>
    <w:rsid w:val="00557D77"/>
    <w:rsid w:val="005611D7"/>
    <w:rsid w:val="00562EAA"/>
    <w:rsid w:val="00563B58"/>
    <w:rsid w:val="005640C4"/>
    <w:rsid w:val="0056684C"/>
    <w:rsid w:val="00567416"/>
    <w:rsid w:val="00574A0C"/>
    <w:rsid w:val="0057780F"/>
    <w:rsid w:val="00581E0A"/>
    <w:rsid w:val="00586D89"/>
    <w:rsid w:val="005877C8"/>
    <w:rsid w:val="00587923"/>
    <w:rsid w:val="00591E6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2E77"/>
    <w:rsid w:val="00654329"/>
    <w:rsid w:val="00654CEC"/>
    <w:rsid w:val="00655507"/>
    <w:rsid w:val="006579FD"/>
    <w:rsid w:val="006635E3"/>
    <w:rsid w:val="006669F3"/>
    <w:rsid w:val="006712A7"/>
    <w:rsid w:val="00672CED"/>
    <w:rsid w:val="0067350A"/>
    <w:rsid w:val="00674FC2"/>
    <w:rsid w:val="00676E35"/>
    <w:rsid w:val="00677E42"/>
    <w:rsid w:val="006809B0"/>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332F"/>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7C5D"/>
    <w:rsid w:val="007F10BD"/>
    <w:rsid w:val="007F312E"/>
    <w:rsid w:val="007F32B0"/>
    <w:rsid w:val="007F3F7E"/>
    <w:rsid w:val="007F4BA4"/>
    <w:rsid w:val="00813CEC"/>
    <w:rsid w:val="0081534C"/>
    <w:rsid w:val="00815596"/>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2EF"/>
    <w:rsid w:val="00836FEC"/>
    <w:rsid w:val="00841F9D"/>
    <w:rsid w:val="008420E1"/>
    <w:rsid w:val="00844D98"/>
    <w:rsid w:val="00846D84"/>
    <w:rsid w:val="0084799E"/>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6A43"/>
    <w:rsid w:val="008D778A"/>
    <w:rsid w:val="008D78C9"/>
    <w:rsid w:val="008E3195"/>
    <w:rsid w:val="008E5A35"/>
    <w:rsid w:val="008F127E"/>
    <w:rsid w:val="008F32D9"/>
    <w:rsid w:val="00900208"/>
    <w:rsid w:val="00902A65"/>
    <w:rsid w:val="00903932"/>
    <w:rsid w:val="00907425"/>
    <w:rsid w:val="009079BD"/>
    <w:rsid w:val="00912BD9"/>
    <w:rsid w:val="00916FB2"/>
    <w:rsid w:val="00920E5B"/>
    <w:rsid w:val="00926436"/>
    <w:rsid w:val="00926C53"/>
    <w:rsid w:val="0093018C"/>
    <w:rsid w:val="00944248"/>
    <w:rsid w:val="0094495F"/>
    <w:rsid w:val="00946F32"/>
    <w:rsid w:val="009544C0"/>
    <w:rsid w:val="00954FA4"/>
    <w:rsid w:val="00956AE9"/>
    <w:rsid w:val="009609E7"/>
    <w:rsid w:val="00964CC6"/>
    <w:rsid w:val="00967BFA"/>
    <w:rsid w:val="0098262C"/>
    <w:rsid w:val="0098427C"/>
    <w:rsid w:val="0098504A"/>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643D"/>
    <w:rsid w:val="009C7342"/>
    <w:rsid w:val="009D4365"/>
    <w:rsid w:val="009D477B"/>
    <w:rsid w:val="009D4E3B"/>
    <w:rsid w:val="009D59C2"/>
    <w:rsid w:val="009D7BC9"/>
    <w:rsid w:val="009E122F"/>
    <w:rsid w:val="009E16FD"/>
    <w:rsid w:val="009E1982"/>
    <w:rsid w:val="009E4D2C"/>
    <w:rsid w:val="009F0978"/>
    <w:rsid w:val="009F3AEC"/>
    <w:rsid w:val="009F6801"/>
    <w:rsid w:val="00A00081"/>
    <w:rsid w:val="00A06422"/>
    <w:rsid w:val="00A10D56"/>
    <w:rsid w:val="00A110C4"/>
    <w:rsid w:val="00A12AAE"/>
    <w:rsid w:val="00A12F22"/>
    <w:rsid w:val="00A16DD1"/>
    <w:rsid w:val="00A22441"/>
    <w:rsid w:val="00A23F3B"/>
    <w:rsid w:val="00A24406"/>
    <w:rsid w:val="00A25F64"/>
    <w:rsid w:val="00A275F6"/>
    <w:rsid w:val="00A303B9"/>
    <w:rsid w:val="00A34640"/>
    <w:rsid w:val="00A37416"/>
    <w:rsid w:val="00A40754"/>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7D4"/>
    <w:rsid w:val="00B9256C"/>
    <w:rsid w:val="00B92BEF"/>
    <w:rsid w:val="00B94443"/>
    <w:rsid w:val="00B9689A"/>
    <w:rsid w:val="00B97056"/>
    <w:rsid w:val="00BA18E3"/>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A5B"/>
    <w:rsid w:val="00BE6F0C"/>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1498"/>
    <w:rsid w:val="00C75883"/>
    <w:rsid w:val="00C77FA5"/>
    <w:rsid w:val="00C8089F"/>
    <w:rsid w:val="00C8092D"/>
    <w:rsid w:val="00C835FE"/>
    <w:rsid w:val="00C836CC"/>
    <w:rsid w:val="00C852D6"/>
    <w:rsid w:val="00C87A74"/>
    <w:rsid w:val="00C92C71"/>
    <w:rsid w:val="00C93F8F"/>
    <w:rsid w:val="00C959E2"/>
    <w:rsid w:val="00CA0894"/>
    <w:rsid w:val="00CA3593"/>
    <w:rsid w:val="00CA4AD4"/>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44"/>
    <w:rsid w:val="00CF2F8A"/>
    <w:rsid w:val="00CF3DB3"/>
    <w:rsid w:val="00D0274B"/>
    <w:rsid w:val="00D0503D"/>
    <w:rsid w:val="00D052BC"/>
    <w:rsid w:val="00D07026"/>
    <w:rsid w:val="00D146AE"/>
    <w:rsid w:val="00D14AB5"/>
    <w:rsid w:val="00D22C8F"/>
    <w:rsid w:val="00D316A6"/>
    <w:rsid w:val="00D3203C"/>
    <w:rsid w:val="00D33491"/>
    <w:rsid w:val="00D33F53"/>
    <w:rsid w:val="00D3442D"/>
    <w:rsid w:val="00D36F00"/>
    <w:rsid w:val="00D44B67"/>
    <w:rsid w:val="00D44F8E"/>
    <w:rsid w:val="00D51FD5"/>
    <w:rsid w:val="00D55DE0"/>
    <w:rsid w:val="00D607EF"/>
    <w:rsid w:val="00D60F88"/>
    <w:rsid w:val="00D646BD"/>
    <w:rsid w:val="00D65558"/>
    <w:rsid w:val="00D71201"/>
    <w:rsid w:val="00D720C7"/>
    <w:rsid w:val="00D755BD"/>
    <w:rsid w:val="00D84841"/>
    <w:rsid w:val="00D876E6"/>
    <w:rsid w:val="00D90958"/>
    <w:rsid w:val="00D95E41"/>
    <w:rsid w:val="00DA1025"/>
    <w:rsid w:val="00DA22EC"/>
    <w:rsid w:val="00DA5682"/>
    <w:rsid w:val="00DA5860"/>
    <w:rsid w:val="00DA5C0C"/>
    <w:rsid w:val="00DB2767"/>
    <w:rsid w:val="00DC1B10"/>
    <w:rsid w:val="00DC2924"/>
    <w:rsid w:val="00DC3240"/>
    <w:rsid w:val="00DC4729"/>
    <w:rsid w:val="00DC68BD"/>
    <w:rsid w:val="00DC6936"/>
    <w:rsid w:val="00DD192F"/>
    <w:rsid w:val="00DD31C5"/>
    <w:rsid w:val="00DD5020"/>
    <w:rsid w:val="00DD63BE"/>
    <w:rsid w:val="00DE4296"/>
    <w:rsid w:val="00DF13B0"/>
    <w:rsid w:val="00DF2469"/>
    <w:rsid w:val="00DF7899"/>
    <w:rsid w:val="00E041A0"/>
    <w:rsid w:val="00E0524C"/>
    <w:rsid w:val="00E15751"/>
    <w:rsid w:val="00E17160"/>
    <w:rsid w:val="00E17D41"/>
    <w:rsid w:val="00E231D1"/>
    <w:rsid w:val="00E3288D"/>
    <w:rsid w:val="00E35112"/>
    <w:rsid w:val="00E35BEC"/>
    <w:rsid w:val="00E41A6A"/>
    <w:rsid w:val="00E46D1F"/>
    <w:rsid w:val="00E50821"/>
    <w:rsid w:val="00E51F91"/>
    <w:rsid w:val="00E5498A"/>
    <w:rsid w:val="00E559CE"/>
    <w:rsid w:val="00E60F42"/>
    <w:rsid w:val="00E6746C"/>
    <w:rsid w:val="00E7027E"/>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1B52"/>
    <w:rsid w:val="00EA4D48"/>
    <w:rsid w:val="00EA7ADF"/>
    <w:rsid w:val="00EB2173"/>
    <w:rsid w:val="00EB62E6"/>
    <w:rsid w:val="00EB695F"/>
    <w:rsid w:val="00EB73BB"/>
    <w:rsid w:val="00EC3A85"/>
    <w:rsid w:val="00EC4B89"/>
    <w:rsid w:val="00EC59A5"/>
    <w:rsid w:val="00EC6E15"/>
    <w:rsid w:val="00ED1B30"/>
    <w:rsid w:val="00ED3D4F"/>
    <w:rsid w:val="00ED5D03"/>
    <w:rsid w:val="00EE01ED"/>
    <w:rsid w:val="00EE1AC1"/>
    <w:rsid w:val="00EE39D6"/>
    <w:rsid w:val="00EE4B54"/>
    <w:rsid w:val="00EE52AD"/>
    <w:rsid w:val="00EE5BC3"/>
    <w:rsid w:val="00EE6FAB"/>
    <w:rsid w:val="00EF328C"/>
    <w:rsid w:val="00EF68BB"/>
    <w:rsid w:val="00F01F92"/>
    <w:rsid w:val="00F030D4"/>
    <w:rsid w:val="00F04053"/>
    <w:rsid w:val="00F06573"/>
    <w:rsid w:val="00F10A08"/>
    <w:rsid w:val="00F128AE"/>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5BB3"/>
    <w:rsid w:val="00F66272"/>
    <w:rsid w:val="00F709C0"/>
    <w:rsid w:val="00F70ACB"/>
    <w:rsid w:val="00F81FEC"/>
    <w:rsid w:val="00F927A1"/>
    <w:rsid w:val="00F92E4D"/>
    <w:rsid w:val="00F95D08"/>
    <w:rsid w:val="00F97FEF"/>
    <w:rsid w:val="00FA0497"/>
    <w:rsid w:val="00FA23BD"/>
    <w:rsid w:val="00FA3764"/>
    <w:rsid w:val="00FA41C7"/>
    <w:rsid w:val="00FA4A79"/>
    <w:rsid w:val="00FA56ED"/>
    <w:rsid w:val="00FB05DD"/>
    <w:rsid w:val="00FB0F7C"/>
    <w:rsid w:val="00FB24EA"/>
    <w:rsid w:val="00FB5FA6"/>
    <w:rsid w:val="00FC0334"/>
    <w:rsid w:val="00FC1310"/>
    <w:rsid w:val="00FC1780"/>
    <w:rsid w:val="00FC2C33"/>
    <w:rsid w:val="00FC2FF3"/>
    <w:rsid w:val="00FC3263"/>
    <w:rsid w:val="00FC51F9"/>
    <w:rsid w:val="00FC5B40"/>
    <w:rsid w:val="00FC5FF8"/>
    <w:rsid w:val="00FD271B"/>
    <w:rsid w:val="00FD37B0"/>
    <w:rsid w:val="00FD3D7C"/>
    <w:rsid w:val="00FD4F8F"/>
    <w:rsid w:val="00FE0C16"/>
    <w:rsid w:val="00FE14B1"/>
    <w:rsid w:val="00FE15C5"/>
    <w:rsid w:val="00FE4048"/>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1">
    <w:name w:val="p1"/>
    <w:basedOn w:val="Normal"/>
    <w:rsid w:val="0051463C"/>
    <w:pPr>
      <w:overflowPunct/>
      <w:autoSpaceDE/>
      <w:autoSpaceDN/>
      <w:adjustRightInd/>
      <w:spacing w:before="100" w:beforeAutospacing="1" w:after="100" w:afterAutospacing="1"/>
      <w:textAlignment w:val="auto"/>
    </w:pPr>
    <w:rPr>
      <w:rFonts w:ascii="Times New Roman" w:eastAsiaTheme="minorEastAsia" w:hAnsi="Times New Roman" w:cs="Times New Roman"/>
      <w:color w:val="auto"/>
      <w:sz w:val="24"/>
      <w:szCs w:val="24"/>
    </w:rPr>
  </w:style>
  <w:style w:type="character" w:customStyle="1" w:styleId="s1">
    <w:name w:val="s1"/>
    <w:basedOn w:val="DefaultParagraphFont"/>
    <w:rsid w:val="0051463C"/>
  </w:style>
  <w:style w:type="character" w:customStyle="1" w:styleId="s2">
    <w:name w:val="s2"/>
    <w:basedOn w:val="DefaultParagraphFont"/>
    <w:rsid w:val="005146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201909">
      <w:bodyDiv w:val="1"/>
      <w:marLeft w:val="0"/>
      <w:marRight w:val="0"/>
      <w:marTop w:val="0"/>
      <w:marBottom w:val="0"/>
      <w:divBdr>
        <w:top w:val="none" w:sz="0" w:space="0" w:color="auto"/>
        <w:left w:val="none" w:sz="0" w:space="0" w:color="auto"/>
        <w:bottom w:val="none" w:sz="0" w:space="0" w:color="auto"/>
        <w:right w:val="none" w:sz="0" w:space="0" w:color="auto"/>
      </w:divBdr>
    </w:div>
    <w:div w:id="85138180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667</TotalTime>
  <Pages>6</Pages>
  <Words>1101</Words>
  <Characters>6279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Lara Klos</cp:lastModifiedBy>
  <cp:revision>81</cp:revision>
  <cp:lastPrinted>2020-02-11T19:20:00Z</cp:lastPrinted>
  <dcterms:created xsi:type="dcterms:W3CDTF">2025-10-02T05:11:00Z</dcterms:created>
  <dcterms:modified xsi:type="dcterms:W3CDTF">2025-10-07T07:12:00Z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