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rPr>
          <w:lang w:val="en-GB"/>
        </w:rPr>
        <w:t>Assignment 1 Annotated Bibliography</w:t>
      </w:r>
    </w:p>
    <w:p>
      <w:r>
        <w:rPr>
          <w:color w:val="000000"/>
          <w:lang w:val="en-GB"/>
        </w:rPr>
        <w:t>HPPH7010: Knowledge, Reason and Reality</w:t>
      </w:r>
    </w:p>
    <w:p>
      <w:r>
        <w:rPr>
          <w:color w:val="000000"/>
          <w:lang w:val="en-GB"/>
        </w:rPr>
        <w:t>Student: Welton Raimundo</w:t>
      </w:r>
    </w:p>
    <w:p>
      <w:r>
        <w:rPr>
          <w:color w:val="000000"/>
          <w:lang w:val="en-GB"/>
        </w:rPr>
        <w:t>Module: HPPH7010 Knowledge, Reason and Reality</w:t>
      </w:r>
    </w:p>
    <w:p>
      <w:r>
        <w:rPr>
          <w:color w:val="000000"/>
          <w:lang w:val="en-GB"/>
        </w:rPr>
        <w:t>Assessment: Annotated Bibliography</w:t>
      </w:r>
    </w:p>
    <w:p>
      <w:pPr>
        <w:pStyle w:val="Heading1"/>
        <w:keepNext/>
      </w:pPr>
      <w:r>
        <w:rPr>
          <w:color w:val="000000"/>
          <w:lang w:val="en-GB"/>
        </w:rPr>
        <w:t>Introduction</w:t>
      </w:r>
    </w:p>
    <w:p>
      <w:r>
        <w:rPr>
          <w:color w:val="000000"/>
          <w:lang w:val="en-GB"/>
        </w:rPr>
        <w:t>The origin of Western philosophy is inseparable from the emergence of rational inquiry into the nature of reality, the possibility of knowledge, and the role of reason in understanding the world. The Presocratic philosophers initiated a profound intellectual transformation through the development of rational investigation and theoretical reflection within a culture also shaped by mythological explanations. Their questions concerning the fundamental nature of reality, the reliability of the senses, and the relationship between appearance and truth remain foundational for contemporary philosophy.</w:t>
      </w:r>
    </w:p>
    <w:p>
      <w:r>
        <w:rPr>
          <w:lang w:val="en-GB"/>
        </w:rPr>
        <w:t>This bibliography contains five principal entries on Thales, Anaximander, Heraclitus, Parmenides, and Popper’s interpretation of Parmenides. Kahn’s commentary provides a supplementary comparison within the Heraclitus entry. Together, these readings examine explanatory principles, the reliability of appearances, and the justification of claims about reality.</w:t>
      </w:r>
    </w:p>
    <w:p>
      <w:pPr>
        <w:pStyle w:val="Heading1"/>
        <w:keepNext/>
      </w:pPr>
      <w:r>
        <w:rPr>
          <w:color w:val="000000"/>
          <w:lang w:val="en-GB"/>
        </w:rPr>
        <w:t>1. McKirahan, R.D. (2011) Chapter 4: Thales of Miletus</w:t>
      </w:r>
    </w:p>
    <w:p>
      <w:pPr>
        <w:pStyle w:val="Heading3"/>
        <w:keepNext/>
      </w:pPr>
      <w:r>
        <w:rPr>
          <w:color w:val="000000"/>
          <w:lang w:val="en-GB"/>
        </w:rPr>
        <w:t>Reference</w:t>
      </w:r>
    </w:p>
    <w:p>
      <w:r>
        <w:rPr>
          <w:lang w:val="en-GB"/>
        </w:rPr>
        <w:t xml:space="preserve">McKirahan, R.D. (2011) “Thales of Miletus”, in </w:t>
      </w:r>
      <w:r>
        <w:rPr>
          <w:i/>
          <w:lang w:val="en-GB"/>
        </w:rPr>
        <w:t>Philosophy Before Socrates: An Introduction with Texts and Commentary</w:t>
      </w:r>
      <w:r>
        <w:rPr>
          <w:lang w:val="en-GB"/>
        </w:rPr>
        <w:t>. 2nd edn. Indianapolis: Hackett Publishing Company, pp. 21–31.</w:t>
      </w:r>
    </w:p>
    <w:p>
      <w:pPr>
        <w:pStyle w:val="Heading3"/>
        <w:keepNext/>
      </w:pPr>
      <w:r>
        <w:rPr>
          <w:color w:val="000000"/>
          <w:lang w:val="en-GB"/>
        </w:rPr>
        <w:t>Annotation</w:t>
      </w:r>
    </w:p>
    <w:p>
      <w:r>
        <w:rPr>
          <w:lang w:val="en-GB"/>
        </w:rPr>
        <w:t>According to McKirahan, Thales of Miletus occupies a unique position in the history of philosophy as the traditional founder of Greek philosophy, science, astronomy, and mathematics. Rather than accepting legendary accounts uncritically, McKirahan carefully evaluates the available evidence and presents three historiographical approaches to Thales: the credulous, the sceptical, and the historically tempered interpretation. On the third approach, Thales was neither a mythical genius responsible for every discovery attributed to him nor merely a legendary figure whose achievements were invented by later writers. On this interpretation, genuine accomplishments became magnified through tradition (McKirahan, 2011, p. 21).</w:t>
      </w:r>
    </w:p>
    <w:p>
      <w:r>
        <w:rPr>
          <w:lang w:val="en-GB"/>
        </w:rPr>
        <w:t>The chapter is relevant to knowledge, reason, and reality because it examines the explanatory role attributed to water. McKirahan distinguishes an account of what things are made of from an account of their origin, and inclines towards the latter interpretation of Thales. He also warns that Aristotle interprets earlier thinkers through his own categories of causation (McKirahan, 2011, pp. 27–30). This distinction matters because identifying an originating source does not establish that every existing thing is composed of that source.</w:t>
      </w:r>
    </w:p>
    <w:p>
      <w:r>
        <w:rPr>
          <w:lang w:val="en-GB"/>
        </w:rPr>
        <w:t>Especially significant is the discussion of earthquakes. According to later reports, Thales explained earthquakes through movements of water beneath the earth. Whether historically accurate or not, the theory represents an important intellectual shift. It replaces the traditional explanation that earthquakes occur through the actions of Poseidon and proposes instead an unobserved natural cause. McKirahan notes that introducing an unseen explanatory mechanism for observed phenomena represents one of the defining characteristics of scientific thought (McKirahan, 2011, p. 29).</w:t>
      </w:r>
    </w:p>
    <w:p>
      <w:r>
        <w:rPr>
          <w:lang w:val="en-GB"/>
        </w:rPr>
        <w:t>The chapter further explores Thales’ alleged prediction of a solar eclipse. McKirahan remains cautious concerning the historical reliability of the story but argues that the episode demonstrates the association of Thales with systematic astronomical inquiry. Even if precise prediction was beyond his capabilities, the attribution suggests a growing confidence in the intelligibility of nature and the possibility of understanding cosmic events through observation and reasoning (McKirahan, 2011, pp. 23–25).</w:t>
      </w:r>
    </w:p>
    <w:p>
      <w:r>
        <w:rPr>
          <w:lang w:val="en-GB"/>
        </w:rPr>
        <w:t>A major strength of the chapter is its methodological balance. McKirahan avoids both naïve acceptance and excessive scepticism. His treatment demonstrates how intellectual history requires careful interpretation of fragmentary evidence. The chapter is valuable not only for understanding Thales but also for illustrating how philosophical inquiry emerged through attempts to develop rational explanations within a culture shaped by myth (McKirahan, 2011, p. 31).</w:t>
      </w:r>
    </w:p>
    <w:p>
      <w:pPr>
        <w:pStyle w:val="Heading2"/>
        <w:keepNext/>
      </w:pPr>
      <w:r>
        <w:rPr>
          <w:color w:val="000000"/>
          <w:lang w:val="en-GB"/>
        </w:rPr>
        <w:t>Critical reflection on Thales</w:t>
      </w:r>
    </w:p>
    <w:p>
      <w:r>
        <w:rPr>
          <w:color w:val="000000"/>
          <w:lang w:val="en-GB"/>
        </w:rPr>
        <w:t>My interpretation of Thales’ contribution places particular emphasis on his decision to seek an explanatory principle in nature. I regard this intellectual initiative as important independently of whether water is an adequate scientific explanation of the origin of things. This distinction helps me avoid judging an ancient philosophical proposal solely by contemporary scientific standards. It also raises a critical question: does the historical importance of a theory depend upon the truth of its conclusion, or can the way it changes the questions being asked constitute progress? My provisional view is that Thales’ search for an archē is philosophically valuable because it invites rational examination of the natural world. However, I must not exaggerate the contrast between myth and reason, or attribute to Thales motives that the surviving evidence cannot establish.</w:t>
      </w:r>
    </w:p>
    <w:p>
      <w:pPr>
        <w:pStyle w:val="Heading2"/>
        <w:keepNext/>
      </w:pPr>
      <w:r>
        <w:rPr>
          <w:color w:val="000000"/>
          <w:lang w:val="en-GB"/>
        </w:rPr>
        <w:t>Critical reflection on explanation</w:t>
      </w:r>
    </w:p>
    <w:p>
      <w:r>
        <w:rPr>
          <w:color w:val="000000"/>
          <w:lang w:val="en-GB"/>
        </w:rPr>
        <w:t>In my earlier reflection on whether God exists, I described water, fire, and the other natural elements as prompting questions about the source of life. This helps explain my interest in Thales, but my own religious interpretation must remain distinct from the position attributed to him. Recognising that water sustains life is not sufficient to demonstrate that everything originates from water. For me, the philosophical question is what would justify moving from an observation about living things to a universal explanatory principle. This distinction allows me to value the question without treating either my theological conviction or Thales’ proposed answer as established by the observation alone.</w:t>
      </w:r>
      <w:r>
        <w:rPr>
          <w:rStyle w:val="CommentReference"/>
          <w:color w:val="000000"/>
          <w:lang w:val="en-GB"/>
        </w:rPr>
      </w:r>
    </w:p>
    <w:p>
      <w:pPr>
        <w:pStyle w:val="Heading1"/>
        <w:keepNext/>
      </w:pPr>
      <w:r>
        <w:rPr>
          <w:color w:val="000000"/>
          <w:lang w:val="en-GB"/>
        </w:rPr>
        <w:t>2. McKirahan, R.D. (2011) Chapter 5: Anaximander of Miletus</w:t>
      </w:r>
    </w:p>
    <w:p>
      <w:pPr>
        <w:pStyle w:val="Heading3"/>
        <w:keepNext/>
      </w:pPr>
      <w:r>
        <w:rPr>
          <w:color w:val="000000"/>
          <w:lang w:val="en-GB"/>
        </w:rPr>
        <w:t>Reference</w:t>
      </w:r>
    </w:p>
    <w:p>
      <w:r>
        <w:rPr>
          <w:lang w:val="en-GB"/>
        </w:rPr>
        <w:t xml:space="preserve">McKirahan, R.D. (2011) “Anaximander of Miletus”, in </w:t>
      </w:r>
      <w:r>
        <w:rPr>
          <w:i/>
          <w:lang w:val="en-GB"/>
        </w:rPr>
        <w:t>Philosophy Before Socrates: An Introduction with Texts and Commentary</w:t>
      </w:r>
      <w:r>
        <w:rPr>
          <w:lang w:val="en-GB"/>
        </w:rPr>
        <w:t>. 2nd edn. Indianapolis: Hackett Publishing Company, pp. 32–47.</w:t>
      </w:r>
    </w:p>
    <w:p>
      <w:pPr>
        <w:pStyle w:val="Heading3"/>
        <w:keepNext/>
      </w:pPr>
      <w:r>
        <w:rPr>
          <w:color w:val="000000"/>
          <w:lang w:val="en-GB"/>
        </w:rPr>
        <w:t>Annotation</w:t>
      </w:r>
    </w:p>
    <w:p>
      <w:r>
        <w:rPr>
          <w:lang w:val="en-GB"/>
        </w:rPr>
        <w:t>McKirahan’s chapter reconstructs Anaximander’s account from later testimony while distinguishing what the evidence reports from what an interpreter may reasonably infer. Its central philosophical discussion concerns the apeiron as an originating principle. The account does not simply present an advance from physical explanation to an immaterial reality. Rather, it asks how an indefinite originative material might explain a world containing definite and opposed characteristics (McKirahan, 2011, pp. 33–36).</w:t>
      </w:r>
    </w:p>
    <w:p>
      <w:r>
        <w:rPr>
          <w:lang w:val="en-GB"/>
        </w:rPr>
        <w:t>The treatment of inventions illustrates this caution. Anaximander is credited with the gnomon, a celestial sphere, and a map. McKirahan compares the report attributing the gnomon to him with Herodotus’ statement that the Greeks learned its use from the Babylonians. Introducing an instrument into Greece need not mean inventing it. The distinction is valuable because it prevents a biographical tradition from being accepted without considering competing testimony. The association with a specific sundial at Sparta remains a possible historical clue rather than a demonstrated invention (McKirahan, 2011, pp. 32–33).</w:t>
      </w:r>
    </w:p>
    <w:p>
      <w:r>
        <w:rPr>
          <w:lang w:val="en-GB"/>
        </w:rPr>
        <w:t>A further strength is McKirahan’s scrutiny of later explanatory categories. After presenting testimony derived from Theophrastus, he questions the influential interpretation of the apeiron as the material of which everything is composed. An originating source and a constituent material are not interchangeable ideas. His discussion therefore cautions against assuming that Anaximander simply substituted the apeiron for water within an already established Aristotelian theory of material causation (McKirahan, 2011, pp. 33–34).</w:t>
      </w:r>
    </w:p>
    <w:p>
      <w:r>
        <w:rPr>
          <w:lang w:val="en-GB"/>
        </w:rPr>
        <w:t>The argument associated with 5.4 gives a more precise reason for an indefinite originating material. Familiar materials have definite characteristics, some of which conflict with others. On the reconstruction discussed by McKirahan, an unlimited quantity of one such material would overwhelm its opposites. An origin capable of accounting for opposed characteristics must therefore differ from any particular familiar material. The proposal’s philosophical importance lies in this explanatory reasoning, rather than in the mere fact that its object cannot be pictured directly. McKirahan nevertheless qualifies the reconstruction by asking which Aristotelian concepts must first be discounted (2011, pp. 34–35).</w:t>
      </w:r>
    </w:p>
    <w:p>
      <w:r>
        <w:rPr>
          <w:color w:val="000000"/>
          <w:lang w:val="en-GB"/>
        </w:rPr>
        <w:t>This raises an interpretative difficulty worth retaining. The argument reaches us through later writers, so identifying an intelligible argument does not by itself establish precisely how Anaximander formulated it. McKirahan’s analysis makes the reconstruction possible while exposing its historical mediation. I regard this combination as a strength: the reader receives a reason for the hypothesis and also grounds for limiting confidence in its attribution. A question for further scrutiny is whether the account can separate Anaximander’s reasoning from later conceptual distinctions as securely as the reconstruction requires.</w:t>
      </w:r>
    </w:p>
    <w:p>
      <w:r>
        <w:rPr>
          <w:lang w:val="en-GB"/>
        </w:rPr>
        <w:t>The account also complicates a sharp opposition between rational inquiry and religion. McKirahan connects the apeiron’s eternity and motion with characteristics considered divine, and discusses testimony describing it as deathless and indestructible. Its indefinite character should therefore not be mistaken either for an immaterial substance or for a simple rejection of divinity. The relevant question is how these characteristics function within the explanation, rather than whether the language is exclusively philosophical or religious (McKirahan, 2011, pp. 35–36).</w:t>
      </w:r>
    </w:p>
    <w:p>
      <w:pPr>
        <w:pStyle w:val="Heading2"/>
        <w:keepNext/>
      </w:pPr>
      <w:r>
        <w:rPr>
          <w:color w:val="000000"/>
          <w:lang w:val="en-GB"/>
        </w:rPr>
        <w:t>Critical reflection on what cannot be observed</w:t>
      </w:r>
    </w:p>
    <w:p>
      <w:r>
        <w:rPr>
          <w:color w:val="000000"/>
          <w:lang w:val="en-GB"/>
        </w:rPr>
        <w:t>In my writing on God’s existence, I asked how something could be present to my thoughts and feelings without being available as a remembered physical image. This question also makes me cautious about equating what cannot be directly observed with what cannot exist. Yet the opposite inference is equally problematic: conceiving or feeling something does not, by itself, establish that it exists independently of the mind. Applied to the discussion of the apeiron, my question is what explanatory reasons support the proposal, rather than whether I can picture it. I do not identify Anaximander’s principle with my conception of God. The connection concerns the justification of a claim that reaches beyond immediately observable objects.</w:t>
      </w:r>
      <w:r>
        <w:rPr>
          <w:rStyle w:val="CommentReference"/>
          <w:color w:val="000000"/>
          <w:lang w:val="en-GB"/>
        </w:rPr>
      </w:r>
    </w:p>
    <w:p>
      <w:pPr>
        <w:pStyle w:val="Heading1"/>
        <w:keepNext/>
      </w:pPr>
      <w:r>
        <w:rPr>
          <w:color w:val="000000"/>
          <w:lang w:val="en-GB"/>
        </w:rPr>
        <w:t>3. McKirahan, R.D. (2011) Chapter 10: Heraclitus of Ephesus</w:t>
      </w:r>
    </w:p>
    <w:p>
      <w:pPr>
        <w:pStyle w:val="Heading3"/>
        <w:keepNext/>
      </w:pPr>
      <w:r>
        <w:rPr>
          <w:color w:val="000000"/>
          <w:lang w:val="en-GB"/>
        </w:rPr>
        <w:t>Reference</w:t>
      </w:r>
    </w:p>
    <w:p>
      <w:r>
        <w:rPr>
          <w:lang w:val="en-GB"/>
        </w:rPr>
        <w:t xml:space="preserve">McKirahan, R.D. (2011) “Heraclitus of Ephesus”, in </w:t>
      </w:r>
      <w:r>
        <w:rPr>
          <w:i/>
          <w:lang w:val="en-GB"/>
        </w:rPr>
        <w:t>Philosophy Before Socrates: An Introduction with Texts and Commentary</w:t>
      </w:r>
      <w:r>
        <w:rPr>
          <w:lang w:val="en-GB"/>
        </w:rPr>
        <w:t>. 2nd edn. Indianapolis: Hackett Publishing Company, pp. 112–144.</w:t>
      </w:r>
    </w:p>
    <w:p>
      <w:pPr>
        <w:pStyle w:val="Heading3"/>
        <w:keepNext/>
      </w:pPr>
      <w:r>
        <w:rPr>
          <w:color w:val="000000"/>
          <w:lang w:val="en-GB"/>
        </w:rPr>
        <w:t>Annotation</w:t>
      </w:r>
    </w:p>
    <w:p>
      <w:r>
        <w:rPr>
          <w:lang w:val="en-GB"/>
        </w:rPr>
        <w:t>The fragments translated in McKirahan’s chapter make the relation between understanding and the logos central to Heraclitus’ account. In 10.1 (DK B1), events occur in accordance with the logos even though people fail to understand it; 10.2 (DK B2) contrasts what is common with private understanding. These passages support examining a shared intelligibility that people can fail to recognise. They do not, by themselves, settle every question about the meaning of logos, so the term should not be reduced without argument to a fully specified universal rational principle (McKirahan, 2011, p. 112, texts 10.1–10.2).</w:t>
      </w:r>
    </w:p>
    <w:p>
      <w:r>
        <w:rPr>
          <w:lang w:val="en-GB"/>
        </w:rPr>
        <w:t>The criticism of polymathy sharpens this distinction. In the fragment printed as 9.2 (DK B40) and reproduced among the criticisms of predecessors, extensive learning does not ensure insight. Hesiod, Pythagoras, Xenophanes, and Hecataeus are named. This provides textual support for questioning intellectual authority and accumulation of information without concluding that learning itself has no value. The issue is whether learning produces understanding (McKirahan, 2011, p. 113, text 9.2).</w:t>
      </w:r>
    </w:p>
    <w:p>
      <w:r>
        <w:rPr>
          <w:lang w:val="en-GB"/>
        </w:rPr>
        <w:t>McKirahan’s thematic grouping helps readers compare related fragments, but an editorial sequence need not reproduce Heraclitus’ original order. Kahn offers a useful comparison: linguistic density allows one expression to convey several ideas, while resonance connects recurring words and images across fragments. He treats his own arrangement as conjectural and dispensable to these principles (Kahn, 1979, p. 89). His reading of the opening fragment preserves alternative grammatical constructions and understands logos, in the work as a whole, as the world’s enduring structure expressed in discourse (Kahn, 1979, pp. 93–94). This strengthens the case for reading fragments together without treating one translation as decisive. Yet multiple meanings still require textual justification: Kahn explicitly rejects interpretation without rules (Kahn, 1979, p. 88). My critical question is how to distinguish meaningful ambiguity from meanings supplied by an interpreter.</w:t>
      </w:r>
    </w:p>
    <w:p>
      <w:r>
        <w:rPr>
          <w:lang w:val="en-GB"/>
        </w:rPr>
        <w:t>The evidence concerning the senses requires similar care. In 10.21 (DK B107), the inadequacy of eyes and ears as witnesses is qualified by the condition of the person receiving their testimony. Read alongside the criticism of uncomprehending hearing in 10.22 (DK B34), this suggests a difficulty in interpreting experience rather than an unqualified dismissal of perception. This is a reasoned reading of the translated passages, not a claim that the wording alone settles every dispute about Heraclitus’ epistemology (McKirahan, 2011, p. 114, texts 10.21–10.22).</w:t>
      </w:r>
    </w:p>
    <w:p>
      <w:pPr>
        <w:pStyle w:val="Heading2"/>
        <w:keepNext/>
      </w:pPr>
      <w:r>
        <w:rPr>
          <w:color w:val="000000"/>
          <w:lang w:val="en-GB"/>
        </w:rPr>
        <w:t>Critical reflection on Heraclitus</w:t>
      </w:r>
    </w:p>
    <w:p>
      <w:r>
        <w:rPr>
          <w:lang w:val="en-GB"/>
        </w:rPr>
        <w:t>The river fragment joins continuity with changing waters (Kahn, 1979, p. 53, fr. L). In my own interpretation, a river also sustains and transforms surrounding life. This is my illustrative extension, rather than an ecological theory attributed to Heraclitus. The fragment prompts a question about persistence through change; it does not alone establish that stable identity is impossible. If the water changes, what justifies calling it the same river: its location, its ongoing pattern, or the name assigned by observers?</w:t>
      </w:r>
    </w:p>
    <w:p>
      <w:pPr/>
      <w:r>
        <w:rPr>
          <w:i w:val="0"/>
          <w:lang w:val="en-GB"/>
        </w:rPr>
        <w:t>Critical connection to later philosophy: Reflecting on the webinar of 19 October 2026, I connect Heraclitus’ questions with Plato’s account of knowledge. A useful question arising from McKirahan’s account is how knowledge can remain reliable if the objects of experience are continuously changing. Heraclitus’ appeal to a common logos suggests that intelligibility need not require the absence of change: rational order may be discerned within changing phenomena. Plato later offers a different account of stability through intelligible Forms. This comparison clarifies Heraclitus’ continuing epistemological relevance, but it should not be mistaken for a claim that Heraclitus himself held a Platonic theory of Forms.</w:t>
      </w:r>
    </w:p>
    <w:p>
      <w:pPr>
        <w:pStyle w:val="Heading2"/>
        <w:keepNext/>
      </w:pPr>
      <w:r>
        <w:rPr>
          <w:color w:val="000000"/>
          <w:lang w:val="en-GB"/>
        </w:rPr>
        <w:t>Critical reflection on changing identity</w:t>
      </w:r>
    </w:p>
    <w:p>
      <w:r>
        <w:rPr>
          <w:lang w:val="en-GB"/>
        </w:rPr>
        <w:t>In my reflection “Who Am I?”, I described myself through changing roles, including father, husband, painter, and student. This personal example makes the question of identity through change concrete for me. Losing or acquiring a role does not obviously make me a completely different individual. Equally, describing myself by a familiar name does not explain what makes me the same person over time. My earlier tendency to associate changing roles with the absence of permanent identity therefore needs qualification. I use this as my own application of the problem of change, rather than as evidence that Heraclitus developed a theory of professional or social identity. The question remains what kind of continuity a claim of sameness requires.</w:t>
      </w:r>
    </w:p>
    <w:p>
      <w:pPr>
        <w:pStyle w:val="Heading1"/>
        <w:keepNext/>
      </w:pPr>
      <w:r>
        <w:rPr>
          <w:color w:val="000000"/>
          <w:lang w:val="en-GB"/>
        </w:rPr>
        <w:t>4. McKirahan, R.D. (2011) Chapter 11: Parmenides of Elea</w:t>
      </w:r>
    </w:p>
    <w:p>
      <w:pPr>
        <w:pStyle w:val="Heading3"/>
        <w:keepNext/>
      </w:pPr>
      <w:r>
        <w:rPr>
          <w:color w:val="000000"/>
          <w:lang w:val="en-GB"/>
        </w:rPr>
        <w:t>Reference</w:t>
      </w:r>
    </w:p>
    <w:p>
      <w:r>
        <w:rPr>
          <w:lang w:val="en-GB"/>
        </w:rPr>
        <w:t xml:space="preserve">McKirahan, R.D. (2011) “Parmenides of Elea”, in </w:t>
      </w:r>
      <w:r>
        <w:rPr>
          <w:i/>
          <w:lang w:val="en-GB"/>
        </w:rPr>
        <w:t>Philosophy Before Socrates: An Introduction with Texts and Commentary</w:t>
      </w:r>
      <w:r>
        <w:rPr>
          <w:lang w:val="en-GB"/>
        </w:rPr>
        <w:t>. 2nd edn. Indianapolis: Hackett Publishing Company, pp. 145–173.</w:t>
      </w:r>
    </w:p>
    <w:p>
      <w:pPr>
        <w:pStyle w:val="Heading3"/>
        <w:keepNext/>
      </w:pPr>
      <w:r>
        <w:rPr>
          <w:color w:val="000000"/>
          <w:lang w:val="en-GB"/>
        </w:rPr>
        <w:t>Annotation</w:t>
      </w:r>
    </w:p>
    <w:p>
      <w:r>
        <w:rPr>
          <w:lang w:val="en-GB"/>
        </w:rPr>
        <w:t>McKirahan presents Parmenides as a turning point in philosophical method, particularly through the systematic use of deductive argument. The chapter’s significance is not simply that Parmenides reaches surprising conclusions, but that their acceptance depends on argument. This provides a specific reason for the chapter’s relevance to knowledge, reason, and reality: it asks what can justify a claim when ordinary experience appears to oppose it (McKirahan, 2011, pp. 150–151).</w:t>
      </w:r>
    </w:p>
    <w:p>
      <w:r>
        <w:rPr>
          <w:lang w:val="en-GB"/>
        </w:rPr>
        <w:t>The organisation of the poem must be distinguished from its routes of investigation. McKirahan identifies a prologue followed by Truth and Opinions of Mortals. Within his discussion of investigation, however, he distinguishes the route “is”, the route “is not”, and the route taken by mortals. He rejects identifying the third with either of the first two. Reducing his interpretation to a simple pair of truth and sensory opinion would therefore omit a distinction on which his reconstruction depends (McKirahan, 2011, pp. 152–157).</w:t>
      </w:r>
    </w:p>
    <w:p>
      <w:r>
        <w:rPr>
          <w:lang w:val="en-GB"/>
        </w:rPr>
        <w:t>His account is explicitly interpretative. McKirahan adopts an existential reading of “is”, while identifying alternative predicative and other readings. He treats what-is as standing for anything considered insofar as it is, rather than for a particular familiar object. The inquiry concerns what must be the case if something is; it is not merely an insistence on the tautology that what-is is. Stating this interpretative choice is important because the reconstruction of the subsequent arguments depends on it (McKirahan, 2011, pp. 153–156).</w:t>
      </w:r>
    </w:p>
    <w:p>
      <w:r>
        <w:rPr>
          <w:lang w:val="en-GB"/>
        </w:rPr>
        <w:t>The treatment of thought and language also requires precision. McKirahan distinguishes noein, understood as knowing or comprehending fully, from casually thinking of something. In his account of 11.8, lines 34–41, what-is functions as a necessary condition, object, and cause of thought. This is more specific than saying without qualification that thought and being are identical. It also gives no immediate licence to infer the external existence of anything merely imagined (McKirahan, 2011, pp. 155, 162).</w:t>
      </w:r>
    </w:p>
    <w:p>
      <w:r>
        <w:rPr>
          <w:lang w:val="en-GB"/>
        </w:rPr>
        <w:t>The prologue provides a further strength of the interpretation. Although a goddess announces the teaching, McKirahan argues that its claims are to be accepted through the arguments supporting them rather than simply through the authority of their speaker. He suggests that the divine presentation may express the discovery of logic’s binding power. He presents this as a suggestion, not an established report of Parmenides’ intention. The distinction makes the chapter useful for examining the relation between religious imagery and rational justification (McKirahan, 2011, pp. 152–153).</w:t>
      </w:r>
    </w:p>
    <w:p>
      <w:r>
        <w:rPr>
          <w:lang w:val="en-GB"/>
        </w:rPr>
        <w:t>A particularly valuable feature is McKirahan’s discrimination between kinds of support. In discussing 11.8, lines 6–21, he reconstructs arguments against generation from what-is-not, including an appeal to sufficient reason. Yet he notes that these arguments do not by themselves address ordinary cases of coming to be described as changes among existing things. That qualification prevents the summary claim that every familiar change has already been refuted at this stage (McKirahan, 2011, pp. 159–160).</w:t>
      </w:r>
    </w:p>
    <w:p>
      <w:pPr>
        <w:pStyle w:val="Heading2"/>
        <w:keepNext/>
      </w:pPr>
      <w:r>
        <w:rPr>
          <w:lang w:val="en-GB"/>
        </w:rPr>
        <w:t>Further critical discussion</w:t>
      </w:r>
    </w:p>
    <w:p>
      <w:r>
        <w:rPr>
          <w:lang w:val="en-GB"/>
        </w:rPr>
        <w:t>McKirahan also qualifies familiar claims about motionlessness and changelessness. In his discussion of 11.8, lines 29–31, the language of necessity and bonds constrains what-is from departing from its nature. He explicitly denies that immobility, changelessness, and uniqueness are proved in those lines. An annotation must therefore distinguish the attributes traditionally associated with Parmenides from what a particular passage actually demonstrates (McKirahan, 2011, p. 161).</w:t>
      </w:r>
    </w:p>
    <w:p>
      <w:r>
        <w:rPr>
          <w:lang w:val="en-GB"/>
        </w:rPr>
        <w:t>The distinction also affects the meaning of necessity. McKirahan does not treat the necessity in that passage as merely the logical relation between premises and conclusion. He interprets the image through constraint and limits. Similarly, he reads the spatial language associated with the well-rounded sphere metaphorically, as conveying completeness rather than establishing a spherical object. This illustrates how philosophical reconstruction depends on decisions about imagery as well as formal inference (McKirahan, 2011, pp. 161, 163).</w:t>
      </w:r>
    </w:p>
    <w:p>
      <w:r>
        <w:rPr>
          <w:color w:val="000000"/>
          <w:lang w:val="en-GB"/>
        </w:rPr>
        <w:t>These interpretative decisions offer a concrete basis for evaluating the chapter. Its strength is that it identifies alternatives and states which reading guides the discussion. Its conclusions remain open to scrutiny because explanatory coherence alone cannot establish that one reading is historically correct. My critical question is whether the existential interpretation and metaphorical readings account for the relevant passages better than their alternatives. Answering that requires comparison with the text, not simply agreement with the reconstructed conclusion.</w:t>
      </w:r>
    </w:p>
    <w:p>
      <w:r>
        <w:rPr>
          <w:color w:val="000000"/>
          <w:lang w:val="en-GB"/>
        </w:rPr>
        <w:t>For knowledge, reason, and reality, the chapter’s contribution lies in making justification itself a problem. A deductive conclusion is guaranteed only if the inference is valid and its premises are true. The challenge for the reader is therefore to examine the premises, the interpretation of “is”, and the role of the poem’s imagery, rather than accept rational necessity as an independent guarantee of every claim made in its name.</w:t>
      </w:r>
    </w:p>
    <w:p>
      <w:pPr/>
      <w:r>
        <w:rPr>
          <w:i w:val="0"/>
          <w:color w:val="000000"/>
          <w:lang w:val="en-GB"/>
        </w:rPr>
        <w:t>Critical connection to later philosophy: The discussion of Plato in the webinar of 19 October 2026 makes Parmenides’ challenge especially clear: what would justify privileging rational necessity over appearances that seem to reveal movement and plurality? Parmenides’ argument cannot simply be identified with Plato’s distinction between sensible particulars and intelligible Forms, yet it helps explain why later philosophers sought a stable object of knowledge. The central unresolved question is whether rational coherence alone warrants rejecting the testimony of perception. This is a critical question raised by the reading of Parmenides, rather than a conclusion established by the webinar itself.</w:t>
      </w:r>
      <w:r>
        <w:rPr>
          <w:rStyle w:val="CommentReference"/>
          <w:i w:val="0"/>
          <w:color w:val="000000"/>
          <w:lang w:val="en-GB"/>
        </w:rPr>
      </w:r>
    </w:p>
    <w:p>
      <w:pPr>
        <w:pStyle w:val="Heading2"/>
        <w:keepNext/>
      </w:pPr>
      <w:r>
        <w:rPr>
          <w:color w:val="000000"/>
          <w:lang w:val="en-GB"/>
        </w:rPr>
        <w:t>Critical reflection on permanence and classification</w:t>
      </w:r>
    </w:p>
    <w:p>
      <w:r>
        <w:rPr>
          <w:lang w:val="en-GB"/>
        </w:rPr>
        <w:t>In my reflection “Being, Its Origin and Form”, I argued that a stone can undergo weathering while remaining a stone, and suggested that changing characteristics need not abolish an underlying essence. This contrasts with the emphasis on changing identity in my reflection “Who Am I?”, which emphasises changing roles. The two reflections may address different kinds of sameness, but they cannot simply be treated as equivalent claims. Continuing to classify an object as a stone does not establish that it has an immutable essence. Nor does persistence through some changes demonstrate the impossibility of every change. My example is therefore a question to bring to the discussion of Parmenides, rather than a proof of his conclusions. It helps me ask whether permanence concerns a name, a classification, a continuing object, or being itself.</w:t>
      </w:r>
    </w:p>
    <w:p>
      <w:pPr>
        <w:pStyle w:val="Heading1"/>
        <w:keepNext/>
      </w:pPr>
      <w:r>
        <w:rPr>
          <w:color w:val="000000"/>
          <w:lang w:val="en-GB"/>
        </w:rPr>
        <w:t>5. Popper, K.R. (2012) Essay 4 How the Moon Might Throw Some of Her Light upon the Two Ways of Parmenides</w:t>
      </w:r>
    </w:p>
    <w:p>
      <w:r>
        <w:rPr>
          <w:lang w:val="en-GB"/>
        </w:rPr>
        <w:t xml:space="preserve">Popper, K.R. (2012) ‘How the Moon Might Throw Some of Her Light upon the Two Ways of Parmenides (1989)’, in </w:t>
      </w:r>
      <w:r>
        <w:rPr>
          <w:i/>
          <w:lang w:val="en-GB"/>
        </w:rPr>
        <w:t>The World of Parmenides: Essays on the Presocratic Enlightenment</w:t>
      </w:r>
      <w:r>
        <w:rPr>
          <w:lang w:val="en-GB"/>
        </w:rPr>
        <w:t>. Routledge, pp. 89–109.</w:t>
      </w:r>
    </w:p>
    <w:p>
      <w:pPr>
        <w:pStyle w:val="Heading2"/>
        <w:keepNext/>
      </w:pPr>
      <w:r>
        <w:rPr>
          <w:color w:val="000000"/>
          <w:lang w:val="en-GB"/>
        </w:rPr>
        <w:t>Annotation and critical evaluation</w:t>
      </w:r>
    </w:p>
    <w:p>
      <w:r>
        <w:rPr>
          <w:color w:val="000000"/>
          <w:lang w:val="en-GB"/>
        </w:rPr>
        <w:t>Popper investigates how Parmenides could contribute to astronomical inquiry while defending an account of reality that rejects movement and change. His opening problems concern the apparent conflict between empirical discovery and opposition to sense experience, together with the historical intelligibility of such a radical position (Popper, 2012, pp. 90–94). The essay therefore addresses a particular interpretative problem rather than merely praising the Presocratics as pioneers of criticism.</w:t>
      </w:r>
    </w:p>
    <w:p>
      <w:r>
        <w:rPr>
          <w:color w:val="000000"/>
          <w:lang w:val="en-GB"/>
        </w:rPr>
        <w:t>His proposed explanation centres on the Moon. Its changing appearance need not mean that the spherical body itself grows and diminishes. Popper suggests that recognising the distinction between the body and its illumination could have encouraged Parmenides to distrust appearances more generally. Observation contributes to the discovery, but reasoning distinguishes apparent bodily transformation from changing illumination (Popper, 2012, p. 96). On this reconstruction, an astronomical insight becomes the basis for a much broader claim about the unreality of change.</w:t>
      </w:r>
    </w:p>
    <w:p>
      <w:r>
        <w:rPr>
          <w:color w:val="000000"/>
          <w:lang w:val="en-GB"/>
        </w:rPr>
        <w:t>A strength of the essay is that it connects an epistemological problem with a concrete explanatory example. It also invites a precise objection: showing that one apparent change is misleading does not establish that all change is unreal. Popper does not conceal the conjectural step. He explicitly relies on a psychological assumption about the tendency to generalise a discovery, and acknowledges that attributing this tendency to Parmenides involves guesswork (Popper, 2012, pp. 94–95). The explanatory coherence of the reconstruction should therefore be distinguished from proof that Parmenides actually reasoned in this way.</w:t>
      </w:r>
    </w:p>
    <w:p>
      <w:r>
        <w:rPr>
          <w:color w:val="000000"/>
          <w:lang w:val="en-GB"/>
        </w:rPr>
        <w:t>The essay is also valuable for exposing how textual choices affect philosophical interpretation. Popper challenges an earlier translation of fragment B16 and proposes a different placement of the fragment within the poem (Popper, 2012, pp. 100–101). This provides a concrete example of interpretative disagreement, although his criticism alone cannot establish the superiority of his translation. The relevant Greek and the competing contextual arguments would need examination before reaching that judgement.</w:t>
      </w:r>
    </w:p>
    <w:p>
      <w:r>
        <w:rPr>
          <w:color w:val="000000"/>
          <w:lang w:val="en-GB"/>
        </w:rPr>
        <w:t>A further limitation concerns the relation between the two parts of the poem. Popper acknowledges that his preferred account depends on the interpretation of a particular word. His addendum considers a conjectural emendation that would alter the relation between truth and mortal opinion (Popper, 2012, pp. 102, 105–108). This openness strengthens the transparency of the discussion while also revealing how much the larger interpretation depends on uncertain textual decisions.</w:t>
      </w:r>
    </w:p>
    <w:p>
      <w:r>
        <w:rPr>
          <w:color w:val="000000"/>
          <w:lang w:val="en-GB"/>
        </w:rPr>
        <w:t>For my own inquiry, the lunar example sharpens the question of whether reason and experience are competitors or collaborators. An appearance can be misleading about a body’s shape without being worthless as evidence. The distinction between changing appearance and underlying structure therefore requires an argument, rather than a general rejection of perception. Popper’s essay is useful because it makes that problem visible and supplies an interpretation that can itself be questioned. I regard it as a productive hypothesis about Parmenides, whose historical and textual justification remains open to criticism.</w:t>
      </w:r>
    </w:p>
    <w:p>
      <w:pPr>
        <w:pStyle w:val="Heading2"/>
        <w:keepNext/>
      </w:pPr>
      <w:r>
        <w:rPr>
          <w:color w:val="000000"/>
          <w:lang w:val="en-GB"/>
        </w:rPr>
        <w:t>Critical reflection on experience and justification</w:t>
      </w:r>
    </w:p>
    <w:p>
      <w:r>
        <w:rPr>
          <w:color w:val="000000"/>
          <w:lang w:val="en-GB"/>
        </w:rPr>
        <w:t>My account of the tree and its shadow was intended to express how faith can be meaningful even without a physical memory of God. Reading Popper’s lunar example makes me reconsider the relation between such an image and an argument. An analogy may clarify an experience without demonstrating the existence of what the analogy represents. Likewise, correcting a mistaken interpretation of a visible appearance does not require dismissing every perception. What matters is how a proposed explanation is tested and what follows from its premises. I therefore distinguish the personal significance of my religious experience from a philosophical demonstration that others should accept. This distinction preserves the experience while leaving its interpretation open to examination.</w:t>
      </w:r>
      <w:r>
        <w:rPr>
          <w:rStyle w:val="CommentReference"/>
          <w:color w:val="000000"/>
          <w:lang w:val="en-GB"/>
        </w:rPr>
      </w:r>
    </w:p>
    <w:p>
      <w:pPr>
        <w:pStyle w:val="Heading1"/>
        <w:keepNext/>
      </w:pPr>
      <w:r>
        <w:rPr>
          <w:color w:val="000000"/>
          <w:lang w:val="en-GB"/>
        </w:rPr>
        <w:t>Conclusion</w:t>
      </w:r>
    </w:p>
    <w:p>
      <w:r>
        <w:rPr>
          <w:color w:val="000000"/>
          <w:lang w:val="en-GB"/>
        </w:rPr>
        <w:t>These five annotated readings examine different ways of relating knowledge, reason, and reality. The Milesian chapters raise questions about explanatory principles; the discussion of Heraclitus connects change with intelligibility; Parmenides challenges the authority of appearances; and Popper proposes an interpretation linking astronomical discovery with the rejection of change. Their value lies both in the philosophical problems they address and in the methods through which surviving evidence is interpreted.</w:t>
      </w:r>
    </w:p>
    <w:p>
      <w:r>
        <w:rPr>
          <w:color w:val="000000"/>
          <w:lang w:val="en-GB"/>
        </w:rPr>
        <w:t>My own writings bring a further question to these readings: what persists when appearances, roles, or characteristics change? My reflections on identity and essence offer different starting points rather than a settled answer. They also reveal a need to distinguish personal conviction, conceptual possibility, and a conclusion supported by evidence. An analogy can illuminate a problem without proving its solution. For that reason, I regard critical inquiry as requiring both attention to the source and willingness to reconsider my own assumptions. The contribution of each reading should be judged by the understanding it enables, the evidence supporting its interpretation, and the questions it leaves unresolved.</w:t>
      </w:r>
    </w:p>
    <w:p>
      <w:pPr>
        <w:pStyle w:val="Heading1"/>
        <w:keepNext/>
      </w:pPr>
      <w:r>
        <w:rPr>
          <w:color w:val="000000"/>
          <w:lang w:val="en-GB"/>
        </w:rPr>
        <w:t>References</w:t>
      </w:r>
    </w:p>
    <w:p>
      <w:pPr>
        <w:keepNext/>
      </w:pPr>
      <w:r>
        <w:rPr>
          <w:lang w:val="en-GB"/>
        </w:rPr>
        <w:t xml:space="preserve">Kahn, C.H. (1979) </w:t>
      </w:r>
      <w:r>
        <w:rPr>
          <w:i/>
          <w:lang w:val="en-GB"/>
        </w:rPr>
        <w:t>The Art and Thought of Heraclitus: A New Arrangement and Translation of the Fragments with Literary and Philosophical Commentary</w:t>
      </w:r>
      <w:r>
        <w:rPr>
          <w:lang w:val="en-GB"/>
        </w:rPr>
        <w:t>. Cambridge: Cambridge University Press.</w:t>
      </w:r>
    </w:p>
    <w:p>
      <w:pPr>
        <w:keepNext/>
      </w:pPr>
      <w:r>
        <w:rPr>
          <w:lang w:val="en-GB"/>
        </w:rPr>
        <w:t xml:space="preserve">McKirahan, R.D. (2011) </w:t>
      </w:r>
      <w:r>
        <w:rPr>
          <w:i/>
          <w:lang w:val="en-GB"/>
        </w:rPr>
        <w:t>Philosophy Before Socrates: An Introduction with Texts and Commentary</w:t>
      </w:r>
      <w:r>
        <w:rPr>
          <w:lang w:val="en-GB"/>
        </w:rPr>
        <w:t>. 2nd edn. Indianapolis: Hackett Publishing Company.</w:t>
      </w:r>
    </w:p>
    <w:p>
      <w:r>
        <w:rPr>
          <w:lang w:val="en-GB"/>
        </w:rPr>
        <w:t xml:space="preserve">Popper, K.R. (2012) ‘How the Moon Might Throw Some of Her Light upon the Two Ways of Parmenides (1989)’, in </w:t>
      </w:r>
      <w:r>
        <w:rPr>
          <w:i/>
          <w:lang w:val="en-GB"/>
        </w:rPr>
        <w:t>The World of Parmenides: Essays on the Presocratic Enlightenment</w:t>
      </w:r>
      <w:r>
        <w:rPr>
          <w:lang w:val="en-GB"/>
        </w:rPr>
        <w:t>. Routledge, pp. 89–109.</w:t>
      </w:r>
    </w:p>
    <w:sectPr w:rsidR="00FC693F" w:rsidRPr="0006063C" w:rsidSect="00034616">
      <w:footerReference w:type="default" r:id="rId10"/>
      <w:pgSz w:w="12240" w:h="15840"/>
      <w:pgMar w:top="1224" w:right="1800" w:bottom="1224"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fldSimple w:instr="PAGE"/>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40" w:line="276" w:lineRule="auto"/>
    </w:pPr>
    <w:rPr>
      <w:rFonts w:ascii="Times New Roman" w:hAnsi="Times New Roman"/>
      <w:color w:val="000000"/>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Times New Roman" w:hAnsi="Times New Roman"/>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Times New Roman" w:hAnsi="Times New Roman"/>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000000"/>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000000"/>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000000"/>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ascii="Times New Roman" w:hAnsi="Times New Roman"/>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000000"/>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Annotated Bibliography</dc:title>
  <dc:subject/>
  <dc:creator>Welton Raimundo</dc:creator>
  <cp:keywords/>
  <dc:description>generated by python-docx</dc:description>
  <cp:lastModifiedBy/>
  <cp:revision>1</cp:revision>
  <dcterms:created xsi:type="dcterms:W3CDTF">2013-12-23T23:15:00Z</dcterms:created>
  <dcterms:modified xsi:type="dcterms:W3CDTF">2013-12-23T23:15:00Z</dcterms:modified>
  <cp:category/>
</cp:coreProperties>
</file>