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01558" w14:textId="77777777" w:rsidR="007144CC" w:rsidRPr="00061B56" w:rsidRDefault="007144CC" w:rsidP="007144CC">
      <w:pPr>
        <w:jc w:val="center"/>
        <w:rPr>
          <w:b/>
          <w:bCs/>
          <w:sz w:val="28"/>
          <w:szCs w:val="28"/>
          <w:bdr w:val="none" w:sz="0" w:space="0" w:color="auto" w:frame="1"/>
          <w:shd w:val="clear" w:color="auto" w:fill="FFFFFF"/>
        </w:rPr>
      </w:pPr>
      <w:bookmarkStart w:id="0" w:name="_Hlk141807555"/>
      <w:r w:rsidRPr="00061B56">
        <w:rPr>
          <w:b/>
          <w:bCs/>
          <w:sz w:val="28"/>
          <w:szCs w:val="28"/>
          <w:bdr w:val="none" w:sz="0" w:space="0" w:color="auto" w:frame="1"/>
          <w:shd w:val="clear" w:color="auto" w:fill="FFFFFF"/>
        </w:rPr>
        <w:t>Nexus between the Carbon emission reduction</w:t>
      </w:r>
      <w:r w:rsidRPr="00061B56">
        <w:t xml:space="preserve"> </w:t>
      </w:r>
      <w:r w:rsidRPr="00061B56">
        <w:rPr>
          <w:b/>
          <w:bCs/>
          <w:sz w:val="28"/>
          <w:szCs w:val="28"/>
          <w:bdr w:val="none" w:sz="0" w:space="0" w:color="auto" w:frame="1"/>
          <w:shd w:val="clear" w:color="auto" w:fill="FFFFFF"/>
        </w:rPr>
        <w:t>and entrepreneurial energy efficiency: The mediating role of barriers to green practices</w:t>
      </w:r>
    </w:p>
    <w:bookmarkEnd w:id="0"/>
    <w:p w14:paraId="055FA09F" w14:textId="77777777" w:rsidR="007144CC" w:rsidRPr="00061B56" w:rsidRDefault="007144CC" w:rsidP="007144CC">
      <w:pPr>
        <w:rPr>
          <w:rFonts w:ascii="Times New Roman" w:hAnsi="Times New Roman" w:cs="Times New Roman"/>
          <w:b/>
        </w:rPr>
      </w:pPr>
    </w:p>
    <w:p w14:paraId="40A1AA76" w14:textId="77777777" w:rsidR="007144CC" w:rsidRPr="00061B56" w:rsidRDefault="007144CC" w:rsidP="007144CC">
      <w:pPr>
        <w:jc w:val="both"/>
        <w:rPr>
          <w:rFonts w:cstheme="minorHAnsi"/>
          <w:b/>
          <w:sz w:val="24"/>
          <w:szCs w:val="24"/>
        </w:rPr>
      </w:pPr>
      <w:r w:rsidRPr="00061B56">
        <w:rPr>
          <w:rFonts w:cstheme="minorHAnsi"/>
          <w:b/>
          <w:sz w:val="24"/>
          <w:szCs w:val="24"/>
        </w:rPr>
        <w:t>Abstract</w:t>
      </w:r>
    </w:p>
    <w:p w14:paraId="15153B46" w14:textId="77777777" w:rsidR="007144CC" w:rsidRPr="00061B56" w:rsidRDefault="007144CC" w:rsidP="007144CC">
      <w:pPr>
        <w:spacing w:line="360" w:lineRule="auto"/>
        <w:jc w:val="both"/>
        <w:rPr>
          <w:rFonts w:cstheme="minorHAnsi"/>
          <w:bCs/>
          <w:sz w:val="24"/>
          <w:szCs w:val="24"/>
        </w:rPr>
      </w:pPr>
      <w:bookmarkStart w:id="1" w:name="_Hlk141882507"/>
      <w:r w:rsidRPr="00061B56">
        <w:rPr>
          <w:rFonts w:cstheme="minorHAnsi"/>
          <w:bCs/>
          <w:sz w:val="24"/>
          <w:szCs w:val="24"/>
        </w:rPr>
        <w:t>Motivated by the growing attention to climate change and the crucial role businesses could play in reducing greenhouse gas emissions, this study investigates entrepreneurial energy efficiency orientation in the context of carbon emission reduction initiatives of small and medium-sized enterprises (SMEs). We enhance the understanding of climate change action of SMEs by considering the mediating mechanism (i.e., identifying barriers to green practices) through which firm entrepreneurial energy efficiency orientation leads to superior carbon emission reduction initiatives. .</w:t>
      </w:r>
      <w:r w:rsidRPr="00061B56">
        <w:t xml:space="preserve"> </w:t>
      </w:r>
      <w:r w:rsidRPr="00061B56">
        <w:rPr>
          <w:rFonts w:cstheme="minorHAnsi"/>
          <w:bCs/>
          <w:sz w:val="24"/>
          <w:szCs w:val="24"/>
        </w:rPr>
        <w:t>Using survey data from 224 SMEs in the Greater Accra Region of Ghana, the findings reveal that entrepreneurial energy efficiency orientation positively influences firms’ ability to identify and address barriers to green practices. Furthermore, the results indicate that the identification of barriers to green practices mediates the relationship between entrepreneurial energy efficiency orientation and carbon emission reduction initiatives. These findings highlight the importance of entrepreneurial orientation toward energy efficiency and proactive identification of green barriers in enabling SMEs to overcome sustainability challenges and enhance their carbon emission reduction initiatives.</w:t>
      </w:r>
    </w:p>
    <w:bookmarkEnd w:id="1"/>
    <w:p w14:paraId="6A8FAE11" w14:textId="77777777" w:rsidR="007144CC" w:rsidRPr="00061B56" w:rsidRDefault="007144CC" w:rsidP="007144CC">
      <w:pPr>
        <w:spacing w:line="360" w:lineRule="auto"/>
        <w:jc w:val="both"/>
        <w:rPr>
          <w:rFonts w:cstheme="minorHAnsi"/>
          <w:bCs/>
          <w:sz w:val="24"/>
          <w:szCs w:val="24"/>
        </w:rPr>
      </w:pPr>
    </w:p>
    <w:p w14:paraId="2515A083" w14:textId="77777777" w:rsidR="007144CC" w:rsidRPr="00061B56" w:rsidRDefault="007144CC" w:rsidP="007144CC">
      <w:pPr>
        <w:spacing w:line="360" w:lineRule="auto"/>
        <w:jc w:val="both"/>
        <w:rPr>
          <w:rFonts w:cstheme="minorHAnsi"/>
          <w:bCs/>
          <w:sz w:val="24"/>
          <w:szCs w:val="24"/>
        </w:rPr>
      </w:pPr>
      <w:r w:rsidRPr="00061B56">
        <w:rPr>
          <w:rFonts w:cstheme="minorHAnsi"/>
          <w:b/>
          <w:sz w:val="24"/>
          <w:szCs w:val="24"/>
        </w:rPr>
        <w:t>Keywords:</w:t>
      </w:r>
      <w:r w:rsidRPr="00061B56">
        <w:t xml:space="preserve"> </w:t>
      </w:r>
      <w:bookmarkStart w:id="2" w:name="_Hlk141882465"/>
      <w:r w:rsidRPr="00061B56">
        <w:t xml:space="preserve">Carbon emission reduction, </w:t>
      </w:r>
      <w:r w:rsidRPr="00061B56">
        <w:rPr>
          <w:rFonts w:cstheme="minorHAnsi"/>
          <w:bCs/>
          <w:sz w:val="24"/>
          <w:szCs w:val="24"/>
        </w:rPr>
        <w:t xml:space="preserve"> energy efficiency orientation, green barriers, green planning, environmental policy  and  green innovation</w:t>
      </w:r>
      <w:bookmarkEnd w:id="2"/>
    </w:p>
    <w:p w14:paraId="49BB8F5D" w14:textId="77777777" w:rsidR="007144CC" w:rsidRPr="00061B56" w:rsidRDefault="007144CC" w:rsidP="007144CC">
      <w:pPr>
        <w:jc w:val="both"/>
        <w:rPr>
          <w:rFonts w:ascii="Times New Roman" w:hAnsi="Times New Roman" w:cs="Times New Roman"/>
          <w:b/>
        </w:rPr>
      </w:pPr>
    </w:p>
    <w:p w14:paraId="3B77D174" w14:textId="77777777" w:rsidR="007144CC" w:rsidRPr="00061B56" w:rsidRDefault="007144CC" w:rsidP="007144CC">
      <w:pPr>
        <w:jc w:val="both"/>
        <w:rPr>
          <w:rFonts w:ascii="Times New Roman" w:hAnsi="Times New Roman" w:cs="Times New Roman"/>
          <w:b/>
        </w:rPr>
      </w:pPr>
    </w:p>
    <w:p w14:paraId="128427BF" w14:textId="77777777" w:rsidR="007144CC" w:rsidRPr="00061B56" w:rsidRDefault="007144CC" w:rsidP="007144CC">
      <w:pPr>
        <w:jc w:val="both"/>
        <w:rPr>
          <w:rFonts w:ascii="Times New Roman" w:hAnsi="Times New Roman" w:cs="Times New Roman"/>
          <w:b/>
        </w:rPr>
      </w:pPr>
    </w:p>
    <w:p w14:paraId="52A4AE05" w14:textId="77777777" w:rsidR="007144CC" w:rsidRPr="00061B56" w:rsidRDefault="007144CC" w:rsidP="007144CC">
      <w:pPr>
        <w:jc w:val="both"/>
        <w:rPr>
          <w:rFonts w:ascii="Times New Roman" w:hAnsi="Times New Roman" w:cs="Times New Roman"/>
          <w:b/>
        </w:rPr>
      </w:pPr>
    </w:p>
    <w:p w14:paraId="3F721BFA" w14:textId="77777777" w:rsidR="007144CC" w:rsidRPr="00061B56" w:rsidRDefault="007144CC" w:rsidP="007144CC">
      <w:pPr>
        <w:jc w:val="both"/>
        <w:rPr>
          <w:rFonts w:ascii="Times New Roman" w:hAnsi="Times New Roman" w:cs="Times New Roman"/>
          <w:b/>
        </w:rPr>
      </w:pPr>
    </w:p>
    <w:p w14:paraId="277D2BF3" w14:textId="77777777" w:rsidR="007144CC" w:rsidRPr="00061B56" w:rsidRDefault="007144CC" w:rsidP="007144CC">
      <w:pPr>
        <w:jc w:val="both"/>
        <w:rPr>
          <w:rFonts w:ascii="Times New Roman" w:hAnsi="Times New Roman" w:cs="Times New Roman"/>
          <w:b/>
        </w:rPr>
      </w:pPr>
    </w:p>
    <w:p w14:paraId="468B7BD1" w14:textId="77777777" w:rsidR="007144CC" w:rsidRPr="00061B56" w:rsidRDefault="007144CC" w:rsidP="007144CC">
      <w:pPr>
        <w:jc w:val="both"/>
        <w:rPr>
          <w:rFonts w:ascii="Times New Roman" w:hAnsi="Times New Roman" w:cs="Times New Roman"/>
          <w:b/>
        </w:rPr>
      </w:pPr>
    </w:p>
    <w:p w14:paraId="2D238945" w14:textId="77777777" w:rsidR="007144CC" w:rsidRPr="00061B56" w:rsidRDefault="007144CC" w:rsidP="007144CC">
      <w:pPr>
        <w:jc w:val="both"/>
        <w:rPr>
          <w:rFonts w:ascii="Times New Roman" w:hAnsi="Times New Roman" w:cs="Times New Roman"/>
          <w:b/>
        </w:rPr>
      </w:pPr>
    </w:p>
    <w:p w14:paraId="7EAB33D7" w14:textId="77777777" w:rsidR="007144CC" w:rsidRPr="00061B56" w:rsidRDefault="007144CC" w:rsidP="007144CC">
      <w:pPr>
        <w:jc w:val="both"/>
        <w:rPr>
          <w:rFonts w:ascii="Times New Roman" w:hAnsi="Times New Roman" w:cs="Times New Roman"/>
          <w:b/>
        </w:rPr>
      </w:pPr>
    </w:p>
    <w:p w14:paraId="08F0C41B" w14:textId="77777777" w:rsidR="007144CC" w:rsidRPr="00061B56" w:rsidRDefault="007144CC" w:rsidP="007144CC">
      <w:pPr>
        <w:jc w:val="both"/>
        <w:rPr>
          <w:rFonts w:cstheme="minorHAnsi"/>
          <w:b/>
          <w:sz w:val="24"/>
          <w:szCs w:val="24"/>
        </w:rPr>
      </w:pPr>
      <w:r w:rsidRPr="00061B56">
        <w:rPr>
          <w:rFonts w:cstheme="minorHAnsi"/>
          <w:b/>
          <w:sz w:val="24"/>
          <w:szCs w:val="24"/>
        </w:rPr>
        <w:lastRenderedPageBreak/>
        <w:t>Introduction</w:t>
      </w:r>
    </w:p>
    <w:p w14:paraId="17A0032C"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Global climate change resulting from greenhouse gas (GHG) emissions is currently a </w:t>
      </w:r>
      <w:commentRangeStart w:id="3"/>
      <w:r w:rsidRPr="00061B56">
        <w:rPr>
          <w:rFonts w:cstheme="minorHAnsi"/>
          <w:bCs/>
          <w:sz w:val="24"/>
          <w:szCs w:val="24"/>
        </w:rPr>
        <w:t>top</w:t>
      </w:r>
      <w:commentRangeEnd w:id="3"/>
      <w:r w:rsidRPr="00061B56">
        <w:rPr>
          <w:rStyle w:val="CommentReference"/>
          <w:rFonts w:cstheme="minorHAnsi"/>
          <w:bCs/>
          <w:sz w:val="24"/>
          <w:szCs w:val="24"/>
        </w:rPr>
        <w:commentReference w:id="3"/>
      </w:r>
      <w:r w:rsidRPr="00061B56">
        <w:rPr>
          <w:rFonts w:cstheme="minorHAnsi"/>
          <w:bCs/>
          <w:sz w:val="24"/>
          <w:szCs w:val="24"/>
        </w:rPr>
        <w:t xml:space="preserve"> concern for businesses, governments, and other stakeholders (Orazalin et al., 2023; Adu, 2022). Over the past two decades, climate change has also received increasing attention from academics, professionals, regulators and environmental activists (Adu et al., 2022a; Haque &amp; Ntim, 2020) and has assumed a leading spot in business, political, and economic agenda (Orazalin et al., 2023). </w:t>
      </w:r>
    </w:p>
    <w:p w14:paraId="70A66DC6"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Small and medium sized enterprises (SMEs) make up the bulk of businesses worldwide (Organisation for Economic Co-operation and Development (OECD), </w:t>
      </w:r>
      <w:commentRangeStart w:id="4"/>
      <w:r w:rsidRPr="00061B56">
        <w:rPr>
          <w:rFonts w:cstheme="minorHAnsi"/>
          <w:bCs/>
          <w:sz w:val="24"/>
          <w:szCs w:val="24"/>
        </w:rPr>
        <w:t>2017</w:t>
      </w:r>
      <w:commentRangeEnd w:id="4"/>
      <w:r w:rsidR="00BA109D" w:rsidRPr="00061B56">
        <w:rPr>
          <w:rStyle w:val="CommentReference"/>
          <w:rFonts w:cstheme="minorHAnsi"/>
          <w:bCs/>
          <w:sz w:val="24"/>
          <w:szCs w:val="24"/>
        </w:rPr>
        <w:commentReference w:id="4"/>
      </w:r>
      <w:r w:rsidRPr="00061B56">
        <w:rPr>
          <w:rFonts w:cstheme="minorHAnsi"/>
          <w:bCs/>
          <w:sz w:val="24"/>
          <w:szCs w:val="24"/>
        </w:rPr>
        <w:t>). SMEs represent 99% of all enterprises and generated an average of 70% of jobs in 2015 in the European Union, accounting for 45% of total employment (OECD, 2017).</w:t>
      </w:r>
      <w:r w:rsidRPr="00061B56">
        <w:t xml:space="preserve"> </w:t>
      </w:r>
      <w:r w:rsidRPr="00061B56">
        <w:rPr>
          <w:rFonts w:cstheme="minorHAnsi"/>
          <w:bCs/>
          <w:sz w:val="24"/>
          <w:szCs w:val="24"/>
        </w:rPr>
        <w:t xml:space="preserve">SMEs play a significant role in Ghana's economy (Sasu, 2022). Furthermore, SMEs account for about 60% of the nation's GDP and about 80% of all employment in Ghana (Sasu, 2022). Although the studies on SMEs' management and economics have received much attention, little is known about how these businesses behave regarding the transition towards low GHG emissions (Bartolacci et al., 2020). In particular, SMEs have not previously featured prominently in public policy discourses on the GHG emission reduction agenda despite the sector's potential to contribute to driving down GHG emissions (e.g., Barrett et al., 2018). Considering the GHG emissions of SMEs in policy discourses is pertinent because about 60% of all GHG emissions and 70% of global pollution are attributed to SMEs (European  Commission,  2010; Parker et al., 2009). </w:t>
      </w:r>
    </w:p>
    <w:p w14:paraId="3BCE2703"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Scholarly interest in entrepreneurial orientation (EO) has steadily grown over the past 30 years (Covin &amp; Wales, 2019).</w:t>
      </w:r>
      <w:r w:rsidRPr="00061B56">
        <w:t xml:space="preserve"> </w:t>
      </w:r>
      <w:r w:rsidRPr="00061B56">
        <w:rPr>
          <w:rFonts w:cstheme="minorHAnsi"/>
          <w:bCs/>
          <w:sz w:val="24"/>
          <w:szCs w:val="24"/>
        </w:rPr>
        <w:t xml:space="preserve">EO is defined as the willpower to innovate, take risks, and have a proactive attitude regarding marketplace opportunities (Frank et al., 2010; Rauch et al., 2009; Wiklund &amp; Shepherd, 2005). In this context, entrepreneurial energy efficiency orientation (EEEO) has gained momentum, mainly due to rising energy bills and climate change initiatives across the globe. EEEO, refers to the strategic posture of a firm regarding decision-making activities and initiatives that result in a substantial reduction in energy usage. In this regard, EEEO plays a vital role because engaging in energy efficient operations requires an entirely different outlook and a business model that improves the ability of the firm to make a paradigm shift in its operations. At the same </w:t>
      </w:r>
      <w:r w:rsidRPr="00061B56">
        <w:rPr>
          <w:rFonts w:cstheme="minorHAnsi"/>
          <w:bCs/>
          <w:sz w:val="24"/>
          <w:szCs w:val="24"/>
        </w:rPr>
        <w:lastRenderedPageBreak/>
        <w:t xml:space="preserve">time, carbon emission reduction (CER) among SMEs continues to attract the attention of academics and policymakers due to the acceleration of climate change (Adu, 2022).  </w:t>
      </w:r>
    </w:p>
    <w:p w14:paraId="6EBB6F16" w14:textId="77777777" w:rsidR="007144CC" w:rsidRPr="00061B56" w:rsidRDefault="007144CC" w:rsidP="007144CC">
      <w:pPr>
        <w:spacing w:line="360" w:lineRule="auto"/>
        <w:jc w:val="both"/>
        <w:rPr>
          <w:rFonts w:cstheme="minorHAnsi"/>
          <w:bCs/>
          <w:color w:val="FF0000"/>
          <w:sz w:val="24"/>
          <w:szCs w:val="24"/>
        </w:rPr>
      </w:pPr>
      <w:r w:rsidRPr="00061B56">
        <w:rPr>
          <w:rFonts w:cstheme="minorHAnsi"/>
          <w:bCs/>
          <w:sz w:val="24"/>
          <w:szCs w:val="24"/>
        </w:rPr>
        <w:t xml:space="preserve">        Gaps exist in the literature on the impact of EEEO on CER. A larger percentage of the previous literature has examined barriers to green practices among SMEs (Gupta &amp; Barua, 2018; Mangla et al., 2017; Longoni et al., 2014; Mathiyazhagan et al., 2013; Horbach et al., 2012; Mudgal et al., 2010; Runhaar et al., 2008), without exploring mechanisms that may help the firms to overcome these barriers. This has limited our understanding of how SMEs may contribute towards combating climate change through GHG emission reduction initiatives. At the same time, whereas the prior literature has examined the impact of EO on various organisational outcomes such as international performance (e.g., Karami &amp; Tang, 2019;</w:t>
      </w:r>
      <w:r w:rsidRPr="00061B56">
        <w:t xml:space="preserve"> </w:t>
      </w:r>
      <w:r w:rsidRPr="00061B56">
        <w:rPr>
          <w:rFonts w:cstheme="minorHAnsi"/>
          <w:bCs/>
          <w:sz w:val="24"/>
          <w:szCs w:val="24"/>
        </w:rPr>
        <w:t xml:space="preserve">Gupta &amp; Batra, 2018), limited attention has so far been paid to the impact of EEEO on CER (Adu, 2022). </w:t>
      </w:r>
    </w:p>
    <w:p w14:paraId="27A18665"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We attempt to bridge the gap in the literature by surveying SMEs in Ghana to investigate the channel through which EEEO can help SMEs to overcome barriers to green practices and improve their CER. First, we examine the interrelationships among EEEO, identification of green barriers </w:t>
      </w:r>
      <w:commentRangeStart w:id="5"/>
      <w:r w:rsidRPr="00061B56">
        <w:rPr>
          <w:rFonts w:cstheme="minorHAnsi"/>
          <w:bCs/>
          <w:sz w:val="24"/>
          <w:szCs w:val="24"/>
        </w:rPr>
        <w:t xml:space="preserve">(IB), green planning (GP), green networking (GN) and </w:t>
      </w:r>
      <w:commentRangeEnd w:id="5"/>
      <w:r w:rsidRPr="00061B56">
        <w:rPr>
          <w:rStyle w:val="CommentReference"/>
          <w:rFonts w:cstheme="minorHAnsi"/>
          <w:bCs/>
          <w:sz w:val="24"/>
          <w:szCs w:val="24"/>
        </w:rPr>
        <w:commentReference w:id="5"/>
      </w:r>
      <w:r w:rsidRPr="00061B56">
        <w:rPr>
          <w:rFonts w:cstheme="minorHAnsi"/>
          <w:bCs/>
          <w:sz w:val="24"/>
          <w:szCs w:val="24"/>
        </w:rPr>
        <w:t>the selection of green innovation approaches (GI). Second, the study investigates the associations among IB, GP, GN, GI and CER. Finally, we distinctively explore the mediating roles of IB, GP, GN and GI on the association between EEEO and CER. Accordingly, in this paper, we investigate how EEEO as a posture-based entrepreneurial strategic orientation (Karami &amp; Tang, 2019; Lumpkin &amp; Dess, 1996) can help  SMEs to overcome barriers to green practices and improve their CER through IB, GP, GN and GI.</w:t>
      </w:r>
    </w:p>
    <w:p w14:paraId="7AAD9DA4" w14:textId="77777777" w:rsidR="007144CC" w:rsidRPr="00061B56" w:rsidRDefault="007144CC" w:rsidP="007144CC">
      <w:pPr>
        <w:spacing w:line="360" w:lineRule="auto"/>
        <w:jc w:val="both"/>
        <w:rPr>
          <w:rFonts w:cstheme="minorHAnsi"/>
          <w:bCs/>
          <w:sz w:val="24"/>
          <w:szCs w:val="24"/>
        </w:rPr>
      </w:pPr>
      <w:r w:rsidRPr="00061B56">
        <w:t xml:space="preserve">         </w:t>
      </w:r>
      <w:r w:rsidRPr="00061B56">
        <w:rPr>
          <w:rFonts w:cstheme="minorHAnsi"/>
          <w:bCs/>
          <w:sz w:val="24"/>
          <w:szCs w:val="24"/>
        </w:rPr>
        <w:t xml:space="preserve">Identifying green barriers is concerned mainly with how SMEs may explore and address the various barriers to green innovation in their operation (Gupta &amp; Batra, 2018). In particular, Gupta and Barua (2018) observe that SMEs are confronted with numerous barriers to implementing green innovative practices in their operations. The authors make a strong case for SMEs to identify and address these barriers. Next, planning refers to actions that facilitate achieving goals (Greene &amp; Hopp, 2017; Hopp &amp; Greene, 2016). In this context, if SMEs lack planning capability, their efforts to overcome barriers to green practices will be in vain (Adu, 2022). From CER perspective, GP can play a crucial role in terms of entrepreneurial characteristics and green practices success. Green </w:t>
      </w:r>
      <w:r w:rsidRPr="00061B56">
        <w:rPr>
          <w:rFonts w:cstheme="minorHAnsi"/>
          <w:bCs/>
          <w:sz w:val="24"/>
          <w:szCs w:val="24"/>
        </w:rPr>
        <w:lastRenderedPageBreak/>
        <w:t>networking refers to processes that enhance the exchange of ideas on green practices (Adu, 2022). In this regard, GN entails processes and mechanisms that can reduce energy consumption and improve operational efficiency.</w:t>
      </w:r>
      <w:r w:rsidRPr="00061B56">
        <w:t xml:space="preserve"> </w:t>
      </w:r>
      <w:r w:rsidRPr="00061B56">
        <w:rPr>
          <w:rFonts w:cstheme="minorHAnsi"/>
          <w:bCs/>
          <w:sz w:val="24"/>
          <w:szCs w:val="24"/>
        </w:rPr>
        <w:t>Firms can succeed in overcoming barriers to green practices through GN as it enables the firms to share and receive best green practices quickly in a highly dynamic business environment. The selection of green innovation approaches refers to the processes and channels firms adopt in selecting innovative and green practices. Due to the barriers and complexity of green practices (Adu et al., 2023a; Orazalin et al., 2023; Haque &amp; Ntim, 2020), firms must select the most appropriate and cost-effective green approaches as these can have critical implications on how the firms can overcome barriers to green practices with a beneficial impact on CER.</w:t>
      </w:r>
    </w:p>
    <w:p w14:paraId="71858B52"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w:t>
      </w:r>
      <w:r w:rsidRPr="00061B56">
        <w:t xml:space="preserve"> </w:t>
      </w:r>
      <w:r w:rsidRPr="00061B56">
        <w:rPr>
          <w:rFonts w:cstheme="minorHAnsi"/>
          <w:bCs/>
          <w:sz w:val="24"/>
          <w:szCs w:val="24"/>
        </w:rPr>
        <w:t xml:space="preserve">Our study makes several new contributions to the extant SMEs' carbon emission literature. The unique contribution of this study is that it is the first study to examine the effects of EEEO on IB, GP, GN and GI in a combined framework. Whilst the prior research has looked mainly at the association between green innovation and carbon emission reduction (Bai et al., 2019; Robinson &amp; Stubberud, </w:t>
      </w:r>
      <w:commentRangeStart w:id="6"/>
      <w:r w:rsidRPr="00061B56">
        <w:rPr>
          <w:rFonts w:cstheme="minorHAnsi"/>
          <w:bCs/>
          <w:sz w:val="24"/>
          <w:szCs w:val="24"/>
        </w:rPr>
        <w:t>2013</w:t>
      </w:r>
      <w:commentRangeEnd w:id="6"/>
      <w:r w:rsidR="00C3458C" w:rsidRPr="00061B56">
        <w:rPr>
          <w:rStyle w:val="CommentReference"/>
          <w:rFonts w:cstheme="minorHAnsi"/>
          <w:bCs/>
          <w:sz w:val="24"/>
          <w:szCs w:val="24"/>
        </w:rPr>
        <w:commentReference w:id="6"/>
      </w:r>
      <w:r w:rsidRPr="00061B56">
        <w:rPr>
          <w:rFonts w:cstheme="minorHAnsi"/>
          <w:bCs/>
          <w:sz w:val="24"/>
          <w:szCs w:val="24"/>
        </w:rPr>
        <w:t>), there has been limited research on the value relevance of EEEO. Our findings show that EEEO positively impacts IB, GP, GN and GI. Second, to our knowledge, our study is one of the early studies investigating the influence of IB, GP, GN and GI on CER. Our findings suggest that IB, GP, GN and GI directly impact CER. Finally,</w:t>
      </w:r>
      <w:r w:rsidRPr="00061B56">
        <w:rPr>
          <w:sz w:val="24"/>
          <w:szCs w:val="24"/>
        </w:rPr>
        <w:t xml:space="preserve"> our study is the first to examine the mediating role of IB, GP, GN and GI on the association between EEEO and CER. Our findings indicate that IB positively mediates the EEEO-CER relationship, whereas GP, GN and GI do not mediate the EEEO-CER </w:t>
      </w:r>
      <w:commentRangeStart w:id="7"/>
      <w:r w:rsidRPr="00061B56">
        <w:rPr>
          <w:sz w:val="24"/>
          <w:szCs w:val="24"/>
        </w:rPr>
        <w:t>nexus</w:t>
      </w:r>
      <w:commentRangeEnd w:id="7"/>
      <w:r w:rsidRPr="00061B56">
        <w:rPr>
          <w:rStyle w:val="CommentReference"/>
          <w:sz w:val="24"/>
          <w:szCs w:val="24"/>
        </w:rPr>
        <w:commentReference w:id="7"/>
      </w:r>
      <w:r w:rsidRPr="00061B56">
        <w:rPr>
          <w:sz w:val="24"/>
          <w:szCs w:val="24"/>
        </w:rPr>
        <w:t>.</w:t>
      </w:r>
    </w:p>
    <w:p w14:paraId="2B3EB49D"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The rest of this paper is and organised as follows. Section 2 provides the study's background. Section 3 presents the theoretical framework, followed by a review of prior studies and hypotheses development in Section 4. Section 5 explains the research methodology. Section 6 presents the results, and Section 7 concludes.</w:t>
      </w:r>
    </w:p>
    <w:p w14:paraId="792E6A47" w14:textId="77777777" w:rsidR="0056174E" w:rsidRPr="00061B56" w:rsidRDefault="0056174E" w:rsidP="007144CC">
      <w:pPr>
        <w:spacing w:line="360" w:lineRule="auto"/>
        <w:jc w:val="both"/>
        <w:rPr>
          <w:rFonts w:cstheme="minorHAnsi"/>
          <w:bCs/>
          <w:sz w:val="24"/>
          <w:szCs w:val="24"/>
        </w:rPr>
      </w:pPr>
    </w:p>
    <w:p w14:paraId="75FBEA61" w14:textId="77777777" w:rsidR="0056174E" w:rsidRPr="00061B56" w:rsidRDefault="0056174E" w:rsidP="007144CC">
      <w:pPr>
        <w:spacing w:line="360" w:lineRule="auto"/>
        <w:jc w:val="both"/>
        <w:rPr>
          <w:rFonts w:cstheme="minorHAnsi"/>
          <w:bCs/>
          <w:sz w:val="24"/>
          <w:szCs w:val="24"/>
        </w:rPr>
      </w:pPr>
    </w:p>
    <w:p w14:paraId="3D54F324" w14:textId="77777777" w:rsidR="0056174E" w:rsidRPr="00061B56" w:rsidRDefault="0056174E" w:rsidP="007144CC">
      <w:pPr>
        <w:spacing w:line="360" w:lineRule="auto"/>
        <w:jc w:val="both"/>
        <w:rPr>
          <w:rFonts w:cstheme="minorHAnsi"/>
          <w:bCs/>
          <w:sz w:val="24"/>
          <w:szCs w:val="24"/>
        </w:rPr>
      </w:pPr>
    </w:p>
    <w:p w14:paraId="1FA3AD33" w14:textId="77777777" w:rsidR="007144CC" w:rsidRPr="00061B56" w:rsidRDefault="007144CC" w:rsidP="007144CC">
      <w:pPr>
        <w:autoSpaceDE w:val="0"/>
        <w:autoSpaceDN w:val="0"/>
        <w:adjustRightInd w:val="0"/>
        <w:spacing w:after="0" w:line="360" w:lineRule="auto"/>
        <w:rPr>
          <w:rFonts w:cstheme="minorHAnsi"/>
          <w:b/>
          <w:bCs/>
          <w:sz w:val="24"/>
          <w:szCs w:val="24"/>
        </w:rPr>
      </w:pPr>
      <w:r w:rsidRPr="00061B56">
        <w:rPr>
          <w:rFonts w:cstheme="minorHAnsi"/>
          <w:b/>
          <w:bCs/>
          <w:sz w:val="24"/>
          <w:szCs w:val="24"/>
        </w:rPr>
        <w:lastRenderedPageBreak/>
        <w:t>2 Carbon emission reduction initiatives around the world</w:t>
      </w:r>
    </w:p>
    <w:p w14:paraId="65383FE9" w14:textId="77777777" w:rsidR="007144CC" w:rsidRPr="00061B56" w:rsidRDefault="007144CC" w:rsidP="007144CC">
      <w:pPr>
        <w:autoSpaceDE w:val="0"/>
        <w:autoSpaceDN w:val="0"/>
        <w:adjustRightInd w:val="0"/>
        <w:spacing w:after="0" w:line="360" w:lineRule="auto"/>
        <w:jc w:val="both"/>
      </w:pPr>
      <w:r w:rsidRPr="00061B56">
        <w:rPr>
          <w:rFonts w:cstheme="minorHAnsi"/>
          <w:sz w:val="24"/>
          <w:szCs w:val="24"/>
        </w:rPr>
        <w:t xml:space="preserve">       Increasing issues over rising GHG emissions levels globally have led the international community to respond to carbon footprint and global warming by undertaking different initiatives and reforms (Orazalin et al., 2023; Adu, 2022; Haque &amp; Ntim, 2020). The first global effort to tackle carbon footprint and global warming was initiated by the United Nations Framework Convention on Climate Change (UNFCCC) in 1992 following the Rio Earth Summit, which became binding in 1994 (</w:t>
      </w:r>
      <w:bookmarkStart w:id="8" w:name="_Hlk136532769"/>
      <w:r w:rsidRPr="00061B56">
        <w:rPr>
          <w:rFonts w:cstheme="minorHAnsi"/>
          <w:sz w:val="24"/>
          <w:szCs w:val="24"/>
        </w:rPr>
        <w:t>Orazalin et al., 2023</w:t>
      </w:r>
      <w:bookmarkEnd w:id="8"/>
      <w:r w:rsidRPr="00061B56">
        <w:rPr>
          <w:rFonts w:cstheme="minorHAnsi"/>
          <w:sz w:val="24"/>
          <w:szCs w:val="24"/>
        </w:rPr>
        <w:t>). Climate scholars largely maintain that the UNFCCC was unsuccessful in addressing the rising levels of GHGs emissions globally (Orazalin et al., 2023; Gills &amp; Morgan, 2020).</w:t>
      </w:r>
      <w:r w:rsidRPr="00061B56">
        <w:t xml:space="preserve"> </w:t>
      </w:r>
    </w:p>
    <w:p w14:paraId="39F8CB4D" w14:textId="77777777" w:rsidR="007144CC" w:rsidRPr="00061B56" w:rsidRDefault="007144CC" w:rsidP="007144CC">
      <w:pPr>
        <w:autoSpaceDE w:val="0"/>
        <w:autoSpaceDN w:val="0"/>
        <w:adjustRightInd w:val="0"/>
        <w:spacing w:after="0" w:line="360" w:lineRule="auto"/>
        <w:jc w:val="both"/>
        <w:rPr>
          <w:rFonts w:cstheme="minorHAnsi"/>
          <w:sz w:val="24"/>
          <w:szCs w:val="24"/>
        </w:rPr>
      </w:pPr>
      <w:r w:rsidRPr="00061B56">
        <w:t xml:space="preserve">         </w:t>
      </w:r>
      <w:r w:rsidRPr="00061B56">
        <w:rPr>
          <w:rFonts w:cstheme="minorHAnsi"/>
          <w:sz w:val="24"/>
          <w:szCs w:val="24"/>
        </w:rPr>
        <w:t>In 1997, the Kyoto Protocol (the first worldwide treaty) was adopted as an extension of UNFCCC (Orazalin et al., 2023). The Protocol is a legally binding global pact that requires ratified nations to improve their energy efficiency to reduce carbon footprint and global climate disruption (Adu et al., 2022a). To implement the Protocol, European countries, including the UK, adopted several climate change laws and policies (European Commission, 2015). 2015 the Paris climate agreement was instituted to replace the Kyoto Protocol. The main goal of the Paris agreement is to keep the rise in mean global temperature to well below 2 °C (3.6 °F). To achieve this, the agreement required each country to prepare and maintain nationally determined contributions to minimise GHG emissions and accelerate adaptation to climate change (Orazalin et al., 2023).</w:t>
      </w:r>
    </w:p>
    <w:p w14:paraId="189C13E7" w14:textId="77777777" w:rsidR="007144CC" w:rsidRPr="00061B56" w:rsidRDefault="007144CC" w:rsidP="007144CC">
      <w:pPr>
        <w:spacing w:line="360" w:lineRule="auto"/>
        <w:jc w:val="both"/>
        <w:rPr>
          <w:rFonts w:cstheme="minorHAnsi"/>
          <w:sz w:val="24"/>
          <w:szCs w:val="24"/>
        </w:rPr>
      </w:pPr>
      <w:r w:rsidRPr="00061B56">
        <w:rPr>
          <w:rFonts w:cstheme="minorHAnsi"/>
          <w:sz w:val="24"/>
          <w:szCs w:val="24"/>
        </w:rPr>
        <w:t xml:space="preserve">      Ghana has committed to pursuing concerted efforts to lessen the adverse effects of climate change on its populace and to build a low-carbon emission pathway. Ghana's intended nationally determined contribution (INDC) framework is now being used to execute actions that are anticipated to make achieving low carbon climate resilience easier through efficient adaptation and GHG emission reduction in many priority areas (Nartey, 2018). In particular, in 2013,</w:t>
      </w:r>
      <w:r w:rsidRPr="00061B56">
        <w:rPr>
          <w:sz w:val="24"/>
          <w:szCs w:val="24"/>
        </w:rPr>
        <w:t xml:space="preserve"> the Ministry of Environment, Science and Technology in Ghana issued the </w:t>
      </w:r>
      <w:r w:rsidRPr="00061B56">
        <w:rPr>
          <w:rFonts w:cstheme="minorHAnsi"/>
          <w:sz w:val="24"/>
          <w:szCs w:val="24"/>
        </w:rPr>
        <w:t>Ghana National Climate Change Policy (NCCP) in response to various stakeholders' calls for integrated climate change.</w:t>
      </w:r>
      <w:r w:rsidRPr="00061B56">
        <w:rPr>
          <w:sz w:val="24"/>
          <w:szCs w:val="24"/>
        </w:rPr>
        <w:t xml:space="preserve"> The main aim of NCCP is to </w:t>
      </w:r>
      <w:r w:rsidRPr="00061B56">
        <w:rPr>
          <w:rFonts w:cstheme="minorHAnsi"/>
          <w:sz w:val="24"/>
          <w:szCs w:val="24"/>
        </w:rPr>
        <w:t>provide strategic direction and coordinate climate change issues in Ghana.</w:t>
      </w:r>
      <w:r w:rsidRPr="00061B56">
        <w:rPr>
          <w:sz w:val="24"/>
          <w:szCs w:val="24"/>
        </w:rPr>
        <w:t xml:space="preserve"> </w:t>
      </w:r>
      <w:r w:rsidRPr="00061B56">
        <w:rPr>
          <w:rFonts w:cstheme="minorHAnsi"/>
          <w:sz w:val="24"/>
          <w:szCs w:val="24"/>
        </w:rPr>
        <w:t>The three objectives of the NCCP include effective adaptation, social development and mitigation.</w:t>
      </w:r>
      <w:r w:rsidRPr="00061B56">
        <w:rPr>
          <w:sz w:val="24"/>
          <w:szCs w:val="24"/>
        </w:rPr>
        <w:t xml:space="preserve"> Additionally, </w:t>
      </w:r>
      <w:r w:rsidRPr="00061B56">
        <w:rPr>
          <w:rFonts w:cstheme="minorHAnsi"/>
          <w:sz w:val="24"/>
          <w:szCs w:val="24"/>
        </w:rPr>
        <w:t xml:space="preserve">under its nationally determined contribution (NDC), Ghana has committed to decreasing its GHG emissions and adapting to climate change in many </w:t>
      </w:r>
      <w:r w:rsidRPr="00061B56">
        <w:rPr>
          <w:rFonts w:cstheme="minorHAnsi"/>
          <w:sz w:val="24"/>
          <w:szCs w:val="24"/>
        </w:rPr>
        <w:lastRenderedPageBreak/>
        <w:t>priority areas, including mass transit, infrastructure, land use and food production, energy management, and forest and water resources management.</w:t>
      </w:r>
      <w:r w:rsidRPr="00061B56">
        <w:t xml:space="preserve"> </w:t>
      </w:r>
      <w:r w:rsidRPr="00061B56">
        <w:rPr>
          <w:rFonts w:cstheme="minorHAnsi"/>
          <w:sz w:val="24"/>
          <w:szCs w:val="24"/>
        </w:rPr>
        <w:t>The 47 measures of Ghana's nationally determined contribution must be implemented between 2020 and 2030, costing between US$9.3 and US$15.5 billion. In 2021,</w:t>
      </w:r>
      <w:r w:rsidRPr="00061B56">
        <w:t xml:space="preserve"> </w:t>
      </w:r>
      <w:r w:rsidRPr="00061B56">
        <w:rPr>
          <w:rFonts w:cstheme="minorHAnsi"/>
          <w:sz w:val="24"/>
          <w:szCs w:val="24"/>
        </w:rPr>
        <w:t xml:space="preserve">under Article 4 of the Paris Agreement and UNFCCC, Ghana updated and enhanced its nationally determined contribution under the Paris Agreement for 2020 to </w:t>
      </w:r>
      <w:commentRangeStart w:id="9"/>
      <w:r w:rsidRPr="00061B56">
        <w:rPr>
          <w:rFonts w:cstheme="minorHAnsi"/>
          <w:sz w:val="24"/>
          <w:szCs w:val="24"/>
        </w:rPr>
        <w:t>2030</w:t>
      </w:r>
      <w:commentRangeEnd w:id="9"/>
      <w:r w:rsidR="00D06BE9" w:rsidRPr="00061B56">
        <w:rPr>
          <w:rStyle w:val="CommentReference"/>
          <w:rFonts w:cstheme="minorHAnsi"/>
          <w:sz w:val="24"/>
          <w:szCs w:val="24"/>
        </w:rPr>
        <w:commentReference w:id="9"/>
      </w:r>
      <w:r w:rsidRPr="00061B56">
        <w:rPr>
          <w:rFonts w:cstheme="minorHAnsi"/>
          <w:sz w:val="24"/>
          <w:szCs w:val="24"/>
        </w:rPr>
        <w:t xml:space="preserve">. By this revision, the government of Ghana confirmed the nationally determined contribution it proposed in 2015 under the United Nations Framework Convention on Climate (UNFCCC) decision. </w:t>
      </w:r>
      <w:r w:rsidRPr="00061B56">
        <w:t xml:space="preserve">   </w:t>
      </w:r>
    </w:p>
    <w:p w14:paraId="36B450F9" w14:textId="77777777" w:rsidR="007144CC" w:rsidRPr="00061B56" w:rsidRDefault="007144CC" w:rsidP="007144CC">
      <w:pPr>
        <w:spacing w:line="360" w:lineRule="auto"/>
        <w:jc w:val="both"/>
      </w:pPr>
      <w:r w:rsidRPr="00061B56">
        <w:t xml:space="preserve">         </w:t>
      </w:r>
      <w:r w:rsidRPr="00061B56">
        <w:rPr>
          <w:rFonts w:cstheme="minorHAnsi"/>
          <w:sz w:val="24"/>
          <w:szCs w:val="24"/>
        </w:rPr>
        <w:t>The objective of these climate change reforms in Ghana is to compel firms to create a commercial awareness of carbon emissions and limit their contribution to GHG emissions, thereby reducing global warming. Some scholars maintain that firms are steadily responding to these concerns by reducing GHGs emissions and adopting various carbon emission reduction initiatives in areas such as energy consumption, recycling, use of water and biodiversity initiatives (Adu, 2022). Additionally, the firms are to extend their carbon reduction initiatives by demanding that their supply chain partners also make commitments towards reducing GHGs by employing technological solutions to minimise their carbon emissions and other forms of pollution (Adu, 2022; Nartey, 2018</w:t>
      </w:r>
      <w:r w:rsidRPr="00061B56">
        <w:t xml:space="preserve"> </w:t>
      </w:r>
      <w:r w:rsidRPr="00061B56">
        <w:rPr>
          <w:rFonts w:cstheme="minorHAnsi"/>
          <w:sz w:val="24"/>
          <w:szCs w:val="24"/>
        </w:rPr>
        <w:t>Appiah et al., 2017). Thus, increasingly carbon emission reduction initiatives are becoming crucial in decision-making in Ghana. Consequently, this study seeks to explore how EEEO of SMEs operating in Ghana can help the firms to overcome barriers to green practices and ultimately respond to climate change risks/threats through improved carbon emission reduction (CER).</w:t>
      </w:r>
    </w:p>
    <w:p w14:paraId="3E9321F2" w14:textId="77777777" w:rsidR="007144CC" w:rsidRPr="00061B56" w:rsidRDefault="007144CC" w:rsidP="007144CC">
      <w:pPr>
        <w:spacing w:line="360" w:lineRule="auto"/>
        <w:jc w:val="both"/>
        <w:rPr>
          <w:rFonts w:cstheme="minorHAnsi"/>
          <w:bCs/>
          <w:sz w:val="24"/>
          <w:szCs w:val="24"/>
        </w:rPr>
      </w:pPr>
      <w:r w:rsidRPr="00061B56">
        <w:rPr>
          <w:rFonts w:cstheme="minorHAnsi"/>
          <w:b/>
          <w:bCs/>
          <w:sz w:val="24"/>
          <w:szCs w:val="24"/>
        </w:rPr>
        <w:t>3 Theoretical framework</w:t>
      </w:r>
    </w:p>
    <w:p w14:paraId="24C70015" w14:textId="37D0E02C" w:rsidR="007144CC" w:rsidRPr="00061B56" w:rsidRDefault="007144CC" w:rsidP="007144CC">
      <w:pPr>
        <w:spacing w:line="360" w:lineRule="auto"/>
        <w:jc w:val="both"/>
        <w:rPr>
          <w:sz w:val="24"/>
          <w:szCs w:val="24"/>
        </w:rPr>
      </w:pPr>
      <w:r w:rsidRPr="00061B56">
        <w:rPr>
          <w:rFonts w:cstheme="minorHAnsi"/>
          <w:bCs/>
          <w:sz w:val="24"/>
          <w:szCs w:val="24"/>
        </w:rPr>
        <w:t xml:space="preserve">         </w:t>
      </w:r>
      <w:r w:rsidRPr="00061B56">
        <w:rPr>
          <w:sz w:val="24"/>
          <w:szCs w:val="24"/>
        </w:rPr>
        <w:t xml:space="preserve">To examine the relationships among entrepreneurial energy efficiency orientation (EEEO), identifying barriers to green practices (IB), green planning, green networking, the selection of green innovation approaches (GI), and carbon emission reduction (CER), this study draws on the insights of neo-institutional theory  as its primary theoretical foundation. Neo-institutional theory </w:t>
      </w:r>
      <w:r w:rsidR="0056174E" w:rsidRPr="00061B56">
        <w:rPr>
          <w:sz w:val="24"/>
          <w:szCs w:val="24"/>
        </w:rPr>
        <w:t xml:space="preserve">(NIT) </w:t>
      </w:r>
      <w:r w:rsidRPr="00061B56">
        <w:rPr>
          <w:sz w:val="24"/>
          <w:szCs w:val="24"/>
        </w:rPr>
        <w:t xml:space="preserve">provides a robust framework for understanding how organisations respond to institutional pressures and societal expectations when adopting environmental and sustainability practices (Olekanma et al., 2026). In particular, the theory helps explain why firms adopt environmental initiatives such as </w:t>
      </w:r>
      <w:r w:rsidRPr="00061B56">
        <w:rPr>
          <w:sz w:val="24"/>
          <w:szCs w:val="24"/>
        </w:rPr>
        <w:lastRenderedPageBreak/>
        <w:t>energy efficiency strategies and carbon emission reduction practices, even when these initiatives may involve additional costs or organisational adjustments.</w:t>
      </w:r>
    </w:p>
    <w:p w14:paraId="015AED31" w14:textId="77777777" w:rsidR="007144CC" w:rsidRPr="00061B56" w:rsidRDefault="007144CC" w:rsidP="007144CC">
      <w:pPr>
        <w:spacing w:line="360" w:lineRule="auto"/>
        <w:jc w:val="both"/>
        <w:rPr>
          <w:sz w:val="24"/>
          <w:szCs w:val="24"/>
        </w:rPr>
      </w:pPr>
      <w:r w:rsidRPr="00061B56">
        <w:rPr>
          <w:sz w:val="24"/>
          <w:szCs w:val="24"/>
        </w:rPr>
        <w:t>Neo-institutional theory conceptualises institutions as socially constructed systems of rules, norms, beliefs and practices that shape organisational behaviour and decision-making processes (Powell &amp; DiMaggio, 1991; North, 1991). These institutional structures influence how firms interpret their operating environments and determine appropriate organisational responses. Institutions therefore represent widely accepted social and economic arrangements that guide organisational conduct and influence how firms pursue both economic and social objectives. Within this framework, institutions can be broadly categorised into formal and informal institutional structures. Formal institutions include codified rules such as government laws, regulatory frameworks and policy directives, whereas informal institutions encompass societal norms, conventions and cultural expectations that guide acceptable organisational behaviour (Haque &amp; Ntim, 2020). Both formal and informal institutions play important roles in shaping corporate strategies and organisational practices, including those related to environmental sustainability and carbon emission reduction.</w:t>
      </w:r>
    </w:p>
    <w:p w14:paraId="184A0FD3" w14:textId="77777777" w:rsidR="007144CC" w:rsidRPr="00061B56" w:rsidRDefault="007144CC" w:rsidP="007144CC">
      <w:pPr>
        <w:spacing w:line="360" w:lineRule="auto"/>
        <w:jc w:val="both"/>
        <w:rPr>
          <w:sz w:val="24"/>
          <w:szCs w:val="24"/>
        </w:rPr>
      </w:pPr>
      <w:r w:rsidRPr="00061B56">
        <w:rPr>
          <w:sz w:val="24"/>
          <w:szCs w:val="24"/>
        </w:rPr>
        <w:t xml:space="preserve">Within this institutional environment, organisations are expected to align their activities with prevailing social norms and regulatory expectations while simultaneously pursuing economic objectives (Olekanma et al., 2024). Consequently, the institutional context in which firms operate influences their strategic choices and operational practices. From an economic perspective, neo-institutional theory emphasises that organisations adopt particular practices to enhance efficiency, maintain competitiveness and secure access to critical resources within their institutional environments (Ntim &amp; Soobaroyen, 2013; Aguilera et al., 2007). This perspective suggests that firms may adopt sustainability practices, including energy efficiency initiatives and carbon emission reduction strategies, not only to comply with institutional expectations but also to improve operational efficiency and competitive positioning. In this regard, the economic perspective of neo-institutional theory shares conceptual similarities with agency and resource dependence theories, which emphasise that organisations seek to maximise their interests and secure access to scarce resources within competitive environments (Aguilera et al., 2007; Aguilera, 2005). For SMEs in particular, environmental initiatives </w:t>
      </w:r>
      <w:r w:rsidRPr="00061B56">
        <w:rPr>
          <w:sz w:val="24"/>
          <w:szCs w:val="24"/>
        </w:rPr>
        <w:lastRenderedPageBreak/>
        <w:t>such as energy efficiency improvements and carbon emission reduction strategies may provide opportunities to reduce operational costs, enhance resource efficiency and strengthen competitive advantages (Olekanma et al., 2024).</w:t>
      </w:r>
    </w:p>
    <w:p w14:paraId="6C4DCCC5" w14:textId="77777777" w:rsidR="007144CC" w:rsidRPr="00061B56" w:rsidRDefault="007144CC" w:rsidP="007144CC">
      <w:pPr>
        <w:spacing w:line="360" w:lineRule="auto"/>
        <w:jc w:val="both"/>
        <w:rPr>
          <w:sz w:val="24"/>
          <w:szCs w:val="24"/>
        </w:rPr>
      </w:pPr>
      <w:r w:rsidRPr="00061B56">
        <w:rPr>
          <w:sz w:val="24"/>
          <w:szCs w:val="24"/>
        </w:rPr>
        <w:t>Beyond economic considerations, neo-institutional theory also emphasises the role of institutional pressures in shaping organisational behaviour and strategic responses. Powell and DiMaggio (1991) extend the neo-institutional theory framework by identifying three key forms of institutional pressure namely coercive (or regulative), mimetic (or educative) and normative forces that influence organisational practices. These pressures collectively drive organisations toward adopting practices that are considered legitimate and socially acceptable within their institutional environments. Coercive or regulative pressures arise from formal institutions such as government regulations, environmental policies and legal requirements that compel organisations to conform to prescribed standards and practices (Powell &amp; DiMaggio, 1991; North, 1991). Within the context of climate change and environmental governance, governments increasingly introduce regulatory measures aimed at reducing greenhouse gas emissions and promoting sustainable business practices. Such regulatory frameworks can encourage firms to adopt energy efficiency strategies, invest in green technologies and implement carbon emission reduction initiatives (Saa et al., 2025).</w:t>
      </w:r>
    </w:p>
    <w:p w14:paraId="7FB592F8" w14:textId="77777777" w:rsidR="007144CC" w:rsidRPr="00061B56" w:rsidRDefault="007144CC" w:rsidP="007144CC">
      <w:pPr>
        <w:spacing w:line="360" w:lineRule="auto"/>
        <w:jc w:val="both"/>
        <w:rPr>
          <w:sz w:val="24"/>
          <w:szCs w:val="24"/>
        </w:rPr>
      </w:pPr>
      <w:r w:rsidRPr="00061B56">
        <w:rPr>
          <w:sz w:val="24"/>
          <w:szCs w:val="24"/>
        </w:rPr>
        <w:t>Mimetic or educative pressures occur when organisations emulate the practices of other firms perceived to be successful or legitimate within their industry. This imitation process is particularly common in environments characterised by uncertainty, where firms may adopt the practices of industry leaders to reduce risks and enhance legitimacy (Bhuiyan et al., 2025; Haque &amp; Ntim, 2020; Powell &amp; DiMaggio, 1991). In the context of environmental sustainability, SMEs may adopt green planning strategies, develop collaborative networks and implement innovative environmental practices after observing similar initiatives undertaken by peer organisations.</w:t>
      </w:r>
    </w:p>
    <w:p w14:paraId="73D41DD1" w14:textId="77777777" w:rsidR="007144CC" w:rsidRPr="00061B56" w:rsidRDefault="007144CC" w:rsidP="007144CC">
      <w:pPr>
        <w:spacing w:line="360" w:lineRule="auto"/>
        <w:jc w:val="both"/>
        <w:rPr>
          <w:sz w:val="24"/>
          <w:szCs w:val="24"/>
        </w:rPr>
      </w:pPr>
      <w:r w:rsidRPr="00061B56">
        <w:rPr>
          <w:sz w:val="24"/>
          <w:szCs w:val="24"/>
        </w:rPr>
        <w:t xml:space="preserve">Normative pressures arise from socially accepted norms, professional standards and broader societal expectations that influence what is considered appropriate organisational behaviour (Powell &amp; DiMaggio, 1991; North, 1991). These pressures often emerge from international environmental standards, industry guidelines and stakeholder expectations regarding responsible corporate conduct. As environmental </w:t>
      </w:r>
      <w:r w:rsidRPr="00061B56">
        <w:rPr>
          <w:sz w:val="24"/>
          <w:szCs w:val="24"/>
        </w:rPr>
        <w:lastRenderedPageBreak/>
        <w:t>awareness increases globally, firms face growing normative expectations to contribute to climate change mitigation and environmental sustainability.</w:t>
      </w:r>
    </w:p>
    <w:p w14:paraId="2B88C028" w14:textId="77777777" w:rsidR="007144CC" w:rsidRPr="00061B56" w:rsidRDefault="007144CC" w:rsidP="007144CC">
      <w:pPr>
        <w:spacing w:line="360" w:lineRule="auto"/>
        <w:jc w:val="both"/>
        <w:rPr>
          <w:sz w:val="24"/>
          <w:szCs w:val="24"/>
        </w:rPr>
      </w:pPr>
      <w:r w:rsidRPr="00061B56">
        <w:rPr>
          <w:sz w:val="24"/>
          <w:szCs w:val="24"/>
        </w:rPr>
        <w:t>Within organisations, these institutional pressures shape the development of internal rules, norms and practices that guide employees’ actions and strategic decision-making processes (Nguyen et al., 2020; Grosvold et al., 2016). Firms often respond to these pressures by embedding environmental considerations into their organisational strategies and operational processes. However, differences in institutional environments including variations in regulatory frameworks, social norms and stakeholder expectations may result in different levels of engagement with carbon emission reduction initiatives across firms. Accordingly, neo-institutional theory suggests that SMEs may adopt environmental practices to align their business activities with the environmental values and expectations of the societies in which they operate (Olekanma et al., 2024).</w:t>
      </w:r>
    </w:p>
    <w:p w14:paraId="3840814B" w14:textId="77777777" w:rsidR="007144CC" w:rsidRPr="00061B56" w:rsidRDefault="007144CC" w:rsidP="007144CC">
      <w:pPr>
        <w:spacing w:line="360" w:lineRule="auto"/>
        <w:jc w:val="both"/>
        <w:rPr>
          <w:sz w:val="24"/>
          <w:szCs w:val="24"/>
        </w:rPr>
      </w:pPr>
      <w:r w:rsidRPr="00061B56">
        <w:rPr>
          <w:sz w:val="24"/>
          <w:szCs w:val="24"/>
        </w:rPr>
        <w:t>From a legitimacy perspective, neo-institutional theory further suggests that organisations seek to gain and maintain social acceptance by aligning their activities with institutional expectations and societal values. Firms that demonstrate conformity with socially accepted environmental practices are more likely to achieve legitimacy and strengthen their relationships with key stakeholders (Saa et al., 2025). Within this context, carbon emission reduction initiatives represent an important mechanism through which organisations can signal responsible environmental behaviour and demonstrate commitment to sustainability. Consequently, stakeholders may interpret the adoption of carbon emission reduction initiatives as evidence of responsible governance and environmentally conscious management practices (Olekanma et al., 2026).</w:t>
      </w:r>
    </w:p>
    <w:p w14:paraId="1DACEE05" w14:textId="77777777" w:rsidR="007144CC" w:rsidRPr="00061B56" w:rsidRDefault="007144CC" w:rsidP="007144CC">
      <w:pPr>
        <w:spacing w:line="360" w:lineRule="auto"/>
        <w:jc w:val="both"/>
        <w:rPr>
          <w:sz w:val="24"/>
          <w:szCs w:val="24"/>
        </w:rPr>
      </w:pPr>
      <w:r w:rsidRPr="00061B56">
        <w:rPr>
          <w:sz w:val="24"/>
          <w:szCs w:val="24"/>
        </w:rPr>
        <w:t xml:space="preserve">Consistent with this argument, firms that actively engage in carbon emission reduction initiatives may enhance their reputation and gain support from key stakeholders such as customers, regulatory authorities and investors (Bhuiyan et al., 2025; Benlemlih et al., 2022). Achieving such legitimacy can generate important strategic advantages for organisations, including improved access to financial resources, enhanced market competitiveness, stronger stakeholder relationships and the ability to attract and retain skilled employees (Oliver, 1991). These benefits provide strong incentives for firms to </w:t>
      </w:r>
      <w:r w:rsidRPr="00061B56">
        <w:rPr>
          <w:sz w:val="24"/>
          <w:szCs w:val="24"/>
        </w:rPr>
        <w:lastRenderedPageBreak/>
        <w:t>adopt environmental initiatives and integrate sustainability considerations into their strategic decision-making processes.</w:t>
      </w:r>
    </w:p>
    <w:p w14:paraId="0E33EC25" w14:textId="77777777" w:rsidR="007144CC" w:rsidRPr="00061B56" w:rsidRDefault="007144CC" w:rsidP="007144CC">
      <w:pPr>
        <w:spacing w:line="360" w:lineRule="auto"/>
        <w:jc w:val="both"/>
        <w:rPr>
          <w:sz w:val="24"/>
          <w:szCs w:val="24"/>
        </w:rPr>
      </w:pPr>
      <w:r w:rsidRPr="00061B56">
        <w:rPr>
          <w:sz w:val="24"/>
          <w:szCs w:val="24"/>
        </w:rPr>
        <w:t>Within the Ghanaian context, the neo-institutional theory framework is particularly useful for explaining how SMEs respond to evolving environmental policies and sustainability expectations. Ghana’s increasing emphasis on environmental protection and climate change mitigation has created new regulatory and societal pressures that encourage firms to adopt carbon emission reduction initiatives. SMEs operating in this institutional environment are therefore exposed to multiple stakeholder expectations regarding environmental responsibility and sustainable business practices.</w:t>
      </w:r>
    </w:p>
    <w:p w14:paraId="78F6EF00" w14:textId="77777777" w:rsidR="007144CC" w:rsidRPr="00061B56" w:rsidRDefault="007144CC" w:rsidP="007144CC">
      <w:pPr>
        <w:spacing w:line="360" w:lineRule="auto"/>
        <w:jc w:val="both"/>
        <w:rPr>
          <w:sz w:val="24"/>
          <w:szCs w:val="24"/>
        </w:rPr>
      </w:pPr>
    </w:p>
    <w:p w14:paraId="343BCF9B" w14:textId="77777777" w:rsidR="007144CC" w:rsidRPr="00061B56" w:rsidRDefault="007144CC" w:rsidP="007144CC">
      <w:pPr>
        <w:spacing w:line="360" w:lineRule="auto"/>
        <w:jc w:val="both"/>
        <w:rPr>
          <w:sz w:val="24"/>
          <w:szCs w:val="24"/>
        </w:rPr>
      </w:pPr>
      <w:r w:rsidRPr="00061B56">
        <w:rPr>
          <w:sz w:val="24"/>
          <w:szCs w:val="24"/>
        </w:rPr>
        <w:t>In response to these institutional pressures, firms may develop entrepreneurial orientations toward energy efficiency, which motivate them to identify and overcome barriers to green practices and implement organisational mechanisms that support environmental innovation. Specifically, entrepreneurial energy efficiency orientation (EEEO) may encourage firms to recognise and address obstacles to sustainability by identifying barriers to green practices (IB). Through this process, firms can develop strategic responses such as green planning, green networking and the selection of green innovation approaches. These mechanisms represent organisational capabilities that enable SMEs to respond effectively to institutional pressures and implement sustainability initiatives.</w:t>
      </w:r>
    </w:p>
    <w:p w14:paraId="759849D8" w14:textId="77777777" w:rsidR="007144CC" w:rsidRPr="00061B56" w:rsidRDefault="007144CC" w:rsidP="007144CC">
      <w:pPr>
        <w:spacing w:line="360" w:lineRule="auto"/>
        <w:jc w:val="both"/>
        <w:rPr>
          <w:sz w:val="24"/>
          <w:szCs w:val="24"/>
        </w:rPr>
      </w:pPr>
      <w:r w:rsidRPr="00061B56">
        <w:rPr>
          <w:sz w:val="24"/>
          <w:szCs w:val="24"/>
        </w:rPr>
        <w:t xml:space="preserve">Taken together, neo-institutional theory suggests that SMEs are influenced by multiple institutional forces that shape their environmental strategies and organisational practices. Within this framework, EEEO may serve as an internal strategic orientation that motivates firms to identify barriers to green practices and adopt organisational mechanisms that facilitate sustainability initiatives. Through green planning, collaborative networking and the implementation of green innovation approaches, SMEs can enhance their ability to achieve carbon emission reduction (CER). These actions may help firms both strengthen their legitimacy and reputation within the institutional environment (Bhuiyan et al., 2025; Haque &amp; Ntim, 2020; Burke et al., 2019; Busch &amp; </w:t>
      </w:r>
      <w:r w:rsidRPr="00061B56">
        <w:rPr>
          <w:sz w:val="24"/>
          <w:szCs w:val="24"/>
        </w:rPr>
        <w:lastRenderedPageBreak/>
        <w:t>Hoffmann, 2011) and achieve substantive environmental improvements through enhanced efficiency and reduced operational costs (Olekanma et al., 2024).</w:t>
      </w:r>
    </w:p>
    <w:p w14:paraId="6E55C9D1" w14:textId="77777777" w:rsidR="007144CC" w:rsidRPr="00061B56" w:rsidRDefault="007144CC" w:rsidP="007144CC">
      <w:pPr>
        <w:spacing w:line="360" w:lineRule="auto"/>
        <w:jc w:val="both"/>
        <w:rPr>
          <w:b/>
          <w:bCs/>
          <w:sz w:val="24"/>
          <w:szCs w:val="24"/>
        </w:rPr>
      </w:pPr>
      <w:r w:rsidRPr="00061B56">
        <w:rPr>
          <w:b/>
          <w:bCs/>
          <w:sz w:val="24"/>
          <w:szCs w:val="24"/>
        </w:rPr>
        <w:t xml:space="preserve">4 Literature review and hypotheses </w:t>
      </w:r>
      <w:commentRangeStart w:id="10"/>
      <w:r w:rsidRPr="00061B56">
        <w:rPr>
          <w:b/>
          <w:bCs/>
          <w:sz w:val="24"/>
          <w:szCs w:val="24"/>
        </w:rPr>
        <w:t>development</w:t>
      </w:r>
      <w:commentRangeEnd w:id="10"/>
      <w:r w:rsidR="00CA2E4A" w:rsidRPr="00061B56">
        <w:rPr>
          <w:rStyle w:val="CommentReference"/>
          <w:b/>
          <w:bCs/>
          <w:sz w:val="24"/>
          <w:szCs w:val="24"/>
        </w:rPr>
        <w:commentReference w:id="10"/>
      </w:r>
    </w:p>
    <w:p w14:paraId="6C2C5BEC" w14:textId="77777777" w:rsidR="007144CC" w:rsidRPr="00061B56" w:rsidRDefault="007144CC" w:rsidP="007144CC">
      <w:pPr>
        <w:spacing w:line="360" w:lineRule="auto"/>
        <w:jc w:val="both"/>
        <w:rPr>
          <w:b/>
          <w:bCs/>
        </w:rPr>
      </w:pPr>
      <w:bookmarkStart w:id="11" w:name="_Hlk136945637"/>
      <w:r w:rsidRPr="00061B56">
        <w:rPr>
          <w:b/>
          <w:bCs/>
        </w:rPr>
        <w:t xml:space="preserve">4.1 Entrepreneurial energy efficiency orientation, barriers to green practices and carbon emission reduction </w:t>
      </w:r>
    </w:p>
    <w:p w14:paraId="7CCF5674" w14:textId="5C965B15" w:rsidR="007144CC" w:rsidRPr="00061B56" w:rsidRDefault="007144CC" w:rsidP="007144CC">
      <w:pPr>
        <w:spacing w:line="360" w:lineRule="auto"/>
        <w:jc w:val="both"/>
        <w:rPr>
          <w:sz w:val="24"/>
          <w:szCs w:val="24"/>
        </w:rPr>
      </w:pPr>
      <w:r w:rsidRPr="00061B56">
        <w:t xml:space="preserve">         </w:t>
      </w:r>
      <w:r w:rsidRPr="00061B56">
        <w:rPr>
          <w:sz w:val="24"/>
          <w:szCs w:val="24"/>
        </w:rPr>
        <w:t xml:space="preserve">The economic efficiency view of </w:t>
      </w:r>
      <w:r w:rsidR="00A53F7A" w:rsidRPr="00061B56">
        <w:rPr>
          <w:sz w:val="24"/>
          <w:szCs w:val="24"/>
        </w:rPr>
        <w:t>Neo-Institutional Theory (</w:t>
      </w:r>
      <w:r w:rsidRPr="00061B56">
        <w:rPr>
          <w:sz w:val="24"/>
          <w:szCs w:val="24"/>
        </w:rPr>
        <w:t>NIT</w:t>
      </w:r>
      <w:r w:rsidR="00A53F7A" w:rsidRPr="00061B56">
        <w:rPr>
          <w:sz w:val="24"/>
          <w:szCs w:val="24"/>
        </w:rPr>
        <w:t>)</w:t>
      </w:r>
      <w:r w:rsidRPr="00061B56">
        <w:rPr>
          <w:sz w:val="24"/>
          <w:szCs w:val="24"/>
        </w:rPr>
        <w:t xml:space="preserve"> postulates that SMEs should align their operational activities with the environmental values of the society in which the firms operate (Adu et al., 2023b; Deegan, 2002; Meyer &amp; Rowan, 1977). In particular, the theory maintains that SMEs that minimise the negative impact of their operation on the environment gain a competitive advantage by way of obtaining access to critical resources that are rare, valuable</w:t>
      </w:r>
      <w:r w:rsidRPr="00061B56">
        <w:t xml:space="preserve"> and </w:t>
      </w:r>
      <w:r w:rsidRPr="00061B56">
        <w:rPr>
          <w:sz w:val="24"/>
          <w:szCs w:val="24"/>
        </w:rPr>
        <w:t>difficult to substitute (Barney, 1991). For example, NIT posits that with vital engagement CER initiatives, SMEs can increase their access to financial resources, attract and keep skilled employees, foster better relationships with stakeholders, and compete more successfully in the market.</w:t>
      </w:r>
    </w:p>
    <w:p w14:paraId="3934ABBC" w14:textId="77777777" w:rsidR="007144CC" w:rsidRPr="00061B56" w:rsidRDefault="007144CC" w:rsidP="007144CC">
      <w:pPr>
        <w:spacing w:line="360" w:lineRule="auto"/>
        <w:jc w:val="both"/>
        <w:rPr>
          <w:sz w:val="24"/>
          <w:szCs w:val="24"/>
        </w:rPr>
      </w:pPr>
      <w:r w:rsidRPr="00061B56">
        <w:rPr>
          <w:sz w:val="24"/>
          <w:szCs w:val="24"/>
        </w:rPr>
        <w:t xml:space="preserve">       In this case, SMEs may seek to put lots of effort into engaging in green practices since increased engagement will lead to obtaining a competitive advantage in the market and sustaining long-term value creation (Mathiyazhagan et al., 2014;</w:t>
      </w:r>
      <w:r w:rsidRPr="00061B56">
        <w:t xml:space="preserve"> </w:t>
      </w:r>
      <w:r w:rsidRPr="00061B56">
        <w:rPr>
          <w:sz w:val="24"/>
          <w:szCs w:val="24"/>
        </w:rPr>
        <w:t>Zhu &amp; Sarkis, 2004). However, SMEs' adoption and implementation of green practices are frequently hampered by numerous barriers (Gupta &amp; Barua, 2018).</w:t>
      </w:r>
      <w:r w:rsidRPr="00061B56">
        <w:t xml:space="preserve"> </w:t>
      </w:r>
      <w:r w:rsidRPr="00061B56">
        <w:rPr>
          <w:sz w:val="24"/>
          <w:szCs w:val="24"/>
        </w:rPr>
        <w:t>For example, Gupta and Barua (2018) observe that SMEs face multiple barriers to implementing green innovative practices. Meanwhile, some scholars maintain that the energy efficiency orientation of owners/managers of SMEs may play a crucial role in helping their businesses identify barriers to green practices and possibly overcome barriers to green initiatives (Walker et al., 2008; Runhaar et al., 2008;</w:t>
      </w:r>
      <w:r w:rsidRPr="00061B56">
        <w:t xml:space="preserve"> </w:t>
      </w:r>
      <w:r w:rsidRPr="00061B56">
        <w:rPr>
          <w:sz w:val="24"/>
          <w:szCs w:val="24"/>
        </w:rPr>
        <w:t>Hillary, 2004).</w:t>
      </w:r>
    </w:p>
    <w:p w14:paraId="34AD0E0F" w14:textId="77777777" w:rsidR="007144CC" w:rsidRPr="00061B56" w:rsidRDefault="007144CC" w:rsidP="007144CC">
      <w:pPr>
        <w:spacing w:line="360" w:lineRule="auto"/>
        <w:jc w:val="both"/>
        <w:rPr>
          <w:sz w:val="24"/>
          <w:szCs w:val="24"/>
        </w:rPr>
      </w:pPr>
      <w:r w:rsidRPr="00061B56">
        <w:rPr>
          <w:sz w:val="24"/>
          <w:szCs w:val="24"/>
        </w:rPr>
        <w:t xml:space="preserve">     Synthesis of the literature by  Gupta and Barua (2018) reveals that SMEs face six main types of green innovation barriers. The barriers are briefly discussed below. The first barrier is related to managerial, organisational and human resources. In brief, this is mainly concerned with the lack of commitment from SME entrepreneurs (Mangla et al., 2017; Dubey et al., 2015; Mathiyazhagan et al., 2013; Zhu et al., 2012a, 2012b; Ravi &amp; Shankar, 2005). Second, SMEs face technological and resource-related barriers (lack of </w:t>
      </w:r>
      <w:r w:rsidRPr="00061B56">
        <w:rPr>
          <w:sz w:val="24"/>
          <w:szCs w:val="24"/>
        </w:rPr>
        <w:lastRenderedPageBreak/>
        <w:t>capabilities in green innovation and R&amp;D) (Pawanchik &amp; Sulaiman, 2010; Silva et al., 2008;</w:t>
      </w:r>
      <w:r w:rsidRPr="00061B56">
        <w:t xml:space="preserve"> </w:t>
      </w:r>
      <w:r w:rsidRPr="00061B56">
        <w:rPr>
          <w:sz w:val="24"/>
          <w:szCs w:val="24"/>
        </w:rPr>
        <w:t>Perron, 2005; Lai et al., 2003). Key barriers under this type include lack of R&amp;D and green innovation capabilities (Silva et al., 2008; Perron, 2005); technological and market uncertainty and fear of failure related to green innovations (Jinzhou, 2011; Rao &amp; Holt, 2005); the inability of technologies to absorb green innovations developed by others (Del Ro et al., 2010); lack of new technology, materials, processes, and skills for innovation (Collins et al., 2007; Perron, 2005); lack of investments in R&amp;D for green innovation (Hall et al., 2016; Nanda &amp; Kerr, 2015; Mina et al., 2013; Hall &amp; Lerner, 2010); complex designing process to reuse/recycle products and reduce resource usage (Perron, 2005;</w:t>
      </w:r>
      <w:r w:rsidRPr="00061B56">
        <w:t xml:space="preserve"> </w:t>
      </w:r>
      <w:r w:rsidRPr="00061B56">
        <w:rPr>
          <w:sz w:val="24"/>
          <w:szCs w:val="24"/>
        </w:rPr>
        <w:t>Beamon, 1999; Russell, 1998).</w:t>
      </w:r>
    </w:p>
    <w:p w14:paraId="6E012937" w14:textId="77777777" w:rsidR="007144CC" w:rsidRPr="00061B56" w:rsidRDefault="007144CC" w:rsidP="007144CC">
      <w:pPr>
        <w:spacing w:line="360" w:lineRule="auto"/>
        <w:jc w:val="both"/>
        <w:rPr>
          <w:color w:val="000000" w:themeColor="text1"/>
          <w:sz w:val="24"/>
          <w:szCs w:val="24"/>
        </w:rPr>
      </w:pPr>
      <w:r w:rsidRPr="00061B56">
        <w:rPr>
          <w:sz w:val="24"/>
          <w:szCs w:val="24"/>
        </w:rPr>
        <w:t xml:space="preserve">       Third, </w:t>
      </w:r>
      <w:r w:rsidRPr="00061B56">
        <w:t xml:space="preserve"> </w:t>
      </w:r>
      <w:r w:rsidRPr="00061B56">
        <w:rPr>
          <w:sz w:val="24"/>
          <w:szCs w:val="24"/>
        </w:rPr>
        <w:t>financial and economic barriers have been identified as important obstacles facing SMEs in their drive towards engaging in green practices (Gupta &amp; Barua, 2018). Critical barriers in this area involve lack of economies of scale for green products for SMEs due to lesser demand (Gupta &amp; Barua, 2018</w:t>
      </w:r>
      <w:r w:rsidRPr="00061B56">
        <w:rPr>
          <w:color w:val="000000" w:themeColor="text1"/>
          <w:sz w:val="24"/>
          <w:szCs w:val="24"/>
        </w:rPr>
        <w:t>); less return on investment compared to investments in green technologies (Govindan et al., 2014; Matus et al., 2012); lack of access to government subsidies and financial incentives (Cecere et al., 2016; Hojnik &amp; Ruzzier, 2016); lack of bank facilities to promote green practices (Cecere et al., 2016); high change over costs from traditional to green system (Mudgal et al., 2010; Konar &amp; Cohen, 2001);</w:t>
      </w:r>
      <w:r w:rsidRPr="00061B56">
        <w:rPr>
          <w:color w:val="000000" w:themeColor="text1"/>
        </w:rPr>
        <w:t xml:space="preserve"> </w:t>
      </w:r>
      <w:r w:rsidRPr="00061B56">
        <w:rPr>
          <w:color w:val="000000" w:themeColor="text1"/>
          <w:sz w:val="24"/>
          <w:szCs w:val="24"/>
        </w:rPr>
        <w:t xml:space="preserve">high costs of disposing of hazardous wastes (Govindan et al., 2014). </w:t>
      </w:r>
    </w:p>
    <w:p w14:paraId="3D972608" w14:textId="77777777" w:rsidR="007144CC" w:rsidRPr="00061B56" w:rsidRDefault="007144CC" w:rsidP="007144CC">
      <w:pPr>
        <w:spacing w:line="360" w:lineRule="auto"/>
        <w:jc w:val="both"/>
        <w:rPr>
          <w:sz w:val="24"/>
          <w:szCs w:val="24"/>
        </w:rPr>
      </w:pPr>
      <w:r w:rsidRPr="00061B56">
        <w:rPr>
          <w:color w:val="000000" w:themeColor="text1"/>
          <w:sz w:val="24"/>
          <w:szCs w:val="24"/>
        </w:rPr>
        <w:t xml:space="preserve">      </w:t>
      </w:r>
      <w:r w:rsidRPr="00061B56">
        <w:rPr>
          <w:sz w:val="24"/>
          <w:szCs w:val="24"/>
        </w:rPr>
        <w:t>The fourth barrier identified is poor</w:t>
      </w:r>
      <w:r w:rsidRPr="00061B56">
        <w:t xml:space="preserve"> </w:t>
      </w:r>
      <w:r w:rsidRPr="00061B56">
        <w:rPr>
          <w:sz w:val="24"/>
          <w:szCs w:val="24"/>
        </w:rPr>
        <w:t xml:space="preserve">stakeholders' commitment and external partnership </w:t>
      </w:r>
      <w:r w:rsidRPr="00061B56">
        <w:t>(</w:t>
      </w:r>
      <w:r w:rsidRPr="00061B56">
        <w:rPr>
          <w:sz w:val="24"/>
          <w:szCs w:val="24"/>
        </w:rPr>
        <w:t>Gupta &amp; Barua, 2018).</w:t>
      </w:r>
      <w:r w:rsidRPr="00061B56">
        <w:t xml:space="preserve"> </w:t>
      </w:r>
      <w:r w:rsidRPr="00061B56">
        <w:rPr>
          <w:sz w:val="24"/>
          <w:szCs w:val="24"/>
        </w:rPr>
        <w:t>External connection is critical for SMEs to carry on green innovation practices (Gupta &amp; Barua, 2018).</w:t>
      </w:r>
      <w:r w:rsidRPr="00061B56">
        <w:t xml:space="preserve"> </w:t>
      </w:r>
      <w:r w:rsidRPr="00061B56">
        <w:rPr>
          <w:sz w:val="24"/>
          <w:szCs w:val="24"/>
        </w:rPr>
        <w:t>The main barriers in this category include: supply chain partners' reluctance to share information on green practises (Dhull &amp; Narwal, 2016; Ninlawan et al., 2010; Mudgal et al., 2010; Hong et al., 2009; Walker et al., 2008); other SMEs' ignorance of green practices (Dhull &amp;- Narwal, 2016; Wolf &amp; Seuring, 2010; Sarkar &amp; Mohapatra, 2006); poor communication with external partners and lack of pressure from large organisations to switch to green practices (Gupta &amp; Barua, 2018).</w:t>
      </w:r>
    </w:p>
    <w:p w14:paraId="6A9ACEE8" w14:textId="77777777" w:rsidR="007144CC" w:rsidRPr="00061B56" w:rsidRDefault="007144CC" w:rsidP="007144CC">
      <w:pPr>
        <w:spacing w:line="360" w:lineRule="auto"/>
        <w:jc w:val="both"/>
        <w:rPr>
          <w:color w:val="000000" w:themeColor="text1"/>
          <w:sz w:val="24"/>
          <w:szCs w:val="24"/>
        </w:rPr>
      </w:pPr>
    </w:p>
    <w:p w14:paraId="5000777E" w14:textId="77777777" w:rsidR="007144CC" w:rsidRPr="00061B56" w:rsidRDefault="007144CC" w:rsidP="007144CC">
      <w:pPr>
        <w:spacing w:line="360" w:lineRule="auto"/>
        <w:jc w:val="both"/>
        <w:rPr>
          <w:sz w:val="24"/>
          <w:szCs w:val="24"/>
        </w:rPr>
      </w:pPr>
      <w:r w:rsidRPr="00061B56">
        <w:rPr>
          <w:sz w:val="24"/>
          <w:szCs w:val="24"/>
        </w:rPr>
        <w:lastRenderedPageBreak/>
        <w:t xml:space="preserve">     The fifth barrier involves the ack of government support for green innovative practices (Gupta &amp; Barua, 2018).</w:t>
      </w:r>
      <w:r w:rsidRPr="00061B56">
        <w:t xml:space="preserve"> </w:t>
      </w:r>
      <w:r w:rsidRPr="00061B56">
        <w:rPr>
          <w:sz w:val="24"/>
          <w:szCs w:val="24"/>
        </w:rPr>
        <w:t>Critical barriers in this area include complex and strict rules for green practices (Zhu et al., 2012a, 2012b; Brammer et al., 2012; Runhaar et al., 2008); poor enforcement of climate policies, which gives a trespassing advantage to few (Zhu et al., 2012a, 2012b; AlKhidir &amp; Zailani, 2009; Runhaar et al., 2008);</w:t>
      </w:r>
      <w:r w:rsidRPr="00061B56">
        <w:t xml:space="preserve"> </w:t>
      </w:r>
      <w:r w:rsidRPr="00061B56">
        <w:rPr>
          <w:sz w:val="24"/>
          <w:szCs w:val="24"/>
        </w:rPr>
        <w:t>lack of government training programmes for SMEs to adopt green practices (Gupta &amp; Barua, 2018); and lack of government assistance for SMEs to upgrade their technology (Gupta &amp; Barua, 2018). SMEs' sixth challenge is customer and market-related barriers (Gupta &amp; Barua, 2018).</w:t>
      </w:r>
      <w:r w:rsidRPr="00061B56">
        <w:t xml:space="preserve"> </w:t>
      </w:r>
      <w:r w:rsidRPr="00061B56">
        <w:rPr>
          <w:sz w:val="24"/>
          <w:szCs w:val="24"/>
        </w:rPr>
        <w:t xml:space="preserve">Lack of consumer interest in green products (Dhull &amp; Narwal, 2016; Silva et al., 2008); ignorance of green products (Dhull &amp; Narwal, 2016; Mudgal et al., 2010); and inability to obtain resources from the market to produce green products (Gupta &amp; Barua, 2018) are some of the barriers that fall under this category. </w:t>
      </w:r>
    </w:p>
    <w:p w14:paraId="3CF4F51D" w14:textId="77777777" w:rsidR="007144CC" w:rsidRPr="00061B56" w:rsidRDefault="007144CC" w:rsidP="007144CC">
      <w:pPr>
        <w:spacing w:line="360" w:lineRule="auto"/>
        <w:jc w:val="both"/>
        <w:rPr>
          <w:sz w:val="24"/>
          <w:szCs w:val="24"/>
        </w:rPr>
      </w:pPr>
      <w:r w:rsidRPr="00061B56">
        <w:rPr>
          <w:sz w:val="24"/>
          <w:szCs w:val="24"/>
        </w:rPr>
        <w:t xml:space="preserve">       The final barrier identified is inadequate information and knowledge concerning green practices (Gupta &amp; Barua, 2018).</w:t>
      </w:r>
      <w:r w:rsidRPr="00061B56">
        <w:t xml:space="preserve"> </w:t>
      </w:r>
      <w:r w:rsidRPr="00061B56">
        <w:rPr>
          <w:sz w:val="24"/>
          <w:szCs w:val="24"/>
        </w:rPr>
        <w:t>The critical barriers in this category include employees' and entrepreneurs' ignorance of green practices and laws (Mangla et al., 2017; Longoni et al., 2014;</w:t>
      </w:r>
      <w:r w:rsidRPr="00061B56">
        <w:t xml:space="preserve"> </w:t>
      </w:r>
      <w:r w:rsidRPr="00061B56">
        <w:rPr>
          <w:sz w:val="24"/>
          <w:szCs w:val="24"/>
        </w:rPr>
        <w:t>Mathiyazhagan et al., 2013; Horbach et al., 2012; Mudgal et al., 2010; Runhaar et al., 2008); employees' inability to recognise environmental opportunities; lack of understanding of green technologies, including recycling and reverse logistics facilities (Govindan et al., 2014;</w:t>
      </w:r>
      <w:r w:rsidRPr="00061B56">
        <w:t xml:space="preserve"> </w:t>
      </w:r>
      <w:r w:rsidRPr="00061B56">
        <w:rPr>
          <w:sz w:val="24"/>
          <w:szCs w:val="24"/>
        </w:rPr>
        <w:t>Mathiyazhagan et al., 2013; Walker et al., 2008); lack of belief in the environmental benefits of green products (Pinget et al., 2015; Madrid-Guijarro et al., 2009; Woolman &amp; Veshagh, 2006).</w:t>
      </w:r>
    </w:p>
    <w:p w14:paraId="1C6C394C" w14:textId="77777777" w:rsidR="007144CC" w:rsidRPr="00061B56" w:rsidRDefault="007144CC" w:rsidP="007144CC">
      <w:pPr>
        <w:spacing w:line="360" w:lineRule="auto"/>
        <w:jc w:val="both"/>
        <w:rPr>
          <w:sz w:val="24"/>
          <w:szCs w:val="24"/>
        </w:rPr>
      </w:pPr>
      <w:r w:rsidRPr="00061B56">
        <w:rPr>
          <w:sz w:val="24"/>
          <w:szCs w:val="24"/>
        </w:rPr>
        <w:t xml:space="preserve">       Thus, based on the above discussion, which stresses the importance of EEEO in helping SMEs to identify and address barriers in green practices and thereby combating climate change issues, we expect identifying barriers to green practices to mediate the relationship between EEEO and CER. Hence, we construct the following hypotheses:</w:t>
      </w:r>
    </w:p>
    <w:p w14:paraId="7EDED154" w14:textId="77777777" w:rsidR="007144CC" w:rsidRPr="00061B56" w:rsidRDefault="007144CC" w:rsidP="007144CC">
      <w:pPr>
        <w:spacing w:line="360" w:lineRule="auto"/>
        <w:jc w:val="both"/>
        <w:rPr>
          <w:i/>
          <w:iCs/>
          <w:sz w:val="24"/>
          <w:szCs w:val="24"/>
        </w:rPr>
      </w:pPr>
      <w:r w:rsidRPr="00061B56">
        <w:rPr>
          <w:i/>
          <w:iCs/>
          <w:sz w:val="24"/>
          <w:szCs w:val="24"/>
        </w:rPr>
        <w:t xml:space="preserve">H1a: Entrepreneurial energy efficiency orientation (EEEO) has a positive direct effect on </w:t>
      </w:r>
      <w:bookmarkStart w:id="12" w:name="_Hlk141131236"/>
      <w:r w:rsidRPr="00061B56">
        <w:rPr>
          <w:i/>
          <w:iCs/>
          <w:sz w:val="24"/>
          <w:szCs w:val="24"/>
        </w:rPr>
        <w:t>identifying barriers to green planning (IB).</w:t>
      </w:r>
    </w:p>
    <w:bookmarkEnd w:id="12"/>
    <w:p w14:paraId="4511709C" w14:textId="77777777" w:rsidR="007144CC" w:rsidRPr="00061B56" w:rsidRDefault="007144CC" w:rsidP="007144CC">
      <w:pPr>
        <w:spacing w:line="360" w:lineRule="auto"/>
        <w:jc w:val="both"/>
        <w:rPr>
          <w:i/>
          <w:iCs/>
          <w:sz w:val="24"/>
          <w:szCs w:val="24"/>
        </w:rPr>
      </w:pPr>
      <w:r w:rsidRPr="00061B56">
        <w:rPr>
          <w:i/>
          <w:iCs/>
          <w:sz w:val="24"/>
          <w:szCs w:val="24"/>
        </w:rPr>
        <w:t>H1b: Identifying barriers to green practices (IB) has a positive direct effect on carbon emission reduction (CER).</w:t>
      </w:r>
    </w:p>
    <w:p w14:paraId="4919FC7E" w14:textId="77777777" w:rsidR="007144CC" w:rsidRPr="00061B56" w:rsidRDefault="007144CC" w:rsidP="007144CC">
      <w:pPr>
        <w:spacing w:line="360" w:lineRule="auto"/>
        <w:jc w:val="both"/>
        <w:rPr>
          <w:i/>
          <w:iCs/>
          <w:sz w:val="24"/>
          <w:szCs w:val="24"/>
        </w:rPr>
      </w:pPr>
      <w:r w:rsidRPr="00061B56">
        <w:rPr>
          <w:i/>
          <w:iCs/>
          <w:sz w:val="24"/>
          <w:szCs w:val="24"/>
        </w:rPr>
        <w:lastRenderedPageBreak/>
        <w:t>H1c: Identifying barriers to green practices (IB) mediates the relationship between entrepreneurial energy efficiency orientation (EEEO) and carbon emission reduction (CER).</w:t>
      </w:r>
    </w:p>
    <w:p w14:paraId="67881CBE" w14:textId="77777777" w:rsidR="007144CC" w:rsidRPr="00061B56" w:rsidRDefault="007144CC" w:rsidP="007144CC">
      <w:pPr>
        <w:spacing w:line="360" w:lineRule="auto"/>
        <w:jc w:val="both"/>
        <w:rPr>
          <w:i/>
          <w:iCs/>
          <w:sz w:val="24"/>
          <w:szCs w:val="24"/>
        </w:rPr>
      </w:pPr>
    </w:p>
    <w:p w14:paraId="04F8563A" w14:textId="77777777" w:rsidR="007144CC" w:rsidRPr="00061B56" w:rsidRDefault="007144CC" w:rsidP="007144CC">
      <w:pPr>
        <w:spacing w:line="360" w:lineRule="auto"/>
        <w:jc w:val="both"/>
        <w:rPr>
          <w:b/>
          <w:bCs/>
        </w:rPr>
      </w:pPr>
      <w:r w:rsidRPr="00061B56">
        <w:rPr>
          <w:b/>
          <w:bCs/>
        </w:rPr>
        <w:t xml:space="preserve">4.2 Entrepreneurial energy efficiency orientation, green planning and carbon emission reduction </w:t>
      </w:r>
    </w:p>
    <w:bookmarkEnd w:id="11"/>
    <w:p w14:paraId="4610AA7D" w14:textId="77777777" w:rsidR="007144CC" w:rsidRPr="00061B56" w:rsidRDefault="007144CC" w:rsidP="007144CC">
      <w:pPr>
        <w:spacing w:line="360" w:lineRule="auto"/>
        <w:jc w:val="both"/>
        <w:rPr>
          <w:sz w:val="24"/>
          <w:szCs w:val="24"/>
        </w:rPr>
      </w:pPr>
      <w:r w:rsidRPr="00061B56">
        <w:rPr>
          <w:sz w:val="24"/>
          <w:szCs w:val="24"/>
        </w:rPr>
        <w:t xml:space="preserve">         According to the efficiency orientation of NIT, proactive green practices strategies are more likely to limit carbon emission reduction and improve the financial performance of firms through increased operational efficiency, effective energy savings, and greater access to critical resources (Hart &amp; Dowell, 2011; Hart, 1995).</w:t>
      </w:r>
      <w:r w:rsidRPr="00061B56">
        <w:t xml:space="preserve"> </w:t>
      </w:r>
      <w:r w:rsidRPr="00061B56">
        <w:rPr>
          <w:sz w:val="24"/>
          <w:szCs w:val="24"/>
        </w:rPr>
        <w:t>In addition, businesses that engage in GHG emission reductions may be able to attract and retain climate-conscious investors (Adu et al., 2023b). In this regard, scholars maintain that businesses should be aware that on top of being beneficial to the environment, strategies for reducing carbon emissions and green policies represent crucial channels for sustainable business growth (Adu, 2022).</w:t>
      </w:r>
      <w:r w:rsidRPr="00061B56">
        <w:t xml:space="preserve"> </w:t>
      </w:r>
      <w:r w:rsidRPr="00061B56">
        <w:rPr>
          <w:sz w:val="24"/>
          <w:szCs w:val="24"/>
        </w:rPr>
        <w:t>Despite the potential beneficial impacts of adopting high energy efficiency and low GHG emission on business growth, research shows that SMEs are yet to fully embrace this paradigm shift (Purwandani &amp; Michaud, 2021; Bradford &amp; Fraser, 2008) due to significant barriers that deter the SMEs from doing so (Adu et al., 2023a; Bradford &amp; Fraser, 2008). For instance, many SMEs tend to perceive carbon emission reduction initiatives as requiring substantial cost and effort (Revell &amp; Blackburn, 2005).</w:t>
      </w:r>
      <w:r w:rsidRPr="00061B56">
        <w:t xml:space="preserve"> </w:t>
      </w:r>
      <w:r w:rsidRPr="00061B56">
        <w:rPr>
          <w:sz w:val="24"/>
          <w:szCs w:val="24"/>
        </w:rPr>
        <w:t>Others observe that SMEs may be unaware of options that can help them to reduce their carbon emission or how to implement these measures (Bradford &amp; Fraser, 2008; Halila, 2007), suggesting that energy efficiency behaviour may not be a central principle in the firm. The findings of this prior research suggest that the energy efficiency orientation of owners/managers of SMEs may play a crucial role in helping their businesses overcome barriers to green initiatives.</w:t>
      </w:r>
    </w:p>
    <w:p w14:paraId="086958D4" w14:textId="77777777" w:rsidR="007144CC" w:rsidRPr="00061B56" w:rsidRDefault="007144CC" w:rsidP="007144CC">
      <w:pPr>
        <w:spacing w:line="360" w:lineRule="auto"/>
        <w:jc w:val="both"/>
        <w:rPr>
          <w:sz w:val="24"/>
          <w:szCs w:val="24"/>
        </w:rPr>
      </w:pPr>
      <w:r w:rsidRPr="00061B56">
        <w:rPr>
          <w:sz w:val="24"/>
          <w:szCs w:val="24"/>
        </w:rPr>
        <w:t xml:space="preserve">        At the same time, GP has been identified as a critical driver in helping businesses to overcome barriers to green initiatives and low GHG emissions (Adu et al., 2023a). In support, climate scholars stress that because energy efficiency and green practices involve substantial capital investments, businesses must plan and design innovative </w:t>
      </w:r>
      <w:r w:rsidRPr="00061B56">
        <w:rPr>
          <w:sz w:val="24"/>
          <w:szCs w:val="24"/>
        </w:rPr>
        <w:lastRenderedPageBreak/>
        <w:t>strategies/policies to help maximise the full benefits of such massive investments (Orazalin et al., 2023; Adu, 2022; Haque &amp; Ntim, 2020). Prior research highlights many ways firms may embed GP activities, including (i) firms improving the quality of products, services, and processes, (ii) strategy to acquire highly skilled workers, (iii) strategies on investing time and/or money in green/energy efficiency research, and (iv) plans on investing in technology that enhances energy efficiency (Adu, 2022; Rasoulinezhad &amp; Taghizadeh-Hesary, 2022; O'Keeffe et al., 2016; Kostka et al., 2013). In particular, Adu (2022) stresses that due to the complex nature of green practices and GHG reduction initiatives, firms must recruit highly skilled employees to plan and implement these initiatives. For instance, green planning can create a business environment that will help SMEs invest in carbon footprint by employing low-emission energy or equipment and/or developing low-carbon technology (Adu et al., 2023b), thus overcoming barriers to green initiatives. In this circumstance, SMEs that do not engage in planning their GHG emission reduction activities may realise the necessity of GP as it will come across barriers and uncertainty. Prior studies observe that firms may overcome barriers in green practices by proactively embedding GP in their transition to a more energy-efficient and low GHG emission paradigm (Rasoulinezhad &amp; Taghizadeh-Hesary, 2022;</w:t>
      </w:r>
      <w:r w:rsidRPr="00061B56">
        <w:t xml:space="preserve"> </w:t>
      </w:r>
      <w:r w:rsidRPr="00061B56">
        <w:rPr>
          <w:sz w:val="24"/>
          <w:szCs w:val="24"/>
        </w:rPr>
        <w:t>O'Keeffe et al., 2016;</w:t>
      </w:r>
      <w:r w:rsidRPr="00061B56">
        <w:t xml:space="preserve"> </w:t>
      </w:r>
      <w:r w:rsidRPr="00061B56">
        <w:rPr>
          <w:sz w:val="24"/>
          <w:szCs w:val="24"/>
        </w:rPr>
        <w:t xml:space="preserve">Kostka et al., 2013). </w:t>
      </w:r>
    </w:p>
    <w:p w14:paraId="4C816135" w14:textId="77777777" w:rsidR="007144CC" w:rsidRPr="00061B56" w:rsidRDefault="007144CC" w:rsidP="007144CC">
      <w:pPr>
        <w:spacing w:line="360" w:lineRule="auto"/>
        <w:jc w:val="both"/>
        <w:rPr>
          <w:sz w:val="24"/>
          <w:szCs w:val="24"/>
        </w:rPr>
      </w:pPr>
      <w:r w:rsidRPr="00061B56">
        <w:rPr>
          <w:sz w:val="24"/>
          <w:szCs w:val="24"/>
        </w:rPr>
        <w:t xml:space="preserve">        Meanwhile, climate scholars contend that the extent to which firms engage in GP is significantly influenced/shaped by entrepreneurial orientation (Gupta &amp; Barua, 2018; Bradford &amp; Fraser, 2008). This is especially pertinent for complex energy efficiency issues and low GHG emissions, where SMEs face competing stakeholder demands and conflicting critiques (Orazalin et al., 2023). Some climate scholars suggest that SME owners/managers may be unaware of or uninterested in energy efficiency issues (e.g., Bradford &amp; Fraser, 2008). For instance, a study based on SMEs in northwest England observed that SMEs rank climate issues relatively low on their business priorities (Bichard, 2000). An earlier study in England also observed that SMEs were yet to incorporate a sustainable environmental strategy (Tilley, 1999). Others also find that SMEs tend not to perceive energy costs as substantial enough to concentrate on energy efficiency (Farinelli et al., 2005). However, the rising energy cost is gradually challenging the status quo as businesses face unprecedented energy bills.</w:t>
      </w:r>
    </w:p>
    <w:p w14:paraId="1A7AFDD5" w14:textId="77777777" w:rsidR="007144CC" w:rsidRPr="00061B56" w:rsidRDefault="007144CC" w:rsidP="007144CC">
      <w:pPr>
        <w:spacing w:line="360" w:lineRule="auto"/>
        <w:jc w:val="both"/>
        <w:rPr>
          <w:sz w:val="24"/>
          <w:szCs w:val="24"/>
        </w:rPr>
      </w:pPr>
      <w:r w:rsidRPr="00061B56">
        <w:rPr>
          <w:sz w:val="24"/>
          <w:szCs w:val="24"/>
        </w:rPr>
        <w:lastRenderedPageBreak/>
        <w:t xml:space="preserve">         Further, other researchers provide evidence that SMEs have limited awareness of their environmental effects and little insight into how much they contribute to GHG emissions and global warming (Adu, 2022; Bradford &amp; Fraser, 2008; Bowyer et al., 2005). By contrast, SMEs can easily plan and integrate/purchase costly energy-efficient equipment for profit maximisation and sustainable value creation if the owners/managers have an energy efficiency orientation (Andreou &amp; Kellard, 2021; Wright &amp; Nyberg, 2017).</w:t>
      </w:r>
      <w:r w:rsidRPr="00061B56">
        <w:t xml:space="preserve"> </w:t>
      </w:r>
      <w:r w:rsidRPr="00061B56">
        <w:rPr>
          <w:sz w:val="24"/>
          <w:szCs w:val="24"/>
        </w:rPr>
        <w:t>In this context, it can be argued that SMEs may invest in energy efficiency and green practices to ameliorate climate risks and enhance business economic sustainability (Banerjee, 2003), as predicted by the economic view of NIT.</w:t>
      </w:r>
    </w:p>
    <w:p w14:paraId="7B68841B" w14:textId="77777777" w:rsidR="007144CC" w:rsidRPr="00061B56" w:rsidRDefault="007144CC" w:rsidP="007144CC">
      <w:pPr>
        <w:spacing w:line="360" w:lineRule="auto"/>
        <w:jc w:val="both"/>
        <w:rPr>
          <w:sz w:val="24"/>
          <w:szCs w:val="24"/>
        </w:rPr>
      </w:pPr>
      <w:r w:rsidRPr="00061B56">
        <w:rPr>
          <w:sz w:val="24"/>
          <w:szCs w:val="24"/>
        </w:rPr>
        <w:t xml:space="preserve">      </w:t>
      </w:r>
      <w:bookmarkStart w:id="13" w:name="_Hlk140664717"/>
      <w:r w:rsidRPr="00061B56">
        <w:rPr>
          <w:sz w:val="24"/>
          <w:szCs w:val="24"/>
        </w:rPr>
        <w:t>Together, these findings demonstrate that the energy efficiency orientation of business owners and managers can positively influence how they plan and implement green initiatives/strategies, thereby helping businesses overcome barriers to adopting green practices. However, prior research has not assessed the interrelationship among EEEO, GP and CER, and thus, we provide first-time evidence on these associations. Based on the NIT efficiency and legitimation perspectives, as well as the discussions above, this study expects EEEO to help in overcoming barriers to green practices and increase their CER through GP and develop the following hypotheses:</w:t>
      </w:r>
      <w:bookmarkEnd w:id="13"/>
    </w:p>
    <w:p w14:paraId="73A0F4B2" w14:textId="77777777" w:rsidR="007144CC" w:rsidRPr="00061B56" w:rsidRDefault="007144CC" w:rsidP="007144CC">
      <w:pPr>
        <w:spacing w:line="360" w:lineRule="auto"/>
        <w:jc w:val="both"/>
        <w:rPr>
          <w:i/>
          <w:iCs/>
          <w:sz w:val="24"/>
          <w:szCs w:val="24"/>
        </w:rPr>
      </w:pPr>
      <w:r w:rsidRPr="00061B56">
        <w:rPr>
          <w:i/>
          <w:iCs/>
          <w:sz w:val="24"/>
          <w:szCs w:val="24"/>
        </w:rPr>
        <w:t>H2a: Entrepreneurial energy efficiency orientation (EEEO) has a positive direct effect on green planning (GP).</w:t>
      </w:r>
    </w:p>
    <w:p w14:paraId="00D8384B" w14:textId="77777777" w:rsidR="007144CC" w:rsidRPr="00061B56" w:rsidRDefault="007144CC" w:rsidP="007144CC">
      <w:pPr>
        <w:spacing w:line="360" w:lineRule="auto"/>
        <w:jc w:val="both"/>
        <w:rPr>
          <w:i/>
          <w:iCs/>
          <w:sz w:val="24"/>
          <w:szCs w:val="24"/>
        </w:rPr>
      </w:pPr>
      <w:r w:rsidRPr="00061B56">
        <w:rPr>
          <w:i/>
          <w:iCs/>
          <w:sz w:val="24"/>
          <w:szCs w:val="24"/>
        </w:rPr>
        <w:t>H2b:</w:t>
      </w:r>
      <w:r w:rsidRPr="00061B56">
        <w:t xml:space="preserve"> </w:t>
      </w:r>
      <w:r w:rsidRPr="00061B56">
        <w:rPr>
          <w:i/>
          <w:iCs/>
          <w:sz w:val="24"/>
          <w:szCs w:val="24"/>
        </w:rPr>
        <w:t>Green planning (GP) has a positive direct effect on</w:t>
      </w:r>
      <w:r w:rsidRPr="00061B56">
        <w:t xml:space="preserve"> </w:t>
      </w:r>
      <w:r w:rsidRPr="00061B56">
        <w:rPr>
          <w:i/>
          <w:iCs/>
          <w:sz w:val="24"/>
          <w:szCs w:val="24"/>
        </w:rPr>
        <w:t>carbon emission reduction  (CER).</w:t>
      </w:r>
    </w:p>
    <w:p w14:paraId="01F450D1" w14:textId="77777777" w:rsidR="007144CC" w:rsidRPr="00061B56" w:rsidRDefault="007144CC" w:rsidP="007144CC">
      <w:pPr>
        <w:spacing w:line="360" w:lineRule="auto"/>
        <w:jc w:val="both"/>
        <w:rPr>
          <w:b/>
          <w:bCs/>
        </w:rPr>
      </w:pPr>
      <w:r w:rsidRPr="00061B56">
        <w:rPr>
          <w:i/>
          <w:iCs/>
          <w:sz w:val="24"/>
          <w:szCs w:val="24"/>
        </w:rPr>
        <w:t xml:space="preserve">H2c: Green planning (GP) mediates the relationship between </w:t>
      </w:r>
      <w:bookmarkStart w:id="14" w:name="_Hlk140646372"/>
      <w:r w:rsidRPr="00061B56">
        <w:rPr>
          <w:i/>
          <w:iCs/>
          <w:sz w:val="24"/>
          <w:szCs w:val="24"/>
        </w:rPr>
        <w:t>entrepreneurial energy efficiency orientation</w:t>
      </w:r>
      <w:bookmarkEnd w:id="14"/>
      <w:r w:rsidRPr="00061B56">
        <w:rPr>
          <w:i/>
          <w:iCs/>
          <w:sz w:val="24"/>
          <w:szCs w:val="24"/>
        </w:rPr>
        <w:t xml:space="preserve"> (EEEO) and carbon emission reduction (CER).</w:t>
      </w:r>
    </w:p>
    <w:p w14:paraId="14CD24EA" w14:textId="77777777" w:rsidR="007144CC" w:rsidRPr="00061B56" w:rsidRDefault="007144CC" w:rsidP="007144CC">
      <w:pPr>
        <w:spacing w:line="360" w:lineRule="auto"/>
        <w:jc w:val="both"/>
        <w:rPr>
          <w:b/>
          <w:bCs/>
          <w:sz w:val="24"/>
          <w:szCs w:val="24"/>
        </w:rPr>
      </w:pPr>
      <w:r w:rsidRPr="00061B56">
        <w:rPr>
          <w:b/>
          <w:bCs/>
          <w:sz w:val="24"/>
          <w:szCs w:val="24"/>
        </w:rPr>
        <w:t>4.3 Entrepreneurial energy efficiency orientation,  green networking and carbon emission reduction</w:t>
      </w:r>
    </w:p>
    <w:p w14:paraId="1D0DF2D2" w14:textId="77777777" w:rsidR="007144CC" w:rsidRPr="00061B56" w:rsidRDefault="007144CC" w:rsidP="007144CC">
      <w:pPr>
        <w:spacing w:line="360" w:lineRule="auto"/>
        <w:jc w:val="both"/>
        <w:rPr>
          <w:sz w:val="24"/>
          <w:szCs w:val="24"/>
        </w:rPr>
      </w:pPr>
      <w:r w:rsidRPr="00061B56">
        <w:rPr>
          <w:color w:val="FF0000"/>
          <w:sz w:val="24"/>
          <w:szCs w:val="24"/>
        </w:rPr>
        <w:t xml:space="preserve">      </w:t>
      </w:r>
      <w:r w:rsidRPr="00061B56">
        <w:rPr>
          <w:sz w:val="24"/>
          <w:szCs w:val="24"/>
        </w:rPr>
        <w:t>Scholars have argued that entrepreneurial orientation can accelerate a firm's opportunity-seeking behaviours in crucial areas such as energy efficiency and carbon emission reduction initiatives (Adu, 2022;</w:t>
      </w:r>
      <w:r w:rsidRPr="00061B56">
        <w:t xml:space="preserve"> </w:t>
      </w:r>
      <w:r w:rsidRPr="00061B56">
        <w:rPr>
          <w:sz w:val="24"/>
          <w:szCs w:val="24"/>
        </w:rPr>
        <w:t>Karami &amp; Tang, 2019;</w:t>
      </w:r>
      <w:r w:rsidRPr="00061B56">
        <w:t xml:space="preserve"> </w:t>
      </w:r>
      <w:r w:rsidRPr="00061B56">
        <w:rPr>
          <w:sz w:val="24"/>
          <w:szCs w:val="24"/>
        </w:rPr>
        <w:t xml:space="preserve">Bradford &amp; Fraser, 2008) because it engages firms in 'uncertain, entrepreneurial activities over time (Wales, 2016). </w:t>
      </w:r>
      <w:r w:rsidRPr="00061B56">
        <w:rPr>
          <w:sz w:val="24"/>
          <w:szCs w:val="24"/>
        </w:rPr>
        <w:lastRenderedPageBreak/>
        <w:t xml:space="preserve">For instance, entrepreneurial orientation may impact how SMEs explore and utilise GN opportunities to drive energy efficiency and carbon emission reduction initiatives. Hence, examining the association between EEEO and GN would be particularly pertinent. In particular, prior scholars argue that the energy efficiency orientation of owners/managers of SMEs may play an essential role in helping their businesses overcome barriers to green initiatives through GN (Adu, 2022; Gupta &amp; Barua, 2018; Bradford &amp; Fraser, 2008).  </w:t>
      </w:r>
    </w:p>
    <w:p w14:paraId="3B292A42" w14:textId="77777777" w:rsidR="007144CC" w:rsidRPr="00061B56" w:rsidRDefault="007144CC" w:rsidP="007144CC">
      <w:pPr>
        <w:spacing w:line="360" w:lineRule="auto"/>
        <w:jc w:val="both"/>
        <w:rPr>
          <w:sz w:val="24"/>
          <w:szCs w:val="24"/>
        </w:rPr>
      </w:pPr>
      <w:r w:rsidRPr="00061B56">
        <w:rPr>
          <w:color w:val="FF0000"/>
          <w:sz w:val="24"/>
          <w:szCs w:val="24"/>
        </w:rPr>
        <w:t xml:space="preserve">       </w:t>
      </w:r>
      <w:r w:rsidRPr="00061B56">
        <w:rPr>
          <w:sz w:val="24"/>
          <w:szCs w:val="24"/>
        </w:rPr>
        <w:t>According to Behyan (2016), a network is a grouping of two or more actors in a business relationship who work together to establish alliances and share information. These actors might be individuals, departments, or firms. A few but growing number of studies examining business networks maintain that although interest in networking is not new to the business, its usage in carbon emission reduction of firms is becoming prevalent (e.g., Light, 2020; Elhedhli &amp; Merrick, 2012).</w:t>
      </w:r>
      <w:r w:rsidRPr="00061B56">
        <w:t xml:space="preserve"> </w:t>
      </w:r>
      <w:r w:rsidRPr="00061B56">
        <w:rPr>
          <w:sz w:val="24"/>
          <w:szCs w:val="24"/>
        </w:rPr>
        <w:t>Based on the economic view of NIT, firms, through cognitive/educative/mimetic forces, may copy the behaviour and practices of other firms (the process of voluntarily learning and sharing best practices) (Haque &amp; Ntim, 2020). This suggests that SMEs may significantly contribute to combating climate change by sharing green best practices with other businesses through green networking (GN). Within this theoretical perspective, SMEs will have to make fundamental changes in the firm's</w:t>
      </w:r>
      <w:r w:rsidRPr="00061B56">
        <w:t xml:space="preserve"> </w:t>
      </w:r>
      <w:r w:rsidRPr="00061B56">
        <w:rPr>
          <w:sz w:val="24"/>
          <w:szCs w:val="24"/>
        </w:rPr>
        <w:t xml:space="preserve">behaviour, goals and practices to meet the needs and expectations of societal stakeholders (Ashforth &amp; Gibbs, 1990). In this regard, SMEs may undertake economically efficient actions to reduce their energy consumption and help combat climate change by seeking energy-efficient ways of operating and sharing such green initiatives with other businesses, which may lead to improved CER. </w:t>
      </w:r>
    </w:p>
    <w:p w14:paraId="3546FE81" w14:textId="77777777" w:rsidR="007144CC" w:rsidRPr="00061B56" w:rsidRDefault="007144CC" w:rsidP="007144CC">
      <w:pPr>
        <w:spacing w:line="360" w:lineRule="auto"/>
        <w:jc w:val="both"/>
        <w:rPr>
          <w:sz w:val="24"/>
          <w:szCs w:val="24"/>
        </w:rPr>
      </w:pPr>
      <w:r w:rsidRPr="00061B56">
        <w:rPr>
          <w:sz w:val="24"/>
          <w:szCs w:val="24"/>
        </w:rPr>
        <w:t xml:space="preserve">        Some of the notable GN channels identified in literature include; (i) gaining and sharing green business knowledge/information with other businesses, (ii)</w:t>
      </w:r>
      <w:r w:rsidRPr="00061B56">
        <w:t xml:space="preserve"> </w:t>
      </w:r>
      <w:r w:rsidRPr="00061B56">
        <w:rPr>
          <w:sz w:val="24"/>
          <w:szCs w:val="24"/>
        </w:rPr>
        <w:t>acquiring knowledge and sharing information regarding carbon emission regulations,</w:t>
      </w:r>
      <w:r w:rsidRPr="00061B56">
        <w:t xml:space="preserve"> (iii) </w:t>
      </w:r>
      <w:r w:rsidRPr="00061B56">
        <w:rPr>
          <w:sz w:val="24"/>
          <w:szCs w:val="24"/>
        </w:rPr>
        <w:t>selection of possible partners in advance to build green relationships, (iv)</w:t>
      </w:r>
      <w:r w:rsidRPr="00061B56">
        <w:t xml:space="preserve"> </w:t>
      </w:r>
      <w:r w:rsidRPr="00061B56">
        <w:rPr>
          <w:sz w:val="24"/>
          <w:szCs w:val="24"/>
        </w:rPr>
        <w:t>dealing flexibly with green partners,</w:t>
      </w:r>
      <w:r w:rsidRPr="00061B56">
        <w:t xml:space="preserve"> (v) </w:t>
      </w:r>
      <w:r w:rsidRPr="00061B56">
        <w:rPr>
          <w:sz w:val="24"/>
          <w:szCs w:val="24"/>
        </w:rPr>
        <w:t>discussing with green partners regularly on how to support each other to reduce waste and improve efficiency, and</w:t>
      </w:r>
      <w:r w:rsidRPr="00061B56">
        <w:t xml:space="preserve"> (vi) the</w:t>
      </w:r>
      <w:r w:rsidRPr="00061B56">
        <w:rPr>
          <w:sz w:val="24"/>
          <w:szCs w:val="24"/>
        </w:rPr>
        <w:t xml:space="preserve"> appointment of employees who are responsible for maintaining a relationship with green partners (Adu et al., 2023b; Haque &amp; Ntim, 2020; Gupta &amp; Barua, 2018; Bradford &amp; Fraser, 2008;</w:t>
      </w:r>
      <w:r w:rsidRPr="00061B56">
        <w:t xml:space="preserve"> </w:t>
      </w:r>
      <w:r w:rsidRPr="00061B56">
        <w:rPr>
          <w:sz w:val="24"/>
          <w:szCs w:val="24"/>
        </w:rPr>
        <w:t xml:space="preserve">Castka et al., 2004). In this </w:t>
      </w:r>
      <w:r w:rsidRPr="00061B56">
        <w:rPr>
          <w:sz w:val="24"/>
          <w:szCs w:val="24"/>
        </w:rPr>
        <w:lastRenderedPageBreak/>
        <w:t xml:space="preserve">regard, GN can provide an essential platform for gaining knowledge or learning about overcoming barriers to green practices and hence can motivate SMEs to reduce their carbon footprint. In other words, the GN approach can play a crucial role in SMEs CER as it can provide a faster way to access best green practices and overcome barriers to green practices (Adu, 2022). This is especially pertinent because GN can help SMEs to gain knowledge and become aware of current rules and regulations on GHG emissions. </w:t>
      </w:r>
    </w:p>
    <w:p w14:paraId="7F9E78D2" w14:textId="77777777" w:rsidR="007144CC" w:rsidRPr="00061B56" w:rsidRDefault="007144CC" w:rsidP="007144CC">
      <w:pPr>
        <w:spacing w:line="360" w:lineRule="auto"/>
        <w:jc w:val="both"/>
        <w:rPr>
          <w:sz w:val="24"/>
          <w:szCs w:val="24"/>
        </w:rPr>
      </w:pPr>
      <w:r w:rsidRPr="00061B56">
        <w:rPr>
          <w:sz w:val="24"/>
          <w:szCs w:val="24"/>
        </w:rPr>
        <w:t xml:space="preserve">        Some scholars have argued that GN mechanisms may influence the link between energy efficiency orientation and CER initiatives (e.g., Adu, 2022). For instance, GN can affect the initial decisions on energy efficiency choices, including the type of green investments and the selection of green partners due to the knowledge gained through GN, which can help SMEs overcome barriers faced in CER. In addition, GN can also provide advice that allows SME owners and managers to decide how to engage in green practices (Adu, 2022; Karami &amp; Tang, 2019; Behyan, 2016). In this context, accessing knowledge and vital information can enable SMEs to overcome barriers to engaging in CER. </w:t>
      </w:r>
    </w:p>
    <w:p w14:paraId="7D8E07F2" w14:textId="77777777" w:rsidR="007144CC" w:rsidRPr="00061B56" w:rsidRDefault="007144CC" w:rsidP="007144CC">
      <w:pPr>
        <w:spacing w:line="360" w:lineRule="auto"/>
        <w:jc w:val="both"/>
        <w:rPr>
          <w:sz w:val="24"/>
          <w:szCs w:val="24"/>
        </w:rPr>
      </w:pPr>
      <w:r w:rsidRPr="00061B56">
        <w:rPr>
          <w:sz w:val="24"/>
          <w:szCs w:val="24"/>
        </w:rPr>
        <w:t xml:space="preserve">       Meanwhile, Milanzi (2012) explains that the effectiveness of networks is shaped by network composition, network size and strength of ties between the businesses. In this regard, SME owners and managers may gather crucial CER initiatives information by networking with other players such as distributers, suppliers, competitors, customers, industry associations, business consultants, banks and government agencies. By utilising the green practices knowledge acquired from other network actors, SMEs will adopt well-known channels that have a more beneficial impact on CER. The arguments above lead to the proposal that EEEO helps in overcoming barriers to green practices and increasing CER through networking activities, and develop the following hypotheses:</w:t>
      </w:r>
    </w:p>
    <w:p w14:paraId="4CD3D243" w14:textId="77777777" w:rsidR="007144CC" w:rsidRPr="00061B56" w:rsidRDefault="007144CC" w:rsidP="007144CC">
      <w:pPr>
        <w:spacing w:line="360" w:lineRule="auto"/>
        <w:jc w:val="both"/>
        <w:rPr>
          <w:sz w:val="24"/>
          <w:szCs w:val="24"/>
        </w:rPr>
      </w:pPr>
      <w:r w:rsidRPr="00061B56">
        <w:rPr>
          <w:sz w:val="24"/>
          <w:szCs w:val="24"/>
        </w:rPr>
        <w:t xml:space="preserve"> </w:t>
      </w:r>
      <w:r w:rsidRPr="00061B56">
        <w:rPr>
          <w:i/>
          <w:iCs/>
          <w:sz w:val="24"/>
          <w:szCs w:val="24"/>
        </w:rPr>
        <w:t>H2a: Entrepreneurial energy efficiency orientation (EEEO) has a positive direct effect on green networking (GN).</w:t>
      </w:r>
    </w:p>
    <w:p w14:paraId="75363E36" w14:textId="77777777" w:rsidR="007144CC" w:rsidRPr="00061B56" w:rsidRDefault="007144CC" w:rsidP="007144CC">
      <w:pPr>
        <w:spacing w:line="360" w:lineRule="auto"/>
        <w:jc w:val="both"/>
        <w:rPr>
          <w:i/>
          <w:iCs/>
          <w:sz w:val="24"/>
          <w:szCs w:val="24"/>
        </w:rPr>
      </w:pPr>
      <w:r w:rsidRPr="00061B56">
        <w:rPr>
          <w:i/>
          <w:iCs/>
          <w:sz w:val="24"/>
          <w:szCs w:val="24"/>
        </w:rPr>
        <w:t>H2b: Green networking (GN) has a positive direct effect on carbon emission reduction (CER).</w:t>
      </w:r>
    </w:p>
    <w:p w14:paraId="3CFD90B5" w14:textId="77777777" w:rsidR="007144CC" w:rsidRPr="00061B56" w:rsidRDefault="007144CC" w:rsidP="007144CC">
      <w:pPr>
        <w:spacing w:line="360" w:lineRule="auto"/>
        <w:jc w:val="both"/>
        <w:rPr>
          <w:i/>
          <w:iCs/>
          <w:sz w:val="24"/>
          <w:szCs w:val="24"/>
        </w:rPr>
      </w:pPr>
      <w:r w:rsidRPr="00061B56">
        <w:rPr>
          <w:i/>
          <w:iCs/>
          <w:sz w:val="24"/>
          <w:szCs w:val="24"/>
        </w:rPr>
        <w:t>H2c: Green networking (GN) mediates the relationship between entrepreneurial energy efficiency orientation (EEEO) and carbon emission reduction (CER).</w:t>
      </w:r>
    </w:p>
    <w:p w14:paraId="66A54997" w14:textId="77777777" w:rsidR="007144CC" w:rsidRPr="00061B56" w:rsidRDefault="007144CC" w:rsidP="007144CC">
      <w:pPr>
        <w:spacing w:line="360" w:lineRule="auto"/>
        <w:jc w:val="both"/>
        <w:rPr>
          <w:i/>
          <w:iCs/>
          <w:sz w:val="24"/>
          <w:szCs w:val="24"/>
        </w:rPr>
      </w:pPr>
      <w:r w:rsidRPr="00061B56">
        <w:rPr>
          <w:b/>
          <w:bCs/>
          <w:sz w:val="24"/>
          <w:szCs w:val="24"/>
        </w:rPr>
        <w:lastRenderedPageBreak/>
        <w:t>4.4 Entrepreneurial energy efficiency orientation, selection of green innovation and carbon emission reduction</w:t>
      </w:r>
    </w:p>
    <w:p w14:paraId="6E051DE3" w14:textId="77777777" w:rsidR="007144CC" w:rsidRPr="00061B56" w:rsidRDefault="007144CC" w:rsidP="007144CC">
      <w:pPr>
        <w:spacing w:line="360" w:lineRule="auto"/>
        <w:jc w:val="both"/>
        <w:rPr>
          <w:sz w:val="24"/>
          <w:szCs w:val="24"/>
        </w:rPr>
      </w:pPr>
      <w:r w:rsidRPr="00061B56">
        <w:rPr>
          <w:sz w:val="24"/>
          <w:szCs w:val="24"/>
        </w:rPr>
        <w:t xml:space="preserve">        Across the globe, various governments and other stakeholders are concentrating on this group of SMEs to assist them in reducing pollution and maintaining ecological balance because SMEs are one of the most significant generators of industrial pollution (Gupta &amp; Barua, 2018). However, due to limited resources, SMEs cannot respond quickly to the changing demands of the stakeholders (Adu et al., 2022; Gupta &amp; Barua, 2018).</w:t>
      </w:r>
      <w:r w:rsidRPr="00061B56">
        <w:t xml:space="preserve"> </w:t>
      </w:r>
      <w:r w:rsidRPr="00061B56">
        <w:rPr>
          <w:sz w:val="24"/>
          <w:szCs w:val="24"/>
        </w:rPr>
        <w:t>Hence, the need for green innovation arises (Cordeiro &amp; Vieira, 2012) to enable SMEs to use their limited resources to switch to more energy-efficient operating methods, thereby improving CER.</w:t>
      </w:r>
      <w:r w:rsidRPr="00061B56">
        <w:t xml:space="preserve"> </w:t>
      </w:r>
      <w:r w:rsidRPr="00061B56">
        <w:rPr>
          <w:sz w:val="24"/>
          <w:szCs w:val="24"/>
        </w:rPr>
        <w:t>Green innovation is the application of novel goods, processes, materials, etc., that minimise the release of hazardous substances into the environment while simultaneously reducing the consumption of natural resources (Ghisetti et al., 2017); it can serve as a potential remedy to the growing issue of SMEs' carbon emission reduction.</w:t>
      </w:r>
      <w:r w:rsidRPr="00061B56">
        <w:t xml:space="preserve"> </w:t>
      </w:r>
      <w:r w:rsidRPr="00061B56">
        <w:rPr>
          <w:sz w:val="24"/>
          <w:szCs w:val="24"/>
        </w:rPr>
        <w:t>Similarly, Kemp (2010) defines green innovation as the development, assimilation, or exploitation of a product, production process, service, management, or business method that is novel to the organisation (developing or adopting it) and that results, throughout its life cycle, in a reduction of environmental risk, pollution, and other adverse impacts of resource use (including energy use), compared to pertinent alternatives.</w:t>
      </w:r>
    </w:p>
    <w:p w14:paraId="55588D37" w14:textId="77777777" w:rsidR="007144CC" w:rsidRPr="00061B56" w:rsidRDefault="007144CC" w:rsidP="007144CC">
      <w:pPr>
        <w:spacing w:line="360" w:lineRule="auto"/>
        <w:jc w:val="both"/>
      </w:pPr>
      <w:r w:rsidRPr="00061B56">
        <w:rPr>
          <w:sz w:val="24"/>
          <w:szCs w:val="24"/>
        </w:rPr>
        <w:t xml:space="preserve">        The efficiency view of NIT predicts that firms' selection of green innovation approaches (GI) can increase CER and boost profitability through improved operational effectiveness, efficient energy savings, and access to resources (Hart, 1995; Hart &amp; Dowell, 2011). However, financially, such environmental activities demand significant work, come with substantial costs and risks, and may discourage firms from engaging in such initiatives (He et al., 2021; Oberndorfer et al., 2013). In support, other scholars maintain that SMEs face many barriers in selecting and adopting green innovation practices in their core business operations (Gupta &amp; Barua, 2018). Thus, there is a growing need for SMEs to address and overcome these barriers.</w:t>
      </w:r>
      <w:r w:rsidRPr="00061B56">
        <w:t xml:space="preserve"> </w:t>
      </w:r>
    </w:p>
    <w:p w14:paraId="412E6BA5" w14:textId="77777777" w:rsidR="007144CC" w:rsidRPr="00061B56" w:rsidRDefault="007144CC" w:rsidP="007144CC">
      <w:pPr>
        <w:spacing w:line="360" w:lineRule="auto"/>
        <w:jc w:val="both"/>
        <w:rPr>
          <w:sz w:val="24"/>
          <w:szCs w:val="24"/>
        </w:rPr>
      </w:pPr>
      <w:r w:rsidRPr="00061B56">
        <w:t xml:space="preserve">      </w:t>
      </w:r>
      <w:r w:rsidRPr="00061B56">
        <w:rPr>
          <w:sz w:val="24"/>
          <w:szCs w:val="24"/>
        </w:rPr>
        <w:t>Synthesis of the literature</w:t>
      </w:r>
      <w:r w:rsidRPr="00061B56">
        <w:t xml:space="preserve"> </w:t>
      </w:r>
      <w:r w:rsidRPr="00061B56">
        <w:rPr>
          <w:sz w:val="24"/>
          <w:szCs w:val="24"/>
        </w:rPr>
        <w:t>reveals several approaches for SMEs to select to overcome these green barriers and adopt green innovations. These include (i)</w:t>
      </w:r>
      <w:r w:rsidRPr="00061B56">
        <w:t xml:space="preserve"> </w:t>
      </w:r>
      <w:r w:rsidRPr="00061B56">
        <w:rPr>
          <w:sz w:val="24"/>
          <w:szCs w:val="24"/>
        </w:rPr>
        <w:t>achieving innovation through green innovation initiatives, (ii)</w:t>
      </w:r>
      <w:r w:rsidRPr="00061B56">
        <w:t xml:space="preserve"> </w:t>
      </w:r>
      <w:r w:rsidRPr="00061B56">
        <w:rPr>
          <w:sz w:val="24"/>
          <w:szCs w:val="24"/>
        </w:rPr>
        <w:t xml:space="preserve">realising innovation through green innovation </w:t>
      </w:r>
      <w:r w:rsidRPr="00061B56">
        <w:rPr>
          <w:sz w:val="24"/>
          <w:szCs w:val="24"/>
        </w:rPr>
        <w:lastRenderedPageBreak/>
        <w:t>monitoring and follow-up, (iii)</w:t>
      </w:r>
      <w:r w:rsidRPr="00061B56">
        <w:t xml:space="preserve"> </w:t>
      </w:r>
      <w:r w:rsidRPr="00061B56">
        <w:rPr>
          <w:sz w:val="24"/>
          <w:szCs w:val="24"/>
        </w:rPr>
        <w:t>attaining innovation through green networking/network relations, (iv) achieving innovation through green regulation/government guidelines, and (v) achieving green innovation by using local partners/suppliers/distributors (Gupta &amp; Barua, 2018</w:t>
      </w:r>
      <w:r w:rsidRPr="00061B56">
        <w:t xml:space="preserve">; </w:t>
      </w:r>
      <w:r w:rsidRPr="00061B56">
        <w:rPr>
          <w:sz w:val="24"/>
          <w:szCs w:val="24"/>
        </w:rPr>
        <w:t>Arundel &amp; Kemp, 2009). Scholars suggest that the energy efficiency orientation of owners/managers of SMEs may play an essential role in helping their businesses overcome barriers to green initiatives by selecting appropriate green innovation approaches (Gupta &amp; Barua, 2018; Mathiyazhagan et al., 2014).</w:t>
      </w:r>
    </w:p>
    <w:p w14:paraId="2CE46BAA" w14:textId="77777777" w:rsidR="007144CC" w:rsidRPr="00061B56" w:rsidRDefault="007144CC" w:rsidP="007144CC">
      <w:pPr>
        <w:spacing w:line="360" w:lineRule="auto"/>
        <w:jc w:val="both"/>
        <w:rPr>
          <w:sz w:val="24"/>
          <w:szCs w:val="24"/>
        </w:rPr>
      </w:pPr>
      <w:r w:rsidRPr="00061B56">
        <w:rPr>
          <w:sz w:val="24"/>
          <w:szCs w:val="24"/>
        </w:rPr>
        <w:t xml:space="preserve">      Based on the theoretical arguments and the discussion above, we expect that the energy efficiency orientation of SMEs owners and managers can positively impact the selection of green innovation approaches and help the firms overcome barriers to green practices adoption with a beneficial impact on CER. Yet, prior studies have not examined the interrelationship among EEEO, GI and CER, so we provide first-time evidence of these relationships. Accordingly, we develop the following hypotheses:</w:t>
      </w:r>
    </w:p>
    <w:p w14:paraId="5203209D" w14:textId="77777777" w:rsidR="007144CC" w:rsidRPr="00061B56" w:rsidRDefault="007144CC" w:rsidP="007144CC">
      <w:pPr>
        <w:spacing w:line="360" w:lineRule="auto"/>
        <w:jc w:val="both"/>
        <w:rPr>
          <w:i/>
          <w:iCs/>
          <w:sz w:val="24"/>
          <w:szCs w:val="24"/>
        </w:rPr>
      </w:pPr>
      <w:r w:rsidRPr="00061B56">
        <w:rPr>
          <w:i/>
          <w:iCs/>
          <w:sz w:val="24"/>
          <w:szCs w:val="24"/>
        </w:rPr>
        <w:t>H4a: Entrepreneurial energy efficiency orientation (EEEO) has a positive direct effect on green networking (GI).</w:t>
      </w:r>
    </w:p>
    <w:p w14:paraId="5D07084A" w14:textId="77777777" w:rsidR="007144CC" w:rsidRPr="00061B56" w:rsidRDefault="007144CC" w:rsidP="007144CC">
      <w:pPr>
        <w:spacing w:line="360" w:lineRule="auto"/>
        <w:jc w:val="both"/>
        <w:rPr>
          <w:i/>
          <w:iCs/>
          <w:sz w:val="24"/>
          <w:szCs w:val="24"/>
        </w:rPr>
      </w:pPr>
      <w:r w:rsidRPr="00061B56">
        <w:rPr>
          <w:i/>
          <w:iCs/>
          <w:sz w:val="24"/>
          <w:szCs w:val="24"/>
        </w:rPr>
        <w:t>H4b: Selection of green innovation approaches (GI) has a positive direct effect on carbon emission reduction (CER).</w:t>
      </w:r>
    </w:p>
    <w:p w14:paraId="71D5F63E" w14:textId="77777777" w:rsidR="007144CC" w:rsidRPr="00061B56" w:rsidRDefault="007144CC" w:rsidP="007144CC">
      <w:pPr>
        <w:spacing w:line="360" w:lineRule="auto"/>
        <w:jc w:val="both"/>
        <w:rPr>
          <w:i/>
          <w:iCs/>
          <w:sz w:val="24"/>
          <w:szCs w:val="24"/>
        </w:rPr>
      </w:pPr>
      <w:r w:rsidRPr="00061B56">
        <w:rPr>
          <w:i/>
          <w:iCs/>
          <w:sz w:val="24"/>
          <w:szCs w:val="24"/>
        </w:rPr>
        <w:t>H4c: Selection of green innovation approaches (GI) mediates the relationship between entrepreneurial energy efficiency orientation (EEEO) and carbon emission reduction (CER).</w:t>
      </w:r>
    </w:p>
    <w:p w14:paraId="38548FED" w14:textId="77777777" w:rsidR="007144CC" w:rsidRPr="00061B56" w:rsidRDefault="007144CC" w:rsidP="007144CC">
      <w:pPr>
        <w:spacing w:line="360" w:lineRule="auto"/>
        <w:jc w:val="both"/>
        <w:rPr>
          <w:sz w:val="24"/>
          <w:szCs w:val="24"/>
        </w:rPr>
      </w:pPr>
      <w:r w:rsidRPr="00061B56">
        <w:rPr>
          <w:sz w:val="24"/>
          <w:szCs w:val="24"/>
        </w:rPr>
        <w:t>Figure 1 presents the conceptual framework, outlining the predicted relationships among EEEO, IB, GP, GN, GI, and CER. It shows the direct effects of EEEO on IB, GP, GN and GI, the direct effect of IB, GP, GN, GI on CER, and the mediating effects of IB, GP, GN and GI on the EEEO-CER relationship.</w:t>
      </w:r>
    </w:p>
    <w:p w14:paraId="1F22440D" w14:textId="77777777" w:rsidR="007144CC" w:rsidRPr="00061B56" w:rsidRDefault="007144CC" w:rsidP="007144CC">
      <w:pPr>
        <w:spacing w:line="360" w:lineRule="auto"/>
        <w:jc w:val="center"/>
        <w:rPr>
          <w:i/>
          <w:iCs/>
          <w:sz w:val="24"/>
          <w:szCs w:val="24"/>
        </w:rPr>
      </w:pPr>
      <w:commentRangeStart w:id="15"/>
      <w:r w:rsidRPr="00061B56">
        <w:rPr>
          <w:i/>
          <w:iCs/>
          <w:sz w:val="24"/>
          <w:szCs w:val="24"/>
        </w:rPr>
        <w:t>Insert Figure 1 about here</w:t>
      </w:r>
      <w:commentRangeEnd w:id="15"/>
      <w:r w:rsidR="00CA2E4A" w:rsidRPr="00061B56">
        <w:rPr>
          <w:rStyle w:val="CommentReference"/>
          <w:i/>
          <w:iCs/>
          <w:sz w:val="24"/>
          <w:szCs w:val="24"/>
        </w:rPr>
        <w:commentReference w:id="15"/>
      </w:r>
    </w:p>
    <w:p w14:paraId="67D37AE2" w14:textId="77777777" w:rsidR="007144CC" w:rsidRPr="00061B56" w:rsidRDefault="007144CC" w:rsidP="007144CC">
      <w:pPr>
        <w:jc w:val="both"/>
        <w:rPr>
          <w:rFonts w:cstheme="minorHAnsi"/>
          <w:b/>
          <w:sz w:val="24"/>
          <w:szCs w:val="24"/>
        </w:rPr>
      </w:pPr>
    </w:p>
    <w:p w14:paraId="1C247287" w14:textId="77777777" w:rsidR="007144CC" w:rsidRPr="00061B56" w:rsidRDefault="007144CC" w:rsidP="007144CC">
      <w:pPr>
        <w:jc w:val="both"/>
        <w:rPr>
          <w:rFonts w:cstheme="minorHAnsi"/>
          <w:b/>
          <w:sz w:val="24"/>
          <w:szCs w:val="24"/>
        </w:rPr>
      </w:pPr>
    </w:p>
    <w:p w14:paraId="6A99DC4F" w14:textId="77777777" w:rsidR="007144CC" w:rsidRPr="00061B56" w:rsidRDefault="007144CC" w:rsidP="007144CC">
      <w:pPr>
        <w:jc w:val="both"/>
        <w:rPr>
          <w:rFonts w:cstheme="minorHAnsi"/>
          <w:b/>
          <w:sz w:val="24"/>
          <w:szCs w:val="24"/>
        </w:rPr>
      </w:pPr>
    </w:p>
    <w:p w14:paraId="1132E998" w14:textId="77777777" w:rsidR="007144CC" w:rsidRPr="00061B56" w:rsidRDefault="007144CC" w:rsidP="007144CC">
      <w:pPr>
        <w:jc w:val="both"/>
        <w:rPr>
          <w:rFonts w:cstheme="minorHAnsi"/>
          <w:b/>
          <w:sz w:val="24"/>
          <w:szCs w:val="24"/>
        </w:rPr>
      </w:pPr>
    </w:p>
    <w:p w14:paraId="00996F1C" w14:textId="2BA5C2E7" w:rsidR="007144CC" w:rsidRPr="00061B56" w:rsidRDefault="007144CC" w:rsidP="007144CC">
      <w:pPr>
        <w:jc w:val="both"/>
        <w:rPr>
          <w:rFonts w:cstheme="minorHAnsi"/>
          <w:b/>
          <w:sz w:val="24"/>
          <w:szCs w:val="24"/>
        </w:rPr>
      </w:pPr>
      <w:r w:rsidRPr="00061B56">
        <w:rPr>
          <w:rFonts w:cstheme="minorHAnsi"/>
          <w:b/>
          <w:sz w:val="24"/>
          <w:szCs w:val="24"/>
        </w:rPr>
        <w:lastRenderedPageBreak/>
        <w:t>5 Methodology</w:t>
      </w:r>
    </w:p>
    <w:p w14:paraId="1948241F" w14:textId="77777777" w:rsidR="007144CC" w:rsidRPr="00061B56" w:rsidRDefault="007144CC" w:rsidP="007144CC">
      <w:pPr>
        <w:spacing w:line="360" w:lineRule="auto"/>
        <w:jc w:val="both"/>
        <w:rPr>
          <w:rFonts w:cstheme="minorHAnsi"/>
          <w:b/>
          <w:sz w:val="24"/>
          <w:szCs w:val="24"/>
        </w:rPr>
      </w:pPr>
      <w:r w:rsidRPr="00061B56">
        <w:rPr>
          <w:rFonts w:cstheme="minorHAnsi"/>
          <w:b/>
          <w:sz w:val="24"/>
          <w:szCs w:val="24"/>
        </w:rPr>
        <w:t xml:space="preserve">5.1 Sample and data collection    </w:t>
      </w:r>
    </w:p>
    <w:p w14:paraId="7F9E6D69" w14:textId="77777777" w:rsidR="007144CC" w:rsidRPr="00061B56" w:rsidRDefault="007144CC" w:rsidP="007144CC">
      <w:pPr>
        <w:spacing w:line="360" w:lineRule="auto"/>
        <w:jc w:val="both"/>
        <w:rPr>
          <w:rFonts w:cstheme="minorHAnsi"/>
          <w:bCs/>
          <w:sz w:val="24"/>
          <w:szCs w:val="24"/>
        </w:rPr>
      </w:pPr>
      <w:r w:rsidRPr="00061B56">
        <w:rPr>
          <w:rFonts w:cstheme="minorHAnsi"/>
          <w:b/>
          <w:sz w:val="24"/>
          <w:szCs w:val="24"/>
        </w:rPr>
        <w:t xml:space="preserve">        </w:t>
      </w:r>
      <w:r w:rsidRPr="00061B56">
        <w:rPr>
          <w:rFonts w:cstheme="minorHAnsi"/>
          <w:bCs/>
          <w:sz w:val="24"/>
          <w:szCs w:val="24"/>
        </w:rPr>
        <w:t>To test our hypotheses, we draw on data from SMEs in Greater Accra, Ghana, and West Africa. The choice of the Greater Accra region in Ghana is explicitly strategic for this research project as it is home to one of Ghana's most significant energy-intensive industrial clusters of small(er) businesses. SMEs account for a substantial proportion of private-sector economic activity in Ghana (90% of registered businesses in Ghana are SMEs).</w:t>
      </w:r>
    </w:p>
    <w:p w14:paraId="7BD84AAB"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The </w:t>
      </w:r>
      <w:bookmarkStart w:id="16" w:name="_Hlk141812848"/>
      <w:r w:rsidRPr="00061B56">
        <w:rPr>
          <w:rFonts w:cstheme="minorHAnsi"/>
          <w:bCs/>
          <w:sz w:val="24"/>
          <w:szCs w:val="24"/>
        </w:rPr>
        <w:t xml:space="preserve">Ghana Statistical Service </w:t>
      </w:r>
      <w:bookmarkEnd w:id="16"/>
      <w:r w:rsidRPr="00061B56">
        <w:rPr>
          <w:rFonts w:cstheme="minorHAnsi"/>
          <w:bCs/>
          <w:sz w:val="24"/>
          <w:szCs w:val="24"/>
        </w:rPr>
        <w:t xml:space="preserve">defines firms with less than 100 employees as SMEs. For this study, we considered all SMEs that operate in the Greater Accra region. Based on these criteria, we focused on SMEs in all the industries across the Greater Accra region. As a result, our targeted sample reached 1000 firms. Of these 1000 firms, 605 did not participate in the survey for reasons such as having no interest in the research topic or being overloaded by business activities. Among the 395 firms who agreed to respond to our survey, 171 cases did not start nor submit the survey after three reminders. Thus, our final sample consisted of 224 complete responses. The data collection began in </w:t>
      </w:r>
      <w:commentRangeStart w:id="17"/>
      <w:r w:rsidRPr="00061B56">
        <w:rPr>
          <w:rFonts w:cstheme="minorHAnsi"/>
          <w:bCs/>
          <w:sz w:val="24"/>
          <w:szCs w:val="24"/>
        </w:rPr>
        <w:t>May 2022 and ended in February 2023</w:t>
      </w:r>
      <w:commentRangeEnd w:id="17"/>
      <w:r w:rsidRPr="00061B56">
        <w:rPr>
          <w:rStyle w:val="CommentReference"/>
          <w:rFonts w:cstheme="minorHAnsi"/>
          <w:bCs/>
          <w:sz w:val="24"/>
          <w:szCs w:val="24"/>
        </w:rPr>
        <w:commentReference w:id="17"/>
      </w:r>
      <w:r w:rsidRPr="00061B56">
        <w:rPr>
          <w:rFonts w:cstheme="minorHAnsi"/>
          <w:bCs/>
          <w:sz w:val="24"/>
          <w:szCs w:val="24"/>
        </w:rPr>
        <w:t xml:space="preserve">. We surveyed owners or top managers in charge of the SMEs since they have more knowledge and insights about the firms' energy and carbon emission activities. The survey was administered in-person and online, as blend surveys can control for the risk of unrepresentative samples (Karami &amp; Tang, 2019; Sills &amp; Song, 2002). </w:t>
      </w:r>
    </w:p>
    <w:p w14:paraId="33B56B8C"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We employ several techniques to increase the response rate. We adopted the motive of social exchange theory to encourage respondents concerning perceived costs and benefits (Dillman, 1991). To guarantee that our respondents did not perceive the pre-notice emails as unsolicited, they were sent before the link to the online survey was distributed (Karami &amp; Tang, 2019). We called them as a follow-up to confirm that respondents had received the pre-notice emails and were still interested in responding to the survey. Following their acceptance, we first emailed the online survey, which was made available to responders in desktop and mobile versions. Additionally, we followed up with non-respondents via email and telephone calls six and twelve weeks later. </w:t>
      </w:r>
      <w:r w:rsidRPr="00061B56">
        <w:rPr>
          <w:rFonts w:cstheme="minorHAnsi"/>
          <w:bCs/>
          <w:sz w:val="24"/>
          <w:szCs w:val="24"/>
        </w:rPr>
        <w:lastRenderedPageBreak/>
        <w:t>Second, we ensured respondents' privacy by committing to publish only aggregate findings rather than findings specific to any single firm (Sills &amp; Song, 2002). Third, we guaranteed that respondents would receive a summary of the findings (Karami &amp; Tang, 2019). Due to the significance of learning from other successful SMEs, we thought this might be a significant incentive for respondents to complete the survey. Personalised emails and cover letters were also used (Dillman, 1991).</w:t>
      </w:r>
    </w:p>
    <w:p w14:paraId="51EBA337"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Following Karami and Tang (2019), we used independent t-tests to determine whether there was any potential non-response bias between early and late responses in terms of our key variables (such as EEEO, IB, GP, GN, GI and CER) and the control variables (e.g., industry, firm size, firm age and owner/manager education level). The study finds no significant differences between the two groups. Furthermore, the study employs the same tests to check for a non-response bias between the final sample of 224 cases and the 605 firms who did not accept the invitation to participate in the survey, as well as between the final sample of 224 cases and the 171 firms who agreed but did not complete the survey (Sluis &amp; De Giovanni, 2016) in terms of firm characteristics such as firm size and firm age. No significant differences were observed, indicating no major threat of non-response bias in the data.</w:t>
      </w:r>
    </w:p>
    <w:p w14:paraId="57E14826"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This research investigates underlying latent variables and measures them using relevant indicators identified from the literature. In order words, this research discovers the factors that emerged from the indicative questions loaded collectively. Therefore, this research will be essentially required to use 'Factor analysis' as the primary analytical technique. The factor analysis is in two main parts. The first part involves exploratory factor analysis (EFA), in which the underlying factors are discovered, and the development of the measurement model based on the factor loadings. Composite reliability and Average Variance extracted (AVE) are then used to ensure the internal consistency of the questionnaire and whether they accurately measure the construct. We employ a model fit summary to ensure the reliability of the project data (Hatcher, 1994; Segars &amp; Grover, </w:t>
      </w:r>
      <w:commentRangeStart w:id="18"/>
      <w:commentRangeStart w:id="19"/>
      <w:r w:rsidRPr="00061B56">
        <w:rPr>
          <w:rFonts w:cstheme="minorHAnsi"/>
          <w:bCs/>
          <w:sz w:val="24"/>
          <w:szCs w:val="24"/>
        </w:rPr>
        <w:t>1993</w:t>
      </w:r>
      <w:commentRangeEnd w:id="18"/>
      <w:r w:rsidRPr="00061B56">
        <w:rPr>
          <w:rStyle w:val="CommentReference"/>
          <w:rFonts w:cstheme="minorHAnsi"/>
          <w:bCs/>
          <w:sz w:val="24"/>
          <w:szCs w:val="24"/>
        </w:rPr>
        <w:commentReference w:id="18"/>
      </w:r>
      <w:commentRangeEnd w:id="19"/>
      <w:r w:rsidR="00BE33BF" w:rsidRPr="00061B56">
        <w:rPr>
          <w:rStyle w:val="CommentReference"/>
          <w:rFonts w:cstheme="minorHAnsi"/>
          <w:bCs/>
          <w:sz w:val="24"/>
          <w:szCs w:val="24"/>
        </w:rPr>
        <w:commentReference w:id="19"/>
      </w:r>
      <w:r w:rsidRPr="00061B56">
        <w:rPr>
          <w:rFonts w:cstheme="minorHAnsi"/>
          <w:bCs/>
          <w:sz w:val="24"/>
          <w:szCs w:val="24"/>
        </w:rPr>
        <w:t xml:space="preserve">).  </w:t>
      </w:r>
    </w:p>
    <w:p w14:paraId="7899CB78" w14:textId="77777777" w:rsidR="007144CC" w:rsidRPr="00061B56" w:rsidRDefault="007144CC" w:rsidP="007144CC">
      <w:pPr>
        <w:jc w:val="both"/>
        <w:rPr>
          <w:rFonts w:cstheme="minorHAnsi"/>
          <w:b/>
          <w:sz w:val="24"/>
          <w:szCs w:val="24"/>
        </w:rPr>
      </w:pPr>
      <w:r w:rsidRPr="00061B56">
        <w:rPr>
          <w:rFonts w:cstheme="minorHAnsi"/>
          <w:b/>
          <w:sz w:val="24"/>
          <w:szCs w:val="24"/>
        </w:rPr>
        <w:t>5.2 Measures</w:t>
      </w:r>
    </w:p>
    <w:p w14:paraId="3F1FA97D" w14:textId="77777777" w:rsidR="007144CC" w:rsidRPr="00061B56" w:rsidRDefault="007144CC" w:rsidP="007144CC">
      <w:pPr>
        <w:spacing w:line="360" w:lineRule="auto"/>
        <w:jc w:val="both"/>
        <w:rPr>
          <w:rFonts w:cstheme="minorHAnsi"/>
          <w:bCs/>
          <w:i/>
          <w:iCs/>
          <w:sz w:val="24"/>
          <w:szCs w:val="24"/>
        </w:rPr>
      </w:pPr>
      <w:r w:rsidRPr="00061B56">
        <w:rPr>
          <w:rFonts w:cstheme="minorHAnsi"/>
          <w:b/>
          <w:sz w:val="24"/>
          <w:szCs w:val="24"/>
        </w:rPr>
        <w:t xml:space="preserve"> </w:t>
      </w:r>
      <w:r w:rsidRPr="00061B56">
        <w:rPr>
          <w:rFonts w:cstheme="minorHAnsi"/>
          <w:bCs/>
          <w:i/>
          <w:iCs/>
          <w:sz w:val="24"/>
          <w:szCs w:val="24"/>
        </w:rPr>
        <w:t>Carbon emission reduction initiatives</w:t>
      </w:r>
    </w:p>
    <w:p w14:paraId="3CB5F3A8"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lastRenderedPageBreak/>
        <w:t xml:space="preserve">      We employ Gerschewski et al.'s (</w:t>
      </w:r>
      <w:commentRangeStart w:id="20"/>
      <w:commentRangeStart w:id="21"/>
      <w:r w:rsidRPr="00061B56">
        <w:rPr>
          <w:rFonts w:cstheme="minorHAnsi"/>
          <w:bCs/>
          <w:sz w:val="24"/>
          <w:szCs w:val="24"/>
        </w:rPr>
        <w:t>2015</w:t>
      </w:r>
      <w:commentRangeEnd w:id="20"/>
      <w:r w:rsidR="00205387" w:rsidRPr="00061B56">
        <w:rPr>
          <w:rStyle w:val="CommentReference"/>
          <w:rFonts w:cstheme="minorHAnsi"/>
          <w:bCs/>
          <w:sz w:val="24"/>
          <w:szCs w:val="24"/>
        </w:rPr>
        <w:commentReference w:id="20"/>
      </w:r>
      <w:commentRangeEnd w:id="21"/>
      <w:r w:rsidR="0055215A" w:rsidRPr="00061B56">
        <w:rPr>
          <w:rStyle w:val="CommentReference"/>
          <w:rFonts w:cstheme="minorHAnsi"/>
          <w:bCs/>
          <w:sz w:val="24"/>
          <w:szCs w:val="24"/>
        </w:rPr>
        <w:commentReference w:id="21"/>
      </w:r>
      <w:r w:rsidRPr="00061B56">
        <w:rPr>
          <w:rFonts w:cstheme="minorHAnsi"/>
          <w:bCs/>
          <w:sz w:val="24"/>
          <w:szCs w:val="24"/>
        </w:rPr>
        <w:t>) scale to measure the carbon emission reduction (CER) performance of SMEs based on the following questions: (30) our firm is looking for financial support from the government of Ghana to help increase our carbon emission reduction; (31) our firm is taking steps towards technological innovations to improve our carbon emission reduction; (32) we are encouraging our employees to attend more seminars/workshop on green innovation to increase our carbon emission reduction; (33) Issued green initiatives guidelines by the government is helping SMEs to improve carbon emission reduction; and (34) We are taking steps to increase the level of awareness of our green initiatives among our customers and investors to boost our carbon emission reduction; ('1' = 'strongly disagree' and '7' = 'strongly agree').</w:t>
      </w:r>
    </w:p>
    <w:p w14:paraId="2B51464E" w14:textId="77777777" w:rsidR="007144CC" w:rsidRPr="00061B56" w:rsidRDefault="007144CC" w:rsidP="007144CC">
      <w:pPr>
        <w:spacing w:line="360" w:lineRule="auto"/>
        <w:jc w:val="both"/>
        <w:rPr>
          <w:rFonts w:cstheme="minorHAnsi"/>
          <w:bCs/>
          <w:i/>
          <w:iCs/>
          <w:sz w:val="24"/>
          <w:szCs w:val="24"/>
        </w:rPr>
      </w:pPr>
    </w:p>
    <w:p w14:paraId="6802E2BE" w14:textId="77777777" w:rsidR="007144CC" w:rsidRPr="00061B56" w:rsidRDefault="007144CC" w:rsidP="007144CC">
      <w:pPr>
        <w:spacing w:line="360" w:lineRule="auto"/>
        <w:jc w:val="both"/>
        <w:rPr>
          <w:rFonts w:cstheme="minorHAnsi"/>
          <w:bCs/>
          <w:sz w:val="24"/>
          <w:szCs w:val="24"/>
        </w:rPr>
      </w:pPr>
      <w:r w:rsidRPr="00061B56">
        <w:rPr>
          <w:rFonts w:cstheme="minorHAnsi"/>
          <w:bCs/>
          <w:i/>
          <w:iCs/>
          <w:sz w:val="24"/>
          <w:szCs w:val="24"/>
        </w:rPr>
        <w:t>Entrepreneurial energy efficiency orientation</w:t>
      </w:r>
    </w:p>
    <w:p w14:paraId="51C18D02"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We adopt</w:t>
      </w:r>
      <w:r w:rsidRPr="00061B56">
        <w:t xml:space="preserve"> </w:t>
      </w:r>
      <w:r w:rsidRPr="00061B56">
        <w:rPr>
          <w:rFonts w:cstheme="minorHAnsi"/>
          <w:bCs/>
          <w:sz w:val="24"/>
          <w:szCs w:val="24"/>
        </w:rPr>
        <w:t xml:space="preserve">Karami and </w:t>
      </w:r>
      <w:commentRangeStart w:id="22"/>
      <w:commentRangeStart w:id="23"/>
      <w:r w:rsidRPr="00061B56">
        <w:rPr>
          <w:rFonts w:cstheme="minorHAnsi"/>
          <w:bCs/>
          <w:sz w:val="24"/>
          <w:szCs w:val="24"/>
        </w:rPr>
        <w:t>Tang</w:t>
      </w:r>
      <w:r w:rsidRPr="00061B56">
        <w:t>'</w:t>
      </w:r>
      <w:r w:rsidRPr="00061B56">
        <w:rPr>
          <w:rFonts w:cstheme="minorHAnsi"/>
          <w:bCs/>
          <w:sz w:val="24"/>
          <w:szCs w:val="24"/>
        </w:rPr>
        <w:t>s</w:t>
      </w:r>
      <w:commentRangeEnd w:id="22"/>
      <w:r w:rsidRPr="00061B56">
        <w:rPr>
          <w:rStyle w:val="CommentReference"/>
          <w:rFonts w:cstheme="minorHAnsi"/>
          <w:bCs/>
          <w:sz w:val="24"/>
          <w:szCs w:val="24"/>
        </w:rPr>
        <w:commentReference w:id="22"/>
      </w:r>
      <w:commentRangeEnd w:id="23"/>
      <w:r w:rsidR="00041279" w:rsidRPr="00061B56">
        <w:rPr>
          <w:rStyle w:val="CommentReference"/>
          <w:rFonts w:cstheme="minorHAnsi"/>
          <w:bCs/>
          <w:sz w:val="24"/>
          <w:szCs w:val="24"/>
        </w:rPr>
        <w:commentReference w:id="23"/>
      </w:r>
      <w:r w:rsidRPr="00061B56">
        <w:rPr>
          <w:rFonts w:cstheme="minorHAnsi"/>
          <w:bCs/>
          <w:sz w:val="24"/>
          <w:szCs w:val="24"/>
        </w:rPr>
        <w:t xml:space="preserve"> (2019) scale to measure EEEO based on the following: (1) in our firm, energy efficiency behaviour is a central principle; (2) in our firm, people are not aware of energy efficiency (reverse-coded); (3) in our firm, green practices are emphasised above all; (4) in our firm, people are willing to reduce energy consumption; and (5) In our firm, people are eager at being always first to bring green innovative ideas ('1' = 'strongly disagree' and '7' = 'strongly agree').</w:t>
      </w:r>
    </w:p>
    <w:p w14:paraId="094B547B" w14:textId="77777777" w:rsidR="007144CC" w:rsidRPr="00061B56" w:rsidRDefault="007144CC" w:rsidP="007144CC">
      <w:pPr>
        <w:spacing w:line="360" w:lineRule="auto"/>
        <w:jc w:val="both"/>
        <w:rPr>
          <w:rFonts w:cstheme="minorHAnsi"/>
          <w:bCs/>
          <w:i/>
          <w:iCs/>
          <w:sz w:val="24"/>
          <w:szCs w:val="24"/>
        </w:rPr>
      </w:pPr>
      <w:r w:rsidRPr="00061B56">
        <w:rPr>
          <w:rFonts w:cstheme="minorHAnsi"/>
          <w:bCs/>
          <w:i/>
          <w:iCs/>
          <w:sz w:val="24"/>
          <w:szCs w:val="24"/>
        </w:rPr>
        <w:t>Green planning capabilities</w:t>
      </w:r>
    </w:p>
    <w:p w14:paraId="29F4A27D" w14:textId="77777777" w:rsidR="007144CC" w:rsidRPr="00061B56" w:rsidRDefault="007144CC" w:rsidP="007144CC">
      <w:pPr>
        <w:spacing w:line="360" w:lineRule="auto"/>
        <w:jc w:val="both"/>
        <w:rPr>
          <w:sz w:val="24"/>
          <w:szCs w:val="24"/>
        </w:rPr>
      </w:pPr>
      <w:r w:rsidRPr="00061B56">
        <w:rPr>
          <w:rFonts w:cstheme="minorHAnsi"/>
          <w:bCs/>
          <w:sz w:val="24"/>
          <w:szCs w:val="24"/>
        </w:rPr>
        <w:t xml:space="preserve">We utilised Karami and </w:t>
      </w:r>
      <w:commentRangeStart w:id="24"/>
      <w:commentRangeStart w:id="25"/>
      <w:r w:rsidRPr="00061B56">
        <w:rPr>
          <w:rFonts w:cstheme="minorHAnsi"/>
          <w:bCs/>
          <w:sz w:val="24"/>
          <w:szCs w:val="24"/>
        </w:rPr>
        <w:t>Tang's</w:t>
      </w:r>
      <w:commentRangeEnd w:id="24"/>
      <w:r w:rsidRPr="00061B56">
        <w:rPr>
          <w:rStyle w:val="CommentReference"/>
          <w:rFonts w:cstheme="minorHAnsi"/>
          <w:bCs/>
          <w:sz w:val="24"/>
          <w:szCs w:val="24"/>
        </w:rPr>
        <w:commentReference w:id="24"/>
      </w:r>
      <w:commentRangeEnd w:id="25"/>
      <w:r w:rsidR="00677083" w:rsidRPr="00061B56">
        <w:rPr>
          <w:rStyle w:val="CommentReference"/>
          <w:rFonts w:cstheme="minorHAnsi"/>
          <w:bCs/>
          <w:sz w:val="24"/>
          <w:szCs w:val="24"/>
        </w:rPr>
        <w:commentReference w:id="25"/>
      </w:r>
      <w:r w:rsidRPr="00061B56">
        <w:rPr>
          <w:rFonts w:cstheme="minorHAnsi"/>
          <w:bCs/>
          <w:sz w:val="24"/>
          <w:szCs w:val="24"/>
        </w:rPr>
        <w:t xml:space="preserve"> (2019) scale to measure green planning capabilities. Respondents were asked to consider their green initiatives and then assess the value of each of the following in subsequent green planning activities:</w:t>
      </w:r>
      <w:r w:rsidRPr="00061B56">
        <w:rPr>
          <w:sz w:val="24"/>
          <w:szCs w:val="24"/>
        </w:rPr>
        <w:t xml:space="preserve"> (6) we are improving the quality of our products, services, and processes; (7) we are acquiring highly skilled workers; (8) we are investing time and/or money in green/energy efficiency research; and (9) we are investing in technology that enhances energy efficiency </w:t>
      </w:r>
      <w:r w:rsidRPr="00061B56">
        <w:rPr>
          <w:rFonts w:cstheme="minorHAnsi"/>
          <w:bCs/>
          <w:sz w:val="24"/>
          <w:szCs w:val="24"/>
        </w:rPr>
        <w:t>('1' = 'strongly disagree' and '7' = 'strongly agree').</w:t>
      </w:r>
    </w:p>
    <w:p w14:paraId="290A6AE8" w14:textId="77777777" w:rsidR="007144CC" w:rsidRPr="00061B56" w:rsidRDefault="007144CC" w:rsidP="007144CC">
      <w:pPr>
        <w:spacing w:line="360" w:lineRule="auto"/>
        <w:jc w:val="both"/>
        <w:rPr>
          <w:rFonts w:cstheme="minorHAnsi"/>
          <w:bCs/>
          <w:sz w:val="24"/>
          <w:szCs w:val="24"/>
        </w:rPr>
      </w:pPr>
      <w:r w:rsidRPr="00061B56">
        <w:rPr>
          <w:rFonts w:cstheme="minorHAnsi"/>
          <w:bCs/>
          <w:i/>
          <w:iCs/>
          <w:sz w:val="24"/>
          <w:szCs w:val="24"/>
        </w:rPr>
        <w:t>Green networking capabilities</w:t>
      </w:r>
    </w:p>
    <w:p w14:paraId="0FB4036D"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We follow </w:t>
      </w:r>
      <w:commentRangeStart w:id="26"/>
      <w:r w:rsidRPr="00061B56">
        <w:rPr>
          <w:rFonts w:cstheme="minorHAnsi"/>
          <w:bCs/>
          <w:sz w:val="24"/>
          <w:szCs w:val="24"/>
        </w:rPr>
        <w:t>Chen</w:t>
      </w:r>
      <w:commentRangeEnd w:id="26"/>
      <w:r w:rsidR="00205387" w:rsidRPr="00061B56">
        <w:rPr>
          <w:rStyle w:val="CommentReference"/>
          <w:rFonts w:cstheme="minorHAnsi"/>
          <w:bCs/>
          <w:sz w:val="24"/>
          <w:szCs w:val="24"/>
        </w:rPr>
        <w:commentReference w:id="26"/>
      </w:r>
      <w:r w:rsidRPr="00061B56">
        <w:rPr>
          <w:rFonts w:cstheme="minorHAnsi"/>
          <w:bCs/>
          <w:sz w:val="24"/>
          <w:szCs w:val="24"/>
        </w:rPr>
        <w:t xml:space="preserve"> et al.'s (</w:t>
      </w:r>
      <w:commentRangeStart w:id="27"/>
      <w:r w:rsidRPr="00061B56">
        <w:rPr>
          <w:rFonts w:cstheme="minorHAnsi"/>
          <w:bCs/>
          <w:sz w:val="24"/>
          <w:szCs w:val="24"/>
        </w:rPr>
        <w:t>2009</w:t>
      </w:r>
      <w:commentRangeEnd w:id="27"/>
      <w:r w:rsidR="00205387" w:rsidRPr="00061B56">
        <w:rPr>
          <w:rStyle w:val="CommentReference"/>
          <w:rFonts w:cstheme="minorHAnsi"/>
          <w:bCs/>
          <w:sz w:val="24"/>
          <w:szCs w:val="24"/>
        </w:rPr>
        <w:commentReference w:id="27"/>
      </w:r>
      <w:r w:rsidRPr="00061B56">
        <w:rPr>
          <w:rFonts w:cstheme="minorHAnsi"/>
          <w:bCs/>
          <w:sz w:val="24"/>
          <w:szCs w:val="24"/>
        </w:rPr>
        <w:t>) and Karami and Tang's (</w:t>
      </w:r>
      <w:commentRangeStart w:id="28"/>
      <w:commentRangeStart w:id="29"/>
      <w:r w:rsidRPr="00061B56">
        <w:rPr>
          <w:rFonts w:cstheme="minorHAnsi"/>
          <w:bCs/>
          <w:sz w:val="24"/>
          <w:szCs w:val="24"/>
        </w:rPr>
        <w:t>2019</w:t>
      </w:r>
      <w:commentRangeEnd w:id="28"/>
      <w:r w:rsidRPr="00061B56">
        <w:rPr>
          <w:rStyle w:val="CommentReference"/>
          <w:rFonts w:cstheme="minorHAnsi"/>
          <w:bCs/>
          <w:sz w:val="24"/>
          <w:szCs w:val="24"/>
        </w:rPr>
        <w:commentReference w:id="28"/>
      </w:r>
      <w:commentRangeEnd w:id="29"/>
      <w:r w:rsidR="00677083" w:rsidRPr="00061B56">
        <w:rPr>
          <w:rStyle w:val="CommentReference"/>
          <w:rFonts w:cstheme="minorHAnsi"/>
          <w:bCs/>
          <w:sz w:val="24"/>
          <w:szCs w:val="24"/>
        </w:rPr>
        <w:commentReference w:id="29"/>
      </w:r>
      <w:r w:rsidRPr="00061B56">
        <w:rPr>
          <w:rFonts w:cstheme="minorHAnsi"/>
          <w:bCs/>
          <w:sz w:val="24"/>
          <w:szCs w:val="24"/>
        </w:rPr>
        <w:t xml:space="preserve">) scales to measure the GN capability of SMEs: (10) we gain and share green business knowledge/information </w:t>
      </w:r>
      <w:r w:rsidRPr="00061B56">
        <w:rPr>
          <w:rFonts w:cstheme="minorHAnsi"/>
          <w:bCs/>
          <w:sz w:val="24"/>
          <w:szCs w:val="24"/>
        </w:rPr>
        <w:lastRenderedPageBreak/>
        <w:t>from other firms; (11) we acquire and share knowledge regarding carbon emission regulations through individual and business relationships; (12) we select possible partners in advance to build green relationships; (13) we deal flexibly with our green partners; (14) we discuss with our green partners regularly on how to support each other to reduce waste and improve efficiency; and (15) we appoint employees who are responsible for maintaining a relationship with our green partners ('1' = 'strongly disagree' and '7' = 'strongly agree').</w:t>
      </w:r>
    </w:p>
    <w:p w14:paraId="07F42878" w14:textId="77777777" w:rsidR="007144CC" w:rsidRPr="00061B56" w:rsidRDefault="007144CC" w:rsidP="007144CC">
      <w:pPr>
        <w:spacing w:line="360" w:lineRule="auto"/>
        <w:jc w:val="both"/>
        <w:rPr>
          <w:rFonts w:cstheme="minorHAnsi"/>
          <w:bCs/>
          <w:i/>
          <w:iCs/>
          <w:sz w:val="24"/>
          <w:szCs w:val="24"/>
        </w:rPr>
      </w:pPr>
      <w:r w:rsidRPr="00061B56">
        <w:rPr>
          <w:rFonts w:cstheme="minorHAnsi"/>
          <w:bCs/>
          <w:i/>
          <w:iCs/>
          <w:sz w:val="24"/>
          <w:szCs w:val="24"/>
        </w:rPr>
        <w:t>Selection of green innovation approaches</w:t>
      </w:r>
    </w:p>
    <w:p w14:paraId="3CC13C17"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We adopted Chen et al.'s (</w:t>
      </w:r>
      <w:commentRangeStart w:id="30"/>
      <w:commentRangeStart w:id="31"/>
      <w:r w:rsidRPr="00061B56">
        <w:rPr>
          <w:rFonts w:cstheme="minorHAnsi"/>
          <w:bCs/>
          <w:sz w:val="24"/>
          <w:szCs w:val="24"/>
        </w:rPr>
        <w:t>2009</w:t>
      </w:r>
      <w:commentRangeEnd w:id="31"/>
      <w:r w:rsidR="00120932" w:rsidRPr="00061B56">
        <w:rPr>
          <w:rStyle w:val="CommentReference"/>
          <w:rFonts w:cstheme="minorHAnsi"/>
          <w:bCs/>
          <w:sz w:val="24"/>
          <w:szCs w:val="24"/>
        </w:rPr>
        <w:commentReference w:id="31"/>
      </w:r>
      <w:commentRangeEnd w:id="30"/>
      <w:r w:rsidR="00120932" w:rsidRPr="00061B56">
        <w:rPr>
          <w:rStyle w:val="CommentReference"/>
          <w:rFonts w:cstheme="minorHAnsi"/>
          <w:bCs/>
          <w:sz w:val="24"/>
          <w:szCs w:val="24"/>
        </w:rPr>
        <w:commentReference w:id="30"/>
      </w:r>
      <w:r w:rsidRPr="00061B56">
        <w:rPr>
          <w:rFonts w:cstheme="minorHAnsi"/>
          <w:bCs/>
          <w:sz w:val="24"/>
          <w:szCs w:val="24"/>
        </w:rPr>
        <w:t>) scale to measure the selection of green innovation (GI) approaches of SMEs: (16) we achieve innovation through green innovation initiatives; (17) we achieve innovation through green innovation monitoring and follow-up; (18) we achieve innovation through green networking/network relations; (19) we achieve innovation through green regulation/government guidelines; and (20) we achieve green innovation by using local partners/suppliers/distributors ('1' = 'strongly disagree' and '7' = 'strongly agree').</w:t>
      </w:r>
    </w:p>
    <w:p w14:paraId="5C2B168B" w14:textId="77777777" w:rsidR="007144CC" w:rsidRPr="00061B56" w:rsidRDefault="007144CC" w:rsidP="007144CC">
      <w:pPr>
        <w:jc w:val="both"/>
        <w:rPr>
          <w:rFonts w:cstheme="minorHAnsi"/>
          <w:bCs/>
          <w:i/>
          <w:iCs/>
        </w:rPr>
      </w:pPr>
      <w:r w:rsidRPr="00061B56">
        <w:rPr>
          <w:rFonts w:cstheme="minorHAnsi"/>
          <w:bCs/>
          <w:i/>
          <w:iCs/>
        </w:rPr>
        <w:t>Identification of green barriers</w:t>
      </w:r>
    </w:p>
    <w:p w14:paraId="7C0CCAAD"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The study follows Karami and Tang's (2019) scale to measure the selection of green innovation (GI) approaches of SMEs: (21) we are facing information/knowledge-related barriers; (22) we lack seminars/workshops/trainings on SME green practices; (23) we are facing economic and cost or financial barriers; (24) We are facing regulatory and bureaucratic barriers; (25)</w:t>
      </w:r>
      <w:r w:rsidRPr="00061B56">
        <w:t xml:space="preserve"> </w:t>
      </w:r>
      <w:r w:rsidRPr="00061B56">
        <w:rPr>
          <w:rFonts w:cstheme="minorHAnsi"/>
          <w:bCs/>
          <w:sz w:val="24"/>
          <w:szCs w:val="24"/>
        </w:rPr>
        <w:t>we lack technical and engineering capabilities; (26)</w:t>
      </w:r>
      <w:r w:rsidRPr="00061B56">
        <w:t xml:space="preserve"> </w:t>
      </w:r>
      <w:r w:rsidRPr="00061B56">
        <w:rPr>
          <w:rFonts w:cstheme="minorHAnsi"/>
          <w:bCs/>
          <w:sz w:val="24"/>
          <w:szCs w:val="24"/>
        </w:rPr>
        <w:t>we have poor external green partnerships; (27)</w:t>
      </w:r>
      <w:r w:rsidRPr="00061B56">
        <w:t xml:space="preserve"> </w:t>
      </w:r>
      <w:r w:rsidRPr="00061B56">
        <w:rPr>
          <w:rFonts w:cstheme="minorHAnsi"/>
          <w:bCs/>
          <w:sz w:val="24"/>
          <w:szCs w:val="24"/>
        </w:rPr>
        <w:t>we face attitude/perception barriers related to SME green practices; (28) we face market and customer-related barriers; and (29) we face a competition between economic growth/profit and the green agenda ('1' = 'strongly disagree' and '7' = 'strongly agree').</w:t>
      </w:r>
    </w:p>
    <w:p w14:paraId="11C85C8A" w14:textId="77777777" w:rsidR="007144CC" w:rsidRPr="00061B56" w:rsidRDefault="007144CC" w:rsidP="007144CC">
      <w:pPr>
        <w:jc w:val="both"/>
        <w:rPr>
          <w:rFonts w:cstheme="minorHAnsi"/>
          <w:bCs/>
          <w:sz w:val="24"/>
          <w:szCs w:val="24"/>
        </w:rPr>
      </w:pPr>
      <w:r w:rsidRPr="00061B56">
        <w:rPr>
          <w:rFonts w:cstheme="minorHAnsi"/>
          <w:bCs/>
          <w:i/>
          <w:iCs/>
          <w:sz w:val="24"/>
          <w:szCs w:val="24"/>
        </w:rPr>
        <w:t>Control variables</w:t>
      </w:r>
    </w:p>
    <w:p w14:paraId="4E92E031"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Following well-established literature, we control several firm-specific variables that may influence the construct (e.g</w:t>
      </w:r>
      <w:commentRangeStart w:id="32"/>
      <w:r w:rsidRPr="00061B56">
        <w:rPr>
          <w:rFonts w:cstheme="minorHAnsi"/>
          <w:bCs/>
          <w:sz w:val="24"/>
          <w:szCs w:val="24"/>
        </w:rPr>
        <w:t xml:space="preserve">., Karami &amp; Tang, 2019; Zahra </w:t>
      </w:r>
      <w:commentRangeStart w:id="33"/>
      <w:r w:rsidRPr="00061B56">
        <w:rPr>
          <w:rFonts w:cstheme="minorHAnsi"/>
          <w:bCs/>
          <w:sz w:val="24"/>
          <w:szCs w:val="24"/>
        </w:rPr>
        <w:t>et</w:t>
      </w:r>
      <w:commentRangeEnd w:id="33"/>
      <w:r w:rsidR="00205387" w:rsidRPr="00061B56">
        <w:rPr>
          <w:rStyle w:val="CommentReference"/>
          <w:rFonts w:cstheme="minorHAnsi"/>
          <w:bCs/>
          <w:sz w:val="24"/>
          <w:szCs w:val="24"/>
        </w:rPr>
        <w:commentReference w:id="33"/>
      </w:r>
      <w:r w:rsidRPr="00061B56">
        <w:rPr>
          <w:rFonts w:cstheme="minorHAnsi"/>
          <w:bCs/>
          <w:sz w:val="24"/>
          <w:szCs w:val="24"/>
        </w:rPr>
        <w:t xml:space="preserve"> al., 2000). First</w:t>
      </w:r>
      <w:commentRangeEnd w:id="32"/>
      <w:r w:rsidRPr="00061B56">
        <w:rPr>
          <w:rStyle w:val="CommentReference"/>
          <w:rFonts w:cstheme="minorHAnsi"/>
          <w:bCs/>
          <w:sz w:val="24"/>
          <w:szCs w:val="24"/>
        </w:rPr>
        <w:commentReference w:id="32"/>
      </w:r>
      <w:r w:rsidRPr="00061B56">
        <w:rPr>
          <w:rFonts w:cstheme="minorHAnsi"/>
          <w:bCs/>
          <w:sz w:val="24"/>
          <w:szCs w:val="24"/>
        </w:rPr>
        <w:t xml:space="preserve">, the total number of employees was used to measure the size of the SMEs. Larger firms may have more significant resources that influence their carbon emission reduction. Hence firm </w:t>
      </w:r>
      <w:r w:rsidRPr="00061B56">
        <w:rPr>
          <w:rFonts w:cstheme="minorHAnsi"/>
          <w:bCs/>
          <w:sz w:val="24"/>
          <w:szCs w:val="24"/>
        </w:rPr>
        <w:lastRenderedPageBreak/>
        <w:t xml:space="preserve">size was included (Haque &amp; Ntim, 2020). Second, firm age was computed by the number of years that the SME has been in operation (Karami &amp; Tang, 2019). Firm age is a crucial factor in firms' carbon emission reduction because older firms may have accumulated more resources and network relationships, which may influence the firms' carbon emission reduction (Adu et al., 2022).  </w:t>
      </w:r>
    </w:p>
    <w:p w14:paraId="73AF8B45"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The owner/manager experience of the SMEs was controlled by the number of years of managing the business (Karami &amp; Tang, 2019). Finally, the study includes eight industry groups classification: (1) construction; (2) wholesale and retail; (3) transport; (4) manufacturing; (5) real estate; (6) textile, leather, clothing, and footwear; (7) furniture; (8) other SMEs. </w:t>
      </w:r>
    </w:p>
    <w:p w14:paraId="307EBD3E" w14:textId="77777777" w:rsidR="007144CC" w:rsidRPr="00061B56" w:rsidRDefault="007144CC" w:rsidP="007144CC">
      <w:pPr>
        <w:spacing w:line="360" w:lineRule="auto"/>
        <w:jc w:val="both"/>
        <w:rPr>
          <w:rFonts w:cstheme="minorHAnsi"/>
          <w:bCs/>
          <w:sz w:val="24"/>
          <w:szCs w:val="24"/>
        </w:rPr>
      </w:pPr>
    </w:p>
    <w:p w14:paraId="092ED203" w14:textId="77777777" w:rsidR="007144CC" w:rsidRPr="00061B56" w:rsidRDefault="007144CC" w:rsidP="007144CC">
      <w:pPr>
        <w:jc w:val="both"/>
        <w:rPr>
          <w:rFonts w:cstheme="minorHAnsi"/>
          <w:bCs/>
          <w:sz w:val="24"/>
          <w:szCs w:val="24"/>
        </w:rPr>
      </w:pPr>
    </w:p>
    <w:p w14:paraId="643B7270" w14:textId="77777777" w:rsidR="007144CC" w:rsidRPr="00061B56" w:rsidRDefault="007144CC" w:rsidP="007144CC">
      <w:pPr>
        <w:jc w:val="both"/>
        <w:rPr>
          <w:rFonts w:cstheme="minorHAnsi"/>
          <w:b/>
          <w:sz w:val="24"/>
          <w:szCs w:val="24"/>
        </w:rPr>
      </w:pPr>
    </w:p>
    <w:p w14:paraId="57A2191D" w14:textId="77777777" w:rsidR="007144CC" w:rsidRPr="00061B56" w:rsidRDefault="007144CC" w:rsidP="007144CC">
      <w:pPr>
        <w:jc w:val="both"/>
        <w:rPr>
          <w:rFonts w:cstheme="minorHAnsi"/>
          <w:b/>
          <w:sz w:val="24"/>
          <w:szCs w:val="24"/>
        </w:rPr>
      </w:pPr>
      <w:r w:rsidRPr="00061B56">
        <w:rPr>
          <w:rFonts w:cstheme="minorHAnsi"/>
          <w:b/>
          <w:sz w:val="24"/>
          <w:szCs w:val="24"/>
        </w:rPr>
        <w:t>6 Empirical results</w:t>
      </w:r>
    </w:p>
    <w:p w14:paraId="00AA52FE" w14:textId="77777777" w:rsidR="007144CC" w:rsidRPr="00061B56" w:rsidRDefault="007144CC" w:rsidP="007144CC">
      <w:pPr>
        <w:jc w:val="both"/>
        <w:rPr>
          <w:rFonts w:cstheme="minorHAnsi"/>
          <w:b/>
          <w:sz w:val="24"/>
          <w:szCs w:val="24"/>
        </w:rPr>
      </w:pPr>
      <w:r w:rsidRPr="00061B56">
        <w:t xml:space="preserve"> </w:t>
      </w:r>
      <w:r w:rsidRPr="00061B56">
        <w:rPr>
          <w:rFonts w:cstheme="minorHAnsi"/>
          <w:b/>
          <w:sz w:val="24"/>
          <w:szCs w:val="24"/>
        </w:rPr>
        <w:t>6.1 Descriptive statistics and correlation analysis</w:t>
      </w:r>
    </w:p>
    <w:p w14:paraId="213E8B81" w14:textId="77777777" w:rsidR="007144CC" w:rsidRPr="00061B56" w:rsidRDefault="007144CC" w:rsidP="007144CC">
      <w:pPr>
        <w:spacing w:line="360" w:lineRule="auto"/>
        <w:jc w:val="both"/>
        <w:rPr>
          <w:rFonts w:cstheme="minorHAnsi"/>
          <w:bCs/>
          <w:sz w:val="24"/>
          <w:szCs w:val="24"/>
        </w:rPr>
      </w:pPr>
      <w:r w:rsidRPr="00061B56">
        <w:rPr>
          <w:rFonts w:cstheme="minorHAnsi"/>
          <w:bCs/>
          <w:sz w:val="24"/>
          <w:szCs w:val="24"/>
        </w:rPr>
        <w:t xml:space="preserve">      Table 1 shows the descriptive statistics of all the survey questions employed in measuring the variables (including independent, dependent and control variables). The results of the descriptive statistics in Table 1 show that all the mean values exist between 2.84 (Q2) to 5.09 (Q29). The results in the table also reveal that the highest standard deviation (SD) of 1.72 was recorded for Q2, while the lowest SD of 0.85 for Q13. The low SD implies that the data points are scattered mainly around the mean values of their respective questions. Together, from these two findings, it can be inferred that the responses are mostly loaded above neutral to agreed scales.</w:t>
      </w:r>
    </w:p>
    <w:p w14:paraId="777A944D" w14:textId="77777777" w:rsidR="007144CC" w:rsidRPr="00061B56" w:rsidRDefault="007144CC" w:rsidP="007144CC">
      <w:pPr>
        <w:spacing w:line="360" w:lineRule="auto"/>
        <w:jc w:val="center"/>
        <w:rPr>
          <w:rFonts w:cstheme="minorHAnsi"/>
          <w:bCs/>
          <w:sz w:val="24"/>
          <w:szCs w:val="24"/>
        </w:rPr>
      </w:pPr>
      <w:r w:rsidRPr="00061B56">
        <w:rPr>
          <w:rFonts w:cstheme="minorHAnsi"/>
          <w:bCs/>
          <w:sz w:val="24"/>
          <w:szCs w:val="24"/>
        </w:rPr>
        <w:t>***Insert Table 1 about here***</w:t>
      </w:r>
    </w:p>
    <w:p w14:paraId="55744669" w14:textId="77777777" w:rsidR="007144CC" w:rsidRPr="00061B56" w:rsidRDefault="007144CC" w:rsidP="007144CC">
      <w:pPr>
        <w:spacing w:line="360" w:lineRule="auto"/>
        <w:jc w:val="center"/>
        <w:rPr>
          <w:rFonts w:cstheme="minorHAnsi"/>
          <w:bCs/>
          <w:sz w:val="24"/>
          <w:szCs w:val="24"/>
        </w:rPr>
      </w:pPr>
    </w:p>
    <w:p w14:paraId="5B83998A" w14:textId="77777777" w:rsidR="007144CC" w:rsidRPr="00061B56" w:rsidRDefault="007144CC" w:rsidP="007144CC">
      <w:pPr>
        <w:spacing w:line="360" w:lineRule="auto"/>
        <w:jc w:val="center"/>
        <w:rPr>
          <w:rFonts w:cstheme="minorHAnsi"/>
          <w:bCs/>
          <w:sz w:val="24"/>
          <w:szCs w:val="24"/>
        </w:rPr>
      </w:pPr>
    </w:p>
    <w:p w14:paraId="19FFEAA4" w14:textId="77777777" w:rsidR="007144CC" w:rsidRPr="00061B56" w:rsidRDefault="007144CC" w:rsidP="007144CC">
      <w:pPr>
        <w:spacing w:line="360" w:lineRule="auto"/>
        <w:jc w:val="center"/>
        <w:rPr>
          <w:rFonts w:cstheme="minorHAnsi"/>
          <w:bCs/>
          <w:sz w:val="24"/>
          <w:szCs w:val="24"/>
        </w:rPr>
      </w:pPr>
    </w:p>
    <w:p w14:paraId="7055C9EF" w14:textId="77777777" w:rsidR="007144CC" w:rsidRPr="00061B56" w:rsidRDefault="007144CC" w:rsidP="007144CC">
      <w:pPr>
        <w:spacing w:line="360" w:lineRule="auto"/>
        <w:jc w:val="center"/>
        <w:rPr>
          <w:rFonts w:cstheme="minorHAnsi"/>
          <w:bCs/>
          <w:sz w:val="24"/>
          <w:szCs w:val="24"/>
        </w:rPr>
      </w:pPr>
    </w:p>
    <w:p w14:paraId="34983B68" w14:textId="77777777" w:rsidR="007144CC" w:rsidRPr="00061B56" w:rsidRDefault="007144CC" w:rsidP="007144CC">
      <w:pPr>
        <w:spacing w:line="360" w:lineRule="auto"/>
        <w:jc w:val="both"/>
        <w:rPr>
          <w:rFonts w:cstheme="minorHAnsi"/>
          <w:b/>
          <w:sz w:val="24"/>
          <w:szCs w:val="24"/>
        </w:rPr>
      </w:pPr>
      <w:r w:rsidRPr="00061B56">
        <w:rPr>
          <w:rFonts w:cstheme="minorHAnsi"/>
          <w:b/>
          <w:sz w:val="24"/>
          <w:szCs w:val="24"/>
        </w:rPr>
        <w:lastRenderedPageBreak/>
        <w:t>6.2 Measurement model</w:t>
      </w:r>
    </w:p>
    <w:p w14:paraId="4F2BD687"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The measurement model in Figure 2 demonstrates how different latent variables correlate with each other and factor loadings of latent variables with respective indicators.  </w:t>
      </w:r>
    </w:p>
    <w:p w14:paraId="5FD1D966" w14:textId="77777777" w:rsidR="007144CC" w:rsidRPr="00061B56" w:rsidRDefault="007144CC" w:rsidP="007144CC">
      <w:pPr>
        <w:spacing w:line="480" w:lineRule="auto"/>
        <w:jc w:val="center"/>
        <w:rPr>
          <w:rFonts w:eastAsia="Calibri" w:cstheme="minorHAnsi"/>
          <w:sz w:val="24"/>
          <w:szCs w:val="24"/>
        </w:rPr>
      </w:pPr>
      <w:r w:rsidRPr="00061B56">
        <w:rPr>
          <w:rFonts w:eastAsia="Calibri" w:cstheme="minorHAnsi"/>
          <w:sz w:val="24"/>
          <w:szCs w:val="24"/>
        </w:rPr>
        <w:t>***Insert Fig 2 about here***</w:t>
      </w:r>
    </w:p>
    <w:p w14:paraId="108E0E86"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        Based on the outcomes derived from the above measurement model, we generate the factor loadings as captured in Table 2.</w:t>
      </w:r>
      <w:r w:rsidRPr="00061B56">
        <w:t xml:space="preserve"> </w:t>
      </w:r>
      <w:r w:rsidRPr="00061B56">
        <w:rPr>
          <w:sz w:val="24"/>
          <w:szCs w:val="24"/>
        </w:rPr>
        <w:t xml:space="preserve">Specifically, Table 2 shows that </w:t>
      </w:r>
      <w:r w:rsidRPr="00061B56">
        <w:rPr>
          <w:rFonts w:eastAsia="Calibri" w:cstheme="minorHAnsi"/>
          <w:sz w:val="24"/>
          <w:szCs w:val="24"/>
        </w:rPr>
        <w:t>correlations exist among the latent variables. As per the table, the highest correlation of 0.96 exists between green networking (GN) and the selection of green innovation (GI). The results in Table 2 also show that the lowest correlation exits between green networking (GN) and identification of green barriers (IB) of 0.620.</w:t>
      </w:r>
    </w:p>
    <w:p w14:paraId="34CFF6CF" w14:textId="77777777" w:rsidR="007144CC" w:rsidRPr="00061B56" w:rsidRDefault="007144CC" w:rsidP="007144CC">
      <w:pPr>
        <w:spacing w:line="360" w:lineRule="auto"/>
        <w:jc w:val="both"/>
        <w:rPr>
          <w:rFonts w:eastAsia="Calibri" w:cstheme="minorHAnsi"/>
          <w:color w:val="FF0000"/>
          <w:sz w:val="24"/>
          <w:szCs w:val="24"/>
        </w:rPr>
      </w:pPr>
      <w:r w:rsidRPr="00061B56">
        <w:rPr>
          <w:color w:val="FF0000"/>
          <w:sz w:val="24"/>
          <w:szCs w:val="24"/>
        </w:rPr>
        <w:t xml:space="preserve"> </w:t>
      </w:r>
    </w:p>
    <w:p w14:paraId="293C2BA8" w14:textId="77777777" w:rsidR="007144CC" w:rsidRPr="00061B56" w:rsidRDefault="007144CC" w:rsidP="007144CC">
      <w:pPr>
        <w:spacing w:line="480" w:lineRule="auto"/>
        <w:jc w:val="center"/>
        <w:rPr>
          <w:rFonts w:eastAsia="Calibri" w:cstheme="minorHAnsi"/>
          <w:sz w:val="24"/>
          <w:szCs w:val="24"/>
        </w:rPr>
      </w:pPr>
      <w:r w:rsidRPr="00061B56">
        <w:rPr>
          <w:rFonts w:eastAsia="Calibri" w:cstheme="minorHAnsi"/>
          <w:sz w:val="24"/>
          <w:szCs w:val="24"/>
        </w:rPr>
        <w:t>***Insert Table 2 about here***</w:t>
      </w:r>
    </w:p>
    <w:p w14:paraId="04639850" w14:textId="77777777" w:rsidR="007144CC" w:rsidRPr="00061B56" w:rsidRDefault="007144CC" w:rsidP="007144CC">
      <w:pPr>
        <w:spacing w:line="360" w:lineRule="auto"/>
        <w:jc w:val="both"/>
        <w:rPr>
          <w:rFonts w:eastAsia="Calibri" w:cstheme="minorHAnsi"/>
          <w:b/>
          <w:bCs/>
          <w:sz w:val="24"/>
          <w:szCs w:val="24"/>
        </w:rPr>
      </w:pPr>
      <w:r w:rsidRPr="00061B56">
        <w:rPr>
          <w:rFonts w:eastAsia="Calibri" w:cstheme="minorHAnsi"/>
          <w:b/>
          <w:bCs/>
          <w:sz w:val="24"/>
          <w:szCs w:val="24"/>
        </w:rPr>
        <w:t>6.3 Factor loadings and standardised regression weights</w:t>
      </w:r>
    </w:p>
    <w:p w14:paraId="7BD6E517"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       Based on the statistical outcomes derived from the above measurement model in Figure 2, we summarise each indicator's factor loadings (questions) in Table 3.</w:t>
      </w:r>
      <w:r w:rsidRPr="00061B56">
        <w:t xml:space="preserve"> </w:t>
      </w:r>
      <w:r w:rsidRPr="00061B56">
        <w:rPr>
          <w:rFonts w:eastAsia="Calibri" w:cstheme="minorHAnsi"/>
          <w:sz w:val="24"/>
          <w:szCs w:val="24"/>
        </w:rPr>
        <w:t>Factor loading is the correlation coefficient for the variable and factor. Factor loading is the correlation coefficient for the variable and factor. Factor loading shows the variance explained by the variable on that particular factor. In the SEM approach, as a rule of thumb, 0.6 or higher factor loading represents that the factor extracts sufficient variance from that variable (Hu &amp; Bentler, 1999; Hatcher, 1994). Accordingly, the five factors have a good correlation coefficient with most of their respective indicators (measured variables). However, Q2 and Q24 show lower factor loadings. Apart from that, Q11, Q12, and Q13 have been removed from the further analysis due to a large number of missing data. These five items (questions) will be excluded from the further analysis.</w:t>
      </w:r>
    </w:p>
    <w:p w14:paraId="7E1F8DC0" w14:textId="77777777" w:rsidR="007144CC" w:rsidRPr="00061B56" w:rsidRDefault="007144CC" w:rsidP="007144CC">
      <w:pPr>
        <w:spacing w:line="480" w:lineRule="auto"/>
        <w:jc w:val="center"/>
        <w:rPr>
          <w:rFonts w:eastAsia="Calibri" w:cstheme="minorHAnsi"/>
          <w:b/>
          <w:bCs/>
          <w:sz w:val="24"/>
          <w:szCs w:val="24"/>
        </w:rPr>
      </w:pPr>
      <w:r w:rsidRPr="00061B56">
        <w:rPr>
          <w:rFonts w:eastAsia="Calibri" w:cstheme="minorHAnsi"/>
          <w:b/>
          <w:bCs/>
          <w:sz w:val="24"/>
          <w:szCs w:val="24"/>
        </w:rPr>
        <w:t>***Insert Table 3 about here***</w:t>
      </w:r>
    </w:p>
    <w:p w14:paraId="3B72B226" w14:textId="77777777" w:rsidR="007144CC" w:rsidRPr="00061B56" w:rsidRDefault="007144CC" w:rsidP="007144CC">
      <w:pPr>
        <w:spacing w:line="480" w:lineRule="auto"/>
        <w:jc w:val="center"/>
        <w:rPr>
          <w:rFonts w:eastAsia="Calibri" w:cstheme="minorHAnsi"/>
          <w:b/>
          <w:bCs/>
          <w:sz w:val="24"/>
          <w:szCs w:val="24"/>
        </w:rPr>
      </w:pPr>
    </w:p>
    <w:p w14:paraId="1B8DFC42" w14:textId="77777777" w:rsidR="007144CC" w:rsidRPr="00061B56" w:rsidRDefault="007144CC" w:rsidP="007144CC">
      <w:pPr>
        <w:spacing w:line="360" w:lineRule="auto"/>
        <w:jc w:val="both"/>
        <w:rPr>
          <w:rFonts w:eastAsia="Calibri" w:cstheme="minorHAnsi"/>
          <w:b/>
          <w:bCs/>
          <w:sz w:val="24"/>
          <w:szCs w:val="24"/>
        </w:rPr>
      </w:pPr>
      <w:r w:rsidRPr="00061B56">
        <w:rPr>
          <w:rFonts w:eastAsia="Calibri" w:cstheme="minorHAnsi"/>
          <w:b/>
          <w:bCs/>
          <w:sz w:val="24"/>
          <w:szCs w:val="24"/>
        </w:rPr>
        <w:lastRenderedPageBreak/>
        <w:t xml:space="preserve">6.4 Composite reliability and average variance extracted </w:t>
      </w:r>
    </w:p>
    <w:p w14:paraId="31132D0B"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       In order to establish convergent validity, the factor loading of the indicator, composite reliability (CR)  and the average variance extracted (AVE) are considered (Hair et al., 2014). The threshold value for CR is considered 0.70 or higher (Hair et al., 2014). CR values over 0.70 indicates higher internal consistency of constructs. The threshold value for AVE is considered good if it is 0.50 or higher. AVE values over 0.50 indicate higher internal consistency of constructs (Hair et al., 2014). According to the above CR table, all factors show acceptable composite reliability (over 0.80) and AVE (over 0.40).</w:t>
      </w:r>
      <w:r w:rsidRPr="00061B56">
        <w:t xml:space="preserve"> </w:t>
      </w:r>
      <w:r w:rsidRPr="00061B56">
        <w:rPr>
          <w:rFonts w:eastAsia="Calibri" w:cstheme="minorHAnsi"/>
          <w:sz w:val="24"/>
          <w:szCs w:val="24"/>
        </w:rPr>
        <w:t xml:space="preserve">This indicates that the reliability of each item was good, as it suggests that all the factors show a higher level of internal consistency. In other words, the items used in the questionnaire effectively measure the respective construct. This output ensures the reliability of the questions included in the questionnaire.  </w:t>
      </w:r>
    </w:p>
    <w:p w14:paraId="47B3DA42" w14:textId="77777777" w:rsidR="007144CC" w:rsidRPr="00061B56" w:rsidRDefault="007144CC" w:rsidP="007144CC">
      <w:pPr>
        <w:spacing w:line="480" w:lineRule="auto"/>
        <w:jc w:val="center"/>
        <w:rPr>
          <w:rFonts w:eastAsia="Calibri" w:cstheme="minorHAnsi"/>
          <w:b/>
          <w:bCs/>
          <w:sz w:val="24"/>
          <w:szCs w:val="24"/>
        </w:rPr>
      </w:pPr>
      <w:r w:rsidRPr="00061B56">
        <w:rPr>
          <w:rFonts w:eastAsia="Calibri" w:cstheme="minorHAnsi"/>
          <w:sz w:val="24"/>
          <w:szCs w:val="24"/>
        </w:rPr>
        <w:t>***Insert Table 4 about here***</w:t>
      </w:r>
    </w:p>
    <w:p w14:paraId="59C8F8F5" w14:textId="77777777" w:rsidR="007144CC" w:rsidRPr="00061B56" w:rsidRDefault="007144CC" w:rsidP="007144CC">
      <w:pPr>
        <w:spacing w:line="360" w:lineRule="auto"/>
        <w:jc w:val="both"/>
        <w:rPr>
          <w:rFonts w:eastAsia="Calibri" w:cstheme="minorHAnsi"/>
          <w:b/>
          <w:bCs/>
          <w:sz w:val="24"/>
          <w:szCs w:val="24"/>
        </w:rPr>
      </w:pPr>
      <w:r w:rsidRPr="00061B56">
        <w:rPr>
          <w:rFonts w:eastAsia="Calibri" w:cstheme="minorHAnsi"/>
          <w:b/>
          <w:bCs/>
          <w:sz w:val="24"/>
          <w:szCs w:val="24"/>
        </w:rPr>
        <w:t>6.5 The structural Model</w:t>
      </w:r>
    </w:p>
    <w:p w14:paraId="0E03A6D3" w14:textId="77777777" w:rsidR="007144CC" w:rsidRPr="00061B56" w:rsidRDefault="007144CC" w:rsidP="007144CC">
      <w:pPr>
        <w:spacing w:line="360" w:lineRule="auto"/>
        <w:jc w:val="both"/>
        <w:rPr>
          <w:rFonts w:eastAsia="Calibri" w:cstheme="minorHAnsi"/>
          <w:color w:val="000000" w:themeColor="text1"/>
          <w:sz w:val="24"/>
          <w:szCs w:val="24"/>
        </w:rPr>
      </w:pPr>
      <w:r w:rsidRPr="00061B56">
        <w:rPr>
          <w:rFonts w:eastAsia="Calibri" w:cstheme="minorHAnsi"/>
          <w:color w:val="000000" w:themeColor="text1"/>
          <w:sz w:val="24"/>
          <w:szCs w:val="24"/>
        </w:rPr>
        <w:t>The structural equation model (Figure 2) illustrates the relationships conceptualised among the latent variables. The following structural model (unstandardised) demonstrates path coefficients (relationships) existing among latent variables.</w:t>
      </w:r>
    </w:p>
    <w:p w14:paraId="3D239BA2" w14:textId="77777777" w:rsidR="007144CC" w:rsidRPr="00061B56" w:rsidRDefault="007144CC" w:rsidP="007144CC">
      <w:pPr>
        <w:spacing w:line="360" w:lineRule="auto"/>
        <w:jc w:val="both"/>
        <w:rPr>
          <w:rFonts w:eastAsia="Calibri" w:cstheme="minorHAnsi"/>
          <w:color w:val="000000" w:themeColor="text1"/>
          <w:sz w:val="24"/>
          <w:szCs w:val="24"/>
        </w:rPr>
      </w:pPr>
    </w:p>
    <w:p w14:paraId="1A166B6C" w14:textId="77777777" w:rsidR="007144CC" w:rsidRPr="00061B56" w:rsidRDefault="007144CC" w:rsidP="007144CC">
      <w:pPr>
        <w:spacing w:line="480" w:lineRule="auto"/>
        <w:jc w:val="center"/>
        <w:rPr>
          <w:rFonts w:ascii="Times New Roman" w:eastAsia="Calibri" w:hAnsi="Times New Roman" w:cs="Times New Roman"/>
          <w:b/>
          <w:bCs/>
          <w:sz w:val="24"/>
          <w:szCs w:val="24"/>
        </w:rPr>
      </w:pPr>
      <w:r w:rsidRPr="00061B56">
        <w:rPr>
          <w:rFonts w:eastAsia="Calibri" w:cstheme="minorHAnsi"/>
          <w:sz w:val="24"/>
          <w:szCs w:val="24"/>
        </w:rPr>
        <w:t>***Insert Fig 2 about here***</w:t>
      </w:r>
    </w:p>
    <w:p w14:paraId="6923D258"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           </w:t>
      </w:r>
    </w:p>
    <w:p w14:paraId="1E495815" w14:textId="77777777" w:rsidR="007144CC" w:rsidRPr="00061B56" w:rsidRDefault="007144CC" w:rsidP="007144CC">
      <w:pPr>
        <w:spacing w:line="360" w:lineRule="auto"/>
        <w:jc w:val="both"/>
        <w:rPr>
          <w:sz w:val="24"/>
          <w:szCs w:val="24"/>
        </w:rPr>
      </w:pPr>
      <w:r w:rsidRPr="00061B56">
        <w:rPr>
          <w:rFonts w:eastAsia="Calibri" w:cstheme="minorHAnsi"/>
          <w:color w:val="FF0000"/>
          <w:sz w:val="24"/>
          <w:szCs w:val="24"/>
        </w:rPr>
        <w:t xml:space="preserve">      </w:t>
      </w:r>
      <w:r w:rsidRPr="00061B56">
        <w:rPr>
          <w:rFonts w:eastAsia="Calibri" w:cstheme="minorHAnsi"/>
          <w:sz w:val="24"/>
          <w:szCs w:val="24"/>
        </w:rPr>
        <w:t>Based on the outcomes derived from the above structural equation model, we summarised the regressions (unstandardised) in Table 5.</w:t>
      </w:r>
      <w:r w:rsidRPr="00061B56">
        <w:rPr>
          <w:sz w:val="24"/>
          <w:szCs w:val="24"/>
        </w:rPr>
        <w:t xml:space="preserve"> First, the results in Table 5 show that entrepreneurial energy efficiency orientation (EEEO) has a direct positive and significant impact on identifying barriers to green planning (IB) at a 1% significance level, suggesting that the energy efficiency orientation of owners and managers of SMEs is associated with increased IB. This evidence offers empirical support to H1a and corroborates prior scholars' arguments that EEEO can help SMEs identify barriers and overcome barriers to green initiatives (Walker et al., 2008; Runhaar et al., 2008; Hillary, </w:t>
      </w:r>
      <w:r w:rsidRPr="00061B56">
        <w:rPr>
          <w:sz w:val="24"/>
          <w:szCs w:val="24"/>
        </w:rPr>
        <w:lastRenderedPageBreak/>
        <w:t>2004). This evidence lends support to the efficiency view of NIT, in that  SMEs owners and managers are likely to explore and identify green initiatives to reduce their production costs, and ultimately help them to overcome barriers to green innovation (Orazalin et al., 2023; Adu et al., 2022a). Further, the results in Table 5 also show that IB positively and significantly impacts carbon emission reduction (CER) at a 1% level, implying that H1b is empirically supported. The findings are also consistent with the notion that identifying green planning barriers by SMEs is a crucial step that can help the firms put in place effective mechanisms to address these barriers and improve CER.</w:t>
      </w:r>
    </w:p>
    <w:p w14:paraId="7EC4D67F" w14:textId="77777777" w:rsidR="007144CC" w:rsidRPr="00061B56" w:rsidRDefault="007144CC" w:rsidP="007144CC">
      <w:pPr>
        <w:spacing w:line="360" w:lineRule="auto"/>
        <w:jc w:val="both"/>
        <w:rPr>
          <w:sz w:val="24"/>
          <w:szCs w:val="24"/>
        </w:rPr>
      </w:pPr>
      <w:r w:rsidRPr="00061B56">
        <w:rPr>
          <w:sz w:val="24"/>
          <w:szCs w:val="24"/>
        </w:rPr>
        <w:t xml:space="preserve">        Second, the estimated results in Table 5 reveal that EEEO is positively associated with green planning (GP) at a 1% significance level. This result suggests that the energy efficiency orientation of SMEs owners and managers can help the firms engage in increased GP, thereby offering empirical support to H2a. The findings reaffirm the</w:t>
      </w:r>
      <w:r w:rsidRPr="00061B56">
        <w:t xml:space="preserve"> </w:t>
      </w:r>
      <w:r w:rsidRPr="00061B56">
        <w:rPr>
          <w:sz w:val="24"/>
          <w:szCs w:val="24"/>
        </w:rPr>
        <w:t>economic NIT notion that EEO strategy significantly predicts GP activities. Our results support the view that pro-energy efficiency-oriented owners and managers tend to encourage firms to engage in GP initiatives, hence the establishment of GP policy (</w:t>
      </w:r>
      <w:commentRangeStart w:id="34"/>
      <w:commentRangeStart w:id="35"/>
      <w:r w:rsidRPr="00061B56">
        <w:rPr>
          <w:sz w:val="24"/>
          <w:szCs w:val="24"/>
        </w:rPr>
        <w:t>Adu</w:t>
      </w:r>
      <w:commentRangeEnd w:id="34"/>
      <w:r w:rsidRPr="00061B56">
        <w:rPr>
          <w:rStyle w:val="CommentReference"/>
          <w:sz w:val="24"/>
          <w:szCs w:val="24"/>
        </w:rPr>
        <w:commentReference w:id="34"/>
      </w:r>
      <w:commentRangeEnd w:id="35"/>
      <w:r w:rsidR="00C75789" w:rsidRPr="00061B56">
        <w:rPr>
          <w:rStyle w:val="CommentReference"/>
          <w:sz w:val="24"/>
          <w:szCs w:val="24"/>
        </w:rPr>
        <w:commentReference w:id="35"/>
      </w:r>
      <w:r w:rsidRPr="00061B56">
        <w:rPr>
          <w:sz w:val="24"/>
          <w:szCs w:val="24"/>
        </w:rPr>
        <w:t xml:space="preserve">, 2022). This is consistent with prior studies (Gupta &amp; Barua, 2018; Bradford &amp; Fraser, 2008) that suggest that the extent to which firms engage in GP is significantly influenced/shaped by entrepreneurial orientation (Gupta &amp; </w:t>
      </w:r>
      <w:commentRangeStart w:id="36"/>
      <w:commentRangeStart w:id="37"/>
      <w:r w:rsidRPr="00061B56">
        <w:rPr>
          <w:sz w:val="24"/>
          <w:szCs w:val="24"/>
        </w:rPr>
        <w:t>Barua</w:t>
      </w:r>
      <w:commentRangeEnd w:id="36"/>
      <w:r w:rsidRPr="00061B56">
        <w:rPr>
          <w:rStyle w:val="CommentReference"/>
          <w:sz w:val="24"/>
          <w:szCs w:val="24"/>
        </w:rPr>
        <w:commentReference w:id="36"/>
      </w:r>
      <w:commentRangeEnd w:id="37"/>
      <w:r w:rsidR="00B677A2" w:rsidRPr="00061B56">
        <w:rPr>
          <w:rStyle w:val="CommentReference"/>
          <w:sz w:val="24"/>
          <w:szCs w:val="24"/>
        </w:rPr>
        <w:commentReference w:id="37"/>
      </w:r>
      <w:r w:rsidRPr="00061B56">
        <w:rPr>
          <w:sz w:val="24"/>
          <w:szCs w:val="24"/>
        </w:rPr>
        <w:t>, 2018; Bradford &amp; Fraser, 2008). By contrast, the findings in Table 5 show that the relationship between GP and CER is positive but insignificant. Thus, H2b is rejected.</w:t>
      </w:r>
      <w:r w:rsidRPr="00061B56">
        <w:t xml:space="preserve"> </w:t>
      </w:r>
    </w:p>
    <w:p w14:paraId="6065C12B" w14:textId="77777777" w:rsidR="007144CC" w:rsidRPr="00061B56" w:rsidRDefault="007144CC" w:rsidP="007144CC">
      <w:pPr>
        <w:spacing w:line="360" w:lineRule="auto"/>
        <w:jc w:val="both"/>
        <w:rPr>
          <w:sz w:val="24"/>
          <w:szCs w:val="24"/>
        </w:rPr>
      </w:pPr>
      <w:r w:rsidRPr="00061B56">
        <w:rPr>
          <w:sz w:val="24"/>
          <w:szCs w:val="24"/>
        </w:rPr>
        <w:t xml:space="preserve">       Third, the results in Table 5 show that EEEO is positively associated with green networking (GN) at a 1% significance level, thereby offering strong empirical support to H3a. The evidence provides empirical support to the economic view of NIT, which indicates that firms with EEEO owners and managers are likely to have high GN-related activities/initiatives. The findings corroborate past studies (Adu, 2022; Gupta &amp; Barua, 2018; Bradford &amp; Fraser, 2008), which suggest that firms with EEEO owners and managers are more likely to use GN as an effective management tool to improve their green initiatives. By contrast, the findings in Table 5 are inconsistent with our predictions that GN activities are associated with increased CER, as there is a positive but insignificant relationship between GN and CER. Thus, H3b is empirically rejected. </w:t>
      </w:r>
    </w:p>
    <w:p w14:paraId="3AB0725A" w14:textId="77777777" w:rsidR="007144CC" w:rsidRPr="00061B56" w:rsidRDefault="007144CC" w:rsidP="007144CC">
      <w:pPr>
        <w:spacing w:line="360" w:lineRule="auto"/>
        <w:jc w:val="both"/>
        <w:rPr>
          <w:sz w:val="24"/>
          <w:szCs w:val="24"/>
        </w:rPr>
      </w:pPr>
      <w:r w:rsidRPr="00061B56">
        <w:rPr>
          <w:sz w:val="24"/>
          <w:szCs w:val="24"/>
        </w:rPr>
        <w:lastRenderedPageBreak/>
        <w:t xml:space="preserve">          Fourth,</w:t>
      </w:r>
      <w:r w:rsidRPr="00061B56">
        <w:t xml:space="preserve"> </w:t>
      </w:r>
      <w:r w:rsidRPr="00061B56">
        <w:rPr>
          <w:sz w:val="24"/>
          <w:szCs w:val="24"/>
        </w:rPr>
        <w:t xml:space="preserve">these results captured in Table 5 show that EEEO is positively and significantly associated with selecting green innovation approaches (GI) at a 1% significance level, providing empirical support to H4a. The findings indicate that SMEs with EEEO owners and managers tend to engage in high GI. This is consistent with prior studies (Gupta &amp; Barua, 2018; Mathiyazhagan et al., </w:t>
      </w:r>
      <w:commentRangeStart w:id="38"/>
      <w:commentRangeStart w:id="39"/>
      <w:r w:rsidRPr="00061B56">
        <w:rPr>
          <w:sz w:val="24"/>
          <w:szCs w:val="24"/>
        </w:rPr>
        <w:t>2014</w:t>
      </w:r>
      <w:commentRangeEnd w:id="38"/>
      <w:r w:rsidRPr="00061B56">
        <w:rPr>
          <w:rStyle w:val="CommentReference"/>
          <w:sz w:val="24"/>
          <w:szCs w:val="24"/>
        </w:rPr>
        <w:commentReference w:id="38"/>
      </w:r>
      <w:commentRangeEnd w:id="39"/>
      <w:r w:rsidR="00BB255C" w:rsidRPr="00061B56">
        <w:rPr>
          <w:rStyle w:val="CommentReference"/>
          <w:sz w:val="24"/>
          <w:szCs w:val="24"/>
        </w:rPr>
        <w:commentReference w:id="39"/>
      </w:r>
      <w:r w:rsidRPr="00061B56">
        <w:rPr>
          <w:sz w:val="24"/>
          <w:szCs w:val="24"/>
        </w:rPr>
        <w:t>) that SMEs' selection of green initiatives is largely dependent on the EEEO of the owners and managers of the firms. Theoretically, this finding supports the economic view of NIT in that firms are likely to engage in GI when the owners/managers have a strong energy efficiency affinity to reduce costs and improve operational efficiency. However, the results in Table 5 show that GI has a positive but insignificant impact on CER. The results suggest that H4b is not empirically supported.</w:t>
      </w:r>
    </w:p>
    <w:p w14:paraId="1E1FB778" w14:textId="77777777" w:rsidR="007144CC" w:rsidRPr="00061B56" w:rsidRDefault="007144CC" w:rsidP="007144CC">
      <w:pPr>
        <w:spacing w:line="480" w:lineRule="auto"/>
        <w:jc w:val="center"/>
        <w:rPr>
          <w:rFonts w:eastAsia="Calibri" w:cstheme="minorHAnsi"/>
          <w:sz w:val="24"/>
          <w:szCs w:val="24"/>
        </w:rPr>
      </w:pPr>
      <w:r w:rsidRPr="00061B56">
        <w:rPr>
          <w:rFonts w:eastAsia="Calibri" w:cstheme="minorHAnsi"/>
          <w:sz w:val="24"/>
          <w:szCs w:val="24"/>
        </w:rPr>
        <w:t>***Insert Table 5 about here***</w:t>
      </w:r>
    </w:p>
    <w:p w14:paraId="41CE4917" w14:textId="77777777" w:rsidR="007144CC" w:rsidRPr="00061B56" w:rsidRDefault="007144CC" w:rsidP="007144CC">
      <w:pPr>
        <w:jc w:val="both"/>
        <w:rPr>
          <w:rFonts w:cstheme="minorHAnsi"/>
          <w:b/>
          <w:bCs/>
          <w:sz w:val="24"/>
          <w:szCs w:val="24"/>
        </w:rPr>
      </w:pPr>
      <w:r w:rsidRPr="00061B56">
        <w:rPr>
          <w:rFonts w:cstheme="minorHAnsi"/>
          <w:b/>
          <w:bCs/>
          <w:sz w:val="24"/>
          <w:szCs w:val="24"/>
        </w:rPr>
        <w:t xml:space="preserve">6.6 Multiple mediators analysis </w:t>
      </w:r>
    </w:p>
    <w:p w14:paraId="21D6D0AC" w14:textId="77777777" w:rsidR="007144CC" w:rsidRPr="00061B56" w:rsidRDefault="007144CC" w:rsidP="007144CC">
      <w:pPr>
        <w:spacing w:line="360" w:lineRule="auto"/>
        <w:jc w:val="both"/>
        <w:rPr>
          <w:rFonts w:eastAsia="Calibri" w:cstheme="minorHAnsi"/>
          <w:sz w:val="24"/>
          <w:szCs w:val="24"/>
        </w:rPr>
      </w:pPr>
      <w:r w:rsidRPr="00061B56">
        <w:rPr>
          <w:rFonts w:cstheme="minorHAnsi"/>
          <w:sz w:val="24"/>
          <w:szCs w:val="24"/>
        </w:rPr>
        <w:t xml:space="preserve">        We can summarise the indirect effects of respective multiple mediators based on the outcomes generated from the 'User-defined estimands' in SPSS Amos. </w:t>
      </w:r>
      <w:r w:rsidRPr="00061B56">
        <w:rPr>
          <w:rFonts w:eastAsia="Calibri" w:cstheme="minorHAnsi"/>
          <w:sz w:val="24"/>
          <w:szCs w:val="24"/>
        </w:rPr>
        <w:t>When analysing the results from Table 6, identification of green barriers (IB) is the only variable mediating the relationship between EEEO and CER.</w:t>
      </w:r>
      <w:r w:rsidRPr="00061B56">
        <w:t xml:space="preserve"> </w:t>
      </w:r>
      <w:r w:rsidRPr="00061B56">
        <w:rPr>
          <w:sz w:val="24"/>
          <w:szCs w:val="24"/>
        </w:rPr>
        <w:t>First,</w:t>
      </w:r>
      <w:r w:rsidRPr="00061B56">
        <w:rPr>
          <w:rFonts w:eastAsia="Calibri" w:cstheme="minorHAnsi"/>
          <w:sz w:val="24"/>
          <w:szCs w:val="24"/>
        </w:rPr>
        <w:t xml:space="preserve"> H1c predicted the mediating role of IB in the EEEO-CER relationship. The results in Table 6 confirm indirect effect between EEEO and CER through IB is 0.300 and statistically significant at 1%. This evidence offers empirical support for H1c. The findings provide empirical support to the economic view of NIT and our argument that EEEO can play a crucial role in helping SMEs to identify and address barriers in green practices, become more energy efficient (reduce energy bills) and ultimately improve CER.</w:t>
      </w:r>
    </w:p>
    <w:p w14:paraId="49101DBE"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          Second, the results in Table 6 show that H2c is rejected, as the indirect relationship between EEEO and CER through GP is 0.342 and statistically insignificant with a p-value of 0.236. Third, the estimated results in Table 6 reveal that the indirect relationship between EEEO and CER through GN is -0.079 and statistically insignificant, with a p-value of 0.737. The evidence indicates that H3c is rejected. Fourth, in Table 6, we find insignificant results on the mediating impact of GI on the EEEO-CER nexus, implying that </w:t>
      </w:r>
      <w:r w:rsidRPr="00061B56">
        <w:rPr>
          <w:rFonts w:eastAsia="Calibri" w:cstheme="minorHAnsi"/>
          <w:sz w:val="24"/>
          <w:szCs w:val="24"/>
        </w:rPr>
        <w:lastRenderedPageBreak/>
        <w:t>H4c is rejected. The results show that</w:t>
      </w:r>
      <w:r w:rsidRPr="00061B56">
        <w:t xml:space="preserve"> </w:t>
      </w:r>
      <w:r w:rsidRPr="00061B56">
        <w:rPr>
          <w:rFonts w:eastAsia="Calibri" w:cstheme="minorHAnsi"/>
          <w:sz w:val="24"/>
          <w:szCs w:val="24"/>
        </w:rPr>
        <w:t xml:space="preserve">the indirect relationship between EEEO and CER through GI is 0.254, which is statistically insignificant with a p-value of 0.176.  </w:t>
      </w:r>
    </w:p>
    <w:p w14:paraId="0A51D1E7" w14:textId="77777777" w:rsidR="007144CC" w:rsidRPr="00061B56" w:rsidRDefault="007144CC" w:rsidP="007144CC">
      <w:pPr>
        <w:spacing w:line="360" w:lineRule="auto"/>
        <w:jc w:val="center"/>
        <w:rPr>
          <w:rFonts w:eastAsia="Calibri" w:cstheme="minorHAnsi"/>
          <w:sz w:val="24"/>
          <w:szCs w:val="24"/>
        </w:rPr>
      </w:pPr>
      <w:r w:rsidRPr="00061B56">
        <w:rPr>
          <w:rFonts w:eastAsia="Calibri" w:cstheme="minorHAnsi"/>
          <w:sz w:val="24"/>
          <w:szCs w:val="24"/>
        </w:rPr>
        <w:t>***Insert Table 6 about here***</w:t>
      </w:r>
    </w:p>
    <w:p w14:paraId="7FEE3027"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        Moving on, although the results in Table 6 reveal statistically significant mediating effects of IB, it does not demonstrate the type of mediation effect. In other words, the results in Table 6 do not explain whether these effects are 'Full' or 'Partial' mediations. To test the nature of the relationship, we check the statistical significance of the direct impact between EEEO and CER variables with mediating variables. As demonstrated in Table 5, the direct impact from EEEO to CER (Par_9) is 0.164 (p=0.812 &gt;0.05). It implies that the direct effect is statistically insignificant with the presence of mediators.</w:t>
      </w:r>
      <w:r w:rsidRPr="00061B56">
        <w:t xml:space="preserve"> </w:t>
      </w:r>
      <w:r w:rsidRPr="00061B56">
        <w:rPr>
          <w:sz w:val="24"/>
          <w:szCs w:val="24"/>
        </w:rPr>
        <w:t>A</w:t>
      </w:r>
      <w:r w:rsidRPr="00061B56">
        <w:rPr>
          <w:rFonts w:eastAsia="Calibri" w:cstheme="minorHAnsi"/>
          <w:sz w:val="24"/>
          <w:szCs w:val="24"/>
        </w:rPr>
        <w:t>ccording to this structural model, the mediating variable IB can explain the relationship between EEEO (independent variable) and CER (dependent variable).</w:t>
      </w:r>
    </w:p>
    <w:p w14:paraId="6FBA52EF" w14:textId="77777777" w:rsidR="007144CC" w:rsidRPr="00061B56" w:rsidRDefault="007144CC" w:rsidP="007144CC">
      <w:pPr>
        <w:spacing w:line="360" w:lineRule="auto"/>
        <w:jc w:val="both"/>
        <w:rPr>
          <w:rFonts w:eastAsia="Calibri" w:cstheme="minorHAnsi"/>
          <w:b/>
          <w:bCs/>
          <w:sz w:val="24"/>
          <w:szCs w:val="24"/>
        </w:rPr>
      </w:pPr>
      <w:r w:rsidRPr="00061B56">
        <w:rPr>
          <w:rFonts w:eastAsia="Calibri" w:cstheme="minorHAnsi"/>
          <w:b/>
          <w:bCs/>
          <w:sz w:val="24"/>
          <w:szCs w:val="24"/>
        </w:rPr>
        <w:t>6.7 Summary of the mediation results</w:t>
      </w:r>
    </w:p>
    <w:p w14:paraId="5A0C83F3"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       The study assessed the mediating role of GP, GN, GI and IB on the relationship between EEEO and CER. The outcome of this multiple mediation analysis can be summarised as follows. The results revealed an insignificant indirect effect of EEEO on CER through GP (b=0.342, t=0.595, p=0.236 &gt;0.05 ), GN (b= -0.079, t=-0.100, p=0.737&gt;0.05 ) and GI (b=0.254, t= 1.02, p=0.176&gt;0.05 ). These results do not support H2c, H3c and H4c, respectively. After analysing the mediating roles of IB (b=0.300, t = 2.912, p=0.000 ), the study found statistically significant mediations on the association between EEEO and CER. Further, the direct effect of EEEO on CER in the presence of the mediators was found insignificant (b= 0.164, p = 0.812). Hence, the IB variable 'fully' mediated the relationship between EEEO and CER. </w:t>
      </w:r>
    </w:p>
    <w:p w14:paraId="2D2ED520" w14:textId="77777777" w:rsidR="007144CC" w:rsidRPr="00061B56" w:rsidRDefault="007144CC" w:rsidP="007144CC">
      <w:pPr>
        <w:spacing w:line="360" w:lineRule="auto"/>
        <w:jc w:val="center"/>
        <w:rPr>
          <w:rFonts w:eastAsia="Calibri" w:cstheme="minorHAnsi"/>
          <w:sz w:val="24"/>
          <w:szCs w:val="24"/>
        </w:rPr>
      </w:pPr>
      <w:r w:rsidRPr="00061B56">
        <w:rPr>
          <w:rFonts w:eastAsia="Calibri" w:cstheme="minorHAnsi"/>
          <w:sz w:val="24"/>
          <w:szCs w:val="24"/>
        </w:rPr>
        <w:t>***Insert Table 7 about here***</w:t>
      </w:r>
    </w:p>
    <w:p w14:paraId="78B2E9EA" w14:textId="77777777" w:rsidR="007144CC" w:rsidRPr="00061B56" w:rsidRDefault="007144CC" w:rsidP="007144CC">
      <w:pPr>
        <w:spacing w:line="360" w:lineRule="auto"/>
        <w:jc w:val="both"/>
        <w:rPr>
          <w:rFonts w:eastAsia="Calibri" w:cstheme="minorHAnsi"/>
          <w:b/>
          <w:bCs/>
          <w:sz w:val="24"/>
          <w:szCs w:val="24"/>
        </w:rPr>
      </w:pPr>
      <w:r w:rsidRPr="00061B56">
        <w:rPr>
          <w:rFonts w:eastAsia="Calibri" w:cstheme="minorHAnsi"/>
          <w:b/>
          <w:bCs/>
          <w:sz w:val="24"/>
          <w:szCs w:val="24"/>
        </w:rPr>
        <w:t>6.8 Model fit summary</w:t>
      </w:r>
    </w:p>
    <w:p w14:paraId="02C4A62E"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The robustness of the above model can be tested using the popular model fit measurements in structural equation modelling</w:t>
      </w:r>
      <w:r w:rsidRPr="00061B56">
        <w:rPr>
          <w:rFonts w:eastAsia="Calibri" w:cstheme="minorHAnsi"/>
          <w:b/>
          <w:bCs/>
          <w:sz w:val="24"/>
          <w:szCs w:val="24"/>
        </w:rPr>
        <w:t>.</w:t>
      </w:r>
      <w:r w:rsidRPr="00061B56">
        <w:t xml:space="preserve"> </w:t>
      </w:r>
      <w:r w:rsidRPr="00061B56">
        <w:rPr>
          <w:rFonts w:eastAsia="Calibri" w:cstheme="minorHAnsi"/>
          <w:sz w:val="24"/>
          <w:szCs w:val="24"/>
        </w:rPr>
        <w:t xml:space="preserve">According to the above model fit outcomes, the developed model reflects strong fitness outcomes. Out of 10 fit indices, </w:t>
      </w:r>
      <w:r w:rsidRPr="00061B56">
        <w:rPr>
          <w:rFonts w:eastAsia="Calibri" w:cstheme="minorHAnsi"/>
          <w:sz w:val="24"/>
          <w:szCs w:val="24"/>
        </w:rPr>
        <w:lastRenderedPageBreak/>
        <w:t>only 3 fit indices show poor fit. Therefore, it can be concluded that this model shows an overall good fit.</w:t>
      </w:r>
    </w:p>
    <w:p w14:paraId="4D27E30A" w14:textId="77777777" w:rsidR="007144CC" w:rsidRPr="00061B56" w:rsidRDefault="007144CC" w:rsidP="007144CC">
      <w:pPr>
        <w:spacing w:line="360" w:lineRule="auto"/>
        <w:jc w:val="center"/>
        <w:rPr>
          <w:rFonts w:eastAsia="Calibri" w:cstheme="minorHAnsi"/>
          <w:sz w:val="24"/>
          <w:szCs w:val="24"/>
        </w:rPr>
      </w:pPr>
      <w:r w:rsidRPr="00061B56">
        <w:rPr>
          <w:rFonts w:eastAsia="Calibri" w:cstheme="minorHAnsi"/>
          <w:sz w:val="24"/>
          <w:szCs w:val="24"/>
        </w:rPr>
        <w:t>***Insert Table 8 about here***</w:t>
      </w:r>
    </w:p>
    <w:p w14:paraId="0E3DD68C" w14:textId="77777777" w:rsidR="007144CC" w:rsidRPr="00061B56" w:rsidRDefault="007144CC" w:rsidP="007144CC">
      <w:pPr>
        <w:spacing w:line="360" w:lineRule="auto"/>
        <w:jc w:val="both"/>
        <w:rPr>
          <w:rFonts w:eastAsia="Calibri" w:cstheme="minorHAnsi"/>
          <w:b/>
          <w:bCs/>
          <w:sz w:val="24"/>
          <w:szCs w:val="24"/>
        </w:rPr>
      </w:pPr>
      <w:r w:rsidRPr="00061B56">
        <w:rPr>
          <w:rFonts w:eastAsia="Calibri" w:cstheme="minorHAnsi"/>
          <w:b/>
          <w:bCs/>
          <w:sz w:val="24"/>
          <w:szCs w:val="24"/>
        </w:rPr>
        <w:t>7 Conclusion</w:t>
      </w:r>
    </w:p>
    <w:p w14:paraId="755C7027"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b/>
          <w:bCs/>
          <w:sz w:val="24"/>
          <w:szCs w:val="24"/>
        </w:rPr>
        <w:t xml:space="preserve">    </w:t>
      </w:r>
      <w:r w:rsidRPr="00061B56">
        <w:rPr>
          <w:rFonts w:eastAsia="Calibri" w:cstheme="minorHAnsi"/>
          <w:sz w:val="24"/>
          <w:szCs w:val="24"/>
        </w:rPr>
        <w:t>Over the past few decades, academics, practitioners, and regulators have become increasingly concerned with carbon footprint due to the rising levels of GHG emissions and their negative effects on the planet and human lives. The effect of entrepreneurial energy efficiency orientation on carbon emission reduction of SMEs is a critical issue in climate change studies. Regrettably, there is limited research regarding the role of governance structures such as entrepreneurial energy efficiency orientation, identification of green barriers, green planning, green networking and selection of green innovation approaches in addressing climate change challenges, especially in the SME sector. Accordingly, this study sought to bridge this gap in the literature by empirically exploring these interrelationships based on data relating to SMEs. This study proposes and documents evidence for identifying green barriers as a mediating mechanism through which entrepreneurial energy efficiency orientation contributes to the carbon emission reduction of SMEs.</w:t>
      </w:r>
    </w:p>
    <w:p w14:paraId="76478A51"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       The study offers new contributions to the carbon footprint literature based on insight from the neo-institutional theoretical framework. First, our results provide further evidence that SMEs' entrepreneurial energy efficiency orientation is positively related to increased identification of green barriers, green planning, green networking and the selection of green innovation approaches. Second, our results contribute to the carbon footprint literature (Andreou &amp; Kellard, 2021; Wright &amp; Nyberg, 2017; Gupta &amp; Barua, 2018) by showing that identification of green barriers, green planning, green networking and the selection of green innovation approaches are positively and significantly associated with carbon emission reduction. Third, unlike prior studies that provide a direct link between SMEs characteristics and environmental performance, we identify and test possible channels through which mediators may influence this relationship. Our study offers first-time evidence of the full </w:t>
      </w:r>
      <w:r w:rsidRPr="00061B56">
        <w:rPr>
          <w:rFonts w:eastAsia="Calibri" w:cstheme="minorHAnsi"/>
          <w:color w:val="000000" w:themeColor="text1"/>
          <w:sz w:val="24"/>
          <w:szCs w:val="24"/>
        </w:rPr>
        <w:t xml:space="preserve">mediating effect of identifying </w:t>
      </w:r>
      <w:r w:rsidRPr="00061B56">
        <w:rPr>
          <w:rFonts w:eastAsia="Calibri" w:cstheme="minorHAnsi"/>
          <w:sz w:val="24"/>
          <w:szCs w:val="24"/>
        </w:rPr>
        <w:t xml:space="preserve">barriers to green practices to capture the indirect association between entrepreneurial energy efficiency </w:t>
      </w:r>
      <w:r w:rsidRPr="00061B56">
        <w:rPr>
          <w:rFonts w:eastAsia="Calibri" w:cstheme="minorHAnsi"/>
          <w:sz w:val="24"/>
          <w:szCs w:val="24"/>
        </w:rPr>
        <w:lastRenderedPageBreak/>
        <w:t xml:space="preserve">orientation and carbon emission reduction. Finally, our results support the economic view of neo-institutional theory (Adu et al., 2023; Haque &amp; Ntim, 2020), in that SMEs, through identifying barriers to green practices, may engage in carbon emission reduction initiatives as a credible means of improving operational efficiency, reduction of costs and ultimately lowering GHG emissions. </w:t>
      </w:r>
    </w:p>
    <w:p w14:paraId="319232E6"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       In addition to our findings' theoretical and empirical contributions, we also propose important policy implications.</w:t>
      </w:r>
      <w:r w:rsidRPr="00061B56">
        <w:t xml:space="preserve"> </w:t>
      </w:r>
      <w:r w:rsidRPr="00061B56">
        <w:rPr>
          <w:rFonts w:eastAsia="Calibri" w:cstheme="minorHAnsi"/>
          <w:sz w:val="24"/>
          <w:szCs w:val="24"/>
        </w:rPr>
        <w:t>First, our results indicate that SMEs' carbon emission reduction could benefit from identifying green barriers. Thus, owners and managers of SMEs should promote ways of identifying green barriers in the firms as it has proven to boost the firm's carbon emission reduction and offers sustainable value creation. For instance, identifying green barriers can boost the firms' capability for exploring energy-efficient ways of production, which could lead to savings from energy bills and increase profitability. Finally, to recognise excellence, regulators and the government of Ghana may set up an annual Green Award Scheme for SMEs and their employees who make outstanding contributions to the green SMEs agenda.</w:t>
      </w:r>
    </w:p>
    <w:p w14:paraId="50B76391"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sz w:val="24"/>
          <w:szCs w:val="24"/>
        </w:rPr>
        <w:t xml:space="preserve">         The study has some limitations. The sample was based on SMEs in the Greater Accra region, Ghana. As a result, researchers should exercise caution when generalising our findings to larger firms or firms in other countries. For example, the findings may or may not compare with that of developed economies with different climate-related policies and institutional settings. Nevertheless, the limitation of our study is that it offers avenues for future research employing SMEs in developed markets.</w:t>
      </w:r>
      <w:r w:rsidRPr="00061B56">
        <w:t xml:space="preserve"> </w:t>
      </w:r>
      <w:r w:rsidRPr="00061B56">
        <w:rPr>
          <w:rFonts w:eastAsia="Calibri" w:cstheme="minorHAnsi"/>
          <w:sz w:val="24"/>
          <w:szCs w:val="24"/>
        </w:rPr>
        <w:t>Future research may provide new insights by examining whether these relationships hold in large and publicly traded firms.</w:t>
      </w:r>
      <w:r w:rsidRPr="00061B56">
        <w:t xml:space="preserve"> </w:t>
      </w:r>
      <w:r w:rsidRPr="00061B56">
        <w:rPr>
          <w:rFonts w:eastAsia="Calibri" w:cstheme="minorHAnsi"/>
          <w:sz w:val="24"/>
          <w:szCs w:val="24"/>
        </w:rPr>
        <w:t>Finally, we analyse the interrelationship among entrepreneurial energy efficiency orientation, identification of green barriers, green planning, green networking, selection of green innovation approaches, and carbon emission reduction based on quantitative data collected from SMEs owners and managers and do not consider other information that might reflect actual practices and performance. In this regard, future studies might conduct comprehensive case studies and interviews with founders, owners, managers, investors and other stakeholders to provide</w:t>
      </w:r>
      <w:r w:rsidRPr="00061B56">
        <w:t xml:space="preserve"> </w:t>
      </w:r>
      <w:r w:rsidRPr="00061B56">
        <w:rPr>
          <w:rFonts w:eastAsia="Calibri" w:cstheme="minorHAnsi"/>
          <w:sz w:val="24"/>
          <w:szCs w:val="24"/>
        </w:rPr>
        <w:t xml:space="preserve">new insights on carbon emission reduction </w:t>
      </w:r>
      <w:commentRangeStart w:id="40"/>
      <w:r w:rsidRPr="00061B56">
        <w:rPr>
          <w:rFonts w:eastAsia="Calibri" w:cstheme="minorHAnsi"/>
          <w:sz w:val="24"/>
          <w:szCs w:val="24"/>
        </w:rPr>
        <w:t>initiatives</w:t>
      </w:r>
      <w:commentRangeEnd w:id="40"/>
      <w:r w:rsidRPr="00061B56">
        <w:rPr>
          <w:rStyle w:val="CommentReference"/>
          <w:rFonts w:eastAsia="Calibri" w:cstheme="minorHAnsi"/>
          <w:sz w:val="24"/>
          <w:szCs w:val="24"/>
        </w:rPr>
        <w:commentReference w:id="40"/>
      </w:r>
      <w:r w:rsidRPr="00061B56">
        <w:rPr>
          <w:rFonts w:eastAsia="Calibri" w:cstheme="minorHAnsi"/>
          <w:sz w:val="24"/>
          <w:szCs w:val="24"/>
        </w:rPr>
        <w:t>.</w:t>
      </w:r>
    </w:p>
    <w:p w14:paraId="26738C7E" w14:textId="77777777" w:rsidR="007144CC" w:rsidRPr="00061B56" w:rsidRDefault="007144CC" w:rsidP="007144CC">
      <w:pPr>
        <w:spacing w:line="360" w:lineRule="auto"/>
        <w:jc w:val="both"/>
        <w:rPr>
          <w:rFonts w:eastAsia="Calibri" w:cstheme="minorHAnsi"/>
          <w:sz w:val="24"/>
          <w:szCs w:val="24"/>
        </w:rPr>
      </w:pPr>
    </w:p>
    <w:p w14:paraId="55B273FE" w14:textId="77777777" w:rsidR="007144CC" w:rsidRPr="00061B56" w:rsidRDefault="007144CC" w:rsidP="007144CC">
      <w:pPr>
        <w:spacing w:line="360" w:lineRule="auto"/>
        <w:jc w:val="both"/>
        <w:rPr>
          <w:rFonts w:eastAsia="Calibri" w:cstheme="minorHAnsi"/>
          <w:sz w:val="24"/>
          <w:szCs w:val="24"/>
        </w:rPr>
      </w:pPr>
      <w:r w:rsidRPr="00061B56">
        <w:rPr>
          <w:rFonts w:eastAsia="Calibri" w:cstheme="minorHAnsi"/>
          <w:b/>
          <w:bCs/>
          <w:sz w:val="24"/>
          <w:szCs w:val="24"/>
        </w:rPr>
        <w:lastRenderedPageBreak/>
        <w:t>References</w:t>
      </w:r>
    </w:p>
    <w:p w14:paraId="7F71550E" w14:textId="77777777" w:rsidR="007144CC" w:rsidRPr="00061B56" w:rsidRDefault="007144CC" w:rsidP="007144CC">
      <w:pPr>
        <w:jc w:val="both"/>
        <w:rPr>
          <w:rFonts w:cstheme="minorHAnsi"/>
        </w:rPr>
      </w:pPr>
      <w:r w:rsidRPr="00061B56">
        <w:rPr>
          <w:rFonts w:cstheme="minorHAnsi"/>
        </w:rPr>
        <w:t>Adu, D. A., Flynn, A., &amp; Grey, C. (2023a). Carbon performance, financial performance and market value: The moderating effect of pay incentives. Business Strategy and the Environment.</w:t>
      </w:r>
    </w:p>
    <w:p w14:paraId="39D8EA8E" w14:textId="77777777" w:rsidR="007144CC" w:rsidRPr="00061B56" w:rsidRDefault="007144CC" w:rsidP="007144CC">
      <w:pPr>
        <w:jc w:val="both"/>
        <w:rPr>
          <w:rFonts w:cstheme="minorHAnsi"/>
        </w:rPr>
      </w:pPr>
      <w:r w:rsidRPr="00061B56">
        <w:rPr>
          <w:rFonts w:cstheme="minorHAnsi"/>
        </w:rPr>
        <w:t>Bhuiyan, F., Adu, D. A., Ullah, H., &amp; Islam, N. (2025). Employee organisational commitment and corporate environmental sustainability practices: mediating role of organisation innovation culture. Business Strategy and the Environment, 34(4), 4485-4506.</w:t>
      </w:r>
    </w:p>
    <w:p w14:paraId="51AB15CA" w14:textId="77777777" w:rsidR="007144CC" w:rsidRPr="00061B56" w:rsidRDefault="007144CC" w:rsidP="007144CC">
      <w:pPr>
        <w:jc w:val="both"/>
        <w:rPr>
          <w:rFonts w:cstheme="minorHAnsi"/>
        </w:rPr>
      </w:pPr>
      <w:r w:rsidRPr="00061B56">
        <w:rPr>
          <w:rFonts w:cstheme="minorHAnsi"/>
        </w:rPr>
        <w:t>Aguilera, R. V. (2005). Corporate governance and director accountability: An institutional comparative perspective. British Journal of Management, 16, S39-S53.</w:t>
      </w:r>
    </w:p>
    <w:p w14:paraId="2B6FB5CF" w14:textId="77777777" w:rsidR="007144CC" w:rsidRPr="00061B56" w:rsidRDefault="007144CC" w:rsidP="007144CC">
      <w:pPr>
        <w:jc w:val="both"/>
        <w:rPr>
          <w:rFonts w:cstheme="minorHAnsi"/>
        </w:rPr>
      </w:pPr>
      <w:r w:rsidRPr="00061B56">
        <w:rPr>
          <w:rFonts w:cstheme="minorHAnsi"/>
        </w:rPr>
        <w:t>Aguilera, R. V., Rupp, D. E., Williams, C., &amp; Granapathi, J. (2007). Putting the s back in corporate social responsibility: A multilevel theory of social change in organisations. Academy of Management Review, 32: 836-863.</w:t>
      </w:r>
    </w:p>
    <w:p w14:paraId="779E8E5A" w14:textId="77777777" w:rsidR="007144CC" w:rsidRPr="00061B56" w:rsidRDefault="007144CC" w:rsidP="007144CC">
      <w:pPr>
        <w:jc w:val="both"/>
        <w:rPr>
          <w:rFonts w:cstheme="minorHAnsi"/>
        </w:rPr>
      </w:pPr>
      <w:r w:rsidRPr="00061B56">
        <w:rPr>
          <w:rFonts w:cstheme="minorHAnsi"/>
        </w:rPr>
        <w:t>AlKhidir, T., &amp; Zailani, S. (2009). Going green in supply chain towards environmental sustainability. Global Journal of Environmental Research, 3(3), 246-251.</w:t>
      </w:r>
    </w:p>
    <w:p w14:paraId="18C80FD4" w14:textId="77777777" w:rsidR="007144CC" w:rsidRPr="00061B56" w:rsidRDefault="007144CC" w:rsidP="007144CC">
      <w:pPr>
        <w:jc w:val="both"/>
        <w:rPr>
          <w:rFonts w:cstheme="minorHAnsi"/>
        </w:rPr>
      </w:pPr>
      <w:r w:rsidRPr="00061B56">
        <w:rPr>
          <w:rFonts w:cstheme="minorHAnsi"/>
        </w:rPr>
        <w:t>Andreou, P. C., &amp; Kellard, N. M. (2021). Corporate environmental proactivity: Evidence from the European Union's emissions trading system. British Journal of Management, 32(3), 630-647.</w:t>
      </w:r>
    </w:p>
    <w:p w14:paraId="4E13F8AE" w14:textId="77777777" w:rsidR="007144CC" w:rsidRPr="00061B56" w:rsidRDefault="007144CC" w:rsidP="007144CC">
      <w:pPr>
        <w:jc w:val="both"/>
        <w:rPr>
          <w:rFonts w:cstheme="minorHAnsi"/>
        </w:rPr>
      </w:pPr>
      <w:r w:rsidRPr="00061B56">
        <w:rPr>
          <w:rFonts w:cstheme="minorHAnsi"/>
        </w:rPr>
        <w:t>Appiah, K., Du, J., &amp; Boamah, K. B. (2017). The Effect of Environmental Performance on Firm's Performance–Evidence from Ghana. British Journal of Interdisciplinary Research, 8(1).</w:t>
      </w:r>
    </w:p>
    <w:p w14:paraId="6F37FBAE" w14:textId="77777777" w:rsidR="007144CC" w:rsidRPr="00061B56" w:rsidRDefault="007144CC" w:rsidP="007144CC">
      <w:pPr>
        <w:jc w:val="both"/>
        <w:rPr>
          <w:rFonts w:cstheme="minorHAnsi"/>
        </w:rPr>
      </w:pPr>
      <w:bookmarkStart w:id="41" w:name="_Hlk135830335"/>
      <w:r w:rsidRPr="00061B56">
        <w:rPr>
          <w:rFonts w:cstheme="minorHAnsi"/>
        </w:rPr>
        <w:t>Bai, Y., Song, S., Jiao, J., &amp; Yang, R. (2019</w:t>
      </w:r>
      <w:bookmarkEnd w:id="41"/>
      <w:r w:rsidRPr="00061B56">
        <w:rPr>
          <w:rFonts w:cstheme="minorHAnsi"/>
        </w:rPr>
        <w:t>). The impacts of government R&amp;D subsidies on green innovation: Evidence from Chinese energy-intensive firms. Journal of cleaner production, 233, 819-829.</w:t>
      </w:r>
    </w:p>
    <w:p w14:paraId="51BF458F" w14:textId="77777777" w:rsidR="007144CC" w:rsidRPr="00061B56" w:rsidRDefault="007144CC" w:rsidP="007144CC">
      <w:pPr>
        <w:jc w:val="both"/>
        <w:rPr>
          <w:rFonts w:cstheme="minorHAnsi"/>
        </w:rPr>
      </w:pPr>
      <w:r w:rsidRPr="00061B56">
        <w:rPr>
          <w:rFonts w:cstheme="minorHAnsi"/>
        </w:rPr>
        <w:t>Banerjee, S. B. (2003). Who sustains whose development? Sustainable development and the reinvention of nature. Organisation studies, 24(1), 143-180.</w:t>
      </w:r>
    </w:p>
    <w:p w14:paraId="31DC68D3" w14:textId="77777777" w:rsidR="007144CC" w:rsidRPr="00061B56" w:rsidRDefault="007144CC" w:rsidP="007144CC">
      <w:pPr>
        <w:jc w:val="both"/>
        <w:rPr>
          <w:rFonts w:cstheme="minorHAnsi"/>
        </w:rPr>
      </w:pPr>
      <w:r w:rsidRPr="00061B56">
        <w:rPr>
          <w:rFonts w:cstheme="minorHAnsi"/>
        </w:rPr>
        <w:t>Barney, J. (1991). Firm resources and sustained competitive advantage. Journal of Management, 17(1), 99-120.</w:t>
      </w:r>
    </w:p>
    <w:p w14:paraId="6FAE3360" w14:textId="77777777" w:rsidR="007144CC" w:rsidRPr="00061B56" w:rsidRDefault="007144CC" w:rsidP="007144CC">
      <w:pPr>
        <w:jc w:val="both"/>
        <w:rPr>
          <w:rFonts w:cstheme="minorHAnsi"/>
        </w:rPr>
      </w:pPr>
      <w:r w:rsidRPr="00061B56">
        <w:rPr>
          <w:rFonts w:cstheme="minorHAnsi"/>
        </w:rPr>
        <w:t>Barrett, J., Cooper, T., Hammond, G.P. &amp; Pidgeon, N., (2018). Industrial energy, materials and products: UK decarbonisation challenges and opportunities. Applied Thermal Engineering, 136, 643-656.</w:t>
      </w:r>
    </w:p>
    <w:p w14:paraId="08F5EA15" w14:textId="77777777" w:rsidR="007144CC" w:rsidRPr="00061B56" w:rsidRDefault="007144CC" w:rsidP="007144CC">
      <w:pPr>
        <w:jc w:val="both"/>
        <w:rPr>
          <w:rFonts w:cstheme="minorHAnsi"/>
        </w:rPr>
      </w:pPr>
      <w:r w:rsidRPr="00061B56">
        <w:rPr>
          <w:rFonts w:cstheme="minorHAnsi"/>
        </w:rPr>
        <w:t>Bartolacci, F., Caputo, A., &amp; Soverchia, M. (2020). Sustainability and financial performance of small and medium sized enterprises: A bibliometric and systematic literature review. Business Strategy and the Environment, 29(3), 1297-1309.</w:t>
      </w:r>
    </w:p>
    <w:p w14:paraId="5D21D303" w14:textId="77777777" w:rsidR="007144CC" w:rsidRPr="00061B56" w:rsidRDefault="007144CC" w:rsidP="007144CC">
      <w:pPr>
        <w:jc w:val="both"/>
        <w:rPr>
          <w:rFonts w:cstheme="minorHAnsi"/>
        </w:rPr>
      </w:pPr>
      <w:r w:rsidRPr="00061B56">
        <w:rPr>
          <w:rFonts w:cstheme="minorHAnsi"/>
        </w:rPr>
        <w:t>Beamon, B. M. (1999). Designing the green supply chain. Logistics Information Management, 12(4), 332-342.</w:t>
      </w:r>
    </w:p>
    <w:p w14:paraId="75A8FA72" w14:textId="77777777" w:rsidR="007144CC" w:rsidRPr="00061B56" w:rsidRDefault="007144CC" w:rsidP="007144CC">
      <w:pPr>
        <w:jc w:val="both"/>
        <w:rPr>
          <w:rFonts w:cstheme="minorHAnsi"/>
        </w:rPr>
      </w:pPr>
      <w:r w:rsidRPr="00061B56">
        <w:rPr>
          <w:rFonts w:cstheme="minorHAnsi"/>
        </w:rPr>
        <w:t>Behyan, M. (2016). Investigating the influence of external networks on internationalisation success of firms. In 2016 10th International Conference on e-Commerce in Developing Countries: with focus on e-Tourism (ECDC) (pp. 1-18). IEEE.</w:t>
      </w:r>
    </w:p>
    <w:p w14:paraId="6E9CD7E1" w14:textId="77777777" w:rsidR="007144CC" w:rsidRPr="00061B56" w:rsidRDefault="007144CC" w:rsidP="007144CC">
      <w:pPr>
        <w:jc w:val="both"/>
        <w:rPr>
          <w:rFonts w:cstheme="minorHAnsi"/>
        </w:rPr>
      </w:pPr>
      <w:r w:rsidRPr="00061B56">
        <w:rPr>
          <w:rFonts w:cstheme="minorHAnsi"/>
        </w:rPr>
        <w:t>Bichard, E. (2000). Time to reassess the small business environmental advisory system in the UK. In Small and Medium-Sized Enterprises and the Environment, Hillary R (ed.). Greenleaf: Sheffield; 255–262.</w:t>
      </w:r>
    </w:p>
    <w:p w14:paraId="1212C54F" w14:textId="77777777" w:rsidR="007144CC" w:rsidRPr="00061B56" w:rsidRDefault="007144CC" w:rsidP="007144CC">
      <w:pPr>
        <w:jc w:val="both"/>
        <w:rPr>
          <w:rFonts w:cstheme="minorHAnsi"/>
        </w:rPr>
      </w:pPr>
      <w:r w:rsidRPr="00061B56">
        <w:rPr>
          <w:rFonts w:cstheme="minorHAnsi"/>
        </w:rPr>
        <w:lastRenderedPageBreak/>
        <w:t>Bowyer C, Monkhouse C, Skinner I, &amp; Willis R. (2005). Business Action on Climate Change: Where Next After Emissions Trading. Green Alliance: London.</w:t>
      </w:r>
    </w:p>
    <w:p w14:paraId="752810D5" w14:textId="77777777" w:rsidR="007144CC" w:rsidRPr="00061B56" w:rsidRDefault="007144CC" w:rsidP="007144CC">
      <w:pPr>
        <w:jc w:val="both"/>
        <w:rPr>
          <w:rFonts w:cstheme="minorHAnsi"/>
        </w:rPr>
      </w:pPr>
      <w:bookmarkStart w:id="42" w:name="_Hlk136980784"/>
      <w:r w:rsidRPr="00061B56">
        <w:rPr>
          <w:rFonts w:cstheme="minorHAnsi"/>
        </w:rPr>
        <w:t>Bradford, J., &amp; Fraser, E. D. (2008</w:t>
      </w:r>
      <w:bookmarkEnd w:id="42"/>
      <w:r w:rsidRPr="00061B56">
        <w:rPr>
          <w:rFonts w:cstheme="minorHAnsi"/>
        </w:rPr>
        <w:t>). Local authorities, climate change and small and medium enterprises: identifying effective policy instruments to reduce energy use and carbon emissions. Corporate Social Responsibility and Environmental Management, 15(3), 156-172.</w:t>
      </w:r>
    </w:p>
    <w:p w14:paraId="1D1AB0DE" w14:textId="77777777" w:rsidR="007144CC" w:rsidRPr="00061B56" w:rsidRDefault="007144CC" w:rsidP="007144CC">
      <w:pPr>
        <w:jc w:val="both"/>
        <w:rPr>
          <w:rFonts w:cstheme="minorHAnsi"/>
        </w:rPr>
      </w:pPr>
      <w:r w:rsidRPr="00061B56">
        <w:rPr>
          <w:rFonts w:cstheme="minorHAnsi"/>
        </w:rPr>
        <w:t>Brammer, S., Hoejmose, S., &amp; Marchant, K. (2012). Environmental management in SME s in the UK: Practices, pressures and perceived benefits. Business strategy and the environment, 21(7), 423-434.</w:t>
      </w:r>
    </w:p>
    <w:p w14:paraId="2400074C" w14:textId="77777777" w:rsidR="007144CC" w:rsidRPr="00061B56" w:rsidRDefault="007144CC" w:rsidP="007144CC">
      <w:pPr>
        <w:rPr>
          <w:rFonts w:cstheme="minorHAnsi"/>
        </w:rPr>
      </w:pPr>
      <w:r w:rsidRPr="00061B56">
        <w:rPr>
          <w:rFonts w:cstheme="minorHAnsi"/>
        </w:rPr>
        <w:t>British Business Bank, (2021). Smaller businesses and the transition to net zero. Accessed on 24/09/2022. Available at: https://www.british-business-bank.co.uk/wp-content/uploads/2021/10/J0026_Net_Zero_Report_AW.pdf</w:t>
      </w:r>
    </w:p>
    <w:p w14:paraId="3024AF80" w14:textId="77777777" w:rsidR="007144CC" w:rsidRPr="00061B56" w:rsidRDefault="007144CC" w:rsidP="007144CC">
      <w:pPr>
        <w:jc w:val="both"/>
        <w:rPr>
          <w:rFonts w:cstheme="minorHAnsi"/>
        </w:rPr>
      </w:pPr>
      <w:r w:rsidRPr="00061B56">
        <w:rPr>
          <w:rFonts w:cstheme="minorHAnsi"/>
        </w:rPr>
        <w:t>Burke, J. J., Hoitash, R., &amp; Hoitash, U. (2019). The heterogeneity of board-level sustainability committees and corporate social performance. Journal of Business Ethics, 154, 1161-1186.</w:t>
      </w:r>
    </w:p>
    <w:p w14:paraId="0A6D8085" w14:textId="77777777" w:rsidR="007144CC" w:rsidRPr="00061B56" w:rsidRDefault="007144CC" w:rsidP="007144CC">
      <w:pPr>
        <w:jc w:val="both"/>
        <w:rPr>
          <w:rFonts w:cstheme="minorHAnsi"/>
        </w:rPr>
      </w:pPr>
      <w:r w:rsidRPr="00061B56">
        <w:rPr>
          <w:rFonts w:cstheme="minorHAnsi"/>
        </w:rPr>
        <w:t>Busch, T., &amp; Hoffmann, V. H. (2011). How hot is your bottom line? Linking carbon and financial performance. Business and Society, 50(2), 233-265.</w:t>
      </w:r>
    </w:p>
    <w:p w14:paraId="25E81894" w14:textId="77777777" w:rsidR="007144CC" w:rsidRPr="00061B56" w:rsidRDefault="007144CC" w:rsidP="007144CC">
      <w:pPr>
        <w:jc w:val="both"/>
        <w:rPr>
          <w:rFonts w:cstheme="minorHAnsi"/>
        </w:rPr>
      </w:pPr>
      <w:r w:rsidRPr="00061B56">
        <w:rPr>
          <w:rFonts w:cstheme="minorHAnsi"/>
        </w:rPr>
        <w:t>Carter, C. R., &amp; Dresner, M. (2001). Purchasing's role in environmental management: cross‐functional development of grounded theory. Journal of Supply Chain Management, 37(2), 12-27.</w:t>
      </w:r>
    </w:p>
    <w:p w14:paraId="5403AA53" w14:textId="77777777" w:rsidR="007144CC" w:rsidRPr="00061B56" w:rsidRDefault="007144CC" w:rsidP="007144CC">
      <w:pPr>
        <w:jc w:val="both"/>
        <w:rPr>
          <w:rFonts w:cstheme="minorHAnsi"/>
        </w:rPr>
      </w:pPr>
      <w:bookmarkStart w:id="43" w:name="_Hlk140604377"/>
      <w:r w:rsidRPr="00061B56">
        <w:rPr>
          <w:rFonts w:cstheme="minorHAnsi"/>
        </w:rPr>
        <w:t>Castka</w:t>
      </w:r>
      <w:bookmarkEnd w:id="43"/>
      <w:r w:rsidRPr="00061B56">
        <w:rPr>
          <w:rFonts w:cstheme="minorHAnsi"/>
        </w:rPr>
        <w:t>, P., Balzarova, M. A., Bamber, C. J., &amp; Sharp, J. M. (2004). How can SMEs effectively implement the CSR agenda? A UK case study perspective. Corporate Social Responsibility and Environmental Management, 11(3), 140-149.</w:t>
      </w:r>
    </w:p>
    <w:p w14:paraId="2BAA13B6" w14:textId="77777777" w:rsidR="007144CC" w:rsidRPr="00061B56" w:rsidRDefault="007144CC" w:rsidP="007144CC">
      <w:pPr>
        <w:jc w:val="both"/>
        <w:rPr>
          <w:rFonts w:cstheme="minorHAnsi"/>
        </w:rPr>
      </w:pPr>
      <w:r w:rsidRPr="00061B56">
        <w:rPr>
          <w:rFonts w:cstheme="minorHAnsi"/>
        </w:rPr>
        <w:t>Cecere, G., Corrocher, N.,Mancusi, M.L., (2016). Financial constraints and public funding for</w:t>
      </w:r>
    </w:p>
    <w:p w14:paraId="36C2F3A0" w14:textId="77777777" w:rsidR="007144CC" w:rsidRPr="00061B56" w:rsidRDefault="007144CC" w:rsidP="007144CC">
      <w:pPr>
        <w:jc w:val="both"/>
        <w:rPr>
          <w:rFonts w:cstheme="minorHAnsi"/>
        </w:rPr>
      </w:pPr>
      <w:r w:rsidRPr="00061B56">
        <w:rPr>
          <w:rFonts w:cstheme="minorHAnsi"/>
        </w:rPr>
        <w:t>Collins, E., Lawrence, S., Pavlovich, K., &amp; Ryan, C. (2007). Business networks and the uptake of sustainability practices: the case of New Zealand. Journal of cleaner production, 15(8-9), 729-740.</w:t>
      </w:r>
    </w:p>
    <w:p w14:paraId="7009180A" w14:textId="77777777" w:rsidR="007144CC" w:rsidRPr="00061B56" w:rsidRDefault="007144CC" w:rsidP="007144CC">
      <w:pPr>
        <w:jc w:val="both"/>
        <w:rPr>
          <w:rFonts w:cstheme="minorHAnsi"/>
        </w:rPr>
      </w:pPr>
      <w:r w:rsidRPr="00061B56">
        <w:rPr>
          <w:rFonts w:cstheme="minorHAnsi"/>
        </w:rPr>
        <w:t>Cordeiro, A., Vieira, F., (2012). Barriers to innovation amongst small and medium-sized enterprises (SMEs) in Portugal. Proceedings of the 7th European Conference on Innovation and Entrepreneurship: ECIE. 97. Academic Conferences Limited.</w:t>
      </w:r>
    </w:p>
    <w:p w14:paraId="27EC2C73" w14:textId="77777777" w:rsidR="007144CC" w:rsidRPr="00061B56" w:rsidRDefault="007144CC" w:rsidP="007144CC">
      <w:pPr>
        <w:jc w:val="both"/>
        <w:rPr>
          <w:rFonts w:cstheme="minorHAnsi"/>
        </w:rPr>
      </w:pPr>
      <w:r w:rsidRPr="00061B56">
        <w:rPr>
          <w:rFonts w:cstheme="minorHAnsi"/>
        </w:rPr>
        <w:t>DECC. (2015). UK progress towards GHG emissions reduction targets. The UK Department of Energy and Climate Change, London, United Kingdom. (Date accessed 25 March 2021).https://assets.publishing.service.gov.uk/government/uploads/system/uploads/attachment_data/file/414241/20150319_Progress_to_emissions_reductions_targets_final.pdf.</w:t>
      </w:r>
    </w:p>
    <w:p w14:paraId="2A71F226" w14:textId="77777777" w:rsidR="007144CC" w:rsidRPr="00061B56" w:rsidRDefault="007144CC" w:rsidP="007144CC">
      <w:pPr>
        <w:jc w:val="both"/>
        <w:rPr>
          <w:rFonts w:cstheme="minorHAnsi"/>
        </w:rPr>
      </w:pPr>
      <w:r w:rsidRPr="00061B56">
        <w:rPr>
          <w:rFonts w:cstheme="minorHAnsi"/>
        </w:rPr>
        <w:t>Deegan, C. (2002). Introduction: The legitimising effect of social and environmental disclosures–a theoretical foundation. Accounting, auditing &amp; accountability journal, 15(3), 282-311.</w:t>
      </w:r>
    </w:p>
    <w:p w14:paraId="70636262" w14:textId="77777777" w:rsidR="007144CC" w:rsidRPr="00061B56" w:rsidRDefault="007144CC" w:rsidP="007144CC">
      <w:pPr>
        <w:jc w:val="both"/>
        <w:rPr>
          <w:rFonts w:cstheme="minorHAnsi"/>
        </w:rPr>
      </w:pPr>
      <w:r w:rsidRPr="00061B56">
        <w:rPr>
          <w:rFonts w:cstheme="minorHAnsi"/>
        </w:rPr>
        <w:t>Del Río, P., Carrillo‐Hermosilla, J., &amp; Könnölä, T. (2010). Policy strategies to promote eco‐innovation: An integrated framework. Journal of industrial ecology, 14(4), 541-557.</w:t>
      </w:r>
    </w:p>
    <w:p w14:paraId="2FC24DDA" w14:textId="77777777" w:rsidR="007144CC" w:rsidRPr="00061B56" w:rsidRDefault="007144CC" w:rsidP="007144CC">
      <w:pPr>
        <w:jc w:val="both"/>
        <w:rPr>
          <w:rFonts w:cstheme="minorHAnsi"/>
        </w:rPr>
      </w:pPr>
      <w:r w:rsidRPr="00061B56">
        <w:rPr>
          <w:rFonts w:cstheme="minorHAnsi"/>
        </w:rPr>
        <w:t>Dhull, S., &amp; Narwal, M. (2016). Drivers and barriers in green supply chain management adaptation: A state-of-art review. Uncertain Supply Chain Management, 4(1), 61-76.</w:t>
      </w:r>
    </w:p>
    <w:p w14:paraId="4C316E99" w14:textId="77777777" w:rsidR="007144CC" w:rsidRPr="00061B56" w:rsidRDefault="007144CC" w:rsidP="007144CC">
      <w:pPr>
        <w:jc w:val="both"/>
        <w:rPr>
          <w:rFonts w:cstheme="minorHAnsi"/>
        </w:rPr>
      </w:pPr>
      <w:r w:rsidRPr="00061B56">
        <w:rPr>
          <w:rFonts w:cstheme="minorHAnsi"/>
        </w:rPr>
        <w:lastRenderedPageBreak/>
        <w:t>Dubey, R., Gunasekaran, A., &amp; Ali, S. S. (2015). Exploring the relationship between leadership, operational practices, institutional pressures and environmental performance: A framework for green supply chain. International Journal of Production Economics, 160, 120-132.</w:t>
      </w:r>
    </w:p>
    <w:p w14:paraId="1F6CCB96" w14:textId="77777777" w:rsidR="007144CC" w:rsidRPr="00061B56" w:rsidRDefault="007144CC" w:rsidP="007144CC">
      <w:pPr>
        <w:jc w:val="both"/>
        <w:rPr>
          <w:rFonts w:cstheme="minorHAnsi"/>
          <w:lang w:val="it-IT"/>
        </w:rPr>
      </w:pPr>
      <w:r w:rsidRPr="00061B56">
        <w:rPr>
          <w:rFonts w:cstheme="minorHAnsi"/>
        </w:rPr>
        <w:t xml:space="preserve">eco-innovation: empirical evidence on European SMEs (No. def046). </w:t>
      </w:r>
      <w:r w:rsidRPr="00061B56">
        <w:rPr>
          <w:rFonts w:cstheme="minorHAnsi"/>
          <w:lang w:val="it-IT"/>
        </w:rPr>
        <w:t>Università Cattolica del SacroCuore, Dipartimenti e Istituti di ScienzeEconomiche (DISCE).</w:t>
      </w:r>
    </w:p>
    <w:p w14:paraId="2BCAF177" w14:textId="77777777" w:rsidR="007144CC" w:rsidRPr="00061B56" w:rsidRDefault="007144CC" w:rsidP="007144CC">
      <w:pPr>
        <w:jc w:val="both"/>
        <w:rPr>
          <w:rFonts w:cstheme="minorHAnsi"/>
        </w:rPr>
      </w:pPr>
      <w:bookmarkStart w:id="44" w:name="_Hlk140519972"/>
      <w:r w:rsidRPr="00061B56">
        <w:rPr>
          <w:rFonts w:cstheme="minorHAnsi"/>
        </w:rPr>
        <w:t xml:space="preserve">Elhedhli, S., &amp; Merrick, R. (2012). </w:t>
      </w:r>
      <w:bookmarkEnd w:id="44"/>
      <w:r w:rsidRPr="00061B56">
        <w:rPr>
          <w:rFonts w:cstheme="minorHAnsi"/>
        </w:rPr>
        <w:t>Green supply chain network design to reduce carbon emissions. Transportation Research Part D: Transport and Environment, 17(5), 370-379.</w:t>
      </w:r>
    </w:p>
    <w:p w14:paraId="239E3002" w14:textId="77777777" w:rsidR="007144CC" w:rsidRPr="00061B56" w:rsidRDefault="007144CC" w:rsidP="007144CC">
      <w:pPr>
        <w:jc w:val="both"/>
        <w:rPr>
          <w:rFonts w:cstheme="minorHAnsi"/>
        </w:rPr>
      </w:pPr>
      <w:r w:rsidRPr="00061B56">
        <w:rPr>
          <w:rFonts w:cstheme="minorHAnsi"/>
        </w:rPr>
        <w:t>European Commission (2010). SMEs and the environment in the European Union. Greece: Danish Technological Institute and PLANET S.A.</w:t>
      </w:r>
    </w:p>
    <w:p w14:paraId="06A48509" w14:textId="77777777" w:rsidR="007144CC" w:rsidRPr="00061B56" w:rsidRDefault="007144CC" w:rsidP="007144CC">
      <w:pPr>
        <w:jc w:val="both"/>
        <w:rPr>
          <w:rFonts w:cstheme="minorHAnsi"/>
        </w:rPr>
      </w:pPr>
      <w:r w:rsidRPr="00061B56">
        <w:rPr>
          <w:rFonts w:cstheme="minorHAnsi"/>
        </w:rPr>
        <w:t>European Commission (2015). 'EU ETS Handbook'. Retrieved from: https://climate.ec.europa.eu/system/files/2017-03/ets_handbook_en.pdf.</w:t>
      </w:r>
    </w:p>
    <w:p w14:paraId="7090689B" w14:textId="77777777" w:rsidR="007144CC" w:rsidRPr="00061B56" w:rsidRDefault="007144CC" w:rsidP="007144CC">
      <w:pPr>
        <w:jc w:val="both"/>
        <w:rPr>
          <w:rFonts w:cstheme="minorHAnsi"/>
          <w:bCs/>
        </w:rPr>
      </w:pPr>
      <w:r w:rsidRPr="00061B56">
        <w:rPr>
          <w:rFonts w:cstheme="minorHAnsi"/>
          <w:bCs/>
        </w:rPr>
        <w:t xml:space="preserve">Frank, H., (2010), Entrepreneurial Orientation and Business Performance -A replication study, </w:t>
      </w:r>
      <w:r w:rsidRPr="00061B56">
        <w:rPr>
          <w:rFonts w:cstheme="minorHAnsi"/>
          <w:bCs/>
          <w:i/>
          <w:iCs/>
        </w:rPr>
        <w:t>Schmalenbach Business Review</w:t>
      </w:r>
      <w:r w:rsidRPr="00061B56">
        <w:rPr>
          <w:rFonts w:cstheme="minorHAnsi"/>
          <w:bCs/>
        </w:rPr>
        <w:t>, 62, (2) 175-198.</w:t>
      </w:r>
    </w:p>
    <w:p w14:paraId="6F0A074E" w14:textId="77777777" w:rsidR="007144CC" w:rsidRPr="00061B56" w:rsidRDefault="007144CC" w:rsidP="007144CC">
      <w:pPr>
        <w:jc w:val="both"/>
        <w:rPr>
          <w:rFonts w:cstheme="minorHAnsi"/>
        </w:rPr>
      </w:pPr>
      <w:r w:rsidRPr="00061B56">
        <w:rPr>
          <w:rFonts w:cstheme="minorHAnsi"/>
        </w:rPr>
        <w:t>Gills, B., &amp; Morgan, J. (2020). Global climate emergency: After COP24, climate science, urgency, and the threat to humanity. Globalisations, 17(6), 885-902.</w:t>
      </w:r>
    </w:p>
    <w:p w14:paraId="6EC7250F" w14:textId="77777777" w:rsidR="007144CC" w:rsidRPr="00061B56" w:rsidRDefault="007144CC" w:rsidP="007144CC">
      <w:pPr>
        <w:jc w:val="both"/>
        <w:rPr>
          <w:rFonts w:cstheme="minorHAnsi"/>
        </w:rPr>
      </w:pPr>
      <w:r w:rsidRPr="00061B56">
        <w:rPr>
          <w:rFonts w:cstheme="minorHAnsi"/>
        </w:rPr>
        <w:t>Govindan, K., Muduli, K., Devika, K., &amp; Barve, A. (2016). Investigation of the influential strength of factors on adoption of green supply chain management practices: An Indian mining scenario. Resources, Conservation and Recycling, 107, 185-194.</w:t>
      </w:r>
    </w:p>
    <w:p w14:paraId="68E595AD" w14:textId="77777777" w:rsidR="007144CC" w:rsidRPr="00061B56" w:rsidRDefault="007144CC" w:rsidP="007144CC">
      <w:pPr>
        <w:jc w:val="both"/>
        <w:rPr>
          <w:rFonts w:cstheme="minorHAnsi"/>
        </w:rPr>
      </w:pPr>
      <w:r w:rsidRPr="00061B56">
        <w:rPr>
          <w:rFonts w:cstheme="minorHAnsi"/>
        </w:rPr>
        <w:t>Greene, F. J., &amp; Hopp, C., (2017), Are formal planners more likely to achieve new venture viability? A counterfactual model and analysis, Strategic Entrepreneurship Journal, 11 (1): 36-60.</w:t>
      </w:r>
    </w:p>
    <w:p w14:paraId="4AABF6F9" w14:textId="77777777" w:rsidR="007144CC" w:rsidRPr="00061B56" w:rsidRDefault="007144CC" w:rsidP="007144CC">
      <w:pPr>
        <w:rPr>
          <w:rFonts w:cstheme="minorHAnsi"/>
        </w:rPr>
      </w:pPr>
      <w:r w:rsidRPr="00061B56">
        <w:rPr>
          <w:rFonts w:cstheme="minorHAnsi"/>
        </w:rPr>
        <w:t>Grosvold, J.,  Rayton, B., &amp; Brammer, S. (2016). Women on corporate boards: A comparative institutional analysis. Business and Society, 55(8), 1157-1196.</w:t>
      </w:r>
    </w:p>
    <w:p w14:paraId="422E823A" w14:textId="77777777" w:rsidR="007144CC" w:rsidRPr="00061B56" w:rsidRDefault="007144CC" w:rsidP="007144CC">
      <w:pPr>
        <w:jc w:val="both"/>
        <w:rPr>
          <w:rFonts w:cstheme="minorHAnsi"/>
        </w:rPr>
      </w:pPr>
      <w:r w:rsidRPr="00061B56">
        <w:rPr>
          <w:rFonts w:cstheme="minorHAnsi"/>
        </w:rPr>
        <w:t>Gupta VK &amp; Batra S (2016) Entrepreneurial orientation and firm performance in Indian SMEs: Universal and contingency perspectives. International Small Business Journal 34(5): 660-682.</w:t>
      </w:r>
    </w:p>
    <w:p w14:paraId="0D46C7C3" w14:textId="77777777" w:rsidR="007144CC" w:rsidRPr="00061B56" w:rsidRDefault="007144CC" w:rsidP="007144CC">
      <w:pPr>
        <w:jc w:val="both"/>
        <w:rPr>
          <w:rFonts w:cstheme="minorHAnsi"/>
        </w:rPr>
      </w:pPr>
      <w:bookmarkStart w:id="45" w:name="_Hlk140856636"/>
      <w:r w:rsidRPr="00061B56">
        <w:rPr>
          <w:rFonts w:cstheme="minorHAnsi"/>
        </w:rPr>
        <w:t>Gupta, H., &amp; Barua, M. K. (2018</w:t>
      </w:r>
      <w:bookmarkEnd w:id="45"/>
      <w:r w:rsidRPr="00061B56">
        <w:rPr>
          <w:rFonts w:cstheme="minorHAnsi"/>
        </w:rPr>
        <w:t>). A framework to overcome barriers to green innovation in SMEs using BWM and Fuzzy TOPSIS. Science of the Total Environment, 633, 122-139</w:t>
      </w:r>
    </w:p>
    <w:p w14:paraId="6F6A2B66" w14:textId="77777777" w:rsidR="007144CC" w:rsidRPr="00061B56" w:rsidRDefault="007144CC" w:rsidP="007144CC">
      <w:pPr>
        <w:jc w:val="both"/>
        <w:rPr>
          <w:rFonts w:cstheme="minorHAnsi"/>
        </w:rPr>
      </w:pPr>
      <w:r w:rsidRPr="00061B56">
        <w:rPr>
          <w:rFonts w:cstheme="minorHAnsi"/>
        </w:rPr>
        <w:t>Halila, F. (2007). Networks as a means of supporting the adoption of organisational innovations in SMEs: the case of Environmental Management Systems (EMSs) based on ISO 14001. Corporate Social Responsibility and Environmental Management, 14(3), 167-181.</w:t>
      </w:r>
    </w:p>
    <w:p w14:paraId="570FE4A9" w14:textId="77777777" w:rsidR="007144CC" w:rsidRPr="00061B56" w:rsidRDefault="007144CC" w:rsidP="007144CC">
      <w:pPr>
        <w:jc w:val="both"/>
        <w:rPr>
          <w:rFonts w:cstheme="minorHAnsi"/>
        </w:rPr>
      </w:pPr>
      <w:r w:rsidRPr="00061B56">
        <w:rPr>
          <w:rFonts w:cstheme="minorHAnsi"/>
        </w:rPr>
        <w:t>Hair J, Hult GTM, Ringle C, Sarstedt M (2014) A Primer on Partial Least Squares Structural Equation Modeling (PLS-SEM) (Los Angeles: SAGE Publications, Incorporated)</w:t>
      </w:r>
    </w:p>
    <w:p w14:paraId="17C403EF" w14:textId="77777777" w:rsidR="007144CC" w:rsidRPr="00061B56" w:rsidRDefault="007144CC" w:rsidP="007144CC">
      <w:pPr>
        <w:jc w:val="both"/>
        <w:rPr>
          <w:rFonts w:cstheme="minorHAnsi"/>
        </w:rPr>
      </w:pPr>
      <w:r w:rsidRPr="00061B56">
        <w:rPr>
          <w:rFonts w:cstheme="minorHAnsi"/>
          <w:lang w:val="it-IT"/>
        </w:rPr>
        <w:t xml:space="preserve">Hall, B. H., Moncada-Paternò-Castello, P., Montresor, S., &amp; Vezzani, A. (2016). </w:t>
      </w:r>
      <w:r w:rsidRPr="00061B56">
        <w:rPr>
          <w:rFonts w:cstheme="minorHAnsi"/>
        </w:rPr>
        <w:t>Financing constraints, R&amp;D investments and innovative performances: new empirical evidence at the firm level for Europe. Economics of Innovation and New Technology, 25(3), 183-196.</w:t>
      </w:r>
    </w:p>
    <w:p w14:paraId="55D7A7D0" w14:textId="77777777" w:rsidR="007144CC" w:rsidRPr="00061B56" w:rsidRDefault="007144CC" w:rsidP="007144CC">
      <w:pPr>
        <w:jc w:val="both"/>
        <w:rPr>
          <w:rFonts w:cstheme="minorHAnsi"/>
        </w:rPr>
      </w:pPr>
      <w:r w:rsidRPr="00061B56">
        <w:rPr>
          <w:rFonts w:cstheme="minorHAnsi"/>
        </w:rPr>
        <w:t>Hall, B.H., Lerner, J., (2010). The financing of R&amp;D and innovation. Handbook of the Economics of Innovation 1, 609-639.</w:t>
      </w:r>
    </w:p>
    <w:p w14:paraId="4D4DB50C" w14:textId="77777777" w:rsidR="007144CC" w:rsidRPr="00061B56" w:rsidRDefault="007144CC" w:rsidP="007144CC">
      <w:pPr>
        <w:jc w:val="both"/>
        <w:rPr>
          <w:rFonts w:cstheme="minorHAnsi"/>
        </w:rPr>
      </w:pPr>
      <w:r w:rsidRPr="00061B56">
        <w:rPr>
          <w:rFonts w:cstheme="minorHAnsi"/>
        </w:rPr>
        <w:t>Haque, F. (2017). The effects of board characteristics and sustainable compensation policy on carbon performance of UK firms. British Accounting Review. 49, 347-364.</w:t>
      </w:r>
    </w:p>
    <w:p w14:paraId="39276913" w14:textId="77777777" w:rsidR="007144CC" w:rsidRPr="00061B56" w:rsidRDefault="007144CC" w:rsidP="007144CC">
      <w:pPr>
        <w:jc w:val="both"/>
        <w:rPr>
          <w:rFonts w:cstheme="minorHAnsi"/>
        </w:rPr>
      </w:pPr>
      <w:r w:rsidRPr="00061B56">
        <w:rPr>
          <w:rFonts w:cstheme="minorHAnsi"/>
        </w:rPr>
        <w:lastRenderedPageBreak/>
        <w:t>Haque, F., &amp; Ntim, C. G. (2020). Executive compensation, sustainable compensation policy, carbon performance and market value. British Journal of Management, 31(3), 525-546.</w:t>
      </w:r>
    </w:p>
    <w:p w14:paraId="37F6BDF8" w14:textId="77777777" w:rsidR="007144CC" w:rsidRPr="00061B56" w:rsidRDefault="007144CC" w:rsidP="007144CC">
      <w:pPr>
        <w:jc w:val="both"/>
        <w:rPr>
          <w:rFonts w:cstheme="minorHAnsi"/>
        </w:rPr>
      </w:pPr>
      <w:bookmarkStart w:id="46" w:name="_Hlk140892868"/>
      <w:r w:rsidRPr="00061B56">
        <w:rPr>
          <w:rFonts w:cstheme="minorHAnsi"/>
        </w:rPr>
        <w:t>Hatcher, L. (1994</w:t>
      </w:r>
      <w:bookmarkEnd w:id="46"/>
      <w:r w:rsidRPr="00061B56">
        <w:rPr>
          <w:rFonts w:cstheme="minorHAnsi"/>
        </w:rPr>
        <w:t>) A Step-by-Step Approach to Using the SAS System for Factor Analysis and Structural Equation Modeling. SAS Institute, Inc., Cary.</w:t>
      </w:r>
    </w:p>
    <w:p w14:paraId="0FE29230" w14:textId="77777777" w:rsidR="007144CC" w:rsidRPr="00061B56" w:rsidRDefault="007144CC" w:rsidP="007144CC">
      <w:pPr>
        <w:jc w:val="both"/>
        <w:rPr>
          <w:rFonts w:cstheme="minorHAnsi"/>
        </w:rPr>
      </w:pPr>
      <w:r w:rsidRPr="00061B56">
        <w:rPr>
          <w:rFonts w:cstheme="minorHAnsi"/>
        </w:rPr>
        <w:t>Hillary, R. (2004). Environmental management systems and the smaller enterprise. Journal of Cleaner Production, 12(6), 561-569.</w:t>
      </w:r>
    </w:p>
    <w:p w14:paraId="020EECAB" w14:textId="77777777" w:rsidR="007144CC" w:rsidRPr="00061B56" w:rsidRDefault="007144CC" w:rsidP="007144CC">
      <w:pPr>
        <w:jc w:val="both"/>
        <w:rPr>
          <w:rFonts w:cstheme="minorHAnsi"/>
        </w:rPr>
      </w:pPr>
      <w:r w:rsidRPr="00061B56">
        <w:rPr>
          <w:rFonts w:cstheme="minorHAnsi"/>
        </w:rPr>
        <w:t>Hojnik, J., &amp; Ruzzier, M. (2016). Drivers of and barriers to eco-innovation: a case study. International Journal of Sustainable Economy, 8(4), 273-294.</w:t>
      </w:r>
    </w:p>
    <w:p w14:paraId="119A1C90" w14:textId="77777777" w:rsidR="007144CC" w:rsidRPr="00061B56" w:rsidRDefault="007144CC" w:rsidP="007144CC">
      <w:pPr>
        <w:jc w:val="both"/>
        <w:rPr>
          <w:rFonts w:cstheme="minorHAnsi"/>
        </w:rPr>
      </w:pPr>
      <w:r w:rsidRPr="00061B56">
        <w:rPr>
          <w:rFonts w:cstheme="minorHAnsi"/>
        </w:rPr>
        <w:t>Hopp, C., &amp; Greene, F.J., (2016), In Pursuit of Time: Business Plan Sequencing, Duration and Intraentrainment effects on new venture viability, Journal of Management Studies, 55, (2), 320-351.</w:t>
      </w:r>
    </w:p>
    <w:p w14:paraId="60467BE2" w14:textId="77777777" w:rsidR="007144CC" w:rsidRPr="00061B56" w:rsidRDefault="007144CC" w:rsidP="007144CC">
      <w:pPr>
        <w:jc w:val="both"/>
        <w:rPr>
          <w:rFonts w:cstheme="minorHAnsi"/>
        </w:rPr>
      </w:pPr>
      <w:r w:rsidRPr="00061B56">
        <w:rPr>
          <w:rFonts w:cstheme="minorHAnsi"/>
        </w:rPr>
        <w:t>Horbach, J., Rammer, C., &amp; Rennings, K. (2012). Determinants of eco-innovations by type of environmental impact-The role of regulatory push/pull, technology push and market pull. Ecological economics, 78, 112-122.</w:t>
      </w:r>
    </w:p>
    <w:p w14:paraId="0B0B6718" w14:textId="77777777" w:rsidR="007144CC" w:rsidRPr="00061B56" w:rsidRDefault="007144CC" w:rsidP="007144CC">
      <w:pPr>
        <w:jc w:val="both"/>
        <w:rPr>
          <w:rFonts w:cstheme="minorHAnsi"/>
        </w:rPr>
      </w:pPr>
      <w:r w:rsidRPr="00061B56">
        <w:rPr>
          <w:rFonts w:cstheme="minorHAnsi"/>
        </w:rPr>
        <w:t>Hu, L. T., &amp; Bentler, P. M. (1999). Cutoff criteria for fit indexes in covariance structure analysis: Conventional criteria versus new alternatives. Structural equation modeling: a multidisciplinary journal, 6(1), 1-55.</w:t>
      </w:r>
    </w:p>
    <w:p w14:paraId="4F7EBCF7" w14:textId="77777777" w:rsidR="007144CC" w:rsidRPr="00061B56" w:rsidRDefault="007144CC" w:rsidP="007144CC">
      <w:pPr>
        <w:jc w:val="both"/>
        <w:rPr>
          <w:rFonts w:cstheme="minorHAnsi"/>
        </w:rPr>
      </w:pPr>
      <w:r w:rsidRPr="00061B56">
        <w:rPr>
          <w:rFonts w:cstheme="minorHAnsi"/>
        </w:rPr>
        <w:t>Jinzhou, W. (2011). Discussion on the relationship between green technological innovation and system innovation. Energy Procedia, 5, 2352-2357.</w:t>
      </w:r>
    </w:p>
    <w:p w14:paraId="4C2420E1" w14:textId="77777777" w:rsidR="007144CC" w:rsidRPr="00061B56" w:rsidRDefault="007144CC" w:rsidP="007144CC">
      <w:pPr>
        <w:jc w:val="both"/>
        <w:rPr>
          <w:rFonts w:cstheme="minorHAnsi"/>
        </w:rPr>
      </w:pPr>
      <w:r w:rsidRPr="00061B56">
        <w:rPr>
          <w:rFonts w:cstheme="minorHAnsi"/>
        </w:rPr>
        <w:t>Jones, P., Hillier, D., &amp; Comfort, D. (2011). Shopping for tomorrow: promoting sustainable consumption within food stores. British Food Journal, 113(7), 935-948.</w:t>
      </w:r>
    </w:p>
    <w:p w14:paraId="210E26B7" w14:textId="77777777" w:rsidR="007144CC" w:rsidRPr="00061B56" w:rsidRDefault="007144CC" w:rsidP="007144CC">
      <w:pPr>
        <w:jc w:val="both"/>
        <w:rPr>
          <w:rFonts w:cstheme="minorHAnsi"/>
        </w:rPr>
      </w:pPr>
      <w:bookmarkStart w:id="47" w:name="_Hlk140915561"/>
      <w:r w:rsidRPr="00061B56">
        <w:rPr>
          <w:rFonts w:cstheme="minorHAnsi"/>
        </w:rPr>
        <w:t xml:space="preserve">Karami, M., Tang, J., (2019), </w:t>
      </w:r>
      <w:bookmarkEnd w:id="47"/>
      <w:r w:rsidRPr="00061B56">
        <w:rPr>
          <w:rFonts w:cstheme="minorHAnsi"/>
        </w:rPr>
        <w:t>Entrepreneurial orientation and SME international performance: The mediating role of networking capability and experiential learning, International Small Business Journal, 37 (2), 105-124.</w:t>
      </w:r>
    </w:p>
    <w:p w14:paraId="36EFFF31" w14:textId="77777777" w:rsidR="007144CC" w:rsidRPr="00061B56" w:rsidRDefault="007144CC" w:rsidP="007144CC">
      <w:pPr>
        <w:jc w:val="both"/>
        <w:rPr>
          <w:rFonts w:cstheme="minorHAnsi"/>
        </w:rPr>
      </w:pPr>
      <w:r w:rsidRPr="00061B56">
        <w:rPr>
          <w:rFonts w:cstheme="minorHAnsi"/>
          <w:lang w:val="de-DE"/>
        </w:rPr>
        <w:t xml:space="preserve">Kerr, W. R., &amp; Nanda, R. (2015). </w:t>
      </w:r>
      <w:r w:rsidRPr="00061B56">
        <w:rPr>
          <w:rFonts w:cstheme="minorHAnsi"/>
        </w:rPr>
        <w:t>Financing innovation. Annual Review of Financial Economics, 7, 445-462.</w:t>
      </w:r>
    </w:p>
    <w:p w14:paraId="301DC3EF" w14:textId="77777777" w:rsidR="007144CC" w:rsidRPr="00061B56" w:rsidRDefault="007144CC" w:rsidP="007144CC">
      <w:pPr>
        <w:jc w:val="both"/>
        <w:rPr>
          <w:rFonts w:cstheme="minorHAnsi"/>
        </w:rPr>
      </w:pPr>
      <w:r w:rsidRPr="00061B56">
        <w:rPr>
          <w:rFonts w:cstheme="minorHAnsi"/>
        </w:rPr>
        <w:t>Konar, S., &amp; Cohen, M. A. (2001). Does the market value environmental performance? Review of economics and statistics, 83(2), 281-289.</w:t>
      </w:r>
    </w:p>
    <w:p w14:paraId="00F26618" w14:textId="77777777" w:rsidR="007144CC" w:rsidRPr="00061B56" w:rsidRDefault="007144CC" w:rsidP="007144CC">
      <w:pPr>
        <w:jc w:val="both"/>
        <w:rPr>
          <w:rFonts w:cstheme="minorHAnsi"/>
        </w:rPr>
      </w:pPr>
      <w:bookmarkStart w:id="48" w:name="_Hlk137115834"/>
      <w:r w:rsidRPr="00061B56">
        <w:rPr>
          <w:rFonts w:cstheme="minorHAnsi"/>
        </w:rPr>
        <w:t>Kostka,</w:t>
      </w:r>
      <w:bookmarkEnd w:id="48"/>
      <w:r w:rsidRPr="00061B56">
        <w:rPr>
          <w:rFonts w:cstheme="minorHAnsi"/>
        </w:rPr>
        <w:t xml:space="preserve"> G., Moslener, U., &amp; Andreas, J. (2013). Barriers to increasing energy efficiency: evidence from small-and medium-sized enterprises in China. Journal of Cleaner Production, 57, 59-68.</w:t>
      </w:r>
    </w:p>
    <w:p w14:paraId="6E435805" w14:textId="77777777" w:rsidR="007144CC" w:rsidRPr="00061B56" w:rsidRDefault="007144CC" w:rsidP="007144CC">
      <w:pPr>
        <w:jc w:val="both"/>
        <w:rPr>
          <w:rFonts w:cstheme="minorHAnsi"/>
        </w:rPr>
      </w:pPr>
      <w:bookmarkStart w:id="49" w:name="_Hlk140520286"/>
      <w:r w:rsidRPr="00061B56">
        <w:rPr>
          <w:rFonts w:cstheme="minorHAnsi"/>
        </w:rPr>
        <w:t>Light, J. (2020</w:t>
      </w:r>
      <w:bookmarkEnd w:id="49"/>
      <w:r w:rsidRPr="00061B56">
        <w:rPr>
          <w:rFonts w:cstheme="minorHAnsi"/>
        </w:rPr>
        <w:t>). Green networking: A simulation of energy efficient methods. Procedia Computer Science, 171, 1489-1497.</w:t>
      </w:r>
    </w:p>
    <w:p w14:paraId="2894A597" w14:textId="77777777" w:rsidR="007144CC" w:rsidRPr="00061B56" w:rsidRDefault="007144CC" w:rsidP="007144CC">
      <w:pPr>
        <w:jc w:val="both"/>
        <w:rPr>
          <w:rFonts w:cstheme="minorHAnsi"/>
        </w:rPr>
      </w:pPr>
      <w:r w:rsidRPr="00061B56">
        <w:rPr>
          <w:rFonts w:cstheme="minorHAnsi"/>
        </w:rPr>
        <w:t>Lin, C. Y., &amp; Ho, Y. H. (2008). An empirical study on logistics service providers' intention to adopt green innovations. Journal of technology management &amp; innovation, 3(1), 17-26.</w:t>
      </w:r>
    </w:p>
    <w:p w14:paraId="69A154EA" w14:textId="77777777" w:rsidR="007144CC" w:rsidRPr="00061B56" w:rsidRDefault="007144CC" w:rsidP="007144CC">
      <w:pPr>
        <w:jc w:val="both"/>
        <w:rPr>
          <w:rFonts w:cstheme="minorHAnsi"/>
        </w:rPr>
      </w:pPr>
      <w:r w:rsidRPr="00061B56">
        <w:rPr>
          <w:rFonts w:cstheme="minorHAnsi"/>
        </w:rPr>
        <w:t>Longoni, A., Golini, R., &amp; Cagliano, R. (2014). The role of new forms of work organisation in developing sustainability strategies in operations. International Journal of Production Economics, 147, 147-160.</w:t>
      </w:r>
    </w:p>
    <w:p w14:paraId="6D4384A6" w14:textId="77777777" w:rsidR="007144CC" w:rsidRPr="00061B56" w:rsidRDefault="007144CC" w:rsidP="007144CC">
      <w:pPr>
        <w:jc w:val="both"/>
        <w:rPr>
          <w:rFonts w:cstheme="minorHAnsi"/>
        </w:rPr>
      </w:pPr>
      <w:r w:rsidRPr="00061B56">
        <w:rPr>
          <w:rFonts w:cstheme="minorHAnsi"/>
        </w:rPr>
        <w:t>Lumpkin GT &amp; Dess GG (1996) Clarifying the entrepreneurial orientation construct and linking it to performance. Academy of Management Review 21(1): 135–172.</w:t>
      </w:r>
    </w:p>
    <w:p w14:paraId="5244C6DF" w14:textId="77777777" w:rsidR="007144CC" w:rsidRPr="00061B56" w:rsidRDefault="007144CC" w:rsidP="007144CC">
      <w:pPr>
        <w:jc w:val="both"/>
        <w:rPr>
          <w:rFonts w:cstheme="minorHAnsi"/>
        </w:rPr>
      </w:pPr>
      <w:r w:rsidRPr="00061B56">
        <w:rPr>
          <w:rFonts w:cstheme="minorHAnsi"/>
        </w:rPr>
        <w:lastRenderedPageBreak/>
        <w:t>Madrid‐Guijarro, A., Garcia, D., &amp; Van Auken, H. (2009). Barriers to innovation among Spanish manufacturing SMEs. Journal of Small Business Management, 47(4), 465-488.</w:t>
      </w:r>
    </w:p>
    <w:p w14:paraId="338E2883" w14:textId="77777777" w:rsidR="007144CC" w:rsidRPr="00061B56" w:rsidRDefault="007144CC" w:rsidP="007144CC">
      <w:pPr>
        <w:jc w:val="both"/>
        <w:rPr>
          <w:rFonts w:cstheme="minorHAnsi"/>
        </w:rPr>
      </w:pPr>
      <w:r w:rsidRPr="00061B56">
        <w:rPr>
          <w:rFonts w:cstheme="minorHAnsi"/>
        </w:rPr>
        <w:t>Mangla, S. K., Govindan, K., &amp; Luthra, S. (2017). Prioritising the barriers to achieve sustainable consumption and production trends in supply chains using fuzzy Analytical Hierarchy Process. Journal of Cleaner Production, 151, 509-525.</w:t>
      </w:r>
    </w:p>
    <w:p w14:paraId="6FB4F8B6" w14:textId="77777777" w:rsidR="007144CC" w:rsidRPr="00061B56" w:rsidRDefault="007144CC" w:rsidP="007144CC">
      <w:pPr>
        <w:jc w:val="both"/>
        <w:rPr>
          <w:rFonts w:cstheme="minorHAnsi"/>
        </w:rPr>
      </w:pPr>
      <w:r w:rsidRPr="00061B56">
        <w:rPr>
          <w:rFonts w:cstheme="minorHAnsi"/>
        </w:rPr>
        <w:t>Mathiyazhagan, K., Govindan, K., &amp; Noorul Haq, A. (2014). Pressure analysis for green supply chain management implementation in Indian industries using analytic hierarchy process. International Journal of Production Research, 52(1), 188-202.</w:t>
      </w:r>
    </w:p>
    <w:p w14:paraId="0CB65721" w14:textId="77777777" w:rsidR="007144CC" w:rsidRPr="00061B56" w:rsidRDefault="007144CC" w:rsidP="007144CC">
      <w:pPr>
        <w:jc w:val="both"/>
        <w:rPr>
          <w:rFonts w:cstheme="minorHAnsi"/>
        </w:rPr>
      </w:pPr>
      <w:r w:rsidRPr="00061B56">
        <w:rPr>
          <w:rFonts w:cstheme="minorHAnsi"/>
        </w:rPr>
        <w:t>Mathiyazhagan, K., Govindan, K., NoorulHaq, A., &amp; Geng, Y. (2013). An ISM approach for the barrier analysis in implementing green supply chain management. Journal of Cleaner Production, 47, 283-297.</w:t>
      </w:r>
    </w:p>
    <w:p w14:paraId="4A394DF3" w14:textId="77777777" w:rsidR="007144CC" w:rsidRPr="00061B56" w:rsidRDefault="007144CC" w:rsidP="007144CC">
      <w:pPr>
        <w:jc w:val="both"/>
        <w:rPr>
          <w:rFonts w:cstheme="minorHAnsi"/>
        </w:rPr>
      </w:pPr>
      <w:r w:rsidRPr="00061B56">
        <w:rPr>
          <w:rFonts w:cstheme="minorHAnsi"/>
        </w:rPr>
        <w:t>Matus, K. J., Xiao, X., &amp; Zimmerman, J. B. (2012). Green chemistry and green engineering in China: drivers, policies and barriers to innovation. Journal of Cleaner Production, 32, 193-203.</w:t>
      </w:r>
    </w:p>
    <w:p w14:paraId="13704FA0" w14:textId="77777777" w:rsidR="007144CC" w:rsidRPr="00061B56" w:rsidRDefault="007144CC" w:rsidP="007144CC">
      <w:pPr>
        <w:jc w:val="both"/>
        <w:rPr>
          <w:rFonts w:cstheme="minorHAnsi"/>
        </w:rPr>
      </w:pPr>
      <w:r w:rsidRPr="00061B56">
        <w:rPr>
          <w:rFonts w:cstheme="minorHAnsi"/>
        </w:rPr>
        <w:t>Meyer, J. W., &amp; Rowan, B. (1977). Institutionalised organisations: Formal structure as myth and ceremony. American journal of sociology, 83(2), 340-363.</w:t>
      </w:r>
    </w:p>
    <w:p w14:paraId="56AB79A0" w14:textId="77777777" w:rsidR="007144CC" w:rsidRPr="00061B56" w:rsidRDefault="007144CC" w:rsidP="007144CC">
      <w:pPr>
        <w:jc w:val="both"/>
        <w:rPr>
          <w:rFonts w:cstheme="minorHAnsi"/>
        </w:rPr>
      </w:pPr>
      <w:r w:rsidRPr="00061B56">
        <w:rPr>
          <w:rFonts w:cstheme="minorHAnsi"/>
        </w:rPr>
        <w:t>Milanzi, M. A. (2012). The impact of barriers on export behavior of a developing country firms: evidence from Tanzania. International Journal of Business and Management, 7(3), 10.</w:t>
      </w:r>
    </w:p>
    <w:p w14:paraId="0B65DA6D" w14:textId="77777777" w:rsidR="007144CC" w:rsidRPr="00061B56" w:rsidRDefault="007144CC" w:rsidP="007144CC">
      <w:pPr>
        <w:jc w:val="both"/>
        <w:rPr>
          <w:rFonts w:cstheme="minorHAnsi"/>
        </w:rPr>
      </w:pPr>
      <w:r w:rsidRPr="00061B56">
        <w:rPr>
          <w:rFonts w:cstheme="minorHAnsi"/>
        </w:rPr>
        <w:t>Mina, A., Lahr, H., &amp; Hughes, A. (2013). The demand and supply of external finance for innovative firms. Industrial and Corporate Change, 22(4), 869-901.</w:t>
      </w:r>
    </w:p>
    <w:p w14:paraId="5D793F45" w14:textId="77777777" w:rsidR="007144CC" w:rsidRPr="00061B56" w:rsidRDefault="007144CC" w:rsidP="007144CC">
      <w:pPr>
        <w:jc w:val="both"/>
        <w:rPr>
          <w:rFonts w:cstheme="minorHAnsi"/>
        </w:rPr>
      </w:pPr>
      <w:r w:rsidRPr="00061B56">
        <w:rPr>
          <w:rFonts w:cstheme="minorHAnsi"/>
        </w:rPr>
        <w:t>Mudgal, R. K., Shankar, R., Talib, P., &amp; Raj, T. (2010). Modelling the barriers of green supply chain practices: an Indian perspective. International Journal of Logistics Systems and Management, 7(1), 81-107.</w:t>
      </w:r>
    </w:p>
    <w:p w14:paraId="0F7D1256" w14:textId="77777777" w:rsidR="007144CC" w:rsidRPr="00061B56" w:rsidRDefault="007144CC" w:rsidP="007144CC">
      <w:pPr>
        <w:jc w:val="both"/>
        <w:rPr>
          <w:rFonts w:cstheme="minorHAnsi"/>
        </w:rPr>
      </w:pPr>
      <w:r w:rsidRPr="00061B56">
        <w:rPr>
          <w:rFonts w:cstheme="minorHAnsi"/>
        </w:rPr>
        <w:t>Nartey, E. (2018). Determinants of carbon management accounting adoption in Ghanaian firms. Meditari Accountancy Research, 26(1), 88-121.</w:t>
      </w:r>
    </w:p>
    <w:p w14:paraId="4C351FAB" w14:textId="77777777" w:rsidR="007144CC" w:rsidRPr="00061B56" w:rsidRDefault="007144CC" w:rsidP="007144CC">
      <w:pPr>
        <w:jc w:val="both"/>
        <w:rPr>
          <w:rFonts w:cstheme="minorHAnsi"/>
        </w:rPr>
      </w:pPr>
      <w:r w:rsidRPr="00061B56">
        <w:rPr>
          <w:rFonts w:cstheme="minorHAnsi"/>
        </w:rPr>
        <w:t>North, D. C. (1991). Institutions, Journal of Economic Perspectives, 5, 97-112.</w:t>
      </w:r>
    </w:p>
    <w:p w14:paraId="2D0CC654" w14:textId="77777777" w:rsidR="007144CC" w:rsidRPr="00061B56" w:rsidRDefault="007144CC" w:rsidP="007144CC">
      <w:pPr>
        <w:jc w:val="both"/>
        <w:rPr>
          <w:rFonts w:cstheme="minorHAnsi"/>
        </w:rPr>
      </w:pPr>
      <w:r w:rsidRPr="00061B56">
        <w:rPr>
          <w:rFonts w:cstheme="minorHAnsi"/>
        </w:rPr>
        <w:t>Ntim, C. G., &amp; Soobaroyen, T. (2013). Corporate governance and performance in socially responsible corporations: New empirical insights from a Neo‐Institutional framework. Corporate Governance: An International Review, 21(5), 468-494.</w:t>
      </w:r>
    </w:p>
    <w:p w14:paraId="5E214ADF" w14:textId="77777777" w:rsidR="007144CC" w:rsidRPr="00061B56" w:rsidRDefault="007144CC" w:rsidP="007144CC">
      <w:pPr>
        <w:jc w:val="both"/>
        <w:rPr>
          <w:rFonts w:cstheme="minorHAnsi"/>
        </w:rPr>
      </w:pPr>
      <w:bookmarkStart w:id="50" w:name="_Hlk137115737"/>
      <w:r w:rsidRPr="00061B56">
        <w:rPr>
          <w:rFonts w:cstheme="minorHAnsi"/>
        </w:rPr>
        <w:t>O'Keeffe,</w:t>
      </w:r>
      <w:bookmarkEnd w:id="50"/>
      <w:r w:rsidRPr="00061B56">
        <w:rPr>
          <w:rFonts w:cstheme="minorHAnsi"/>
        </w:rPr>
        <w:t xml:space="preserve"> J. M., Gilmour, D., &amp; Simpson, E. (2016). A network approach to overcoming barriers to market engagement for SMEs in energy efficiency initiatives such as the Green Deal. Energy Policy, 97, 582-590.</w:t>
      </w:r>
    </w:p>
    <w:p w14:paraId="3E423C5B" w14:textId="77777777" w:rsidR="007144CC" w:rsidRPr="00061B56" w:rsidRDefault="007144CC" w:rsidP="007144CC">
      <w:pPr>
        <w:jc w:val="both"/>
        <w:rPr>
          <w:rFonts w:cstheme="minorHAnsi"/>
        </w:rPr>
      </w:pPr>
      <w:r w:rsidRPr="00061B56">
        <w:rPr>
          <w:rFonts w:cstheme="minorHAnsi"/>
        </w:rPr>
        <w:t>Olekanma, O., Rodrigo, L. S., Adu, D. A., &amp; Gahir, B. (2024). Small‐and medium‐sized enterprises' carbon footprint reduction initiatives as a catalyst for green jobs: A systematic review and comprehensive business strategy agenda. Business Strategy and the Environment, 33(7), 6911-6939.</w:t>
      </w:r>
    </w:p>
    <w:p w14:paraId="0E1245C1" w14:textId="77777777" w:rsidR="007144CC" w:rsidRPr="00061B56" w:rsidRDefault="007144CC" w:rsidP="007144CC">
      <w:pPr>
        <w:jc w:val="both"/>
        <w:rPr>
          <w:rFonts w:cstheme="minorHAnsi"/>
        </w:rPr>
      </w:pPr>
      <w:r w:rsidRPr="00061B56">
        <w:rPr>
          <w:rFonts w:cstheme="minorHAnsi"/>
        </w:rPr>
        <w:t>Olekanma, O., Rodrigo, L. S., Adu, D. A., &amp; Gahir, B. (2026). Carbon footprint reduction initiatives and green jobs creation: The mediating role of green innovation. Journal of Environmental Management, 400, 128736.</w:t>
      </w:r>
    </w:p>
    <w:p w14:paraId="6E0AB6A8" w14:textId="77777777" w:rsidR="007144CC" w:rsidRPr="00061B56" w:rsidRDefault="007144CC" w:rsidP="007144CC">
      <w:pPr>
        <w:jc w:val="both"/>
        <w:rPr>
          <w:rFonts w:cstheme="minorHAnsi"/>
        </w:rPr>
      </w:pPr>
      <w:r w:rsidRPr="00061B56">
        <w:rPr>
          <w:rFonts w:cstheme="minorHAnsi"/>
        </w:rPr>
        <w:lastRenderedPageBreak/>
        <w:t>Oliver, C. (1991). Strategic responses to institutional processes. Academy of Management Review, 16(1), 145-179.</w:t>
      </w:r>
    </w:p>
    <w:p w14:paraId="2C0E380E" w14:textId="77777777" w:rsidR="007144CC" w:rsidRPr="00061B56" w:rsidRDefault="007144CC" w:rsidP="007144CC">
      <w:pPr>
        <w:rPr>
          <w:rFonts w:cstheme="minorHAnsi"/>
        </w:rPr>
      </w:pPr>
      <w:r w:rsidRPr="00061B56">
        <w:rPr>
          <w:rFonts w:cstheme="minorHAnsi"/>
        </w:rPr>
        <w:t>ONS (Office of National Statistics), (2021). UK business action on net zero and historical energy use. Accessed on 24/04/2022. Available at: https://www.ons.gov.uk/economy/environmentalaccounts/articles/ukbusinessactiononnetzeroandhistoricalenergyuse/2021-11-08#:~:text=In%202020%2C%20businesses%20accounted%20for,the%20main%20UK%20emissions%20measures).</w:t>
      </w:r>
    </w:p>
    <w:p w14:paraId="38892FA7" w14:textId="77777777" w:rsidR="007144CC" w:rsidRPr="00061B56" w:rsidRDefault="007144CC" w:rsidP="007144CC">
      <w:pPr>
        <w:jc w:val="both"/>
        <w:rPr>
          <w:rFonts w:cstheme="minorHAnsi"/>
        </w:rPr>
      </w:pPr>
      <w:bookmarkStart w:id="51" w:name="_Hlk135822757"/>
      <w:r w:rsidRPr="00061B56">
        <w:rPr>
          <w:rFonts w:cstheme="minorHAnsi"/>
          <w:lang w:val="it-IT"/>
        </w:rPr>
        <w:t>Orazalin,</w:t>
      </w:r>
      <w:bookmarkEnd w:id="51"/>
      <w:r w:rsidRPr="00061B56">
        <w:rPr>
          <w:rFonts w:cstheme="minorHAnsi"/>
          <w:lang w:val="it-IT"/>
        </w:rPr>
        <w:t xml:space="preserve"> N. S., Ntim, C. G., &amp; Malagila, J. K. (2023). </w:t>
      </w:r>
      <w:r w:rsidRPr="00061B56">
        <w:rPr>
          <w:rFonts w:cstheme="minorHAnsi"/>
        </w:rPr>
        <w:t>Board sustainability committees, climate change initiatives, carbon performance, and market value. British Journal of Management.</w:t>
      </w:r>
    </w:p>
    <w:p w14:paraId="01F5E6D9" w14:textId="77777777" w:rsidR="007144CC" w:rsidRPr="00061B56" w:rsidRDefault="007144CC" w:rsidP="007144CC">
      <w:pPr>
        <w:jc w:val="both"/>
        <w:rPr>
          <w:rFonts w:cstheme="minorHAnsi"/>
        </w:rPr>
      </w:pPr>
      <w:r w:rsidRPr="00061B56">
        <w:rPr>
          <w:rFonts w:cstheme="minorHAnsi"/>
        </w:rPr>
        <w:t>Organisation for Economic Co-operation and Development (2017). Enhancing the contributions of SMEs in a global and digitalised economy. Paris: OECD Publishing.</w:t>
      </w:r>
    </w:p>
    <w:p w14:paraId="51A5C9C1" w14:textId="77777777" w:rsidR="007144CC" w:rsidRPr="00061B56" w:rsidRDefault="007144CC" w:rsidP="007144CC">
      <w:pPr>
        <w:jc w:val="both"/>
        <w:rPr>
          <w:rFonts w:cstheme="minorHAnsi"/>
        </w:rPr>
      </w:pPr>
      <w:r w:rsidRPr="00061B56">
        <w:rPr>
          <w:rFonts w:cstheme="minorHAnsi"/>
        </w:rPr>
        <w:t>Parker, C. M., Redmond, J., &amp; Simpson, M. (2009). A review of interventions to encourage SMEs to make environmental improvements. Environment and Planning. C, Government and Policy, 27(2), 279– 301.</w:t>
      </w:r>
    </w:p>
    <w:p w14:paraId="6039D06C" w14:textId="77777777" w:rsidR="007144CC" w:rsidRPr="00061B56" w:rsidRDefault="007144CC" w:rsidP="007144CC">
      <w:pPr>
        <w:jc w:val="both"/>
        <w:rPr>
          <w:rFonts w:cstheme="minorHAnsi"/>
        </w:rPr>
      </w:pPr>
      <w:r w:rsidRPr="00061B56">
        <w:rPr>
          <w:rFonts w:cstheme="minorHAnsi"/>
        </w:rPr>
        <w:t>Perron, G. M. (2005). Barriers to environmental performance improvements in Canadian SMEs. Dalhousie University, Canada.</w:t>
      </w:r>
    </w:p>
    <w:p w14:paraId="24FDB1E0" w14:textId="77777777" w:rsidR="007144CC" w:rsidRPr="00061B56" w:rsidRDefault="007144CC" w:rsidP="007144CC">
      <w:pPr>
        <w:jc w:val="both"/>
        <w:rPr>
          <w:rFonts w:cstheme="minorHAnsi"/>
        </w:rPr>
      </w:pPr>
      <w:r w:rsidRPr="00061B56">
        <w:rPr>
          <w:rFonts w:cstheme="minorHAnsi"/>
        </w:rPr>
        <w:t>Pinget, A., Bocquet, R., &amp; Mothe, C. (2015). Barriers to environmental innovation in SMEs: Empirical evidence from French firms. M@ n@ gement, 18(2), 132-155.</w:t>
      </w:r>
    </w:p>
    <w:p w14:paraId="339DB4C5" w14:textId="77777777" w:rsidR="007144CC" w:rsidRPr="00061B56" w:rsidRDefault="007144CC" w:rsidP="007144CC">
      <w:pPr>
        <w:spacing w:line="360" w:lineRule="auto"/>
        <w:jc w:val="both"/>
        <w:rPr>
          <w:rFonts w:cstheme="minorHAnsi"/>
          <w:lang w:val="en-US"/>
        </w:rPr>
      </w:pPr>
      <w:r w:rsidRPr="00061B56">
        <w:rPr>
          <w:rFonts w:cstheme="minorHAnsi"/>
          <w:lang w:val="en-US"/>
        </w:rPr>
        <w:t>Powell, W.W. &amp; DiMaggio, P. (1991). The new institutionalism in organisational analysis, Chicago: University of Chicago Press, 183-203.</w:t>
      </w:r>
    </w:p>
    <w:p w14:paraId="442CAD9A" w14:textId="77777777" w:rsidR="007144CC" w:rsidRPr="00061B56" w:rsidRDefault="007144CC" w:rsidP="007144CC">
      <w:pPr>
        <w:jc w:val="both"/>
        <w:rPr>
          <w:rFonts w:cstheme="minorHAnsi"/>
        </w:rPr>
      </w:pPr>
      <w:bookmarkStart w:id="52" w:name="_Hlk136981035"/>
      <w:r w:rsidRPr="00061B56">
        <w:rPr>
          <w:rFonts w:cstheme="minorHAnsi"/>
          <w:lang w:val="it-IT"/>
        </w:rPr>
        <w:t>Purwandani, J. A., &amp; Michaud, G. (2021</w:t>
      </w:r>
      <w:bookmarkEnd w:id="52"/>
      <w:r w:rsidRPr="00061B56">
        <w:rPr>
          <w:rFonts w:cstheme="minorHAnsi"/>
          <w:lang w:val="it-IT"/>
        </w:rPr>
        <w:t xml:space="preserve">). </w:t>
      </w:r>
      <w:r w:rsidRPr="00061B56">
        <w:rPr>
          <w:rFonts w:cstheme="minorHAnsi"/>
        </w:rPr>
        <w:t>What are the drivers and barriers for green business practice adoption for SMEs? Environment Systems and Decisions, 41(4), 577-593.</w:t>
      </w:r>
    </w:p>
    <w:p w14:paraId="010CC417" w14:textId="77777777" w:rsidR="007144CC" w:rsidRPr="00061B56" w:rsidRDefault="007144CC" w:rsidP="007144CC">
      <w:pPr>
        <w:jc w:val="both"/>
        <w:rPr>
          <w:rFonts w:cstheme="minorHAnsi"/>
        </w:rPr>
      </w:pPr>
      <w:r w:rsidRPr="00061B56">
        <w:rPr>
          <w:rFonts w:cstheme="minorHAnsi"/>
        </w:rPr>
        <w:t>Rao, P., &amp; Holt, D. (2005). Do green supply chains lead to competitiveness and economic performance? International journal of operations &amp; production management, 25(9), 898-916.</w:t>
      </w:r>
    </w:p>
    <w:p w14:paraId="61CB6358" w14:textId="77777777" w:rsidR="007144CC" w:rsidRPr="00061B56" w:rsidRDefault="007144CC" w:rsidP="007144CC">
      <w:pPr>
        <w:jc w:val="both"/>
        <w:rPr>
          <w:rFonts w:cstheme="minorHAnsi"/>
        </w:rPr>
      </w:pPr>
      <w:bookmarkStart w:id="53" w:name="_Hlk137115612"/>
      <w:r w:rsidRPr="00061B56">
        <w:rPr>
          <w:rFonts w:cstheme="minorHAnsi"/>
        </w:rPr>
        <w:t>Rasoulinezhad, E., &amp; Taghizadeh-Hesary, F. (2022)</w:t>
      </w:r>
      <w:bookmarkEnd w:id="53"/>
      <w:r w:rsidRPr="00061B56">
        <w:rPr>
          <w:rFonts w:cstheme="minorHAnsi"/>
        </w:rPr>
        <w:t>. Role of green finance in improving energy efficiency and renewable energy development. Energy Efficiency, 15(2), 14.</w:t>
      </w:r>
    </w:p>
    <w:p w14:paraId="52AF21A0" w14:textId="77777777" w:rsidR="007144CC" w:rsidRPr="00061B56" w:rsidRDefault="007144CC" w:rsidP="007144CC">
      <w:pPr>
        <w:jc w:val="both"/>
        <w:rPr>
          <w:rFonts w:cstheme="minorHAnsi"/>
          <w:bCs/>
        </w:rPr>
      </w:pPr>
      <w:r w:rsidRPr="00061B56">
        <w:rPr>
          <w:rFonts w:cstheme="minorHAnsi"/>
          <w:bCs/>
        </w:rPr>
        <w:t>Rauch,A., Wiklund, I., Lumpkin, G.T., (2009) Entrepreneurial orientation and business performance: An assessment of past research and suggestions for the future, Entrepreneurship: Theory and Practice, 33 (3), 761-787.</w:t>
      </w:r>
    </w:p>
    <w:p w14:paraId="23A9E9B1" w14:textId="77777777" w:rsidR="007144CC" w:rsidRPr="00061B56" w:rsidRDefault="007144CC" w:rsidP="007144CC">
      <w:pPr>
        <w:jc w:val="both"/>
        <w:rPr>
          <w:rFonts w:cstheme="minorHAnsi"/>
        </w:rPr>
      </w:pPr>
      <w:r w:rsidRPr="00061B56">
        <w:rPr>
          <w:rFonts w:cstheme="minorHAnsi"/>
        </w:rPr>
        <w:t>Ravi, V., &amp; Shankar, R. (2005). Analysis of interactions among the barriers of reverse logistics. Technological Forecasting and Social Change, 72(8), 1011-1029.</w:t>
      </w:r>
    </w:p>
    <w:p w14:paraId="4876FAB9" w14:textId="77777777" w:rsidR="007144CC" w:rsidRPr="00061B56" w:rsidRDefault="007144CC" w:rsidP="007144CC">
      <w:pPr>
        <w:jc w:val="both"/>
        <w:rPr>
          <w:rFonts w:cstheme="minorHAnsi"/>
        </w:rPr>
      </w:pPr>
      <w:bookmarkStart w:id="54" w:name="_Hlk135830167"/>
      <w:r w:rsidRPr="00061B56">
        <w:rPr>
          <w:rFonts w:cstheme="minorHAnsi"/>
        </w:rPr>
        <w:t>Robinson, S., &amp; Stubberud, H. A. (2013</w:t>
      </w:r>
      <w:bookmarkEnd w:id="54"/>
      <w:r w:rsidRPr="00061B56">
        <w:rPr>
          <w:rFonts w:cstheme="minorHAnsi"/>
        </w:rPr>
        <w:t>). Green innovation in Germany: a comparison by business size. Journal of international business research, 12(1), 47.</w:t>
      </w:r>
    </w:p>
    <w:p w14:paraId="177D79BB" w14:textId="77777777" w:rsidR="007144CC" w:rsidRPr="00061B56" w:rsidRDefault="007144CC" w:rsidP="007144CC">
      <w:pPr>
        <w:jc w:val="both"/>
        <w:rPr>
          <w:rFonts w:cstheme="minorHAnsi"/>
        </w:rPr>
      </w:pPr>
      <w:r w:rsidRPr="00061B56">
        <w:rPr>
          <w:rFonts w:cstheme="minorHAnsi"/>
        </w:rPr>
        <w:t>Runhaar, H., Tigchelaar, C., &amp; Vermeulen, W. J. (2008). Environmental leaders: making a difference. A typology of environmental leaders and recommendations for a differentiated policy approach. Business Strategy and the Environment, 17(3), 160-178.</w:t>
      </w:r>
    </w:p>
    <w:p w14:paraId="43B3AB56" w14:textId="77777777" w:rsidR="007144CC" w:rsidRPr="00061B56" w:rsidRDefault="007144CC" w:rsidP="007144CC">
      <w:pPr>
        <w:jc w:val="both"/>
        <w:rPr>
          <w:rFonts w:cstheme="minorHAnsi"/>
        </w:rPr>
      </w:pPr>
      <w:r w:rsidRPr="00061B56">
        <w:rPr>
          <w:rFonts w:cstheme="minorHAnsi"/>
        </w:rPr>
        <w:lastRenderedPageBreak/>
        <w:t>Runhaar, H., Tigchelaar, C., &amp; Vermeulen, W. J. (2008). Environmental leaders: making a difference. A typology of environmental leaders and recommendations for a differentiated policy approach. Business Strategy and the Environment, 17(3), 160-178.</w:t>
      </w:r>
    </w:p>
    <w:p w14:paraId="5EC0E91E" w14:textId="77777777" w:rsidR="007144CC" w:rsidRPr="00061B56" w:rsidRDefault="007144CC" w:rsidP="007144CC">
      <w:pPr>
        <w:jc w:val="both"/>
        <w:rPr>
          <w:rFonts w:cstheme="minorHAnsi"/>
        </w:rPr>
      </w:pPr>
      <w:r w:rsidRPr="00061B56">
        <w:rPr>
          <w:rFonts w:cstheme="minorHAnsi"/>
        </w:rPr>
        <w:t>Russel, T., (1998). Greener Purchasing. Opportunities and Innovations. Greenleaf Publishing,</w:t>
      </w:r>
    </w:p>
    <w:p w14:paraId="29BC0CCD" w14:textId="77777777" w:rsidR="007144CC" w:rsidRPr="00061B56" w:rsidRDefault="007144CC" w:rsidP="007144CC">
      <w:pPr>
        <w:jc w:val="both"/>
        <w:rPr>
          <w:rFonts w:cstheme="minorHAnsi"/>
        </w:rPr>
      </w:pPr>
      <w:r w:rsidRPr="00061B56">
        <w:rPr>
          <w:rFonts w:cstheme="minorHAnsi"/>
        </w:rPr>
        <w:t>Saa, V. Y., Morrison, E. A., Adu, D. A., &amp; Joseph, D. (2025). Unravelling the relationship among corporate sustainability initiatives, executive compensation and corporate carbon performance: new insights from African countries. Journal of Accounting Literature.</w:t>
      </w:r>
    </w:p>
    <w:p w14:paraId="2E43D357" w14:textId="77777777" w:rsidR="007144CC" w:rsidRPr="00061B56" w:rsidRDefault="007144CC" w:rsidP="007144CC">
      <w:pPr>
        <w:jc w:val="both"/>
        <w:rPr>
          <w:rFonts w:cstheme="minorHAnsi"/>
        </w:rPr>
      </w:pPr>
      <w:r w:rsidRPr="00061B56">
        <w:rPr>
          <w:rFonts w:cstheme="minorHAnsi"/>
        </w:rPr>
        <w:t>Sarkar, A., &amp; Mohapatra, P. K. (2006). Evaluation of supplier capability and performance: A method for supply base reduction. Journal of Purchasing and supply management, 12(3), 148-163.</w:t>
      </w:r>
    </w:p>
    <w:p w14:paraId="7B0F734A" w14:textId="77777777" w:rsidR="007144CC" w:rsidRPr="00061B56" w:rsidRDefault="007144CC" w:rsidP="007144CC">
      <w:pPr>
        <w:jc w:val="both"/>
        <w:rPr>
          <w:rFonts w:cstheme="minorHAnsi"/>
        </w:rPr>
      </w:pPr>
      <w:r w:rsidRPr="00061B56">
        <w:rPr>
          <w:rFonts w:cstheme="minorHAnsi"/>
        </w:rPr>
        <w:t>Sasu, D.D (2022).</w:t>
      </w:r>
      <w:r w:rsidRPr="00061B56">
        <w:t xml:space="preserve"> </w:t>
      </w:r>
      <w:r w:rsidRPr="00061B56">
        <w:rPr>
          <w:rFonts w:cstheme="minorHAnsi"/>
        </w:rPr>
        <w:t>Overview of the economic contribution of SMEs in Ghana 2022, by category.</w:t>
      </w:r>
      <w:r w:rsidRPr="00061B56">
        <w:t xml:space="preserve"> </w:t>
      </w:r>
      <w:r w:rsidRPr="00061B56">
        <w:rPr>
          <w:rFonts w:cstheme="minorHAnsi"/>
        </w:rPr>
        <w:t>https://www.statista.com/statistics/1322256/economic-contribution-of-smes-in-ghana-by-category/</w:t>
      </w:r>
    </w:p>
    <w:p w14:paraId="1AC6D10D" w14:textId="77777777" w:rsidR="007144CC" w:rsidRPr="00061B56" w:rsidRDefault="007144CC" w:rsidP="007144CC">
      <w:pPr>
        <w:jc w:val="both"/>
        <w:rPr>
          <w:rFonts w:cstheme="minorHAnsi"/>
        </w:rPr>
      </w:pPr>
      <w:bookmarkStart w:id="55" w:name="_Hlk140892824"/>
      <w:r w:rsidRPr="00061B56">
        <w:rPr>
          <w:rFonts w:cstheme="minorHAnsi"/>
        </w:rPr>
        <w:t>Segars, A. &amp; Grover, V. (1993</w:t>
      </w:r>
      <w:bookmarkEnd w:id="55"/>
      <w:r w:rsidRPr="00061B56">
        <w:rPr>
          <w:rFonts w:cstheme="minorHAnsi"/>
        </w:rPr>
        <w:t>) Re-Examining Perceived Ease of Use and Usefulness: A Confirmatory Factor Analysis. MIS Quarterly, 17, 517-525.</w:t>
      </w:r>
    </w:p>
    <w:p w14:paraId="584E9A3E" w14:textId="77777777" w:rsidR="007144CC" w:rsidRPr="00061B56" w:rsidRDefault="007144CC" w:rsidP="007144CC">
      <w:pPr>
        <w:jc w:val="both"/>
        <w:rPr>
          <w:rFonts w:cstheme="minorHAnsi"/>
        </w:rPr>
      </w:pPr>
      <w:r w:rsidRPr="00061B56">
        <w:rPr>
          <w:rFonts w:cstheme="minorHAnsi"/>
        </w:rPr>
        <w:t>Silva, M. J., Leitao, J., &amp; Raposo, M. (2008). Barriers to innovation faced by manufacturing firms in Portugal: how to overcome it for fostering business excellence? International Journal of Business Excellence, 1(1-2), 92-105.</w:t>
      </w:r>
    </w:p>
    <w:p w14:paraId="5A80110B" w14:textId="77777777" w:rsidR="007144CC" w:rsidRPr="00061B56" w:rsidRDefault="007144CC" w:rsidP="007144CC">
      <w:pPr>
        <w:jc w:val="both"/>
        <w:rPr>
          <w:rFonts w:cstheme="minorHAnsi"/>
        </w:rPr>
      </w:pPr>
      <w:r w:rsidRPr="00061B56">
        <w:rPr>
          <w:rFonts w:cstheme="minorHAnsi"/>
        </w:rPr>
        <w:t>Silva, M. J., Leitao, J., &amp; Raposo, M. (2008). Barriers to innovation faced by manufacturing firms in Portugal: how to overcome it for fostering business excellence? International Journal of Business Excellence, 1(1-2), 92-105.</w:t>
      </w:r>
    </w:p>
    <w:p w14:paraId="7E1AA8A3" w14:textId="77777777" w:rsidR="007144CC" w:rsidRPr="00061B56" w:rsidRDefault="007144CC" w:rsidP="007144CC">
      <w:pPr>
        <w:jc w:val="both"/>
        <w:rPr>
          <w:rFonts w:cstheme="minorHAnsi"/>
        </w:rPr>
      </w:pPr>
      <w:r w:rsidRPr="00061B56">
        <w:rPr>
          <w:rFonts w:cstheme="minorHAnsi"/>
        </w:rPr>
        <w:t xml:space="preserve">Tilley, F. (1999). Small-firm environmental strategy: the UK experience. Greener Management International </w:t>
      </w:r>
      <w:r w:rsidRPr="00061B56">
        <w:rPr>
          <w:rFonts w:cstheme="minorHAnsi"/>
          <w:b/>
          <w:bCs/>
        </w:rPr>
        <w:t>25</w:t>
      </w:r>
      <w:r w:rsidRPr="00061B56">
        <w:rPr>
          <w:rFonts w:cstheme="minorHAnsi"/>
        </w:rPr>
        <w:t xml:space="preserve">: 67–80. United States Department of Energy (US DOE). </w:t>
      </w:r>
    </w:p>
    <w:p w14:paraId="5FC466A8" w14:textId="77777777" w:rsidR="007144CC" w:rsidRPr="00061B56" w:rsidRDefault="007144CC" w:rsidP="007144CC">
      <w:pPr>
        <w:jc w:val="both"/>
        <w:rPr>
          <w:rFonts w:cstheme="minorHAnsi"/>
        </w:rPr>
      </w:pPr>
      <w:r w:rsidRPr="00061B56">
        <w:rPr>
          <w:rFonts w:cstheme="minorHAnsi"/>
        </w:rPr>
        <w:t>Urban, B., &amp; Naidoo, R. (2012). Business sustainability: empirical evidence on operational skills in SMEs in South Africa. Journal of Small Business and Enterprise Development, 19(1), 146-163.</w:t>
      </w:r>
    </w:p>
    <w:p w14:paraId="0CA3152C" w14:textId="77777777" w:rsidR="007144CC" w:rsidRPr="00061B56" w:rsidRDefault="007144CC" w:rsidP="007144CC">
      <w:pPr>
        <w:jc w:val="both"/>
        <w:rPr>
          <w:rFonts w:cstheme="minorHAnsi"/>
        </w:rPr>
      </w:pPr>
      <w:r w:rsidRPr="00061B56">
        <w:rPr>
          <w:rFonts w:cstheme="minorHAnsi"/>
        </w:rPr>
        <w:t>UNCCC (UN Climate Change Conference), 2021. COP26 Explained. Accessed on 24/04/2022. Available at: https://ukcop26.org/wp-content/uploads/2021/07/COP26-Explained.pdf</w:t>
      </w:r>
    </w:p>
    <w:p w14:paraId="6770002A" w14:textId="77777777" w:rsidR="007144CC" w:rsidRPr="00061B56" w:rsidRDefault="007144CC" w:rsidP="007144CC">
      <w:pPr>
        <w:jc w:val="both"/>
        <w:rPr>
          <w:rFonts w:cstheme="minorHAnsi"/>
        </w:rPr>
      </w:pPr>
      <w:r w:rsidRPr="00061B56">
        <w:rPr>
          <w:rFonts w:cstheme="minorHAnsi"/>
          <w:lang w:val="it-IT"/>
        </w:rPr>
        <w:t xml:space="preserve">Walker, H., Di Sisto, L., &amp; McBain, D. (2008). </w:t>
      </w:r>
      <w:r w:rsidRPr="00061B56">
        <w:rPr>
          <w:rFonts w:cstheme="minorHAnsi"/>
        </w:rPr>
        <w:t>Drivers and barriers to environmental supply chain management practices: Lessons from the public and private sectors. Journal of Purchasing and Supply Management, 14(1), 69-85.</w:t>
      </w:r>
    </w:p>
    <w:p w14:paraId="4EC33A87" w14:textId="77777777" w:rsidR="007144CC" w:rsidRPr="00061B56" w:rsidRDefault="007144CC" w:rsidP="007144CC">
      <w:pPr>
        <w:jc w:val="both"/>
        <w:rPr>
          <w:rFonts w:cstheme="minorHAnsi"/>
        </w:rPr>
      </w:pPr>
      <w:r w:rsidRPr="00061B56">
        <w:rPr>
          <w:rFonts w:cstheme="minorHAnsi"/>
        </w:rPr>
        <w:t>Walker, H., Di Sisto, L., &amp; McBain, D. (2008). Drivers and barriers to environmental supply chain management practices: Lessons from the public and private sectors. Journal of purchasing and supply management, 14(1), 69-85.</w:t>
      </w:r>
    </w:p>
    <w:p w14:paraId="32A91CC5" w14:textId="77777777" w:rsidR="007144CC" w:rsidRPr="00061B56" w:rsidRDefault="007144CC" w:rsidP="007144CC">
      <w:pPr>
        <w:jc w:val="both"/>
        <w:rPr>
          <w:rFonts w:cstheme="minorHAnsi"/>
        </w:rPr>
      </w:pPr>
      <w:r w:rsidRPr="00061B56">
        <w:rPr>
          <w:rFonts w:cstheme="minorHAnsi"/>
        </w:rPr>
        <w:t>Wiklund, J., Shepherd, D., (2005), Entrepreneurial orientation and small business performance: A configurational approach, Journal of Business Venturing, 20 (1),71–91.</w:t>
      </w:r>
    </w:p>
    <w:p w14:paraId="1CC16F3C" w14:textId="77777777" w:rsidR="007144CC" w:rsidRPr="00061B56" w:rsidRDefault="007144CC" w:rsidP="007144CC">
      <w:pPr>
        <w:jc w:val="both"/>
        <w:rPr>
          <w:rFonts w:cstheme="minorHAnsi"/>
        </w:rPr>
      </w:pPr>
      <w:r w:rsidRPr="00061B56">
        <w:rPr>
          <w:rFonts w:cstheme="minorHAnsi"/>
        </w:rPr>
        <w:t>Wolf, C., &amp; Seuring, S. (2010). Environmental impacts as buying criteria for third party logistical services. International Journal of Physical Distribution &amp; Logistics Management, 40(1/2), 84-102.</w:t>
      </w:r>
    </w:p>
    <w:p w14:paraId="43D51714" w14:textId="77777777" w:rsidR="007144CC" w:rsidRPr="00061B56" w:rsidRDefault="007144CC" w:rsidP="007144CC">
      <w:pPr>
        <w:jc w:val="both"/>
        <w:rPr>
          <w:rFonts w:cstheme="minorHAnsi"/>
        </w:rPr>
      </w:pPr>
      <w:r w:rsidRPr="00061B56">
        <w:rPr>
          <w:rFonts w:cstheme="minorHAnsi"/>
        </w:rPr>
        <w:lastRenderedPageBreak/>
        <w:t>Woolman, T., Veshagh, A., (2006). Designing support for manufacturing SMEs approaching eco design and cleaner production-learning from UK survey results. 13</w:t>
      </w:r>
      <w:r w:rsidRPr="00061B56">
        <w:rPr>
          <w:rFonts w:cstheme="minorHAnsi"/>
          <w:vertAlign w:val="superscript"/>
        </w:rPr>
        <w:t>th</w:t>
      </w:r>
      <w:r w:rsidRPr="00061B56">
        <w:rPr>
          <w:rFonts w:cstheme="minorHAnsi"/>
        </w:rPr>
        <w:t xml:space="preserve"> CIRP Conference on Life Cycle Engineering, Leuven.</w:t>
      </w:r>
    </w:p>
    <w:p w14:paraId="60E342A4" w14:textId="77777777" w:rsidR="007144CC" w:rsidRPr="00061B56" w:rsidRDefault="007144CC" w:rsidP="007144CC">
      <w:pPr>
        <w:jc w:val="both"/>
        <w:rPr>
          <w:rFonts w:cstheme="minorHAnsi"/>
        </w:rPr>
      </w:pPr>
      <w:r w:rsidRPr="00061B56">
        <w:rPr>
          <w:rFonts w:cstheme="minorHAnsi"/>
        </w:rPr>
        <w:t>Wright, C., &amp; Nyberg, D. (2017). An inconvenient truth: How organisations translate climate change into business as usual. Academy of management journal, 60(5), 1633-1661.</w:t>
      </w:r>
    </w:p>
    <w:p w14:paraId="09806865" w14:textId="77777777" w:rsidR="007144CC" w:rsidRPr="00061B56" w:rsidRDefault="007144CC" w:rsidP="007144CC">
      <w:pPr>
        <w:jc w:val="both"/>
        <w:rPr>
          <w:rFonts w:cstheme="minorHAnsi"/>
        </w:rPr>
      </w:pPr>
      <w:r w:rsidRPr="00061B56">
        <w:rPr>
          <w:rFonts w:cstheme="minorHAnsi"/>
        </w:rPr>
        <w:t>Zhu, Q., &amp; Sarkis, J. (2004). Relationships between operational practices and performance among early adopters of green supply chain management practices in Chinese manufacturing enterprises. Journal of operations management, 22(3), 265-289.</w:t>
      </w:r>
    </w:p>
    <w:p w14:paraId="1E31A3DD" w14:textId="77777777" w:rsidR="007144CC" w:rsidRPr="00061B56" w:rsidRDefault="007144CC" w:rsidP="007144CC">
      <w:pPr>
        <w:jc w:val="both"/>
        <w:rPr>
          <w:rFonts w:cstheme="minorHAnsi"/>
        </w:rPr>
      </w:pPr>
      <w:r w:rsidRPr="00061B56">
        <w:rPr>
          <w:rFonts w:cstheme="minorHAnsi"/>
        </w:rPr>
        <w:t>Zhu, Q., Sarkis, J., &amp; Lai, K. H. (2012b). Green supply chain management innovation diffusion and its relationship to organisational improvement: An ecological modernisation perspective. Journal of Engineering and Technology Management, 29(1), 168-185.</w:t>
      </w:r>
    </w:p>
    <w:p w14:paraId="71681F76" w14:textId="77777777" w:rsidR="007144CC" w:rsidRPr="00061B56" w:rsidRDefault="007144CC" w:rsidP="007144CC">
      <w:pPr>
        <w:jc w:val="both"/>
        <w:rPr>
          <w:rFonts w:cstheme="minorHAnsi"/>
        </w:rPr>
      </w:pPr>
      <w:r w:rsidRPr="00061B56">
        <w:rPr>
          <w:rFonts w:cstheme="minorHAnsi"/>
        </w:rPr>
        <w:t>Zhu, Y., Wittmann, X., &amp; Peng, M. W. (2012a). Institution-based barriers to innovation in SMEs in China. Asia Pacific Journal of Management, 29, 1131-1142.</w:t>
      </w:r>
    </w:p>
    <w:p w14:paraId="4CD3DE02" w14:textId="77777777" w:rsidR="0056174E" w:rsidRPr="00061B56" w:rsidRDefault="0056174E" w:rsidP="007144CC">
      <w:pPr>
        <w:jc w:val="both"/>
        <w:rPr>
          <w:rFonts w:cstheme="minorHAnsi"/>
        </w:rPr>
      </w:pPr>
    </w:p>
    <w:p w14:paraId="41BE48FF" w14:textId="77777777" w:rsidR="0056174E" w:rsidRPr="00061B56" w:rsidRDefault="0056174E" w:rsidP="007144CC">
      <w:pPr>
        <w:jc w:val="both"/>
        <w:rPr>
          <w:rFonts w:cstheme="minorHAnsi"/>
        </w:rPr>
      </w:pPr>
    </w:p>
    <w:p w14:paraId="5FE2D14A" w14:textId="77777777" w:rsidR="0056174E" w:rsidRPr="00061B56" w:rsidRDefault="0056174E" w:rsidP="007144CC">
      <w:pPr>
        <w:jc w:val="both"/>
        <w:rPr>
          <w:rFonts w:cstheme="minorHAnsi"/>
        </w:rPr>
      </w:pPr>
    </w:p>
    <w:p w14:paraId="2CC6D4EA" w14:textId="77777777" w:rsidR="0056174E" w:rsidRPr="00061B56" w:rsidRDefault="0056174E" w:rsidP="007144CC">
      <w:pPr>
        <w:jc w:val="both"/>
        <w:rPr>
          <w:rFonts w:cstheme="minorHAnsi"/>
        </w:rPr>
      </w:pPr>
    </w:p>
    <w:p w14:paraId="36119698" w14:textId="77777777" w:rsidR="0056174E" w:rsidRPr="00061B56" w:rsidRDefault="0056174E" w:rsidP="007144CC">
      <w:pPr>
        <w:jc w:val="both"/>
        <w:rPr>
          <w:rFonts w:cstheme="minorHAnsi"/>
        </w:rPr>
      </w:pPr>
    </w:p>
    <w:p w14:paraId="16CFFE07" w14:textId="77777777" w:rsidR="0056174E" w:rsidRPr="00061B56" w:rsidRDefault="0056174E" w:rsidP="007144CC">
      <w:pPr>
        <w:jc w:val="both"/>
        <w:rPr>
          <w:rFonts w:cstheme="minorHAnsi"/>
        </w:rPr>
      </w:pPr>
    </w:p>
    <w:p w14:paraId="72300D32" w14:textId="77777777" w:rsidR="0056174E" w:rsidRPr="00061B56" w:rsidRDefault="0056174E" w:rsidP="007144CC">
      <w:pPr>
        <w:jc w:val="both"/>
        <w:rPr>
          <w:rFonts w:cstheme="minorHAnsi"/>
        </w:rPr>
      </w:pPr>
    </w:p>
    <w:p w14:paraId="4CFC0C47" w14:textId="77777777" w:rsidR="0056174E" w:rsidRPr="00061B56" w:rsidRDefault="0056174E" w:rsidP="007144CC">
      <w:pPr>
        <w:jc w:val="both"/>
        <w:rPr>
          <w:rFonts w:cstheme="minorHAnsi"/>
        </w:rPr>
      </w:pPr>
    </w:p>
    <w:p w14:paraId="6D1EE970" w14:textId="77777777" w:rsidR="0056174E" w:rsidRPr="00061B56" w:rsidRDefault="0056174E" w:rsidP="007144CC">
      <w:pPr>
        <w:jc w:val="both"/>
        <w:rPr>
          <w:rFonts w:cstheme="minorHAnsi"/>
        </w:rPr>
      </w:pPr>
    </w:p>
    <w:p w14:paraId="37175448" w14:textId="77777777" w:rsidR="0056174E" w:rsidRPr="00061B56" w:rsidRDefault="0056174E" w:rsidP="007144CC">
      <w:pPr>
        <w:jc w:val="both"/>
        <w:rPr>
          <w:rFonts w:cstheme="minorHAnsi"/>
        </w:rPr>
      </w:pPr>
    </w:p>
    <w:p w14:paraId="1BDD0CF9" w14:textId="77777777" w:rsidR="0056174E" w:rsidRPr="00061B56" w:rsidRDefault="0056174E" w:rsidP="007144CC">
      <w:pPr>
        <w:jc w:val="both"/>
        <w:rPr>
          <w:rFonts w:cstheme="minorHAnsi"/>
        </w:rPr>
      </w:pPr>
    </w:p>
    <w:p w14:paraId="73629583" w14:textId="77777777" w:rsidR="0056174E" w:rsidRPr="00061B56" w:rsidRDefault="0056174E" w:rsidP="007144CC">
      <w:pPr>
        <w:jc w:val="both"/>
        <w:rPr>
          <w:rFonts w:cstheme="minorHAnsi"/>
        </w:rPr>
      </w:pPr>
    </w:p>
    <w:p w14:paraId="5A1A0E7E" w14:textId="77777777" w:rsidR="0056174E" w:rsidRPr="00061B56" w:rsidRDefault="0056174E" w:rsidP="007144CC">
      <w:pPr>
        <w:jc w:val="both"/>
        <w:rPr>
          <w:rFonts w:cstheme="minorHAnsi"/>
        </w:rPr>
      </w:pPr>
    </w:p>
    <w:p w14:paraId="1B883F8F" w14:textId="77777777" w:rsidR="0056174E" w:rsidRPr="00061B56" w:rsidRDefault="0056174E" w:rsidP="007144CC">
      <w:pPr>
        <w:jc w:val="both"/>
        <w:rPr>
          <w:rFonts w:cstheme="minorHAnsi"/>
        </w:rPr>
      </w:pPr>
    </w:p>
    <w:p w14:paraId="3E9D677C" w14:textId="77777777" w:rsidR="0056174E" w:rsidRPr="00061B56" w:rsidRDefault="0056174E" w:rsidP="007144CC">
      <w:pPr>
        <w:jc w:val="both"/>
        <w:rPr>
          <w:rFonts w:cstheme="minorHAnsi"/>
        </w:rPr>
      </w:pPr>
    </w:p>
    <w:p w14:paraId="54FC68C0" w14:textId="77777777" w:rsidR="0056174E" w:rsidRPr="00061B56" w:rsidRDefault="0056174E" w:rsidP="007144CC">
      <w:pPr>
        <w:jc w:val="both"/>
        <w:rPr>
          <w:rFonts w:cstheme="minorHAnsi"/>
        </w:rPr>
      </w:pPr>
    </w:p>
    <w:p w14:paraId="55331699" w14:textId="77777777" w:rsidR="0056174E" w:rsidRPr="00061B56" w:rsidRDefault="0056174E" w:rsidP="007144CC">
      <w:pPr>
        <w:jc w:val="both"/>
        <w:rPr>
          <w:rFonts w:cstheme="minorHAnsi"/>
        </w:rPr>
      </w:pPr>
    </w:p>
    <w:p w14:paraId="50C66674" w14:textId="77777777" w:rsidR="0056174E" w:rsidRPr="00061B56" w:rsidRDefault="0056174E" w:rsidP="007144CC">
      <w:pPr>
        <w:jc w:val="both"/>
        <w:rPr>
          <w:rFonts w:cstheme="minorHAnsi"/>
        </w:rPr>
      </w:pPr>
    </w:p>
    <w:p w14:paraId="7068BAD6" w14:textId="77777777" w:rsidR="0056174E" w:rsidRPr="00061B56" w:rsidRDefault="0056174E" w:rsidP="007144CC">
      <w:pPr>
        <w:jc w:val="both"/>
        <w:rPr>
          <w:rFonts w:cstheme="minorHAnsi"/>
        </w:rPr>
      </w:pPr>
    </w:p>
    <w:p w14:paraId="036BDAA2" w14:textId="77777777" w:rsidR="0056174E" w:rsidRPr="00061B56" w:rsidRDefault="0056174E" w:rsidP="007144CC">
      <w:pPr>
        <w:jc w:val="both"/>
        <w:rPr>
          <w:rFonts w:cstheme="minorHAnsi"/>
        </w:rPr>
      </w:pPr>
    </w:p>
    <w:p w14:paraId="68F6F330" w14:textId="77777777" w:rsidR="0056174E" w:rsidRPr="00061B56" w:rsidRDefault="0056174E" w:rsidP="007144CC">
      <w:pPr>
        <w:jc w:val="both"/>
        <w:rPr>
          <w:rFonts w:cstheme="minorHAnsi"/>
        </w:rPr>
      </w:pPr>
    </w:p>
    <w:p w14:paraId="0FF00903" w14:textId="07EB265D" w:rsidR="0056174E" w:rsidRPr="00061B56" w:rsidRDefault="0056174E" w:rsidP="007144CC">
      <w:pPr>
        <w:jc w:val="both"/>
        <w:rPr>
          <w:rFonts w:cstheme="minorHAnsi"/>
          <w:b/>
          <w:bCs/>
        </w:rPr>
      </w:pPr>
      <w:r w:rsidRPr="00061B56">
        <w:rPr>
          <w:rFonts w:cstheme="minorHAnsi"/>
          <w:b/>
          <w:bCs/>
        </w:rPr>
        <w:lastRenderedPageBreak/>
        <w:t>Figures</w:t>
      </w:r>
    </w:p>
    <w:p w14:paraId="75E261B8" w14:textId="09FB7CD1" w:rsidR="0056174E" w:rsidRPr="00061B56" w:rsidRDefault="0056174E" w:rsidP="007144CC">
      <w:pPr>
        <w:jc w:val="both"/>
        <w:rPr>
          <w:rFonts w:cstheme="minorHAnsi"/>
        </w:rPr>
      </w:pPr>
      <w:r w:rsidRPr="00061B56">
        <w:rPr>
          <w:rFonts w:cstheme="minorHAnsi"/>
        </w:rPr>
        <w:t>Figure 01:</w:t>
      </w:r>
    </w:p>
    <w:p w14:paraId="72BDA529" w14:textId="77777777" w:rsidR="0056174E" w:rsidRPr="00061B56" w:rsidRDefault="0056174E" w:rsidP="007144CC">
      <w:pPr>
        <w:jc w:val="both"/>
        <w:rPr>
          <w:rFonts w:cstheme="minorHAnsi"/>
        </w:rPr>
      </w:pPr>
    </w:p>
    <w:p w14:paraId="7C34FA85" w14:textId="4B438044" w:rsidR="0056174E" w:rsidRPr="00061B56" w:rsidRDefault="0056174E" w:rsidP="007144CC">
      <w:pPr>
        <w:jc w:val="both"/>
        <w:rPr>
          <w:rFonts w:cstheme="minorHAnsi"/>
        </w:rPr>
      </w:pPr>
      <w:r w:rsidRPr="00061B56">
        <w:rPr>
          <w:rFonts w:cstheme="minorHAnsi"/>
          <w:noProof/>
        </w:rPr>
        <w:drawing>
          <wp:inline distT="0" distB="0" distL="0" distR="0" wp14:anchorId="6B75B1DB" wp14:editId="45C6E374">
            <wp:extent cx="5730240" cy="3284220"/>
            <wp:effectExtent l="0" t="0" r="3810" b="0"/>
            <wp:docPr id="9784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240" cy="3284220"/>
                    </a:xfrm>
                    <a:prstGeom prst="rect">
                      <a:avLst/>
                    </a:prstGeom>
                    <a:noFill/>
                    <a:ln>
                      <a:noFill/>
                    </a:ln>
                  </pic:spPr>
                </pic:pic>
              </a:graphicData>
            </a:graphic>
          </wp:inline>
        </w:drawing>
      </w:r>
    </w:p>
    <w:p w14:paraId="4B76086D" w14:textId="77777777" w:rsidR="0056174E" w:rsidRPr="00061B56" w:rsidRDefault="0056174E" w:rsidP="007144CC">
      <w:pPr>
        <w:jc w:val="both"/>
        <w:rPr>
          <w:rFonts w:cstheme="minorHAnsi"/>
        </w:rPr>
      </w:pPr>
    </w:p>
    <w:p w14:paraId="2670E7E9" w14:textId="77777777" w:rsidR="0056174E" w:rsidRPr="00061B56" w:rsidRDefault="0056174E" w:rsidP="007144CC">
      <w:pPr>
        <w:jc w:val="both"/>
        <w:rPr>
          <w:rFonts w:cstheme="minorHAnsi"/>
        </w:rPr>
      </w:pPr>
    </w:p>
    <w:p w14:paraId="73B3C5DF" w14:textId="77777777" w:rsidR="0056174E" w:rsidRPr="00061B56" w:rsidRDefault="0056174E" w:rsidP="007144CC">
      <w:pPr>
        <w:jc w:val="both"/>
        <w:rPr>
          <w:rFonts w:cstheme="minorHAnsi"/>
        </w:rPr>
      </w:pPr>
    </w:p>
    <w:p w14:paraId="6AE91609" w14:textId="77777777" w:rsidR="0056174E" w:rsidRPr="00061B56" w:rsidRDefault="0056174E" w:rsidP="007144CC">
      <w:pPr>
        <w:jc w:val="both"/>
        <w:rPr>
          <w:rFonts w:cstheme="minorHAnsi"/>
        </w:rPr>
      </w:pPr>
    </w:p>
    <w:p w14:paraId="7D9853A2" w14:textId="77777777" w:rsidR="0056174E" w:rsidRPr="00061B56" w:rsidRDefault="0056174E" w:rsidP="007144CC">
      <w:pPr>
        <w:jc w:val="both"/>
        <w:rPr>
          <w:rFonts w:cstheme="minorHAnsi"/>
        </w:rPr>
      </w:pPr>
    </w:p>
    <w:p w14:paraId="7ED3031A" w14:textId="77777777" w:rsidR="0056174E" w:rsidRPr="00061B56" w:rsidRDefault="0056174E" w:rsidP="007144CC">
      <w:pPr>
        <w:jc w:val="both"/>
        <w:rPr>
          <w:rFonts w:cstheme="minorHAnsi"/>
        </w:rPr>
      </w:pPr>
    </w:p>
    <w:p w14:paraId="0D30D25C" w14:textId="77777777" w:rsidR="0056174E" w:rsidRPr="00061B56" w:rsidRDefault="0056174E" w:rsidP="007144CC">
      <w:pPr>
        <w:jc w:val="both"/>
        <w:rPr>
          <w:rFonts w:cstheme="minorHAnsi"/>
        </w:rPr>
      </w:pPr>
    </w:p>
    <w:p w14:paraId="79E53F73" w14:textId="77777777" w:rsidR="0056174E" w:rsidRPr="00061B56" w:rsidRDefault="0056174E" w:rsidP="007144CC">
      <w:pPr>
        <w:jc w:val="both"/>
        <w:rPr>
          <w:rFonts w:cstheme="minorHAnsi"/>
        </w:rPr>
      </w:pPr>
    </w:p>
    <w:p w14:paraId="662833C6" w14:textId="77777777" w:rsidR="0056174E" w:rsidRPr="00061B56" w:rsidRDefault="0056174E" w:rsidP="007144CC">
      <w:pPr>
        <w:jc w:val="both"/>
        <w:rPr>
          <w:rFonts w:cstheme="minorHAnsi"/>
        </w:rPr>
      </w:pPr>
    </w:p>
    <w:p w14:paraId="3CCAAE1F" w14:textId="77777777" w:rsidR="0056174E" w:rsidRPr="00061B56" w:rsidRDefault="0056174E" w:rsidP="007144CC">
      <w:pPr>
        <w:jc w:val="both"/>
        <w:rPr>
          <w:rFonts w:cstheme="minorHAnsi"/>
        </w:rPr>
      </w:pPr>
    </w:p>
    <w:p w14:paraId="39C74DA4" w14:textId="77777777" w:rsidR="0056174E" w:rsidRPr="00061B56" w:rsidRDefault="0056174E" w:rsidP="007144CC">
      <w:pPr>
        <w:jc w:val="both"/>
        <w:rPr>
          <w:rFonts w:cstheme="minorHAnsi"/>
        </w:rPr>
      </w:pPr>
    </w:p>
    <w:p w14:paraId="7BDE7587" w14:textId="77777777" w:rsidR="0056174E" w:rsidRPr="00061B56" w:rsidRDefault="0056174E" w:rsidP="007144CC">
      <w:pPr>
        <w:jc w:val="both"/>
        <w:rPr>
          <w:rFonts w:cstheme="minorHAnsi"/>
        </w:rPr>
      </w:pPr>
    </w:p>
    <w:p w14:paraId="2F17E17F" w14:textId="77777777" w:rsidR="0056174E" w:rsidRPr="00061B56" w:rsidRDefault="0056174E" w:rsidP="007144CC">
      <w:pPr>
        <w:jc w:val="both"/>
        <w:rPr>
          <w:rFonts w:cstheme="minorHAnsi"/>
        </w:rPr>
      </w:pPr>
    </w:p>
    <w:p w14:paraId="2BD5C550" w14:textId="77777777" w:rsidR="0056174E" w:rsidRPr="00061B56" w:rsidRDefault="0056174E" w:rsidP="007144CC">
      <w:pPr>
        <w:jc w:val="both"/>
        <w:rPr>
          <w:rFonts w:cstheme="minorHAnsi"/>
        </w:rPr>
      </w:pPr>
    </w:p>
    <w:p w14:paraId="5795E4E1" w14:textId="77777777" w:rsidR="0056174E" w:rsidRPr="00061B56" w:rsidRDefault="0056174E" w:rsidP="007144CC">
      <w:pPr>
        <w:jc w:val="both"/>
        <w:rPr>
          <w:rFonts w:cstheme="minorHAnsi"/>
        </w:rPr>
      </w:pPr>
    </w:p>
    <w:p w14:paraId="6F4148CE" w14:textId="77777777" w:rsidR="0056174E" w:rsidRPr="00061B56" w:rsidRDefault="0056174E" w:rsidP="007144CC">
      <w:pPr>
        <w:jc w:val="both"/>
        <w:rPr>
          <w:rFonts w:cstheme="minorHAnsi"/>
        </w:rPr>
      </w:pPr>
    </w:p>
    <w:p w14:paraId="0CCFB9EE" w14:textId="77777777" w:rsidR="007144CC" w:rsidRPr="00061B56" w:rsidRDefault="007144CC" w:rsidP="007144CC">
      <w:pPr>
        <w:spacing w:line="360" w:lineRule="auto"/>
        <w:jc w:val="both"/>
        <w:rPr>
          <w:rFonts w:ascii="Garamond" w:hAnsi="Garamond" w:cstheme="minorHAnsi"/>
          <w:b/>
          <w:sz w:val="24"/>
          <w:szCs w:val="24"/>
        </w:rPr>
      </w:pPr>
      <w:r w:rsidRPr="00061B56">
        <w:rPr>
          <w:rFonts w:ascii="Garamond" w:hAnsi="Garamond" w:cstheme="minorHAnsi"/>
          <w:b/>
          <w:sz w:val="24"/>
          <w:szCs w:val="24"/>
        </w:rPr>
        <w:lastRenderedPageBreak/>
        <w:t>Tables</w:t>
      </w:r>
    </w:p>
    <w:p w14:paraId="181C8CB8" w14:textId="77777777" w:rsidR="007144CC" w:rsidRPr="00061B56" w:rsidRDefault="007144CC" w:rsidP="007144CC">
      <w:pPr>
        <w:pStyle w:val="MyTable"/>
        <w:rPr>
          <w:rFonts w:ascii="Garamond" w:hAnsi="Garamond"/>
          <w:i w:val="0"/>
          <w:iCs w:val="0"/>
        </w:rPr>
      </w:pPr>
      <w:r w:rsidRPr="00061B56">
        <w:rPr>
          <w:rFonts w:ascii="Garamond" w:hAnsi="Garamond"/>
          <w:i w:val="0"/>
          <w:iCs w:val="0"/>
        </w:rPr>
        <w:t xml:space="preserve">Table 1. Descriptive Statistics </w:t>
      </w:r>
    </w:p>
    <w:tbl>
      <w:tblPr>
        <w:tblStyle w:val="TableGrid31"/>
        <w:tblW w:w="9493" w:type="dxa"/>
        <w:tblLayout w:type="fixed"/>
        <w:tblLook w:val="04A0" w:firstRow="1" w:lastRow="0" w:firstColumn="1" w:lastColumn="0" w:noHBand="0" w:noVBand="1"/>
      </w:tblPr>
      <w:tblGrid>
        <w:gridCol w:w="988"/>
        <w:gridCol w:w="992"/>
        <w:gridCol w:w="1559"/>
        <w:gridCol w:w="1843"/>
        <w:gridCol w:w="1559"/>
        <w:gridCol w:w="1276"/>
        <w:gridCol w:w="1276"/>
      </w:tblGrid>
      <w:tr w:rsidR="007144CC" w:rsidRPr="00061B56" w14:paraId="037080D0" w14:textId="77777777" w:rsidTr="00AF75C0">
        <w:trPr>
          <w:trHeight w:val="456"/>
        </w:trPr>
        <w:tc>
          <w:tcPr>
            <w:tcW w:w="988" w:type="dxa"/>
            <w:tcBorders>
              <w:left w:val="nil"/>
              <w:bottom w:val="single" w:sz="4" w:space="0" w:color="auto"/>
              <w:right w:val="nil"/>
            </w:tcBorders>
            <w:vAlign w:val="bottom"/>
          </w:tcPr>
          <w:p w14:paraId="1A4F3D99" w14:textId="77777777" w:rsidR="007144CC" w:rsidRPr="00061B56" w:rsidRDefault="007144CC" w:rsidP="00AF75C0">
            <w:pPr>
              <w:jc w:val="center"/>
              <w:rPr>
                <w:rFonts w:ascii="Garamond" w:hAnsi="Garamond"/>
                <w:bCs/>
                <w:sz w:val="20"/>
                <w:szCs w:val="20"/>
              </w:rPr>
            </w:pPr>
          </w:p>
          <w:p w14:paraId="6CFAC662" w14:textId="77777777" w:rsidR="007144CC" w:rsidRPr="00061B56" w:rsidRDefault="007144CC" w:rsidP="00AF75C0">
            <w:pPr>
              <w:ind w:left="40"/>
              <w:jc w:val="center"/>
              <w:rPr>
                <w:rFonts w:ascii="Garamond" w:hAnsi="Garamond"/>
                <w:bCs/>
                <w:sz w:val="20"/>
                <w:szCs w:val="20"/>
              </w:rPr>
            </w:pPr>
            <w:r w:rsidRPr="00061B56">
              <w:rPr>
                <w:rFonts w:ascii="Garamond" w:hAnsi="Garamond"/>
                <w:bCs/>
                <w:sz w:val="20"/>
                <w:szCs w:val="20"/>
              </w:rPr>
              <w:t>Question</w:t>
            </w:r>
          </w:p>
        </w:tc>
        <w:tc>
          <w:tcPr>
            <w:tcW w:w="992" w:type="dxa"/>
            <w:tcBorders>
              <w:left w:val="nil"/>
              <w:bottom w:val="single" w:sz="4" w:space="0" w:color="auto"/>
              <w:right w:val="nil"/>
            </w:tcBorders>
          </w:tcPr>
          <w:p w14:paraId="6B999975" w14:textId="77777777" w:rsidR="007144CC" w:rsidRPr="00061B56" w:rsidRDefault="007144CC" w:rsidP="00AF75C0">
            <w:pPr>
              <w:rPr>
                <w:rFonts w:ascii="Garamond" w:hAnsi="Garamond"/>
                <w:bCs/>
                <w:w w:val="89"/>
                <w:sz w:val="20"/>
                <w:szCs w:val="20"/>
              </w:rPr>
            </w:pPr>
          </w:p>
          <w:p w14:paraId="7EA10115" w14:textId="77777777" w:rsidR="007144CC" w:rsidRPr="00061B56" w:rsidRDefault="007144CC" w:rsidP="00AF75C0">
            <w:pPr>
              <w:rPr>
                <w:rFonts w:ascii="Garamond" w:hAnsi="Garamond"/>
                <w:bCs/>
                <w:w w:val="89"/>
                <w:sz w:val="20"/>
                <w:szCs w:val="20"/>
              </w:rPr>
            </w:pPr>
            <w:r w:rsidRPr="00061B56">
              <w:rPr>
                <w:rFonts w:ascii="Garamond" w:hAnsi="Garamond"/>
                <w:bCs/>
                <w:w w:val="89"/>
                <w:sz w:val="20"/>
                <w:szCs w:val="20"/>
              </w:rPr>
              <w:t>N Statistic</w:t>
            </w:r>
          </w:p>
        </w:tc>
        <w:tc>
          <w:tcPr>
            <w:tcW w:w="1559" w:type="dxa"/>
            <w:tcBorders>
              <w:left w:val="nil"/>
              <w:bottom w:val="single" w:sz="4" w:space="0" w:color="auto"/>
              <w:right w:val="nil"/>
            </w:tcBorders>
            <w:vAlign w:val="bottom"/>
          </w:tcPr>
          <w:p w14:paraId="01B36BE8" w14:textId="77777777" w:rsidR="007144CC" w:rsidRPr="00061B56" w:rsidRDefault="007144CC" w:rsidP="00AF75C0">
            <w:pPr>
              <w:jc w:val="center"/>
              <w:rPr>
                <w:rFonts w:ascii="Garamond" w:hAnsi="Garamond"/>
                <w:bCs/>
                <w:w w:val="89"/>
                <w:sz w:val="20"/>
                <w:szCs w:val="20"/>
              </w:rPr>
            </w:pPr>
            <w:r w:rsidRPr="00061B56">
              <w:rPr>
                <w:rFonts w:ascii="Garamond" w:hAnsi="Garamond"/>
                <w:bCs/>
                <w:w w:val="89"/>
                <w:sz w:val="20"/>
                <w:szCs w:val="20"/>
              </w:rPr>
              <w:t>Minimum Statistic</w:t>
            </w:r>
          </w:p>
        </w:tc>
        <w:tc>
          <w:tcPr>
            <w:tcW w:w="1843" w:type="dxa"/>
            <w:tcBorders>
              <w:left w:val="nil"/>
              <w:bottom w:val="single" w:sz="4" w:space="0" w:color="auto"/>
              <w:right w:val="nil"/>
            </w:tcBorders>
          </w:tcPr>
          <w:p w14:paraId="5B3F5EB3" w14:textId="77777777" w:rsidR="007144CC" w:rsidRPr="00061B56" w:rsidRDefault="007144CC" w:rsidP="00AF75C0">
            <w:pPr>
              <w:ind w:right="250"/>
              <w:rPr>
                <w:rFonts w:ascii="Garamond" w:hAnsi="Garamond"/>
                <w:bCs/>
                <w:w w:val="89"/>
                <w:sz w:val="20"/>
                <w:szCs w:val="20"/>
              </w:rPr>
            </w:pPr>
          </w:p>
          <w:p w14:paraId="2920D472" w14:textId="77777777" w:rsidR="007144CC" w:rsidRPr="00061B56" w:rsidRDefault="007144CC" w:rsidP="00AF75C0">
            <w:pPr>
              <w:ind w:right="250"/>
              <w:rPr>
                <w:rFonts w:ascii="Garamond" w:hAnsi="Garamond"/>
                <w:bCs/>
                <w:w w:val="89"/>
                <w:sz w:val="20"/>
                <w:szCs w:val="20"/>
              </w:rPr>
            </w:pPr>
            <w:r w:rsidRPr="00061B56">
              <w:rPr>
                <w:rFonts w:ascii="Garamond" w:hAnsi="Garamond"/>
                <w:bCs/>
                <w:w w:val="89"/>
                <w:sz w:val="20"/>
                <w:szCs w:val="20"/>
              </w:rPr>
              <w:t>Maximum Statistic</w:t>
            </w:r>
          </w:p>
        </w:tc>
        <w:tc>
          <w:tcPr>
            <w:tcW w:w="1559" w:type="dxa"/>
            <w:tcBorders>
              <w:left w:val="nil"/>
              <w:bottom w:val="single" w:sz="4" w:space="0" w:color="auto"/>
              <w:right w:val="nil"/>
            </w:tcBorders>
            <w:vAlign w:val="bottom"/>
          </w:tcPr>
          <w:p w14:paraId="6B82D49B" w14:textId="77777777" w:rsidR="007144CC" w:rsidRPr="00061B56" w:rsidRDefault="007144CC" w:rsidP="00AF75C0">
            <w:pPr>
              <w:ind w:right="250"/>
              <w:rPr>
                <w:rFonts w:ascii="Garamond" w:hAnsi="Garamond"/>
                <w:bCs/>
                <w:w w:val="89"/>
                <w:sz w:val="20"/>
                <w:szCs w:val="20"/>
              </w:rPr>
            </w:pPr>
            <w:r w:rsidRPr="00061B56">
              <w:rPr>
                <w:rFonts w:ascii="Garamond" w:hAnsi="Garamond"/>
                <w:bCs/>
                <w:w w:val="89"/>
                <w:sz w:val="20"/>
                <w:szCs w:val="20"/>
              </w:rPr>
              <w:t>Mean Statistic</w:t>
            </w:r>
          </w:p>
        </w:tc>
        <w:tc>
          <w:tcPr>
            <w:tcW w:w="1276" w:type="dxa"/>
            <w:tcBorders>
              <w:left w:val="nil"/>
              <w:bottom w:val="single" w:sz="4" w:space="0" w:color="auto"/>
              <w:right w:val="nil"/>
            </w:tcBorders>
            <w:vAlign w:val="bottom"/>
          </w:tcPr>
          <w:p w14:paraId="15232B2F" w14:textId="77777777" w:rsidR="007144CC" w:rsidRPr="00061B56" w:rsidRDefault="007144CC" w:rsidP="00AF75C0">
            <w:pPr>
              <w:jc w:val="center"/>
              <w:rPr>
                <w:rFonts w:ascii="Garamond" w:hAnsi="Garamond"/>
                <w:bCs/>
                <w:sz w:val="20"/>
                <w:szCs w:val="20"/>
              </w:rPr>
            </w:pPr>
            <w:r w:rsidRPr="00061B56">
              <w:rPr>
                <w:rFonts w:ascii="Garamond" w:hAnsi="Garamond"/>
                <w:bCs/>
                <w:w w:val="83"/>
                <w:sz w:val="20"/>
                <w:szCs w:val="20"/>
              </w:rPr>
              <w:t>Std. Error</w:t>
            </w:r>
          </w:p>
        </w:tc>
        <w:tc>
          <w:tcPr>
            <w:tcW w:w="1276" w:type="dxa"/>
            <w:tcBorders>
              <w:left w:val="nil"/>
              <w:bottom w:val="single" w:sz="4" w:space="0" w:color="auto"/>
              <w:right w:val="nil"/>
            </w:tcBorders>
            <w:vAlign w:val="bottom"/>
          </w:tcPr>
          <w:p w14:paraId="013C5AB5" w14:textId="77777777" w:rsidR="007144CC" w:rsidRPr="00061B56" w:rsidRDefault="007144CC" w:rsidP="00AF75C0">
            <w:pPr>
              <w:jc w:val="center"/>
              <w:rPr>
                <w:rFonts w:ascii="Garamond" w:hAnsi="Garamond"/>
                <w:bCs/>
                <w:sz w:val="20"/>
                <w:szCs w:val="20"/>
              </w:rPr>
            </w:pPr>
            <w:r w:rsidRPr="00061B56">
              <w:rPr>
                <w:rFonts w:ascii="Garamond" w:hAnsi="Garamond"/>
                <w:bCs/>
                <w:w w:val="83"/>
                <w:sz w:val="20"/>
                <w:szCs w:val="20"/>
              </w:rPr>
              <w:t>Std. Deviation</w:t>
            </w:r>
          </w:p>
        </w:tc>
      </w:tr>
      <w:tr w:rsidR="007144CC" w:rsidRPr="00061B56" w14:paraId="1CC0E62F" w14:textId="77777777" w:rsidTr="00AF75C0">
        <w:trPr>
          <w:trHeight w:val="196"/>
        </w:trPr>
        <w:tc>
          <w:tcPr>
            <w:tcW w:w="988" w:type="dxa"/>
            <w:tcBorders>
              <w:left w:val="nil"/>
              <w:bottom w:val="nil"/>
              <w:right w:val="nil"/>
            </w:tcBorders>
          </w:tcPr>
          <w:p w14:paraId="0E0A61BD"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w:t>
            </w:r>
          </w:p>
        </w:tc>
        <w:tc>
          <w:tcPr>
            <w:tcW w:w="992" w:type="dxa"/>
            <w:tcBorders>
              <w:left w:val="nil"/>
              <w:bottom w:val="nil"/>
              <w:right w:val="nil"/>
            </w:tcBorders>
          </w:tcPr>
          <w:p w14:paraId="3F545B2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left w:val="nil"/>
              <w:bottom w:val="nil"/>
              <w:right w:val="nil"/>
            </w:tcBorders>
          </w:tcPr>
          <w:p w14:paraId="22397FF4"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left w:val="nil"/>
              <w:bottom w:val="nil"/>
              <w:right w:val="nil"/>
            </w:tcBorders>
          </w:tcPr>
          <w:p w14:paraId="12EE73B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left w:val="nil"/>
              <w:bottom w:val="nil"/>
              <w:right w:val="nil"/>
            </w:tcBorders>
          </w:tcPr>
          <w:p w14:paraId="60D9A5D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4.94</w:t>
            </w:r>
          </w:p>
        </w:tc>
        <w:tc>
          <w:tcPr>
            <w:tcW w:w="1276" w:type="dxa"/>
            <w:tcBorders>
              <w:left w:val="nil"/>
              <w:bottom w:val="nil"/>
              <w:right w:val="nil"/>
            </w:tcBorders>
          </w:tcPr>
          <w:p w14:paraId="18BC2710"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0.09</w:t>
            </w:r>
          </w:p>
        </w:tc>
        <w:tc>
          <w:tcPr>
            <w:tcW w:w="1276" w:type="dxa"/>
            <w:tcBorders>
              <w:left w:val="nil"/>
              <w:bottom w:val="nil"/>
              <w:right w:val="nil"/>
            </w:tcBorders>
          </w:tcPr>
          <w:p w14:paraId="05335141"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1.47</w:t>
            </w:r>
          </w:p>
        </w:tc>
      </w:tr>
      <w:tr w:rsidR="007144CC" w:rsidRPr="00061B56" w14:paraId="61797EB4" w14:textId="77777777" w:rsidTr="00AF75C0">
        <w:trPr>
          <w:trHeight w:val="249"/>
        </w:trPr>
        <w:tc>
          <w:tcPr>
            <w:tcW w:w="988" w:type="dxa"/>
            <w:tcBorders>
              <w:top w:val="nil"/>
              <w:left w:val="nil"/>
              <w:bottom w:val="nil"/>
              <w:right w:val="nil"/>
            </w:tcBorders>
          </w:tcPr>
          <w:p w14:paraId="2F4B5C10"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w:t>
            </w:r>
          </w:p>
        </w:tc>
        <w:tc>
          <w:tcPr>
            <w:tcW w:w="992" w:type="dxa"/>
            <w:tcBorders>
              <w:top w:val="nil"/>
              <w:left w:val="nil"/>
              <w:bottom w:val="nil"/>
              <w:right w:val="nil"/>
            </w:tcBorders>
          </w:tcPr>
          <w:p w14:paraId="7917941F"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223</w:t>
            </w:r>
          </w:p>
        </w:tc>
        <w:tc>
          <w:tcPr>
            <w:tcW w:w="1559" w:type="dxa"/>
            <w:tcBorders>
              <w:top w:val="nil"/>
              <w:left w:val="nil"/>
              <w:bottom w:val="nil"/>
              <w:right w:val="nil"/>
            </w:tcBorders>
          </w:tcPr>
          <w:p w14:paraId="189A5FF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755FBC5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74C8AE31"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2.84</w:t>
            </w:r>
          </w:p>
        </w:tc>
        <w:tc>
          <w:tcPr>
            <w:tcW w:w="1276" w:type="dxa"/>
            <w:tcBorders>
              <w:top w:val="nil"/>
              <w:left w:val="nil"/>
              <w:bottom w:val="nil"/>
              <w:right w:val="nil"/>
            </w:tcBorders>
          </w:tcPr>
          <w:p w14:paraId="51CF795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0.12</w:t>
            </w:r>
          </w:p>
        </w:tc>
        <w:tc>
          <w:tcPr>
            <w:tcW w:w="1276" w:type="dxa"/>
            <w:tcBorders>
              <w:top w:val="nil"/>
              <w:left w:val="nil"/>
              <w:bottom w:val="nil"/>
              <w:right w:val="nil"/>
            </w:tcBorders>
          </w:tcPr>
          <w:p w14:paraId="1F6E31CE"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1.72</w:t>
            </w:r>
          </w:p>
        </w:tc>
      </w:tr>
      <w:tr w:rsidR="007144CC" w:rsidRPr="00061B56" w14:paraId="44EDBCEB" w14:textId="77777777" w:rsidTr="00AF75C0">
        <w:trPr>
          <w:trHeight w:val="249"/>
        </w:trPr>
        <w:tc>
          <w:tcPr>
            <w:tcW w:w="988" w:type="dxa"/>
            <w:tcBorders>
              <w:top w:val="nil"/>
              <w:left w:val="nil"/>
              <w:bottom w:val="nil"/>
              <w:right w:val="nil"/>
            </w:tcBorders>
          </w:tcPr>
          <w:p w14:paraId="0CFEBB8D"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Q3</w:t>
            </w:r>
          </w:p>
        </w:tc>
        <w:tc>
          <w:tcPr>
            <w:tcW w:w="992" w:type="dxa"/>
            <w:tcBorders>
              <w:top w:val="nil"/>
              <w:left w:val="nil"/>
              <w:bottom w:val="nil"/>
              <w:right w:val="nil"/>
            </w:tcBorders>
          </w:tcPr>
          <w:p w14:paraId="236DC2E0"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224</w:t>
            </w:r>
          </w:p>
        </w:tc>
        <w:tc>
          <w:tcPr>
            <w:tcW w:w="1559" w:type="dxa"/>
            <w:tcBorders>
              <w:top w:val="nil"/>
              <w:left w:val="nil"/>
              <w:bottom w:val="nil"/>
              <w:right w:val="nil"/>
            </w:tcBorders>
          </w:tcPr>
          <w:p w14:paraId="44D9DD1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7504CE9E"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547773DD"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4.50</w:t>
            </w:r>
          </w:p>
        </w:tc>
        <w:tc>
          <w:tcPr>
            <w:tcW w:w="1276" w:type="dxa"/>
            <w:tcBorders>
              <w:top w:val="nil"/>
              <w:left w:val="nil"/>
              <w:bottom w:val="nil"/>
              <w:right w:val="nil"/>
            </w:tcBorders>
          </w:tcPr>
          <w:p w14:paraId="05A4D7DB"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0.09</w:t>
            </w:r>
          </w:p>
        </w:tc>
        <w:tc>
          <w:tcPr>
            <w:tcW w:w="1276" w:type="dxa"/>
            <w:tcBorders>
              <w:top w:val="nil"/>
              <w:left w:val="nil"/>
              <w:bottom w:val="nil"/>
              <w:right w:val="nil"/>
            </w:tcBorders>
          </w:tcPr>
          <w:p w14:paraId="1FF9959F"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1.39</w:t>
            </w:r>
          </w:p>
        </w:tc>
      </w:tr>
      <w:tr w:rsidR="007144CC" w:rsidRPr="00061B56" w14:paraId="3A380DE5" w14:textId="77777777" w:rsidTr="00AF75C0">
        <w:trPr>
          <w:trHeight w:val="285"/>
        </w:trPr>
        <w:tc>
          <w:tcPr>
            <w:tcW w:w="988" w:type="dxa"/>
            <w:tcBorders>
              <w:top w:val="nil"/>
              <w:left w:val="nil"/>
              <w:bottom w:val="nil"/>
              <w:right w:val="nil"/>
            </w:tcBorders>
          </w:tcPr>
          <w:p w14:paraId="6F755A2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Q4</w:t>
            </w:r>
          </w:p>
        </w:tc>
        <w:tc>
          <w:tcPr>
            <w:tcW w:w="992" w:type="dxa"/>
            <w:tcBorders>
              <w:top w:val="nil"/>
              <w:left w:val="nil"/>
              <w:bottom w:val="nil"/>
              <w:right w:val="nil"/>
            </w:tcBorders>
          </w:tcPr>
          <w:p w14:paraId="040FD798"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224</w:t>
            </w:r>
          </w:p>
        </w:tc>
        <w:tc>
          <w:tcPr>
            <w:tcW w:w="1559" w:type="dxa"/>
            <w:tcBorders>
              <w:top w:val="nil"/>
              <w:left w:val="nil"/>
              <w:bottom w:val="nil"/>
              <w:right w:val="nil"/>
            </w:tcBorders>
          </w:tcPr>
          <w:p w14:paraId="6ECEA4D4"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08964537"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07EA0D8D"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4.89</w:t>
            </w:r>
          </w:p>
        </w:tc>
        <w:tc>
          <w:tcPr>
            <w:tcW w:w="1276" w:type="dxa"/>
            <w:tcBorders>
              <w:top w:val="nil"/>
              <w:left w:val="nil"/>
              <w:bottom w:val="nil"/>
              <w:right w:val="nil"/>
            </w:tcBorders>
          </w:tcPr>
          <w:p w14:paraId="39168109"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0.11</w:t>
            </w:r>
          </w:p>
        </w:tc>
        <w:tc>
          <w:tcPr>
            <w:tcW w:w="1276" w:type="dxa"/>
            <w:tcBorders>
              <w:top w:val="nil"/>
              <w:left w:val="nil"/>
              <w:bottom w:val="nil"/>
              <w:right w:val="nil"/>
            </w:tcBorders>
          </w:tcPr>
          <w:p w14:paraId="2F61138E"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1.57</w:t>
            </w:r>
          </w:p>
        </w:tc>
      </w:tr>
      <w:tr w:rsidR="007144CC" w:rsidRPr="00061B56" w14:paraId="65CC4FF5" w14:textId="77777777" w:rsidTr="00AF75C0">
        <w:trPr>
          <w:trHeight w:val="196"/>
        </w:trPr>
        <w:tc>
          <w:tcPr>
            <w:tcW w:w="988" w:type="dxa"/>
            <w:tcBorders>
              <w:top w:val="nil"/>
              <w:left w:val="nil"/>
              <w:bottom w:val="nil"/>
              <w:right w:val="nil"/>
            </w:tcBorders>
          </w:tcPr>
          <w:p w14:paraId="1379E5D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Q5</w:t>
            </w:r>
          </w:p>
        </w:tc>
        <w:tc>
          <w:tcPr>
            <w:tcW w:w="992" w:type="dxa"/>
            <w:tcBorders>
              <w:top w:val="nil"/>
              <w:left w:val="nil"/>
              <w:bottom w:val="nil"/>
              <w:right w:val="nil"/>
            </w:tcBorders>
          </w:tcPr>
          <w:p w14:paraId="4672D579"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3E746C8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137474A0"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75AAE215"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4.03</w:t>
            </w:r>
          </w:p>
        </w:tc>
        <w:tc>
          <w:tcPr>
            <w:tcW w:w="1276" w:type="dxa"/>
            <w:tcBorders>
              <w:top w:val="nil"/>
              <w:left w:val="nil"/>
              <w:bottom w:val="nil"/>
              <w:right w:val="nil"/>
            </w:tcBorders>
          </w:tcPr>
          <w:p w14:paraId="37B0362B"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0.09</w:t>
            </w:r>
          </w:p>
        </w:tc>
        <w:tc>
          <w:tcPr>
            <w:tcW w:w="1276" w:type="dxa"/>
            <w:tcBorders>
              <w:top w:val="nil"/>
              <w:left w:val="nil"/>
              <w:bottom w:val="nil"/>
              <w:right w:val="nil"/>
            </w:tcBorders>
          </w:tcPr>
          <w:p w14:paraId="7E1AD0E1"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1.46</w:t>
            </w:r>
          </w:p>
        </w:tc>
      </w:tr>
      <w:tr w:rsidR="007144CC" w:rsidRPr="00061B56" w14:paraId="46F3C134" w14:textId="77777777" w:rsidTr="00AF75C0">
        <w:trPr>
          <w:trHeight w:val="196"/>
        </w:trPr>
        <w:tc>
          <w:tcPr>
            <w:tcW w:w="988" w:type="dxa"/>
            <w:tcBorders>
              <w:top w:val="nil"/>
              <w:left w:val="nil"/>
              <w:bottom w:val="nil"/>
              <w:right w:val="nil"/>
            </w:tcBorders>
          </w:tcPr>
          <w:p w14:paraId="6A244C8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Q6</w:t>
            </w:r>
          </w:p>
        </w:tc>
        <w:tc>
          <w:tcPr>
            <w:tcW w:w="992" w:type="dxa"/>
            <w:tcBorders>
              <w:top w:val="nil"/>
              <w:left w:val="nil"/>
              <w:bottom w:val="nil"/>
              <w:right w:val="nil"/>
            </w:tcBorders>
          </w:tcPr>
          <w:p w14:paraId="0D98F824"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224</w:t>
            </w:r>
          </w:p>
        </w:tc>
        <w:tc>
          <w:tcPr>
            <w:tcW w:w="1559" w:type="dxa"/>
            <w:tcBorders>
              <w:top w:val="nil"/>
              <w:left w:val="nil"/>
              <w:bottom w:val="nil"/>
              <w:right w:val="nil"/>
            </w:tcBorders>
          </w:tcPr>
          <w:p w14:paraId="407444C9"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477FA657"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071D30D9"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4.94</w:t>
            </w:r>
          </w:p>
        </w:tc>
        <w:tc>
          <w:tcPr>
            <w:tcW w:w="1276" w:type="dxa"/>
            <w:tcBorders>
              <w:top w:val="nil"/>
              <w:left w:val="nil"/>
              <w:bottom w:val="nil"/>
              <w:right w:val="nil"/>
            </w:tcBorders>
          </w:tcPr>
          <w:p w14:paraId="05E7B520"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0.09</w:t>
            </w:r>
          </w:p>
        </w:tc>
        <w:tc>
          <w:tcPr>
            <w:tcW w:w="1276" w:type="dxa"/>
            <w:tcBorders>
              <w:top w:val="nil"/>
              <w:left w:val="nil"/>
              <w:bottom w:val="nil"/>
              <w:right w:val="nil"/>
            </w:tcBorders>
          </w:tcPr>
          <w:p w14:paraId="251C3A4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1.38</w:t>
            </w:r>
          </w:p>
        </w:tc>
      </w:tr>
      <w:tr w:rsidR="007144CC" w:rsidRPr="00061B56" w14:paraId="449EC45D" w14:textId="77777777" w:rsidTr="00AF75C0">
        <w:trPr>
          <w:trHeight w:val="276"/>
        </w:trPr>
        <w:tc>
          <w:tcPr>
            <w:tcW w:w="988" w:type="dxa"/>
            <w:tcBorders>
              <w:top w:val="nil"/>
              <w:left w:val="nil"/>
              <w:bottom w:val="nil"/>
              <w:right w:val="nil"/>
            </w:tcBorders>
          </w:tcPr>
          <w:p w14:paraId="1047CFD2"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Q7</w:t>
            </w:r>
          </w:p>
        </w:tc>
        <w:tc>
          <w:tcPr>
            <w:tcW w:w="992" w:type="dxa"/>
            <w:tcBorders>
              <w:top w:val="nil"/>
              <w:left w:val="nil"/>
              <w:bottom w:val="nil"/>
              <w:right w:val="nil"/>
            </w:tcBorders>
          </w:tcPr>
          <w:p w14:paraId="2DFC5C4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456D7B2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141A0260"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44D9DEBD"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4.73</w:t>
            </w:r>
          </w:p>
        </w:tc>
        <w:tc>
          <w:tcPr>
            <w:tcW w:w="1276" w:type="dxa"/>
            <w:tcBorders>
              <w:top w:val="nil"/>
              <w:left w:val="nil"/>
              <w:bottom w:val="nil"/>
              <w:right w:val="nil"/>
            </w:tcBorders>
          </w:tcPr>
          <w:p w14:paraId="7542C589"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0.09</w:t>
            </w:r>
          </w:p>
        </w:tc>
        <w:tc>
          <w:tcPr>
            <w:tcW w:w="1276" w:type="dxa"/>
            <w:tcBorders>
              <w:top w:val="nil"/>
              <w:left w:val="nil"/>
              <w:bottom w:val="nil"/>
              <w:right w:val="nil"/>
            </w:tcBorders>
          </w:tcPr>
          <w:p w14:paraId="1DA1008C"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1.31</w:t>
            </w:r>
          </w:p>
        </w:tc>
      </w:tr>
      <w:tr w:rsidR="007144CC" w:rsidRPr="00061B56" w14:paraId="7984E112" w14:textId="77777777" w:rsidTr="00AF75C0">
        <w:trPr>
          <w:trHeight w:val="276"/>
        </w:trPr>
        <w:tc>
          <w:tcPr>
            <w:tcW w:w="988" w:type="dxa"/>
            <w:tcBorders>
              <w:top w:val="nil"/>
              <w:left w:val="nil"/>
              <w:bottom w:val="nil"/>
              <w:right w:val="nil"/>
            </w:tcBorders>
          </w:tcPr>
          <w:p w14:paraId="19E004E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Q8</w:t>
            </w:r>
          </w:p>
        </w:tc>
        <w:tc>
          <w:tcPr>
            <w:tcW w:w="992" w:type="dxa"/>
            <w:tcBorders>
              <w:top w:val="nil"/>
              <w:left w:val="nil"/>
              <w:bottom w:val="nil"/>
              <w:right w:val="nil"/>
            </w:tcBorders>
          </w:tcPr>
          <w:p w14:paraId="42288841"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27FFEEE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207C936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662F591D"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4.46</w:t>
            </w:r>
          </w:p>
        </w:tc>
        <w:tc>
          <w:tcPr>
            <w:tcW w:w="1276" w:type="dxa"/>
            <w:tcBorders>
              <w:top w:val="nil"/>
              <w:left w:val="nil"/>
              <w:bottom w:val="nil"/>
              <w:right w:val="nil"/>
            </w:tcBorders>
          </w:tcPr>
          <w:p w14:paraId="417A9C0E"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0.09</w:t>
            </w:r>
          </w:p>
        </w:tc>
        <w:tc>
          <w:tcPr>
            <w:tcW w:w="1276" w:type="dxa"/>
            <w:tcBorders>
              <w:top w:val="nil"/>
              <w:left w:val="nil"/>
              <w:bottom w:val="nil"/>
              <w:right w:val="nil"/>
            </w:tcBorders>
          </w:tcPr>
          <w:p w14:paraId="17C19BDB"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1.36</w:t>
            </w:r>
          </w:p>
        </w:tc>
      </w:tr>
      <w:tr w:rsidR="007144CC" w:rsidRPr="00061B56" w14:paraId="132729E4" w14:textId="77777777" w:rsidTr="00AF75C0">
        <w:trPr>
          <w:trHeight w:val="276"/>
        </w:trPr>
        <w:tc>
          <w:tcPr>
            <w:tcW w:w="988" w:type="dxa"/>
            <w:tcBorders>
              <w:top w:val="nil"/>
              <w:left w:val="nil"/>
              <w:bottom w:val="nil"/>
              <w:right w:val="nil"/>
            </w:tcBorders>
          </w:tcPr>
          <w:p w14:paraId="79BB586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Q9</w:t>
            </w:r>
          </w:p>
        </w:tc>
        <w:tc>
          <w:tcPr>
            <w:tcW w:w="992" w:type="dxa"/>
            <w:tcBorders>
              <w:top w:val="nil"/>
              <w:left w:val="nil"/>
              <w:bottom w:val="nil"/>
              <w:right w:val="nil"/>
            </w:tcBorders>
          </w:tcPr>
          <w:p w14:paraId="233CA5E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68B5EB21"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260A4B20"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73F0C0F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4.51</w:t>
            </w:r>
          </w:p>
        </w:tc>
        <w:tc>
          <w:tcPr>
            <w:tcW w:w="1276" w:type="dxa"/>
            <w:tcBorders>
              <w:top w:val="nil"/>
              <w:left w:val="nil"/>
              <w:bottom w:val="nil"/>
              <w:right w:val="nil"/>
            </w:tcBorders>
          </w:tcPr>
          <w:p w14:paraId="7626F83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0.09</w:t>
            </w:r>
          </w:p>
        </w:tc>
        <w:tc>
          <w:tcPr>
            <w:tcW w:w="1276" w:type="dxa"/>
            <w:tcBorders>
              <w:top w:val="nil"/>
              <w:left w:val="nil"/>
              <w:bottom w:val="nil"/>
              <w:right w:val="nil"/>
            </w:tcBorders>
          </w:tcPr>
          <w:p w14:paraId="500CB92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1.44</w:t>
            </w:r>
          </w:p>
        </w:tc>
      </w:tr>
      <w:tr w:rsidR="007144CC" w:rsidRPr="00061B56" w14:paraId="7ED512F6" w14:textId="77777777" w:rsidTr="00AF75C0">
        <w:trPr>
          <w:trHeight w:val="285"/>
        </w:trPr>
        <w:tc>
          <w:tcPr>
            <w:tcW w:w="988" w:type="dxa"/>
            <w:tcBorders>
              <w:top w:val="nil"/>
              <w:left w:val="nil"/>
              <w:bottom w:val="nil"/>
              <w:right w:val="nil"/>
            </w:tcBorders>
          </w:tcPr>
          <w:p w14:paraId="607ECFD1"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Q10</w:t>
            </w:r>
          </w:p>
        </w:tc>
        <w:tc>
          <w:tcPr>
            <w:tcW w:w="992" w:type="dxa"/>
            <w:tcBorders>
              <w:top w:val="nil"/>
              <w:left w:val="nil"/>
              <w:bottom w:val="nil"/>
              <w:right w:val="nil"/>
            </w:tcBorders>
          </w:tcPr>
          <w:p w14:paraId="7BF7636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5CAD8ED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094E4DFD"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1C12A201"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4.38</w:t>
            </w:r>
          </w:p>
        </w:tc>
        <w:tc>
          <w:tcPr>
            <w:tcW w:w="1276" w:type="dxa"/>
            <w:tcBorders>
              <w:top w:val="nil"/>
              <w:left w:val="nil"/>
              <w:bottom w:val="nil"/>
              <w:right w:val="nil"/>
            </w:tcBorders>
          </w:tcPr>
          <w:p w14:paraId="11DDB19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0.09</w:t>
            </w:r>
          </w:p>
        </w:tc>
        <w:tc>
          <w:tcPr>
            <w:tcW w:w="1276" w:type="dxa"/>
            <w:tcBorders>
              <w:top w:val="nil"/>
              <w:left w:val="nil"/>
              <w:bottom w:val="nil"/>
              <w:right w:val="nil"/>
            </w:tcBorders>
          </w:tcPr>
          <w:p w14:paraId="00F2D4A9"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1.34</w:t>
            </w:r>
          </w:p>
        </w:tc>
      </w:tr>
      <w:tr w:rsidR="007144CC" w:rsidRPr="00061B56" w14:paraId="0D664CC7" w14:textId="77777777" w:rsidTr="00AF75C0">
        <w:trPr>
          <w:trHeight w:val="321"/>
        </w:trPr>
        <w:tc>
          <w:tcPr>
            <w:tcW w:w="988" w:type="dxa"/>
            <w:tcBorders>
              <w:top w:val="nil"/>
              <w:left w:val="nil"/>
              <w:bottom w:val="nil"/>
              <w:right w:val="nil"/>
            </w:tcBorders>
          </w:tcPr>
          <w:p w14:paraId="4F4550B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Q11</w:t>
            </w:r>
          </w:p>
        </w:tc>
        <w:tc>
          <w:tcPr>
            <w:tcW w:w="992" w:type="dxa"/>
            <w:tcBorders>
              <w:top w:val="nil"/>
              <w:left w:val="nil"/>
              <w:bottom w:val="nil"/>
              <w:right w:val="nil"/>
            </w:tcBorders>
          </w:tcPr>
          <w:p w14:paraId="313670B2"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120</w:t>
            </w:r>
          </w:p>
        </w:tc>
        <w:tc>
          <w:tcPr>
            <w:tcW w:w="1559" w:type="dxa"/>
            <w:tcBorders>
              <w:top w:val="nil"/>
              <w:left w:val="nil"/>
              <w:bottom w:val="nil"/>
              <w:right w:val="nil"/>
            </w:tcBorders>
          </w:tcPr>
          <w:p w14:paraId="108E2BF1"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393876C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6.00</w:t>
            </w:r>
          </w:p>
        </w:tc>
        <w:tc>
          <w:tcPr>
            <w:tcW w:w="1559" w:type="dxa"/>
            <w:tcBorders>
              <w:top w:val="nil"/>
              <w:left w:val="nil"/>
              <w:bottom w:val="nil"/>
              <w:right w:val="nil"/>
            </w:tcBorders>
          </w:tcPr>
          <w:p w14:paraId="46314293"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4.13</w:t>
            </w:r>
          </w:p>
        </w:tc>
        <w:tc>
          <w:tcPr>
            <w:tcW w:w="1276" w:type="dxa"/>
            <w:tcBorders>
              <w:top w:val="nil"/>
              <w:left w:val="nil"/>
              <w:bottom w:val="nil"/>
              <w:right w:val="nil"/>
            </w:tcBorders>
          </w:tcPr>
          <w:p w14:paraId="6AD3E787"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0.09</w:t>
            </w:r>
          </w:p>
        </w:tc>
        <w:tc>
          <w:tcPr>
            <w:tcW w:w="1276" w:type="dxa"/>
            <w:tcBorders>
              <w:top w:val="nil"/>
              <w:left w:val="nil"/>
              <w:bottom w:val="nil"/>
              <w:right w:val="nil"/>
            </w:tcBorders>
          </w:tcPr>
          <w:p w14:paraId="5E6615FC"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1.09</w:t>
            </w:r>
          </w:p>
        </w:tc>
      </w:tr>
      <w:tr w:rsidR="007144CC" w:rsidRPr="00061B56" w14:paraId="3FCA4832" w14:textId="77777777" w:rsidTr="00AF75C0">
        <w:trPr>
          <w:trHeight w:val="196"/>
        </w:trPr>
        <w:tc>
          <w:tcPr>
            <w:tcW w:w="988" w:type="dxa"/>
            <w:tcBorders>
              <w:top w:val="nil"/>
              <w:left w:val="nil"/>
              <w:bottom w:val="nil"/>
              <w:right w:val="nil"/>
            </w:tcBorders>
          </w:tcPr>
          <w:p w14:paraId="289C14C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Q12</w:t>
            </w:r>
          </w:p>
        </w:tc>
        <w:tc>
          <w:tcPr>
            <w:tcW w:w="992" w:type="dxa"/>
            <w:tcBorders>
              <w:top w:val="nil"/>
              <w:left w:val="nil"/>
              <w:bottom w:val="nil"/>
              <w:right w:val="nil"/>
            </w:tcBorders>
          </w:tcPr>
          <w:p w14:paraId="06D70A9E"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120</w:t>
            </w:r>
          </w:p>
        </w:tc>
        <w:tc>
          <w:tcPr>
            <w:tcW w:w="1559" w:type="dxa"/>
            <w:tcBorders>
              <w:top w:val="nil"/>
              <w:left w:val="nil"/>
              <w:bottom w:val="nil"/>
              <w:right w:val="nil"/>
            </w:tcBorders>
          </w:tcPr>
          <w:p w14:paraId="02BEF27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2.00</w:t>
            </w:r>
          </w:p>
        </w:tc>
        <w:tc>
          <w:tcPr>
            <w:tcW w:w="1843" w:type="dxa"/>
            <w:tcBorders>
              <w:top w:val="nil"/>
              <w:left w:val="nil"/>
              <w:bottom w:val="nil"/>
              <w:right w:val="nil"/>
            </w:tcBorders>
          </w:tcPr>
          <w:p w14:paraId="7268995E"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6.00</w:t>
            </w:r>
          </w:p>
        </w:tc>
        <w:tc>
          <w:tcPr>
            <w:tcW w:w="1559" w:type="dxa"/>
            <w:tcBorders>
              <w:top w:val="nil"/>
              <w:left w:val="nil"/>
              <w:bottom w:val="nil"/>
              <w:right w:val="nil"/>
            </w:tcBorders>
          </w:tcPr>
          <w:p w14:paraId="31D098B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4.57</w:t>
            </w:r>
          </w:p>
        </w:tc>
        <w:tc>
          <w:tcPr>
            <w:tcW w:w="1276" w:type="dxa"/>
            <w:tcBorders>
              <w:top w:val="nil"/>
              <w:left w:val="nil"/>
              <w:bottom w:val="nil"/>
              <w:right w:val="nil"/>
            </w:tcBorders>
          </w:tcPr>
          <w:p w14:paraId="2A7EC4A6"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0.09</w:t>
            </w:r>
          </w:p>
        </w:tc>
        <w:tc>
          <w:tcPr>
            <w:tcW w:w="1276" w:type="dxa"/>
            <w:tcBorders>
              <w:top w:val="nil"/>
              <w:left w:val="nil"/>
              <w:bottom w:val="nil"/>
              <w:right w:val="nil"/>
            </w:tcBorders>
          </w:tcPr>
          <w:p w14:paraId="5C4AE1EE"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0.96</w:t>
            </w:r>
          </w:p>
        </w:tc>
      </w:tr>
      <w:tr w:rsidR="007144CC" w:rsidRPr="00061B56" w14:paraId="580B3708" w14:textId="77777777" w:rsidTr="00AF75C0">
        <w:trPr>
          <w:trHeight w:val="348"/>
        </w:trPr>
        <w:tc>
          <w:tcPr>
            <w:tcW w:w="988" w:type="dxa"/>
            <w:tcBorders>
              <w:top w:val="nil"/>
              <w:left w:val="nil"/>
              <w:bottom w:val="nil"/>
              <w:right w:val="nil"/>
            </w:tcBorders>
          </w:tcPr>
          <w:p w14:paraId="4E406CB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Q13</w:t>
            </w:r>
          </w:p>
        </w:tc>
        <w:tc>
          <w:tcPr>
            <w:tcW w:w="992" w:type="dxa"/>
            <w:tcBorders>
              <w:top w:val="nil"/>
              <w:left w:val="nil"/>
              <w:bottom w:val="nil"/>
              <w:right w:val="nil"/>
            </w:tcBorders>
          </w:tcPr>
          <w:p w14:paraId="1898B946"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120</w:t>
            </w:r>
          </w:p>
        </w:tc>
        <w:tc>
          <w:tcPr>
            <w:tcW w:w="1559" w:type="dxa"/>
            <w:tcBorders>
              <w:top w:val="nil"/>
              <w:left w:val="nil"/>
              <w:bottom w:val="nil"/>
              <w:right w:val="nil"/>
            </w:tcBorders>
          </w:tcPr>
          <w:p w14:paraId="36087CC2"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2.00</w:t>
            </w:r>
          </w:p>
        </w:tc>
        <w:tc>
          <w:tcPr>
            <w:tcW w:w="1843" w:type="dxa"/>
            <w:tcBorders>
              <w:top w:val="nil"/>
              <w:left w:val="nil"/>
              <w:bottom w:val="nil"/>
              <w:right w:val="nil"/>
            </w:tcBorders>
          </w:tcPr>
          <w:p w14:paraId="7EA6FF81"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67A500AE"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4.85</w:t>
            </w:r>
          </w:p>
        </w:tc>
        <w:tc>
          <w:tcPr>
            <w:tcW w:w="1276" w:type="dxa"/>
            <w:tcBorders>
              <w:top w:val="nil"/>
              <w:left w:val="nil"/>
              <w:bottom w:val="nil"/>
              <w:right w:val="nil"/>
            </w:tcBorders>
          </w:tcPr>
          <w:p w14:paraId="40180720"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0.08</w:t>
            </w:r>
          </w:p>
        </w:tc>
        <w:tc>
          <w:tcPr>
            <w:tcW w:w="1276" w:type="dxa"/>
            <w:tcBorders>
              <w:top w:val="nil"/>
              <w:left w:val="nil"/>
              <w:bottom w:val="nil"/>
              <w:right w:val="nil"/>
            </w:tcBorders>
          </w:tcPr>
          <w:p w14:paraId="74D63063"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0.85</w:t>
            </w:r>
          </w:p>
        </w:tc>
      </w:tr>
      <w:tr w:rsidR="007144CC" w:rsidRPr="00061B56" w14:paraId="02AC5E9A" w14:textId="77777777" w:rsidTr="00AF75C0">
        <w:trPr>
          <w:trHeight w:val="348"/>
        </w:trPr>
        <w:tc>
          <w:tcPr>
            <w:tcW w:w="988" w:type="dxa"/>
            <w:tcBorders>
              <w:top w:val="nil"/>
              <w:left w:val="nil"/>
              <w:bottom w:val="nil"/>
              <w:right w:val="nil"/>
            </w:tcBorders>
          </w:tcPr>
          <w:p w14:paraId="414B0B7E"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Q14</w:t>
            </w:r>
          </w:p>
        </w:tc>
        <w:tc>
          <w:tcPr>
            <w:tcW w:w="992" w:type="dxa"/>
            <w:tcBorders>
              <w:top w:val="nil"/>
              <w:left w:val="nil"/>
              <w:bottom w:val="nil"/>
              <w:right w:val="nil"/>
            </w:tcBorders>
          </w:tcPr>
          <w:p w14:paraId="7704B597"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0AB75360"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3606448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29806AF4"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4.44</w:t>
            </w:r>
          </w:p>
        </w:tc>
        <w:tc>
          <w:tcPr>
            <w:tcW w:w="1276" w:type="dxa"/>
            <w:tcBorders>
              <w:top w:val="nil"/>
              <w:left w:val="nil"/>
              <w:bottom w:val="nil"/>
              <w:right w:val="nil"/>
            </w:tcBorders>
          </w:tcPr>
          <w:p w14:paraId="3E93E00B"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0.10</w:t>
            </w:r>
          </w:p>
        </w:tc>
        <w:tc>
          <w:tcPr>
            <w:tcW w:w="1276" w:type="dxa"/>
            <w:tcBorders>
              <w:top w:val="nil"/>
              <w:left w:val="nil"/>
              <w:bottom w:val="nil"/>
              <w:right w:val="nil"/>
            </w:tcBorders>
          </w:tcPr>
          <w:p w14:paraId="4A06D1D3"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1.44</w:t>
            </w:r>
          </w:p>
        </w:tc>
      </w:tr>
      <w:tr w:rsidR="007144CC" w:rsidRPr="00061B56" w14:paraId="34BF2FF3" w14:textId="77777777" w:rsidTr="00AF75C0">
        <w:trPr>
          <w:trHeight w:val="348"/>
        </w:trPr>
        <w:tc>
          <w:tcPr>
            <w:tcW w:w="988" w:type="dxa"/>
            <w:tcBorders>
              <w:top w:val="nil"/>
              <w:left w:val="nil"/>
              <w:bottom w:val="nil"/>
              <w:right w:val="nil"/>
            </w:tcBorders>
          </w:tcPr>
          <w:p w14:paraId="29B5F05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Q15</w:t>
            </w:r>
          </w:p>
        </w:tc>
        <w:tc>
          <w:tcPr>
            <w:tcW w:w="992" w:type="dxa"/>
            <w:tcBorders>
              <w:top w:val="nil"/>
              <w:left w:val="nil"/>
              <w:bottom w:val="nil"/>
              <w:right w:val="nil"/>
            </w:tcBorders>
          </w:tcPr>
          <w:p w14:paraId="43D234DD"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7242EB6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0C4DEEE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24D363D9"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4.38</w:t>
            </w:r>
          </w:p>
        </w:tc>
        <w:tc>
          <w:tcPr>
            <w:tcW w:w="1276" w:type="dxa"/>
            <w:tcBorders>
              <w:top w:val="nil"/>
              <w:left w:val="nil"/>
              <w:bottom w:val="nil"/>
              <w:right w:val="nil"/>
            </w:tcBorders>
          </w:tcPr>
          <w:p w14:paraId="5CAA3154"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0.10</w:t>
            </w:r>
          </w:p>
        </w:tc>
        <w:tc>
          <w:tcPr>
            <w:tcW w:w="1276" w:type="dxa"/>
            <w:tcBorders>
              <w:top w:val="nil"/>
              <w:left w:val="nil"/>
              <w:bottom w:val="nil"/>
              <w:right w:val="nil"/>
            </w:tcBorders>
          </w:tcPr>
          <w:p w14:paraId="083357E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1.42</w:t>
            </w:r>
          </w:p>
        </w:tc>
      </w:tr>
      <w:tr w:rsidR="007144CC" w:rsidRPr="00061B56" w14:paraId="290AB246" w14:textId="77777777" w:rsidTr="00AF75C0">
        <w:trPr>
          <w:trHeight w:val="348"/>
        </w:trPr>
        <w:tc>
          <w:tcPr>
            <w:tcW w:w="988" w:type="dxa"/>
            <w:tcBorders>
              <w:top w:val="nil"/>
              <w:left w:val="nil"/>
              <w:bottom w:val="nil"/>
              <w:right w:val="nil"/>
            </w:tcBorders>
          </w:tcPr>
          <w:p w14:paraId="259F559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Q16</w:t>
            </w:r>
          </w:p>
        </w:tc>
        <w:tc>
          <w:tcPr>
            <w:tcW w:w="992" w:type="dxa"/>
            <w:tcBorders>
              <w:top w:val="nil"/>
              <w:left w:val="nil"/>
              <w:bottom w:val="nil"/>
              <w:right w:val="nil"/>
            </w:tcBorders>
          </w:tcPr>
          <w:p w14:paraId="6CA46E2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7B22D39D"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021D1B36"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31A98CC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4.38</w:t>
            </w:r>
          </w:p>
        </w:tc>
        <w:tc>
          <w:tcPr>
            <w:tcW w:w="1276" w:type="dxa"/>
            <w:tcBorders>
              <w:top w:val="nil"/>
              <w:left w:val="nil"/>
              <w:bottom w:val="nil"/>
              <w:right w:val="nil"/>
            </w:tcBorders>
          </w:tcPr>
          <w:p w14:paraId="5089B36A"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0.09</w:t>
            </w:r>
          </w:p>
        </w:tc>
        <w:tc>
          <w:tcPr>
            <w:tcW w:w="1276" w:type="dxa"/>
            <w:tcBorders>
              <w:top w:val="nil"/>
              <w:left w:val="nil"/>
              <w:bottom w:val="nil"/>
              <w:right w:val="nil"/>
            </w:tcBorders>
          </w:tcPr>
          <w:p w14:paraId="4DB4B82F"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1.34</w:t>
            </w:r>
          </w:p>
        </w:tc>
      </w:tr>
      <w:tr w:rsidR="007144CC" w:rsidRPr="00061B56" w14:paraId="4D038C4C" w14:textId="77777777" w:rsidTr="00AF75C0">
        <w:trPr>
          <w:trHeight w:val="348"/>
        </w:trPr>
        <w:tc>
          <w:tcPr>
            <w:tcW w:w="988" w:type="dxa"/>
            <w:tcBorders>
              <w:top w:val="nil"/>
              <w:left w:val="nil"/>
              <w:bottom w:val="nil"/>
              <w:right w:val="nil"/>
            </w:tcBorders>
          </w:tcPr>
          <w:p w14:paraId="1A66010C"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Q17</w:t>
            </w:r>
          </w:p>
        </w:tc>
        <w:tc>
          <w:tcPr>
            <w:tcW w:w="992" w:type="dxa"/>
            <w:tcBorders>
              <w:top w:val="nil"/>
              <w:left w:val="nil"/>
              <w:bottom w:val="nil"/>
              <w:right w:val="nil"/>
            </w:tcBorders>
          </w:tcPr>
          <w:p w14:paraId="5642E620"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5F833F60"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49233957"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675B94EC"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4.42</w:t>
            </w:r>
          </w:p>
        </w:tc>
        <w:tc>
          <w:tcPr>
            <w:tcW w:w="1276" w:type="dxa"/>
            <w:tcBorders>
              <w:top w:val="nil"/>
              <w:left w:val="nil"/>
              <w:bottom w:val="nil"/>
              <w:right w:val="nil"/>
            </w:tcBorders>
          </w:tcPr>
          <w:p w14:paraId="3F6D052A"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0.10</w:t>
            </w:r>
          </w:p>
        </w:tc>
        <w:tc>
          <w:tcPr>
            <w:tcW w:w="1276" w:type="dxa"/>
            <w:tcBorders>
              <w:top w:val="nil"/>
              <w:left w:val="nil"/>
              <w:bottom w:val="nil"/>
              <w:right w:val="nil"/>
            </w:tcBorders>
          </w:tcPr>
          <w:p w14:paraId="546BF785"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1.47</w:t>
            </w:r>
          </w:p>
        </w:tc>
      </w:tr>
      <w:tr w:rsidR="007144CC" w:rsidRPr="00061B56" w14:paraId="611783EA" w14:textId="77777777" w:rsidTr="00AF75C0">
        <w:trPr>
          <w:trHeight w:val="348"/>
        </w:trPr>
        <w:tc>
          <w:tcPr>
            <w:tcW w:w="988" w:type="dxa"/>
            <w:tcBorders>
              <w:top w:val="nil"/>
              <w:left w:val="nil"/>
              <w:bottom w:val="nil"/>
              <w:right w:val="nil"/>
            </w:tcBorders>
          </w:tcPr>
          <w:p w14:paraId="1C2A176E"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Q18</w:t>
            </w:r>
          </w:p>
        </w:tc>
        <w:tc>
          <w:tcPr>
            <w:tcW w:w="992" w:type="dxa"/>
            <w:tcBorders>
              <w:top w:val="nil"/>
              <w:left w:val="nil"/>
              <w:bottom w:val="nil"/>
              <w:right w:val="nil"/>
            </w:tcBorders>
          </w:tcPr>
          <w:p w14:paraId="15D185F2"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220C441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4B9E1D5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0BD9A3A0"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4.37</w:t>
            </w:r>
          </w:p>
        </w:tc>
        <w:tc>
          <w:tcPr>
            <w:tcW w:w="1276" w:type="dxa"/>
            <w:tcBorders>
              <w:top w:val="nil"/>
              <w:left w:val="nil"/>
              <w:bottom w:val="nil"/>
              <w:right w:val="nil"/>
            </w:tcBorders>
          </w:tcPr>
          <w:p w14:paraId="3766E9FF"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0.10</w:t>
            </w:r>
          </w:p>
        </w:tc>
        <w:tc>
          <w:tcPr>
            <w:tcW w:w="1276" w:type="dxa"/>
            <w:tcBorders>
              <w:top w:val="nil"/>
              <w:left w:val="nil"/>
              <w:bottom w:val="nil"/>
              <w:right w:val="nil"/>
            </w:tcBorders>
          </w:tcPr>
          <w:p w14:paraId="022BB04F"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1.45</w:t>
            </w:r>
          </w:p>
        </w:tc>
      </w:tr>
      <w:tr w:rsidR="007144CC" w:rsidRPr="00061B56" w14:paraId="39398B61" w14:textId="77777777" w:rsidTr="00AF75C0">
        <w:trPr>
          <w:trHeight w:val="348"/>
        </w:trPr>
        <w:tc>
          <w:tcPr>
            <w:tcW w:w="988" w:type="dxa"/>
            <w:tcBorders>
              <w:top w:val="nil"/>
              <w:left w:val="nil"/>
              <w:bottom w:val="nil"/>
              <w:right w:val="nil"/>
            </w:tcBorders>
          </w:tcPr>
          <w:p w14:paraId="5E2C913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Q19</w:t>
            </w:r>
          </w:p>
        </w:tc>
        <w:tc>
          <w:tcPr>
            <w:tcW w:w="992" w:type="dxa"/>
            <w:tcBorders>
              <w:top w:val="nil"/>
              <w:left w:val="nil"/>
              <w:bottom w:val="nil"/>
              <w:right w:val="nil"/>
            </w:tcBorders>
          </w:tcPr>
          <w:p w14:paraId="6ECB8FFE"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125FF924"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06E582E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2DDC24A0"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4.38</w:t>
            </w:r>
          </w:p>
        </w:tc>
        <w:tc>
          <w:tcPr>
            <w:tcW w:w="1276" w:type="dxa"/>
            <w:tcBorders>
              <w:top w:val="nil"/>
              <w:left w:val="nil"/>
              <w:bottom w:val="nil"/>
              <w:right w:val="nil"/>
            </w:tcBorders>
          </w:tcPr>
          <w:p w14:paraId="7175CAE4"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0.09</w:t>
            </w:r>
          </w:p>
        </w:tc>
        <w:tc>
          <w:tcPr>
            <w:tcW w:w="1276" w:type="dxa"/>
            <w:tcBorders>
              <w:top w:val="nil"/>
              <w:left w:val="nil"/>
              <w:bottom w:val="nil"/>
              <w:right w:val="nil"/>
            </w:tcBorders>
          </w:tcPr>
          <w:p w14:paraId="4EF57295"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1.49</w:t>
            </w:r>
          </w:p>
        </w:tc>
      </w:tr>
      <w:tr w:rsidR="007144CC" w:rsidRPr="00061B56" w14:paraId="2C240C44" w14:textId="77777777" w:rsidTr="00AF75C0">
        <w:trPr>
          <w:trHeight w:val="348"/>
        </w:trPr>
        <w:tc>
          <w:tcPr>
            <w:tcW w:w="988" w:type="dxa"/>
            <w:tcBorders>
              <w:top w:val="nil"/>
              <w:left w:val="nil"/>
              <w:bottom w:val="nil"/>
              <w:right w:val="nil"/>
            </w:tcBorders>
          </w:tcPr>
          <w:p w14:paraId="6FA4EC7D"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Q20</w:t>
            </w:r>
          </w:p>
        </w:tc>
        <w:tc>
          <w:tcPr>
            <w:tcW w:w="992" w:type="dxa"/>
            <w:tcBorders>
              <w:top w:val="nil"/>
              <w:left w:val="nil"/>
              <w:bottom w:val="nil"/>
              <w:right w:val="nil"/>
            </w:tcBorders>
          </w:tcPr>
          <w:p w14:paraId="251178F7"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2A5A517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65F3B20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51024735"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4.66</w:t>
            </w:r>
          </w:p>
        </w:tc>
        <w:tc>
          <w:tcPr>
            <w:tcW w:w="1276" w:type="dxa"/>
            <w:tcBorders>
              <w:top w:val="nil"/>
              <w:left w:val="nil"/>
              <w:bottom w:val="nil"/>
              <w:right w:val="nil"/>
            </w:tcBorders>
          </w:tcPr>
          <w:p w14:paraId="5F7295B7"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0.09</w:t>
            </w:r>
          </w:p>
        </w:tc>
        <w:tc>
          <w:tcPr>
            <w:tcW w:w="1276" w:type="dxa"/>
            <w:tcBorders>
              <w:top w:val="nil"/>
              <w:left w:val="nil"/>
              <w:bottom w:val="nil"/>
              <w:right w:val="nil"/>
            </w:tcBorders>
          </w:tcPr>
          <w:p w14:paraId="49E68909"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1.48</w:t>
            </w:r>
          </w:p>
        </w:tc>
      </w:tr>
      <w:tr w:rsidR="007144CC" w:rsidRPr="00061B56" w14:paraId="5A276B76" w14:textId="77777777" w:rsidTr="00AF75C0">
        <w:trPr>
          <w:trHeight w:val="348"/>
        </w:trPr>
        <w:tc>
          <w:tcPr>
            <w:tcW w:w="988" w:type="dxa"/>
            <w:tcBorders>
              <w:top w:val="nil"/>
              <w:left w:val="nil"/>
              <w:bottom w:val="nil"/>
              <w:right w:val="nil"/>
            </w:tcBorders>
          </w:tcPr>
          <w:p w14:paraId="7DF7590D"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Q21</w:t>
            </w:r>
          </w:p>
        </w:tc>
        <w:tc>
          <w:tcPr>
            <w:tcW w:w="992" w:type="dxa"/>
            <w:tcBorders>
              <w:top w:val="nil"/>
              <w:left w:val="nil"/>
              <w:bottom w:val="nil"/>
              <w:right w:val="nil"/>
            </w:tcBorders>
          </w:tcPr>
          <w:p w14:paraId="15204B7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12FB3AD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4B0D2F8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53E6588A"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4.94</w:t>
            </w:r>
          </w:p>
        </w:tc>
        <w:tc>
          <w:tcPr>
            <w:tcW w:w="1276" w:type="dxa"/>
            <w:tcBorders>
              <w:top w:val="nil"/>
              <w:left w:val="nil"/>
              <w:bottom w:val="nil"/>
              <w:right w:val="nil"/>
            </w:tcBorders>
          </w:tcPr>
          <w:p w14:paraId="46DF8CE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0.09</w:t>
            </w:r>
          </w:p>
        </w:tc>
        <w:tc>
          <w:tcPr>
            <w:tcW w:w="1276" w:type="dxa"/>
            <w:tcBorders>
              <w:top w:val="nil"/>
              <w:left w:val="nil"/>
              <w:bottom w:val="nil"/>
              <w:right w:val="nil"/>
            </w:tcBorders>
          </w:tcPr>
          <w:p w14:paraId="092E8EC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1.35</w:t>
            </w:r>
          </w:p>
        </w:tc>
      </w:tr>
      <w:tr w:rsidR="007144CC" w:rsidRPr="00061B56" w14:paraId="0D534908" w14:textId="77777777" w:rsidTr="00AF75C0">
        <w:trPr>
          <w:trHeight w:val="348"/>
        </w:trPr>
        <w:tc>
          <w:tcPr>
            <w:tcW w:w="988" w:type="dxa"/>
            <w:tcBorders>
              <w:top w:val="nil"/>
              <w:left w:val="nil"/>
              <w:bottom w:val="nil"/>
              <w:right w:val="nil"/>
            </w:tcBorders>
          </w:tcPr>
          <w:p w14:paraId="3552768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Q22</w:t>
            </w:r>
          </w:p>
        </w:tc>
        <w:tc>
          <w:tcPr>
            <w:tcW w:w="992" w:type="dxa"/>
            <w:tcBorders>
              <w:top w:val="nil"/>
              <w:left w:val="nil"/>
              <w:bottom w:val="nil"/>
              <w:right w:val="nil"/>
            </w:tcBorders>
          </w:tcPr>
          <w:p w14:paraId="379A82D2"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3D998157"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4503B248"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39DB5F87"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4.71</w:t>
            </w:r>
          </w:p>
        </w:tc>
        <w:tc>
          <w:tcPr>
            <w:tcW w:w="1276" w:type="dxa"/>
            <w:tcBorders>
              <w:top w:val="nil"/>
              <w:left w:val="nil"/>
              <w:bottom w:val="nil"/>
              <w:right w:val="nil"/>
            </w:tcBorders>
          </w:tcPr>
          <w:p w14:paraId="2FECA30C"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0.10</w:t>
            </w:r>
          </w:p>
        </w:tc>
        <w:tc>
          <w:tcPr>
            <w:tcW w:w="1276" w:type="dxa"/>
            <w:tcBorders>
              <w:top w:val="nil"/>
              <w:left w:val="nil"/>
              <w:bottom w:val="nil"/>
              <w:right w:val="nil"/>
            </w:tcBorders>
          </w:tcPr>
          <w:p w14:paraId="2437D78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1.55</w:t>
            </w:r>
          </w:p>
        </w:tc>
      </w:tr>
      <w:tr w:rsidR="007144CC" w:rsidRPr="00061B56" w14:paraId="25EBEA73" w14:textId="77777777" w:rsidTr="00AF75C0">
        <w:trPr>
          <w:trHeight w:val="348"/>
        </w:trPr>
        <w:tc>
          <w:tcPr>
            <w:tcW w:w="988" w:type="dxa"/>
            <w:tcBorders>
              <w:top w:val="nil"/>
              <w:left w:val="nil"/>
              <w:bottom w:val="nil"/>
              <w:right w:val="nil"/>
            </w:tcBorders>
          </w:tcPr>
          <w:p w14:paraId="4F25713A"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Q23</w:t>
            </w:r>
          </w:p>
        </w:tc>
        <w:tc>
          <w:tcPr>
            <w:tcW w:w="992" w:type="dxa"/>
            <w:tcBorders>
              <w:top w:val="nil"/>
              <w:left w:val="nil"/>
              <w:bottom w:val="nil"/>
              <w:right w:val="nil"/>
            </w:tcBorders>
          </w:tcPr>
          <w:p w14:paraId="6A75962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3C0F7A4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38D3545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1E57067D"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4.97</w:t>
            </w:r>
          </w:p>
        </w:tc>
        <w:tc>
          <w:tcPr>
            <w:tcW w:w="1276" w:type="dxa"/>
            <w:tcBorders>
              <w:top w:val="nil"/>
              <w:left w:val="nil"/>
              <w:bottom w:val="nil"/>
              <w:right w:val="nil"/>
            </w:tcBorders>
          </w:tcPr>
          <w:p w14:paraId="0BA0B970"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0.11</w:t>
            </w:r>
          </w:p>
        </w:tc>
        <w:tc>
          <w:tcPr>
            <w:tcW w:w="1276" w:type="dxa"/>
            <w:tcBorders>
              <w:top w:val="nil"/>
              <w:left w:val="nil"/>
              <w:bottom w:val="nil"/>
              <w:right w:val="nil"/>
            </w:tcBorders>
          </w:tcPr>
          <w:p w14:paraId="2FF6B0DD"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1.59</w:t>
            </w:r>
          </w:p>
        </w:tc>
      </w:tr>
      <w:tr w:rsidR="007144CC" w:rsidRPr="00061B56" w14:paraId="60436BA6" w14:textId="77777777" w:rsidTr="00AF75C0">
        <w:trPr>
          <w:trHeight w:val="348"/>
        </w:trPr>
        <w:tc>
          <w:tcPr>
            <w:tcW w:w="988" w:type="dxa"/>
            <w:tcBorders>
              <w:top w:val="nil"/>
              <w:left w:val="nil"/>
              <w:bottom w:val="nil"/>
              <w:right w:val="nil"/>
            </w:tcBorders>
          </w:tcPr>
          <w:p w14:paraId="668E0149"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Q24</w:t>
            </w:r>
          </w:p>
        </w:tc>
        <w:tc>
          <w:tcPr>
            <w:tcW w:w="992" w:type="dxa"/>
            <w:tcBorders>
              <w:top w:val="nil"/>
              <w:left w:val="nil"/>
              <w:bottom w:val="nil"/>
              <w:right w:val="nil"/>
            </w:tcBorders>
          </w:tcPr>
          <w:p w14:paraId="70D4409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19BF7A8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61CBC556"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615E5499"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4.20</w:t>
            </w:r>
          </w:p>
        </w:tc>
        <w:tc>
          <w:tcPr>
            <w:tcW w:w="1276" w:type="dxa"/>
            <w:tcBorders>
              <w:top w:val="nil"/>
              <w:left w:val="nil"/>
              <w:bottom w:val="nil"/>
              <w:right w:val="nil"/>
            </w:tcBorders>
          </w:tcPr>
          <w:p w14:paraId="7AE0620C"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0.11</w:t>
            </w:r>
          </w:p>
        </w:tc>
        <w:tc>
          <w:tcPr>
            <w:tcW w:w="1276" w:type="dxa"/>
            <w:tcBorders>
              <w:top w:val="nil"/>
              <w:left w:val="nil"/>
              <w:bottom w:val="nil"/>
              <w:right w:val="nil"/>
            </w:tcBorders>
          </w:tcPr>
          <w:p w14:paraId="0D1E58DA"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1.66</w:t>
            </w:r>
          </w:p>
        </w:tc>
      </w:tr>
      <w:tr w:rsidR="007144CC" w:rsidRPr="00061B56" w14:paraId="68390E44" w14:textId="77777777" w:rsidTr="00AF75C0">
        <w:trPr>
          <w:trHeight w:val="348"/>
        </w:trPr>
        <w:tc>
          <w:tcPr>
            <w:tcW w:w="988" w:type="dxa"/>
            <w:tcBorders>
              <w:top w:val="nil"/>
              <w:left w:val="nil"/>
              <w:bottom w:val="nil"/>
              <w:right w:val="nil"/>
            </w:tcBorders>
          </w:tcPr>
          <w:p w14:paraId="1585B1F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Q25</w:t>
            </w:r>
          </w:p>
        </w:tc>
        <w:tc>
          <w:tcPr>
            <w:tcW w:w="992" w:type="dxa"/>
            <w:tcBorders>
              <w:top w:val="nil"/>
              <w:left w:val="nil"/>
              <w:bottom w:val="nil"/>
              <w:right w:val="nil"/>
            </w:tcBorders>
          </w:tcPr>
          <w:p w14:paraId="4508674E"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6E7005B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5A98D470"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341AB01E"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4.72</w:t>
            </w:r>
          </w:p>
        </w:tc>
        <w:tc>
          <w:tcPr>
            <w:tcW w:w="1276" w:type="dxa"/>
            <w:tcBorders>
              <w:top w:val="nil"/>
              <w:left w:val="nil"/>
              <w:bottom w:val="nil"/>
              <w:right w:val="nil"/>
            </w:tcBorders>
          </w:tcPr>
          <w:p w14:paraId="7EE34A28"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0.10</w:t>
            </w:r>
          </w:p>
        </w:tc>
        <w:tc>
          <w:tcPr>
            <w:tcW w:w="1276" w:type="dxa"/>
            <w:tcBorders>
              <w:top w:val="nil"/>
              <w:left w:val="nil"/>
              <w:bottom w:val="nil"/>
              <w:right w:val="nil"/>
            </w:tcBorders>
          </w:tcPr>
          <w:p w14:paraId="70A0E9DF"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1.53</w:t>
            </w:r>
          </w:p>
        </w:tc>
      </w:tr>
      <w:tr w:rsidR="007144CC" w:rsidRPr="00061B56" w14:paraId="43F45599" w14:textId="77777777" w:rsidTr="00AF75C0">
        <w:trPr>
          <w:trHeight w:val="348"/>
        </w:trPr>
        <w:tc>
          <w:tcPr>
            <w:tcW w:w="988" w:type="dxa"/>
            <w:tcBorders>
              <w:top w:val="nil"/>
              <w:left w:val="nil"/>
              <w:bottom w:val="nil"/>
              <w:right w:val="nil"/>
            </w:tcBorders>
          </w:tcPr>
          <w:p w14:paraId="6FE52316"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Q26</w:t>
            </w:r>
          </w:p>
        </w:tc>
        <w:tc>
          <w:tcPr>
            <w:tcW w:w="992" w:type="dxa"/>
            <w:tcBorders>
              <w:top w:val="nil"/>
              <w:left w:val="nil"/>
              <w:bottom w:val="nil"/>
              <w:right w:val="nil"/>
            </w:tcBorders>
          </w:tcPr>
          <w:p w14:paraId="448001C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7DD0C94A"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4DC71D3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6AB867DF"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4.85</w:t>
            </w:r>
          </w:p>
        </w:tc>
        <w:tc>
          <w:tcPr>
            <w:tcW w:w="1276" w:type="dxa"/>
            <w:tcBorders>
              <w:top w:val="nil"/>
              <w:left w:val="nil"/>
              <w:bottom w:val="nil"/>
              <w:right w:val="nil"/>
            </w:tcBorders>
          </w:tcPr>
          <w:p w14:paraId="3F75CC40"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0.10</w:t>
            </w:r>
          </w:p>
        </w:tc>
        <w:tc>
          <w:tcPr>
            <w:tcW w:w="1276" w:type="dxa"/>
            <w:tcBorders>
              <w:top w:val="nil"/>
              <w:left w:val="nil"/>
              <w:bottom w:val="nil"/>
              <w:right w:val="nil"/>
            </w:tcBorders>
          </w:tcPr>
          <w:p w14:paraId="25297EDB"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1.51</w:t>
            </w:r>
          </w:p>
        </w:tc>
      </w:tr>
      <w:tr w:rsidR="007144CC" w:rsidRPr="00061B56" w14:paraId="68E9F5F2" w14:textId="77777777" w:rsidTr="00AF75C0">
        <w:trPr>
          <w:trHeight w:val="348"/>
        </w:trPr>
        <w:tc>
          <w:tcPr>
            <w:tcW w:w="988" w:type="dxa"/>
            <w:tcBorders>
              <w:top w:val="nil"/>
              <w:left w:val="nil"/>
              <w:bottom w:val="nil"/>
              <w:right w:val="nil"/>
            </w:tcBorders>
          </w:tcPr>
          <w:p w14:paraId="0F84B7B6"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Q27</w:t>
            </w:r>
          </w:p>
        </w:tc>
        <w:tc>
          <w:tcPr>
            <w:tcW w:w="992" w:type="dxa"/>
            <w:tcBorders>
              <w:top w:val="nil"/>
              <w:left w:val="nil"/>
              <w:bottom w:val="nil"/>
              <w:right w:val="nil"/>
            </w:tcBorders>
          </w:tcPr>
          <w:p w14:paraId="71886E8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1A04E75E"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492CCF26"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5713C204"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4.90</w:t>
            </w:r>
          </w:p>
        </w:tc>
        <w:tc>
          <w:tcPr>
            <w:tcW w:w="1276" w:type="dxa"/>
            <w:tcBorders>
              <w:top w:val="nil"/>
              <w:left w:val="nil"/>
              <w:bottom w:val="nil"/>
              <w:right w:val="nil"/>
            </w:tcBorders>
          </w:tcPr>
          <w:p w14:paraId="2C06EBCC"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0.09</w:t>
            </w:r>
          </w:p>
        </w:tc>
        <w:tc>
          <w:tcPr>
            <w:tcW w:w="1276" w:type="dxa"/>
            <w:tcBorders>
              <w:top w:val="nil"/>
              <w:left w:val="nil"/>
              <w:bottom w:val="nil"/>
              <w:right w:val="nil"/>
            </w:tcBorders>
          </w:tcPr>
          <w:p w14:paraId="2090AA8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1.35</w:t>
            </w:r>
          </w:p>
        </w:tc>
      </w:tr>
      <w:tr w:rsidR="007144CC" w:rsidRPr="00061B56" w14:paraId="38A41E62" w14:textId="77777777" w:rsidTr="00AF75C0">
        <w:trPr>
          <w:trHeight w:val="348"/>
        </w:trPr>
        <w:tc>
          <w:tcPr>
            <w:tcW w:w="988" w:type="dxa"/>
            <w:tcBorders>
              <w:top w:val="nil"/>
              <w:left w:val="nil"/>
              <w:bottom w:val="nil"/>
              <w:right w:val="nil"/>
            </w:tcBorders>
          </w:tcPr>
          <w:p w14:paraId="728D3202"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Q28</w:t>
            </w:r>
          </w:p>
        </w:tc>
        <w:tc>
          <w:tcPr>
            <w:tcW w:w="992" w:type="dxa"/>
            <w:tcBorders>
              <w:top w:val="nil"/>
              <w:left w:val="nil"/>
              <w:bottom w:val="nil"/>
              <w:right w:val="nil"/>
            </w:tcBorders>
          </w:tcPr>
          <w:p w14:paraId="2DC4628D"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62057D62"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07A8015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5348B0FC"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5.04</w:t>
            </w:r>
          </w:p>
        </w:tc>
        <w:tc>
          <w:tcPr>
            <w:tcW w:w="1276" w:type="dxa"/>
            <w:tcBorders>
              <w:top w:val="nil"/>
              <w:left w:val="nil"/>
              <w:bottom w:val="nil"/>
              <w:right w:val="nil"/>
            </w:tcBorders>
          </w:tcPr>
          <w:p w14:paraId="26BAA4D7"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0.10</w:t>
            </w:r>
          </w:p>
        </w:tc>
        <w:tc>
          <w:tcPr>
            <w:tcW w:w="1276" w:type="dxa"/>
            <w:tcBorders>
              <w:top w:val="nil"/>
              <w:left w:val="nil"/>
              <w:bottom w:val="nil"/>
              <w:right w:val="nil"/>
            </w:tcBorders>
          </w:tcPr>
          <w:p w14:paraId="61529828"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1.48</w:t>
            </w:r>
          </w:p>
        </w:tc>
      </w:tr>
      <w:tr w:rsidR="007144CC" w:rsidRPr="00061B56" w14:paraId="7F8A7482" w14:textId="77777777" w:rsidTr="00AF75C0">
        <w:trPr>
          <w:trHeight w:val="348"/>
        </w:trPr>
        <w:tc>
          <w:tcPr>
            <w:tcW w:w="988" w:type="dxa"/>
            <w:tcBorders>
              <w:top w:val="nil"/>
              <w:left w:val="nil"/>
              <w:bottom w:val="nil"/>
              <w:right w:val="nil"/>
            </w:tcBorders>
          </w:tcPr>
          <w:p w14:paraId="0B2E6601"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Q29</w:t>
            </w:r>
          </w:p>
        </w:tc>
        <w:tc>
          <w:tcPr>
            <w:tcW w:w="992" w:type="dxa"/>
            <w:tcBorders>
              <w:top w:val="nil"/>
              <w:left w:val="nil"/>
              <w:bottom w:val="nil"/>
              <w:right w:val="nil"/>
            </w:tcBorders>
          </w:tcPr>
          <w:p w14:paraId="0E0BE40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79375B5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5BB93742"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6B89C09B"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5.09</w:t>
            </w:r>
          </w:p>
        </w:tc>
        <w:tc>
          <w:tcPr>
            <w:tcW w:w="1276" w:type="dxa"/>
            <w:tcBorders>
              <w:top w:val="nil"/>
              <w:left w:val="nil"/>
              <w:bottom w:val="nil"/>
              <w:right w:val="nil"/>
            </w:tcBorders>
          </w:tcPr>
          <w:p w14:paraId="1EAEEE26"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0.11</w:t>
            </w:r>
          </w:p>
        </w:tc>
        <w:tc>
          <w:tcPr>
            <w:tcW w:w="1276" w:type="dxa"/>
            <w:tcBorders>
              <w:top w:val="nil"/>
              <w:left w:val="nil"/>
              <w:bottom w:val="nil"/>
              <w:right w:val="nil"/>
            </w:tcBorders>
          </w:tcPr>
          <w:p w14:paraId="37F2FAC0"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1.58</w:t>
            </w:r>
          </w:p>
        </w:tc>
      </w:tr>
      <w:tr w:rsidR="007144CC" w:rsidRPr="00061B56" w14:paraId="3414A191" w14:textId="77777777" w:rsidTr="00AF75C0">
        <w:trPr>
          <w:trHeight w:val="348"/>
        </w:trPr>
        <w:tc>
          <w:tcPr>
            <w:tcW w:w="988" w:type="dxa"/>
            <w:tcBorders>
              <w:top w:val="nil"/>
              <w:left w:val="nil"/>
              <w:bottom w:val="nil"/>
              <w:right w:val="nil"/>
            </w:tcBorders>
          </w:tcPr>
          <w:p w14:paraId="7DA49A7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Q30</w:t>
            </w:r>
          </w:p>
        </w:tc>
        <w:tc>
          <w:tcPr>
            <w:tcW w:w="992" w:type="dxa"/>
            <w:tcBorders>
              <w:top w:val="nil"/>
              <w:left w:val="nil"/>
              <w:bottom w:val="nil"/>
              <w:right w:val="nil"/>
            </w:tcBorders>
          </w:tcPr>
          <w:p w14:paraId="2EC7593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30B78367"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0B38E522"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20BAED3F"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4.85</w:t>
            </w:r>
          </w:p>
        </w:tc>
        <w:tc>
          <w:tcPr>
            <w:tcW w:w="1276" w:type="dxa"/>
            <w:tcBorders>
              <w:top w:val="nil"/>
              <w:left w:val="nil"/>
              <w:bottom w:val="nil"/>
              <w:right w:val="nil"/>
            </w:tcBorders>
          </w:tcPr>
          <w:p w14:paraId="3E2C3D96"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0.11</w:t>
            </w:r>
          </w:p>
        </w:tc>
        <w:tc>
          <w:tcPr>
            <w:tcW w:w="1276" w:type="dxa"/>
            <w:tcBorders>
              <w:top w:val="nil"/>
              <w:left w:val="nil"/>
              <w:bottom w:val="nil"/>
              <w:right w:val="nil"/>
            </w:tcBorders>
          </w:tcPr>
          <w:p w14:paraId="42438A1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1.72</w:t>
            </w:r>
          </w:p>
        </w:tc>
      </w:tr>
      <w:tr w:rsidR="007144CC" w:rsidRPr="00061B56" w14:paraId="3AD9C800" w14:textId="77777777" w:rsidTr="00AF75C0">
        <w:trPr>
          <w:trHeight w:val="348"/>
        </w:trPr>
        <w:tc>
          <w:tcPr>
            <w:tcW w:w="988" w:type="dxa"/>
            <w:tcBorders>
              <w:top w:val="nil"/>
              <w:left w:val="nil"/>
              <w:bottom w:val="nil"/>
              <w:right w:val="nil"/>
            </w:tcBorders>
          </w:tcPr>
          <w:p w14:paraId="16870707"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Q31</w:t>
            </w:r>
          </w:p>
        </w:tc>
        <w:tc>
          <w:tcPr>
            <w:tcW w:w="992" w:type="dxa"/>
            <w:tcBorders>
              <w:top w:val="nil"/>
              <w:left w:val="nil"/>
              <w:bottom w:val="nil"/>
              <w:right w:val="nil"/>
            </w:tcBorders>
          </w:tcPr>
          <w:p w14:paraId="552558B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14C9D8D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1E8FD6C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0F2FEFCF"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4.70</w:t>
            </w:r>
          </w:p>
        </w:tc>
        <w:tc>
          <w:tcPr>
            <w:tcW w:w="1276" w:type="dxa"/>
            <w:tcBorders>
              <w:top w:val="nil"/>
              <w:left w:val="nil"/>
              <w:bottom w:val="nil"/>
              <w:right w:val="nil"/>
            </w:tcBorders>
          </w:tcPr>
          <w:p w14:paraId="3D0F854E"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0.10</w:t>
            </w:r>
          </w:p>
        </w:tc>
        <w:tc>
          <w:tcPr>
            <w:tcW w:w="1276" w:type="dxa"/>
            <w:tcBorders>
              <w:top w:val="nil"/>
              <w:left w:val="nil"/>
              <w:bottom w:val="nil"/>
              <w:right w:val="nil"/>
            </w:tcBorders>
          </w:tcPr>
          <w:p w14:paraId="1779E884"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1.46</w:t>
            </w:r>
          </w:p>
        </w:tc>
      </w:tr>
      <w:tr w:rsidR="007144CC" w:rsidRPr="00061B56" w14:paraId="3F443E46" w14:textId="77777777" w:rsidTr="00AF75C0">
        <w:trPr>
          <w:trHeight w:val="348"/>
        </w:trPr>
        <w:tc>
          <w:tcPr>
            <w:tcW w:w="988" w:type="dxa"/>
            <w:tcBorders>
              <w:top w:val="nil"/>
              <w:left w:val="nil"/>
              <w:bottom w:val="nil"/>
              <w:right w:val="nil"/>
            </w:tcBorders>
          </w:tcPr>
          <w:p w14:paraId="4FDA7CBE"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Q32</w:t>
            </w:r>
          </w:p>
        </w:tc>
        <w:tc>
          <w:tcPr>
            <w:tcW w:w="992" w:type="dxa"/>
            <w:tcBorders>
              <w:top w:val="nil"/>
              <w:left w:val="nil"/>
              <w:bottom w:val="nil"/>
              <w:right w:val="nil"/>
            </w:tcBorders>
          </w:tcPr>
          <w:p w14:paraId="0BF06F9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21F5191F"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52D16F0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479C9B22"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4.77</w:t>
            </w:r>
          </w:p>
        </w:tc>
        <w:tc>
          <w:tcPr>
            <w:tcW w:w="1276" w:type="dxa"/>
            <w:tcBorders>
              <w:top w:val="nil"/>
              <w:left w:val="nil"/>
              <w:bottom w:val="nil"/>
              <w:right w:val="nil"/>
            </w:tcBorders>
          </w:tcPr>
          <w:p w14:paraId="5DF84768"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0.10</w:t>
            </w:r>
          </w:p>
        </w:tc>
        <w:tc>
          <w:tcPr>
            <w:tcW w:w="1276" w:type="dxa"/>
            <w:tcBorders>
              <w:top w:val="nil"/>
              <w:left w:val="nil"/>
              <w:bottom w:val="nil"/>
              <w:right w:val="nil"/>
            </w:tcBorders>
          </w:tcPr>
          <w:p w14:paraId="18D85BBE"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1.49</w:t>
            </w:r>
          </w:p>
        </w:tc>
      </w:tr>
      <w:tr w:rsidR="007144CC" w:rsidRPr="00061B56" w14:paraId="7F1B2642" w14:textId="77777777" w:rsidTr="00AF75C0">
        <w:trPr>
          <w:trHeight w:val="348"/>
        </w:trPr>
        <w:tc>
          <w:tcPr>
            <w:tcW w:w="988" w:type="dxa"/>
            <w:tcBorders>
              <w:top w:val="nil"/>
              <w:left w:val="nil"/>
              <w:bottom w:val="nil"/>
              <w:right w:val="nil"/>
            </w:tcBorders>
          </w:tcPr>
          <w:p w14:paraId="3815CA6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Q33</w:t>
            </w:r>
          </w:p>
        </w:tc>
        <w:tc>
          <w:tcPr>
            <w:tcW w:w="992" w:type="dxa"/>
            <w:tcBorders>
              <w:top w:val="nil"/>
              <w:left w:val="nil"/>
              <w:bottom w:val="nil"/>
              <w:right w:val="nil"/>
            </w:tcBorders>
          </w:tcPr>
          <w:p w14:paraId="37021254"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bottom w:val="nil"/>
              <w:right w:val="nil"/>
            </w:tcBorders>
          </w:tcPr>
          <w:p w14:paraId="6585FC9A"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bottom w:val="nil"/>
              <w:right w:val="nil"/>
            </w:tcBorders>
          </w:tcPr>
          <w:p w14:paraId="603882D9"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bottom w:val="nil"/>
              <w:right w:val="nil"/>
            </w:tcBorders>
          </w:tcPr>
          <w:p w14:paraId="7300B60A"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4.97</w:t>
            </w:r>
          </w:p>
        </w:tc>
        <w:tc>
          <w:tcPr>
            <w:tcW w:w="1276" w:type="dxa"/>
            <w:tcBorders>
              <w:top w:val="nil"/>
              <w:left w:val="nil"/>
              <w:bottom w:val="nil"/>
              <w:right w:val="nil"/>
            </w:tcBorders>
          </w:tcPr>
          <w:p w14:paraId="7D549D75"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0.11</w:t>
            </w:r>
          </w:p>
        </w:tc>
        <w:tc>
          <w:tcPr>
            <w:tcW w:w="1276" w:type="dxa"/>
            <w:tcBorders>
              <w:top w:val="nil"/>
              <w:left w:val="nil"/>
              <w:bottom w:val="nil"/>
              <w:right w:val="nil"/>
            </w:tcBorders>
          </w:tcPr>
          <w:p w14:paraId="32298D36"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1.62</w:t>
            </w:r>
          </w:p>
        </w:tc>
      </w:tr>
      <w:tr w:rsidR="007144CC" w:rsidRPr="00061B56" w14:paraId="59776BA3" w14:textId="77777777" w:rsidTr="00AF75C0">
        <w:trPr>
          <w:trHeight w:val="348"/>
        </w:trPr>
        <w:tc>
          <w:tcPr>
            <w:tcW w:w="988" w:type="dxa"/>
            <w:tcBorders>
              <w:top w:val="nil"/>
              <w:left w:val="nil"/>
              <w:right w:val="nil"/>
            </w:tcBorders>
          </w:tcPr>
          <w:p w14:paraId="4F97A36B"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Q34</w:t>
            </w:r>
          </w:p>
        </w:tc>
        <w:tc>
          <w:tcPr>
            <w:tcW w:w="992" w:type="dxa"/>
            <w:tcBorders>
              <w:top w:val="nil"/>
              <w:left w:val="nil"/>
              <w:right w:val="nil"/>
            </w:tcBorders>
          </w:tcPr>
          <w:p w14:paraId="07651A03"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224</w:t>
            </w:r>
          </w:p>
        </w:tc>
        <w:tc>
          <w:tcPr>
            <w:tcW w:w="1559" w:type="dxa"/>
            <w:tcBorders>
              <w:top w:val="nil"/>
              <w:left w:val="nil"/>
              <w:right w:val="nil"/>
            </w:tcBorders>
          </w:tcPr>
          <w:p w14:paraId="4CA3AC45"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1.00</w:t>
            </w:r>
          </w:p>
        </w:tc>
        <w:tc>
          <w:tcPr>
            <w:tcW w:w="1843" w:type="dxa"/>
            <w:tcBorders>
              <w:top w:val="nil"/>
              <w:left w:val="nil"/>
              <w:right w:val="nil"/>
            </w:tcBorders>
          </w:tcPr>
          <w:p w14:paraId="3E14C256" w14:textId="77777777" w:rsidR="007144CC" w:rsidRPr="00061B56" w:rsidRDefault="007144CC" w:rsidP="00AF75C0">
            <w:pPr>
              <w:jc w:val="center"/>
              <w:rPr>
                <w:rFonts w:ascii="Garamond" w:hAnsi="Garamond"/>
                <w:bCs/>
                <w:sz w:val="20"/>
                <w:szCs w:val="20"/>
              </w:rPr>
            </w:pPr>
            <w:r w:rsidRPr="00061B56">
              <w:rPr>
                <w:rFonts w:ascii="Garamond" w:hAnsi="Garamond"/>
                <w:bCs/>
                <w:sz w:val="20"/>
                <w:szCs w:val="20"/>
              </w:rPr>
              <w:t>7.00</w:t>
            </w:r>
          </w:p>
        </w:tc>
        <w:tc>
          <w:tcPr>
            <w:tcW w:w="1559" w:type="dxa"/>
            <w:tcBorders>
              <w:top w:val="nil"/>
              <w:left w:val="nil"/>
              <w:right w:val="nil"/>
            </w:tcBorders>
          </w:tcPr>
          <w:p w14:paraId="3D702CF7"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4.99</w:t>
            </w:r>
          </w:p>
        </w:tc>
        <w:tc>
          <w:tcPr>
            <w:tcW w:w="1276" w:type="dxa"/>
            <w:tcBorders>
              <w:top w:val="nil"/>
              <w:left w:val="nil"/>
              <w:right w:val="nil"/>
            </w:tcBorders>
          </w:tcPr>
          <w:p w14:paraId="1379E3C3"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0.10</w:t>
            </w:r>
          </w:p>
        </w:tc>
        <w:tc>
          <w:tcPr>
            <w:tcW w:w="1276" w:type="dxa"/>
            <w:tcBorders>
              <w:top w:val="nil"/>
              <w:left w:val="nil"/>
              <w:right w:val="nil"/>
            </w:tcBorders>
          </w:tcPr>
          <w:p w14:paraId="4623761F" w14:textId="77777777" w:rsidR="007144CC" w:rsidRPr="00061B56" w:rsidRDefault="007144CC" w:rsidP="00AF75C0">
            <w:pPr>
              <w:jc w:val="center"/>
              <w:rPr>
                <w:rFonts w:ascii="Garamond" w:hAnsi="Garamond"/>
                <w:bCs/>
                <w:color w:val="FF0000"/>
                <w:sz w:val="20"/>
                <w:szCs w:val="20"/>
              </w:rPr>
            </w:pPr>
            <w:r w:rsidRPr="00061B56">
              <w:rPr>
                <w:rFonts w:ascii="Garamond" w:hAnsi="Garamond"/>
                <w:bCs/>
                <w:sz w:val="20"/>
                <w:szCs w:val="20"/>
              </w:rPr>
              <w:t>1.51</w:t>
            </w:r>
          </w:p>
        </w:tc>
      </w:tr>
    </w:tbl>
    <w:p w14:paraId="55692707" w14:textId="77777777" w:rsidR="007144CC" w:rsidRPr="00061B56" w:rsidRDefault="007144CC" w:rsidP="007144CC">
      <w:pPr>
        <w:jc w:val="both"/>
        <w:rPr>
          <w:rFonts w:ascii="Times New Roman" w:hAnsi="Times New Roman" w:cs="Times New Roman"/>
          <w:bCs/>
          <w:sz w:val="24"/>
          <w:szCs w:val="24"/>
        </w:rPr>
      </w:pPr>
    </w:p>
    <w:p w14:paraId="3E0B1714" w14:textId="77777777" w:rsidR="007144CC" w:rsidRPr="00061B56" w:rsidRDefault="007144CC" w:rsidP="007144CC">
      <w:pPr>
        <w:rPr>
          <w:rFonts w:ascii="Arial" w:hAnsi="Arial" w:cs="Arial"/>
          <w:b/>
          <w:bCs/>
          <w:lang w:val="en"/>
        </w:rPr>
      </w:pPr>
      <w:bookmarkStart w:id="56" w:name="_Hlk141100589"/>
    </w:p>
    <w:p w14:paraId="4A812472" w14:textId="77777777" w:rsidR="007144CC" w:rsidRPr="00061B56" w:rsidRDefault="007144CC" w:rsidP="007144CC">
      <w:pPr>
        <w:rPr>
          <w:rFonts w:ascii="Arial" w:hAnsi="Arial" w:cs="Arial"/>
          <w:b/>
          <w:bCs/>
          <w:lang w:val="en"/>
        </w:rPr>
      </w:pPr>
    </w:p>
    <w:p w14:paraId="575FFC82" w14:textId="77777777" w:rsidR="007144CC" w:rsidRPr="00061B56" w:rsidRDefault="007144CC" w:rsidP="007144CC">
      <w:pPr>
        <w:rPr>
          <w:rFonts w:ascii="Arial" w:hAnsi="Arial" w:cs="Arial"/>
          <w:b/>
          <w:bCs/>
          <w:lang w:val="en"/>
        </w:rPr>
      </w:pPr>
    </w:p>
    <w:p w14:paraId="1866F1ED" w14:textId="77777777" w:rsidR="007144CC" w:rsidRPr="00061B56" w:rsidRDefault="007144CC" w:rsidP="007144CC">
      <w:pPr>
        <w:rPr>
          <w:rFonts w:ascii="Garamond" w:hAnsi="Garamond" w:cs="Arial"/>
          <w:b/>
          <w:bCs/>
          <w:lang w:val="en"/>
        </w:rPr>
      </w:pPr>
      <w:r w:rsidRPr="00061B56">
        <w:rPr>
          <w:rFonts w:ascii="Garamond" w:hAnsi="Garamond" w:cs="Arial"/>
          <w:b/>
          <w:bCs/>
          <w:lang w:val="en"/>
        </w:rPr>
        <w:t>Table 2: Correlations</w:t>
      </w:r>
    </w:p>
    <w:tbl>
      <w:tblPr>
        <w:tblW w:w="7742" w:type="dxa"/>
        <w:tblBorders>
          <w:top w:val="single" w:sz="6" w:space="0" w:color="auto"/>
          <w:left w:val="single" w:sz="6" w:space="0" w:color="auto"/>
          <w:bottom w:val="single" w:sz="6" w:space="0" w:color="auto"/>
          <w:right w:val="single" w:sz="6" w:space="0" w:color="auto"/>
        </w:tblBorders>
        <w:tblCellMar>
          <w:top w:w="15" w:type="dxa"/>
          <w:left w:w="15" w:type="dxa"/>
          <w:bottom w:w="15" w:type="dxa"/>
          <w:right w:w="15" w:type="dxa"/>
        </w:tblCellMar>
        <w:tblLook w:val="04A0" w:firstRow="1" w:lastRow="0" w:firstColumn="1" w:lastColumn="0" w:noHBand="0" w:noVBand="1"/>
      </w:tblPr>
      <w:tblGrid>
        <w:gridCol w:w="2523"/>
        <w:gridCol w:w="1395"/>
        <w:gridCol w:w="1783"/>
        <w:gridCol w:w="2041"/>
      </w:tblGrid>
      <w:tr w:rsidR="007144CC" w:rsidRPr="00061B56" w14:paraId="6E519BB1" w14:textId="77777777" w:rsidTr="00AF75C0">
        <w:trPr>
          <w:trHeight w:val="395"/>
          <w:tblHeader/>
        </w:trPr>
        <w:tc>
          <w:tcPr>
            <w:tcW w:w="0" w:type="auto"/>
            <w:tcBorders>
              <w:top w:val="single" w:sz="6" w:space="0" w:color="auto"/>
              <w:left w:val="single" w:sz="4" w:space="0" w:color="auto"/>
              <w:bottom w:val="single" w:sz="6" w:space="0" w:color="auto"/>
            </w:tcBorders>
            <w:tcMar>
              <w:top w:w="15" w:type="dxa"/>
              <w:left w:w="140" w:type="dxa"/>
              <w:bottom w:w="15" w:type="dxa"/>
              <w:right w:w="140" w:type="dxa"/>
            </w:tcMar>
            <w:vAlign w:val="center"/>
            <w:hideMark/>
          </w:tcPr>
          <w:bookmarkEnd w:id="56"/>
          <w:p w14:paraId="405BDDC0" w14:textId="77777777" w:rsidR="007144CC" w:rsidRPr="00061B56" w:rsidRDefault="007144CC" w:rsidP="00AF75C0">
            <w:pPr>
              <w:spacing w:line="360" w:lineRule="auto"/>
              <w:jc w:val="both"/>
              <w:rPr>
                <w:rFonts w:ascii="Garamond" w:hAnsi="Garamond" w:cs="Arial"/>
                <w:lang w:val="en"/>
              </w:rPr>
            </w:pPr>
            <w:r w:rsidRPr="00061B56">
              <w:rPr>
                <w:rFonts w:ascii="Garamond" w:hAnsi="Garamond" w:cs="Arial"/>
                <w:lang w:val="en"/>
              </w:rPr>
              <w:t>Variable</w:t>
            </w:r>
          </w:p>
        </w:tc>
        <w:tc>
          <w:tcPr>
            <w:tcW w:w="0" w:type="auto"/>
            <w:tcBorders>
              <w:top w:val="single" w:sz="6" w:space="0" w:color="auto"/>
              <w:bottom w:val="single" w:sz="6" w:space="0" w:color="auto"/>
            </w:tcBorders>
            <w:tcMar>
              <w:top w:w="15" w:type="dxa"/>
              <w:left w:w="140" w:type="dxa"/>
              <w:bottom w:w="15" w:type="dxa"/>
              <w:right w:w="140" w:type="dxa"/>
            </w:tcMar>
            <w:vAlign w:val="center"/>
            <w:hideMark/>
          </w:tcPr>
          <w:p w14:paraId="1F56E19F" w14:textId="77777777" w:rsidR="007144CC" w:rsidRPr="00061B56" w:rsidRDefault="007144CC" w:rsidP="00AF75C0">
            <w:pPr>
              <w:spacing w:line="360" w:lineRule="auto"/>
              <w:jc w:val="both"/>
              <w:rPr>
                <w:rFonts w:ascii="Garamond" w:hAnsi="Garamond" w:cs="Arial"/>
              </w:rPr>
            </w:pPr>
          </w:p>
        </w:tc>
        <w:tc>
          <w:tcPr>
            <w:tcW w:w="1783" w:type="dxa"/>
            <w:tcBorders>
              <w:top w:val="single" w:sz="6" w:space="0" w:color="auto"/>
              <w:bottom w:val="single" w:sz="6" w:space="0" w:color="auto"/>
              <w:right w:val="single" w:sz="6" w:space="0" w:color="auto"/>
            </w:tcBorders>
            <w:tcMar>
              <w:top w:w="15" w:type="dxa"/>
              <w:left w:w="140" w:type="dxa"/>
              <w:bottom w:w="15" w:type="dxa"/>
              <w:right w:w="140" w:type="dxa"/>
            </w:tcMar>
            <w:vAlign w:val="center"/>
            <w:hideMark/>
          </w:tcPr>
          <w:p w14:paraId="631A668E" w14:textId="77777777" w:rsidR="007144CC" w:rsidRPr="00061B56" w:rsidRDefault="007144CC" w:rsidP="00AF75C0">
            <w:pPr>
              <w:spacing w:line="360" w:lineRule="auto"/>
              <w:jc w:val="both"/>
              <w:rPr>
                <w:rFonts w:ascii="Garamond" w:hAnsi="Garamond" w:cs="Arial"/>
              </w:rPr>
            </w:pPr>
          </w:p>
        </w:tc>
        <w:tc>
          <w:tcPr>
            <w:tcW w:w="2041" w:type="dxa"/>
            <w:tcBorders>
              <w:top w:val="single" w:sz="6" w:space="0" w:color="auto"/>
              <w:bottom w:val="single" w:sz="6" w:space="0" w:color="auto"/>
              <w:right w:val="single" w:sz="4" w:space="0" w:color="auto"/>
            </w:tcBorders>
            <w:vAlign w:val="center"/>
            <w:hideMark/>
          </w:tcPr>
          <w:p w14:paraId="06DD2E9B" w14:textId="77777777" w:rsidR="007144CC" w:rsidRPr="00061B56" w:rsidRDefault="007144CC" w:rsidP="00AF75C0">
            <w:pPr>
              <w:spacing w:line="360" w:lineRule="auto"/>
              <w:jc w:val="both"/>
              <w:rPr>
                <w:rFonts w:ascii="Garamond" w:hAnsi="Garamond" w:cs="Arial"/>
              </w:rPr>
            </w:pPr>
            <w:r w:rsidRPr="00061B56">
              <w:rPr>
                <w:rFonts w:ascii="Garamond" w:hAnsi="Garamond" w:cs="Arial"/>
              </w:rPr>
              <w:t>Estimate</w:t>
            </w:r>
          </w:p>
        </w:tc>
      </w:tr>
      <w:tr w:rsidR="007144CC" w:rsidRPr="00061B56" w14:paraId="4A4A9899" w14:textId="77777777" w:rsidTr="00AF75C0">
        <w:trPr>
          <w:trHeight w:val="406"/>
        </w:trPr>
        <w:tc>
          <w:tcPr>
            <w:tcW w:w="0" w:type="auto"/>
            <w:tcMar>
              <w:top w:w="15" w:type="dxa"/>
              <w:left w:w="57" w:type="dxa"/>
              <w:bottom w:w="15" w:type="dxa"/>
              <w:right w:w="57" w:type="dxa"/>
            </w:tcMar>
            <w:vAlign w:val="center"/>
            <w:hideMark/>
          </w:tcPr>
          <w:p w14:paraId="4BCEB5A8" w14:textId="77777777" w:rsidR="007144CC" w:rsidRPr="00061B56" w:rsidRDefault="007144CC" w:rsidP="00AF75C0">
            <w:pPr>
              <w:spacing w:line="360" w:lineRule="auto"/>
              <w:jc w:val="both"/>
              <w:rPr>
                <w:rFonts w:ascii="Garamond" w:hAnsi="Garamond" w:cs="Arial"/>
              </w:rPr>
            </w:pPr>
            <w:r w:rsidRPr="00061B56">
              <w:rPr>
                <w:rFonts w:ascii="Garamond" w:hAnsi="Garamond" w:cs="Arial"/>
              </w:rPr>
              <w:t>CER</w:t>
            </w:r>
          </w:p>
        </w:tc>
        <w:tc>
          <w:tcPr>
            <w:tcW w:w="0" w:type="auto"/>
            <w:noWrap/>
            <w:tcMar>
              <w:top w:w="15" w:type="dxa"/>
              <w:left w:w="57" w:type="dxa"/>
              <w:bottom w:w="15" w:type="dxa"/>
              <w:right w:w="57" w:type="dxa"/>
            </w:tcMar>
            <w:vAlign w:val="center"/>
            <w:hideMark/>
          </w:tcPr>
          <w:p w14:paraId="541BDEA6"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4C39605E" w14:textId="77777777" w:rsidR="007144CC" w:rsidRPr="00061B56" w:rsidRDefault="007144CC" w:rsidP="00AF75C0">
            <w:pPr>
              <w:spacing w:line="360" w:lineRule="auto"/>
              <w:jc w:val="both"/>
              <w:rPr>
                <w:rFonts w:ascii="Garamond" w:hAnsi="Garamond" w:cs="Arial"/>
              </w:rPr>
            </w:pPr>
            <w:r w:rsidRPr="00061B56">
              <w:rPr>
                <w:rFonts w:ascii="Garamond" w:hAnsi="Garamond" w:cs="Arial"/>
              </w:rPr>
              <w:t>EEEO</w:t>
            </w:r>
          </w:p>
        </w:tc>
        <w:tc>
          <w:tcPr>
            <w:tcW w:w="2041" w:type="dxa"/>
            <w:tcMar>
              <w:top w:w="15" w:type="dxa"/>
              <w:left w:w="140" w:type="dxa"/>
              <w:bottom w:w="15" w:type="dxa"/>
              <w:right w:w="140" w:type="dxa"/>
            </w:tcMar>
            <w:vAlign w:val="center"/>
            <w:hideMark/>
          </w:tcPr>
          <w:p w14:paraId="5032DCB9"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0.85</w:t>
            </w:r>
          </w:p>
        </w:tc>
      </w:tr>
      <w:tr w:rsidR="007144CC" w:rsidRPr="00061B56" w14:paraId="2FFF8236" w14:textId="77777777" w:rsidTr="00AF75C0">
        <w:trPr>
          <w:trHeight w:val="406"/>
        </w:trPr>
        <w:tc>
          <w:tcPr>
            <w:tcW w:w="0" w:type="auto"/>
            <w:tcMar>
              <w:top w:w="15" w:type="dxa"/>
              <w:left w:w="57" w:type="dxa"/>
              <w:bottom w:w="15" w:type="dxa"/>
              <w:right w:w="57" w:type="dxa"/>
            </w:tcMar>
            <w:vAlign w:val="center"/>
            <w:hideMark/>
          </w:tcPr>
          <w:p w14:paraId="2ACCF4EF" w14:textId="77777777" w:rsidR="007144CC" w:rsidRPr="00061B56" w:rsidRDefault="007144CC" w:rsidP="00AF75C0">
            <w:pPr>
              <w:spacing w:line="360" w:lineRule="auto"/>
              <w:jc w:val="both"/>
              <w:rPr>
                <w:rFonts w:ascii="Garamond" w:hAnsi="Garamond" w:cs="Arial"/>
              </w:rPr>
            </w:pPr>
            <w:r w:rsidRPr="00061B56">
              <w:rPr>
                <w:rFonts w:ascii="Garamond" w:hAnsi="Garamond" w:cs="Arial"/>
              </w:rPr>
              <w:t>EEEO</w:t>
            </w:r>
          </w:p>
        </w:tc>
        <w:tc>
          <w:tcPr>
            <w:tcW w:w="0" w:type="auto"/>
            <w:noWrap/>
            <w:tcMar>
              <w:top w:w="15" w:type="dxa"/>
              <w:left w:w="57" w:type="dxa"/>
              <w:bottom w:w="15" w:type="dxa"/>
              <w:right w:w="57" w:type="dxa"/>
            </w:tcMar>
            <w:vAlign w:val="center"/>
            <w:hideMark/>
          </w:tcPr>
          <w:p w14:paraId="13DD3604"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286DEBFB" w14:textId="77777777" w:rsidR="007144CC" w:rsidRPr="00061B56" w:rsidRDefault="007144CC" w:rsidP="00AF75C0">
            <w:pPr>
              <w:spacing w:line="360" w:lineRule="auto"/>
              <w:jc w:val="both"/>
              <w:rPr>
                <w:rFonts w:ascii="Garamond" w:hAnsi="Garamond" w:cs="Arial"/>
              </w:rPr>
            </w:pPr>
            <w:r w:rsidRPr="00061B56">
              <w:rPr>
                <w:rFonts w:ascii="Garamond" w:hAnsi="Garamond" w:cs="Arial"/>
              </w:rPr>
              <w:t>IB</w:t>
            </w:r>
          </w:p>
        </w:tc>
        <w:tc>
          <w:tcPr>
            <w:tcW w:w="2041" w:type="dxa"/>
            <w:tcMar>
              <w:top w:w="15" w:type="dxa"/>
              <w:left w:w="140" w:type="dxa"/>
              <w:bottom w:w="15" w:type="dxa"/>
              <w:right w:w="140" w:type="dxa"/>
            </w:tcMar>
            <w:vAlign w:val="center"/>
            <w:hideMark/>
          </w:tcPr>
          <w:p w14:paraId="1C02BC53"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0.74</w:t>
            </w:r>
          </w:p>
        </w:tc>
      </w:tr>
      <w:tr w:rsidR="007144CC" w:rsidRPr="00061B56" w14:paraId="3495C3BF" w14:textId="77777777" w:rsidTr="00AF75C0">
        <w:trPr>
          <w:trHeight w:val="406"/>
        </w:trPr>
        <w:tc>
          <w:tcPr>
            <w:tcW w:w="0" w:type="auto"/>
            <w:tcMar>
              <w:top w:w="15" w:type="dxa"/>
              <w:left w:w="57" w:type="dxa"/>
              <w:bottom w:w="15" w:type="dxa"/>
              <w:right w:w="57" w:type="dxa"/>
            </w:tcMar>
            <w:vAlign w:val="center"/>
            <w:hideMark/>
          </w:tcPr>
          <w:p w14:paraId="78332516" w14:textId="77777777" w:rsidR="007144CC" w:rsidRPr="00061B56" w:rsidRDefault="007144CC" w:rsidP="00AF75C0">
            <w:pPr>
              <w:spacing w:line="360" w:lineRule="auto"/>
              <w:jc w:val="both"/>
              <w:rPr>
                <w:rFonts w:ascii="Garamond" w:hAnsi="Garamond" w:cs="Arial"/>
              </w:rPr>
            </w:pPr>
            <w:r w:rsidRPr="00061B56">
              <w:rPr>
                <w:rFonts w:ascii="Garamond" w:hAnsi="Garamond" w:cs="Arial"/>
              </w:rPr>
              <w:t>EEEO</w:t>
            </w:r>
          </w:p>
        </w:tc>
        <w:tc>
          <w:tcPr>
            <w:tcW w:w="0" w:type="auto"/>
            <w:noWrap/>
            <w:tcMar>
              <w:top w:w="15" w:type="dxa"/>
              <w:left w:w="57" w:type="dxa"/>
              <w:bottom w:w="15" w:type="dxa"/>
              <w:right w:w="57" w:type="dxa"/>
            </w:tcMar>
            <w:vAlign w:val="center"/>
            <w:hideMark/>
          </w:tcPr>
          <w:p w14:paraId="5D22A42B"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1500E41C"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GI</w:t>
            </w:r>
          </w:p>
        </w:tc>
        <w:tc>
          <w:tcPr>
            <w:tcW w:w="2041" w:type="dxa"/>
            <w:tcMar>
              <w:top w:w="15" w:type="dxa"/>
              <w:left w:w="140" w:type="dxa"/>
              <w:bottom w:w="15" w:type="dxa"/>
              <w:right w:w="140" w:type="dxa"/>
            </w:tcMar>
            <w:vAlign w:val="center"/>
            <w:hideMark/>
          </w:tcPr>
          <w:p w14:paraId="5E3BBB85"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0.85</w:t>
            </w:r>
          </w:p>
        </w:tc>
      </w:tr>
      <w:tr w:rsidR="007144CC" w:rsidRPr="00061B56" w14:paraId="150D1715" w14:textId="77777777" w:rsidTr="00AF75C0">
        <w:trPr>
          <w:trHeight w:val="406"/>
        </w:trPr>
        <w:tc>
          <w:tcPr>
            <w:tcW w:w="0" w:type="auto"/>
            <w:tcMar>
              <w:top w:w="15" w:type="dxa"/>
              <w:left w:w="57" w:type="dxa"/>
              <w:bottom w:w="15" w:type="dxa"/>
              <w:right w:w="57" w:type="dxa"/>
            </w:tcMar>
            <w:vAlign w:val="center"/>
            <w:hideMark/>
          </w:tcPr>
          <w:p w14:paraId="70833579" w14:textId="77777777" w:rsidR="007144CC" w:rsidRPr="00061B56" w:rsidRDefault="007144CC" w:rsidP="00AF75C0">
            <w:pPr>
              <w:spacing w:line="360" w:lineRule="auto"/>
              <w:jc w:val="both"/>
              <w:rPr>
                <w:rFonts w:ascii="Garamond" w:hAnsi="Garamond" w:cs="Arial"/>
              </w:rPr>
            </w:pPr>
            <w:r w:rsidRPr="00061B56">
              <w:rPr>
                <w:rFonts w:ascii="Garamond" w:hAnsi="Garamond" w:cs="Arial"/>
              </w:rPr>
              <w:t>EEEO</w:t>
            </w:r>
          </w:p>
        </w:tc>
        <w:tc>
          <w:tcPr>
            <w:tcW w:w="0" w:type="auto"/>
            <w:noWrap/>
            <w:tcMar>
              <w:top w:w="15" w:type="dxa"/>
              <w:left w:w="57" w:type="dxa"/>
              <w:bottom w:w="15" w:type="dxa"/>
              <w:right w:w="57" w:type="dxa"/>
            </w:tcMar>
            <w:vAlign w:val="center"/>
            <w:hideMark/>
          </w:tcPr>
          <w:p w14:paraId="74A760E9"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543DB185"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GN</w:t>
            </w:r>
          </w:p>
        </w:tc>
        <w:tc>
          <w:tcPr>
            <w:tcW w:w="2041" w:type="dxa"/>
            <w:tcMar>
              <w:top w:w="15" w:type="dxa"/>
              <w:left w:w="140" w:type="dxa"/>
              <w:bottom w:w="15" w:type="dxa"/>
              <w:right w:w="140" w:type="dxa"/>
            </w:tcMar>
            <w:vAlign w:val="center"/>
            <w:hideMark/>
          </w:tcPr>
          <w:p w14:paraId="5DD0244A"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0.87</w:t>
            </w:r>
          </w:p>
        </w:tc>
      </w:tr>
      <w:tr w:rsidR="007144CC" w:rsidRPr="00061B56" w14:paraId="627D385A" w14:textId="77777777" w:rsidTr="00AF75C0">
        <w:trPr>
          <w:trHeight w:val="406"/>
        </w:trPr>
        <w:tc>
          <w:tcPr>
            <w:tcW w:w="0" w:type="auto"/>
            <w:tcMar>
              <w:top w:w="15" w:type="dxa"/>
              <w:left w:w="57" w:type="dxa"/>
              <w:bottom w:w="15" w:type="dxa"/>
              <w:right w:w="57" w:type="dxa"/>
            </w:tcMar>
            <w:vAlign w:val="center"/>
            <w:hideMark/>
          </w:tcPr>
          <w:p w14:paraId="323B3F32" w14:textId="77777777" w:rsidR="007144CC" w:rsidRPr="00061B56" w:rsidRDefault="007144CC" w:rsidP="00AF75C0">
            <w:pPr>
              <w:spacing w:line="360" w:lineRule="auto"/>
              <w:jc w:val="both"/>
              <w:rPr>
                <w:rFonts w:ascii="Garamond" w:hAnsi="Garamond" w:cs="Arial"/>
              </w:rPr>
            </w:pPr>
            <w:r w:rsidRPr="00061B56">
              <w:rPr>
                <w:rFonts w:ascii="Garamond" w:hAnsi="Garamond" w:cs="Arial"/>
              </w:rPr>
              <w:t>EEEO</w:t>
            </w:r>
          </w:p>
        </w:tc>
        <w:tc>
          <w:tcPr>
            <w:tcW w:w="0" w:type="auto"/>
            <w:noWrap/>
            <w:tcMar>
              <w:top w:w="15" w:type="dxa"/>
              <w:left w:w="57" w:type="dxa"/>
              <w:bottom w:w="15" w:type="dxa"/>
              <w:right w:w="57" w:type="dxa"/>
            </w:tcMar>
            <w:vAlign w:val="center"/>
            <w:hideMark/>
          </w:tcPr>
          <w:p w14:paraId="25F42E58"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23A29CE5"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GP</w:t>
            </w:r>
          </w:p>
        </w:tc>
        <w:tc>
          <w:tcPr>
            <w:tcW w:w="2041" w:type="dxa"/>
            <w:tcMar>
              <w:top w:w="15" w:type="dxa"/>
              <w:left w:w="140" w:type="dxa"/>
              <w:bottom w:w="15" w:type="dxa"/>
              <w:right w:w="140" w:type="dxa"/>
            </w:tcMar>
            <w:vAlign w:val="center"/>
            <w:hideMark/>
          </w:tcPr>
          <w:p w14:paraId="3069B623"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0.91</w:t>
            </w:r>
          </w:p>
        </w:tc>
      </w:tr>
      <w:tr w:rsidR="007144CC" w:rsidRPr="00061B56" w14:paraId="59BB4DFB" w14:textId="77777777" w:rsidTr="00AF75C0">
        <w:trPr>
          <w:trHeight w:val="406"/>
        </w:trPr>
        <w:tc>
          <w:tcPr>
            <w:tcW w:w="0" w:type="auto"/>
            <w:tcMar>
              <w:top w:w="15" w:type="dxa"/>
              <w:left w:w="57" w:type="dxa"/>
              <w:bottom w:w="15" w:type="dxa"/>
              <w:right w:w="57" w:type="dxa"/>
            </w:tcMar>
            <w:vAlign w:val="center"/>
            <w:hideMark/>
          </w:tcPr>
          <w:p w14:paraId="78E7B427"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GP</w:t>
            </w:r>
          </w:p>
        </w:tc>
        <w:tc>
          <w:tcPr>
            <w:tcW w:w="0" w:type="auto"/>
            <w:noWrap/>
            <w:tcMar>
              <w:top w:w="15" w:type="dxa"/>
              <w:left w:w="57" w:type="dxa"/>
              <w:bottom w:w="15" w:type="dxa"/>
              <w:right w:w="57" w:type="dxa"/>
            </w:tcMar>
            <w:vAlign w:val="center"/>
            <w:hideMark/>
          </w:tcPr>
          <w:p w14:paraId="6BF725BD"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036FC152"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GN</w:t>
            </w:r>
          </w:p>
        </w:tc>
        <w:tc>
          <w:tcPr>
            <w:tcW w:w="2041" w:type="dxa"/>
            <w:tcMar>
              <w:top w:w="15" w:type="dxa"/>
              <w:left w:w="140" w:type="dxa"/>
              <w:bottom w:w="15" w:type="dxa"/>
              <w:right w:w="140" w:type="dxa"/>
            </w:tcMar>
            <w:vAlign w:val="center"/>
            <w:hideMark/>
          </w:tcPr>
          <w:p w14:paraId="71580B6D"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0.91</w:t>
            </w:r>
          </w:p>
        </w:tc>
      </w:tr>
      <w:tr w:rsidR="007144CC" w:rsidRPr="00061B56" w14:paraId="797EB299" w14:textId="77777777" w:rsidTr="00AF75C0">
        <w:trPr>
          <w:trHeight w:val="406"/>
        </w:trPr>
        <w:tc>
          <w:tcPr>
            <w:tcW w:w="0" w:type="auto"/>
            <w:tcMar>
              <w:top w:w="15" w:type="dxa"/>
              <w:left w:w="57" w:type="dxa"/>
              <w:bottom w:w="15" w:type="dxa"/>
              <w:right w:w="57" w:type="dxa"/>
            </w:tcMar>
            <w:vAlign w:val="center"/>
            <w:hideMark/>
          </w:tcPr>
          <w:p w14:paraId="01AB79EB"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GP</w:t>
            </w:r>
          </w:p>
        </w:tc>
        <w:tc>
          <w:tcPr>
            <w:tcW w:w="0" w:type="auto"/>
            <w:noWrap/>
            <w:tcMar>
              <w:top w:w="15" w:type="dxa"/>
              <w:left w:w="57" w:type="dxa"/>
              <w:bottom w:w="15" w:type="dxa"/>
              <w:right w:w="57" w:type="dxa"/>
            </w:tcMar>
            <w:vAlign w:val="center"/>
            <w:hideMark/>
          </w:tcPr>
          <w:p w14:paraId="2A70D6C8"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45EC8928"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GI</w:t>
            </w:r>
          </w:p>
        </w:tc>
        <w:tc>
          <w:tcPr>
            <w:tcW w:w="2041" w:type="dxa"/>
            <w:tcMar>
              <w:top w:w="15" w:type="dxa"/>
              <w:left w:w="140" w:type="dxa"/>
              <w:bottom w:w="15" w:type="dxa"/>
              <w:right w:w="140" w:type="dxa"/>
            </w:tcMar>
            <w:vAlign w:val="center"/>
            <w:hideMark/>
          </w:tcPr>
          <w:p w14:paraId="1E568D7D"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0.85</w:t>
            </w:r>
          </w:p>
        </w:tc>
      </w:tr>
      <w:tr w:rsidR="007144CC" w:rsidRPr="00061B56" w14:paraId="0E9DC5FC" w14:textId="77777777" w:rsidTr="00AF75C0">
        <w:trPr>
          <w:trHeight w:val="406"/>
        </w:trPr>
        <w:tc>
          <w:tcPr>
            <w:tcW w:w="0" w:type="auto"/>
            <w:tcMar>
              <w:top w:w="15" w:type="dxa"/>
              <w:left w:w="57" w:type="dxa"/>
              <w:bottom w:w="15" w:type="dxa"/>
              <w:right w:w="57" w:type="dxa"/>
            </w:tcMar>
            <w:vAlign w:val="center"/>
            <w:hideMark/>
          </w:tcPr>
          <w:p w14:paraId="0C968EA6"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GP</w:t>
            </w:r>
          </w:p>
        </w:tc>
        <w:tc>
          <w:tcPr>
            <w:tcW w:w="0" w:type="auto"/>
            <w:noWrap/>
            <w:tcMar>
              <w:top w:w="15" w:type="dxa"/>
              <w:left w:w="57" w:type="dxa"/>
              <w:bottom w:w="15" w:type="dxa"/>
              <w:right w:w="57" w:type="dxa"/>
            </w:tcMar>
            <w:vAlign w:val="center"/>
            <w:hideMark/>
          </w:tcPr>
          <w:p w14:paraId="06EB1B8C"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048C87E7" w14:textId="77777777" w:rsidR="007144CC" w:rsidRPr="00061B56" w:rsidRDefault="007144CC" w:rsidP="00AF75C0">
            <w:pPr>
              <w:spacing w:line="360" w:lineRule="auto"/>
              <w:jc w:val="both"/>
              <w:rPr>
                <w:rFonts w:ascii="Garamond" w:hAnsi="Garamond" w:cs="Arial"/>
              </w:rPr>
            </w:pPr>
            <w:r w:rsidRPr="00061B56">
              <w:rPr>
                <w:rFonts w:ascii="Garamond" w:hAnsi="Garamond" w:cs="Arial"/>
              </w:rPr>
              <w:t>IB</w:t>
            </w:r>
          </w:p>
        </w:tc>
        <w:tc>
          <w:tcPr>
            <w:tcW w:w="2041" w:type="dxa"/>
            <w:tcMar>
              <w:top w:w="15" w:type="dxa"/>
              <w:left w:w="140" w:type="dxa"/>
              <w:bottom w:w="15" w:type="dxa"/>
              <w:right w:w="140" w:type="dxa"/>
            </w:tcMar>
            <w:vAlign w:val="center"/>
            <w:hideMark/>
          </w:tcPr>
          <w:p w14:paraId="1E466BAE"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0.66</w:t>
            </w:r>
          </w:p>
        </w:tc>
      </w:tr>
      <w:tr w:rsidR="007144CC" w:rsidRPr="00061B56" w14:paraId="5CC63D9E" w14:textId="77777777" w:rsidTr="00AF75C0">
        <w:trPr>
          <w:trHeight w:val="406"/>
        </w:trPr>
        <w:tc>
          <w:tcPr>
            <w:tcW w:w="0" w:type="auto"/>
            <w:tcMar>
              <w:top w:w="15" w:type="dxa"/>
              <w:left w:w="57" w:type="dxa"/>
              <w:bottom w:w="15" w:type="dxa"/>
              <w:right w:w="57" w:type="dxa"/>
            </w:tcMar>
            <w:vAlign w:val="center"/>
            <w:hideMark/>
          </w:tcPr>
          <w:p w14:paraId="55C10ADE" w14:textId="77777777" w:rsidR="007144CC" w:rsidRPr="00061B56" w:rsidRDefault="007144CC" w:rsidP="00AF75C0">
            <w:pPr>
              <w:spacing w:line="360" w:lineRule="auto"/>
              <w:jc w:val="both"/>
              <w:rPr>
                <w:rFonts w:ascii="Garamond" w:hAnsi="Garamond" w:cs="Arial"/>
              </w:rPr>
            </w:pPr>
            <w:r w:rsidRPr="00061B56">
              <w:rPr>
                <w:rFonts w:ascii="Garamond" w:hAnsi="Garamond" w:cs="Arial"/>
              </w:rPr>
              <w:t>CER</w:t>
            </w:r>
          </w:p>
        </w:tc>
        <w:tc>
          <w:tcPr>
            <w:tcW w:w="0" w:type="auto"/>
            <w:noWrap/>
            <w:tcMar>
              <w:top w:w="15" w:type="dxa"/>
              <w:left w:w="57" w:type="dxa"/>
              <w:bottom w:w="15" w:type="dxa"/>
              <w:right w:w="57" w:type="dxa"/>
            </w:tcMar>
            <w:vAlign w:val="center"/>
            <w:hideMark/>
          </w:tcPr>
          <w:p w14:paraId="69CADAEF"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263DFF6F"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GP</w:t>
            </w:r>
          </w:p>
        </w:tc>
        <w:tc>
          <w:tcPr>
            <w:tcW w:w="2041" w:type="dxa"/>
            <w:tcMar>
              <w:top w:w="15" w:type="dxa"/>
              <w:left w:w="140" w:type="dxa"/>
              <w:bottom w:w="15" w:type="dxa"/>
              <w:right w:w="140" w:type="dxa"/>
            </w:tcMar>
            <w:vAlign w:val="center"/>
            <w:hideMark/>
          </w:tcPr>
          <w:p w14:paraId="337CFB6C"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0.85</w:t>
            </w:r>
          </w:p>
        </w:tc>
      </w:tr>
      <w:tr w:rsidR="007144CC" w:rsidRPr="00061B56" w14:paraId="2F8529AC" w14:textId="77777777" w:rsidTr="00AF75C0">
        <w:trPr>
          <w:trHeight w:val="406"/>
        </w:trPr>
        <w:tc>
          <w:tcPr>
            <w:tcW w:w="0" w:type="auto"/>
            <w:tcMar>
              <w:top w:w="15" w:type="dxa"/>
              <w:left w:w="57" w:type="dxa"/>
              <w:bottom w:w="15" w:type="dxa"/>
              <w:right w:w="57" w:type="dxa"/>
            </w:tcMar>
            <w:vAlign w:val="center"/>
            <w:hideMark/>
          </w:tcPr>
          <w:p w14:paraId="3C36B901"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GN</w:t>
            </w:r>
          </w:p>
        </w:tc>
        <w:tc>
          <w:tcPr>
            <w:tcW w:w="0" w:type="auto"/>
            <w:noWrap/>
            <w:tcMar>
              <w:top w:w="15" w:type="dxa"/>
              <w:left w:w="57" w:type="dxa"/>
              <w:bottom w:w="15" w:type="dxa"/>
              <w:right w:w="57" w:type="dxa"/>
            </w:tcMar>
            <w:vAlign w:val="center"/>
            <w:hideMark/>
          </w:tcPr>
          <w:p w14:paraId="1A6436B4"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11935AFB"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GI</w:t>
            </w:r>
          </w:p>
        </w:tc>
        <w:tc>
          <w:tcPr>
            <w:tcW w:w="2041" w:type="dxa"/>
            <w:tcMar>
              <w:top w:w="15" w:type="dxa"/>
              <w:left w:w="140" w:type="dxa"/>
              <w:bottom w:w="15" w:type="dxa"/>
              <w:right w:w="140" w:type="dxa"/>
            </w:tcMar>
            <w:vAlign w:val="center"/>
            <w:hideMark/>
          </w:tcPr>
          <w:p w14:paraId="5D15FC84"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0.96</w:t>
            </w:r>
          </w:p>
        </w:tc>
      </w:tr>
      <w:tr w:rsidR="007144CC" w:rsidRPr="00061B56" w14:paraId="464A0E15" w14:textId="77777777" w:rsidTr="00AF75C0">
        <w:trPr>
          <w:trHeight w:val="406"/>
        </w:trPr>
        <w:tc>
          <w:tcPr>
            <w:tcW w:w="0" w:type="auto"/>
            <w:tcMar>
              <w:top w:w="15" w:type="dxa"/>
              <w:left w:w="57" w:type="dxa"/>
              <w:bottom w:w="15" w:type="dxa"/>
              <w:right w:w="57" w:type="dxa"/>
            </w:tcMar>
            <w:vAlign w:val="center"/>
            <w:hideMark/>
          </w:tcPr>
          <w:p w14:paraId="229C7D88"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GI</w:t>
            </w:r>
          </w:p>
        </w:tc>
        <w:tc>
          <w:tcPr>
            <w:tcW w:w="0" w:type="auto"/>
            <w:noWrap/>
            <w:tcMar>
              <w:top w:w="15" w:type="dxa"/>
              <w:left w:w="57" w:type="dxa"/>
              <w:bottom w:w="15" w:type="dxa"/>
              <w:right w:w="57" w:type="dxa"/>
            </w:tcMar>
            <w:vAlign w:val="center"/>
            <w:hideMark/>
          </w:tcPr>
          <w:p w14:paraId="6888A046"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5C797D69" w14:textId="77777777" w:rsidR="007144CC" w:rsidRPr="00061B56" w:rsidRDefault="007144CC" w:rsidP="00AF75C0">
            <w:pPr>
              <w:spacing w:line="360" w:lineRule="auto"/>
              <w:jc w:val="both"/>
              <w:rPr>
                <w:rFonts w:ascii="Garamond" w:hAnsi="Garamond" w:cs="Arial"/>
              </w:rPr>
            </w:pPr>
            <w:r w:rsidRPr="00061B56">
              <w:rPr>
                <w:rFonts w:ascii="Garamond" w:hAnsi="Garamond" w:cs="Arial"/>
              </w:rPr>
              <w:t>IB</w:t>
            </w:r>
          </w:p>
        </w:tc>
        <w:tc>
          <w:tcPr>
            <w:tcW w:w="2041" w:type="dxa"/>
            <w:tcMar>
              <w:top w:w="15" w:type="dxa"/>
              <w:left w:w="140" w:type="dxa"/>
              <w:bottom w:w="15" w:type="dxa"/>
              <w:right w:w="140" w:type="dxa"/>
            </w:tcMar>
            <w:vAlign w:val="center"/>
            <w:hideMark/>
          </w:tcPr>
          <w:p w14:paraId="3BCD1922"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0.63</w:t>
            </w:r>
          </w:p>
        </w:tc>
      </w:tr>
      <w:tr w:rsidR="007144CC" w:rsidRPr="00061B56" w14:paraId="263AA4D6" w14:textId="77777777" w:rsidTr="00AF75C0">
        <w:trPr>
          <w:trHeight w:val="406"/>
        </w:trPr>
        <w:tc>
          <w:tcPr>
            <w:tcW w:w="0" w:type="auto"/>
            <w:tcMar>
              <w:top w:w="15" w:type="dxa"/>
              <w:left w:w="57" w:type="dxa"/>
              <w:bottom w:w="15" w:type="dxa"/>
              <w:right w:w="57" w:type="dxa"/>
            </w:tcMar>
            <w:vAlign w:val="center"/>
            <w:hideMark/>
          </w:tcPr>
          <w:p w14:paraId="220B2894" w14:textId="77777777" w:rsidR="007144CC" w:rsidRPr="00061B56" w:rsidRDefault="007144CC" w:rsidP="00AF75C0">
            <w:pPr>
              <w:spacing w:line="360" w:lineRule="auto"/>
              <w:jc w:val="both"/>
              <w:rPr>
                <w:rFonts w:ascii="Garamond" w:hAnsi="Garamond" w:cs="Arial"/>
              </w:rPr>
            </w:pPr>
            <w:r w:rsidRPr="00061B56">
              <w:rPr>
                <w:rFonts w:ascii="Garamond" w:hAnsi="Garamond" w:cs="Arial"/>
              </w:rPr>
              <w:t>CER</w:t>
            </w:r>
          </w:p>
        </w:tc>
        <w:tc>
          <w:tcPr>
            <w:tcW w:w="0" w:type="auto"/>
            <w:noWrap/>
            <w:tcMar>
              <w:top w:w="15" w:type="dxa"/>
              <w:left w:w="57" w:type="dxa"/>
              <w:bottom w:w="15" w:type="dxa"/>
              <w:right w:w="57" w:type="dxa"/>
            </w:tcMar>
            <w:vAlign w:val="center"/>
            <w:hideMark/>
          </w:tcPr>
          <w:p w14:paraId="21206D4A"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740D7A35" w14:textId="77777777" w:rsidR="007144CC" w:rsidRPr="00061B56" w:rsidRDefault="007144CC" w:rsidP="00AF75C0">
            <w:pPr>
              <w:spacing w:line="360" w:lineRule="auto"/>
              <w:jc w:val="both"/>
              <w:rPr>
                <w:rFonts w:ascii="Garamond" w:hAnsi="Garamond" w:cs="Arial"/>
              </w:rPr>
            </w:pPr>
            <w:r w:rsidRPr="00061B56">
              <w:rPr>
                <w:rFonts w:ascii="Garamond" w:hAnsi="Garamond" w:cs="Arial"/>
              </w:rPr>
              <w:t>IB</w:t>
            </w:r>
          </w:p>
        </w:tc>
        <w:tc>
          <w:tcPr>
            <w:tcW w:w="2041" w:type="dxa"/>
            <w:tcMar>
              <w:top w:w="15" w:type="dxa"/>
              <w:left w:w="140" w:type="dxa"/>
              <w:bottom w:w="15" w:type="dxa"/>
              <w:right w:w="140" w:type="dxa"/>
            </w:tcMar>
            <w:vAlign w:val="center"/>
            <w:hideMark/>
          </w:tcPr>
          <w:p w14:paraId="44164AA6"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0.80</w:t>
            </w:r>
          </w:p>
        </w:tc>
      </w:tr>
      <w:tr w:rsidR="007144CC" w:rsidRPr="00061B56" w14:paraId="20C60068" w14:textId="77777777" w:rsidTr="00AF75C0">
        <w:trPr>
          <w:trHeight w:val="406"/>
        </w:trPr>
        <w:tc>
          <w:tcPr>
            <w:tcW w:w="0" w:type="auto"/>
            <w:tcMar>
              <w:top w:w="15" w:type="dxa"/>
              <w:left w:w="57" w:type="dxa"/>
              <w:bottom w:w="15" w:type="dxa"/>
              <w:right w:w="57" w:type="dxa"/>
            </w:tcMar>
            <w:vAlign w:val="center"/>
            <w:hideMark/>
          </w:tcPr>
          <w:p w14:paraId="32D27A1D" w14:textId="77777777" w:rsidR="007144CC" w:rsidRPr="00061B56" w:rsidRDefault="007144CC" w:rsidP="00AF75C0">
            <w:pPr>
              <w:spacing w:line="360" w:lineRule="auto"/>
              <w:jc w:val="both"/>
              <w:rPr>
                <w:rFonts w:ascii="Garamond" w:hAnsi="Garamond" w:cs="Arial"/>
              </w:rPr>
            </w:pPr>
            <w:r w:rsidRPr="00061B56">
              <w:rPr>
                <w:rFonts w:ascii="Garamond" w:hAnsi="Garamond" w:cs="Arial"/>
              </w:rPr>
              <w:t>CER</w:t>
            </w:r>
          </w:p>
        </w:tc>
        <w:tc>
          <w:tcPr>
            <w:tcW w:w="0" w:type="auto"/>
            <w:noWrap/>
            <w:tcMar>
              <w:top w:w="15" w:type="dxa"/>
              <w:left w:w="57" w:type="dxa"/>
              <w:bottom w:w="15" w:type="dxa"/>
              <w:right w:w="57" w:type="dxa"/>
            </w:tcMar>
            <w:vAlign w:val="center"/>
            <w:hideMark/>
          </w:tcPr>
          <w:p w14:paraId="4FA3723E"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4C6287D8"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GI</w:t>
            </w:r>
          </w:p>
        </w:tc>
        <w:tc>
          <w:tcPr>
            <w:tcW w:w="2041" w:type="dxa"/>
            <w:tcMar>
              <w:top w:w="15" w:type="dxa"/>
              <w:left w:w="140" w:type="dxa"/>
              <w:bottom w:w="15" w:type="dxa"/>
              <w:right w:w="140" w:type="dxa"/>
            </w:tcMar>
            <w:vAlign w:val="center"/>
            <w:hideMark/>
          </w:tcPr>
          <w:p w14:paraId="7B0242B4"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0.83</w:t>
            </w:r>
          </w:p>
        </w:tc>
      </w:tr>
      <w:tr w:rsidR="007144CC" w:rsidRPr="00061B56" w14:paraId="26627877" w14:textId="77777777" w:rsidTr="00AF75C0">
        <w:trPr>
          <w:trHeight w:val="406"/>
        </w:trPr>
        <w:tc>
          <w:tcPr>
            <w:tcW w:w="0" w:type="auto"/>
            <w:tcMar>
              <w:top w:w="15" w:type="dxa"/>
              <w:left w:w="57" w:type="dxa"/>
              <w:bottom w:w="15" w:type="dxa"/>
              <w:right w:w="57" w:type="dxa"/>
            </w:tcMar>
            <w:vAlign w:val="center"/>
            <w:hideMark/>
          </w:tcPr>
          <w:p w14:paraId="670A69EC"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GN</w:t>
            </w:r>
          </w:p>
        </w:tc>
        <w:tc>
          <w:tcPr>
            <w:tcW w:w="0" w:type="auto"/>
            <w:noWrap/>
            <w:tcMar>
              <w:top w:w="15" w:type="dxa"/>
              <w:left w:w="57" w:type="dxa"/>
              <w:bottom w:w="15" w:type="dxa"/>
              <w:right w:w="57" w:type="dxa"/>
            </w:tcMar>
            <w:vAlign w:val="center"/>
            <w:hideMark/>
          </w:tcPr>
          <w:p w14:paraId="158E8244"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17282407" w14:textId="77777777" w:rsidR="007144CC" w:rsidRPr="00061B56" w:rsidRDefault="007144CC" w:rsidP="00AF75C0">
            <w:pPr>
              <w:spacing w:line="360" w:lineRule="auto"/>
              <w:jc w:val="both"/>
              <w:rPr>
                <w:rFonts w:ascii="Garamond" w:hAnsi="Garamond" w:cs="Arial"/>
              </w:rPr>
            </w:pPr>
            <w:r w:rsidRPr="00061B56">
              <w:rPr>
                <w:rFonts w:ascii="Garamond" w:hAnsi="Garamond" w:cs="Arial"/>
              </w:rPr>
              <w:t>IB</w:t>
            </w:r>
          </w:p>
        </w:tc>
        <w:tc>
          <w:tcPr>
            <w:tcW w:w="2041" w:type="dxa"/>
            <w:tcMar>
              <w:top w:w="15" w:type="dxa"/>
              <w:left w:w="140" w:type="dxa"/>
              <w:bottom w:w="15" w:type="dxa"/>
              <w:right w:w="140" w:type="dxa"/>
            </w:tcMar>
            <w:vAlign w:val="center"/>
            <w:hideMark/>
          </w:tcPr>
          <w:p w14:paraId="79FAD24B"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0.62</w:t>
            </w:r>
          </w:p>
        </w:tc>
      </w:tr>
      <w:tr w:rsidR="007144CC" w:rsidRPr="00061B56" w14:paraId="7BF2608C" w14:textId="77777777" w:rsidTr="00AF75C0">
        <w:trPr>
          <w:trHeight w:val="395"/>
        </w:trPr>
        <w:tc>
          <w:tcPr>
            <w:tcW w:w="0" w:type="auto"/>
            <w:tcMar>
              <w:top w:w="15" w:type="dxa"/>
              <w:left w:w="57" w:type="dxa"/>
              <w:bottom w:w="15" w:type="dxa"/>
              <w:right w:w="57" w:type="dxa"/>
            </w:tcMar>
            <w:vAlign w:val="center"/>
            <w:hideMark/>
          </w:tcPr>
          <w:p w14:paraId="2AB43264" w14:textId="77777777" w:rsidR="007144CC" w:rsidRPr="00061B56" w:rsidRDefault="007144CC" w:rsidP="00AF75C0">
            <w:pPr>
              <w:spacing w:line="360" w:lineRule="auto"/>
              <w:jc w:val="both"/>
              <w:rPr>
                <w:rFonts w:ascii="Garamond" w:hAnsi="Garamond" w:cs="Arial"/>
              </w:rPr>
            </w:pPr>
            <w:r w:rsidRPr="00061B56">
              <w:rPr>
                <w:rFonts w:ascii="Garamond" w:hAnsi="Garamond" w:cs="Arial"/>
              </w:rPr>
              <w:t>CER</w:t>
            </w:r>
          </w:p>
        </w:tc>
        <w:tc>
          <w:tcPr>
            <w:tcW w:w="0" w:type="auto"/>
            <w:noWrap/>
            <w:tcMar>
              <w:top w:w="15" w:type="dxa"/>
              <w:left w:w="57" w:type="dxa"/>
              <w:bottom w:w="15" w:type="dxa"/>
              <w:right w:w="57" w:type="dxa"/>
            </w:tcMar>
            <w:vAlign w:val="center"/>
            <w:hideMark/>
          </w:tcPr>
          <w:p w14:paraId="5DFDF2E7" w14:textId="77777777" w:rsidR="007144CC" w:rsidRPr="00061B56" w:rsidRDefault="007144CC" w:rsidP="00AF75C0">
            <w:pPr>
              <w:spacing w:line="360" w:lineRule="auto"/>
              <w:jc w:val="both"/>
              <w:rPr>
                <w:rFonts w:ascii="Garamond" w:hAnsi="Garamond" w:cs="Arial"/>
              </w:rPr>
            </w:pPr>
            <w:r w:rsidRPr="00061B56">
              <w:rPr>
                <w:rFonts w:ascii="Garamond" w:hAnsi="Garamond" w:cs="Arial"/>
              </w:rPr>
              <w:t>&lt;--&gt;</w:t>
            </w:r>
          </w:p>
        </w:tc>
        <w:tc>
          <w:tcPr>
            <w:tcW w:w="1783" w:type="dxa"/>
            <w:tcBorders>
              <w:right w:val="single" w:sz="6" w:space="0" w:color="auto"/>
            </w:tcBorders>
            <w:tcMar>
              <w:top w:w="15" w:type="dxa"/>
              <w:left w:w="140" w:type="dxa"/>
              <w:bottom w:w="15" w:type="dxa"/>
              <w:right w:w="140" w:type="dxa"/>
            </w:tcMar>
            <w:vAlign w:val="center"/>
            <w:hideMark/>
          </w:tcPr>
          <w:p w14:paraId="725C7A2E" w14:textId="77777777" w:rsidR="007144CC" w:rsidRPr="00061B56" w:rsidRDefault="007144CC" w:rsidP="00AF75C0">
            <w:pPr>
              <w:spacing w:line="360" w:lineRule="auto"/>
              <w:jc w:val="both"/>
              <w:rPr>
                <w:rFonts w:ascii="Garamond" w:hAnsi="Garamond" w:cs="Arial"/>
              </w:rPr>
            </w:pPr>
            <w:r w:rsidRPr="00061B56">
              <w:rPr>
                <w:rFonts w:ascii="Garamond" w:hAnsi="Garamond" w:cs="Arial"/>
              </w:rPr>
              <w:t>GN</w:t>
            </w:r>
          </w:p>
        </w:tc>
        <w:tc>
          <w:tcPr>
            <w:tcW w:w="2041" w:type="dxa"/>
            <w:tcMar>
              <w:top w:w="15" w:type="dxa"/>
              <w:left w:w="140" w:type="dxa"/>
              <w:bottom w:w="15" w:type="dxa"/>
              <w:right w:w="140" w:type="dxa"/>
            </w:tcMar>
            <w:vAlign w:val="center"/>
            <w:hideMark/>
          </w:tcPr>
          <w:p w14:paraId="60C836FD" w14:textId="77777777" w:rsidR="007144CC" w:rsidRPr="00061B56" w:rsidRDefault="007144CC" w:rsidP="00AF75C0">
            <w:pPr>
              <w:spacing w:line="360" w:lineRule="auto"/>
              <w:jc w:val="both"/>
              <w:rPr>
                <w:rFonts w:ascii="Garamond" w:hAnsi="Garamond" w:cs="Arial"/>
              </w:rPr>
            </w:pPr>
            <w:r w:rsidRPr="00061B56">
              <w:rPr>
                <w:rFonts w:ascii="Garamond" w:hAnsi="Garamond" w:cs="Arial"/>
              </w:rPr>
              <w:t>0.82</w:t>
            </w:r>
          </w:p>
        </w:tc>
      </w:tr>
    </w:tbl>
    <w:p w14:paraId="1C6ED67E" w14:textId="77777777" w:rsidR="007144CC" w:rsidRPr="00061B56" w:rsidRDefault="007144CC" w:rsidP="007144CC">
      <w:pPr>
        <w:spacing w:line="360" w:lineRule="auto"/>
        <w:jc w:val="both"/>
        <w:rPr>
          <w:rFonts w:ascii="Garamond" w:hAnsi="Garamond" w:cs="Arial"/>
          <w:b/>
          <w:bCs/>
          <w:lang w:val="en"/>
        </w:rPr>
      </w:pPr>
    </w:p>
    <w:p w14:paraId="63276E85" w14:textId="77777777" w:rsidR="007144CC" w:rsidRPr="00061B56" w:rsidRDefault="007144CC" w:rsidP="007144CC">
      <w:pPr>
        <w:spacing w:line="360" w:lineRule="auto"/>
        <w:jc w:val="both"/>
        <w:rPr>
          <w:rFonts w:ascii="Garamond" w:hAnsi="Garamond" w:cs="Arial"/>
          <w:b/>
          <w:bCs/>
          <w:lang w:val="en"/>
        </w:rPr>
      </w:pPr>
    </w:p>
    <w:p w14:paraId="7AC7E0D8" w14:textId="77777777" w:rsidR="007144CC" w:rsidRPr="00061B56" w:rsidRDefault="007144CC" w:rsidP="007144CC">
      <w:pPr>
        <w:spacing w:line="360" w:lineRule="auto"/>
        <w:jc w:val="both"/>
        <w:rPr>
          <w:rFonts w:ascii="Garamond" w:hAnsi="Garamond" w:cs="Arial"/>
          <w:b/>
          <w:bCs/>
          <w:lang w:val="en"/>
        </w:rPr>
      </w:pPr>
    </w:p>
    <w:p w14:paraId="6109BA53" w14:textId="77777777" w:rsidR="007144CC" w:rsidRPr="00061B56" w:rsidRDefault="007144CC" w:rsidP="007144CC">
      <w:pPr>
        <w:spacing w:line="360" w:lineRule="auto"/>
        <w:jc w:val="both"/>
        <w:rPr>
          <w:rFonts w:ascii="Garamond" w:hAnsi="Garamond" w:cs="Arial"/>
          <w:b/>
          <w:bCs/>
          <w:lang w:val="en"/>
        </w:rPr>
      </w:pPr>
    </w:p>
    <w:p w14:paraId="4D3DE5BB" w14:textId="77777777" w:rsidR="007144CC" w:rsidRPr="00061B56" w:rsidRDefault="007144CC" w:rsidP="007144CC">
      <w:pPr>
        <w:spacing w:line="360" w:lineRule="auto"/>
        <w:jc w:val="both"/>
        <w:rPr>
          <w:rFonts w:ascii="Garamond" w:hAnsi="Garamond" w:cs="Arial"/>
          <w:b/>
          <w:bCs/>
          <w:lang w:val="en"/>
        </w:rPr>
      </w:pPr>
    </w:p>
    <w:p w14:paraId="5AA32022" w14:textId="77777777" w:rsidR="007144CC" w:rsidRPr="00061B56" w:rsidRDefault="007144CC" w:rsidP="007144CC">
      <w:pPr>
        <w:spacing w:line="360" w:lineRule="auto"/>
        <w:jc w:val="both"/>
        <w:rPr>
          <w:rFonts w:ascii="Garamond" w:hAnsi="Garamond" w:cs="Arial"/>
          <w:b/>
          <w:bCs/>
          <w:lang w:val="en"/>
        </w:rPr>
      </w:pPr>
    </w:p>
    <w:p w14:paraId="3F149317" w14:textId="77777777" w:rsidR="007144CC" w:rsidRPr="00061B56" w:rsidRDefault="007144CC" w:rsidP="007144CC">
      <w:pPr>
        <w:spacing w:line="360" w:lineRule="auto"/>
        <w:jc w:val="both"/>
        <w:rPr>
          <w:rFonts w:ascii="Garamond" w:hAnsi="Garamond" w:cs="Arial"/>
          <w:b/>
          <w:bCs/>
          <w:lang w:val="en"/>
        </w:rPr>
      </w:pPr>
    </w:p>
    <w:p w14:paraId="135BB1EC" w14:textId="77777777" w:rsidR="007144CC" w:rsidRPr="00061B56" w:rsidRDefault="007144CC" w:rsidP="007144CC">
      <w:pPr>
        <w:spacing w:line="360" w:lineRule="auto"/>
        <w:jc w:val="both"/>
        <w:rPr>
          <w:rFonts w:ascii="Garamond" w:hAnsi="Garamond" w:cs="Arial"/>
          <w:b/>
          <w:bCs/>
          <w:lang w:val="en"/>
        </w:rPr>
      </w:pPr>
    </w:p>
    <w:p w14:paraId="3FC57909" w14:textId="77777777" w:rsidR="007144CC" w:rsidRPr="00061B56" w:rsidRDefault="007144CC" w:rsidP="007144CC">
      <w:pPr>
        <w:spacing w:line="360" w:lineRule="auto"/>
        <w:jc w:val="both"/>
        <w:rPr>
          <w:rFonts w:ascii="Garamond" w:hAnsi="Garamond" w:cs="Arial"/>
          <w:b/>
          <w:bCs/>
          <w:lang w:val="en"/>
        </w:rPr>
      </w:pPr>
    </w:p>
    <w:p w14:paraId="15C120FE" w14:textId="77777777" w:rsidR="007144CC" w:rsidRPr="00061B56" w:rsidRDefault="007144CC" w:rsidP="007144CC">
      <w:pPr>
        <w:spacing w:line="360" w:lineRule="auto"/>
        <w:jc w:val="both"/>
        <w:rPr>
          <w:rFonts w:ascii="Garamond" w:hAnsi="Garamond" w:cs="Arial"/>
          <w:b/>
          <w:bCs/>
          <w:lang w:val="en"/>
        </w:rPr>
      </w:pPr>
      <w:r w:rsidRPr="00061B56">
        <w:rPr>
          <w:rFonts w:ascii="Garamond" w:hAnsi="Garamond" w:cs="Arial"/>
          <w:b/>
          <w:bCs/>
          <w:lang w:val="en"/>
        </w:rPr>
        <w:t>Table 3 : Factor Loadings</w:t>
      </w:r>
    </w:p>
    <w:tbl>
      <w:tblPr>
        <w:tblW w:w="8819" w:type="dxa"/>
        <w:tblLook w:val="04A0" w:firstRow="1" w:lastRow="0" w:firstColumn="1" w:lastColumn="0" w:noHBand="0" w:noVBand="1"/>
      </w:tblPr>
      <w:tblGrid>
        <w:gridCol w:w="2799"/>
        <w:gridCol w:w="1075"/>
        <w:gridCol w:w="2173"/>
        <w:gridCol w:w="2772"/>
      </w:tblGrid>
      <w:tr w:rsidR="007144CC" w:rsidRPr="00061B56" w14:paraId="5BB7D2D0" w14:textId="77777777" w:rsidTr="00AF75C0">
        <w:trPr>
          <w:trHeight w:val="305"/>
        </w:trPr>
        <w:tc>
          <w:tcPr>
            <w:tcW w:w="2799" w:type="dxa"/>
            <w:tcBorders>
              <w:top w:val="single" w:sz="4" w:space="0" w:color="auto"/>
              <w:bottom w:val="single" w:sz="4" w:space="0" w:color="auto"/>
            </w:tcBorders>
            <w:vAlign w:val="center"/>
            <w:hideMark/>
          </w:tcPr>
          <w:p w14:paraId="2D1B7822" w14:textId="77777777" w:rsidR="007144CC" w:rsidRPr="00061B56" w:rsidRDefault="007144CC" w:rsidP="00AF75C0">
            <w:pPr>
              <w:spacing w:after="0" w:line="240" w:lineRule="auto"/>
              <w:jc w:val="both"/>
              <w:rPr>
                <w:rFonts w:ascii="Garamond" w:eastAsia="Times New Roman" w:hAnsi="Garamond" w:cs="Arial"/>
                <w:b/>
                <w:bCs/>
                <w:color w:val="000000"/>
                <w:lang w:eastAsia="en-GB"/>
              </w:rPr>
            </w:pPr>
            <w:r w:rsidRPr="00061B56">
              <w:rPr>
                <w:rFonts w:ascii="Garamond" w:eastAsia="Times New Roman" w:hAnsi="Garamond" w:cs="Arial"/>
                <w:b/>
                <w:bCs/>
                <w:color w:val="000000"/>
                <w:lang w:eastAsia="en-GB"/>
              </w:rPr>
              <w:t>Indicator</w:t>
            </w:r>
          </w:p>
        </w:tc>
        <w:tc>
          <w:tcPr>
            <w:tcW w:w="1075" w:type="dxa"/>
            <w:tcBorders>
              <w:top w:val="single" w:sz="4" w:space="0" w:color="auto"/>
              <w:bottom w:val="single" w:sz="4" w:space="0" w:color="auto"/>
            </w:tcBorders>
            <w:vAlign w:val="center"/>
            <w:hideMark/>
          </w:tcPr>
          <w:p w14:paraId="11DC6B40" w14:textId="77777777" w:rsidR="007144CC" w:rsidRPr="00061B56" w:rsidRDefault="007144CC" w:rsidP="00AF75C0">
            <w:pPr>
              <w:spacing w:after="0" w:line="240" w:lineRule="auto"/>
              <w:jc w:val="both"/>
              <w:rPr>
                <w:rFonts w:ascii="Garamond" w:eastAsia="Times New Roman" w:hAnsi="Garamond" w:cs="Arial"/>
                <w:b/>
                <w:bCs/>
                <w:color w:val="000000"/>
                <w:lang w:eastAsia="en-GB"/>
              </w:rPr>
            </w:pPr>
            <w:r w:rsidRPr="00061B56">
              <w:rPr>
                <w:rFonts w:ascii="Garamond" w:eastAsia="Times New Roman" w:hAnsi="Garamond" w:cs="Arial"/>
                <w:b/>
                <w:bCs/>
                <w:color w:val="000000"/>
                <w:lang w:eastAsia="en-GB"/>
              </w:rPr>
              <w:t> </w:t>
            </w:r>
          </w:p>
        </w:tc>
        <w:tc>
          <w:tcPr>
            <w:tcW w:w="2173" w:type="dxa"/>
            <w:tcBorders>
              <w:top w:val="single" w:sz="4" w:space="0" w:color="auto"/>
              <w:bottom w:val="single" w:sz="4" w:space="0" w:color="auto"/>
            </w:tcBorders>
            <w:vAlign w:val="center"/>
            <w:hideMark/>
          </w:tcPr>
          <w:p w14:paraId="500B20E2" w14:textId="77777777" w:rsidR="007144CC" w:rsidRPr="00061B56" w:rsidRDefault="007144CC" w:rsidP="00AF75C0">
            <w:pPr>
              <w:spacing w:after="0" w:line="240" w:lineRule="auto"/>
              <w:jc w:val="center"/>
              <w:rPr>
                <w:rFonts w:ascii="Garamond" w:eastAsia="Times New Roman" w:hAnsi="Garamond" w:cs="Arial"/>
                <w:b/>
                <w:bCs/>
                <w:color w:val="000000"/>
                <w:lang w:eastAsia="en-GB"/>
              </w:rPr>
            </w:pPr>
            <w:r w:rsidRPr="00061B56">
              <w:rPr>
                <w:rFonts w:ascii="Garamond" w:eastAsia="Times New Roman" w:hAnsi="Garamond" w:cs="Arial"/>
                <w:b/>
                <w:bCs/>
                <w:color w:val="000000"/>
                <w:lang w:eastAsia="en-GB"/>
              </w:rPr>
              <w:t>Factor</w:t>
            </w:r>
          </w:p>
        </w:tc>
        <w:tc>
          <w:tcPr>
            <w:tcW w:w="2772" w:type="dxa"/>
            <w:tcBorders>
              <w:top w:val="single" w:sz="4" w:space="0" w:color="auto"/>
              <w:bottom w:val="single" w:sz="4" w:space="0" w:color="auto"/>
            </w:tcBorders>
            <w:vAlign w:val="center"/>
            <w:hideMark/>
          </w:tcPr>
          <w:p w14:paraId="55F96580" w14:textId="77777777" w:rsidR="007144CC" w:rsidRPr="00061B56" w:rsidRDefault="007144CC" w:rsidP="00AF75C0">
            <w:pPr>
              <w:spacing w:after="0" w:line="240" w:lineRule="auto"/>
              <w:jc w:val="both"/>
              <w:rPr>
                <w:rFonts w:ascii="Garamond" w:eastAsia="Times New Roman" w:hAnsi="Garamond" w:cs="Arial"/>
                <w:b/>
                <w:bCs/>
                <w:color w:val="000000"/>
                <w:lang w:eastAsia="en-GB"/>
              </w:rPr>
            </w:pPr>
            <w:r w:rsidRPr="00061B56">
              <w:rPr>
                <w:rFonts w:ascii="Garamond" w:eastAsia="Times New Roman" w:hAnsi="Garamond" w:cs="Arial"/>
                <w:b/>
                <w:bCs/>
                <w:color w:val="000000"/>
                <w:lang w:eastAsia="en-GB"/>
              </w:rPr>
              <w:t>Estimate</w:t>
            </w:r>
          </w:p>
        </w:tc>
      </w:tr>
      <w:tr w:rsidR="007144CC" w:rsidRPr="00061B56" w14:paraId="6A814ABC" w14:textId="77777777" w:rsidTr="00AF75C0">
        <w:trPr>
          <w:trHeight w:val="282"/>
        </w:trPr>
        <w:tc>
          <w:tcPr>
            <w:tcW w:w="2799" w:type="dxa"/>
            <w:tcBorders>
              <w:top w:val="single" w:sz="4" w:space="0" w:color="auto"/>
            </w:tcBorders>
            <w:vAlign w:val="center"/>
            <w:hideMark/>
          </w:tcPr>
          <w:p w14:paraId="361F644F"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w:t>
            </w:r>
          </w:p>
        </w:tc>
        <w:tc>
          <w:tcPr>
            <w:tcW w:w="1075" w:type="dxa"/>
            <w:tcBorders>
              <w:top w:val="single" w:sz="4" w:space="0" w:color="auto"/>
            </w:tcBorders>
            <w:noWrap/>
            <w:vAlign w:val="center"/>
            <w:hideMark/>
          </w:tcPr>
          <w:p w14:paraId="6D57F001"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tcBorders>
              <w:top w:val="single" w:sz="4" w:space="0" w:color="auto"/>
            </w:tcBorders>
            <w:vAlign w:val="center"/>
            <w:hideMark/>
          </w:tcPr>
          <w:p w14:paraId="619F573D"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EEEO</w:t>
            </w:r>
          </w:p>
        </w:tc>
        <w:tc>
          <w:tcPr>
            <w:tcW w:w="2772" w:type="dxa"/>
            <w:tcBorders>
              <w:top w:val="single" w:sz="4" w:space="0" w:color="auto"/>
            </w:tcBorders>
            <w:vAlign w:val="center"/>
            <w:hideMark/>
          </w:tcPr>
          <w:p w14:paraId="38E2A92F"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0.791</w:t>
            </w:r>
          </w:p>
        </w:tc>
      </w:tr>
      <w:tr w:rsidR="007144CC" w:rsidRPr="00061B56" w14:paraId="2CC61AC2" w14:textId="77777777" w:rsidTr="00AF75C0">
        <w:trPr>
          <w:trHeight w:val="282"/>
        </w:trPr>
        <w:tc>
          <w:tcPr>
            <w:tcW w:w="2799" w:type="dxa"/>
            <w:vAlign w:val="center"/>
            <w:hideMark/>
          </w:tcPr>
          <w:p w14:paraId="7D1D0641"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w:t>
            </w:r>
          </w:p>
        </w:tc>
        <w:tc>
          <w:tcPr>
            <w:tcW w:w="1075" w:type="dxa"/>
            <w:noWrap/>
            <w:vAlign w:val="center"/>
            <w:hideMark/>
          </w:tcPr>
          <w:p w14:paraId="5D85E465"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7497EF66"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EEEO</w:t>
            </w:r>
          </w:p>
        </w:tc>
        <w:tc>
          <w:tcPr>
            <w:tcW w:w="2772" w:type="dxa"/>
            <w:vAlign w:val="center"/>
            <w:hideMark/>
          </w:tcPr>
          <w:p w14:paraId="03C80DCD"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0.038</w:t>
            </w:r>
          </w:p>
        </w:tc>
      </w:tr>
      <w:tr w:rsidR="007144CC" w:rsidRPr="00061B56" w14:paraId="2DC51E32" w14:textId="77777777" w:rsidTr="00AF75C0">
        <w:trPr>
          <w:trHeight w:val="282"/>
        </w:trPr>
        <w:tc>
          <w:tcPr>
            <w:tcW w:w="2799" w:type="dxa"/>
            <w:vAlign w:val="center"/>
            <w:hideMark/>
          </w:tcPr>
          <w:p w14:paraId="46FD618A"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Q3</w:t>
            </w:r>
          </w:p>
        </w:tc>
        <w:tc>
          <w:tcPr>
            <w:tcW w:w="1075" w:type="dxa"/>
            <w:noWrap/>
            <w:vAlign w:val="center"/>
            <w:hideMark/>
          </w:tcPr>
          <w:p w14:paraId="0193B58A"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1AA830C6"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EEEO</w:t>
            </w:r>
          </w:p>
        </w:tc>
        <w:tc>
          <w:tcPr>
            <w:tcW w:w="2772" w:type="dxa"/>
            <w:vAlign w:val="center"/>
            <w:hideMark/>
          </w:tcPr>
          <w:p w14:paraId="4163D3E7"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0.707</w:t>
            </w:r>
          </w:p>
        </w:tc>
      </w:tr>
      <w:tr w:rsidR="007144CC" w:rsidRPr="00061B56" w14:paraId="7542EF03" w14:textId="77777777" w:rsidTr="00AF75C0">
        <w:trPr>
          <w:trHeight w:val="282"/>
        </w:trPr>
        <w:tc>
          <w:tcPr>
            <w:tcW w:w="2799" w:type="dxa"/>
            <w:vAlign w:val="center"/>
            <w:hideMark/>
          </w:tcPr>
          <w:p w14:paraId="7E243B14"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Q4</w:t>
            </w:r>
          </w:p>
        </w:tc>
        <w:tc>
          <w:tcPr>
            <w:tcW w:w="1075" w:type="dxa"/>
            <w:noWrap/>
            <w:vAlign w:val="center"/>
            <w:hideMark/>
          </w:tcPr>
          <w:p w14:paraId="4EFB6314"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1D14D700"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EEEO</w:t>
            </w:r>
          </w:p>
        </w:tc>
        <w:tc>
          <w:tcPr>
            <w:tcW w:w="2772" w:type="dxa"/>
            <w:vAlign w:val="center"/>
            <w:hideMark/>
          </w:tcPr>
          <w:p w14:paraId="4388E195"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0.733</w:t>
            </w:r>
          </w:p>
        </w:tc>
      </w:tr>
      <w:tr w:rsidR="007144CC" w:rsidRPr="00061B56" w14:paraId="02FFB98D" w14:textId="77777777" w:rsidTr="00AF75C0">
        <w:trPr>
          <w:trHeight w:val="293"/>
        </w:trPr>
        <w:tc>
          <w:tcPr>
            <w:tcW w:w="2799" w:type="dxa"/>
            <w:vAlign w:val="center"/>
            <w:hideMark/>
          </w:tcPr>
          <w:p w14:paraId="23D836C9"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Q5</w:t>
            </w:r>
          </w:p>
        </w:tc>
        <w:tc>
          <w:tcPr>
            <w:tcW w:w="1075" w:type="dxa"/>
            <w:noWrap/>
            <w:vAlign w:val="center"/>
            <w:hideMark/>
          </w:tcPr>
          <w:p w14:paraId="38BA77B0"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648E7D64"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EEEO</w:t>
            </w:r>
          </w:p>
        </w:tc>
        <w:tc>
          <w:tcPr>
            <w:tcW w:w="2772" w:type="dxa"/>
            <w:vAlign w:val="center"/>
            <w:hideMark/>
          </w:tcPr>
          <w:p w14:paraId="496D5918"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0.747</w:t>
            </w:r>
          </w:p>
        </w:tc>
      </w:tr>
      <w:tr w:rsidR="007144CC" w:rsidRPr="00061B56" w14:paraId="48A4D565" w14:textId="77777777" w:rsidTr="00AF75C0">
        <w:trPr>
          <w:trHeight w:val="282"/>
        </w:trPr>
        <w:tc>
          <w:tcPr>
            <w:tcW w:w="2799" w:type="dxa"/>
            <w:vAlign w:val="center"/>
            <w:hideMark/>
          </w:tcPr>
          <w:p w14:paraId="277E02CF"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Q6</w:t>
            </w:r>
          </w:p>
        </w:tc>
        <w:tc>
          <w:tcPr>
            <w:tcW w:w="1075" w:type="dxa"/>
            <w:noWrap/>
            <w:vAlign w:val="center"/>
            <w:hideMark/>
          </w:tcPr>
          <w:p w14:paraId="283E759A"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7F325A7A"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GP</w:t>
            </w:r>
          </w:p>
        </w:tc>
        <w:tc>
          <w:tcPr>
            <w:tcW w:w="2772" w:type="dxa"/>
            <w:vAlign w:val="center"/>
            <w:hideMark/>
          </w:tcPr>
          <w:p w14:paraId="49C5E9BD"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0.681</w:t>
            </w:r>
          </w:p>
        </w:tc>
      </w:tr>
      <w:tr w:rsidR="007144CC" w:rsidRPr="00061B56" w14:paraId="2FD7E988" w14:textId="77777777" w:rsidTr="00AF75C0">
        <w:trPr>
          <w:trHeight w:val="282"/>
        </w:trPr>
        <w:tc>
          <w:tcPr>
            <w:tcW w:w="2799" w:type="dxa"/>
            <w:vAlign w:val="center"/>
            <w:hideMark/>
          </w:tcPr>
          <w:p w14:paraId="769B6672"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Q7</w:t>
            </w:r>
          </w:p>
        </w:tc>
        <w:tc>
          <w:tcPr>
            <w:tcW w:w="1075" w:type="dxa"/>
            <w:noWrap/>
            <w:vAlign w:val="center"/>
            <w:hideMark/>
          </w:tcPr>
          <w:p w14:paraId="42B60CB0"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5D119DB8"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GP</w:t>
            </w:r>
          </w:p>
        </w:tc>
        <w:tc>
          <w:tcPr>
            <w:tcW w:w="2772" w:type="dxa"/>
            <w:vAlign w:val="center"/>
            <w:hideMark/>
          </w:tcPr>
          <w:p w14:paraId="07DC7743"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0.652</w:t>
            </w:r>
          </w:p>
        </w:tc>
      </w:tr>
      <w:tr w:rsidR="007144CC" w:rsidRPr="00061B56" w14:paraId="40977994" w14:textId="77777777" w:rsidTr="00AF75C0">
        <w:trPr>
          <w:trHeight w:val="282"/>
        </w:trPr>
        <w:tc>
          <w:tcPr>
            <w:tcW w:w="2799" w:type="dxa"/>
            <w:vAlign w:val="center"/>
            <w:hideMark/>
          </w:tcPr>
          <w:p w14:paraId="0926D5FC"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Q8</w:t>
            </w:r>
          </w:p>
        </w:tc>
        <w:tc>
          <w:tcPr>
            <w:tcW w:w="1075" w:type="dxa"/>
            <w:noWrap/>
            <w:vAlign w:val="center"/>
            <w:hideMark/>
          </w:tcPr>
          <w:p w14:paraId="31EBD447"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3F3B7651"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GP</w:t>
            </w:r>
          </w:p>
        </w:tc>
        <w:tc>
          <w:tcPr>
            <w:tcW w:w="2772" w:type="dxa"/>
            <w:vAlign w:val="center"/>
            <w:hideMark/>
          </w:tcPr>
          <w:p w14:paraId="6736E90D"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0.777</w:t>
            </w:r>
          </w:p>
        </w:tc>
      </w:tr>
      <w:tr w:rsidR="007144CC" w:rsidRPr="00061B56" w14:paraId="6396AE2D" w14:textId="77777777" w:rsidTr="00AF75C0">
        <w:trPr>
          <w:trHeight w:val="293"/>
        </w:trPr>
        <w:tc>
          <w:tcPr>
            <w:tcW w:w="2799" w:type="dxa"/>
            <w:vAlign w:val="center"/>
            <w:hideMark/>
          </w:tcPr>
          <w:p w14:paraId="0E200526"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Q9</w:t>
            </w:r>
          </w:p>
        </w:tc>
        <w:tc>
          <w:tcPr>
            <w:tcW w:w="1075" w:type="dxa"/>
            <w:noWrap/>
            <w:vAlign w:val="center"/>
            <w:hideMark/>
          </w:tcPr>
          <w:p w14:paraId="7D72493C"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2470791C"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GP</w:t>
            </w:r>
          </w:p>
        </w:tc>
        <w:tc>
          <w:tcPr>
            <w:tcW w:w="2772" w:type="dxa"/>
            <w:vAlign w:val="center"/>
            <w:hideMark/>
          </w:tcPr>
          <w:p w14:paraId="09E2F9D2"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0.841</w:t>
            </w:r>
          </w:p>
        </w:tc>
      </w:tr>
      <w:tr w:rsidR="007144CC" w:rsidRPr="00061B56" w14:paraId="569782DC" w14:textId="77777777" w:rsidTr="00AF75C0">
        <w:trPr>
          <w:trHeight w:val="282"/>
        </w:trPr>
        <w:tc>
          <w:tcPr>
            <w:tcW w:w="2799" w:type="dxa"/>
            <w:vAlign w:val="center"/>
            <w:hideMark/>
          </w:tcPr>
          <w:p w14:paraId="26A4D9BA"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Q10</w:t>
            </w:r>
          </w:p>
        </w:tc>
        <w:tc>
          <w:tcPr>
            <w:tcW w:w="1075" w:type="dxa"/>
            <w:noWrap/>
            <w:vAlign w:val="center"/>
            <w:hideMark/>
          </w:tcPr>
          <w:p w14:paraId="1D418532"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759F93B8"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GN</w:t>
            </w:r>
          </w:p>
        </w:tc>
        <w:tc>
          <w:tcPr>
            <w:tcW w:w="2772" w:type="dxa"/>
            <w:vAlign w:val="center"/>
            <w:hideMark/>
          </w:tcPr>
          <w:p w14:paraId="05F301C4"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0.789</w:t>
            </w:r>
          </w:p>
        </w:tc>
      </w:tr>
      <w:tr w:rsidR="007144CC" w:rsidRPr="00061B56" w14:paraId="3A190924" w14:textId="77777777" w:rsidTr="00AF75C0">
        <w:trPr>
          <w:trHeight w:val="282"/>
        </w:trPr>
        <w:tc>
          <w:tcPr>
            <w:tcW w:w="2799" w:type="dxa"/>
            <w:vAlign w:val="center"/>
            <w:hideMark/>
          </w:tcPr>
          <w:p w14:paraId="0D8416C7"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Q11</w:t>
            </w:r>
          </w:p>
        </w:tc>
        <w:tc>
          <w:tcPr>
            <w:tcW w:w="1075" w:type="dxa"/>
            <w:noWrap/>
            <w:vAlign w:val="center"/>
            <w:hideMark/>
          </w:tcPr>
          <w:p w14:paraId="1F6A9681"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571C8DE8"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GN</w:t>
            </w:r>
          </w:p>
        </w:tc>
        <w:tc>
          <w:tcPr>
            <w:tcW w:w="2772" w:type="dxa"/>
            <w:vAlign w:val="center"/>
            <w:hideMark/>
          </w:tcPr>
          <w:p w14:paraId="7D7CDC36"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0.831</w:t>
            </w:r>
          </w:p>
        </w:tc>
      </w:tr>
      <w:tr w:rsidR="007144CC" w:rsidRPr="00061B56" w14:paraId="6E3CA72A" w14:textId="77777777" w:rsidTr="00AF75C0">
        <w:trPr>
          <w:trHeight w:val="282"/>
        </w:trPr>
        <w:tc>
          <w:tcPr>
            <w:tcW w:w="2799" w:type="dxa"/>
            <w:vAlign w:val="center"/>
            <w:hideMark/>
          </w:tcPr>
          <w:p w14:paraId="6D8077ED"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Q12</w:t>
            </w:r>
          </w:p>
        </w:tc>
        <w:tc>
          <w:tcPr>
            <w:tcW w:w="1075" w:type="dxa"/>
            <w:noWrap/>
            <w:vAlign w:val="center"/>
            <w:hideMark/>
          </w:tcPr>
          <w:p w14:paraId="7485B4BB"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48737107"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GN</w:t>
            </w:r>
          </w:p>
        </w:tc>
        <w:tc>
          <w:tcPr>
            <w:tcW w:w="2772" w:type="dxa"/>
            <w:vAlign w:val="center"/>
            <w:hideMark/>
          </w:tcPr>
          <w:p w14:paraId="0FC40691"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0.956</w:t>
            </w:r>
          </w:p>
        </w:tc>
      </w:tr>
      <w:tr w:rsidR="007144CC" w:rsidRPr="00061B56" w14:paraId="0DABE490" w14:textId="77777777" w:rsidTr="00AF75C0">
        <w:trPr>
          <w:trHeight w:val="282"/>
        </w:trPr>
        <w:tc>
          <w:tcPr>
            <w:tcW w:w="2799" w:type="dxa"/>
            <w:vAlign w:val="center"/>
            <w:hideMark/>
          </w:tcPr>
          <w:p w14:paraId="27E5E2D5"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Q13</w:t>
            </w:r>
          </w:p>
        </w:tc>
        <w:tc>
          <w:tcPr>
            <w:tcW w:w="1075" w:type="dxa"/>
            <w:noWrap/>
            <w:vAlign w:val="center"/>
            <w:hideMark/>
          </w:tcPr>
          <w:p w14:paraId="393BC080"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4454AE0A"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GN</w:t>
            </w:r>
          </w:p>
        </w:tc>
        <w:tc>
          <w:tcPr>
            <w:tcW w:w="2772" w:type="dxa"/>
            <w:vAlign w:val="center"/>
            <w:hideMark/>
          </w:tcPr>
          <w:p w14:paraId="7FA590AB"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0.875</w:t>
            </w:r>
          </w:p>
        </w:tc>
      </w:tr>
      <w:tr w:rsidR="007144CC" w:rsidRPr="00061B56" w14:paraId="5BFB0C45" w14:textId="77777777" w:rsidTr="00AF75C0">
        <w:trPr>
          <w:trHeight w:val="282"/>
        </w:trPr>
        <w:tc>
          <w:tcPr>
            <w:tcW w:w="2799" w:type="dxa"/>
            <w:vAlign w:val="center"/>
            <w:hideMark/>
          </w:tcPr>
          <w:p w14:paraId="166C2648"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Q14</w:t>
            </w:r>
          </w:p>
        </w:tc>
        <w:tc>
          <w:tcPr>
            <w:tcW w:w="1075" w:type="dxa"/>
            <w:noWrap/>
            <w:vAlign w:val="center"/>
            <w:hideMark/>
          </w:tcPr>
          <w:p w14:paraId="4E0553F3"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3D72692B"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GN</w:t>
            </w:r>
          </w:p>
        </w:tc>
        <w:tc>
          <w:tcPr>
            <w:tcW w:w="2772" w:type="dxa"/>
            <w:vAlign w:val="center"/>
            <w:hideMark/>
          </w:tcPr>
          <w:p w14:paraId="693972EE"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0.813</w:t>
            </w:r>
          </w:p>
        </w:tc>
      </w:tr>
      <w:tr w:rsidR="007144CC" w:rsidRPr="00061B56" w14:paraId="70C9A8DD" w14:textId="77777777" w:rsidTr="00AF75C0">
        <w:trPr>
          <w:trHeight w:val="293"/>
        </w:trPr>
        <w:tc>
          <w:tcPr>
            <w:tcW w:w="2799" w:type="dxa"/>
            <w:vAlign w:val="center"/>
            <w:hideMark/>
          </w:tcPr>
          <w:p w14:paraId="49129DEA"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Q15</w:t>
            </w:r>
          </w:p>
        </w:tc>
        <w:tc>
          <w:tcPr>
            <w:tcW w:w="1075" w:type="dxa"/>
            <w:noWrap/>
            <w:vAlign w:val="center"/>
            <w:hideMark/>
          </w:tcPr>
          <w:p w14:paraId="6A40F498"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58F45C36"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GN</w:t>
            </w:r>
          </w:p>
        </w:tc>
        <w:tc>
          <w:tcPr>
            <w:tcW w:w="2772" w:type="dxa"/>
            <w:vAlign w:val="center"/>
            <w:hideMark/>
          </w:tcPr>
          <w:p w14:paraId="31825A29"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0.804</w:t>
            </w:r>
          </w:p>
        </w:tc>
      </w:tr>
      <w:tr w:rsidR="007144CC" w:rsidRPr="00061B56" w14:paraId="13018215" w14:textId="77777777" w:rsidTr="00AF75C0">
        <w:trPr>
          <w:trHeight w:val="282"/>
        </w:trPr>
        <w:tc>
          <w:tcPr>
            <w:tcW w:w="2799" w:type="dxa"/>
            <w:vAlign w:val="center"/>
            <w:hideMark/>
          </w:tcPr>
          <w:p w14:paraId="03601B8D"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Q16</w:t>
            </w:r>
          </w:p>
        </w:tc>
        <w:tc>
          <w:tcPr>
            <w:tcW w:w="1075" w:type="dxa"/>
            <w:noWrap/>
            <w:vAlign w:val="center"/>
            <w:hideMark/>
          </w:tcPr>
          <w:p w14:paraId="190DAE0B"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3CDA89DA"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GI</w:t>
            </w:r>
          </w:p>
        </w:tc>
        <w:tc>
          <w:tcPr>
            <w:tcW w:w="2772" w:type="dxa"/>
            <w:vAlign w:val="center"/>
            <w:hideMark/>
          </w:tcPr>
          <w:p w14:paraId="26E75055"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0.883</w:t>
            </w:r>
          </w:p>
        </w:tc>
      </w:tr>
      <w:tr w:rsidR="007144CC" w:rsidRPr="00061B56" w14:paraId="6A0CA019" w14:textId="77777777" w:rsidTr="00AF75C0">
        <w:trPr>
          <w:trHeight w:val="282"/>
        </w:trPr>
        <w:tc>
          <w:tcPr>
            <w:tcW w:w="2799" w:type="dxa"/>
            <w:vAlign w:val="center"/>
            <w:hideMark/>
          </w:tcPr>
          <w:p w14:paraId="3BE811C2"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Q17</w:t>
            </w:r>
          </w:p>
        </w:tc>
        <w:tc>
          <w:tcPr>
            <w:tcW w:w="1075" w:type="dxa"/>
            <w:noWrap/>
            <w:vAlign w:val="center"/>
            <w:hideMark/>
          </w:tcPr>
          <w:p w14:paraId="50FE06CF"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3C580A0B"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GI</w:t>
            </w:r>
          </w:p>
        </w:tc>
        <w:tc>
          <w:tcPr>
            <w:tcW w:w="2772" w:type="dxa"/>
            <w:vAlign w:val="center"/>
            <w:hideMark/>
          </w:tcPr>
          <w:p w14:paraId="18860F7B"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0.86</w:t>
            </w:r>
          </w:p>
        </w:tc>
      </w:tr>
      <w:tr w:rsidR="007144CC" w:rsidRPr="00061B56" w14:paraId="5F741CAA" w14:textId="77777777" w:rsidTr="00AF75C0">
        <w:trPr>
          <w:trHeight w:val="282"/>
        </w:trPr>
        <w:tc>
          <w:tcPr>
            <w:tcW w:w="2799" w:type="dxa"/>
            <w:vAlign w:val="center"/>
            <w:hideMark/>
          </w:tcPr>
          <w:p w14:paraId="0166C4B0"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Q18</w:t>
            </w:r>
          </w:p>
        </w:tc>
        <w:tc>
          <w:tcPr>
            <w:tcW w:w="1075" w:type="dxa"/>
            <w:noWrap/>
            <w:vAlign w:val="center"/>
            <w:hideMark/>
          </w:tcPr>
          <w:p w14:paraId="5E94531A"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7B44EB01"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GI</w:t>
            </w:r>
          </w:p>
        </w:tc>
        <w:tc>
          <w:tcPr>
            <w:tcW w:w="2772" w:type="dxa"/>
            <w:vAlign w:val="center"/>
            <w:hideMark/>
          </w:tcPr>
          <w:p w14:paraId="1DF87383"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0.843</w:t>
            </w:r>
          </w:p>
        </w:tc>
      </w:tr>
      <w:tr w:rsidR="007144CC" w:rsidRPr="00061B56" w14:paraId="28368412" w14:textId="77777777" w:rsidTr="00AF75C0">
        <w:trPr>
          <w:trHeight w:val="282"/>
        </w:trPr>
        <w:tc>
          <w:tcPr>
            <w:tcW w:w="2799" w:type="dxa"/>
            <w:vAlign w:val="center"/>
            <w:hideMark/>
          </w:tcPr>
          <w:p w14:paraId="047C88D1"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Q19</w:t>
            </w:r>
          </w:p>
        </w:tc>
        <w:tc>
          <w:tcPr>
            <w:tcW w:w="1075" w:type="dxa"/>
            <w:noWrap/>
            <w:vAlign w:val="center"/>
            <w:hideMark/>
          </w:tcPr>
          <w:p w14:paraId="38997259"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71C4918D"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GI</w:t>
            </w:r>
          </w:p>
        </w:tc>
        <w:tc>
          <w:tcPr>
            <w:tcW w:w="2772" w:type="dxa"/>
            <w:vAlign w:val="center"/>
            <w:hideMark/>
          </w:tcPr>
          <w:p w14:paraId="1D10CA88"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0.797</w:t>
            </w:r>
          </w:p>
        </w:tc>
      </w:tr>
      <w:tr w:rsidR="007144CC" w:rsidRPr="00061B56" w14:paraId="0CFFFBC5" w14:textId="77777777" w:rsidTr="00AF75C0">
        <w:trPr>
          <w:trHeight w:val="293"/>
        </w:trPr>
        <w:tc>
          <w:tcPr>
            <w:tcW w:w="2799" w:type="dxa"/>
            <w:vAlign w:val="center"/>
            <w:hideMark/>
          </w:tcPr>
          <w:p w14:paraId="4E757703"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Q20</w:t>
            </w:r>
          </w:p>
        </w:tc>
        <w:tc>
          <w:tcPr>
            <w:tcW w:w="1075" w:type="dxa"/>
            <w:noWrap/>
            <w:vAlign w:val="center"/>
            <w:hideMark/>
          </w:tcPr>
          <w:p w14:paraId="0B638B14"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04DB41B4"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GI</w:t>
            </w:r>
          </w:p>
        </w:tc>
        <w:tc>
          <w:tcPr>
            <w:tcW w:w="2772" w:type="dxa"/>
            <w:vAlign w:val="center"/>
            <w:hideMark/>
          </w:tcPr>
          <w:p w14:paraId="6A745C26"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0.777</w:t>
            </w:r>
          </w:p>
        </w:tc>
      </w:tr>
      <w:tr w:rsidR="007144CC" w:rsidRPr="00061B56" w14:paraId="254FC49D" w14:textId="77777777" w:rsidTr="00AF75C0">
        <w:trPr>
          <w:trHeight w:val="282"/>
        </w:trPr>
        <w:tc>
          <w:tcPr>
            <w:tcW w:w="2799" w:type="dxa"/>
            <w:vAlign w:val="center"/>
            <w:hideMark/>
          </w:tcPr>
          <w:p w14:paraId="536A5F80"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Q21</w:t>
            </w:r>
          </w:p>
        </w:tc>
        <w:tc>
          <w:tcPr>
            <w:tcW w:w="1075" w:type="dxa"/>
            <w:noWrap/>
            <w:vAlign w:val="center"/>
            <w:hideMark/>
          </w:tcPr>
          <w:p w14:paraId="32DE8E6A"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1F0A34FA"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IB</w:t>
            </w:r>
          </w:p>
        </w:tc>
        <w:tc>
          <w:tcPr>
            <w:tcW w:w="2772" w:type="dxa"/>
            <w:vAlign w:val="center"/>
            <w:hideMark/>
          </w:tcPr>
          <w:p w14:paraId="659F24B3"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0.736</w:t>
            </w:r>
          </w:p>
        </w:tc>
      </w:tr>
      <w:tr w:rsidR="007144CC" w:rsidRPr="00061B56" w14:paraId="14D98306" w14:textId="77777777" w:rsidTr="00AF75C0">
        <w:trPr>
          <w:trHeight w:val="282"/>
        </w:trPr>
        <w:tc>
          <w:tcPr>
            <w:tcW w:w="2799" w:type="dxa"/>
            <w:vAlign w:val="center"/>
            <w:hideMark/>
          </w:tcPr>
          <w:p w14:paraId="00368FDC"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Q22</w:t>
            </w:r>
          </w:p>
        </w:tc>
        <w:tc>
          <w:tcPr>
            <w:tcW w:w="1075" w:type="dxa"/>
            <w:noWrap/>
            <w:vAlign w:val="center"/>
            <w:hideMark/>
          </w:tcPr>
          <w:p w14:paraId="48398FB6"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634B1A13"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IB</w:t>
            </w:r>
          </w:p>
        </w:tc>
        <w:tc>
          <w:tcPr>
            <w:tcW w:w="2772" w:type="dxa"/>
            <w:vAlign w:val="center"/>
            <w:hideMark/>
          </w:tcPr>
          <w:p w14:paraId="533434C6"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0.706</w:t>
            </w:r>
          </w:p>
        </w:tc>
      </w:tr>
      <w:tr w:rsidR="007144CC" w:rsidRPr="00061B56" w14:paraId="686073A2" w14:textId="77777777" w:rsidTr="00AF75C0">
        <w:trPr>
          <w:trHeight w:val="282"/>
        </w:trPr>
        <w:tc>
          <w:tcPr>
            <w:tcW w:w="2799" w:type="dxa"/>
            <w:vAlign w:val="center"/>
            <w:hideMark/>
          </w:tcPr>
          <w:p w14:paraId="778430A7"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Q23</w:t>
            </w:r>
          </w:p>
        </w:tc>
        <w:tc>
          <w:tcPr>
            <w:tcW w:w="1075" w:type="dxa"/>
            <w:noWrap/>
            <w:vAlign w:val="center"/>
            <w:hideMark/>
          </w:tcPr>
          <w:p w14:paraId="254B6EB4"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59E2C8EE"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IB</w:t>
            </w:r>
          </w:p>
        </w:tc>
        <w:tc>
          <w:tcPr>
            <w:tcW w:w="2772" w:type="dxa"/>
            <w:vAlign w:val="center"/>
            <w:hideMark/>
          </w:tcPr>
          <w:p w14:paraId="6C432E9F"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0.735</w:t>
            </w:r>
          </w:p>
        </w:tc>
      </w:tr>
      <w:tr w:rsidR="007144CC" w:rsidRPr="00061B56" w14:paraId="2088E7CC" w14:textId="77777777" w:rsidTr="00AF75C0">
        <w:trPr>
          <w:trHeight w:val="282"/>
        </w:trPr>
        <w:tc>
          <w:tcPr>
            <w:tcW w:w="2799" w:type="dxa"/>
            <w:vAlign w:val="center"/>
            <w:hideMark/>
          </w:tcPr>
          <w:p w14:paraId="57410104"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Q24</w:t>
            </w:r>
          </w:p>
        </w:tc>
        <w:tc>
          <w:tcPr>
            <w:tcW w:w="1075" w:type="dxa"/>
            <w:noWrap/>
            <w:vAlign w:val="center"/>
            <w:hideMark/>
          </w:tcPr>
          <w:p w14:paraId="73D0D742"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2DDEF2E4"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IB</w:t>
            </w:r>
          </w:p>
        </w:tc>
        <w:tc>
          <w:tcPr>
            <w:tcW w:w="2772" w:type="dxa"/>
            <w:vAlign w:val="center"/>
            <w:hideMark/>
          </w:tcPr>
          <w:p w14:paraId="5D18EEAA"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0.381</w:t>
            </w:r>
          </w:p>
        </w:tc>
      </w:tr>
      <w:tr w:rsidR="007144CC" w:rsidRPr="00061B56" w14:paraId="480446F2" w14:textId="77777777" w:rsidTr="00AF75C0">
        <w:trPr>
          <w:trHeight w:val="282"/>
        </w:trPr>
        <w:tc>
          <w:tcPr>
            <w:tcW w:w="2799" w:type="dxa"/>
            <w:vAlign w:val="center"/>
            <w:hideMark/>
          </w:tcPr>
          <w:p w14:paraId="3F313023"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Q25</w:t>
            </w:r>
          </w:p>
        </w:tc>
        <w:tc>
          <w:tcPr>
            <w:tcW w:w="1075" w:type="dxa"/>
            <w:noWrap/>
            <w:vAlign w:val="center"/>
            <w:hideMark/>
          </w:tcPr>
          <w:p w14:paraId="5D107CF0"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5C95F54D"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IB</w:t>
            </w:r>
          </w:p>
        </w:tc>
        <w:tc>
          <w:tcPr>
            <w:tcW w:w="2772" w:type="dxa"/>
            <w:vAlign w:val="center"/>
            <w:hideMark/>
          </w:tcPr>
          <w:p w14:paraId="7FF07D4F"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0.694</w:t>
            </w:r>
          </w:p>
        </w:tc>
      </w:tr>
      <w:tr w:rsidR="007144CC" w:rsidRPr="00061B56" w14:paraId="5A682A6F" w14:textId="77777777" w:rsidTr="00AF75C0">
        <w:trPr>
          <w:trHeight w:val="282"/>
        </w:trPr>
        <w:tc>
          <w:tcPr>
            <w:tcW w:w="2799" w:type="dxa"/>
            <w:vAlign w:val="center"/>
            <w:hideMark/>
          </w:tcPr>
          <w:p w14:paraId="67228682"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Q26</w:t>
            </w:r>
          </w:p>
        </w:tc>
        <w:tc>
          <w:tcPr>
            <w:tcW w:w="1075" w:type="dxa"/>
            <w:noWrap/>
            <w:vAlign w:val="center"/>
            <w:hideMark/>
          </w:tcPr>
          <w:p w14:paraId="328F05D7"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33DFD010"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IB</w:t>
            </w:r>
          </w:p>
        </w:tc>
        <w:tc>
          <w:tcPr>
            <w:tcW w:w="2772" w:type="dxa"/>
            <w:vAlign w:val="center"/>
            <w:hideMark/>
          </w:tcPr>
          <w:p w14:paraId="2C3DD02D"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0.664</w:t>
            </w:r>
          </w:p>
        </w:tc>
      </w:tr>
      <w:tr w:rsidR="007144CC" w:rsidRPr="00061B56" w14:paraId="09E840A4" w14:textId="77777777" w:rsidTr="00AF75C0">
        <w:trPr>
          <w:trHeight w:val="282"/>
        </w:trPr>
        <w:tc>
          <w:tcPr>
            <w:tcW w:w="2799" w:type="dxa"/>
            <w:vAlign w:val="center"/>
            <w:hideMark/>
          </w:tcPr>
          <w:p w14:paraId="6930C73A"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Q27</w:t>
            </w:r>
          </w:p>
        </w:tc>
        <w:tc>
          <w:tcPr>
            <w:tcW w:w="1075" w:type="dxa"/>
            <w:noWrap/>
            <w:vAlign w:val="center"/>
            <w:hideMark/>
          </w:tcPr>
          <w:p w14:paraId="0F57F349"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3C1CEA9F"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IB</w:t>
            </w:r>
          </w:p>
        </w:tc>
        <w:tc>
          <w:tcPr>
            <w:tcW w:w="2772" w:type="dxa"/>
            <w:vAlign w:val="center"/>
            <w:hideMark/>
          </w:tcPr>
          <w:p w14:paraId="3C61AAF5"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0.852</w:t>
            </w:r>
          </w:p>
        </w:tc>
      </w:tr>
      <w:tr w:rsidR="007144CC" w:rsidRPr="00061B56" w14:paraId="1408A495" w14:textId="77777777" w:rsidTr="00AF75C0">
        <w:trPr>
          <w:trHeight w:val="282"/>
        </w:trPr>
        <w:tc>
          <w:tcPr>
            <w:tcW w:w="2799" w:type="dxa"/>
            <w:vAlign w:val="center"/>
            <w:hideMark/>
          </w:tcPr>
          <w:p w14:paraId="2E047991"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Q28</w:t>
            </w:r>
          </w:p>
        </w:tc>
        <w:tc>
          <w:tcPr>
            <w:tcW w:w="1075" w:type="dxa"/>
            <w:noWrap/>
            <w:vAlign w:val="center"/>
            <w:hideMark/>
          </w:tcPr>
          <w:p w14:paraId="7CB88D08"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4F07788C"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IB</w:t>
            </w:r>
          </w:p>
        </w:tc>
        <w:tc>
          <w:tcPr>
            <w:tcW w:w="2772" w:type="dxa"/>
            <w:vAlign w:val="center"/>
            <w:hideMark/>
          </w:tcPr>
          <w:p w14:paraId="6CA86A73"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0.81</w:t>
            </w:r>
          </w:p>
        </w:tc>
      </w:tr>
      <w:tr w:rsidR="007144CC" w:rsidRPr="00061B56" w14:paraId="51279117" w14:textId="77777777" w:rsidTr="00AF75C0">
        <w:trPr>
          <w:trHeight w:val="293"/>
        </w:trPr>
        <w:tc>
          <w:tcPr>
            <w:tcW w:w="2799" w:type="dxa"/>
            <w:vAlign w:val="center"/>
            <w:hideMark/>
          </w:tcPr>
          <w:p w14:paraId="2A9EA3B3"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Q29</w:t>
            </w:r>
          </w:p>
        </w:tc>
        <w:tc>
          <w:tcPr>
            <w:tcW w:w="1075" w:type="dxa"/>
            <w:noWrap/>
            <w:vAlign w:val="center"/>
            <w:hideMark/>
          </w:tcPr>
          <w:p w14:paraId="22FACD04"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0A97D4C5"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IB</w:t>
            </w:r>
          </w:p>
        </w:tc>
        <w:tc>
          <w:tcPr>
            <w:tcW w:w="2772" w:type="dxa"/>
            <w:vAlign w:val="center"/>
            <w:hideMark/>
          </w:tcPr>
          <w:p w14:paraId="7DCA3386"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0.804</w:t>
            </w:r>
          </w:p>
        </w:tc>
      </w:tr>
      <w:tr w:rsidR="007144CC" w:rsidRPr="00061B56" w14:paraId="14C825BA" w14:textId="77777777" w:rsidTr="00AF75C0">
        <w:trPr>
          <w:trHeight w:val="282"/>
        </w:trPr>
        <w:tc>
          <w:tcPr>
            <w:tcW w:w="2799" w:type="dxa"/>
            <w:vAlign w:val="center"/>
            <w:hideMark/>
          </w:tcPr>
          <w:p w14:paraId="75F61178"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Q30</w:t>
            </w:r>
          </w:p>
        </w:tc>
        <w:tc>
          <w:tcPr>
            <w:tcW w:w="1075" w:type="dxa"/>
            <w:noWrap/>
            <w:vAlign w:val="center"/>
            <w:hideMark/>
          </w:tcPr>
          <w:p w14:paraId="7C091AEE"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045B23DC"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CER</w:t>
            </w:r>
          </w:p>
        </w:tc>
        <w:tc>
          <w:tcPr>
            <w:tcW w:w="2772" w:type="dxa"/>
            <w:vAlign w:val="center"/>
            <w:hideMark/>
          </w:tcPr>
          <w:p w14:paraId="377B6B17"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0.699</w:t>
            </w:r>
          </w:p>
        </w:tc>
      </w:tr>
      <w:tr w:rsidR="007144CC" w:rsidRPr="00061B56" w14:paraId="03379621" w14:textId="77777777" w:rsidTr="00AF75C0">
        <w:trPr>
          <w:trHeight w:val="282"/>
        </w:trPr>
        <w:tc>
          <w:tcPr>
            <w:tcW w:w="2799" w:type="dxa"/>
            <w:vAlign w:val="center"/>
            <w:hideMark/>
          </w:tcPr>
          <w:p w14:paraId="5D5C1846"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Q31</w:t>
            </w:r>
          </w:p>
        </w:tc>
        <w:tc>
          <w:tcPr>
            <w:tcW w:w="1075" w:type="dxa"/>
            <w:noWrap/>
            <w:vAlign w:val="center"/>
            <w:hideMark/>
          </w:tcPr>
          <w:p w14:paraId="311C2F1D"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214844C7"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CER</w:t>
            </w:r>
          </w:p>
        </w:tc>
        <w:tc>
          <w:tcPr>
            <w:tcW w:w="2772" w:type="dxa"/>
            <w:vAlign w:val="center"/>
            <w:hideMark/>
          </w:tcPr>
          <w:p w14:paraId="6C834694"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0.798</w:t>
            </w:r>
          </w:p>
        </w:tc>
      </w:tr>
      <w:tr w:rsidR="007144CC" w:rsidRPr="00061B56" w14:paraId="51121D79" w14:textId="77777777" w:rsidTr="00AF75C0">
        <w:trPr>
          <w:trHeight w:val="282"/>
        </w:trPr>
        <w:tc>
          <w:tcPr>
            <w:tcW w:w="2799" w:type="dxa"/>
            <w:vAlign w:val="center"/>
            <w:hideMark/>
          </w:tcPr>
          <w:p w14:paraId="068714EF"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Q32</w:t>
            </w:r>
          </w:p>
        </w:tc>
        <w:tc>
          <w:tcPr>
            <w:tcW w:w="1075" w:type="dxa"/>
            <w:noWrap/>
            <w:vAlign w:val="center"/>
            <w:hideMark/>
          </w:tcPr>
          <w:p w14:paraId="073AB6FF"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728B1882"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CER</w:t>
            </w:r>
          </w:p>
        </w:tc>
        <w:tc>
          <w:tcPr>
            <w:tcW w:w="2772" w:type="dxa"/>
            <w:vAlign w:val="center"/>
            <w:hideMark/>
          </w:tcPr>
          <w:p w14:paraId="5D3839E6"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0.727</w:t>
            </w:r>
          </w:p>
        </w:tc>
      </w:tr>
      <w:tr w:rsidR="007144CC" w:rsidRPr="00061B56" w14:paraId="406C8BC4" w14:textId="77777777" w:rsidTr="00AF75C0">
        <w:trPr>
          <w:trHeight w:val="282"/>
        </w:trPr>
        <w:tc>
          <w:tcPr>
            <w:tcW w:w="2799" w:type="dxa"/>
            <w:vAlign w:val="center"/>
            <w:hideMark/>
          </w:tcPr>
          <w:p w14:paraId="3F017A88"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Q33</w:t>
            </w:r>
          </w:p>
        </w:tc>
        <w:tc>
          <w:tcPr>
            <w:tcW w:w="1075" w:type="dxa"/>
            <w:noWrap/>
            <w:vAlign w:val="center"/>
            <w:hideMark/>
          </w:tcPr>
          <w:p w14:paraId="36C68980"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vAlign w:val="center"/>
            <w:hideMark/>
          </w:tcPr>
          <w:p w14:paraId="7995C206"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CER</w:t>
            </w:r>
          </w:p>
        </w:tc>
        <w:tc>
          <w:tcPr>
            <w:tcW w:w="2772" w:type="dxa"/>
            <w:vAlign w:val="center"/>
            <w:hideMark/>
          </w:tcPr>
          <w:p w14:paraId="014147CF"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0.667</w:t>
            </w:r>
          </w:p>
        </w:tc>
      </w:tr>
      <w:tr w:rsidR="007144CC" w:rsidRPr="00061B56" w14:paraId="22DB1116" w14:textId="77777777" w:rsidTr="00AF75C0">
        <w:trPr>
          <w:trHeight w:val="293"/>
        </w:trPr>
        <w:tc>
          <w:tcPr>
            <w:tcW w:w="2799" w:type="dxa"/>
            <w:tcBorders>
              <w:bottom w:val="single" w:sz="8" w:space="0" w:color="auto"/>
            </w:tcBorders>
            <w:vAlign w:val="center"/>
            <w:hideMark/>
          </w:tcPr>
          <w:p w14:paraId="1F3AC78E"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Q34</w:t>
            </w:r>
          </w:p>
        </w:tc>
        <w:tc>
          <w:tcPr>
            <w:tcW w:w="1075" w:type="dxa"/>
            <w:tcBorders>
              <w:bottom w:val="single" w:sz="8" w:space="0" w:color="auto"/>
            </w:tcBorders>
            <w:noWrap/>
            <w:vAlign w:val="center"/>
            <w:hideMark/>
          </w:tcPr>
          <w:p w14:paraId="2D06605D" w14:textId="77777777" w:rsidR="007144CC" w:rsidRPr="00061B56" w:rsidRDefault="007144CC" w:rsidP="00AF75C0">
            <w:pPr>
              <w:spacing w:after="0" w:line="240" w:lineRule="auto"/>
              <w:rPr>
                <w:rFonts w:ascii="Garamond" w:eastAsia="Times New Roman" w:hAnsi="Garamond" w:cs="Calibri"/>
                <w:color w:val="000000"/>
                <w:lang w:eastAsia="en-GB"/>
              </w:rPr>
            </w:pPr>
            <w:r w:rsidRPr="00061B56">
              <w:rPr>
                <w:rFonts w:ascii="Garamond" w:eastAsia="Times New Roman" w:hAnsi="Garamond" w:cs="Calibri"/>
                <w:color w:val="000000"/>
                <w:lang w:eastAsia="en-GB"/>
              </w:rPr>
              <w:t>&lt;---</w:t>
            </w:r>
          </w:p>
        </w:tc>
        <w:tc>
          <w:tcPr>
            <w:tcW w:w="2173" w:type="dxa"/>
            <w:tcBorders>
              <w:bottom w:val="single" w:sz="8" w:space="0" w:color="auto"/>
            </w:tcBorders>
            <w:vAlign w:val="center"/>
            <w:hideMark/>
          </w:tcPr>
          <w:p w14:paraId="68AB9817" w14:textId="77777777" w:rsidR="007144CC" w:rsidRPr="00061B56" w:rsidRDefault="007144CC" w:rsidP="00AF75C0">
            <w:pPr>
              <w:spacing w:after="0" w:line="240" w:lineRule="auto"/>
              <w:jc w:val="center"/>
              <w:rPr>
                <w:rFonts w:ascii="Garamond" w:eastAsia="Times New Roman" w:hAnsi="Garamond" w:cs="Calibri"/>
                <w:color w:val="000000"/>
                <w:lang w:eastAsia="en-GB"/>
              </w:rPr>
            </w:pPr>
            <w:r w:rsidRPr="00061B56">
              <w:rPr>
                <w:rFonts w:ascii="Garamond" w:eastAsia="Times New Roman" w:hAnsi="Garamond" w:cs="Calibri"/>
                <w:color w:val="000000"/>
                <w:lang w:eastAsia="en-GB"/>
              </w:rPr>
              <w:t>CER</w:t>
            </w:r>
          </w:p>
        </w:tc>
        <w:tc>
          <w:tcPr>
            <w:tcW w:w="2772" w:type="dxa"/>
            <w:tcBorders>
              <w:bottom w:val="single" w:sz="8" w:space="0" w:color="auto"/>
            </w:tcBorders>
            <w:vAlign w:val="center"/>
            <w:hideMark/>
          </w:tcPr>
          <w:p w14:paraId="19F68F10" w14:textId="77777777" w:rsidR="007144CC" w:rsidRPr="00061B56" w:rsidRDefault="007144CC" w:rsidP="00AF75C0">
            <w:pPr>
              <w:spacing w:after="0" w:line="240" w:lineRule="auto"/>
              <w:ind w:firstLineChars="100" w:firstLine="220"/>
              <w:jc w:val="right"/>
              <w:rPr>
                <w:rFonts w:ascii="Garamond" w:eastAsia="Times New Roman" w:hAnsi="Garamond" w:cs="Calibri"/>
                <w:color w:val="000000"/>
                <w:lang w:eastAsia="en-GB"/>
              </w:rPr>
            </w:pPr>
            <w:r w:rsidRPr="00061B56">
              <w:rPr>
                <w:rFonts w:ascii="Garamond" w:eastAsia="Times New Roman" w:hAnsi="Garamond" w:cs="Calibri"/>
                <w:color w:val="000000"/>
                <w:lang w:eastAsia="en-GB"/>
              </w:rPr>
              <w:t>0.849</w:t>
            </w:r>
          </w:p>
        </w:tc>
      </w:tr>
    </w:tbl>
    <w:p w14:paraId="492B3C47" w14:textId="77777777" w:rsidR="007144CC" w:rsidRPr="00061B56" w:rsidRDefault="007144CC" w:rsidP="007144CC">
      <w:pPr>
        <w:jc w:val="both"/>
        <w:rPr>
          <w:rFonts w:ascii="Garamond" w:hAnsi="Garamond" w:cs="Times New Roman"/>
          <w:bCs/>
          <w:sz w:val="24"/>
          <w:szCs w:val="24"/>
        </w:rPr>
      </w:pPr>
    </w:p>
    <w:p w14:paraId="1AB44DFB" w14:textId="77777777" w:rsidR="007144CC" w:rsidRPr="00061B56" w:rsidRDefault="007144CC" w:rsidP="007144CC">
      <w:pPr>
        <w:jc w:val="both"/>
        <w:rPr>
          <w:rFonts w:ascii="Times New Roman" w:hAnsi="Times New Roman" w:cs="Times New Roman"/>
          <w:bCs/>
          <w:sz w:val="24"/>
          <w:szCs w:val="24"/>
        </w:rPr>
      </w:pPr>
    </w:p>
    <w:p w14:paraId="12205607" w14:textId="77777777" w:rsidR="007144CC" w:rsidRPr="00061B56" w:rsidRDefault="007144CC" w:rsidP="007144CC">
      <w:pPr>
        <w:spacing w:line="360" w:lineRule="auto"/>
        <w:jc w:val="both"/>
        <w:rPr>
          <w:rFonts w:ascii="Times New Roman" w:hAnsi="Times New Roman" w:cs="Times New Roman"/>
          <w:bCs/>
          <w:sz w:val="24"/>
          <w:szCs w:val="24"/>
        </w:rPr>
      </w:pPr>
    </w:p>
    <w:p w14:paraId="7D90F4B9" w14:textId="77777777" w:rsidR="007144CC" w:rsidRPr="00061B56" w:rsidRDefault="007144CC" w:rsidP="007144CC">
      <w:pPr>
        <w:spacing w:line="360" w:lineRule="auto"/>
        <w:jc w:val="both"/>
        <w:rPr>
          <w:rFonts w:ascii="Times New Roman" w:hAnsi="Times New Roman" w:cs="Times New Roman"/>
          <w:bCs/>
          <w:sz w:val="24"/>
          <w:szCs w:val="24"/>
        </w:rPr>
      </w:pPr>
    </w:p>
    <w:p w14:paraId="3D096786" w14:textId="77777777" w:rsidR="007144CC" w:rsidRPr="00061B56" w:rsidRDefault="007144CC" w:rsidP="007144CC">
      <w:pPr>
        <w:spacing w:line="360" w:lineRule="auto"/>
        <w:jc w:val="both"/>
        <w:rPr>
          <w:rFonts w:ascii="Times New Roman" w:hAnsi="Times New Roman" w:cs="Times New Roman"/>
          <w:bCs/>
          <w:sz w:val="24"/>
          <w:szCs w:val="24"/>
        </w:rPr>
      </w:pPr>
    </w:p>
    <w:p w14:paraId="2CD56582" w14:textId="77777777" w:rsidR="007144CC" w:rsidRPr="00061B56" w:rsidRDefault="007144CC" w:rsidP="007144CC">
      <w:pPr>
        <w:spacing w:line="360" w:lineRule="auto"/>
        <w:jc w:val="both"/>
        <w:rPr>
          <w:rFonts w:ascii="Times New Roman" w:hAnsi="Times New Roman" w:cs="Times New Roman"/>
          <w:bCs/>
          <w:sz w:val="24"/>
          <w:szCs w:val="24"/>
        </w:rPr>
      </w:pPr>
    </w:p>
    <w:p w14:paraId="11A4004D" w14:textId="77777777" w:rsidR="007144CC" w:rsidRPr="00061B56" w:rsidRDefault="007144CC" w:rsidP="007144CC">
      <w:pPr>
        <w:spacing w:line="360" w:lineRule="auto"/>
        <w:jc w:val="both"/>
        <w:rPr>
          <w:rFonts w:ascii="Garamond" w:hAnsi="Garamond" w:cs="Arial"/>
          <w:b/>
          <w:bCs/>
        </w:rPr>
      </w:pPr>
      <w:r w:rsidRPr="00061B56">
        <w:rPr>
          <w:rFonts w:ascii="Garamond" w:hAnsi="Garamond" w:cs="Arial"/>
          <w:b/>
          <w:bCs/>
        </w:rPr>
        <w:t xml:space="preserve">Table 4: Composite Reliability and Average Variability Extracted </w:t>
      </w:r>
    </w:p>
    <w:tbl>
      <w:tblPr>
        <w:tblW w:w="7928" w:type="dxa"/>
        <w:tblLook w:val="04A0" w:firstRow="1" w:lastRow="0" w:firstColumn="1" w:lastColumn="0" w:noHBand="0" w:noVBand="1"/>
      </w:tblPr>
      <w:tblGrid>
        <w:gridCol w:w="5377"/>
        <w:gridCol w:w="1363"/>
        <w:gridCol w:w="1188"/>
      </w:tblGrid>
      <w:tr w:rsidR="007144CC" w:rsidRPr="00061B56" w14:paraId="69ED523D" w14:textId="77777777" w:rsidTr="00AF75C0">
        <w:trPr>
          <w:trHeight w:val="321"/>
        </w:trPr>
        <w:tc>
          <w:tcPr>
            <w:tcW w:w="5377" w:type="dxa"/>
            <w:tcBorders>
              <w:top w:val="single" w:sz="4" w:space="0" w:color="auto"/>
              <w:bottom w:val="single" w:sz="8" w:space="0" w:color="auto"/>
            </w:tcBorders>
            <w:noWrap/>
            <w:vAlign w:val="bottom"/>
            <w:hideMark/>
          </w:tcPr>
          <w:p w14:paraId="5BAC35CE" w14:textId="77777777" w:rsidR="007144CC" w:rsidRPr="00061B56" w:rsidRDefault="007144CC" w:rsidP="00AF75C0">
            <w:pPr>
              <w:spacing w:after="0" w:line="240" w:lineRule="auto"/>
              <w:rPr>
                <w:rFonts w:ascii="Garamond" w:eastAsia="Times New Roman" w:hAnsi="Garamond" w:cs="Arial"/>
                <w:b/>
                <w:bCs/>
                <w:color w:val="000000"/>
                <w:lang w:eastAsia="en-GB"/>
              </w:rPr>
            </w:pPr>
            <w:r w:rsidRPr="00061B56">
              <w:rPr>
                <w:rFonts w:ascii="Garamond" w:eastAsia="Times New Roman" w:hAnsi="Garamond" w:cs="Arial"/>
                <w:b/>
                <w:bCs/>
                <w:color w:val="000000"/>
                <w:lang w:eastAsia="en-GB"/>
              </w:rPr>
              <w:t>Factor</w:t>
            </w:r>
          </w:p>
        </w:tc>
        <w:tc>
          <w:tcPr>
            <w:tcW w:w="1363" w:type="dxa"/>
            <w:tcBorders>
              <w:top w:val="single" w:sz="4" w:space="0" w:color="auto"/>
              <w:bottom w:val="single" w:sz="8" w:space="0" w:color="auto"/>
            </w:tcBorders>
            <w:noWrap/>
            <w:vAlign w:val="bottom"/>
            <w:hideMark/>
          </w:tcPr>
          <w:p w14:paraId="789903A3" w14:textId="77777777" w:rsidR="007144CC" w:rsidRPr="00061B56" w:rsidRDefault="007144CC" w:rsidP="00AF75C0">
            <w:pPr>
              <w:spacing w:after="0" w:line="240" w:lineRule="auto"/>
              <w:rPr>
                <w:rFonts w:ascii="Garamond" w:eastAsia="Times New Roman" w:hAnsi="Garamond" w:cs="Arial"/>
                <w:b/>
                <w:bCs/>
                <w:color w:val="000000"/>
                <w:lang w:eastAsia="en-GB"/>
              </w:rPr>
            </w:pPr>
            <w:r w:rsidRPr="00061B56">
              <w:rPr>
                <w:rFonts w:ascii="Garamond" w:eastAsia="Times New Roman" w:hAnsi="Garamond" w:cs="Arial"/>
                <w:b/>
                <w:bCs/>
                <w:color w:val="000000"/>
                <w:lang w:eastAsia="en-GB"/>
              </w:rPr>
              <w:t>Composite Reliability</w:t>
            </w:r>
          </w:p>
        </w:tc>
        <w:tc>
          <w:tcPr>
            <w:tcW w:w="1188" w:type="dxa"/>
            <w:tcBorders>
              <w:top w:val="single" w:sz="4" w:space="0" w:color="auto"/>
              <w:bottom w:val="single" w:sz="8" w:space="0" w:color="auto"/>
            </w:tcBorders>
            <w:noWrap/>
            <w:vAlign w:val="bottom"/>
            <w:hideMark/>
          </w:tcPr>
          <w:p w14:paraId="212D8252" w14:textId="77777777" w:rsidR="007144CC" w:rsidRPr="00061B56" w:rsidRDefault="007144CC" w:rsidP="00AF75C0">
            <w:pPr>
              <w:spacing w:after="0" w:line="240" w:lineRule="auto"/>
              <w:jc w:val="right"/>
              <w:rPr>
                <w:rFonts w:ascii="Garamond" w:eastAsia="Times New Roman" w:hAnsi="Garamond" w:cs="Arial"/>
                <w:b/>
                <w:bCs/>
                <w:color w:val="000000"/>
                <w:lang w:eastAsia="en-GB"/>
              </w:rPr>
            </w:pPr>
            <w:r w:rsidRPr="00061B56">
              <w:rPr>
                <w:rFonts w:ascii="Garamond" w:eastAsia="Times New Roman" w:hAnsi="Garamond" w:cs="Arial"/>
                <w:b/>
                <w:bCs/>
                <w:color w:val="000000"/>
                <w:lang w:eastAsia="en-GB"/>
              </w:rPr>
              <w:t>AVE</w:t>
            </w:r>
          </w:p>
        </w:tc>
      </w:tr>
      <w:tr w:rsidR="007144CC" w:rsidRPr="00061B56" w14:paraId="48E9A60D" w14:textId="77777777" w:rsidTr="00AF75C0">
        <w:trPr>
          <w:trHeight w:val="307"/>
        </w:trPr>
        <w:tc>
          <w:tcPr>
            <w:tcW w:w="5377" w:type="dxa"/>
            <w:tcBorders>
              <w:top w:val="single" w:sz="8" w:space="0" w:color="auto"/>
            </w:tcBorders>
            <w:noWrap/>
            <w:vAlign w:val="bottom"/>
            <w:hideMark/>
          </w:tcPr>
          <w:p w14:paraId="5078CED1" w14:textId="77777777" w:rsidR="007144CC" w:rsidRPr="00061B56" w:rsidRDefault="007144CC" w:rsidP="00AF75C0">
            <w:pPr>
              <w:spacing w:after="0" w:line="240" w:lineRule="auto"/>
              <w:rPr>
                <w:rFonts w:ascii="Garamond" w:eastAsia="Times New Roman" w:hAnsi="Garamond" w:cs="Arial"/>
                <w:color w:val="000000"/>
                <w:lang w:eastAsia="en-GB"/>
              </w:rPr>
            </w:pPr>
            <w:r w:rsidRPr="00061B56">
              <w:rPr>
                <w:rFonts w:ascii="Garamond" w:eastAsia="Times New Roman" w:hAnsi="Garamond" w:cs="Arial"/>
                <w:color w:val="000000"/>
                <w:lang w:eastAsia="en-GB"/>
              </w:rPr>
              <w:t>Energy Efficiency Orientation (EEEO)</w:t>
            </w:r>
          </w:p>
        </w:tc>
        <w:tc>
          <w:tcPr>
            <w:tcW w:w="1363" w:type="dxa"/>
            <w:tcBorders>
              <w:top w:val="single" w:sz="8" w:space="0" w:color="auto"/>
            </w:tcBorders>
            <w:noWrap/>
            <w:vAlign w:val="bottom"/>
            <w:hideMark/>
          </w:tcPr>
          <w:p w14:paraId="45A30DE7"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0.83</w:t>
            </w:r>
          </w:p>
        </w:tc>
        <w:tc>
          <w:tcPr>
            <w:tcW w:w="1188" w:type="dxa"/>
            <w:tcBorders>
              <w:top w:val="single" w:sz="8" w:space="0" w:color="auto"/>
            </w:tcBorders>
            <w:noWrap/>
            <w:vAlign w:val="bottom"/>
            <w:hideMark/>
          </w:tcPr>
          <w:p w14:paraId="1B5938ED"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0.59</w:t>
            </w:r>
          </w:p>
        </w:tc>
      </w:tr>
      <w:tr w:rsidR="007144CC" w:rsidRPr="00061B56" w14:paraId="68230D68" w14:textId="77777777" w:rsidTr="00AF75C0">
        <w:trPr>
          <w:trHeight w:val="307"/>
        </w:trPr>
        <w:tc>
          <w:tcPr>
            <w:tcW w:w="5377" w:type="dxa"/>
            <w:noWrap/>
            <w:vAlign w:val="bottom"/>
            <w:hideMark/>
          </w:tcPr>
          <w:p w14:paraId="46942547" w14:textId="77777777" w:rsidR="007144CC" w:rsidRPr="00061B56" w:rsidRDefault="007144CC" w:rsidP="00AF75C0">
            <w:pPr>
              <w:spacing w:after="0" w:line="240" w:lineRule="auto"/>
              <w:rPr>
                <w:rFonts w:ascii="Garamond" w:eastAsia="Times New Roman" w:hAnsi="Garamond" w:cs="Arial"/>
                <w:color w:val="000000"/>
                <w:lang w:eastAsia="en-GB"/>
              </w:rPr>
            </w:pPr>
            <w:r w:rsidRPr="00061B56">
              <w:rPr>
                <w:rFonts w:ascii="Garamond" w:eastAsia="Times New Roman" w:hAnsi="Garamond" w:cs="Arial"/>
                <w:color w:val="000000"/>
                <w:lang w:eastAsia="en-GB"/>
              </w:rPr>
              <w:t>Green Planning (GP)</w:t>
            </w:r>
          </w:p>
        </w:tc>
        <w:tc>
          <w:tcPr>
            <w:tcW w:w="1363" w:type="dxa"/>
            <w:noWrap/>
            <w:vAlign w:val="bottom"/>
            <w:hideMark/>
          </w:tcPr>
          <w:p w14:paraId="3C66E57E"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0.83</w:t>
            </w:r>
          </w:p>
        </w:tc>
        <w:tc>
          <w:tcPr>
            <w:tcW w:w="1188" w:type="dxa"/>
            <w:noWrap/>
            <w:vAlign w:val="bottom"/>
            <w:hideMark/>
          </w:tcPr>
          <w:p w14:paraId="527EDE4D"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0.73</w:t>
            </w:r>
          </w:p>
        </w:tc>
      </w:tr>
      <w:tr w:rsidR="007144CC" w:rsidRPr="00061B56" w14:paraId="1E0A6339" w14:textId="77777777" w:rsidTr="00AF75C0">
        <w:trPr>
          <w:trHeight w:val="307"/>
        </w:trPr>
        <w:tc>
          <w:tcPr>
            <w:tcW w:w="5377" w:type="dxa"/>
            <w:noWrap/>
            <w:vAlign w:val="bottom"/>
            <w:hideMark/>
          </w:tcPr>
          <w:p w14:paraId="23C63C07" w14:textId="77777777" w:rsidR="007144CC" w:rsidRPr="00061B56" w:rsidRDefault="007144CC" w:rsidP="00AF75C0">
            <w:pPr>
              <w:spacing w:after="0" w:line="240" w:lineRule="auto"/>
              <w:rPr>
                <w:rFonts w:ascii="Garamond" w:eastAsia="Times New Roman" w:hAnsi="Garamond" w:cs="Arial"/>
                <w:color w:val="000000"/>
                <w:lang w:eastAsia="en-GB"/>
              </w:rPr>
            </w:pPr>
            <w:r w:rsidRPr="00061B56">
              <w:rPr>
                <w:rFonts w:ascii="Garamond" w:eastAsia="Times New Roman" w:hAnsi="Garamond" w:cs="Arial"/>
                <w:color w:val="000000"/>
                <w:lang w:eastAsia="en-GB"/>
              </w:rPr>
              <w:t>Green Networking (GN)</w:t>
            </w:r>
          </w:p>
        </w:tc>
        <w:tc>
          <w:tcPr>
            <w:tcW w:w="1363" w:type="dxa"/>
            <w:noWrap/>
            <w:vAlign w:val="bottom"/>
            <w:hideMark/>
          </w:tcPr>
          <w:p w14:paraId="06F9ABF1"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0.84</w:t>
            </w:r>
          </w:p>
        </w:tc>
        <w:tc>
          <w:tcPr>
            <w:tcW w:w="1188" w:type="dxa"/>
            <w:noWrap/>
            <w:vAlign w:val="bottom"/>
            <w:hideMark/>
          </w:tcPr>
          <w:p w14:paraId="3345F666"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0.40</w:t>
            </w:r>
          </w:p>
        </w:tc>
      </w:tr>
      <w:tr w:rsidR="007144CC" w:rsidRPr="00061B56" w14:paraId="27168689" w14:textId="77777777" w:rsidTr="00AF75C0">
        <w:trPr>
          <w:trHeight w:val="307"/>
        </w:trPr>
        <w:tc>
          <w:tcPr>
            <w:tcW w:w="5377" w:type="dxa"/>
            <w:noWrap/>
            <w:vAlign w:val="bottom"/>
            <w:hideMark/>
          </w:tcPr>
          <w:p w14:paraId="0F8D5614" w14:textId="77777777" w:rsidR="007144CC" w:rsidRPr="00061B56" w:rsidRDefault="007144CC" w:rsidP="00AF75C0">
            <w:pPr>
              <w:spacing w:after="0" w:line="240" w:lineRule="auto"/>
              <w:rPr>
                <w:rFonts w:ascii="Garamond" w:eastAsia="Times New Roman" w:hAnsi="Garamond" w:cs="Arial"/>
                <w:color w:val="000000"/>
                <w:lang w:eastAsia="en-GB"/>
              </w:rPr>
            </w:pPr>
            <w:r w:rsidRPr="00061B56">
              <w:rPr>
                <w:rFonts w:ascii="Garamond" w:eastAsia="Times New Roman" w:hAnsi="Garamond" w:cs="Arial"/>
                <w:color w:val="000000"/>
                <w:lang w:eastAsia="en-GB"/>
              </w:rPr>
              <w:t>Selection of Green SMEs (GI)</w:t>
            </w:r>
          </w:p>
        </w:tc>
        <w:tc>
          <w:tcPr>
            <w:tcW w:w="1363" w:type="dxa"/>
            <w:noWrap/>
            <w:vAlign w:val="bottom"/>
            <w:hideMark/>
          </w:tcPr>
          <w:p w14:paraId="3C2C04F9"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0.91</w:t>
            </w:r>
          </w:p>
        </w:tc>
        <w:tc>
          <w:tcPr>
            <w:tcW w:w="1188" w:type="dxa"/>
            <w:noWrap/>
            <w:vAlign w:val="bottom"/>
            <w:hideMark/>
          </w:tcPr>
          <w:p w14:paraId="7FC797C6"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0.83</w:t>
            </w:r>
          </w:p>
        </w:tc>
      </w:tr>
      <w:tr w:rsidR="007144CC" w:rsidRPr="00061B56" w14:paraId="0D9CE4B6" w14:textId="77777777" w:rsidTr="00AF75C0">
        <w:trPr>
          <w:trHeight w:val="307"/>
        </w:trPr>
        <w:tc>
          <w:tcPr>
            <w:tcW w:w="5377" w:type="dxa"/>
            <w:noWrap/>
            <w:vAlign w:val="bottom"/>
            <w:hideMark/>
          </w:tcPr>
          <w:p w14:paraId="2633F623" w14:textId="77777777" w:rsidR="007144CC" w:rsidRPr="00061B56" w:rsidRDefault="007144CC" w:rsidP="00AF75C0">
            <w:pPr>
              <w:spacing w:after="0" w:line="240" w:lineRule="auto"/>
              <w:rPr>
                <w:rFonts w:ascii="Garamond" w:eastAsia="Times New Roman" w:hAnsi="Garamond" w:cs="Arial"/>
                <w:color w:val="000000"/>
                <w:lang w:eastAsia="en-GB"/>
              </w:rPr>
            </w:pPr>
            <w:r w:rsidRPr="00061B56">
              <w:rPr>
                <w:rFonts w:ascii="Garamond" w:eastAsia="Times New Roman" w:hAnsi="Garamond" w:cs="Arial"/>
                <w:color w:val="000000"/>
                <w:lang w:eastAsia="en-GB"/>
              </w:rPr>
              <w:t>Identification of Barriers to Green Practices (IB)</w:t>
            </w:r>
          </w:p>
        </w:tc>
        <w:tc>
          <w:tcPr>
            <w:tcW w:w="1363" w:type="dxa"/>
            <w:noWrap/>
            <w:vAlign w:val="bottom"/>
            <w:hideMark/>
          </w:tcPr>
          <w:p w14:paraId="32765151"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0.91</w:t>
            </w:r>
          </w:p>
        </w:tc>
        <w:tc>
          <w:tcPr>
            <w:tcW w:w="1188" w:type="dxa"/>
            <w:noWrap/>
            <w:vAlign w:val="bottom"/>
            <w:hideMark/>
          </w:tcPr>
          <w:p w14:paraId="001A5789"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0.66</w:t>
            </w:r>
          </w:p>
        </w:tc>
      </w:tr>
      <w:tr w:rsidR="007144CC" w:rsidRPr="00061B56" w14:paraId="3F7377DA" w14:textId="77777777" w:rsidTr="00AF75C0">
        <w:trPr>
          <w:trHeight w:val="321"/>
        </w:trPr>
        <w:tc>
          <w:tcPr>
            <w:tcW w:w="5377" w:type="dxa"/>
            <w:tcBorders>
              <w:bottom w:val="single" w:sz="4" w:space="0" w:color="auto"/>
            </w:tcBorders>
            <w:noWrap/>
            <w:vAlign w:val="bottom"/>
            <w:hideMark/>
          </w:tcPr>
          <w:p w14:paraId="56FEC799" w14:textId="77777777" w:rsidR="007144CC" w:rsidRPr="00061B56" w:rsidRDefault="007144CC" w:rsidP="00AF75C0">
            <w:pPr>
              <w:spacing w:after="0" w:line="240" w:lineRule="auto"/>
              <w:rPr>
                <w:rFonts w:ascii="Garamond" w:eastAsia="Times New Roman" w:hAnsi="Garamond" w:cs="Arial"/>
                <w:color w:val="000000"/>
                <w:lang w:eastAsia="en-GB"/>
              </w:rPr>
            </w:pPr>
            <w:r w:rsidRPr="00061B56">
              <w:rPr>
                <w:rFonts w:ascii="Garamond" w:eastAsia="Times New Roman" w:hAnsi="Garamond" w:cs="Arial"/>
                <w:color w:val="000000"/>
                <w:lang w:eastAsia="en-GB"/>
              </w:rPr>
              <w:t>Carbon Emission Reduction (CER)</w:t>
            </w:r>
          </w:p>
        </w:tc>
        <w:tc>
          <w:tcPr>
            <w:tcW w:w="1363" w:type="dxa"/>
            <w:tcBorders>
              <w:bottom w:val="single" w:sz="4" w:space="0" w:color="auto"/>
            </w:tcBorders>
            <w:noWrap/>
            <w:vAlign w:val="bottom"/>
            <w:hideMark/>
          </w:tcPr>
          <w:p w14:paraId="073C2A9C"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0.86</w:t>
            </w:r>
          </w:p>
        </w:tc>
        <w:tc>
          <w:tcPr>
            <w:tcW w:w="1188" w:type="dxa"/>
            <w:tcBorders>
              <w:bottom w:val="single" w:sz="4" w:space="0" w:color="auto"/>
            </w:tcBorders>
            <w:noWrap/>
            <w:vAlign w:val="bottom"/>
            <w:hideMark/>
          </w:tcPr>
          <w:p w14:paraId="2A3B4930" w14:textId="77777777" w:rsidR="007144CC" w:rsidRPr="00061B56" w:rsidRDefault="007144CC" w:rsidP="00AF75C0">
            <w:pPr>
              <w:spacing w:after="0" w:line="240" w:lineRule="auto"/>
              <w:jc w:val="right"/>
              <w:rPr>
                <w:rFonts w:ascii="Garamond" w:eastAsia="Times New Roman" w:hAnsi="Garamond" w:cs="Arial"/>
                <w:color w:val="000000"/>
                <w:lang w:eastAsia="en-GB"/>
              </w:rPr>
            </w:pPr>
            <w:r w:rsidRPr="00061B56">
              <w:rPr>
                <w:rFonts w:ascii="Garamond" w:eastAsia="Times New Roman" w:hAnsi="Garamond" w:cs="Arial"/>
                <w:color w:val="000000"/>
                <w:lang w:eastAsia="en-GB"/>
              </w:rPr>
              <w:t>0.75</w:t>
            </w:r>
          </w:p>
        </w:tc>
      </w:tr>
    </w:tbl>
    <w:p w14:paraId="4BC9AFA0" w14:textId="77777777" w:rsidR="007144CC" w:rsidRPr="00061B56" w:rsidRDefault="007144CC" w:rsidP="007144CC">
      <w:pPr>
        <w:spacing w:line="360" w:lineRule="auto"/>
        <w:jc w:val="both"/>
        <w:rPr>
          <w:rFonts w:ascii="Arial" w:hAnsi="Arial" w:cs="Arial"/>
          <w:color w:val="FF0000"/>
        </w:rPr>
      </w:pPr>
    </w:p>
    <w:p w14:paraId="13636744" w14:textId="77777777" w:rsidR="007144CC" w:rsidRPr="00061B56" w:rsidRDefault="007144CC" w:rsidP="007144CC">
      <w:pPr>
        <w:spacing w:line="360" w:lineRule="auto"/>
        <w:jc w:val="both"/>
        <w:rPr>
          <w:rFonts w:ascii="Arial" w:hAnsi="Arial" w:cs="Arial"/>
          <w:b/>
          <w:bCs/>
        </w:rPr>
      </w:pPr>
    </w:p>
    <w:p w14:paraId="677D62E2" w14:textId="77777777" w:rsidR="007144CC" w:rsidRPr="00061B56" w:rsidRDefault="007144CC" w:rsidP="007144CC">
      <w:pPr>
        <w:spacing w:line="360" w:lineRule="auto"/>
        <w:jc w:val="both"/>
        <w:rPr>
          <w:rFonts w:ascii="Arial" w:hAnsi="Arial" w:cs="Arial"/>
          <w:b/>
          <w:bCs/>
        </w:rPr>
      </w:pPr>
    </w:p>
    <w:p w14:paraId="5047675F" w14:textId="77777777" w:rsidR="007144CC" w:rsidRPr="00061B56" w:rsidRDefault="007144CC" w:rsidP="007144CC">
      <w:pPr>
        <w:spacing w:line="360" w:lineRule="auto"/>
        <w:jc w:val="both"/>
        <w:rPr>
          <w:rFonts w:ascii="Arial" w:hAnsi="Arial" w:cs="Arial"/>
          <w:b/>
          <w:bCs/>
        </w:rPr>
      </w:pPr>
    </w:p>
    <w:p w14:paraId="5E55773C" w14:textId="77777777" w:rsidR="007144CC" w:rsidRPr="00061B56" w:rsidRDefault="007144CC" w:rsidP="007144CC">
      <w:pPr>
        <w:spacing w:line="360" w:lineRule="auto"/>
        <w:jc w:val="both"/>
        <w:rPr>
          <w:rFonts w:ascii="Arial" w:hAnsi="Arial" w:cs="Arial"/>
          <w:b/>
          <w:bCs/>
        </w:rPr>
      </w:pPr>
    </w:p>
    <w:p w14:paraId="0FCC1CD4" w14:textId="77777777" w:rsidR="007144CC" w:rsidRPr="00061B56" w:rsidRDefault="007144CC" w:rsidP="007144CC">
      <w:pPr>
        <w:spacing w:line="360" w:lineRule="auto"/>
        <w:jc w:val="both"/>
        <w:rPr>
          <w:rFonts w:ascii="Arial" w:hAnsi="Arial" w:cs="Arial"/>
          <w:b/>
          <w:bCs/>
        </w:rPr>
      </w:pPr>
    </w:p>
    <w:p w14:paraId="247AB74D" w14:textId="77777777" w:rsidR="007144CC" w:rsidRPr="00061B56" w:rsidRDefault="007144CC" w:rsidP="007144CC">
      <w:pPr>
        <w:spacing w:line="360" w:lineRule="auto"/>
        <w:jc w:val="both"/>
        <w:rPr>
          <w:rFonts w:ascii="Garamond" w:hAnsi="Garamond" w:cs="Arial"/>
          <w:b/>
          <w:bCs/>
        </w:rPr>
      </w:pPr>
      <w:bookmarkStart w:id="57" w:name="_Hlk141130969"/>
      <w:r w:rsidRPr="00061B56">
        <w:rPr>
          <w:rFonts w:ascii="Garamond" w:hAnsi="Garamond" w:cs="Arial"/>
          <w:b/>
          <w:bCs/>
        </w:rPr>
        <w:t>Table 5: Coefficients of parameters</w:t>
      </w:r>
    </w:p>
    <w:tbl>
      <w:tblPr>
        <w:tblW w:w="9068" w:type="dxa"/>
        <w:tblInd w:w="118" w:type="dxa"/>
        <w:tblLook w:val="04A0" w:firstRow="1" w:lastRow="0" w:firstColumn="1" w:lastColumn="0" w:noHBand="0" w:noVBand="1"/>
      </w:tblPr>
      <w:tblGrid>
        <w:gridCol w:w="1415"/>
        <w:gridCol w:w="629"/>
        <w:gridCol w:w="1394"/>
        <w:gridCol w:w="1072"/>
        <w:gridCol w:w="1240"/>
        <w:gridCol w:w="1133"/>
        <w:gridCol w:w="1100"/>
        <w:gridCol w:w="1085"/>
      </w:tblGrid>
      <w:tr w:rsidR="007144CC" w:rsidRPr="00061B56" w14:paraId="36211971" w14:textId="77777777" w:rsidTr="00AF75C0">
        <w:trPr>
          <w:trHeight w:val="285"/>
        </w:trPr>
        <w:tc>
          <w:tcPr>
            <w:tcW w:w="3438" w:type="dxa"/>
            <w:gridSpan w:val="3"/>
            <w:tcBorders>
              <w:top w:val="single" w:sz="8" w:space="0" w:color="auto"/>
            </w:tcBorders>
            <w:vAlign w:val="center"/>
            <w:hideMark/>
          </w:tcPr>
          <w:p w14:paraId="12D6C6FD" w14:textId="77777777" w:rsidR="007144CC" w:rsidRPr="00061B56" w:rsidRDefault="007144CC" w:rsidP="00AF75C0">
            <w:pPr>
              <w:spacing w:after="0" w:line="240" w:lineRule="auto"/>
              <w:jc w:val="center"/>
              <w:rPr>
                <w:rFonts w:ascii="Arial" w:eastAsia="Times New Roman" w:hAnsi="Arial" w:cs="Arial"/>
                <w:b/>
                <w:bCs/>
                <w:color w:val="000000"/>
                <w:sz w:val="20"/>
                <w:szCs w:val="20"/>
                <w:lang w:eastAsia="en-GB"/>
              </w:rPr>
            </w:pPr>
            <w:bookmarkStart w:id="58" w:name="_Hlk141840739"/>
            <w:r w:rsidRPr="00061B56">
              <w:rPr>
                <w:rFonts w:ascii="Arial" w:eastAsia="Times New Roman" w:hAnsi="Arial" w:cs="Arial"/>
                <w:b/>
                <w:bCs/>
                <w:color w:val="000000"/>
                <w:sz w:val="20"/>
                <w:szCs w:val="20"/>
                <w:lang w:eastAsia="en-GB"/>
              </w:rPr>
              <w:t>Parameter</w:t>
            </w:r>
          </w:p>
        </w:tc>
        <w:tc>
          <w:tcPr>
            <w:tcW w:w="1072" w:type="dxa"/>
            <w:tcBorders>
              <w:top w:val="single" w:sz="8" w:space="0" w:color="auto"/>
            </w:tcBorders>
            <w:vAlign w:val="center"/>
            <w:hideMark/>
          </w:tcPr>
          <w:p w14:paraId="549C8C5C" w14:textId="77777777" w:rsidR="007144CC" w:rsidRPr="00061B56" w:rsidRDefault="007144CC" w:rsidP="00AF75C0">
            <w:pPr>
              <w:spacing w:after="0" w:line="240" w:lineRule="auto"/>
              <w:jc w:val="both"/>
              <w:rPr>
                <w:rFonts w:ascii="Arial" w:eastAsia="Times New Roman" w:hAnsi="Arial" w:cs="Arial"/>
                <w:b/>
                <w:bCs/>
                <w:color w:val="000000"/>
                <w:sz w:val="20"/>
                <w:szCs w:val="20"/>
                <w:lang w:eastAsia="en-GB"/>
              </w:rPr>
            </w:pPr>
            <w:r w:rsidRPr="00061B56">
              <w:rPr>
                <w:rFonts w:ascii="Arial" w:eastAsia="Times New Roman" w:hAnsi="Arial" w:cs="Arial"/>
                <w:b/>
                <w:bCs/>
                <w:color w:val="000000"/>
                <w:sz w:val="20"/>
                <w:szCs w:val="20"/>
                <w:lang w:eastAsia="en-GB"/>
              </w:rPr>
              <w:t>Path</w:t>
            </w:r>
          </w:p>
        </w:tc>
        <w:tc>
          <w:tcPr>
            <w:tcW w:w="1240" w:type="dxa"/>
            <w:tcBorders>
              <w:top w:val="single" w:sz="8" w:space="0" w:color="auto"/>
            </w:tcBorders>
            <w:vAlign w:val="center"/>
            <w:hideMark/>
          </w:tcPr>
          <w:p w14:paraId="14C184F5" w14:textId="77777777" w:rsidR="007144CC" w:rsidRPr="00061B56" w:rsidRDefault="007144CC" w:rsidP="00AF75C0">
            <w:pPr>
              <w:spacing w:after="0" w:line="240" w:lineRule="auto"/>
              <w:jc w:val="both"/>
              <w:rPr>
                <w:rFonts w:ascii="Arial" w:eastAsia="Times New Roman" w:hAnsi="Arial" w:cs="Arial"/>
                <w:b/>
                <w:bCs/>
                <w:color w:val="000000"/>
                <w:sz w:val="20"/>
                <w:szCs w:val="20"/>
                <w:lang w:eastAsia="en-GB"/>
              </w:rPr>
            </w:pPr>
            <w:r w:rsidRPr="00061B56">
              <w:rPr>
                <w:rFonts w:ascii="Arial" w:eastAsia="Times New Roman" w:hAnsi="Arial" w:cs="Arial"/>
                <w:b/>
                <w:bCs/>
                <w:color w:val="000000"/>
                <w:sz w:val="20"/>
                <w:szCs w:val="20"/>
                <w:lang w:eastAsia="en-GB"/>
              </w:rPr>
              <w:t>Estimate</w:t>
            </w:r>
          </w:p>
        </w:tc>
        <w:tc>
          <w:tcPr>
            <w:tcW w:w="1133" w:type="dxa"/>
            <w:tcBorders>
              <w:top w:val="single" w:sz="8" w:space="0" w:color="auto"/>
            </w:tcBorders>
            <w:vAlign w:val="center"/>
            <w:hideMark/>
          </w:tcPr>
          <w:p w14:paraId="5F16752E" w14:textId="77777777" w:rsidR="007144CC" w:rsidRPr="00061B56" w:rsidRDefault="007144CC" w:rsidP="00AF75C0">
            <w:pPr>
              <w:spacing w:after="0" w:line="240" w:lineRule="auto"/>
              <w:jc w:val="both"/>
              <w:rPr>
                <w:rFonts w:ascii="Arial" w:eastAsia="Times New Roman" w:hAnsi="Arial" w:cs="Arial"/>
                <w:b/>
                <w:bCs/>
                <w:color w:val="000000"/>
                <w:sz w:val="20"/>
                <w:szCs w:val="20"/>
                <w:lang w:eastAsia="en-GB"/>
              </w:rPr>
            </w:pPr>
            <w:r w:rsidRPr="00061B56">
              <w:rPr>
                <w:rFonts w:ascii="Arial" w:eastAsia="Times New Roman" w:hAnsi="Arial" w:cs="Arial"/>
                <w:b/>
                <w:bCs/>
                <w:color w:val="000000"/>
                <w:sz w:val="20"/>
                <w:szCs w:val="20"/>
                <w:lang w:eastAsia="en-GB"/>
              </w:rPr>
              <w:t>Lower</w:t>
            </w:r>
          </w:p>
        </w:tc>
        <w:tc>
          <w:tcPr>
            <w:tcW w:w="1100" w:type="dxa"/>
            <w:tcBorders>
              <w:top w:val="single" w:sz="8" w:space="0" w:color="auto"/>
            </w:tcBorders>
            <w:vAlign w:val="center"/>
            <w:hideMark/>
          </w:tcPr>
          <w:p w14:paraId="7B9A5F2B" w14:textId="77777777" w:rsidR="007144CC" w:rsidRPr="00061B56" w:rsidRDefault="007144CC" w:rsidP="00AF75C0">
            <w:pPr>
              <w:spacing w:after="0" w:line="240" w:lineRule="auto"/>
              <w:jc w:val="both"/>
              <w:rPr>
                <w:rFonts w:ascii="Arial" w:eastAsia="Times New Roman" w:hAnsi="Arial" w:cs="Arial"/>
                <w:b/>
                <w:bCs/>
                <w:color w:val="000000"/>
                <w:sz w:val="20"/>
                <w:szCs w:val="20"/>
                <w:lang w:eastAsia="en-GB"/>
              </w:rPr>
            </w:pPr>
            <w:r w:rsidRPr="00061B56">
              <w:rPr>
                <w:rFonts w:ascii="Arial" w:eastAsia="Times New Roman" w:hAnsi="Arial" w:cs="Arial"/>
                <w:b/>
                <w:bCs/>
                <w:color w:val="000000"/>
                <w:sz w:val="20"/>
                <w:szCs w:val="20"/>
                <w:lang w:eastAsia="en-GB"/>
              </w:rPr>
              <w:t>Upper</w:t>
            </w:r>
          </w:p>
        </w:tc>
        <w:tc>
          <w:tcPr>
            <w:tcW w:w="1085" w:type="dxa"/>
            <w:tcBorders>
              <w:top w:val="single" w:sz="8" w:space="0" w:color="auto"/>
            </w:tcBorders>
            <w:vAlign w:val="center"/>
            <w:hideMark/>
          </w:tcPr>
          <w:p w14:paraId="6C41DF51" w14:textId="77777777" w:rsidR="007144CC" w:rsidRPr="00061B56" w:rsidRDefault="007144CC" w:rsidP="00AF75C0">
            <w:pPr>
              <w:spacing w:after="0" w:line="240" w:lineRule="auto"/>
              <w:jc w:val="both"/>
              <w:rPr>
                <w:rFonts w:ascii="Arial" w:eastAsia="Times New Roman" w:hAnsi="Arial" w:cs="Arial"/>
                <w:b/>
                <w:bCs/>
                <w:color w:val="000000"/>
                <w:sz w:val="20"/>
                <w:szCs w:val="20"/>
                <w:lang w:eastAsia="en-GB"/>
              </w:rPr>
            </w:pPr>
            <w:r w:rsidRPr="00061B56">
              <w:rPr>
                <w:rFonts w:ascii="Arial" w:eastAsia="Times New Roman" w:hAnsi="Arial" w:cs="Arial"/>
                <w:b/>
                <w:bCs/>
                <w:color w:val="000000"/>
                <w:sz w:val="20"/>
                <w:szCs w:val="20"/>
                <w:lang w:eastAsia="en-GB"/>
              </w:rPr>
              <w:t>P</w:t>
            </w:r>
          </w:p>
        </w:tc>
      </w:tr>
      <w:tr w:rsidR="007144CC" w:rsidRPr="00061B56" w14:paraId="7F8F5E52" w14:textId="77777777" w:rsidTr="00AF75C0">
        <w:trPr>
          <w:trHeight w:val="273"/>
        </w:trPr>
        <w:tc>
          <w:tcPr>
            <w:tcW w:w="1415" w:type="dxa"/>
            <w:tcBorders>
              <w:top w:val="nil"/>
            </w:tcBorders>
            <w:vAlign w:val="center"/>
            <w:hideMark/>
          </w:tcPr>
          <w:p w14:paraId="2ED9D6FF"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GP</w:t>
            </w:r>
          </w:p>
        </w:tc>
        <w:tc>
          <w:tcPr>
            <w:tcW w:w="629" w:type="dxa"/>
            <w:tcBorders>
              <w:top w:val="nil"/>
            </w:tcBorders>
            <w:noWrap/>
            <w:vAlign w:val="center"/>
            <w:hideMark/>
          </w:tcPr>
          <w:p w14:paraId="7619D165"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&lt;---</w:t>
            </w:r>
          </w:p>
        </w:tc>
        <w:tc>
          <w:tcPr>
            <w:tcW w:w="1393" w:type="dxa"/>
            <w:tcBorders>
              <w:top w:val="nil"/>
            </w:tcBorders>
            <w:vAlign w:val="center"/>
            <w:hideMark/>
          </w:tcPr>
          <w:p w14:paraId="57830AF3"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EEEO</w:t>
            </w:r>
          </w:p>
        </w:tc>
        <w:tc>
          <w:tcPr>
            <w:tcW w:w="1072" w:type="dxa"/>
            <w:tcBorders>
              <w:top w:val="nil"/>
            </w:tcBorders>
            <w:vAlign w:val="center"/>
            <w:hideMark/>
          </w:tcPr>
          <w:p w14:paraId="5947DE79" w14:textId="77777777" w:rsidR="007144CC" w:rsidRPr="00061B56" w:rsidRDefault="007144CC" w:rsidP="00AF75C0">
            <w:pPr>
              <w:spacing w:after="0" w:line="240" w:lineRule="auto"/>
              <w:jc w:val="center"/>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H2a</w:t>
            </w:r>
          </w:p>
        </w:tc>
        <w:tc>
          <w:tcPr>
            <w:tcW w:w="1240" w:type="dxa"/>
            <w:tcBorders>
              <w:top w:val="nil"/>
            </w:tcBorders>
            <w:vAlign w:val="center"/>
            <w:hideMark/>
          </w:tcPr>
          <w:p w14:paraId="352EABC3"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0.834</w:t>
            </w:r>
          </w:p>
        </w:tc>
        <w:tc>
          <w:tcPr>
            <w:tcW w:w="1133" w:type="dxa"/>
            <w:tcBorders>
              <w:top w:val="nil"/>
            </w:tcBorders>
            <w:vAlign w:val="center"/>
            <w:hideMark/>
          </w:tcPr>
          <w:p w14:paraId="5A802F94"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0.613</w:t>
            </w:r>
          </w:p>
        </w:tc>
        <w:tc>
          <w:tcPr>
            <w:tcW w:w="1100" w:type="dxa"/>
            <w:tcBorders>
              <w:top w:val="nil"/>
            </w:tcBorders>
            <w:vAlign w:val="center"/>
            <w:hideMark/>
          </w:tcPr>
          <w:p w14:paraId="02AE3582"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1.036</w:t>
            </w:r>
          </w:p>
        </w:tc>
        <w:tc>
          <w:tcPr>
            <w:tcW w:w="1085" w:type="dxa"/>
            <w:tcBorders>
              <w:top w:val="nil"/>
            </w:tcBorders>
            <w:vAlign w:val="center"/>
            <w:hideMark/>
          </w:tcPr>
          <w:p w14:paraId="70476F8D"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0.000</w:t>
            </w:r>
          </w:p>
        </w:tc>
      </w:tr>
      <w:tr w:rsidR="007144CC" w:rsidRPr="00061B56" w14:paraId="04456C50" w14:textId="77777777" w:rsidTr="00AF75C0">
        <w:trPr>
          <w:trHeight w:val="273"/>
        </w:trPr>
        <w:tc>
          <w:tcPr>
            <w:tcW w:w="1415" w:type="dxa"/>
            <w:vAlign w:val="center"/>
            <w:hideMark/>
          </w:tcPr>
          <w:p w14:paraId="3A226880"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GN</w:t>
            </w:r>
          </w:p>
        </w:tc>
        <w:tc>
          <w:tcPr>
            <w:tcW w:w="629" w:type="dxa"/>
            <w:noWrap/>
            <w:vAlign w:val="center"/>
            <w:hideMark/>
          </w:tcPr>
          <w:p w14:paraId="550FC1F4"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&lt;---</w:t>
            </w:r>
          </w:p>
        </w:tc>
        <w:tc>
          <w:tcPr>
            <w:tcW w:w="1393" w:type="dxa"/>
            <w:vAlign w:val="center"/>
            <w:hideMark/>
          </w:tcPr>
          <w:p w14:paraId="5890841B"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EEEO</w:t>
            </w:r>
          </w:p>
        </w:tc>
        <w:tc>
          <w:tcPr>
            <w:tcW w:w="1072" w:type="dxa"/>
            <w:vAlign w:val="center"/>
            <w:hideMark/>
          </w:tcPr>
          <w:p w14:paraId="3B28F12D" w14:textId="77777777" w:rsidR="007144CC" w:rsidRPr="00061B56" w:rsidRDefault="007144CC" w:rsidP="00AF75C0">
            <w:pPr>
              <w:spacing w:after="0" w:line="240" w:lineRule="auto"/>
              <w:jc w:val="center"/>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H3a</w:t>
            </w:r>
          </w:p>
        </w:tc>
        <w:tc>
          <w:tcPr>
            <w:tcW w:w="1240" w:type="dxa"/>
            <w:vAlign w:val="center"/>
            <w:hideMark/>
          </w:tcPr>
          <w:p w14:paraId="2CB91E5F"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0.933</w:t>
            </w:r>
          </w:p>
        </w:tc>
        <w:tc>
          <w:tcPr>
            <w:tcW w:w="1133" w:type="dxa"/>
            <w:vAlign w:val="center"/>
            <w:hideMark/>
          </w:tcPr>
          <w:p w14:paraId="54CEDFE1"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0.751</w:t>
            </w:r>
          </w:p>
        </w:tc>
        <w:tc>
          <w:tcPr>
            <w:tcW w:w="1100" w:type="dxa"/>
            <w:vAlign w:val="center"/>
            <w:hideMark/>
          </w:tcPr>
          <w:p w14:paraId="1F6F8B83"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1.131</w:t>
            </w:r>
          </w:p>
        </w:tc>
        <w:tc>
          <w:tcPr>
            <w:tcW w:w="1085" w:type="dxa"/>
            <w:vAlign w:val="center"/>
            <w:hideMark/>
          </w:tcPr>
          <w:p w14:paraId="1547F317"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0.000</w:t>
            </w:r>
          </w:p>
        </w:tc>
      </w:tr>
      <w:tr w:rsidR="007144CC" w:rsidRPr="00061B56" w14:paraId="31B3B988" w14:textId="77777777" w:rsidTr="00AF75C0">
        <w:trPr>
          <w:trHeight w:val="273"/>
        </w:trPr>
        <w:tc>
          <w:tcPr>
            <w:tcW w:w="1415" w:type="dxa"/>
            <w:vAlign w:val="center"/>
            <w:hideMark/>
          </w:tcPr>
          <w:p w14:paraId="7658D9F4"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GI</w:t>
            </w:r>
          </w:p>
        </w:tc>
        <w:tc>
          <w:tcPr>
            <w:tcW w:w="629" w:type="dxa"/>
            <w:noWrap/>
            <w:vAlign w:val="center"/>
            <w:hideMark/>
          </w:tcPr>
          <w:p w14:paraId="49AE5BE1"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&lt;---</w:t>
            </w:r>
          </w:p>
        </w:tc>
        <w:tc>
          <w:tcPr>
            <w:tcW w:w="1393" w:type="dxa"/>
            <w:vAlign w:val="center"/>
            <w:hideMark/>
          </w:tcPr>
          <w:p w14:paraId="4107927E"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EEEO</w:t>
            </w:r>
          </w:p>
        </w:tc>
        <w:tc>
          <w:tcPr>
            <w:tcW w:w="1072" w:type="dxa"/>
            <w:vAlign w:val="center"/>
            <w:hideMark/>
          </w:tcPr>
          <w:p w14:paraId="5A8BB7C0" w14:textId="77777777" w:rsidR="007144CC" w:rsidRPr="00061B56" w:rsidRDefault="007144CC" w:rsidP="00AF75C0">
            <w:pPr>
              <w:spacing w:after="0" w:line="240" w:lineRule="auto"/>
              <w:jc w:val="center"/>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H4a</w:t>
            </w:r>
          </w:p>
        </w:tc>
        <w:tc>
          <w:tcPr>
            <w:tcW w:w="1240" w:type="dxa"/>
            <w:vAlign w:val="center"/>
            <w:hideMark/>
          </w:tcPr>
          <w:p w14:paraId="3D1521A2"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0.992</w:t>
            </w:r>
          </w:p>
        </w:tc>
        <w:tc>
          <w:tcPr>
            <w:tcW w:w="1133" w:type="dxa"/>
            <w:vAlign w:val="center"/>
            <w:hideMark/>
          </w:tcPr>
          <w:p w14:paraId="6EB8185E"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0.785</w:t>
            </w:r>
          </w:p>
        </w:tc>
        <w:tc>
          <w:tcPr>
            <w:tcW w:w="1100" w:type="dxa"/>
            <w:vAlign w:val="center"/>
            <w:hideMark/>
          </w:tcPr>
          <w:p w14:paraId="278BCA28"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1.245</w:t>
            </w:r>
          </w:p>
        </w:tc>
        <w:tc>
          <w:tcPr>
            <w:tcW w:w="1085" w:type="dxa"/>
            <w:vAlign w:val="center"/>
            <w:hideMark/>
          </w:tcPr>
          <w:p w14:paraId="38D72BAF"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0.000</w:t>
            </w:r>
          </w:p>
        </w:tc>
      </w:tr>
      <w:tr w:rsidR="007144CC" w:rsidRPr="00061B56" w14:paraId="14ABF257" w14:textId="77777777" w:rsidTr="00AF75C0">
        <w:trPr>
          <w:trHeight w:val="273"/>
        </w:trPr>
        <w:tc>
          <w:tcPr>
            <w:tcW w:w="1415" w:type="dxa"/>
            <w:vAlign w:val="center"/>
            <w:hideMark/>
          </w:tcPr>
          <w:p w14:paraId="56E171E5"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IB</w:t>
            </w:r>
          </w:p>
        </w:tc>
        <w:tc>
          <w:tcPr>
            <w:tcW w:w="629" w:type="dxa"/>
            <w:noWrap/>
            <w:vAlign w:val="center"/>
            <w:hideMark/>
          </w:tcPr>
          <w:p w14:paraId="21DB2FB7"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&lt;---</w:t>
            </w:r>
          </w:p>
        </w:tc>
        <w:tc>
          <w:tcPr>
            <w:tcW w:w="1393" w:type="dxa"/>
            <w:vAlign w:val="center"/>
            <w:hideMark/>
          </w:tcPr>
          <w:p w14:paraId="70C24AEE"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EEEO</w:t>
            </w:r>
          </w:p>
        </w:tc>
        <w:tc>
          <w:tcPr>
            <w:tcW w:w="1072" w:type="dxa"/>
            <w:vAlign w:val="center"/>
            <w:hideMark/>
          </w:tcPr>
          <w:p w14:paraId="68C1894A" w14:textId="77777777" w:rsidR="007144CC" w:rsidRPr="00061B56" w:rsidRDefault="007144CC" w:rsidP="00AF75C0">
            <w:pPr>
              <w:spacing w:after="0" w:line="240" w:lineRule="auto"/>
              <w:jc w:val="center"/>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H1a</w:t>
            </w:r>
          </w:p>
        </w:tc>
        <w:tc>
          <w:tcPr>
            <w:tcW w:w="1240" w:type="dxa"/>
            <w:vAlign w:val="center"/>
            <w:hideMark/>
          </w:tcPr>
          <w:p w14:paraId="63BCCD66"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0.658</w:t>
            </w:r>
          </w:p>
        </w:tc>
        <w:tc>
          <w:tcPr>
            <w:tcW w:w="1133" w:type="dxa"/>
            <w:vAlign w:val="center"/>
            <w:hideMark/>
          </w:tcPr>
          <w:p w14:paraId="5D20A303"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0.487</w:t>
            </w:r>
          </w:p>
        </w:tc>
        <w:tc>
          <w:tcPr>
            <w:tcW w:w="1100" w:type="dxa"/>
            <w:vAlign w:val="center"/>
            <w:hideMark/>
          </w:tcPr>
          <w:p w14:paraId="481A8594"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0.855</w:t>
            </w:r>
          </w:p>
        </w:tc>
        <w:tc>
          <w:tcPr>
            <w:tcW w:w="1085" w:type="dxa"/>
            <w:vAlign w:val="center"/>
            <w:hideMark/>
          </w:tcPr>
          <w:p w14:paraId="3C83504A"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0.000</w:t>
            </w:r>
          </w:p>
        </w:tc>
      </w:tr>
      <w:tr w:rsidR="007144CC" w:rsidRPr="00061B56" w14:paraId="33AB757E" w14:textId="77777777" w:rsidTr="00AF75C0">
        <w:trPr>
          <w:trHeight w:val="273"/>
        </w:trPr>
        <w:tc>
          <w:tcPr>
            <w:tcW w:w="1415" w:type="dxa"/>
            <w:vAlign w:val="center"/>
            <w:hideMark/>
          </w:tcPr>
          <w:p w14:paraId="237CA3B6"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CER</w:t>
            </w:r>
          </w:p>
        </w:tc>
        <w:tc>
          <w:tcPr>
            <w:tcW w:w="629" w:type="dxa"/>
            <w:noWrap/>
            <w:vAlign w:val="center"/>
            <w:hideMark/>
          </w:tcPr>
          <w:p w14:paraId="7FA1481E"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&lt;---</w:t>
            </w:r>
          </w:p>
        </w:tc>
        <w:tc>
          <w:tcPr>
            <w:tcW w:w="1393" w:type="dxa"/>
            <w:vAlign w:val="center"/>
            <w:hideMark/>
          </w:tcPr>
          <w:p w14:paraId="6958A048"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GP</w:t>
            </w:r>
          </w:p>
        </w:tc>
        <w:tc>
          <w:tcPr>
            <w:tcW w:w="1072" w:type="dxa"/>
            <w:vAlign w:val="center"/>
            <w:hideMark/>
          </w:tcPr>
          <w:p w14:paraId="0809CDE4" w14:textId="77777777" w:rsidR="007144CC" w:rsidRPr="00061B56" w:rsidRDefault="007144CC" w:rsidP="00AF75C0">
            <w:pPr>
              <w:spacing w:after="0" w:line="240" w:lineRule="auto"/>
              <w:jc w:val="center"/>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H2b</w:t>
            </w:r>
          </w:p>
        </w:tc>
        <w:tc>
          <w:tcPr>
            <w:tcW w:w="1240" w:type="dxa"/>
            <w:vAlign w:val="center"/>
            <w:hideMark/>
          </w:tcPr>
          <w:p w14:paraId="7B2C4E3C"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0.410</w:t>
            </w:r>
          </w:p>
        </w:tc>
        <w:tc>
          <w:tcPr>
            <w:tcW w:w="1133" w:type="dxa"/>
            <w:vAlign w:val="center"/>
            <w:hideMark/>
          </w:tcPr>
          <w:p w14:paraId="6DC24CA7"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-0.324</w:t>
            </w:r>
          </w:p>
        </w:tc>
        <w:tc>
          <w:tcPr>
            <w:tcW w:w="1100" w:type="dxa"/>
            <w:vAlign w:val="center"/>
            <w:hideMark/>
          </w:tcPr>
          <w:p w14:paraId="5203A26C"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2.060</w:t>
            </w:r>
          </w:p>
        </w:tc>
        <w:tc>
          <w:tcPr>
            <w:tcW w:w="1085" w:type="dxa"/>
            <w:vAlign w:val="center"/>
            <w:hideMark/>
          </w:tcPr>
          <w:p w14:paraId="707AD788"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0.244</w:t>
            </w:r>
          </w:p>
        </w:tc>
      </w:tr>
      <w:tr w:rsidR="007144CC" w:rsidRPr="00061B56" w14:paraId="77FCCBA0" w14:textId="77777777" w:rsidTr="00AF75C0">
        <w:trPr>
          <w:trHeight w:val="273"/>
        </w:trPr>
        <w:tc>
          <w:tcPr>
            <w:tcW w:w="1415" w:type="dxa"/>
            <w:vAlign w:val="center"/>
            <w:hideMark/>
          </w:tcPr>
          <w:p w14:paraId="53C72AA1"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CER</w:t>
            </w:r>
          </w:p>
        </w:tc>
        <w:tc>
          <w:tcPr>
            <w:tcW w:w="629" w:type="dxa"/>
            <w:noWrap/>
            <w:vAlign w:val="center"/>
            <w:hideMark/>
          </w:tcPr>
          <w:p w14:paraId="1ABB43BF"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&lt;---</w:t>
            </w:r>
          </w:p>
        </w:tc>
        <w:tc>
          <w:tcPr>
            <w:tcW w:w="1393" w:type="dxa"/>
            <w:vAlign w:val="center"/>
            <w:hideMark/>
          </w:tcPr>
          <w:p w14:paraId="1D22C763"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GN</w:t>
            </w:r>
          </w:p>
        </w:tc>
        <w:tc>
          <w:tcPr>
            <w:tcW w:w="1072" w:type="dxa"/>
            <w:vAlign w:val="center"/>
            <w:hideMark/>
          </w:tcPr>
          <w:p w14:paraId="5A47E200" w14:textId="77777777" w:rsidR="007144CC" w:rsidRPr="00061B56" w:rsidRDefault="007144CC" w:rsidP="00AF75C0">
            <w:pPr>
              <w:spacing w:after="0" w:line="240" w:lineRule="auto"/>
              <w:jc w:val="center"/>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H3b</w:t>
            </w:r>
          </w:p>
        </w:tc>
        <w:tc>
          <w:tcPr>
            <w:tcW w:w="1240" w:type="dxa"/>
            <w:vAlign w:val="center"/>
            <w:hideMark/>
          </w:tcPr>
          <w:p w14:paraId="12B60D51"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-0.085</w:t>
            </w:r>
          </w:p>
        </w:tc>
        <w:tc>
          <w:tcPr>
            <w:tcW w:w="1133" w:type="dxa"/>
            <w:noWrap/>
            <w:vAlign w:val="center"/>
            <w:hideMark/>
          </w:tcPr>
          <w:p w14:paraId="6D29A4CE"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-1.824</w:t>
            </w:r>
          </w:p>
        </w:tc>
        <w:tc>
          <w:tcPr>
            <w:tcW w:w="1100" w:type="dxa"/>
            <w:vAlign w:val="center"/>
            <w:hideMark/>
          </w:tcPr>
          <w:p w14:paraId="71A45E81"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0.905</w:t>
            </w:r>
          </w:p>
        </w:tc>
        <w:tc>
          <w:tcPr>
            <w:tcW w:w="1085" w:type="dxa"/>
            <w:vAlign w:val="center"/>
            <w:hideMark/>
          </w:tcPr>
          <w:p w14:paraId="49CA7BD1"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0.746</w:t>
            </w:r>
          </w:p>
        </w:tc>
      </w:tr>
      <w:tr w:rsidR="007144CC" w:rsidRPr="00061B56" w14:paraId="26BC983D" w14:textId="77777777" w:rsidTr="00AF75C0">
        <w:trPr>
          <w:trHeight w:val="273"/>
        </w:trPr>
        <w:tc>
          <w:tcPr>
            <w:tcW w:w="1415" w:type="dxa"/>
            <w:vAlign w:val="center"/>
            <w:hideMark/>
          </w:tcPr>
          <w:p w14:paraId="381CBD00"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CER</w:t>
            </w:r>
          </w:p>
        </w:tc>
        <w:tc>
          <w:tcPr>
            <w:tcW w:w="629" w:type="dxa"/>
            <w:noWrap/>
            <w:vAlign w:val="center"/>
            <w:hideMark/>
          </w:tcPr>
          <w:p w14:paraId="418B76DA"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&lt;---</w:t>
            </w:r>
          </w:p>
        </w:tc>
        <w:tc>
          <w:tcPr>
            <w:tcW w:w="1393" w:type="dxa"/>
            <w:vAlign w:val="center"/>
            <w:hideMark/>
          </w:tcPr>
          <w:p w14:paraId="1E5B5879"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GI</w:t>
            </w:r>
          </w:p>
        </w:tc>
        <w:tc>
          <w:tcPr>
            <w:tcW w:w="1072" w:type="dxa"/>
            <w:vAlign w:val="center"/>
            <w:hideMark/>
          </w:tcPr>
          <w:p w14:paraId="315DD42D" w14:textId="77777777" w:rsidR="007144CC" w:rsidRPr="00061B56" w:rsidRDefault="007144CC" w:rsidP="00AF75C0">
            <w:pPr>
              <w:spacing w:after="0" w:line="240" w:lineRule="auto"/>
              <w:jc w:val="center"/>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H4b</w:t>
            </w:r>
          </w:p>
        </w:tc>
        <w:tc>
          <w:tcPr>
            <w:tcW w:w="1240" w:type="dxa"/>
            <w:vAlign w:val="center"/>
            <w:hideMark/>
          </w:tcPr>
          <w:p w14:paraId="77A1A15B"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0.256</w:t>
            </w:r>
          </w:p>
        </w:tc>
        <w:tc>
          <w:tcPr>
            <w:tcW w:w="1133" w:type="dxa"/>
            <w:noWrap/>
            <w:vAlign w:val="center"/>
            <w:hideMark/>
          </w:tcPr>
          <w:p w14:paraId="0EB80630"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-0.171</w:t>
            </w:r>
          </w:p>
        </w:tc>
        <w:tc>
          <w:tcPr>
            <w:tcW w:w="1100" w:type="dxa"/>
            <w:vAlign w:val="center"/>
            <w:hideMark/>
          </w:tcPr>
          <w:p w14:paraId="44D22918"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0.771</w:t>
            </w:r>
          </w:p>
        </w:tc>
        <w:tc>
          <w:tcPr>
            <w:tcW w:w="1085" w:type="dxa"/>
            <w:vAlign w:val="center"/>
            <w:hideMark/>
          </w:tcPr>
          <w:p w14:paraId="4D7F4666"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0.194</w:t>
            </w:r>
          </w:p>
        </w:tc>
      </w:tr>
      <w:tr w:rsidR="007144CC" w:rsidRPr="00061B56" w14:paraId="2AF45316" w14:textId="77777777" w:rsidTr="00AF75C0">
        <w:trPr>
          <w:trHeight w:val="273"/>
        </w:trPr>
        <w:tc>
          <w:tcPr>
            <w:tcW w:w="1415" w:type="dxa"/>
            <w:vAlign w:val="center"/>
            <w:hideMark/>
          </w:tcPr>
          <w:p w14:paraId="2C292631"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CER</w:t>
            </w:r>
          </w:p>
        </w:tc>
        <w:tc>
          <w:tcPr>
            <w:tcW w:w="629" w:type="dxa"/>
            <w:noWrap/>
            <w:vAlign w:val="center"/>
            <w:hideMark/>
          </w:tcPr>
          <w:p w14:paraId="41AAEAF6"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&lt;---</w:t>
            </w:r>
          </w:p>
        </w:tc>
        <w:tc>
          <w:tcPr>
            <w:tcW w:w="1393" w:type="dxa"/>
            <w:vAlign w:val="center"/>
            <w:hideMark/>
          </w:tcPr>
          <w:p w14:paraId="5504ABF1"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IB</w:t>
            </w:r>
          </w:p>
        </w:tc>
        <w:tc>
          <w:tcPr>
            <w:tcW w:w="1072" w:type="dxa"/>
            <w:vAlign w:val="center"/>
            <w:hideMark/>
          </w:tcPr>
          <w:p w14:paraId="2F452ED1" w14:textId="77777777" w:rsidR="007144CC" w:rsidRPr="00061B56" w:rsidRDefault="007144CC" w:rsidP="00AF75C0">
            <w:pPr>
              <w:spacing w:after="0" w:line="240" w:lineRule="auto"/>
              <w:jc w:val="center"/>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H1b</w:t>
            </w:r>
          </w:p>
        </w:tc>
        <w:tc>
          <w:tcPr>
            <w:tcW w:w="1240" w:type="dxa"/>
            <w:noWrap/>
            <w:vAlign w:val="center"/>
            <w:hideMark/>
          </w:tcPr>
          <w:p w14:paraId="0C21E1D8"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0.456</w:t>
            </w:r>
          </w:p>
        </w:tc>
        <w:tc>
          <w:tcPr>
            <w:tcW w:w="1133" w:type="dxa"/>
            <w:noWrap/>
            <w:vAlign w:val="center"/>
            <w:hideMark/>
          </w:tcPr>
          <w:p w14:paraId="0AE1CDC0"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0.225</w:t>
            </w:r>
          </w:p>
        </w:tc>
        <w:tc>
          <w:tcPr>
            <w:tcW w:w="1100" w:type="dxa"/>
            <w:vAlign w:val="center"/>
            <w:hideMark/>
          </w:tcPr>
          <w:p w14:paraId="139EEDA8"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0.852</w:t>
            </w:r>
          </w:p>
        </w:tc>
        <w:tc>
          <w:tcPr>
            <w:tcW w:w="1085" w:type="dxa"/>
            <w:vAlign w:val="center"/>
            <w:hideMark/>
          </w:tcPr>
          <w:p w14:paraId="531014A1" w14:textId="77777777" w:rsidR="007144CC" w:rsidRPr="00061B56" w:rsidRDefault="007144CC" w:rsidP="00AF75C0">
            <w:pPr>
              <w:spacing w:after="0" w:line="240" w:lineRule="auto"/>
              <w:jc w:val="both"/>
              <w:rPr>
                <w:rFonts w:ascii="Garamond" w:eastAsia="Times New Roman" w:hAnsi="Garamond" w:cs="Arial"/>
                <w:b/>
                <w:bCs/>
                <w:color w:val="000000"/>
                <w:sz w:val="20"/>
                <w:szCs w:val="20"/>
                <w:lang w:eastAsia="en-GB"/>
              </w:rPr>
            </w:pPr>
            <w:r w:rsidRPr="00061B56">
              <w:rPr>
                <w:rFonts w:ascii="Garamond" w:eastAsia="Times New Roman" w:hAnsi="Garamond" w:cs="Arial"/>
                <w:b/>
                <w:bCs/>
                <w:color w:val="000000"/>
                <w:sz w:val="20"/>
                <w:szCs w:val="20"/>
                <w:lang w:eastAsia="en-GB"/>
              </w:rPr>
              <w:t>0.000</w:t>
            </w:r>
          </w:p>
        </w:tc>
      </w:tr>
      <w:tr w:rsidR="007144CC" w:rsidRPr="00061B56" w14:paraId="1348B3E5" w14:textId="77777777" w:rsidTr="00AF75C0">
        <w:trPr>
          <w:trHeight w:val="285"/>
        </w:trPr>
        <w:tc>
          <w:tcPr>
            <w:tcW w:w="1415" w:type="dxa"/>
            <w:tcBorders>
              <w:bottom w:val="single" w:sz="8" w:space="0" w:color="auto"/>
            </w:tcBorders>
            <w:vAlign w:val="center"/>
            <w:hideMark/>
          </w:tcPr>
          <w:p w14:paraId="7A242A5C"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CER</w:t>
            </w:r>
          </w:p>
        </w:tc>
        <w:tc>
          <w:tcPr>
            <w:tcW w:w="629" w:type="dxa"/>
            <w:tcBorders>
              <w:bottom w:val="single" w:sz="8" w:space="0" w:color="auto"/>
            </w:tcBorders>
            <w:noWrap/>
            <w:vAlign w:val="center"/>
            <w:hideMark/>
          </w:tcPr>
          <w:p w14:paraId="587A148A"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&lt;---</w:t>
            </w:r>
          </w:p>
        </w:tc>
        <w:tc>
          <w:tcPr>
            <w:tcW w:w="1393" w:type="dxa"/>
            <w:tcBorders>
              <w:bottom w:val="single" w:sz="8" w:space="0" w:color="auto"/>
            </w:tcBorders>
            <w:vAlign w:val="center"/>
            <w:hideMark/>
          </w:tcPr>
          <w:p w14:paraId="5E72DB8E"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EEEO</w:t>
            </w:r>
          </w:p>
        </w:tc>
        <w:tc>
          <w:tcPr>
            <w:tcW w:w="1072" w:type="dxa"/>
            <w:tcBorders>
              <w:bottom w:val="single" w:sz="8" w:space="0" w:color="auto"/>
            </w:tcBorders>
            <w:vAlign w:val="center"/>
            <w:hideMark/>
          </w:tcPr>
          <w:p w14:paraId="775DC63A" w14:textId="77777777" w:rsidR="007144CC" w:rsidRPr="00061B56" w:rsidRDefault="007144CC" w:rsidP="00AF75C0">
            <w:pPr>
              <w:spacing w:after="0" w:line="240" w:lineRule="auto"/>
              <w:jc w:val="center"/>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Par_9</w:t>
            </w:r>
          </w:p>
        </w:tc>
        <w:tc>
          <w:tcPr>
            <w:tcW w:w="1240" w:type="dxa"/>
            <w:tcBorders>
              <w:bottom w:val="single" w:sz="8" w:space="0" w:color="auto"/>
            </w:tcBorders>
            <w:vAlign w:val="center"/>
            <w:hideMark/>
          </w:tcPr>
          <w:p w14:paraId="638A91A2"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0.164</w:t>
            </w:r>
          </w:p>
        </w:tc>
        <w:tc>
          <w:tcPr>
            <w:tcW w:w="1133" w:type="dxa"/>
            <w:tcBorders>
              <w:bottom w:val="single" w:sz="8" w:space="0" w:color="auto"/>
            </w:tcBorders>
            <w:vAlign w:val="center"/>
            <w:hideMark/>
          </w:tcPr>
          <w:p w14:paraId="5601E9B6"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-1.973</w:t>
            </w:r>
          </w:p>
        </w:tc>
        <w:tc>
          <w:tcPr>
            <w:tcW w:w="1100" w:type="dxa"/>
            <w:tcBorders>
              <w:bottom w:val="single" w:sz="8" w:space="0" w:color="auto"/>
            </w:tcBorders>
            <w:vAlign w:val="center"/>
            <w:hideMark/>
          </w:tcPr>
          <w:p w14:paraId="226FE09B"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2.144</w:t>
            </w:r>
          </w:p>
        </w:tc>
        <w:tc>
          <w:tcPr>
            <w:tcW w:w="1085" w:type="dxa"/>
            <w:tcBorders>
              <w:bottom w:val="single" w:sz="8" w:space="0" w:color="auto"/>
            </w:tcBorders>
            <w:vAlign w:val="center"/>
            <w:hideMark/>
          </w:tcPr>
          <w:p w14:paraId="39086CF5" w14:textId="77777777" w:rsidR="007144CC" w:rsidRPr="00061B56" w:rsidRDefault="007144CC" w:rsidP="00AF75C0">
            <w:pPr>
              <w:spacing w:after="0" w:line="240" w:lineRule="auto"/>
              <w:jc w:val="both"/>
              <w:rPr>
                <w:rFonts w:ascii="Garamond" w:eastAsia="Times New Roman" w:hAnsi="Garamond" w:cs="Arial"/>
                <w:color w:val="000000"/>
                <w:sz w:val="20"/>
                <w:szCs w:val="20"/>
                <w:lang w:eastAsia="en-GB"/>
              </w:rPr>
            </w:pPr>
            <w:r w:rsidRPr="00061B56">
              <w:rPr>
                <w:rFonts w:ascii="Garamond" w:eastAsia="Times New Roman" w:hAnsi="Garamond" w:cs="Arial"/>
                <w:color w:val="000000"/>
                <w:sz w:val="20"/>
                <w:szCs w:val="20"/>
                <w:lang w:eastAsia="en-GB"/>
              </w:rPr>
              <w:t>0.812</w:t>
            </w:r>
          </w:p>
        </w:tc>
      </w:tr>
      <w:bookmarkEnd w:id="57"/>
      <w:bookmarkEnd w:id="58"/>
    </w:tbl>
    <w:p w14:paraId="672A1734" w14:textId="77777777" w:rsidR="007144CC" w:rsidRPr="00061B56" w:rsidRDefault="007144CC" w:rsidP="007144CC">
      <w:pPr>
        <w:spacing w:line="360" w:lineRule="auto"/>
        <w:jc w:val="both"/>
        <w:rPr>
          <w:rFonts w:ascii="Garamond" w:hAnsi="Garamond" w:cs="Arial"/>
          <w:b/>
          <w:bCs/>
          <w:lang w:val="en"/>
        </w:rPr>
      </w:pPr>
    </w:p>
    <w:p w14:paraId="54C91CE0" w14:textId="77777777" w:rsidR="007144CC" w:rsidRPr="00061B56" w:rsidRDefault="007144CC" w:rsidP="007144CC">
      <w:pPr>
        <w:spacing w:line="360" w:lineRule="auto"/>
        <w:jc w:val="both"/>
        <w:rPr>
          <w:rFonts w:ascii="Garamond" w:hAnsi="Garamond" w:cs="Arial"/>
          <w:b/>
          <w:bCs/>
          <w:lang w:val="en"/>
        </w:rPr>
      </w:pPr>
    </w:p>
    <w:p w14:paraId="4265A84C" w14:textId="77777777" w:rsidR="007144CC" w:rsidRPr="00061B56" w:rsidRDefault="007144CC" w:rsidP="007144CC">
      <w:pPr>
        <w:spacing w:line="360" w:lineRule="auto"/>
        <w:jc w:val="both"/>
        <w:rPr>
          <w:rFonts w:ascii="Garamond" w:hAnsi="Garamond" w:cs="Arial"/>
          <w:b/>
          <w:bCs/>
          <w:lang w:val="en"/>
        </w:rPr>
      </w:pPr>
    </w:p>
    <w:p w14:paraId="50F64D2A" w14:textId="77777777" w:rsidR="007144CC" w:rsidRPr="00061B56" w:rsidRDefault="007144CC" w:rsidP="007144CC">
      <w:pPr>
        <w:spacing w:line="360" w:lineRule="auto"/>
        <w:jc w:val="both"/>
        <w:rPr>
          <w:rFonts w:ascii="Garamond" w:hAnsi="Garamond" w:cs="Arial"/>
          <w:b/>
          <w:bCs/>
          <w:lang w:val="en"/>
        </w:rPr>
      </w:pPr>
    </w:p>
    <w:p w14:paraId="13FB3122" w14:textId="77777777" w:rsidR="007144CC" w:rsidRPr="00061B56" w:rsidRDefault="007144CC" w:rsidP="007144CC">
      <w:pPr>
        <w:spacing w:line="360" w:lineRule="auto"/>
        <w:jc w:val="both"/>
        <w:rPr>
          <w:rFonts w:ascii="Garamond" w:hAnsi="Garamond" w:cs="Arial"/>
          <w:b/>
          <w:bCs/>
          <w:lang w:val="en"/>
        </w:rPr>
      </w:pPr>
    </w:p>
    <w:p w14:paraId="269895E8" w14:textId="77777777" w:rsidR="007144CC" w:rsidRPr="00061B56" w:rsidRDefault="007144CC" w:rsidP="007144CC">
      <w:pPr>
        <w:spacing w:line="360" w:lineRule="auto"/>
        <w:jc w:val="both"/>
        <w:rPr>
          <w:rFonts w:ascii="Garamond" w:hAnsi="Garamond" w:cs="Arial"/>
          <w:b/>
          <w:bCs/>
          <w:lang w:val="en"/>
        </w:rPr>
      </w:pPr>
    </w:p>
    <w:p w14:paraId="46BBB3BB" w14:textId="77777777" w:rsidR="007144CC" w:rsidRPr="00061B56" w:rsidRDefault="007144CC" w:rsidP="007144CC">
      <w:pPr>
        <w:spacing w:line="360" w:lineRule="auto"/>
        <w:jc w:val="both"/>
        <w:rPr>
          <w:rFonts w:ascii="Garamond" w:hAnsi="Garamond" w:cs="Arial"/>
          <w:b/>
          <w:bCs/>
          <w:lang w:val="en"/>
        </w:rPr>
      </w:pPr>
    </w:p>
    <w:p w14:paraId="34A99FD5" w14:textId="77777777" w:rsidR="007144CC" w:rsidRPr="00061B56" w:rsidRDefault="007144CC" w:rsidP="007144CC">
      <w:pPr>
        <w:spacing w:line="360" w:lineRule="auto"/>
        <w:jc w:val="both"/>
        <w:rPr>
          <w:rFonts w:ascii="Garamond" w:hAnsi="Garamond" w:cs="Arial"/>
          <w:b/>
          <w:bCs/>
          <w:lang w:val="en"/>
        </w:rPr>
      </w:pPr>
    </w:p>
    <w:p w14:paraId="6A659062" w14:textId="77777777" w:rsidR="007144CC" w:rsidRPr="00061B56" w:rsidRDefault="007144CC" w:rsidP="007144CC">
      <w:pPr>
        <w:spacing w:line="360" w:lineRule="auto"/>
        <w:jc w:val="both"/>
        <w:rPr>
          <w:rFonts w:ascii="Garamond" w:hAnsi="Garamond" w:cs="Arial"/>
          <w:b/>
          <w:bCs/>
          <w:lang w:val="en"/>
        </w:rPr>
      </w:pPr>
      <w:r w:rsidRPr="00061B56">
        <w:rPr>
          <w:rFonts w:ascii="Garamond" w:hAnsi="Garamond" w:cs="Arial"/>
          <w:b/>
          <w:bCs/>
          <w:lang w:val="en"/>
        </w:rPr>
        <w:t>Table 6: Results of multiple mediators analysis</w:t>
      </w:r>
    </w:p>
    <w:tbl>
      <w:tblPr>
        <w:tblStyle w:val="TableGrid"/>
        <w:tblW w:w="8766" w:type="dxa"/>
        <w:tblBorders>
          <w:top w:val="single" w:sz="18" w:space="0" w:color="auto"/>
          <w:left w:val="single" w:sz="18" w:space="0" w:color="auto"/>
          <w:bottom w:val="single" w:sz="18" w:space="0" w:color="auto"/>
          <w:right w:val="single" w:sz="18" w:space="0" w:color="auto"/>
        </w:tblBorders>
        <w:tblLook w:val="04A0" w:firstRow="1" w:lastRow="0" w:firstColumn="1" w:lastColumn="0" w:noHBand="0" w:noVBand="1"/>
      </w:tblPr>
      <w:tblGrid>
        <w:gridCol w:w="1815"/>
        <w:gridCol w:w="1195"/>
        <w:gridCol w:w="1077"/>
        <w:gridCol w:w="717"/>
        <w:gridCol w:w="1269"/>
        <w:gridCol w:w="850"/>
        <w:gridCol w:w="851"/>
        <w:gridCol w:w="992"/>
      </w:tblGrid>
      <w:tr w:rsidR="007144CC" w:rsidRPr="00061B56" w14:paraId="4D5AFD59" w14:textId="77777777" w:rsidTr="00AF75C0">
        <w:trPr>
          <w:trHeight w:val="713"/>
        </w:trPr>
        <w:tc>
          <w:tcPr>
            <w:tcW w:w="1815" w:type="dxa"/>
            <w:tcBorders>
              <w:top w:val="single" w:sz="18" w:space="0" w:color="auto"/>
              <w:left w:val="nil"/>
              <w:bottom w:val="single" w:sz="18" w:space="0" w:color="auto"/>
              <w:right w:val="nil"/>
            </w:tcBorders>
          </w:tcPr>
          <w:p w14:paraId="5560EFEB"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Indirect Effect</w:t>
            </w:r>
          </w:p>
        </w:tc>
        <w:tc>
          <w:tcPr>
            <w:tcW w:w="1195" w:type="dxa"/>
            <w:tcBorders>
              <w:top w:val="single" w:sz="18" w:space="0" w:color="auto"/>
              <w:left w:val="nil"/>
              <w:bottom w:val="single" w:sz="18" w:space="0" w:color="auto"/>
              <w:right w:val="nil"/>
            </w:tcBorders>
          </w:tcPr>
          <w:p w14:paraId="02E0EEEE"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Parameter</w:t>
            </w:r>
          </w:p>
        </w:tc>
        <w:tc>
          <w:tcPr>
            <w:tcW w:w="1077" w:type="dxa"/>
            <w:tcBorders>
              <w:top w:val="single" w:sz="18" w:space="0" w:color="auto"/>
              <w:left w:val="nil"/>
              <w:bottom w:val="single" w:sz="18" w:space="0" w:color="auto"/>
              <w:right w:val="nil"/>
            </w:tcBorders>
          </w:tcPr>
          <w:p w14:paraId="0A3ACACD"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Estimate</w:t>
            </w:r>
          </w:p>
        </w:tc>
        <w:tc>
          <w:tcPr>
            <w:tcW w:w="717" w:type="dxa"/>
            <w:tcBorders>
              <w:top w:val="single" w:sz="18" w:space="0" w:color="auto"/>
              <w:left w:val="nil"/>
              <w:bottom w:val="single" w:sz="18" w:space="0" w:color="auto"/>
              <w:right w:val="nil"/>
            </w:tcBorders>
          </w:tcPr>
          <w:p w14:paraId="0C82BFA5"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SE</w:t>
            </w:r>
          </w:p>
        </w:tc>
        <w:tc>
          <w:tcPr>
            <w:tcW w:w="1269" w:type="dxa"/>
            <w:tcBorders>
              <w:top w:val="single" w:sz="18" w:space="0" w:color="auto"/>
              <w:left w:val="nil"/>
              <w:bottom w:val="single" w:sz="18" w:space="0" w:color="auto"/>
              <w:right w:val="nil"/>
            </w:tcBorders>
          </w:tcPr>
          <w:p w14:paraId="0EFEC4A6"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t statistic</w:t>
            </w:r>
          </w:p>
          <w:p w14:paraId="5ECAC2DD" w14:textId="77777777" w:rsidR="007144CC" w:rsidRPr="00061B56" w:rsidRDefault="007144CC" w:rsidP="00AF75C0">
            <w:pPr>
              <w:jc w:val="both"/>
              <w:rPr>
                <w:rFonts w:ascii="Garamond" w:hAnsi="Garamond" w:cs="Arial"/>
                <w:sz w:val="20"/>
                <w:szCs w:val="20"/>
                <w:lang w:val="en"/>
              </w:rPr>
            </w:pPr>
          </w:p>
          <w:p w14:paraId="23A271D4"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(=Est./ SE)</w:t>
            </w:r>
          </w:p>
        </w:tc>
        <w:tc>
          <w:tcPr>
            <w:tcW w:w="850" w:type="dxa"/>
            <w:tcBorders>
              <w:top w:val="single" w:sz="18" w:space="0" w:color="auto"/>
              <w:left w:val="nil"/>
              <w:bottom w:val="single" w:sz="18" w:space="0" w:color="auto"/>
              <w:right w:val="nil"/>
            </w:tcBorders>
          </w:tcPr>
          <w:p w14:paraId="29F587D1"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Lower</w:t>
            </w:r>
          </w:p>
        </w:tc>
        <w:tc>
          <w:tcPr>
            <w:tcW w:w="851" w:type="dxa"/>
            <w:tcBorders>
              <w:top w:val="single" w:sz="18" w:space="0" w:color="auto"/>
              <w:left w:val="nil"/>
              <w:bottom w:val="single" w:sz="18" w:space="0" w:color="auto"/>
              <w:right w:val="nil"/>
            </w:tcBorders>
          </w:tcPr>
          <w:p w14:paraId="4B682070"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Upper</w:t>
            </w:r>
          </w:p>
        </w:tc>
        <w:tc>
          <w:tcPr>
            <w:tcW w:w="992" w:type="dxa"/>
            <w:tcBorders>
              <w:top w:val="single" w:sz="18" w:space="0" w:color="auto"/>
              <w:left w:val="nil"/>
              <w:bottom w:val="single" w:sz="18" w:space="0" w:color="auto"/>
              <w:right w:val="nil"/>
            </w:tcBorders>
          </w:tcPr>
          <w:p w14:paraId="74B13569"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P value</w:t>
            </w:r>
          </w:p>
        </w:tc>
      </w:tr>
      <w:tr w:rsidR="007144CC" w:rsidRPr="00061B56" w14:paraId="3BCB0D4A" w14:textId="77777777" w:rsidTr="00AF75C0">
        <w:trPr>
          <w:trHeight w:val="362"/>
        </w:trPr>
        <w:tc>
          <w:tcPr>
            <w:tcW w:w="1815" w:type="dxa"/>
            <w:tcBorders>
              <w:top w:val="single" w:sz="18" w:space="0" w:color="auto"/>
              <w:left w:val="nil"/>
              <w:bottom w:val="nil"/>
              <w:right w:val="nil"/>
            </w:tcBorders>
          </w:tcPr>
          <w:p w14:paraId="36B61114"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EEEO&gt;GP&gt;CER</w:t>
            </w:r>
          </w:p>
        </w:tc>
        <w:tc>
          <w:tcPr>
            <w:tcW w:w="1195" w:type="dxa"/>
            <w:tcBorders>
              <w:top w:val="single" w:sz="18" w:space="0" w:color="auto"/>
              <w:left w:val="nil"/>
              <w:bottom w:val="nil"/>
              <w:right w:val="nil"/>
            </w:tcBorders>
            <w:vAlign w:val="center"/>
          </w:tcPr>
          <w:p w14:paraId="01BA0CA1"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H2c</w:t>
            </w:r>
          </w:p>
        </w:tc>
        <w:tc>
          <w:tcPr>
            <w:tcW w:w="1077" w:type="dxa"/>
            <w:tcBorders>
              <w:top w:val="single" w:sz="18" w:space="0" w:color="auto"/>
              <w:left w:val="nil"/>
              <w:bottom w:val="nil"/>
              <w:right w:val="nil"/>
            </w:tcBorders>
            <w:vAlign w:val="center"/>
          </w:tcPr>
          <w:p w14:paraId="5983203A" w14:textId="77777777" w:rsidR="007144CC" w:rsidRPr="00061B56" w:rsidRDefault="007144CC" w:rsidP="00AF75C0">
            <w:pPr>
              <w:jc w:val="both"/>
              <w:rPr>
                <w:rFonts w:ascii="Garamond" w:hAnsi="Garamond" w:cs="Arial"/>
                <w:sz w:val="20"/>
                <w:szCs w:val="20"/>
              </w:rPr>
            </w:pPr>
            <w:r w:rsidRPr="00061B56">
              <w:rPr>
                <w:rFonts w:ascii="Garamond" w:hAnsi="Garamond" w:cs="Arial"/>
                <w:sz w:val="20"/>
                <w:szCs w:val="20"/>
              </w:rPr>
              <w:t>0.342</w:t>
            </w:r>
          </w:p>
        </w:tc>
        <w:tc>
          <w:tcPr>
            <w:tcW w:w="717" w:type="dxa"/>
            <w:tcBorders>
              <w:top w:val="single" w:sz="18" w:space="0" w:color="auto"/>
              <w:left w:val="nil"/>
              <w:bottom w:val="nil"/>
              <w:right w:val="nil"/>
            </w:tcBorders>
            <w:shd w:val="clear" w:color="auto" w:fill="FFFFFF" w:themeFill="background1"/>
            <w:vAlign w:val="center"/>
          </w:tcPr>
          <w:p w14:paraId="16784391" w14:textId="77777777" w:rsidR="007144CC" w:rsidRPr="00061B56" w:rsidRDefault="007144CC" w:rsidP="00AF75C0">
            <w:pPr>
              <w:jc w:val="both"/>
              <w:rPr>
                <w:rFonts w:ascii="Garamond" w:hAnsi="Garamond" w:cs="Arial"/>
                <w:sz w:val="20"/>
                <w:szCs w:val="20"/>
              </w:rPr>
            </w:pPr>
            <w:r w:rsidRPr="00061B56">
              <w:rPr>
                <w:rFonts w:ascii="Garamond" w:hAnsi="Garamond" w:cs="Arial"/>
                <w:sz w:val="20"/>
                <w:szCs w:val="20"/>
              </w:rPr>
              <w:t>0.574</w:t>
            </w:r>
          </w:p>
        </w:tc>
        <w:tc>
          <w:tcPr>
            <w:tcW w:w="1269" w:type="dxa"/>
            <w:tcBorders>
              <w:top w:val="single" w:sz="18" w:space="0" w:color="auto"/>
              <w:left w:val="nil"/>
              <w:bottom w:val="nil"/>
              <w:right w:val="nil"/>
            </w:tcBorders>
            <w:shd w:val="clear" w:color="auto" w:fill="FFFFFF" w:themeFill="background1"/>
            <w:vAlign w:val="bottom"/>
          </w:tcPr>
          <w:p w14:paraId="1EC4CAC6" w14:textId="77777777" w:rsidR="007144CC" w:rsidRPr="00061B56" w:rsidRDefault="007144CC" w:rsidP="00AF75C0">
            <w:pPr>
              <w:jc w:val="both"/>
              <w:rPr>
                <w:rFonts w:ascii="Garamond" w:hAnsi="Garamond" w:cs="Arial"/>
                <w:sz w:val="20"/>
                <w:szCs w:val="20"/>
              </w:rPr>
            </w:pPr>
            <w:r w:rsidRPr="00061B56">
              <w:rPr>
                <w:rFonts w:ascii="Garamond" w:hAnsi="Garamond" w:cs="Arial"/>
                <w:color w:val="000000"/>
                <w:sz w:val="20"/>
                <w:szCs w:val="20"/>
              </w:rPr>
              <w:t>0.5958</w:t>
            </w:r>
          </w:p>
        </w:tc>
        <w:tc>
          <w:tcPr>
            <w:tcW w:w="850" w:type="dxa"/>
            <w:tcBorders>
              <w:top w:val="single" w:sz="18" w:space="0" w:color="auto"/>
              <w:left w:val="nil"/>
              <w:bottom w:val="nil"/>
              <w:right w:val="nil"/>
            </w:tcBorders>
            <w:vAlign w:val="center"/>
          </w:tcPr>
          <w:p w14:paraId="7EA3D123" w14:textId="77777777" w:rsidR="007144CC" w:rsidRPr="00061B56" w:rsidRDefault="007144CC" w:rsidP="00AF75C0">
            <w:pPr>
              <w:jc w:val="both"/>
              <w:rPr>
                <w:rFonts w:ascii="Garamond" w:hAnsi="Garamond" w:cs="Arial"/>
                <w:sz w:val="20"/>
                <w:szCs w:val="20"/>
              </w:rPr>
            </w:pPr>
            <w:r w:rsidRPr="00061B56">
              <w:rPr>
                <w:rFonts w:ascii="Garamond" w:hAnsi="Garamond" w:cs="Arial"/>
                <w:sz w:val="20"/>
                <w:szCs w:val="20"/>
              </w:rPr>
              <w:t>-0.249</w:t>
            </w:r>
          </w:p>
        </w:tc>
        <w:tc>
          <w:tcPr>
            <w:tcW w:w="851" w:type="dxa"/>
            <w:tcBorders>
              <w:top w:val="single" w:sz="18" w:space="0" w:color="auto"/>
              <w:left w:val="nil"/>
              <w:bottom w:val="nil"/>
              <w:right w:val="nil"/>
            </w:tcBorders>
            <w:vAlign w:val="center"/>
          </w:tcPr>
          <w:p w14:paraId="6D9B294B"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rPr>
              <w:t>1.813</w:t>
            </w:r>
          </w:p>
        </w:tc>
        <w:tc>
          <w:tcPr>
            <w:tcW w:w="992" w:type="dxa"/>
            <w:tcBorders>
              <w:top w:val="single" w:sz="18" w:space="0" w:color="auto"/>
              <w:left w:val="nil"/>
              <w:bottom w:val="nil"/>
              <w:right w:val="nil"/>
            </w:tcBorders>
            <w:vAlign w:val="center"/>
          </w:tcPr>
          <w:p w14:paraId="748C0C91"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rPr>
              <w:t>0.236</w:t>
            </w:r>
          </w:p>
        </w:tc>
      </w:tr>
      <w:tr w:rsidR="007144CC" w:rsidRPr="00061B56" w14:paraId="53EC21AA" w14:textId="77777777" w:rsidTr="00AF75C0">
        <w:trPr>
          <w:trHeight w:val="362"/>
        </w:trPr>
        <w:tc>
          <w:tcPr>
            <w:tcW w:w="1815" w:type="dxa"/>
            <w:tcBorders>
              <w:top w:val="nil"/>
              <w:left w:val="nil"/>
              <w:bottom w:val="nil"/>
              <w:right w:val="nil"/>
            </w:tcBorders>
          </w:tcPr>
          <w:p w14:paraId="77C99809"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EEEO&gt;GN&gt;CER</w:t>
            </w:r>
          </w:p>
        </w:tc>
        <w:tc>
          <w:tcPr>
            <w:tcW w:w="1195" w:type="dxa"/>
            <w:tcBorders>
              <w:top w:val="nil"/>
              <w:left w:val="nil"/>
              <w:bottom w:val="nil"/>
              <w:right w:val="nil"/>
            </w:tcBorders>
            <w:vAlign w:val="center"/>
          </w:tcPr>
          <w:p w14:paraId="0BDA8E67"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H3c</w:t>
            </w:r>
          </w:p>
        </w:tc>
        <w:tc>
          <w:tcPr>
            <w:tcW w:w="1077" w:type="dxa"/>
            <w:tcBorders>
              <w:top w:val="nil"/>
              <w:left w:val="nil"/>
              <w:bottom w:val="nil"/>
              <w:right w:val="nil"/>
            </w:tcBorders>
            <w:vAlign w:val="center"/>
          </w:tcPr>
          <w:p w14:paraId="5A95C614" w14:textId="77777777" w:rsidR="007144CC" w:rsidRPr="00061B56" w:rsidRDefault="007144CC" w:rsidP="00AF75C0">
            <w:pPr>
              <w:jc w:val="both"/>
              <w:rPr>
                <w:rFonts w:ascii="Garamond" w:hAnsi="Garamond" w:cs="Arial"/>
                <w:sz w:val="20"/>
                <w:szCs w:val="20"/>
              </w:rPr>
            </w:pPr>
            <w:r w:rsidRPr="00061B56">
              <w:rPr>
                <w:rFonts w:ascii="Garamond" w:hAnsi="Garamond" w:cs="Arial"/>
                <w:sz w:val="20"/>
                <w:szCs w:val="20"/>
              </w:rPr>
              <w:t>-0.079</w:t>
            </w:r>
          </w:p>
        </w:tc>
        <w:tc>
          <w:tcPr>
            <w:tcW w:w="717" w:type="dxa"/>
            <w:tcBorders>
              <w:top w:val="nil"/>
              <w:left w:val="nil"/>
              <w:bottom w:val="nil"/>
              <w:right w:val="nil"/>
            </w:tcBorders>
            <w:shd w:val="clear" w:color="auto" w:fill="FFFFFF" w:themeFill="background1"/>
            <w:vAlign w:val="center"/>
          </w:tcPr>
          <w:p w14:paraId="3EDCE41A" w14:textId="77777777" w:rsidR="007144CC" w:rsidRPr="00061B56" w:rsidRDefault="007144CC" w:rsidP="00AF75C0">
            <w:pPr>
              <w:jc w:val="both"/>
              <w:rPr>
                <w:rFonts w:ascii="Garamond" w:hAnsi="Garamond" w:cs="Arial"/>
                <w:sz w:val="20"/>
                <w:szCs w:val="20"/>
              </w:rPr>
            </w:pPr>
            <w:r w:rsidRPr="00061B56">
              <w:rPr>
                <w:rFonts w:ascii="Garamond" w:hAnsi="Garamond" w:cs="Arial"/>
                <w:color w:val="000000"/>
                <w:sz w:val="20"/>
                <w:szCs w:val="20"/>
              </w:rPr>
              <w:t>0.784</w:t>
            </w:r>
          </w:p>
        </w:tc>
        <w:tc>
          <w:tcPr>
            <w:tcW w:w="1269" w:type="dxa"/>
            <w:tcBorders>
              <w:top w:val="nil"/>
              <w:left w:val="nil"/>
              <w:bottom w:val="nil"/>
              <w:right w:val="nil"/>
            </w:tcBorders>
            <w:shd w:val="clear" w:color="auto" w:fill="FFFFFF" w:themeFill="background1"/>
            <w:vAlign w:val="bottom"/>
          </w:tcPr>
          <w:p w14:paraId="3B27966F" w14:textId="77777777" w:rsidR="007144CC" w:rsidRPr="00061B56" w:rsidRDefault="007144CC" w:rsidP="00AF75C0">
            <w:pPr>
              <w:jc w:val="both"/>
              <w:rPr>
                <w:rFonts w:ascii="Garamond" w:hAnsi="Garamond" w:cs="Arial"/>
                <w:sz w:val="20"/>
                <w:szCs w:val="20"/>
              </w:rPr>
            </w:pPr>
            <w:r w:rsidRPr="00061B56">
              <w:rPr>
                <w:rFonts w:ascii="Garamond" w:hAnsi="Garamond" w:cs="Arial"/>
                <w:color w:val="000000"/>
                <w:sz w:val="20"/>
                <w:szCs w:val="20"/>
              </w:rPr>
              <w:t>-0.1007</w:t>
            </w:r>
          </w:p>
        </w:tc>
        <w:tc>
          <w:tcPr>
            <w:tcW w:w="850" w:type="dxa"/>
            <w:tcBorders>
              <w:top w:val="nil"/>
              <w:left w:val="nil"/>
              <w:bottom w:val="nil"/>
              <w:right w:val="nil"/>
            </w:tcBorders>
            <w:vAlign w:val="center"/>
          </w:tcPr>
          <w:p w14:paraId="78C2E3C2" w14:textId="77777777" w:rsidR="007144CC" w:rsidRPr="00061B56" w:rsidRDefault="007144CC" w:rsidP="00AF75C0">
            <w:pPr>
              <w:jc w:val="both"/>
              <w:rPr>
                <w:rFonts w:ascii="Garamond" w:hAnsi="Garamond" w:cs="Arial"/>
                <w:sz w:val="20"/>
                <w:szCs w:val="20"/>
              </w:rPr>
            </w:pPr>
            <w:r w:rsidRPr="00061B56">
              <w:rPr>
                <w:rFonts w:ascii="Garamond" w:hAnsi="Garamond" w:cs="Arial"/>
                <w:sz w:val="20"/>
                <w:szCs w:val="20"/>
              </w:rPr>
              <w:t>-1.888</w:t>
            </w:r>
          </w:p>
        </w:tc>
        <w:tc>
          <w:tcPr>
            <w:tcW w:w="851" w:type="dxa"/>
            <w:tcBorders>
              <w:top w:val="nil"/>
              <w:left w:val="nil"/>
              <w:bottom w:val="nil"/>
              <w:right w:val="nil"/>
            </w:tcBorders>
            <w:vAlign w:val="center"/>
          </w:tcPr>
          <w:p w14:paraId="67A87599"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rPr>
              <w:t>0.875</w:t>
            </w:r>
          </w:p>
        </w:tc>
        <w:tc>
          <w:tcPr>
            <w:tcW w:w="992" w:type="dxa"/>
            <w:tcBorders>
              <w:top w:val="nil"/>
              <w:left w:val="nil"/>
              <w:bottom w:val="nil"/>
              <w:right w:val="nil"/>
            </w:tcBorders>
            <w:vAlign w:val="center"/>
          </w:tcPr>
          <w:p w14:paraId="44B44C9E" w14:textId="77777777" w:rsidR="007144CC" w:rsidRPr="00061B56" w:rsidRDefault="007144CC" w:rsidP="00AF75C0">
            <w:pPr>
              <w:jc w:val="both"/>
              <w:rPr>
                <w:rFonts w:ascii="Garamond" w:hAnsi="Garamond" w:cs="Arial"/>
                <w:b/>
                <w:bCs/>
                <w:sz w:val="20"/>
                <w:szCs w:val="20"/>
                <w:lang w:val="en"/>
              </w:rPr>
            </w:pPr>
            <w:r w:rsidRPr="00061B56">
              <w:rPr>
                <w:rFonts w:ascii="Garamond" w:hAnsi="Garamond" w:cs="Arial"/>
                <w:sz w:val="20"/>
                <w:szCs w:val="20"/>
              </w:rPr>
              <w:t>0.737</w:t>
            </w:r>
          </w:p>
        </w:tc>
      </w:tr>
      <w:tr w:rsidR="007144CC" w:rsidRPr="00061B56" w14:paraId="295E8826" w14:textId="77777777" w:rsidTr="00AF75C0">
        <w:trPr>
          <w:trHeight w:val="362"/>
        </w:trPr>
        <w:tc>
          <w:tcPr>
            <w:tcW w:w="1815" w:type="dxa"/>
            <w:tcBorders>
              <w:top w:val="nil"/>
              <w:left w:val="nil"/>
              <w:bottom w:val="nil"/>
              <w:right w:val="nil"/>
            </w:tcBorders>
          </w:tcPr>
          <w:p w14:paraId="24D44F8D"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EEEO&gt;GI&gt;CER</w:t>
            </w:r>
          </w:p>
        </w:tc>
        <w:tc>
          <w:tcPr>
            <w:tcW w:w="1195" w:type="dxa"/>
            <w:tcBorders>
              <w:top w:val="nil"/>
              <w:left w:val="nil"/>
              <w:bottom w:val="nil"/>
              <w:right w:val="nil"/>
            </w:tcBorders>
            <w:vAlign w:val="center"/>
          </w:tcPr>
          <w:p w14:paraId="7FFC9110"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H4c</w:t>
            </w:r>
          </w:p>
        </w:tc>
        <w:tc>
          <w:tcPr>
            <w:tcW w:w="1077" w:type="dxa"/>
            <w:tcBorders>
              <w:top w:val="nil"/>
              <w:left w:val="nil"/>
              <w:bottom w:val="nil"/>
              <w:right w:val="nil"/>
            </w:tcBorders>
            <w:vAlign w:val="center"/>
          </w:tcPr>
          <w:p w14:paraId="1755FF89" w14:textId="77777777" w:rsidR="007144CC" w:rsidRPr="00061B56" w:rsidRDefault="007144CC" w:rsidP="00AF75C0">
            <w:pPr>
              <w:jc w:val="both"/>
              <w:rPr>
                <w:rFonts w:ascii="Garamond" w:hAnsi="Garamond" w:cs="Arial"/>
                <w:sz w:val="20"/>
                <w:szCs w:val="20"/>
              </w:rPr>
            </w:pPr>
            <w:r w:rsidRPr="00061B56">
              <w:rPr>
                <w:rFonts w:ascii="Garamond" w:hAnsi="Garamond" w:cs="Arial"/>
                <w:sz w:val="20"/>
                <w:szCs w:val="20"/>
              </w:rPr>
              <w:t>0.254</w:t>
            </w:r>
          </w:p>
        </w:tc>
        <w:tc>
          <w:tcPr>
            <w:tcW w:w="717" w:type="dxa"/>
            <w:tcBorders>
              <w:top w:val="nil"/>
              <w:left w:val="nil"/>
              <w:bottom w:val="nil"/>
              <w:right w:val="nil"/>
            </w:tcBorders>
            <w:shd w:val="clear" w:color="auto" w:fill="FFFFFF" w:themeFill="background1"/>
            <w:vAlign w:val="center"/>
          </w:tcPr>
          <w:p w14:paraId="5938F3D3" w14:textId="77777777" w:rsidR="007144CC" w:rsidRPr="00061B56" w:rsidRDefault="007144CC" w:rsidP="00AF75C0">
            <w:pPr>
              <w:jc w:val="both"/>
              <w:rPr>
                <w:rFonts w:ascii="Garamond" w:hAnsi="Garamond" w:cs="Arial"/>
                <w:sz w:val="20"/>
                <w:szCs w:val="20"/>
              </w:rPr>
            </w:pPr>
            <w:r w:rsidRPr="00061B56">
              <w:rPr>
                <w:rFonts w:ascii="Garamond" w:hAnsi="Garamond" w:cs="Arial"/>
                <w:color w:val="000000"/>
                <w:sz w:val="20"/>
                <w:szCs w:val="20"/>
              </w:rPr>
              <w:t>0.249</w:t>
            </w:r>
          </w:p>
        </w:tc>
        <w:tc>
          <w:tcPr>
            <w:tcW w:w="1269" w:type="dxa"/>
            <w:tcBorders>
              <w:top w:val="nil"/>
              <w:left w:val="nil"/>
              <w:bottom w:val="nil"/>
              <w:right w:val="nil"/>
            </w:tcBorders>
            <w:shd w:val="clear" w:color="auto" w:fill="FFFFFF" w:themeFill="background1"/>
            <w:vAlign w:val="bottom"/>
          </w:tcPr>
          <w:p w14:paraId="78EEC34F" w14:textId="77777777" w:rsidR="007144CC" w:rsidRPr="00061B56" w:rsidRDefault="007144CC" w:rsidP="00AF75C0">
            <w:pPr>
              <w:jc w:val="both"/>
              <w:rPr>
                <w:rFonts w:ascii="Garamond" w:hAnsi="Garamond" w:cs="Arial"/>
                <w:sz w:val="20"/>
                <w:szCs w:val="20"/>
              </w:rPr>
            </w:pPr>
            <w:r w:rsidRPr="00061B56">
              <w:rPr>
                <w:rFonts w:ascii="Garamond" w:hAnsi="Garamond" w:cs="Arial"/>
                <w:color w:val="000000"/>
                <w:sz w:val="20"/>
                <w:szCs w:val="20"/>
              </w:rPr>
              <w:t>1.0200</w:t>
            </w:r>
          </w:p>
        </w:tc>
        <w:tc>
          <w:tcPr>
            <w:tcW w:w="850" w:type="dxa"/>
            <w:tcBorders>
              <w:top w:val="nil"/>
              <w:left w:val="nil"/>
              <w:bottom w:val="nil"/>
              <w:right w:val="nil"/>
            </w:tcBorders>
            <w:vAlign w:val="center"/>
          </w:tcPr>
          <w:p w14:paraId="7AC7AFD9" w14:textId="77777777" w:rsidR="007144CC" w:rsidRPr="00061B56" w:rsidRDefault="007144CC" w:rsidP="00AF75C0">
            <w:pPr>
              <w:jc w:val="both"/>
              <w:rPr>
                <w:rFonts w:ascii="Garamond" w:hAnsi="Garamond" w:cs="Arial"/>
                <w:sz w:val="20"/>
                <w:szCs w:val="20"/>
              </w:rPr>
            </w:pPr>
            <w:r w:rsidRPr="00061B56">
              <w:rPr>
                <w:rFonts w:ascii="Garamond" w:hAnsi="Garamond" w:cs="Arial"/>
                <w:sz w:val="20"/>
                <w:szCs w:val="20"/>
              </w:rPr>
              <w:t>-0.167</w:t>
            </w:r>
          </w:p>
        </w:tc>
        <w:tc>
          <w:tcPr>
            <w:tcW w:w="851" w:type="dxa"/>
            <w:tcBorders>
              <w:top w:val="nil"/>
              <w:left w:val="nil"/>
              <w:bottom w:val="nil"/>
              <w:right w:val="nil"/>
            </w:tcBorders>
            <w:vAlign w:val="center"/>
          </w:tcPr>
          <w:p w14:paraId="59B2054D"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rPr>
              <w:t>0.837</w:t>
            </w:r>
          </w:p>
        </w:tc>
        <w:tc>
          <w:tcPr>
            <w:tcW w:w="992" w:type="dxa"/>
            <w:tcBorders>
              <w:top w:val="nil"/>
              <w:left w:val="nil"/>
              <w:bottom w:val="nil"/>
              <w:right w:val="nil"/>
            </w:tcBorders>
            <w:vAlign w:val="center"/>
          </w:tcPr>
          <w:p w14:paraId="1D82435A"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rPr>
              <w:t>0.176</w:t>
            </w:r>
          </w:p>
        </w:tc>
      </w:tr>
      <w:tr w:rsidR="007144CC" w:rsidRPr="00061B56" w14:paraId="4F95D757" w14:textId="77777777" w:rsidTr="00AF75C0">
        <w:trPr>
          <w:trHeight w:val="349"/>
        </w:trPr>
        <w:tc>
          <w:tcPr>
            <w:tcW w:w="1815" w:type="dxa"/>
            <w:tcBorders>
              <w:top w:val="nil"/>
              <w:left w:val="nil"/>
              <w:bottom w:val="single" w:sz="18" w:space="0" w:color="auto"/>
              <w:right w:val="nil"/>
            </w:tcBorders>
          </w:tcPr>
          <w:p w14:paraId="2A99D2FA"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EEEO&gt;IB&gt;CER</w:t>
            </w:r>
          </w:p>
        </w:tc>
        <w:tc>
          <w:tcPr>
            <w:tcW w:w="1195" w:type="dxa"/>
            <w:tcBorders>
              <w:top w:val="nil"/>
              <w:left w:val="nil"/>
              <w:bottom w:val="single" w:sz="18" w:space="0" w:color="auto"/>
              <w:right w:val="nil"/>
            </w:tcBorders>
            <w:vAlign w:val="center"/>
          </w:tcPr>
          <w:p w14:paraId="6A3F8AFF"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lang w:val="en"/>
              </w:rPr>
              <w:t>H1c</w:t>
            </w:r>
          </w:p>
        </w:tc>
        <w:tc>
          <w:tcPr>
            <w:tcW w:w="1077" w:type="dxa"/>
            <w:tcBorders>
              <w:top w:val="nil"/>
              <w:left w:val="nil"/>
              <w:bottom w:val="single" w:sz="18" w:space="0" w:color="auto"/>
              <w:right w:val="nil"/>
            </w:tcBorders>
            <w:vAlign w:val="center"/>
          </w:tcPr>
          <w:p w14:paraId="22C45219" w14:textId="77777777" w:rsidR="007144CC" w:rsidRPr="00061B56" w:rsidRDefault="007144CC" w:rsidP="00AF75C0">
            <w:pPr>
              <w:jc w:val="both"/>
              <w:rPr>
                <w:rFonts w:ascii="Garamond" w:hAnsi="Garamond" w:cs="Arial"/>
                <w:sz w:val="20"/>
                <w:szCs w:val="20"/>
              </w:rPr>
            </w:pPr>
            <w:r w:rsidRPr="00061B56">
              <w:rPr>
                <w:rFonts w:ascii="Garamond" w:hAnsi="Garamond" w:cs="Arial"/>
                <w:sz w:val="20"/>
                <w:szCs w:val="20"/>
              </w:rPr>
              <w:t>0.300</w:t>
            </w:r>
          </w:p>
        </w:tc>
        <w:tc>
          <w:tcPr>
            <w:tcW w:w="717" w:type="dxa"/>
            <w:tcBorders>
              <w:top w:val="nil"/>
              <w:left w:val="nil"/>
              <w:bottom w:val="single" w:sz="18" w:space="0" w:color="auto"/>
              <w:right w:val="nil"/>
            </w:tcBorders>
            <w:shd w:val="clear" w:color="auto" w:fill="FFFFFF" w:themeFill="background1"/>
            <w:vAlign w:val="center"/>
          </w:tcPr>
          <w:p w14:paraId="608E4D6A" w14:textId="77777777" w:rsidR="007144CC" w:rsidRPr="00061B56" w:rsidRDefault="007144CC" w:rsidP="00AF75C0">
            <w:pPr>
              <w:jc w:val="both"/>
              <w:rPr>
                <w:rFonts w:ascii="Garamond" w:hAnsi="Garamond" w:cs="Arial"/>
                <w:sz w:val="20"/>
                <w:szCs w:val="20"/>
              </w:rPr>
            </w:pPr>
            <w:r w:rsidRPr="00061B56">
              <w:rPr>
                <w:rFonts w:ascii="Garamond" w:hAnsi="Garamond" w:cs="Arial"/>
                <w:color w:val="000000"/>
                <w:sz w:val="20"/>
                <w:szCs w:val="20"/>
              </w:rPr>
              <w:t>0.103</w:t>
            </w:r>
          </w:p>
        </w:tc>
        <w:tc>
          <w:tcPr>
            <w:tcW w:w="1269" w:type="dxa"/>
            <w:tcBorders>
              <w:top w:val="nil"/>
              <w:left w:val="nil"/>
              <w:bottom w:val="single" w:sz="18" w:space="0" w:color="auto"/>
              <w:right w:val="nil"/>
            </w:tcBorders>
            <w:shd w:val="clear" w:color="auto" w:fill="FFFFFF" w:themeFill="background1"/>
            <w:vAlign w:val="bottom"/>
          </w:tcPr>
          <w:p w14:paraId="4E3CCE86" w14:textId="77777777" w:rsidR="007144CC" w:rsidRPr="00061B56" w:rsidRDefault="007144CC" w:rsidP="00AF75C0">
            <w:pPr>
              <w:jc w:val="both"/>
              <w:rPr>
                <w:rFonts w:ascii="Garamond" w:hAnsi="Garamond" w:cs="Arial"/>
                <w:sz w:val="20"/>
                <w:szCs w:val="20"/>
              </w:rPr>
            </w:pPr>
            <w:r w:rsidRPr="00061B56">
              <w:rPr>
                <w:rFonts w:ascii="Garamond" w:hAnsi="Garamond" w:cs="Arial"/>
                <w:color w:val="000000"/>
                <w:sz w:val="20"/>
                <w:szCs w:val="20"/>
              </w:rPr>
              <w:t>2.9126</w:t>
            </w:r>
          </w:p>
        </w:tc>
        <w:tc>
          <w:tcPr>
            <w:tcW w:w="850" w:type="dxa"/>
            <w:tcBorders>
              <w:top w:val="nil"/>
              <w:left w:val="nil"/>
              <w:bottom w:val="single" w:sz="18" w:space="0" w:color="auto"/>
              <w:right w:val="nil"/>
            </w:tcBorders>
            <w:vAlign w:val="center"/>
          </w:tcPr>
          <w:p w14:paraId="0DCBBD8E" w14:textId="77777777" w:rsidR="007144CC" w:rsidRPr="00061B56" w:rsidRDefault="007144CC" w:rsidP="00AF75C0">
            <w:pPr>
              <w:jc w:val="both"/>
              <w:rPr>
                <w:rFonts w:ascii="Garamond" w:hAnsi="Garamond" w:cs="Arial"/>
                <w:sz w:val="20"/>
                <w:szCs w:val="20"/>
              </w:rPr>
            </w:pPr>
            <w:r w:rsidRPr="00061B56">
              <w:rPr>
                <w:rFonts w:ascii="Garamond" w:hAnsi="Garamond" w:cs="Arial"/>
                <w:sz w:val="20"/>
                <w:szCs w:val="20"/>
              </w:rPr>
              <w:t>0.142</w:t>
            </w:r>
          </w:p>
        </w:tc>
        <w:tc>
          <w:tcPr>
            <w:tcW w:w="851" w:type="dxa"/>
            <w:tcBorders>
              <w:top w:val="nil"/>
              <w:left w:val="nil"/>
              <w:bottom w:val="single" w:sz="18" w:space="0" w:color="auto"/>
              <w:right w:val="nil"/>
            </w:tcBorders>
            <w:vAlign w:val="center"/>
          </w:tcPr>
          <w:p w14:paraId="5C33A004" w14:textId="77777777" w:rsidR="007144CC" w:rsidRPr="00061B56" w:rsidRDefault="007144CC" w:rsidP="00AF75C0">
            <w:pPr>
              <w:jc w:val="both"/>
              <w:rPr>
                <w:rFonts w:ascii="Garamond" w:hAnsi="Garamond" w:cs="Arial"/>
                <w:sz w:val="20"/>
                <w:szCs w:val="20"/>
                <w:lang w:val="en"/>
              </w:rPr>
            </w:pPr>
            <w:r w:rsidRPr="00061B56">
              <w:rPr>
                <w:rFonts w:ascii="Garamond" w:hAnsi="Garamond" w:cs="Arial"/>
                <w:sz w:val="20"/>
                <w:szCs w:val="20"/>
              </w:rPr>
              <w:t>0.551</w:t>
            </w:r>
          </w:p>
        </w:tc>
        <w:tc>
          <w:tcPr>
            <w:tcW w:w="992" w:type="dxa"/>
            <w:tcBorders>
              <w:top w:val="nil"/>
              <w:left w:val="nil"/>
              <w:bottom w:val="single" w:sz="18" w:space="0" w:color="auto"/>
              <w:right w:val="nil"/>
            </w:tcBorders>
            <w:vAlign w:val="center"/>
          </w:tcPr>
          <w:p w14:paraId="438E9278" w14:textId="77777777" w:rsidR="007144CC" w:rsidRPr="00061B56" w:rsidRDefault="007144CC" w:rsidP="00AF75C0">
            <w:pPr>
              <w:jc w:val="both"/>
              <w:rPr>
                <w:rFonts w:ascii="Garamond" w:hAnsi="Garamond" w:cs="Arial"/>
                <w:b/>
                <w:bCs/>
                <w:sz w:val="20"/>
                <w:szCs w:val="20"/>
                <w:lang w:val="en"/>
              </w:rPr>
            </w:pPr>
            <w:r w:rsidRPr="00061B56">
              <w:rPr>
                <w:rFonts w:ascii="Garamond" w:hAnsi="Garamond" w:cs="Arial"/>
                <w:sz w:val="20"/>
                <w:szCs w:val="20"/>
              </w:rPr>
              <w:t>0.000</w:t>
            </w:r>
          </w:p>
        </w:tc>
      </w:tr>
    </w:tbl>
    <w:p w14:paraId="427304F7" w14:textId="77777777" w:rsidR="007144CC" w:rsidRPr="00061B56" w:rsidRDefault="007144CC" w:rsidP="007144CC">
      <w:pPr>
        <w:spacing w:line="360" w:lineRule="auto"/>
        <w:jc w:val="both"/>
        <w:rPr>
          <w:rFonts w:ascii="Garamond" w:hAnsi="Garamond" w:cs="Arial"/>
          <w:b/>
          <w:bCs/>
          <w:lang w:val="en"/>
        </w:rPr>
      </w:pPr>
    </w:p>
    <w:p w14:paraId="519241D5" w14:textId="77777777" w:rsidR="007144CC" w:rsidRPr="00061B56" w:rsidRDefault="007144CC" w:rsidP="007144CC">
      <w:pPr>
        <w:spacing w:line="360" w:lineRule="auto"/>
        <w:jc w:val="both"/>
        <w:rPr>
          <w:rFonts w:ascii="Garamond" w:hAnsi="Garamond" w:cs="Arial"/>
          <w:b/>
          <w:bCs/>
          <w:lang w:val="en"/>
        </w:rPr>
      </w:pPr>
    </w:p>
    <w:p w14:paraId="1C7F18F3" w14:textId="77777777" w:rsidR="007144CC" w:rsidRPr="00061B56" w:rsidRDefault="007144CC" w:rsidP="007144CC">
      <w:pPr>
        <w:spacing w:line="360" w:lineRule="auto"/>
        <w:jc w:val="both"/>
        <w:rPr>
          <w:rFonts w:ascii="Garamond" w:hAnsi="Garamond" w:cs="Arial"/>
          <w:b/>
          <w:bCs/>
          <w:lang w:val="en"/>
        </w:rPr>
      </w:pPr>
      <w:r w:rsidRPr="00061B56">
        <w:rPr>
          <w:rFonts w:ascii="Garamond" w:hAnsi="Garamond" w:cs="Arial"/>
          <w:b/>
          <w:bCs/>
          <w:lang w:val="en"/>
        </w:rPr>
        <w:t>Table 7: Multiple Mediation Analysis Summary</w:t>
      </w:r>
    </w:p>
    <w:tbl>
      <w:tblPr>
        <w:tblW w:w="8829" w:type="dxa"/>
        <w:tblInd w:w="118" w:type="dxa"/>
        <w:tblLook w:val="04A0" w:firstRow="1" w:lastRow="0" w:firstColumn="1" w:lastColumn="0" w:noHBand="0" w:noVBand="1"/>
      </w:tblPr>
      <w:tblGrid>
        <w:gridCol w:w="2083"/>
        <w:gridCol w:w="794"/>
        <w:gridCol w:w="717"/>
        <w:gridCol w:w="717"/>
        <w:gridCol w:w="643"/>
        <w:gridCol w:w="1088"/>
        <w:gridCol w:w="1241"/>
        <w:gridCol w:w="1546"/>
      </w:tblGrid>
      <w:tr w:rsidR="007144CC" w:rsidRPr="00061B56" w14:paraId="5912D642" w14:textId="77777777" w:rsidTr="00AF75C0">
        <w:trPr>
          <w:trHeight w:val="903"/>
        </w:trPr>
        <w:tc>
          <w:tcPr>
            <w:tcW w:w="2083" w:type="dxa"/>
            <w:vMerge w:val="restart"/>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hideMark/>
          </w:tcPr>
          <w:p w14:paraId="52ECD946" w14:textId="77777777" w:rsidR="007144CC" w:rsidRPr="00061B56" w:rsidRDefault="007144CC" w:rsidP="00AF75C0">
            <w:pPr>
              <w:spacing w:after="0" w:line="240" w:lineRule="auto"/>
              <w:jc w:val="both"/>
              <w:rPr>
                <w:rFonts w:ascii="Garamond" w:eastAsia="Times New Roman" w:hAnsi="Garamond" w:cs="Arial"/>
                <w:b/>
                <w:bCs/>
                <w:color w:val="000000"/>
                <w:sz w:val="16"/>
                <w:szCs w:val="16"/>
                <w:lang w:eastAsia="en-GB"/>
              </w:rPr>
            </w:pPr>
            <w:r w:rsidRPr="00061B56">
              <w:rPr>
                <w:rFonts w:ascii="Garamond" w:eastAsia="Times New Roman" w:hAnsi="Garamond" w:cs="Arial"/>
                <w:b/>
                <w:bCs/>
                <w:color w:val="000000"/>
                <w:sz w:val="16"/>
                <w:szCs w:val="16"/>
                <w:lang w:val="en" w:eastAsia="en-GB"/>
              </w:rPr>
              <w:t>Relationship</w:t>
            </w:r>
          </w:p>
        </w:tc>
        <w:tc>
          <w:tcPr>
            <w:tcW w:w="794" w:type="dxa"/>
            <w:vMerge w:val="restart"/>
            <w:tcBorders>
              <w:top w:val="single" w:sz="18" w:space="0" w:color="auto"/>
              <w:left w:val="single" w:sz="8" w:space="0" w:color="auto"/>
              <w:bottom w:val="single" w:sz="18" w:space="0" w:color="auto"/>
              <w:right w:val="single" w:sz="8" w:space="0" w:color="auto"/>
            </w:tcBorders>
            <w:shd w:val="clear" w:color="auto" w:fill="D9D9D9" w:themeFill="background1" w:themeFillShade="D9"/>
            <w:vAlign w:val="center"/>
            <w:hideMark/>
          </w:tcPr>
          <w:p w14:paraId="635838B4" w14:textId="77777777" w:rsidR="007144CC" w:rsidRPr="00061B56" w:rsidRDefault="007144CC" w:rsidP="00AF75C0">
            <w:pPr>
              <w:spacing w:after="0" w:line="240" w:lineRule="auto"/>
              <w:jc w:val="both"/>
              <w:rPr>
                <w:rFonts w:ascii="Garamond" w:eastAsia="Times New Roman" w:hAnsi="Garamond" w:cs="Arial"/>
                <w:b/>
                <w:bCs/>
                <w:color w:val="000000"/>
                <w:sz w:val="16"/>
                <w:szCs w:val="16"/>
                <w:lang w:eastAsia="en-GB"/>
              </w:rPr>
            </w:pPr>
            <w:r w:rsidRPr="00061B56">
              <w:rPr>
                <w:rFonts w:ascii="Garamond" w:eastAsia="Times New Roman" w:hAnsi="Garamond" w:cs="Arial"/>
                <w:b/>
                <w:bCs/>
                <w:color w:val="000000"/>
                <w:sz w:val="16"/>
                <w:szCs w:val="16"/>
                <w:lang w:val="en" w:eastAsia="en-GB"/>
              </w:rPr>
              <w:t>Indirect Effect</w:t>
            </w:r>
          </w:p>
        </w:tc>
        <w:tc>
          <w:tcPr>
            <w:tcW w:w="1434" w:type="dxa"/>
            <w:gridSpan w:val="2"/>
            <w:tcBorders>
              <w:top w:val="single" w:sz="18" w:space="0" w:color="auto"/>
              <w:left w:val="nil"/>
              <w:bottom w:val="single" w:sz="18" w:space="0" w:color="auto"/>
              <w:right w:val="single" w:sz="8" w:space="0" w:color="000000"/>
            </w:tcBorders>
            <w:shd w:val="clear" w:color="auto" w:fill="D9D9D9" w:themeFill="background1" w:themeFillShade="D9"/>
            <w:vAlign w:val="center"/>
            <w:hideMark/>
          </w:tcPr>
          <w:p w14:paraId="4A844F45" w14:textId="77777777" w:rsidR="007144CC" w:rsidRPr="00061B56" w:rsidRDefault="007144CC" w:rsidP="00AF75C0">
            <w:pPr>
              <w:spacing w:after="0" w:line="240" w:lineRule="auto"/>
              <w:jc w:val="both"/>
              <w:rPr>
                <w:rFonts w:ascii="Garamond" w:eastAsia="Times New Roman" w:hAnsi="Garamond" w:cs="Arial"/>
                <w:b/>
                <w:bCs/>
                <w:color w:val="000000"/>
                <w:sz w:val="16"/>
                <w:szCs w:val="16"/>
                <w:lang w:eastAsia="en-GB"/>
              </w:rPr>
            </w:pPr>
            <w:r w:rsidRPr="00061B56">
              <w:rPr>
                <w:rFonts w:ascii="Garamond" w:eastAsia="Times New Roman" w:hAnsi="Garamond" w:cs="Arial"/>
                <w:b/>
                <w:bCs/>
                <w:color w:val="000000"/>
                <w:sz w:val="16"/>
                <w:szCs w:val="16"/>
                <w:lang w:val="en" w:eastAsia="en-GB"/>
              </w:rPr>
              <w:t>Confidence Level (95%)</w:t>
            </w:r>
          </w:p>
        </w:tc>
        <w:tc>
          <w:tcPr>
            <w:tcW w:w="643" w:type="dxa"/>
            <w:vMerge w:val="restart"/>
            <w:tcBorders>
              <w:top w:val="single" w:sz="18" w:space="0" w:color="auto"/>
              <w:left w:val="single" w:sz="8" w:space="0" w:color="auto"/>
              <w:bottom w:val="single" w:sz="18" w:space="0" w:color="auto"/>
              <w:right w:val="single" w:sz="8" w:space="0" w:color="auto"/>
            </w:tcBorders>
            <w:shd w:val="clear" w:color="auto" w:fill="D9D9D9" w:themeFill="background1" w:themeFillShade="D9"/>
            <w:vAlign w:val="center"/>
            <w:hideMark/>
          </w:tcPr>
          <w:p w14:paraId="50E1E9E6" w14:textId="77777777" w:rsidR="007144CC" w:rsidRPr="00061B56" w:rsidRDefault="007144CC" w:rsidP="00AF75C0">
            <w:pPr>
              <w:spacing w:after="0" w:line="240" w:lineRule="auto"/>
              <w:jc w:val="both"/>
              <w:rPr>
                <w:rFonts w:ascii="Garamond" w:eastAsia="Times New Roman" w:hAnsi="Garamond" w:cs="Arial"/>
                <w:b/>
                <w:bCs/>
                <w:color w:val="000000"/>
                <w:sz w:val="16"/>
                <w:szCs w:val="16"/>
                <w:lang w:eastAsia="en-GB"/>
              </w:rPr>
            </w:pPr>
            <w:r w:rsidRPr="00061B56">
              <w:rPr>
                <w:rFonts w:ascii="Garamond" w:eastAsia="Times New Roman" w:hAnsi="Garamond" w:cs="Arial"/>
                <w:b/>
                <w:bCs/>
                <w:color w:val="000000"/>
                <w:sz w:val="16"/>
                <w:szCs w:val="16"/>
                <w:lang w:eastAsia="en-GB"/>
              </w:rPr>
              <w:t>P-Value</w:t>
            </w:r>
          </w:p>
        </w:tc>
        <w:tc>
          <w:tcPr>
            <w:tcW w:w="1088" w:type="dxa"/>
            <w:vMerge w:val="restart"/>
            <w:tcBorders>
              <w:top w:val="single" w:sz="18" w:space="0" w:color="auto"/>
              <w:left w:val="single" w:sz="8" w:space="0" w:color="auto"/>
              <w:bottom w:val="single" w:sz="18" w:space="0" w:color="auto"/>
              <w:right w:val="single" w:sz="18" w:space="0" w:color="auto"/>
            </w:tcBorders>
            <w:shd w:val="clear" w:color="auto" w:fill="D9D9D9" w:themeFill="background1" w:themeFillShade="D9"/>
            <w:vAlign w:val="center"/>
            <w:hideMark/>
          </w:tcPr>
          <w:p w14:paraId="05D7029C" w14:textId="77777777" w:rsidR="007144CC" w:rsidRPr="00061B56" w:rsidRDefault="007144CC" w:rsidP="00AF75C0">
            <w:pPr>
              <w:spacing w:after="0" w:line="240" w:lineRule="auto"/>
              <w:jc w:val="both"/>
              <w:rPr>
                <w:rFonts w:ascii="Garamond" w:eastAsia="Times New Roman" w:hAnsi="Garamond" w:cs="Arial"/>
                <w:b/>
                <w:bCs/>
                <w:color w:val="000000"/>
                <w:sz w:val="16"/>
                <w:szCs w:val="16"/>
                <w:lang w:eastAsia="en-GB"/>
              </w:rPr>
            </w:pPr>
            <w:r w:rsidRPr="00061B56">
              <w:rPr>
                <w:rFonts w:ascii="Garamond" w:eastAsia="Times New Roman" w:hAnsi="Garamond" w:cs="Arial"/>
                <w:b/>
                <w:bCs/>
                <w:color w:val="000000"/>
                <w:sz w:val="16"/>
                <w:szCs w:val="16"/>
                <w:lang w:val="en" w:eastAsia="en-GB"/>
              </w:rPr>
              <w:t>Conclusion</w:t>
            </w:r>
          </w:p>
        </w:tc>
        <w:tc>
          <w:tcPr>
            <w:tcW w:w="1241" w:type="dxa"/>
            <w:tcBorders>
              <w:top w:val="single" w:sz="18" w:space="0" w:color="auto"/>
              <w:left w:val="single" w:sz="18" w:space="0" w:color="auto"/>
              <w:right w:val="single" w:sz="18" w:space="0" w:color="auto"/>
            </w:tcBorders>
            <w:shd w:val="clear" w:color="auto" w:fill="D9D9D9" w:themeFill="background1" w:themeFillShade="D9"/>
          </w:tcPr>
          <w:p w14:paraId="248BDD49" w14:textId="77777777" w:rsidR="007144CC" w:rsidRPr="00061B56" w:rsidRDefault="007144CC" w:rsidP="00AF75C0">
            <w:pPr>
              <w:spacing w:after="0" w:line="240" w:lineRule="auto"/>
              <w:jc w:val="both"/>
              <w:rPr>
                <w:rFonts w:ascii="Garamond" w:eastAsia="Times New Roman" w:hAnsi="Garamond" w:cs="Arial"/>
                <w:b/>
                <w:bCs/>
                <w:color w:val="000000"/>
                <w:sz w:val="16"/>
                <w:szCs w:val="16"/>
                <w:lang w:eastAsia="en-GB"/>
              </w:rPr>
            </w:pPr>
            <w:r w:rsidRPr="00061B56">
              <w:rPr>
                <w:rFonts w:ascii="Garamond" w:eastAsia="Times New Roman" w:hAnsi="Garamond" w:cs="Arial"/>
                <w:b/>
                <w:bCs/>
                <w:color w:val="000000"/>
                <w:sz w:val="16"/>
                <w:szCs w:val="16"/>
                <w:lang w:eastAsia="en-GB"/>
              </w:rPr>
              <w:t>Mediation</w:t>
            </w:r>
          </w:p>
          <w:p w14:paraId="24B4FF5B" w14:textId="77777777" w:rsidR="007144CC" w:rsidRPr="00061B56" w:rsidRDefault="007144CC" w:rsidP="00AF75C0">
            <w:pPr>
              <w:spacing w:after="0" w:line="240" w:lineRule="auto"/>
              <w:jc w:val="both"/>
              <w:rPr>
                <w:rFonts w:ascii="Garamond" w:eastAsia="Times New Roman" w:hAnsi="Garamond" w:cs="Arial"/>
                <w:b/>
                <w:bCs/>
                <w:color w:val="000000"/>
                <w:sz w:val="16"/>
                <w:szCs w:val="16"/>
                <w:lang w:eastAsia="en-GB"/>
              </w:rPr>
            </w:pPr>
          </w:p>
          <w:p w14:paraId="4EB504A0" w14:textId="77777777" w:rsidR="007144CC" w:rsidRPr="00061B56" w:rsidRDefault="007144CC" w:rsidP="00AF75C0">
            <w:pPr>
              <w:spacing w:after="0" w:line="240" w:lineRule="auto"/>
              <w:jc w:val="both"/>
              <w:rPr>
                <w:rFonts w:ascii="Garamond" w:eastAsia="Times New Roman" w:hAnsi="Garamond" w:cs="Arial"/>
                <w:b/>
                <w:bCs/>
                <w:color w:val="000000"/>
                <w:sz w:val="16"/>
                <w:szCs w:val="16"/>
                <w:lang w:eastAsia="en-GB"/>
              </w:rPr>
            </w:pPr>
            <w:r w:rsidRPr="00061B56">
              <w:rPr>
                <w:rFonts w:ascii="Garamond" w:eastAsia="Times New Roman" w:hAnsi="Garamond" w:cs="Arial"/>
                <w:b/>
                <w:bCs/>
                <w:color w:val="000000"/>
                <w:sz w:val="16"/>
                <w:szCs w:val="16"/>
                <w:lang w:eastAsia="en-GB"/>
              </w:rPr>
              <w:t>(Partial or Full)</w:t>
            </w:r>
          </w:p>
        </w:tc>
        <w:tc>
          <w:tcPr>
            <w:tcW w:w="1546" w:type="dxa"/>
            <w:vMerge w:val="restart"/>
            <w:tcBorders>
              <w:top w:val="single" w:sz="18" w:space="0" w:color="auto"/>
              <w:left w:val="single" w:sz="18" w:space="0" w:color="auto"/>
              <w:bottom w:val="single" w:sz="8" w:space="0" w:color="000000"/>
              <w:right w:val="single" w:sz="18" w:space="0" w:color="auto"/>
            </w:tcBorders>
            <w:shd w:val="clear" w:color="auto" w:fill="D9D9D9" w:themeFill="background1" w:themeFillShade="D9"/>
            <w:vAlign w:val="center"/>
            <w:hideMark/>
          </w:tcPr>
          <w:p w14:paraId="117F3B4E" w14:textId="77777777" w:rsidR="007144CC" w:rsidRPr="00061B56" w:rsidRDefault="007144CC" w:rsidP="00AF75C0">
            <w:pPr>
              <w:spacing w:after="0" w:line="240" w:lineRule="auto"/>
              <w:jc w:val="both"/>
              <w:rPr>
                <w:rFonts w:ascii="Garamond" w:eastAsia="Times New Roman" w:hAnsi="Garamond" w:cs="Arial"/>
                <w:b/>
                <w:bCs/>
                <w:color w:val="000000"/>
                <w:sz w:val="16"/>
                <w:szCs w:val="16"/>
                <w:lang w:eastAsia="en-GB"/>
              </w:rPr>
            </w:pPr>
            <w:r w:rsidRPr="00061B56">
              <w:rPr>
                <w:rFonts w:ascii="Garamond" w:eastAsia="Times New Roman" w:hAnsi="Garamond" w:cs="Arial"/>
                <w:b/>
                <w:bCs/>
                <w:color w:val="000000"/>
                <w:sz w:val="16"/>
                <w:szCs w:val="16"/>
                <w:lang w:eastAsia="en-GB"/>
              </w:rPr>
              <w:t>Hypothesis</w:t>
            </w:r>
          </w:p>
        </w:tc>
      </w:tr>
      <w:tr w:rsidR="007144CC" w:rsidRPr="00061B56" w14:paraId="45E9821B" w14:textId="77777777" w:rsidTr="00AF75C0">
        <w:trPr>
          <w:trHeight w:val="480"/>
        </w:trPr>
        <w:tc>
          <w:tcPr>
            <w:tcW w:w="2083" w:type="dxa"/>
            <w:vMerge/>
            <w:tcBorders>
              <w:top w:val="single" w:sz="18" w:space="0" w:color="auto"/>
              <w:left w:val="single" w:sz="18" w:space="0" w:color="auto"/>
              <w:bottom w:val="single" w:sz="18" w:space="0" w:color="auto"/>
              <w:right w:val="single" w:sz="18" w:space="0" w:color="auto"/>
            </w:tcBorders>
            <w:vAlign w:val="center"/>
            <w:hideMark/>
          </w:tcPr>
          <w:p w14:paraId="42B28149"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p>
        </w:tc>
        <w:tc>
          <w:tcPr>
            <w:tcW w:w="794" w:type="dxa"/>
            <w:vMerge/>
            <w:tcBorders>
              <w:top w:val="single" w:sz="18" w:space="0" w:color="auto"/>
              <w:left w:val="single" w:sz="8" w:space="0" w:color="auto"/>
              <w:bottom w:val="single" w:sz="18" w:space="0" w:color="auto"/>
              <w:right w:val="single" w:sz="8" w:space="0" w:color="auto"/>
            </w:tcBorders>
            <w:vAlign w:val="center"/>
            <w:hideMark/>
          </w:tcPr>
          <w:p w14:paraId="5516A928"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p>
        </w:tc>
        <w:tc>
          <w:tcPr>
            <w:tcW w:w="717" w:type="dxa"/>
            <w:tcBorders>
              <w:top w:val="single" w:sz="18" w:space="0" w:color="auto"/>
              <w:left w:val="nil"/>
              <w:bottom w:val="single" w:sz="18" w:space="0" w:color="auto"/>
              <w:right w:val="single" w:sz="8" w:space="0" w:color="auto"/>
            </w:tcBorders>
            <w:shd w:val="clear" w:color="auto" w:fill="D9D9D9" w:themeFill="background1" w:themeFillShade="D9"/>
            <w:vAlign w:val="center"/>
            <w:hideMark/>
          </w:tcPr>
          <w:p w14:paraId="616442FD"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val="en" w:eastAsia="en-GB"/>
              </w:rPr>
              <w:t>Lower Bound</w:t>
            </w:r>
          </w:p>
        </w:tc>
        <w:tc>
          <w:tcPr>
            <w:tcW w:w="717" w:type="dxa"/>
            <w:tcBorders>
              <w:top w:val="single" w:sz="18" w:space="0" w:color="auto"/>
              <w:left w:val="nil"/>
              <w:bottom w:val="single" w:sz="18" w:space="0" w:color="auto"/>
              <w:right w:val="single" w:sz="8" w:space="0" w:color="auto"/>
            </w:tcBorders>
            <w:shd w:val="clear" w:color="auto" w:fill="D9D9D9" w:themeFill="background1" w:themeFillShade="D9"/>
            <w:vAlign w:val="center"/>
            <w:hideMark/>
          </w:tcPr>
          <w:p w14:paraId="5E6ACD7C"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val="en" w:eastAsia="en-GB"/>
              </w:rPr>
              <w:t>Upper Bound</w:t>
            </w:r>
          </w:p>
        </w:tc>
        <w:tc>
          <w:tcPr>
            <w:tcW w:w="643" w:type="dxa"/>
            <w:vMerge/>
            <w:tcBorders>
              <w:top w:val="single" w:sz="18" w:space="0" w:color="auto"/>
              <w:left w:val="single" w:sz="8" w:space="0" w:color="auto"/>
              <w:bottom w:val="single" w:sz="18" w:space="0" w:color="auto"/>
              <w:right w:val="single" w:sz="8" w:space="0" w:color="auto"/>
            </w:tcBorders>
            <w:vAlign w:val="center"/>
            <w:hideMark/>
          </w:tcPr>
          <w:p w14:paraId="4259E543"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p>
        </w:tc>
        <w:tc>
          <w:tcPr>
            <w:tcW w:w="1088" w:type="dxa"/>
            <w:vMerge/>
            <w:tcBorders>
              <w:top w:val="single" w:sz="18" w:space="0" w:color="auto"/>
              <w:left w:val="single" w:sz="8" w:space="0" w:color="auto"/>
              <w:bottom w:val="single" w:sz="18" w:space="0" w:color="auto"/>
              <w:right w:val="single" w:sz="18" w:space="0" w:color="auto"/>
            </w:tcBorders>
            <w:vAlign w:val="center"/>
            <w:hideMark/>
          </w:tcPr>
          <w:p w14:paraId="0DBD25AB"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p>
        </w:tc>
        <w:tc>
          <w:tcPr>
            <w:tcW w:w="1241" w:type="dxa"/>
            <w:tcBorders>
              <w:left w:val="single" w:sz="18" w:space="0" w:color="auto"/>
              <w:bottom w:val="single" w:sz="18" w:space="0" w:color="auto"/>
              <w:right w:val="single" w:sz="18" w:space="0" w:color="auto"/>
            </w:tcBorders>
            <w:shd w:val="clear" w:color="auto" w:fill="D9D9D9" w:themeFill="background1" w:themeFillShade="D9"/>
          </w:tcPr>
          <w:p w14:paraId="2C5ABAEF"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p>
        </w:tc>
        <w:tc>
          <w:tcPr>
            <w:tcW w:w="1546" w:type="dxa"/>
            <w:vMerge/>
            <w:tcBorders>
              <w:top w:val="single" w:sz="8" w:space="0" w:color="auto"/>
              <w:left w:val="single" w:sz="18" w:space="0" w:color="auto"/>
              <w:bottom w:val="single" w:sz="18" w:space="0" w:color="auto"/>
              <w:right w:val="single" w:sz="18" w:space="0" w:color="auto"/>
            </w:tcBorders>
            <w:vAlign w:val="center"/>
            <w:hideMark/>
          </w:tcPr>
          <w:p w14:paraId="2FC223F0"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p>
        </w:tc>
      </w:tr>
      <w:tr w:rsidR="007144CC" w:rsidRPr="00061B56" w14:paraId="6BE55BEC" w14:textId="77777777" w:rsidTr="00AF75C0">
        <w:trPr>
          <w:trHeight w:val="480"/>
        </w:trPr>
        <w:tc>
          <w:tcPr>
            <w:tcW w:w="2083" w:type="dxa"/>
            <w:tcBorders>
              <w:top w:val="single" w:sz="18" w:space="0" w:color="auto"/>
              <w:left w:val="single" w:sz="18" w:space="0" w:color="auto"/>
              <w:bottom w:val="single" w:sz="8" w:space="0" w:color="auto"/>
              <w:right w:val="single" w:sz="18" w:space="0" w:color="auto"/>
            </w:tcBorders>
            <w:vAlign w:val="center"/>
            <w:hideMark/>
          </w:tcPr>
          <w:p w14:paraId="2A31306F"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val="en" w:eastAsia="en-GB"/>
              </w:rPr>
              <w:t>EEEO&gt;GP&gt;CER</w:t>
            </w:r>
          </w:p>
        </w:tc>
        <w:tc>
          <w:tcPr>
            <w:tcW w:w="794" w:type="dxa"/>
            <w:tcBorders>
              <w:top w:val="single" w:sz="18" w:space="0" w:color="auto"/>
              <w:left w:val="nil"/>
              <w:bottom w:val="single" w:sz="8" w:space="0" w:color="auto"/>
              <w:right w:val="single" w:sz="8" w:space="0" w:color="auto"/>
            </w:tcBorders>
            <w:vAlign w:val="center"/>
            <w:hideMark/>
          </w:tcPr>
          <w:p w14:paraId="3C1BD802"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0.342</w:t>
            </w:r>
          </w:p>
        </w:tc>
        <w:tc>
          <w:tcPr>
            <w:tcW w:w="717" w:type="dxa"/>
            <w:tcBorders>
              <w:top w:val="single" w:sz="18" w:space="0" w:color="auto"/>
              <w:left w:val="nil"/>
              <w:bottom w:val="single" w:sz="8" w:space="0" w:color="auto"/>
              <w:right w:val="single" w:sz="8" w:space="0" w:color="auto"/>
            </w:tcBorders>
            <w:vAlign w:val="center"/>
          </w:tcPr>
          <w:p w14:paraId="133A9BB9"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-0.249</w:t>
            </w:r>
          </w:p>
        </w:tc>
        <w:tc>
          <w:tcPr>
            <w:tcW w:w="717" w:type="dxa"/>
            <w:tcBorders>
              <w:top w:val="single" w:sz="18" w:space="0" w:color="auto"/>
              <w:left w:val="nil"/>
              <w:bottom w:val="single" w:sz="8" w:space="0" w:color="auto"/>
              <w:right w:val="single" w:sz="8" w:space="0" w:color="auto"/>
            </w:tcBorders>
            <w:vAlign w:val="center"/>
          </w:tcPr>
          <w:p w14:paraId="4A74B743"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1.813</w:t>
            </w:r>
          </w:p>
        </w:tc>
        <w:tc>
          <w:tcPr>
            <w:tcW w:w="643" w:type="dxa"/>
            <w:tcBorders>
              <w:top w:val="single" w:sz="18" w:space="0" w:color="auto"/>
              <w:left w:val="nil"/>
              <w:bottom w:val="single" w:sz="8" w:space="0" w:color="auto"/>
              <w:right w:val="single" w:sz="8" w:space="0" w:color="auto"/>
            </w:tcBorders>
            <w:vAlign w:val="center"/>
          </w:tcPr>
          <w:p w14:paraId="7AA761DF"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0.236</w:t>
            </w:r>
          </w:p>
        </w:tc>
        <w:tc>
          <w:tcPr>
            <w:tcW w:w="1088" w:type="dxa"/>
            <w:tcBorders>
              <w:top w:val="single" w:sz="18" w:space="0" w:color="auto"/>
              <w:left w:val="nil"/>
              <w:bottom w:val="single" w:sz="8" w:space="0" w:color="auto"/>
              <w:right w:val="single" w:sz="18" w:space="0" w:color="auto"/>
            </w:tcBorders>
            <w:vAlign w:val="center"/>
            <w:hideMark/>
          </w:tcPr>
          <w:p w14:paraId="0262B4BB"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val="en" w:eastAsia="en-GB"/>
              </w:rPr>
              <w:t>Not Significant</w:t>
            </w:r>
          </w:p>
        </w:tc>
        <w:tc>
          <w:tcPr>
            <w:tcW w:w="1241" w:type="dxa"/>
            <w:tcBorders>
              <w:top w:val="single" w:sz="18" w:space="0" w:color="auto"/>
              <w:left w:val="single" w:sz="18" w:space="0" w:color="auto"/>
              <w:bottom w:val="single" w:sz="8" w:space="0" w:color="auto"/>
              <w:right w:val="single" w:sz="18" w:space="0" w:color="auto"/>
            </w:tcBorders>
          </w:tcPr>
          <w:p w14:paraId="1FBC2235"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p>
          <w:p w14:paraId="0F790E8C"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eastAsia="en-GB"/>
              </w:rPr>
              <w:t>No Mediation</w:t>
            </w:r>
          </w:p>
        </w:tc>
        <w:tc>
          <w:tcPr>
            <w:tcW w:w="1546" w:type="dxa"/>
            <w:tcBorders>
              <w:top w:val="single" w:sz="18" w:space="0" w:color="auto"/>
              <w:left w:val="single" w:sz="18" w:space="0" w:color="auto"/>
              <w:bottom w:val="single" w:sz="8" w:space="0" w:color="auto"/>
              <w:right w:val="single" w:sz="18" w:space="0" w:color="auto"/>
            </w:tcBorders>
            <w:vAlign w:val="center"/>
            <w:hideMark/>
          </w:tcPr>
          <w:p w14:paraId="322FB952"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eastAsia="en-GB"/>
              </w:rPr>
              <w:t>H2c - Rejected </w:t>
            </w:r>
          </w:p>
        </w:tc>
      </w:tr>
      <w:tr w:rsidR="007144CC" w:rsidRPr="00061B56" w14:paraId="74FA8FBC" w14:textId="77777777" w:rsidTr="00AF75C0">
        <w:trPr>
          <w:trHeight w:val="480"/>
        </w:trPr>
        <w:tc>
          <w:tcPr>
            <w:tcW w:w="2083" w:type="dxa"/>
            <w:tcBorders>
              <w:top w:val="single" w:sz="8" w:space="0" w:color="auto"/>
              <w:left w:val="single" w:sz="18" w:space="0" w:color="auto"/>
              <w:bottom w:val="single" w:sz="8" w:space="0" w:color="auto"/>
              <w:right w:val="single" w:sz="18" w:space="0" w:color="auto"/>
            </w:tcBorders>
            <w:hideMark/>
          </w:tcPr>
          <w:p w14:paraId="59046478"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val="en" w:eastAsia="en-GB"/>
              </w:rPr>
              <w:t>EEEO&gt;GN&gt;CER</w:t>
            </w:r>
          </w:p>
        </w:tc>
        <w:tc>
          <w:tcPr>
            <w:tcW w:w="794" w:type="dxa"/>
            <w:tcBorders>
              <w:top w:val="single" w:sz="8" w:space="0" w:color="auto"/>
              <w:left w:val="nil"/>
              <w:bottom w:val="single" w:sz="8" w:space="0" w:color="auto"/>
              <w:right w:val="single" w:sz="8" w:space="0" w:color="auto"/>
            </w:tcBorders>
            <w:vAlign w:val="center"/>
            <w:hideMark/>
          </w:tcPr>
          <w:p w14:paraId="188F33A0"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-0.079</w:t>
            </w:r>
          </w:p>
        </w:tc>
        <w:tc>
          <w:tcPr>
            <w:tcW w:w="717" w:type="dxa"/>
            <w:tcBorders>
              <w:top w:val="single" w:sz="8" w:space="0" w:color="auto"/>
              <w:left w:val="nil"/>
              <w:bottom w:val="single" w:sz="8" w:space="0" w:color="auto"/>
              <w:right w:val="single" w:sz="8" w:space="0" w:color="auto"/>
            </w:tcBorders>
            <w:vAlign w:val="center"/>
          </w:tcPr>
          <w:p w14:paraId="48BC4768"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-1.888</w:t>
            </w:r>
          </w:p>
        </w:tc>
        <w:tc>
          <w:tcPr>
            <w:tcW w:w="717" w:type="dxa"/>
            <w:tcBorders>
              <w:top w:val="single" w:sz="8" w:space="0" w:color="auto"/>
              <w:left w:val="nil"/>
              <w:bottom w:val="single" w:sz="8" w:space="0" w:color="auto"/>
              <w:right w:val="single" w:sz="8" w:space="0" w:color="auto"/>
            </w:tcBorders>
            <w:vAlign w:val="center"/>
          </w:tcPr>
          <w:p w14:paraId="7A0C4927"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0.875</w:t>
            </w:r>
          </w:p>
        </w:tc>
        <w:tc>
          <w:tcPr>
            <w:tcW w:w="643" w:type="dxa"/>
            <w:tcBorders>
              <w:top w:val="single" w:sz="8" w:space="0" w:color="auto"/>
              <w:left w:val="nil"/>
              <w:bottom w:val="single" w:sz="8" w:space="0" w:color="auto"/>
              <w:right w:val="single" w:sz="8" w:space="0" w:color="auto"/>
            </w:tcBorders>
            <w:vAlign w:val="center"/>
          </w:tcPr>
          <w:p w14:paraId="445F5E58"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0.737</w:t>
            </w:r>
          </w:p>
        </w:tc>
        <w:tc>
          <w:tcPr>
            <w:tcW w:w="1088" w:type="dxa"/>
            <w:tcBorders>
              <w:top w:val="single" w:sz="8" w:space="0" w:color="auto"/>
              <w:left w:val="nil"/>
              <w:bottom w:val="single" w:sz="8" w:space="0" w:color="auto"/>
              <w:right w:val="single" w:sz="18" w:space="0" w:color="auto"/>
            </w:tcBorders>
            <w:vAlign w:val="center"/>
            <w:hideMark/>
          </w:tcPr>
          <w:p w14:paraId="19B33581"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val="en" w:eastAsia="en-GB"/>
              </w:rPr>
              <w:t>Not Significant</w:t>
            </w:r>
          </w:p>
        </w:tc>
        <w:tc>
          <w:tcPr>
            <w:tcW w:w="1241" w:type="dxa"/>
            <w:tcBorders>
              <w:top w:val="nil"/>
              <w:left w:val="single" w:sz="18" w:space="0" w:color="auto"/>
              <w:bottom w:val="single" w:sz="8" w:space="0" w:color="auto"/>
              <w:right w:val="single" w:sz="18" w:space="0" w:color="auto"/>
            </w:tcBorders>
          </w:tcPr>
          <w:p w14:paraId="0B18600C"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p>
          <w:p w14:paraId="41295918"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eastAsia="en-GB"/>
              </w:rPr>
              <w:t>No Mediation</w:t>
            </w:r>
          </w:p>
        </w:tc>
        <w:tc>
          <w:tcPr>
            <w:tcW w:w="1546" w:type="dxa"/>
            <w:tcBorders>
              <w:top w:val="single" w:sz="8" w:space="0" w:color="auto"/>
              <w:left w:val="single" w:sz="18" w:space="0" w:color="auto"/>
              <w:bottom w:val="single" w:sz="8" w:space="0" w:color="auto"/>
              <w:right w:val="single" w:sz="18" w:space="0" w:color="auto"/>
            </w:tcBorders>
            <w:vAlign w:val="center"/>
            <w:hideMark/>
          </w:tcPr>
          <w:p w14:paraId="6A4BB20D"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eastAsia="en-GB"/>
              </w:rPr>
              <w:t>H3c - Rejected</w:t>
            </w:r>
          </w:p>
        </w:tc>
      </w:tr>
      <w:tr w:rsidR="007144CC" w:rsidRPr="00061B56" w14:paraId="0F873990" w14:textId="77777777" w:rsidTr="00AF75C0">
        <w:trPr>
          <w:trHeight w:val="480"/>
        </w:trPr>
        <w:tc>
          <w:tcPr>
            <w:tcW w:w="2083" w:type="dxa"/>
            <w:tcBorders>
              <w:top w:val="single" w:sz="8" w:space="0" w:color="auto"/>
              <w:left w:val="single" w:sz="18" w:space="0" w:color="auto"/>
              <w:bottom w:val="single" w:sz="8" w:space="0" w:color="auto"/>
              <w:right w:val="single" w:sz="18" w:space="0" w:color="auto"/>
            </w:tcBorders>
            <w:hideMark/>
          </w:tcPr>
          <w:p w14:paraId="4B691888"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val="en" w:eastAsia="en-GB"/>
              </w:rPr>
              <w:t>EEEO&gt;GI&gt;CER</w:t>
            </w:r>
          </w:p>
        </w:tc>
        <w:tc>
          <w:tcPr>
            <w:tcW w:w="794" w:type="dxa"/>
            <w:tcBorders>
              <w:top w:val="single" w:sz="8" w:space="0" w:color="auto"/>
              <w:left w:val="nil"/>
              <w:bottom w:val="single" w:sz="8" w:space="0" w:color="auto"/>
              <w:right w:val="single" w:sz="8" w:space="0" w:color="auto"/>
            </w:tcBorders>
            <w:vAlign w:val="center"/>
            <w:hideMark/>
          </w:tcPr>
          <w:p w14:paraId="19DEEF5A"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0.254</w:t>
            </w:r>
          </w:p>
        </w:tc>
        <w:tc>
          <w:tcPr>
            <w:tcW w:w="717" w:type="dxa"/>
            <w:tcBorders>
              <w:top w:val="single" w:sz="8" w:space="0" w:color="auto"/>
              <w:left w:val="nil"/>
              <w:bottom w:val="single" w:sz="8" w:space="0" w:color="auto"/>
              <w:right w:val="single" w:sz="8" w:space="0" w:color="auto"/>
            </w:tcBorders>
            <w:vAlign w:val="center"/>
          </w:tcPr>
          <w:p w14:paraId="18911049"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-.167</w:t>
            </w:r>
          </w:p>
        </w:tc>
        <w:tc>
          <w:tcPr>
            <w:tcW w:w="717" w:type="dxa"/>
            <w:tcBorders>
              <w:top w:val="single" w:sz="8" w:space="0" w:color="auto"/>
              <w:left w:val="nil"/>
              <w:bottom w:val="single" w:sz="8" w:space="0" w:color="auto"/>
              <w:right w:val="single" w:sz="8" w:space="0" w:color="auto"/>
            </w:tcBorders>
            <w:vAlign w:val="center"/>
          </w:tcPr>
          <w:p w14:paraId="102A8A07"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0.837</w:t>
            </w:r>
          </w:p>
        </w:tc>
        <w:tc>
          <w:tcPr>
            <w:tcW w:w="643" w:type="dxa"/>
            <w:tcBorders>
              <w:top w:val="single" w:sz="8" w:space="0" w:color="auto"/>
              <w:left w:val="nil"/>
              <w:bottom w:val="single" w:sz="8" w:space="0" w:color="auto"/>
              <w:right w:val="single" w:sz="8" w:space="0" w:color="auto"/>
            </w:tcBorders>
            <w:vAlign w:val="center"/>
          </w:tcPr>
          <w:p w14:paraId="4AFDE949"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0.176</w:t>
            </w:r>
          </w:p>
        </w:tc>
        <w:tc>
          <w:tcPr>
            <w:tcW w:w="1088" w:type="dxa"/>
            <w:tcBorders>
              <w:top w:val="single" w:sz="8" w:space="0" w:color="auto"/>
              <w:left w:val="nil"/>
              <w:bottom w:val="single" w:sz="8" w:space="0" w:color="auto"/>
              <w:right w:val="single" w:sz="18" w:space="0" w:color="auto"/>
            </w:tcBorders>
            <w:vAlign w:val="center"/>
            <w:hideMark/>
          </w:tcPr>
          <w:p w14:paraId="09EB7EF2"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val="en" w:eastAsia="en-GB"/>
              </w:rPr>
              <w:t> Not Significant</w:t>
            </w:r>
          </w:p>
        </w:tc>
        <w:tc>
          <w:tcPr>
            <w:tcW w:w="1241" w:type="dxa"/>
            <w:tcBorders>
              <w:top w:val="nil"/>
              <w:left w:val="single" w:sz="18" w:space="0" w:color="auto"/>
              <w:bottom w:val="single" w:sz="8" w:space="0" w:color="auto"/>
              <w:right w:val="single" w:sz="18" w:space="0" w:color="auto"/>
            </w:tcBorders>
          </w:tcPr>
          <w:p w14:paraId="2A71D332"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p>
          <w:p w14:paraId="6BBFF15D"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eastAsia="en-GB"/>
              </w:rPr>
              <w:t>No Mediation</w:t>
            </w:r>
          </w:p>
        </w:tc>
        <w:tc>
          <w:tcPr>
            <w:tcW w:w="1546" w:type="dxa"/>
            <w:tcBorders>
              <w:top w:val="single" w:sz="8" w:space="0" w:color="auto"/>
              <w:left w:val="single" w:sz="18" w:space="0" w:color="auto"/>
              <w:bottom w:val="single" w:sz="8" w:space="0" w:color="auto"/>
              <w:right w:val="single" w:sz="18" w:space="0" w:color="auto"/>
            </w:tcBorders>
            <w:vAlign w:val="center"/>
            <w:hideMark/>
          </w:tcPr>
          <w:p w14:paraId="3D9B7293"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eastAsia="en-GB"/>
              </w:rPr>
              <w:t>H4c - Rejected</w:t>
            </w:r>
          </w:p>
        </w:tc>
      </w:tr>
      <w:tr w:rsidR="007144CC" w:rsidRPr="00061B56" w14:paraId="1048A28F" w14:textId="77777777" w:rsidTr="00AF75C0">
        <w:trPr>
          <w:trHeight w:val="480"/>
        </w:trPr>
        <w:tc>
          <w:tcPr>
            <w:tcW w:w="2083" w:type="dxa"/>
            <w:tcBorders>
              <w:top w:val="single" w:sz="8" w:space="0" w:color="auto"/>
              <w:left w:val="single" w:sz="18" w:space="0" w:color="auto"/>
              <w:bottom w:val="single" w:sz="18" w:space="0" w:color="auto"/>
              <w:right w:val="single" w:sz="18" w:space="0" w:color="auto"/>
            </w:tcBorders>
            <w:hideMark/>
          </w:tcPr>
          <w:p w14:paraId="51B7F9B7"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val="en" w:eastAsia="en-GB"/>
              </w:rPr>
              <w:t>EEEO&gt;IB&gt;CER</w:t>
            </w:r>
          </w:p>
        </w:tc>
        <w:tc>
          <w:tcPr>
            <w:tcW w:w="794" w:type="dxa"/>
            <w:tcBorders>
              <w:top w:val="single" w:sz="8" w:space="0" w:color="auto"/>
              <w:left w:val="nil"/>
              <w:bottom w:val="single" w:sz="18" w:space="0" w:color="auto"/>
              <w:right w:val="single" w:sz="8" w:space="0" w:color="auto"/>
            </w:tcBorders>
            <w:vAlign w:val="center"/>
            <w:hideMark/>
          </w:tcPr>
          <w:p w14:paraId="19F3C85C"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0.300</w:t>
            </w:r>
          </w:p>
        </w:tc>
        <w:tc>
          <w:tcPr>
            <w:tcW w:w="717" w:type="dxa"/>
            <w:tcBorders>
              <w:top w:val="single" w:sz="8" w:space="0" w:color="auto"/>
              <w:left w:val="nil"/>
              <w:bottom w:val="single" w:sz="18" w:space="0" w:color="auto"/>
              <w:right w:val="single" w:sz="8" w:space="0" w:color="auto"/>
            </w:tcBorders>
            <w:vAlign w:val="center"/>
          </w:tcPr>
          <w:p w14:paraId="385A33F6"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0.142</w:t>
            </w:r>
          </w:p>
        </w:tc>
        <w:tc>
          <w:tcPr>
            <w:tcW w:w="717" w:type="dxa"/>
            <w:tcBorders>
              <w:top w:val="single" w:sz="8" w:space="0" w:color="auto"/>
              <w:left w:val="nil"/>
              <w:bottom w:val="single" w:sz="18" w:space="0" w:color="auto"/>
              <w:right w:val="single" w:sz="8" w:space="0" w:color="auto"/>
            </w:tcBorders>
            <w:vAlign w:val="center"/>
          </w:tcPr>
          <w:p w14:paraId="7788233B"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0.551</w:t>
            </w:r>
          </w:p>
        </w:tc>
        <w:tc>
          <w:tcPr>
            <w:tcW w:w="643" w:type="dxa"/>
            <w:tcBorders>
              <w:top w:val="single" w:sz="8" w:space="0" w:color="auto"/>
              <w:left w:val="nil"/>
              <w:bottom w:val="single" w:sz="18" w:space="0" w:color="auto"/>
              <w:right w:val="single" w:sz="8" w:space="0" w:color="auto"/>
            </w:tcBorders>
            <w:vAlign w:val="center"/>
          </w:tcPr>
          <w:p w14:paraId="3CBC777C"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hAnsi="Garamond" w:cs="Arial"/>
                <w:sz w:val="20"/>
                <w:szCs w:val="20"/>
              </w:rPr>
              <w:t>0.000</w:t>
            </w:r>
          </w:p>
        </w:tc>
        <w:tc>
          <w:tcPr>
            <w:tcW w:w="1088" w:type="dxa"/>
            <w:tcBorders>
              <w:top w:val="single" w:sz="8" w:space="0" w:color="auto"/>
              <w:left w:val="nil"/>
              <w:bottom w:val="single" w:sz="18" w:space="0" w:color="auto"/>
              <w:right w:val="single" w:sz="18" w:space="0" w:color="auto"/>
            </w:tcBorders>
            <w:vAlign w:val="center"/>
            <w:hideMark/>
          </w:tcPr>
          <w:p w14:paraId="25409D00"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val="en" w:eastAsia="en-GB"/>
              </w:rPr>
              <w:t>Significant</w:t>
            </w:r>
          </w:p>
        </w:tc>
        <w:tc>
          <w:tcPr>
            <w:tcW w:w="1241" w:type="dxa"/>
            <w:tcBorders>
              <w:top w:val="nil"/>
              <w:left w:val="single" w:sz="18" w:space="0" w:color="auto"/>
              <w:bottom w:val="single" w:sz="18" w:space="0" w:color="auto"/>
              <w:right w:val="single" w:sz="18" w:space="0" w:color="auto"/>
            </w:tcBorders>
          </w:tcPr>
          <w:p w14:paraId="3AD3D162"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p>
          <w:p w14:paraId="6B1461E8"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eastAsia="en-GB"/>
              </w:rPr>
              <w:t>Full Mediation</w:t>
            </w:r>
          </w:p>
        </w:tc>
        <w:tc>
          <w:tcPr>
            <w:tcW w:w="1546" w:type="dxa"/>
            <w:tcBorders>
              <w:top w:val="single" w:sz="8" w:space="0" w:color="auto"/>
              <w:left w:val="single" w:sz="18" w:space="0" w:color="auto"/>
              <w:bottom w:val="single" w:sz="18" w:space="0" w:color="auto"/>
              <w:right w:val="single" w:sz="18" w:space="0" w:color="auto"/>
            </w:tcBorders>
            <w:vAlign w:val="center"/>
            <w:hideMark/>
          </w:tcPr>
          <w:p w14:paraId="07FD0229" w14:textId="77777777" w:rsidR="007144CC" w:rsidRPr="00061B56" w:rsidRDefault="007144CC" w:rsidP="00AF75C0">
            <w:pPr>
              <w:spacing w:after="0" w:line="240" w:lineRule="auto"/>
              <w:jc w:val="both"/>
              <w:rPr>
                <w:rFonts w:ascii="Garamond" w:eastAsia="Times New Roman" w:hAnsi="Garamond" w:cs="Arial"/>
                <w:color w:val="000000"/>
                <w:sz w:val="16"/>
                <w:szCs w:val="16"/>
                <w:lang w:eastAsia="en-GB"/>
              </w:rPr>
            </w:pPr>
            <w:r w:rsidRPr="00061B56">
              <w:rPr>
                <w:rFonts w:ascii="Garamond" w:eastAsia="Times New Roman" w:hAnsi="Garamond" w:cs="Arial"/>
                <w:color w:val="000000"/>
                <w:sz w:val="16"/>
                <w:szCs w:val="16"/>
                <w:lang w:eastAsia="en-GB"/>
              </w:rPr>
              <w:t>H1c - Accepted</w:t>
            </w:r>
          </w:p>
        </w:tc>
      </w:tr>
    </w:tbl>
    <w:p w14:paraId="4D90FC40" w14:textId="77777777" w:rsidR="007144CC" w:rsidRPr="00061B56" w:rsidRDefault="007144CC" w:rsidP="007144CC">
      <w:pPr>
        <w:spacing w:line="360" w:lineRule="auto"/>
        <w:jc w:val="both"/>
        <w:rPr>
          <w:rFonts w:ascii="Garamond" w:hAnsi="Garamond" w:cs="Arial"/>
          <w:b/>
          <w:bCs/>
          <w:lang w:val="en"/>
        </w:rPr>
      </w:pPr>
    </w:p>
    <w:p w14:paraId="4E29F4D9" w14:textId="77777777" w:rsidR="007144CC" w:rsidRPr="00061B56" w:rsidRDefault="007144CC" w:rsidP="007144CC">
      <w:pPr>
        <w:spacing w:line="360" w:lineRule="auto"/>
        <w:jc w:val="both"/>
        <w:rPr>
          <w:rFonts w:ascii="Garamond" w:hAnsi="Garamond" w:cs="Arial"/>
          <w:b/>
          <w:bCs/>
          <w:lang w:val="en"/>
        </w:rPr>
      </w:pPr>
    </w:p>
    <w:p w14:paraId="3AA2FB41" w14:textId="77777777" w:rsidR="007144CC" w:rsidRPr="00061B56" w:rsidRDefault="007144CC" w:rsidP="007144CC">
      <w:pPr>
        <w:spacing w:line="360" w:lineRule="auto"/>
        <w:jc w:val="both"/>
        <w:rPr>
          <w:rFonts w:ascii="Garamond" w:hAnsi="Garamond" w:cs="Arial"/>
          <w:b/>
          <w:bCs/>
          <w:lang w:val="en"/>
        </w:rPr>
      </w:pPr>
    </w:p>
    <w:p w14:paraId="198DBEF6" w14:textId="77777777" w:rsidR="007144CC" w:rsidRPr="00061B56" w:rsidRDefault="007144CC" w:rsidP="007144CC">
      <w:pPr>
        <w:spacing w:line="360" w:lineRule="auto"/>
        <w:jc w:val="both"/>
        <w:rPr>
          <w:rFonts w:ascii="Garamond" w:hAnsi="Garamond" w:cs="Arial"/>
          <w:b/>
          <w:bCs/>
          <w:lang w:val="en"/>
        </w:rPr>
      </w:pPr>
    </w:p>
    <w:p w14:paraId="12D05E18" w14:textId="77777777" w:rsidR="0056174E" w:rsidRPr="00061B56" w:rsidRDefault="0056174E" w:rsidP="007144CC">
      <w:pPr>
        <w:spacing w:line="360" w:lineRule="auto"/>
        <w:jc w:val="both"/>
        <w:rPr>
          <w:rFonts w:ascii="Garamond" w:hAnsi="Garamond" w:cs="Arial"/>
          <w:b/>
          <w:bCs/>
          <w:lang w:val="en"/>
        </w:rPr>
      </w:pPr>
    </w:p>
    <w:p w14:paraId="1B24B8DC" w14:textId="77777777" w:rsidR="0056174E" w:rsidRPr="00061B56" w:rsidRDefault="0056174E" w:rsidP="007144CC">
      <w:pPr>
        <w:spacing w:line="360" w:lineRule="auto"/>
        <w:jc w:val="both"/>
        <w:rPr>
          <w:rFonts w:ascii="Garamond" w:hAnsi="Garamond" w:cs="Arial"/>
          <w:b/>
          <w:bCs/>
          <w:lang w:val="en"/>
        </w:rPr>
      </w:pPr>
    </w:p>
    <w:p w14:paraId="6DE3AEBE" w14:textId="77777777" w:rsidR="007144CC" w:rsidRPr="00061B56" w:rsidRDefault="007144CC" w:rsidP="007144CC">
      <w:pPr>
        <w:spacing w:line="360" w:lineRule="auto"/>
        <w:jc w:val="both"/>
        <w:rPr>
          <w:rFonts w:ascii="Garamond" w:hAnsi="Garamond" w:cs="Arial"/>
          <w:b/>
          <w:bCs/>
          <w:lang w:val="en"/>
        </w:rPr>
      </w:pPr>
    </w:p>
    <w:p w14:paraId="52B3A4E3" w14:textId="77777777" w:rsidR="007144CC" w:rsidRPr="00061B56" w:rsidRDefault="007144CC" w:rsidP="007144CC">
      <w:pPr>
        <w:spacing w:line="360" w:lineRule="auto"/>
        <w:jc w:val="both"/>
        <w:rPr>
          <w:rFonts w:ascii="Garamond" w:hAnsi="Garamond" w:cs="Arial"/>
          <w:b/>
          <w:bCs/>
          <w:lang w:val="en"/>
        </w:rPr>
      </w:pPr>
    </w:p>
    <w:p w14:paraId="50C967AA" w14:textId="77777777" w:rsidR="007144CC" w:rsidRPr="00061B56" w:rsidRDefault="007144CC" w:rsidP="007144CC">
      <w:pPr>
        <w:spacing w:line="360" w:lineRule="auto"/>
        <w:jc w:val="both"/>
        <w:rPr>
          <w:rFonts w:ascii="Garamond" w:hAnsi="Garamond" w:cs="Arial"/>
          <w:b/>
          <w:bCs/>
          <w:lang w:val="en"/>
        </w:rPr>
      </w:pPr>
    </w:p>
    <w:p w14:paraId="599ABE5F" w14:textId="77777777" w:rsidR="007144CC" w:rsidRPr="00061B56" w:rsidRDefault="007144CC" w:rsidP="007144CC">
      <w:pPr>
        <w:jc w:val="both"/>
        <w:rPr>
          <w:rFonts w:ascii="Garamond" w:hAnsi="Garamond" w:cs="Times New Roman"/>
          <w:bCs/>
          <w:sz w:val="24"/>
          <w:szCs w:val="24"/>
        </w:rPr>
      </w:pPr>
    </w:p>
    <w:p w14:paraId="208625A5" w14:textId="77777777" w:rsidR="007144CC" w:rsidRPr="00061B56" w:rsidRDefault="007144CC" w:rsidP="007144CC">
      <w:pPr>
        <w:spacing w:line="360" w:lineRule="auto"/>
        <w:jc w:val="both"/>
        <w:rPr>
          <w:rFonts w:ascii="Garamond" w:hAnsi="Garamond" w:cs="Arial"/>
          <w:b/>
          <w:bCs/>
        </w:rPr>
      </w:pPr>
      <w:r w:rsidRPr="00061B56">
        <w:rPr>
          <w:rFonts w:ascii="Garamond" w:hAnsi="Garamond" w:cs="Arial"/>
          <w:b/>
          <w:bCs/>
        </w:rPr>
        <w:lastRenderedPageBreak/>
        <w:t>Table 8: Model fit summary</w:t>
      </w:r>
    </w:p>
    <w:tbl>
      <w:tblPr>
        <w:tblStyle w:val="TableGrid"/>
        <w:tblW w:w="9845" w:type="dxa"/>
        <w:tblLook w:val="04A0" w:firstRow="1" w:lastRow="0" w:firstColumn="1" w:lastColumn="0" w:noHBand="0" w:noVBand="1"/>
      </w:tblPr>
      <w:tblGrid>
        <w:gridCol w:w="1221"/>
        <w:gridCol w:w="2750"/>
        <w:gridCol w:w="3055"/>
        <w:gridCol w:w="1059"/>
        <w:gridCol w:w="1760"/>
      </w:tblGrid>
      <w:tr w:rsidR="007144CC" w:rsidRPr="00061B56" w14:paraId="60C6E00F" w14:textId="77777777" w:rsidTr="00AF75C0">
        <w:trPr>
          <w:trHeight w:val="523"/>
        </w:trPr>
        <w:tc>
          <w:tcPr>
            <w:tcW w:w="1221" w:type="dxa"/>
            <w:tcBorders>
              <w:left w:val="nil"/>
              <w:bottom w:val="single" w:sz="4" w:space="0" w:color="auto"/>
              <w:right w:val="nil"/>
            </w:tcBorders>
          </w:tcPr>
          <w:p w14:paraId="555EEA54" w14:textId="77777777" w:rsidR="007144CC" w:rsidRPr="00061B56" w:rsidRDefault="007144CC" w:rsidP="00AF75C0">
            <w:pPr>
              <w:jc w:val="both"/>
              <w:rPr>
                <w:rFonts w:ascii="Garamond" w:hAnsi="Garamond" w:cs="Arial"/>
              </w:rPr>
            </w:pPr>
            <w:r w:rsidRPr="00061B56">
              <w:rPr>
                <w:rFonts w:ascii="Garamond" w:hAnsi="Garamond" w:cs="Arial"/>
              </w:rPr>
              <w:t>Fit Indices</w:t>
            </w:r>
          </w:p>
        </w:tc>
        <w:tc>
          <w:tcPr>
            <w:tcW w:w="2750" w:type="dxa"/>
            <w:tcBorders>
              <w:left w:val="nil"/>
              <w:bottom w:val="single" w:sz="4" w:space="0" w:color="auto"/>
              <w:right w:val="nil"/>
            </w:tcBorders>
          </w:tcPr>
          <w:p w14:paraId="35508BFB" w14:textId="77777777" w:rsidR="007144CC" w:rsidRPr="00061B56" w:rsidRDefault="007144CC" w:rsidP="00AF75C0">
            <w:pPr>
              <w:jc w:val="both"/>
              <w:rPr>
                <w:rFonts w:ascii="Garamond" w:hAnsi="Garamond" w:cs="Arial"/>
              </w:rPr>
            </w:pPr>
            <w:r w:rsidRPr="00061B56">
              <w:rPr>
                <w:rFonts w:ascii="Garamond" w:hAnsi="Garamond" w:cs="Arial"/>
              </w:rPr>
              <w:t>Authors</w:t>
            </w:r>
          </w:p>
        </w:tc>
        <w:tc>
          <w:tcPr>
            <w:tcW w:w="3055" w:type="dxa"/>
            <w:tcBorders>
              <w:left w:val="nil"/>
              <w:bottom w:val="single" w:sz="4" w:space="0" w:color="auto"/>
              <w:right w:val="nil"/>
            </w:tcBorders>
          </w:tcPr>
          <w:p w14:paraId="6E16F280" w14:textId="77777777" w:rsidR="007144CC" w:rsidRPr="00061B56" w:rsidRDefault="007144CC" w:rsidP="00AF75C0">
            <w:pPr>
              <w:jc w:val="both"/>
              <w:rPr>
                <w:rFonts w:ascii="Garamond" w:hAnsi="Garamond" w:cs="Arial"/>
              </w:rPr>
            </w:pPr>
            <w:r w:rsidRPr="00061B56">
              <w:rPr>
                <w:rFonts w:ascii="Garamond" w:hAnsi="Garamond" w:cs="Arial"/>
              </w:rPr>
              <w:t>Threshold Value</w:t>
            </w:r>
          </w:p>
        </w:tc>
        <w:tc>
          <w:tcPr>
            <w:tcW w:w="1059" w:type="dxa"/>
            <w:tcBorders>
              <w:left w:val="nil"/>
              <w:bottom w:val="single" w:sz="4" w:space="0" w:color="auto"/>
              <w:right w:val="nil"/>
            </w:tcBorders>
          </w:tcPr>
          <w:p w14:paraId="0161FBEF" w14:textId="77777777" w:rsidR="007144CC" w:rsidRPr="00061B56" w:rsidRDefault="007144CC" w:rsidP="00AF75C0">
            <w:pPr>
              <w:jc w:val="both"/>
              <w:rPr>
                <w:rFonts w:ascii="Garamond" w:hAnsi="Garamond" w:cs="Arial"/>
              </w:rPr>
            </w:pPr>
            <w:r w:rsidRPr="00061B56">
              <w:rPr>
                <w:rFonts w:ascii="Garamond" w:hAnsi="Garamond" w:cs="Arial"/>
              </w:rPr>
              <w:t>Result</w:t>
            </w:r>
          </w:p>
        </w:tc>
        <w:tc>
          <w:tcPr>
            <w:tcW w:w="1760" w:type="dxa"/>
            <w:tcBorders>
              <w:left w:val="nil"/>
              <w:bottom w:val="single" w:sz="4" w:space="0" w:color="auto"/>
              <w:right w:val="nil"/>
            </w:tcBorders>
          </w:tcPr>
          <w:p w14:paraId="270AB4CD" w14:textId="77777777" w:rsidR="007144CC" w:rsidRPr="00061B56" w:rsidRDefault="007144CC" w:rsidP="00AF75C0">
            <w:pPr>
              <w:jc w:val="both"/>
              <w:rPr>
                <w:rFonts w:ascii="Garamond" w:hAnsi="Garamond" w:cs="Arial"/>
              </w:rPr>
            </w:pPr>
            <w:r w:rsidRPr="00061B56">
              <w:rPr>
                <w:rFonts w:ascii="Garamond" w:hAnsi="Garamond" w:cs="Arial"/>
              </w:rPr>
              <w:t>Interpretation</w:t>
            </w:r>
          </w:p>
        </w:tc>
      </w:tr>
      <w:tr w:rsidR="007144CC" w:rsidRPr="00061B56" w14:paraId="0439CCF9" w14:textId="77777777" w:rsidTr="00AF75C0">
        <w:trPr>
          <w:trHeight w:val="256"/>
        </w:trPr>
        <w:tc>
          <w:tcPr>
            <w:tcW w:w="1221" w:type="dxa"/>
            <w:tcBorders>
              <w:left w:val="nil"/>
              <w:bottom w:val="nil"/>
              <w:right w:val="nil"/>
            </w:tcBorders>
            <w:shd w:val="clear" w:color="auto" w:fill="FFFFFF" w:themeFill="background1"/>
          </w:tcPr>
          <w:p w14:paraId="488E7EA5" w14:textId="77777777" w:rsidR="007144CC" w:rsidRPr="00061B56" w:rsidRDefault="007144CC" w:rsidP="00AF75C0">
            <w:pPr>
              <w:jc w:val="both"/>
              <w:rPr>
                <w:rFonts w:ascii="Garamond" w:hAnsi="Garamond" w:cs="Arial"/>
              </w:rPr>
            </w:pPr>
            <w:r w:rsidRPr="00061B56">
              <w:rPr>
                <w:rFonts w:ascii="Garamond" w:hAnsi="Garamond" w:cs="Arial"/>
              </w:rPr>
              <w:t>X</w:t>
            </w:r>
            <w:r w:rsidRPr="00061B56">
              <w:rPr>
                <w:rFonts w:ascii="Garamond" w:hAnsi="Garamond" w:cs="Arial"/>
                <w:vertAlign w:val="superscript"/>
              </w:rPr>
              <w:t>2</w:t>
            </w:r>
          </w:p>
        </w:tc>
        <w:tc>
          <w:tcPr>
            <w:tcW w:w="2750" w:type="dxa"/>
            <w:tcBorders>
              <w:left w:val="nil"/>
              <w:bottom w:val="nil"/>
              <w:right w:val="nil"/>
            </w:tcBorders>
            <w:shd w:val="clear" w:color="auto" w:fill="FFFFFF" w:themeFill="background1"/>
          </w:tcPr>
          <w:p w14:paraId="1D9D6459" w14:textId="77777777" w:rsidR="007144CC" w:rsidRPr="00061B56" w:rsidRDefault="007144CC" w:rsidP="00AF75C0">
            <w:pPr>
              <w:jc w:val="both"/>
              <w:rPr>
                <w:rFonts w:ascii="Garamond" w:hAnsi="Garamond" w:cs="Arial"/>
              </w:rPr>
            </w:pPr>
            <w:r w:rsidRPr="00061B56">
              <w:rPr>
                <w:rFonts w:ascii="Garamond" w:hAnsi="Garamond" w:cs="Arial"/>
              </w:rPr>
              <w:t>Meyers et al, 2005</w:t>
            </w:r>
          </w:p>
        </w:tc>
        <w:tc>
          <w:tcPr>
            <w:tcW w:w="3055" w:type="dxa"/>
            <w:tcBorders>
              <w:left w:val="nil"/>
              <w:bottom w:val="nil"/>
              <w:right w:val="nil"/>
            </w:tcBorders>
            <w:shd w:val="clear" w:color="auto" w:fill="FFFFFF" w:themeFill="background1"/>
          </w:tcPr>
          <w:p w14:paraId="3A1F6D18" w14:textId="77777777" w:rsidR="007144CC" w:rsidRPr="00061B56" w:rsidRDefault="007144CC" w:rsidP="00AF75C0">
            <w:pPr>
              <w:jc w:val="both"/>
              <w:rPr>
                <w:rFonts w:ascii="Garamond" w:hAnsi="Garamond" w:cs="Arial"/>
              </w:rPr>
            </w:pPr>
            <w:r w:rsidRPr="00061B56">
              <w:rPr>
                <w:rFonts w:ascii="Garamond" w:hAnsi="Garamond" w:cs="Arial"/>
              </w:rPr>
              <w:t>P value &gt; 0.05</w:t>
            </w:r>
          </w:p>
          <w:p w14:paraId="62A9057D" w14:textId="77777777" w:rsidR="007144CC" w:rsidRPr="00061B56" w:rsidRDefault="007144CC" w:rsidP="00AF75C0">
            <w:pPr>
              <w:jc w:val="both"/>
              <w:rPr>
                <w:rFonts w:ascii="Garamond" w:hAnsi="Garamond" w:cs="Arial"/>
              </w:rPr>
            </w:pPr>
          </w:p>
        </w:tc>
        <w:tc>
          <w:tcPr>
            <w:tcW w:w="1059" w:type="dxa"/>
            <w:tcBorders>
              <w:left w:val="nil"/>
              <w:bottom w:val="nil"/>
              <w:right w:val="nil"/>
            </w:tcBorders>
            <w:shd w:val="clear" w:color="auto" w:fill="FFFFFF" w:themeFill="background1"/>
          </w:tcPr>
          <w:p w14:paraId="0944691A" w14:textId="77777777" w:rsidR="007144CC" w:rsidRPr="00061B56" w:rsidRDefault="007144CC" w:rsidP="00AF75C0">
            <w:pPr>
              <w:jc w:val="both"/>
              <w:rPr>
                <w:rFonts w:ascii="Garamond" w:hAnsi="Garamond" w:cs="Arial"/>
              </w:rPr>
            </w:pPr>
            <w:r w:rsidRPr="00061B56">
              <w:rPr>
                <w:rFonts w:ascii="Garamond" w:hAnsi="Garamond" w:cs="Arial"/>
              </w:rPr>
              <w:t>0.000</w:t>
            </w:r>
          </w:p>
        </w:tc>
        <w:tc>
          <w:tcPr>
            <w:tcW w:w="1760" w:type="dxa"/>
            <w:tcBorders>
              <w:left w:val="nil"/>
              <w:bottom w:val="nil"/>
              <w:right w:val="nil"/>
            </w:tcBorders>
            <w:shd w:val="clear" w:color="auto" w:fill="FFFFFF" w:themeFill="background1"/>
          </w:tcPr>
          <w:p w14:paraId="2080B202" w14:textId="77777777" w:rsidR="007144CC" w:rsidRPr="00061B56" w:rsidRDefault="007144CC" w:rsidP="00AF75C0">
            <w:pPr>
              <w:jc w:val="both"/>
              <w:rPr>
                <w:rFonts w:ascii="Garamond" w:hAnsi="Garamond" w:cs="Arial"/>
              </w:rPr>
            </w:pPr>
            <w:r w:rsidRPr="00061B56">
              <w:rPr>
                <w:rFonts w:ascii="Garamond" w:hAnsi="Garamond" w:cs="Arial"/>
              </w:rPr>
              <w:t>Poor Fit</w:t>
            </w:r>
          </w:p>
        </w:tc>
      </w:tr>
      <w:tr w:rsidR="007144CC" w:rsidRPr="00061B56" w14:paraId="18D4D5F9" w14:textId="77777777" w:rsidTr="00AF75C0">
        <w:trPr>
          <w:trHeight w:val="1293"/>
        </w:trPr>
        <w:tc>
          <w:tcPr>
            <w:tcW w:w="1221" w:type="dxa"/>
            <w:tcBorders>
              <w:top w:val="nil"/>
              <w:left w:val="nil"/>
              <w:bottom w:val="nil"/>
              <w:right w:val="nil"/>
            </w:tcBorders>
            <w:shd w:val="clear" w:color="auto" w:fill="FFFFFF" w:themeFill="background1"/>
          </w:tcPr>
          <w:p w14:paraId="3879228E" w14:textId="77777777" w:rsidR="007144CC" w:rsidRPr="00061B56" w:rsidRDefault="007144CC" w:rsidP="00AF75C0">
            <w:pPr>
              <w:jc w:val="both"/>
              <w:rPr>
                <w:rFonts w:ascii="Garamond" w:hAnsi="Garamond" w:cs="Arial"/>
              </w:rPr>
            </w:pPr>
            <w:r w:rsidRPr="00061B56">
              <w:rPr>
                <w:rFonts w:ascii="Garamond" w:hAnsi="Garamond" w:cs="Arial"/>
              </w:rPr>
              <w:t>CMIN/DF</w:t>
            </w:r>
          </w:p>
        </w:tc>
        <w:tc>
          <w:tcPr>
            <w:tcW w:w="2750" w:type="dxa"/>
            <w:tcBorders>
              <w:top w:val="nil"/>
              <w:left w:val="nil"/>
              <w:bottom w:val="nil"/>
              <w:right w:val="nil"/>
            </w:tcBorders>
            <w:shd w:val="clear" w:color="auto" w:fill="FFFFFF" w:themeFill="background1"/>
          </w:tcPr>
          <w:p w14:paraId="1A2F80F9" w14:textId="77777777" w:rsidR="007144CC" w:rsidRPr="00061B56" w:rsidRDefault="007144CC" w:rsidP="00AF75C0">
            <w:pPr>
              <w:jc w:val="both"/>
              <w:rPr>
                <w:rFonts w:ascii="Garamond" w:hAnsi="Garamond" w:cs="Arial"/>
                <w:lang w:val="de-DE"/>
              </w:rPr>
            </w:pPr>
            <w:r w:rsidRPr="00061B56">
              <w:rPr>
                <w:rFonts w:ascii="Garamond" w:hAnsi="Garamond" w:cs="Arial"/>
                <w:lang w:val="de-DE"/>
              </w:rPr>
              <w:t>Marsh &amp; Hocevar, 1985 ;</w:t>
            </w:r>
          </w:p>
          <w:p w14:paraId="2B738CB3" w14:textId="77777777" w:rsidR="007144CC" w:rsidRPr="00061B56" w:rsidRDefault="007144CC" w:rsidP="00AF75C0">
            <w:pPr>
              <w:jc w:val="both"/>
              <w:rPr>
                <w:rFonts w:ascii="Garamond" w:hAnsi="Garamond" w:cs="Arial"/>
                <w:lang w:val="de-DE"/>
              </w:rPr>
            </w:pPr>
            <w:r w:rsidRPr="00061B56">
              <w:rPr>
                <w:rFonts w:ascii="Garamond" w:hAnsi="Garamond" w:cs="Arial"/>
                <w:lang w:val="de-DE"/>
              </w:rPr>
              <w:t xml:space="preserve">Bentler, 1990 ; </w:t>
            </w:r>
          </w:p>
          <w:p w14:paraId="0AE98A5E" w14:textId="77777777" w:rsidR="007144CC" w:rsidRPr="00061B56" w:rsidRDefault="007144CC" w:rsidP="00AF75C0">
            <w:pPr>
              <w:jc w:val="both"/>
              <w:rPr>
                <w:rFonts w:ascii="Garamond" w:hAnsi="Garamond" w:cs="Arial"/>
                <w:lang w:val="de-DE"/>
              </w:rPr>
            </w:pPr>
            <w:r w:rsidRPr="00061B56">
              <w:rPr>
                <w:rFonts w:ascii="Garamond" w:hAnsi="Garamond" w:cs="Arial"/>
                <w:lang w:val="de-DE"/>
              </w:rPr>
              <w:t>Hair et al, 2009</w:t>
            </w:r>
          </w:p>
        </w:tc>
        <w:tc>
          <w:tcPr>
            <w:tcW w:w="3055" w:type="dxa"/>
            <w:tcBorders>
              <w:top w:val="nil"/>
              <w:left w:val="nil"/>
              <w:bottom w:val="nil"/>
              <w:right w:val="nil"/>
            </w:tcBorders>
            <w:shd w:val="clear" w:color="auto" w:fill="FFFFFF" w:themeFill="background1"/>
          </w:tcPr>
          <w:p w14:paraId="3C6DFBBC" w14:textId="77777777" w:rsidR="007144CC" w:rsidRPr="00061B56" w:rsidRDefault="007144CC" w:rsidP="00AF75C0">
            <w:pPr>
              <w:jc w:val="both"/>
              <w:rPr>
                <w:rFonts w:ascii="Garamond" w:hAnsi="Garamond" w:cs="Arial"/>
              </w:rPr>
            </w:pPr>
            <w:r w:rsidRPr="00061B56">
              <w:rPr>
                <w:rFonts w:ascii="Garamond" w:hAnsi="Garamond" w:cs="Arial"/>
              </w:rPr>
              <w:t>&lt; 5.0</w:t>
            </w:r>
          </w:p>
          <w:p w14:paraId="625F2EFD" w14:textId="77777777" w:rsidR="007144CC" w:rsidRPr="00061B56" w:rsidRDefault="007144CC" w:rsidP="00AF75C0">
            <w:pPr>
              <w:jc w:val="both"/>
              <w:rPr>
                <w:rFonts w:ascii="Garamond" w:hAnsi="Garamond" w:cs="Arial"/>
              </w:rPr>
            </w:pPr>
            <w:r w:rsidRPr="00061B56">
              <w:rPr>
                <w:rFonts w:ascii="Garamond" w:hAnsi="Garamond" w:cs="Arial"/>
              </w:rPr>
              <w:t>&lt; 5.0 reported if n &gt;200</w:t>
            </w:r>
          </w:p>
          <w:p w14:paraId="789A9BFD" w14:textId="77777777" w:rsidR="007144CC" w:rsidRPr="00061B56" w:rsidRDefault="007144CC" w:rsidP="00AF75C0">
            <w:pPr>
              <w:jc w:val="both"/>
              <w:rPr>
                <w:rFonts w:ascii="Garamond" w:hAnsi="Garamond" w:cs="Arial"/>
              </w:rPr>
            </w:pPr>
            <w:r w:rsidRPr="00061B56">
              <w:rPr>
                <w:rFonts w:ascii="Garamond" w:hAnsi="Garamond" w:cs="Arial"/>
              </w:rPr>
              <w:t xml:space="preserve">&lt; 3.0 good ; </w:t>
            </w:r>
          </w:p>
          <w:p w14:paraId="5E5F3152" w14:textId="77777777" w:rsidR="007144CC" w:rsidRPr="00061B56" w:rsidRDefault="007144CC" w:rsidP="00AF75C0">
            <w:pPr>
              <w:jc w:val="both"/>
              <w:rPr>
                <w:rFonts w:ascii="Garamond" w:hAnsi="Garamond" w:cs="Arial"/>
              </w:rPr>
            </w:pPr>
            <w:r w:rsidRPr="00061B56">
              <w:rPr>
                <w:rFonts w:ascii="Garamond" w:hAnsi="Garamond" w:cs="Arial"/>
              </w:rPr>
              <w:t>&lt; 5.0 sometimes permissible</w:t>
            </w:r>
          </w:p>
        </w:tc>
        <w:tc>
          <w:tcPr>
            <w:tcW w:w="1059" w:type="dxa"/>
            <w:tcBorders>
              <w:top w:val="nil"/>
              <w:left w:val="nil"/>
              <w:bottom w:val="nil"/>
              <w:right w:val="nil"/>
            </w:tcBorders>
            <w:shd w:val="clear" w:color="auto" w:fill="FFFFFF" w:themeFill="background1"/>
            <w:vAlign w:val="center"/>
          </w:tcPr>
          <w:p w14:paraId="04F3ECBC" w14:textId="77777777" w:rsidR="007144CC" w:rsidRPr="00061B56" w:rsidRDefault="007144CC" w:rsidP="00AF75C0">
            <w:pPr>
              <w:jc w:val="both"/>
              <w:rPr>
                <w:rFonts w:ascii="Garamond" w:hAnsi="Garamond" w:cs="Arial"/>
              </w:rPr>
            </w:pPr>
            <w:r w:rsidRPr="00061B56">
              <w:rPr>
                <w:rFonts w:ascii="Garamond" w:eastAsia="Times New Roman" w:hAnsi="Garamond" w:cs="Arial"/>
                <w:lang w:eastAsia="en-GB"/>
              </w:rPr>
              <w:t>2.609</w:t>
            </w:r>
          </w:p>
        </w:tc>
        <w:tc>
          <w:tcPr>
            <w:tcW w:w="1760" w:type="dxa"/>
            <w:tcBorders>
              <w:top w:val="nil"/>
              <w:left w:val="nil"/>
              <w:bottom w:val="nil"/>
              <w:right w:val="nil"/>
            </w:tcBorders>
            <w:shd w:val="clear" w:color="auto" w:fill="FFFFFF" w:themeFill="background1"/>
          </w:tcPr>
          <w:p w14:paraId="1CCDA8E3" w14:textId="77777777" w:rsidR="007144CC" w:rsidRPr="00061B56" w:rsidRDefault="007144CC" w:rsidP="00AF75C0">
            <w:pPr>
              <w:jc w:val="both"/>
              <w:rPr>
                <w:rFonts w:ascii="Garamond" w:hAnsi="Garamond" w:cs="Arial"/>
              </w:rPr>
            </w:pPr>
            <w:r w:rsidRPr="00061B56">
              <w:rPr>
                <w:rFonts w:ascii="Garamond" w:hAnsi="Garamond" w:cs="Arial"/>
              </w:rPr>
              <w:t>Good Fit</w:t>
            </w:r>
          </w:p>
        </w:tc>
      </w:tr>
      <w:tr w:rsidR="007144CC" w:rsidRPr="00061B56" w14:paraId="37517FF3" w14:textId="77777777" w:rsidTr="00AF75C0">
        <w:trPr>
          <w:trHeight w:val="780"/>
        </w:trPr>
        <w:tc>
          <w:tcPr>
            <w:tcW w:w="1221" w:type="dxa"/>
            <w:tcBorders>
              <w:top w:val="nil"/>
              <w:left w:val="nil"/>
              <w:bottom w:val="nil"/>
              <w:right w:val="nil"/>
            </w:tcBorders>
            <w:shd w:val="clear" w:color="auto" w:fill="FFFFFF" w:themeFill="background1"/>
          </w:tcPr>
          <w:p w14:paraId="38216C34" w14:textId="77777777" w:rsidR="007144CC" w:rsidRPr="00061B56" w:rsidRDefault="007144CC" w:rsidP="00AF75C0">
            <w:pPr>
              <w:jc w:val="both"/>
              <w:rPr>
                <w:rFonts w:ascii="Garamond" w:hAnsi="Garamond" w:cs="Arial"/>
              </w:rPr>
            </w:pPr>
            <w:r w:rsidRPr="00061B56">
              <w:rPr>
                <w:rFonts w:ascii="Garamond" w:hAnsi="Garamond" w:cs="Arial"/>
              </w:rPr>
              <w:t>GFI</w:t>
            </w:r>
          </w:p>
        </w:tc>
        <w:tc>
          <w:tcPr>
            <w:tcW w:w="2750" w:type="dxa"/>
            <w:tcBorders>
              <w:top w:val="nil"/>
              <w:left w:val="nil"/>
              <w:bottom w:val="nil"/>
              <w:right w:val="nil"/>
            </w:tcBorders>
            <w:shd w:val="clear" w:color="auto" w:fill="FFFFFF" w:themeFill="background1"/>
          </w:tcPr>
          <w:p w14:paraId="7540C9F3" w14:textId="77777777" w:rsidR="007144CC" w:rsidRPr="00061B56" w:rsidRDefault="007144CC" w:rsidP="00AF75C0">
            <w:pPr>
              <w:jc w:val="both"/>
              <w:rPr>
                <w:rFonts w:ascii="Garamond" w:hAnsi="Garamond" w:cs="Arial"/>
              </w:rPr>
            </w:pPr>
            <w:r w:rsidRPr="00061B56">
              <w:rPr>
                <w:rFonts w:ascii="Garamond" w:hAnsi="Garamond" w:cs="Arial"/>
              </w:rPr>
              <w:t xml:space="preserve">Chau, 1997; </w:t>
            </w:r>
          </w:p>
          <w:p w14:paraId="51905EEB" w14:textId="77777777" w:rsidR="007144CC" w:rsidRPr="00061B56" w:rsidRDefault="007144CC" w:rsidP="00AF75C0">
            <w:pPr>
              <w:jc w:val="both"/>
              <w:rPr>
                <w:rFonts w:ascii="Garamond" w:hAnsi="Garamond" w:cs="Arial"/>
              </w:rPr>
            </w:pPr>
            <w:r w:rsidRPr="00061B56">
              <w:rPr>
                <w:rFonts w:ascii="Garamond" w:hAnsi="Garamond" w:cs="Arial"/>
              </w:rPr>
              <w:t>Segars &amp; Grover, 1993</w:t>
            </w:r>
          </w:p>
        </w:tc>
        <w:tc>
          <w:tcPr>
            <w:tcW w:w="3055" w:type="dxa"/>
            <w:tcBorders>
              <w:top w:val="nil"/>
              <w:left w:val="nil"/>
              <w:bottom w:val="nil"/>
              <w:right w:val="nil"/>
            </w:tcBorders>
            <w:shd w:val="clear" w:color="auto" w:fill="FFFFFF" w:themeFill="background1"/>
          </w:tcPr>
          <w:p w14:paraId="2A965017" w14:textId="77777777" w:rsidR="007144CC" w:rsidRPr="00061B56" w:rsidRDefault="007144CC" w:rsidP="00AF75C0">
            <w:pPr>
              <w:jc w:val="both"/>
              <w:rPr>
                <w:rFonts w:ascii="Garamond" w:hAnsi="Garamond" w:cs="Arial"/>
              </w:rPr>
            </w:pPr>
            <w:r w:rsidRPr="00061B56">
              <w:rPr>
                <w:rFonts w:ascii="Garamond" w:hAnsi="Garamond" w:cs="Arial"/>
              </w:rPr>
              <w:t>&gt;0.90</w:t>
            </w:r>
          </w:p>
          <w:p w14:paraId="638B395A" w14:textId="77777777" w:rsidR="007144CC" w:rsidRPr="00061B56" w:rsidRDefault="007144CC" w:rsidP="00AF75C0">
            <w:pPr>
              <w:jc w:val="both"/>
              <w:rPr>
                <w:rFonts w:ascii="Garamond" w:hAnsi="Garamond" w:cs="Arial"/>
              </w:rPr>
            </w:pPr>
            <w:r w:rsidRPr="00061B56">
              <w:rPr>
                <w:rFonts w:ascii="Garamond" w:hAnsi="Garamond" w:cs="Arial"/>
              </w:rPr>
              <w:t>&gt;0.90</w:t>
            </w:r>
          </w:p>
        </w:tc>
        <w:tc>
          <w:tcPr>
            <w:tcW w:w="1059" w:type="dxa"/>
            <w:tcBorders>
              <w:top w:val="nil"/>
              <w:left w:val="nil"/>
              <w:bottom w:val="nil"/>
              <w:right w:val="nil"/>
            </w:tcBorders>
            <w:shd w:val="clear" w:color="auto" w:fill="FFFFFF" w:themeFill="background1"/>
          </w:tcPr>
          <w:p w14:paraId="6F2417F8" w14:textId="77777777" w:rsidR="007144CC" w:rsidRPr="00061B56" w:rsidRDefault="007144CC" w:rsidP="00AF75C0">
            <w:pPr>
              <w:jc w:val="both"/>
              <w:rPr>
                <w:rFonts w:ascii="Garamond" w:hAnsi="Garamond" w:cs="Arial"/>
              </w:rPr>
            </w:pPr>
            <w:r w:rsidRPr="00061B56">
              <w:rPr>
                <w:rFonts w:ascii="Garamond" w:eastAsia="Times New Roman" w:hAnsi="Garamond" w:cs="Arial"/>
                <w:lang w:eastAsia="en-GB"/>
              </w:rPr>
              <w:t>0.757</w:t>
            </w:r>
          </w:p>
          <w:p w14:paraId="56B882F9" w14:textId="77777777" w:rsidR="007144CC" w:rsidRPr="00061B56" w:rsidRDefault="007144CC" w:rsidP="00AF75C0">
            <w:pPr>
              <w:jc w:val="both"/>
              <w:rPr>
                <w:rFonts w:ascii="Garamond" w:hAnsi="Garamond" w:cs="Arial"/>
              </w:rPr>
            </w:pPr>
          </w:p>
          <w:p w14:paraId="7F856A49" w14:textId="77777777" w:rsidR="007144CC" w:rsidRPr="00061B56" w:rsidRDefault="007144CC" w:rsidP="00AF75C0">
            <w:pPr>
              <w:jc w:val="both"/>
              <w:rPr>
                <w:rFonts w:ascii="Garamond" w:hAnsi="Garamond" w:cs="Arial"/>
              </w:rPr>
            </w:pPr>
          </w:p>
        </w:tc>
        <w:tc>
          <w:tcPr>
            <w:tcW w:w="1760" w:type="dxa"/>
            <w:tcBorders>
              <w:top w:val="nil"/>
              <w:left w:val="nil"/>
              <w:bottom w:val="nil"/>
              <w:right w:val="nil"/>
            </w:tcBorders>
            <w:shd w:val="clear" w:color="auto" w:fill="FFFFFF" w:themeFill="background1"/>
          </w:tcPr>
          <w:p w14:paraId="3C4B7EF0" w14:textId="77777777" w:rsidR="007144CC" w:rsidRPr="00061B56" w:rsidRDefault="007144CC" w:rsidP="00AF75C0">
            <w:pPr>
              <w:jc w:val="both"/>
              <w:rPr>
                <w:rFonts w:ascii="Garamond" w:hAnsi="Garamond" w:cs="Arial"/>
              </w:rPr>
            </w:pPr>
            <w:r w:rsidRPr="00061B56">
              <w:rPr>
                <w:rFonts w:ascii="Garamond" w:hAnsi="Garamond" w:cs="Arial"/>
              </w:rPr>
              <w:t>Poor Fit</w:t>
            </w:r>
          </w:p>
        </w:tc>
      </w:tr>
      <w:tr w:rsidR="007144CC" w:rsidRPr="00061B56" w14:paraId="1DBF7E4D" w14:textId="77777777" w:rsidTr="00AF75C0">
        <w:trPr>
          <w:trHeight w:val="523"/>
        </w:trPr>
        <w:tc>
          <w:tcPr>
            <w:tcW w:w="1221" w:type="dxa"/>
            <w:tcBorders>
              <w:top w:val="nil"/>
              <w:left w:val="nil"/>
              <w:bottom w:val="nil"/>
              <w:right w:val="nil"/>
            </w:tcBorders>
          </w:tcPr>
          <w:p w14:paraId="4CA6610C" w14:textId="77777777" w:rsidR="007144CC" w:rsidRPr="00061B56" w:rsidRDefault="007144CC" w:rsidP="00AF75C0">
            <w:pPr>
              <w:jc w:val="both"/>
              <w:rPr>
                <w:rFonts w:ascii="Garamond" w:hAnsi="Garamond" w:cs="Arial"/>
              </w:rPr>
            </w:pPr>
            <w:r w:rsidRPr="00061B56">
              <w:rPr>
                <w:rFonts w:ascii="Garamond" w:hAnsi="Garamond" w:cs="Arial"/>
              </w:rPr>
              <w:t>CFI</w:t>
            </w:r>
          </w:p>
        </w:tc>
        <w:tc>
          <w:tcPr>
            <w:tcW w:w="2750" w:type="dxa"/>
            <w:tcBorders>
              <w:top w:val="nil"/>
              <w:left w:val="nil"/>
              <w:bottom w:val="nil"/>
              <w:right w:val="nil"/>
            </w:tcBorders>
          </w:tcPr>
          <w:p w14:paraId="25E5E60C" w14:textId="77777777" w:rsidR="007144CC" w:rsidRPr="00061B56" w:rsidRDefault="007144CC" w:rsidP="00AF75C0">
            <w:pPr>
              <w:jc w:val="both"/>
              <w:rPr>
                <w:rFonts w:ascii="Garamond" w:hAnsi="Garamond" w:cs="Arial"/>
              </w:rPr>
            </w:pPr>
            <w:r w:rsidRPr="00061B56">
              <w:rPr>
                <w:rFonts w:ascii="Garamond" w:hAnsi="Garamond" w:cs="Arial"/>
              </w:rPr>
              <w:t xml:space="preserve">Bentler, 1990; </w:t>
            </w:r>
          </w:p>
          <w:p w14:paraId="7FB72848" w14:textId="77777777" w:rsidR="007144CC" w:rsidRPr="00061B56" w:rsidRDefault="007144CC" w:rsidP="00AF75C0">
            <w:pPr>
              <w:jc w:val="both"/>
              <w:rPr>
                <w:rFonts w:ascii="Garamond" w:hAnsi="Garamond" w:cs="Arial"/>
              </w:rPr>
            </w:pPr>
            <w:r w:rsidRPr="00061B56">
              <w:rPr>
                <w:rFonts w:ascii="Garamond" w:hAnsi="Garamond" w:cs="Arial"/>
              </w:rPr>
              <w:t>Hatcher, 1994</w:t>
            </w:r>
          </w:p>
        </w:tc>
        <w:tc>
          <w:tcPr>
            <w:tcW w:w="3055" w:type="dxa"/>
            <w:tcBorders>
              <w:top w:val="nil"/>
              <w:left w:val="nil"/>
              <w:bottom w:val="nil"/>
              <w:right w:val="nil"/>
            </w:tcBorders>
          </w:tcPr>
          <w:p w14:paraId="30914EC3" w14:textId="77777777" w:rsidR="007144CC" w:rsidRPr="00061B56" w:rsidRDefault="007144CC" w:rsidP="00AF75C0">
            <w:pPr>
              <w:jc w:val="both"/>
              <w:rPr>
                <w:rFonts w:ascii="Garamond" w:hAnsi="Garamond" w:cs="Arial"/>
              </w:rPr>
            </w:pPr>
            <w:r w:rsidRPr="00061B56">
              <w:rPr>
                <w:rFonts w:ascii="Garamond" w:hAnsi="Garamond" w:cs="Arial"/>
              </w:rPr>
              <w:t>&gt;0.90</w:t>
            </w:r>
          </w:p>
          <w:p w14:paraId="51876B60" w14:textId="77777777" w:rsidR="007144CC" w:rsidRPr="00061B56" w:rsidRDefault="007144CC" w:rsidP="00AF75C0">
            <w:pPr>
              <w:jc w:val="both"/>
              <w:rPr>
                <w:rFonts w:ascii="Garamond" w:hAnsi="Garamond" w:cs="Arial"/>
              </w:rPr>
            </w:pPr>
            <w:r w:rsidRPr="00061B56">
              <w:rPr>
                <w:rFonts w:ascii="Garamond" w:hAnsi="Garamond" w:cs="Arial"/>
              </w:rPr>
              <w:t>&gt;0.90</w:t>
            </w:r>
          </w:p>
        </w:tc>
        <w:tc>
          <w:tcPr>
            <w:tcW w:w="1059" w:type="dxa"/>
            <w:tcBorders>
              <w:top w:val="nil"/>
              <w:left w:val="nil"/>
              <w:bottom w:val="nil"/>
              <w:right w:val="nil"/>
            </w:tcBorders>
          </w:tcPr>
          <w:p w14:paraId="532F283A" w14:textId="77777777" w:rsidR="007144CC" w:rsidRPr="00061B56" w:rsidRDefault="007144CC" w:rsidP="00AF75C0">
            <w:pPr>
              <w:jc w:val="both"/>
              <w:rPr>
                <w:rFonts w:ascii="Garamond" w:hAnsi="Garamond" w:cs="Arial"/>
              </w:rPr>
            </w:pPr>
            <w:r w:rsidRPr="00061B56">
              <w:rPr>
                <w:rFonts w:ascii="Garamond" w:hAnsi="Garamond" w:cs="Arial"/>
              </w:rPr>
              <w:t>0.877</w:t>
            </w:r>
          </w:p>
        </w:tc>
        <w:tc>
          <w:tcPr>
            <w:tcW w:w="1760" w:type="dxa"/>
            <w:tcBorders>
              <w:top w:val="nil"/>
              <w:left w:val="nil"/>
              <w:bottom w:val="nil"/>
              <w:right w:val="nil"/>
            </w:tcBorders>
          </w:tcPr>
          <w:p w14:paraId="5327178E" w14:textId="77777777" w:rsidR="007144CC" w:rsidRPr="00061B56" w:rsidRDefault="007144CC" w:rsidP="00AF75C0">
            <w:pPr>
              <w:jc w:val="both"/>
              <w:rPr>
                <w:rFonts w:ascii="Garamond" w:hAnsi="Garamond" w:cs="Arial"/>
              </w:rPr>
            </w:pPr>
            <w:r w:rsidRPr="00061B56">
              <w:rPr>
                <w:rFonts w:ascii="Garamond" w:hAnsi="Garamond" w:cs="Arial"/>
              </w:rPr>
              <w:t>Moderate Fit</w:t>
            </w:r>
          </w:p>
        </w:tc>
      </w:tr>
      <w:tr w:rsidR="007144CC" w:rsidRPr="00061B56" w14:paraId="64121F87" w14:textId="77777777" w:rsidTr="00AF75C0">
        <w:trPr>
          <w:trHeight w:val="1293"/>
        </w:trPr>
        <w:tc>
          <w:tcPr>
            <w:tcW w:w="1221" w:type="dxa"/>
            <w:tcBorders>
              <w:top w:val="nil"/>
              <w:left w:val="nil"/>
              <w:bottom w:val="nil"/>
              <w:right w:val="nil"/>
            </w:tcBorders>
          </w:tcPr>
          <w:p w14:paraId="565D1009" w14:textId="77777777" w:rsidR="007144CC" w:rsidRPr="00061B56" w:rsidRDefault="007144CC" w:rsidP="00AF75C0">
            <w:pPr>
              <w:jc w:val="both"/>
              <w:rPr>
                <w:rFonts w:ascii="Garamond" w:hAnsi="Garamond" w:cs="Arial"/>
              </w:rPr>
            </w:pPr>
            <w:r w:rsidRPr="00061B56">
              <w:rPr>
                <w:rFonts w:ascii="Garamond" w:hAnsi="Garamond" w:cs="Arial"/>
              </w:rPr>
              <w:t>RMSEA</w:t>
            </w:r>
          </w:p>
        </w:tc>
        <w:tc>
          <w:tcPr>
            <w:tcW w:w="2750" w:type="dxa"/>
            <w:tcBorders>
              <w:top w:val="nil"/>
              <w:left w:val="nil"/>
              <w:bottom w:val="nil"/>
              <w:right w:val="nil"/>
            </w:tcBorders>
          </w:tcPr>
          <w:p w14:paraId="4B3D0EB9" w14:textId="77777777" w:rsidR="007144CC" w:rsidRPr="00061B56" w:rsidRDefault="007144CC" w:rsidP="00AF75C0">
            <w:pPr>
              <w:jc w:val="both"/>
              <w:rPr>
                <w:rFonts w:ascii="Garamond" w:hAnsi="Garamond" w:cs="Arial"/>
              </w:rPr>
            </w:pPr>
            <w:r w:rsidRPr="00061B56">
              <w:rPr>
                <w:rFonts w:ascii="Garamond" w:hAnsi="Garamond" w:cs="Arial"/>
              </w:rPr>
              <w:t xml:space="preserve">Byrne, 2001; </w:t>
            </w:r>
          </w:p>
          <w:p w14:paraId="006AA6CD" w14:textId="77777777" w:rsidR="007144CC" w:rsidRPr="00061B56" w:rsidRDefault="007144CC" w:rsidP="00AF75C0">
            <w:pPr>
              <w:jc w:val="both"/>
              <w:rPr>
                <w:rFonts w:ascii="Garamond" w:hAnsi="Garamond" w:cs="Arial"/>
                <w:lang w:val="fr-FR"/>
              </w:rPr>
            </w:pPr>
            <w:r w:rsidRPr="00061B56">
              <w:rPr>
                <w:rFonts w:ascii="Garamond" w:hAnsi="Garamond" w:cs="Arial"/>
                <w:lang w:val="fr-FR"/>
              </w:rPr>
              <w:t>Hu &amp; Bentler, 1999 ;</w:t>
            </w:r>
          </w:p>
          <w:p w14:paraId="168DC6EA" w14:textId="77777777" w:rsidR="007144CC" w:rsidRPr="00061B56" w:rsidRDefault="007144CC" w:rsidP="00AF75C0">
            <w:pPr>
              <w:jc w:val="both"/>
              <w:rPr>
                <w:rFonts w:ascii="Garamond" w:hAnsi="Garamond" w:cs="Arial"/>
                <w:lang w:val="fr-FR"/>
              </w:rPr>
            </w:pPr>
            <w:r w:rsidRPr="00061B56">
              <w:rPr>
                <w:rFonts w:ascii="Garamond" w:hAnsi="Garamond" w:cs="Arial"/>
                <w:lang w:val="fr-FR"/>
              </w:rPr>
              <w:t>Meyers et al, 2005</w:t>
            </w:r>
          </w:p>
        </w:tc>
        <w:tc>
          <w:tcPr>
            <w:tcW w:w="3055" w:type="dxa"/>
            <w:tcBorders>
              <w:top w:val="nil"/>
              <w:left w:val="nil"/>
              <w:bottom w:val="nil"/>
              <w:right w:val="nil"/>
            </w:tcBorders>
          </w:tcPr>
          <w:p w14:paraId="5814BA93" w14:textId="77777777" w:rsidR="007144CC" w:rsidRPr="00061B56" w:rsidRDefault="007144CC" w:rsidP="00AF75C0">
            <w:pPr>
              <w:jc w:val="both"/>
              <w:rPr>
                <w:rFonts w:ascii="Garamond" w:hAnsi="Garamond" w:cs="Arial"/>
              </w:rPr>
            </w:pPr>
            <w:r w:rsidRPr="00061B56">
              <w:rPr>
                <w:rFonts w:ascii="Garamond" w:hAnsi="Garamond" w:cs="Arial"/>
              </w:rPr>
              <w:t>&lt;0.08</w:t>
            </w:r>
          </w:p>
          <w:p w14:paraId="2E468E41" w14:textId="77777777" w:rsidR="007144CC" w:rsidRPr="00061B56" w:rsidRDefault="007144CC" w:rsidP="00AF75C0">
            <w:pPr>
              <w:jc w:val="both"/>
              <w:rPr>
                <w:rFonts w:ascii="Garamond" w:hAnsi="Garamond" w:cs="Arial"/>
              </w:rPr>
            </w:pPr>
            <w:r w:rsidRPr="00061B56">
              <w:rPr>
                <w:rFonts w:ascii="Garamond" w:hAnsi="Garamond" w:cs="Arial"/>
              </w:rPr>
              <w:t>&lt;0.05</w:t>
            </w:r>
          </w:p>
          <w:p w14:paraId="63CC2489" w14:textId="77777777" w:rsidR="007144CC" w:rsidRPr="00061B56" w:rsidRDefault="007144CC" w:rsidP="00AF75C0">
            <w:pPr>
              <w:jc w:val="both"/>
              <w:rPr>
                <w:rFonts w:ascii="Garamond" w:hAnsi="Garamond" w:cs="Arial"/>
              </w:rPr>
            </w:pPr>
            <w:r w:rsidRPr="00061B56">
              <w:rPr>
                <w:rFonts w:ascii="Garamond" w:hAnsi="Garamond" w:cs="Arial"/>
              </w:rPr>
              <w:t xml:space="preserve">&lt; 0.08 : good fit, </w:t>
            </w:r>
          </w:p>
          <w:p w14:paraId="29A27C34" w14:textId="77777777" w:rsidR="007144CC" w:rsidRPr="00061B56" w:rsidRDefault="007144CC" w:rsidP="00AF75C0">
            <w:pPr>
              <w:jc w:val="both"/>
              <w:rPr>
                <w:rFonts w:ascii="Garamond" w:hAnsi="Garamond" w:cs="Arial"/>
              </w:rPr>
            </w:pPr>
            <w:r w:rsidRPr="00061B56">
              <w:rPr>
                <w:rFonts w:ascii="Garamond" w:hAnsi="Garamond" w:cs="Arial"/>
              </w:rPr>
              <w:t>0.08 to 0.1; moderate fit</w:t>
            </w:r>
          </w:p>
          <w:p w14:paraId="5983A7F6" w14:textId="77777777" w:rsidR="007144CC" w:rsidRPr="00061B56" w:rsidRDefault="007144CC" w:rsidP="00AF75C0">
            <w:pPr>
              <w:jc w:val="both"/>
              <w:rPr>
                <w:rFonts w:ascii="Garamond" w:hAnsi="Garamond" w:cs="Arial"/>
              </w:rPr>
            </w:pPr>
            <w:r w:rsidRPr="00061B56">
              <w:rPr>
                <w:rFonts w:ascii="Garamond" w:hAnsi="Garamond" w:cs="Arial"/>
              </w:rPr>
              <w:t>&gt; 0.10 poor fit</w:t>
            </w:r>
          </w:p>
        </w:tc>
        <w:tc>
          <w:tcPr>
            <w:tcW w:w="1059" w:type="dxa"/>
            <w:tcBorders>
              <w:top w:val="nil"/>
              <w:left w:val="nil"/>
              <w:bottom w:val="nil"/>
              <w:right w:val="nil"/>
            </w:tcBorders>
          </w:tcPr>
          <w:p w14:paraId="2ACF76BD" w14:textId="77777777" w:rsidR="007144CC" w:rsidRPr="00061B56" w:rsidRDefault="007144CC" w:rsidP="00AF75C0">
            <w:pPr>
              <w:jc w:val="both"/>
              <w:rPr>
                <w:rFonts w:ascii="Garamond" w:hAnsi="Garamond" w:cs="Arial"/>
              </w:rPr>
            </w:pPr>
            <w:r w:rsidRPr="00061B56">
              <w:rPr>
                <w:rFonts w:ascii="Garamond" w:eastAsia="Times New Roman" w:hAnsi="Garamond" w:cs="Arial"/>
                <w:lang w:eastAsia="en-GB"/>
              </w:rPr>
              <w:t>0.085</w:t>
            </w:r>
          </w:p>
        </w:tc>
        <w:tc>
          <w:tcPr>
            <w:tcW w:w="1760" w:type="dxa"/>
            <w:tcBorders>
              <w:top w:val="nil"/>
              <w:left w:val="nil"/>
              <w:bottom w:val="nil"/>
              <w:right w:val="nil"/>
            </w:tcBorders>
          </w:tcPr>
          <w:p w14:paraId="740AF97D" w14:textId="77777777" w:rsidR="007144CC" w:rsidRPr="00061B56" w:rsidRDefault="007144CC" w:rsidP="00AF75C0">
            <w:pPr>
              <w:jc w:val="both"/>
              <w:rPr>
                <w:rFonts w:ascii="Garamond" w:hAnsi="Garamond" w:cs="Arial"/>
              </w:rPr>
            </w:pPr>
            <w:r w:rsidRPr="00061B56">
              <w:rPr>
                <w:rFonts w:ascii="Garamond" w:hAnsi="Garamond" w:cs="Arial"/>
              </w:rPr>
              <w:t>Moderate Fit</w:t>
            </w:r>
          </w:p>
        </w:tc>
      </w:tr>
      <w:tr w:rsidR="007144CC" w:rsidRPr="00061B56" w14:paraId="2EDEC108" w14:textId="77777777" w:rsidTr="00AF75C0">
        <w:trPr>
          <w:trHeight w:val="266"/>
        </w:trPr>
        <w:tc>
          <w:tcPr>
            <w:tcW w:w="1221" w:type="dxa"/>
            <w:tcBorders>
              <w:top w:val="nil"/>
              <w:left w:val="nil"/>
              <w:bottom w:val="nil"/>
              <w:right w:val="nil"/>
            </w:tcBorders>
          </w:tcPr>
          <w:p w14:paraId="26506645" w14:textId="77777777" w:rsidR="007144CC" w:rsidRPr="00061B56" w:rsidRDefault="007144CC" w:rsidP="00AF75C0">
            <w:pPr>
              <w:jc w:val="both"/>
              <w:rPr>
                <w:rFonts w:ascii="Garamond" w:hAnsi="Garamond" w:cs="Arial"/>
              </w:rPr>
            </w:pPr>
            <w:r w:rsidRPr="00061B56">
              <w:rPr>
                <w:rFonts w:ascii="Garamond" w:hAnsi="Garamond" w:cs="Arial"/>
              </w:rPr>
              <w:t>NFI</w:t>
            </w:r>
          </w:p>
        </w:tc>
        <w:tc>
          <w:tcPr>
            <w:tcW w:w="2750" w:type="dxa"/>
            <w:tcBorders>
              <w:top w:val="nil"/>
              <w:left w:val="nil"/>
              <w:bottom w:val="nil"/>
              <w:right w:val="nil"/>
            </w:tcBorders>
          </w:tcPr>
          <w:p w14:paraId="757031F1" w14:textId="77777777" w:rsidR="007144CC" w:rsidRPr="00061B56" w:rsidRDefault="007144CC" w:rsidP="00AF75C0">
            <w:pPr>
              <w:jc w:val="both"/>
              <w:rPr>
                <w:rFonts w:ascii="Garamond" w:hAnsi="Garamond" w:cs="Arial"/>
              </w:rPr>
            </w:pPr>
            <w:r w:rsidRPr="00061B56">
              <w:rPr>
                <w:rFonts w:ascii="Garamond" w:hAnsi="Garamond" w:cs="Arial"/>
              </w:rPr>
              <w:t>Bentler &amp; Bonett, 1980</w:t>
            </w:r>
          </w:p>
        </w:tc>
        <w:tc>
          <w:tcPr>
            <w:tcW w:w="3055" w:type="dxa"/>
            <w:tcBorders>
              <w:top w:val="nil"/>
              <w:left w:val="nil"/>
              <w:bottom w:val="nil"/>
              <w:right w:val="nil"/>
            </w:tcBorders>
          </w:tcPr>
          <w:p w14:paraId="6C38D253" w14:textId="77777777" w:rsidR="007144CC" w:rsidRPr="00061B56" w:rsidRDefault="007144CC" w:rsidP="00AF75C0">
            <w:pPr>
              <w:jc w:val="both"/>
              <w:rPr>
                <w:rFonts w:ascii="Garamond" w:hAnsi="Garamond" w:cs="Arial"/>
              </w:rPr>
            </w:pPr>
            <w:r w:rsidRPr="00061B56">
              <w:rPr>
                <w:rFonts w:ascii="Garamond" w:hAnsi="Garamond" w:cs="Arial"/>
              </w:rPr>
              <w:t>&gt;0.90</w:t>
            </w:r>
          </w:p>
        </w:tc>
        <w:tc>
          <w:tcPr>
            <w:tcW w:w="1059" w:type="dxa"/>
            <w:tcBorders>
              <w:top w:val="nil"/>
              <w:left w:val="nil"/>
              <w:bottom w:val="nil"/>
              <w:right w:val="nil"/>
            </w:tcBorders>
          </w:tcPr>
          <w:p w14:paraId="5AE9AA05" w14:textId="77777777" w:rsidR="007144CC" w:rsidRPr="00061B56" w:rsidRDefault="007144CC" w:rsidP="00AF75C0">
            <w:pPr>
              <w:jc w:val="both"/>
              <w:rPr>
                <w:rFonts w:ascii="Garamond" w:hAnsi="Garamond" w:cs="Arial"/>
              </w:rPr>
            </w:pPr>
            <w:r w:rsidRPr="00061B56">
              <w:rPr>
                <w:rFonts w:ascii="Garamond" w:hAnsi="Garamond" w:cs="Arial"/>
              </w:rPr>
              <w:t>0.816</w:t>
            </w:r>
          </w:p>
        </w:tc>
        <w:tc>
          <w:tcPr>
            <w:tcW w:w="1760" w:type="dxa"/>
            <w:tcBorders>
              <w:top w:val="nil"/>
              <w:left w:val="nil"/>
              <w:bottom w:val="nil"/>
              <w:right w:val="nil"/>
            </w:tcBorders>
          </w:tcPr>
          <w:p w14:paraId="512C62FF" w14:textId="77777777" w:rsidR="007144CC" w:rsidRPr="00061B56" w:rsidRDefault="007144CC" w:rsidP="00AF75C0">
            <w:pPr>
              <w:jc w:val="both"/>
              <w:rPr>
                <w:rFonts w:ascii="Garamond" w:hAnsi="Garamond" w:cs="Arial"/>
              </w:rPr>
            </w:pPr>
            <w:r w:rsidRPr="00061B56">
              <w:rPr>
                <w:rFonts w:ascii="Garamond" w:hAnsi="Garamond" w:cs="Arial"/>
              </w:rPr>
              <w:t>Poor Fit</w:t>
            </w:r>
          </w:p>
        </w:tc>
      </w:tr>
      <w:tr w:rsidR="007144CC" w:rsidRPr="00061B56" w14:paraId="2ADCBCA7" w14:textId="77777777" w:rsidTr="00AF75C0">
        <w:trPr>
          <w:trHeight w:val="256"/>
        </w:trPr>
        <w:tc>
          <w:tcPr>
            <w:tcW w:w="1221" w:type="dxa"/>
            <w:tcBorders>
              <w:top w:val="nil"/>
              <w:left w:val="nil"/>
              <w:bottom w:val="nil"/>
              <w:right w:val="nil"/>
            </w:tcBorders>
          </w:tcPr>
          <w:p w14:paraId="32A01511" w14:textId="77777777" w:rsidR="007144CC" w:rsidRPr="00061B56" w:rsidRDefault="007144CC" w:rsidP="00AF75C0">
            <w:pPr>
              <w:jc w:val="both"/>
              <w:rPr>
                <w:rFonts w:ascii="Garamond" w:hAnsi="Garamond" w:cs="Arial"/>
              </w:rPr>
            </w:pPr>
            <w:r w:rsidRPr="00061B56">
              <w:rPr>
                <w:rFonts w:ascii="Garamond" w:hAnsi="Garamond" w:cs="Arial"/>
              </w:rPr>
              <w:t>IFI</w:t>
            </w:r>
          </w:p>
        </w:tc>
        <w:tc>
          <w:tcPr>
            <w:tcW w:w="2750" w:type="dxa"/>
            <w:tcBorders>
              <w:top w:val="nil"/>
              <w:left w:val="nil"/>
              <w:bottom w:val="nil"/>
              <w:right w:val="nil"/>
            </w:tcBorders>
          </w:tcPr>
          <w:p w14:paraId="4254F9C1" w14:textId="77777777" w:rsidR="007144CC" w:rsidRPr="00061B56" w:rsidRDefault="007144CC" w:rsidP="00AF75C0">
            <w:pPr>
              <w:jc w:val="both"/>
              <w:rPr>
                <w:rFonts w:ascii="Garamond" w:hAnsi="Garamond" w:cs="Arial"/>
              </w:rPr>
            </w:pPr>
            <w:r w:rsidRPr="00061B56">
              <w:rPr>
                <w:rFonts w:ascii="Garamond" w:hAnsi="Garamond" w:cs="Arial"/>
              </w:rPr>
              <w:t>Meyers et al, 2005</w:t>
            </w:r>
          </w:p>
        </w:tc>
        <w:tc>
          <w:tcPr>
            <w:tcW w:w="3055" w:type="dxa"/>
            <w:tcBorders>
              <w:top w:val="nil"/>
              <w:left w:val="nil"/>
              <w:bottom w:val="nil"/>
              <w:right w:val="nil"/>
            </w:tcBorders>
          </w:tcPr>
          <w:p w14:paraId="50FE2D04" w14:textId="77777777" w:rsidR="007144CC" w:rsidRPr="00061B56" w:rsidRDefault="007144CC" w:rsidP="00AF75C0">
            <w:pPr>
              <w:jc w:val="both"/>
              <w:rPr>
                <w:rFonts w:ascii="Garamond" w:hAnsi="Garamond" w:cs="Arial"/>
              </w:rPr>
            </w:pPr>
            <w:r w:rsidRPr="00061B56">
              <w:rPr>
                <w:rFonts w:ascii="Garamond" w:hAnsi="Garamond" w:cs="Arial"/>
              </w:rPr>
              <w:t>&gt;0.90</w:t>
            </w:r>
          </w:p>
        </w:tc>
        <w:tc>
          <w:tcPr>
            <w:tcW w:w="1059" w:type="dxa"/>
            <w:tcBorders>
              <w:top w:val="nil"/>
              <w:left w:val="nil"/>
              <w:bottom w:val="nil"/>
              <w:right w:val="nil"/>
            </w:tcBorders>
          </w:tcPr>
          <w:p w14:paraId="4211CC5E" w14:textId="77777777" w:rsidR="007144CC" w:rsidRPr="00061B56" w:rsidRDefault="007144CC" w:rsidP="00AF75C0">
            <w:pPr>
              <w:jc w:val="both"/>
              <w:rPr>
                <w:rFonts w:ascii="Garamond" w:hAnsi="Garamond" w:cs="Arial"/>
              </w:rPr>
            </w:pPr>
            <w:r w:rsidRPr="00061B56">
              <w:rPr>
                <w:rFonts w:ascii="Garamond" w:hAnsi="Garamond" w:cs="Arial"/>
              </w:rPr>
              <w:t>0.878</w:t>
            </w:r>
          </w:p>
        </w:tc>
        <w:tc>
          <w:tcPr>
            <w:tcW w:w="1760" w:type="dxa"/>
            <w:tcBorders>
              <w:top w:val="nil"/>
              <w:left w:val="nil"/>
              <w:bottom w:val="nil"/>
              <w:right w:val="nil"/>
            </w:tcBorders>
          </w:tcPr>
          <w:p w14:paraId="3FDA0ACA" w14:textId="77777777" w:rsidR="007144CC" w:rsidRPr="00061B56" w:rsidRDefault="007144CC" w:rsidP="00AF75C0">
            <w:pPr>
              <w:jc w:val="both"/>
              <w:rPr>
                <w:rFonts w:ascii="Garamond" w:hAnsi="Garamond" w:cs="Arial"/>
              </w:rPr>
            </w:pPr>
            <w:r w:rsidRPr="00061B56">
              <w:rPr>
                <w:rFonts w:ascii="Garamond" w:hAnsi="Garamond" w:cs="Arial"/>
              </w:rPr>
              <w:t>Moderate Fit</w:t>
            </w:r>
          </w:p>
        </w:tc>
      </w:tr>
      <w:tr w:rsidR="007144CC" w:rsidRPr="00061B56" w14:paraId="2151D76F" w14:textId="77777777" w:rsidTr="00AF75C0">
        <w:trPr>
          <w:trHeight w:val="266"/>
        </w:trPr>
        <w:tc>
          <w:tcPr>
            <w:tcW w:w="1221" w:type="dxa"/>
            <w:tcBorders>
              <w:top w:val="nil"/>
              <w:left w:val="nil"/>
              <w:bottom w:val="nil"/>
              <w:right w:val="nil"/>
            </w:tcBorders>
          </w:tcPr>
          <w:p w14:paraId="713E2144" w14:textId="77777777" w:rsidR="007144CC" w:rsidRPr="00061B56" w:rsidRDefault="007144CC" w:rsidP="00AF75C0">
            <w:pPr>
              <w:jc w:val="both"/>
              <w:rPr>
                <w:rFonts w:ascii="Garamond" w:hAnsi="Garamond" w:cs="Arial"/>
              </w:rPr>
            </w:pPr>
            <w:r w:rsidRPr="00061B56">
              <w:rPr>
                <w:rFonts w:ascii="Garamond" w:hAnsi="Garamond" w:cs="Arial"/>
              </w:rPr>
              <w:t>PNFI</w:t>
            </w:r>
          </w:p>
        </w:tc>
        <w:tc>
          <w:tcPr>
            <w:tcW w:w="2750" w:type="dxa"/>
            <w:tcBorders>
              <w:top w:val="nil"/>
              <w:left w:val="nil"/>
              <w:bottom w:val="nil"/>
              <w:right w:val="nil"/>
            </w:tcBorders>
          </w:tcPr>
          <w:p w14:paraId="778F1C4B" w14:textId="77777777" w:rsidR="007144CC" w:rsidRPr="00061B56" w:rsidRDefault="007144CC" w:rsidP="00AF75C0">
            <w:pPr>
              <w:jc w:val="both"/>
              <w:rPr>
                <w:rFonts w:ascii="Garamond" w:hAnsi="Garamond" w:cs="Arial"/>
              </w:rPr>
            </w:pPr>
            <w:r w:rsidRPr="00061B56">
              <w:rPr>
                <w:rFonts w:ascii="Garamond" w:hAnsi="Garamond" w:cs="Arial"/>
              </w:rPr>
              <w:t>Meyers et al, 2005</w:t>
            </w:r>
          </w:p>
        </w:tc>
        <w:tc>
          <w:tcPr>
            <w:tcW w:w="3055" w:type="dxa"/>
            <w:tcBorders>
              <w:top w:val="nil"/>
              <w:left w:val="nil"/>
              <w:bottom w:val="nil"/>
              <w:right w:val="nil"/>
            </w:tcBorders>
          </w:tcPr>
          <w:p w14:paraId="483D6D58" w14:textId="77777777" w:rsidR="007144CC" w:rsidRPr="00061B56" w:rsidRDefault="007144CC" w:rsidP="00AF75C0">
            <w:pPr>
              <w:jc w:val="both"/>
              <w:rPr>
                <w:rFonts w:ascii="Garamond" w:hAnsi="Garamond" w:cs="Arial"/>
              </w:rPr>
            </w:pPr>
            <w:r w:rsidRPr="00061B56">
              <w:rPr>
                <w:rFonts w:ascii="Garamond" w:hAnsi="Garamond" w:cs="Arial"/>
              </w:rPr>
              <w:t>&gt;0.5</w:t>
            </w:r>
          </w:p>
        </w:tc>
        <w:tc>
          <w:tcPr>
            <w:tcW w:w="1059" w:type="dxa"/>
            <w:tcBorders>
              <w:top w:val="nil"/>
              <w:left w:val="nil"/>
              <w:bottom w:val="nil"/>
              <w:right w:val="nil"/>
            </w:tcBorders>
          </w:tcPr>
          <w:p w14:paraId="7798ABCC" w14:textId="77777777" w:rsidR="007144CC" w:rsidRPr="00061B56" w:rsidRDefault="007144CC" w:rsidP="00AF75C0">
            <w:pPr>
              <w:jc w:val="both"/>
              <w:rPr>
                <w:rFonts w:ascii="Garamond" w:hAnsi="Garamond" w:cs="Arial"/>
              </w:rPr>
            </w:pPr>
            <w:r w:rsidRPr="00061B56">
              <w:rPr>
                <w:rFonts w:ascii="Garamond" w:hAnsi="Garamond" w:cs="Arial"/>
              </w:rPr>
              <w:t>0.740</w:t>
            </w:r>
          </w:p>
        </w:tc>
        <w:tc>
          <w:tcPr>
            <w:tcW w:w="1760" w:type="dxa"/>
            <w:tcBorders>
              <w:top w:val="nil"/>
              <w:left w:val="nil"/>
              <w:bottom w:val="nil"/>
              <w:right w:val="nil"/>
            </w:tcBorders>
          </w:tcPr>
          <w:p w14:paraId="3703A15A" w14:textId="77777777" w:rsidR="007144CC" w:rsidRPr="00061B56" w:rsidRDefault="007144CC" w:rsidP="00AF75C0">
            <w:pPr>
              <w:jc w:val="both"/>
              <w:rPr>
                <w:rFonts w:ascii="Garamond" w:hAnsi="Garamond" w:cs="Arial"/>
              </w:rPr>
            </w:pPr>
            <w:r w:rsidRPr="00061B56">
              <w:rPr>
                <w:rFonts w:ascii="Garamond" w:hAnsi="Garamond" w:cs="Arial"/>
              </w:rPr>
              <w:t>Good Fit</w:t>
            </w:r>
          </w:p>
        </w:tc>
      </w:tr>
      <w:tr w:rsidR="007144CC" w:rsidRPr="00061B56" w14:paraId="7B1408A7" w14:textId="77777777" w:rsidTr="00AF75C0">
        <w:trPr>
          <w:trHeight w:val="256"/>
        </w:trPr>
        <w:tc>
          <w:tcPr>
            <w:tcW w:w="1221" w:type="dxa"/>
            <w:tcBorders>
              <w:top w:val="nil"/>
              <w:left w:val="nil"/>
              <w:bottom w:val="nil"/>
              <w:right w:val="nil"/>
            </w:tcBorders>
          </w:tcPr>
          <w:p w14:paraId="5BC279B7" w14:textId="77777777" w:rsidR="007144CC" w:rsidRPr="00061B56" w:rsidRDefault="007144CC" w:rsidP="00AF75C0">
            <w:pPr>
              <w:jc w:val="both"/>
              <w:rPr>
                <w:rFonts w:ascii="Garamond" w:hAnsi="Garamond" w:cs="Arial"/>
              </w:rPr>
            </w:pPr>
            <w:r w:rsidRPr="00061B56">
              <w:rPr>
                <w:rFonts w:ascii="Garamond" w:hAnsi="Garamond" w:cs="Arial"/>
              </w:rPr>
              <w:t>PCFI</w:t>
            </w:r>
          </w:p>
        </w:tc>
        <w:tc>
          <w:tcPr>
            <w:tcW w:w="2750" w:type="dxa"/>
            <w:tcBorders>
              <w:top w:val="nil"/>
              <w:left w:val="nil"/>
              <w:bottom w:val="nil"/>
              <w:right w:val="nil"/>
            </w:tcBorders>
          </w:tcPr>
          <w:p w14:paraId="4EC44AC1" w14:textId="77777777" w:rsidR="007144CC" w:rsidRPr="00061B56" w:rsidRDefault="007144CC" w:rsidP="00AF75C0">
            <w:pPr>
              <w:jc w:val="both"/>
              <w:rPr>
                <w:rFonts w:ascii="Garamond" w:hAnsi="Garamond" w:cs="Arial"/>
              </w:rPr>
            </w:pPr>
            <w:r w:rsidRPr="00061B56">
              <w:rPr>
                <w:rFonts w:ascii="Garamond" w:hAnsi="Garamond" w:cs="Arial"/>
              </w:rPr>
              <w:t>Meyers et al, 2005</w:t>
            </w:r>
          </w:p>
        </w:tc>
        <w:tc>
          <w:tcPr>
            <w:tcW w:w="3055" w:type="dxa"/>
            <w:tcBorders>
              <w:top w:val="nil"/>
              <w:left w:val="nil"/>
              <w:bottom w:val="nil"/>
              <w:right w:val="nil"/>
            </w:tcBorders>
          </w:tcPr>
          <w:p w14:paraId="5B74AFD2" w14:textId="77777777" w:rsidR="007144CC" w:rsidRPr="00061B56" w:rsidRDefault="007144CC" w:rsidP="00AF75C0">
            <w:pPr>
              <w:jc w:val="both"/>
              <w:rPr>
                <w:rFonts w:ascii="Garamond" w:hAnsi="Garamond" w:cs="Arial"/>
              </w:rPr>
            </w:pPr>
            <w:r w:rsidRPr="00061B56">
              <w:rPr>
                <w:rFonts w:ascii="Garamond" w:hAnsi="Garamond" w:cs="Arial"/>
              </w:rPr>
              <w:t>&gt;0.5</w:t>
            </w:r>
          </w:p>
        </w:tc>
        <w:tc>
          <w:tcPr>
            <w:tcW w:w="1059" w:type="dxa"/>
            <w:tcBorders>
              <w:top w:val="nil"/>
              <w:left w:val="nil"/>
              <w:bottom w:val="nil"/>
              <w:right w:val="nil"/>
            </w:tcBorders>
            <w:vAlign w:val="center"/>
          </w:tcPr>
          <w:p w14:paraId="2689DFBC" w14:textId="77777777" w:rsidR="007144CC" w:rsidRPr="00061B56" w:rsidRDefault="007144CC" w:rsidP="00AF75C0">
            <w:pPr>
              <w:jc w:val="both"/>
              <w:rPr>
                <w:rFonts w:ascii="Garamond" w:hAnsi="Garamond" w:cs="Arial"/>
              </w:rPr>
            </w:pPr>
            <w:r w:rsidRPr="00061B56">
              <w:rPr>
                <w:rFonts w:ascii="Garamond" w:eastAsia="Times New Roman" w:hAnsi="Garamond" w:cs="Arial"/>
                <w:lang w:eastAsia="en-GB"/>
              </w:rPr>
              <w:t>0.795</w:t>
            </w:r>
          </w:p>
        </w:tc>
        <w:tc>
          <w:tcPr>
            <w:tcW w:w="1760" w:type="dxa"/>
            <w:tcBorders>
              <w:top w:val="nil"/>
              <w:left w:val="nil"/>
              <w:bottom w:val="nil"/>
              <w:right w:val="nil"/>
            </w:tcBorders>
          </w:tcPr>
          <w:p w14:paraId="1258FDFA" w14:textId="77777777" w:rsidR="007144CC" w:rsidRPr="00061B56" w:rsidRDefault="007144CC" w:rsidP="00AF75C0">
            <w:pPr>
              <w:jc w:val="both"/>
              <w:rPr>
                <w:rFonts w:ascii="Garamond" w:hAnsi="Garamond" w:cs="Arial"/>
              </w:rPr>
            </w:pPr>
            <w:r w:rsidRPr="00061B56">
              <w:rPr>
                <w:rFonts w:ascii="Garamond" w:hAnsi="Garamond" w:cs="Arial"/>
              </w:rPr>
              <w:t>Good Fit</w:t>
            </w:r>
          </w:p>
        </w:tc>
      </w:tr>
      <w:tr w:rsidR="007144CC" w:rsidRPr="00A4641E" w14:paraId="532950E2" w14:textId="77777777" w:rsidTr="00AF75C0">
        <w:trPr>
          <w:trHeight w:val="256"/>
        </w:trPr>
        <w:tc>
          <w:tcPr>
            <w:tcW w:w="1221" w:type="dxa"/>
            <w:tcBorders>
              <w:top w:val="nil"/>
              <w:left w:val="nil"/>
              <w:right w:val="nil"/>
            </w:tcBorders>
          </w:tcPr>
          <w:p w14:paraId="4A9CEEA5" w14:textId="77777777" w:rsidR="007144CC" w:rsidRPr="00061B56" w:rsidRDefault="007144CC" w:rsidP="00AF75C0">
            <w:pPr>
              <w:jc w:val="both"/>
              <w:rPr>
                <w:rFonts w:ascii="Garamond" w:hAnsi="Garamond" w:cs="Arial"/>
              </w:rPr>
            </w:pPr>
            <w:r w:rsidRPr="00061B56">
              <w:rPr>
                <w:rFonts w:ascii="Garamond" w:hAnsi="Garamond" w:cs="Arial"/>
              </w:rPr>
              <w:t>AGFI</w:t>
            </w:r>
          </w:p>
        </w:tc>
        <w:tc>
          <w:tcPr>
            <w:tcW w:w="2750" w:type="dxa"/>
            <w:tcBorders>
              <w:top w:val="nil"/>
              <w:left w:val="nil"/>
              <w:right w:val="nil"/>
            </w:tcBorders>
          </w:tcPr>
          <w:p w14:paraId="017C1313" w14:textId="77777777" w:rsidR="007144CC" w:rsidRPr="00061B56" w:rsidRDefault="007144CC" w:rsidP="00AF75C0">
            <w:pPr>
              <w:jc w:val="both"/>
              <w:rPr>
                <w:rFonts w:ascii="Garamond" w:hAnsi="Garamond" w:cs="Arial"/>
              </w:rPr>
            </w:pPr>
            <w:r w:rsidRPr="00061B56">
              <w:rPr>
                <w:rFonts w:ascii="Garamond" w:hAnsi="Garamond" w:cs="Arial"/>
              </w:rPr>
              <w:t>Hair et al, 2009</w:t>
            </w:r>
          </w:p>
        </w:tc>
        <w:tc>
          <w:tcPr>
            <w:tcW w:w="3055" w:type="dxa"/>
            <w:tcBorders>
              <w:top w:val="nil"/>
              <w:left w:val="nil"/>
              <w:right w:val="nil"/>
            </w:tcBorders>
          </w:tcPr>
          <w:p w14:paraId="0FF47F4C" w14:textId="77777777" w:rsidR="007144CC" w:rsidRPr="00061B56" w:rsidRDefault="007144CC" w:rsidP="00AF75C0">
            <w:pPr>
              <w:jc w:val="both"/>
              <w:rPr>
                <w:rFonts w:ascii="Garamond" w:hAnsi="Garamond" w:cs="Arial"/>
              </w:rPr>
            </w:pPr>
            <w:r w:rsidRPr="00061B56">
              <w:rPr>
                <w:rFonts w:ascii="Garamond" w:hAnsi="Garamond" w:cs="Arial"/>
              </w:rPr>
              <w:t>&gt;0.80</w:t>
            </w:r>
          </w:p>
        </w:tc>
        <w:tc>
          <w:tcPr>
            <w:tcW w:w="1059" w:type="dxa"/>
            <w:tcBorders>
              <w:top w:val="nil"/>
              <w:left w:val="nil"/>
              <w:right w:val="nil"/>
            </w:tcBorders>
          </w:tcPr>
          <w:p w14:paraId="31C42D5A" w14:textId="77777777" w:rsidR="007144CC" w:rsidRPr="00061B56" w:rsidRDefault="007144CC" w:rsidP="00AF75C0">
            <w:pPr>
              <w:jc w:val="both"/>
              <w:rPr>
                <w:rFonts w:ascii="Garamond" w:hAnsi="Garamond" w:cs="Arial"/>
              </w:rPr>
            </w:pPr>
            <w:r w:rsidRPr="00061B56">
              <w:rPr>
                <w:rFonts w:ascii="Garamond" w:eastAsia="Times New Roman" w:hAnsi="Garamond" w:cs="Arial"/>
                <w:lang w:eastAsia="en-GB"/>
              </w:rPr>
              <w:t>0.713</w:t>
            </w:r>
          </w:p>
        </w:tc>
        <w:tc>
          <w:tcPr>
            <w:tcW w:w="1760" w:type="dxa"/>
            <w:tcBorders>
              <w:top w:val="nil"/>
              <w:left w:val="nil"/>
              <w:right w:val="nil"/>
            </w:tcBorders>
          </w:tcPr>
          <w:p w14:paraId="4E0C9126" w14:textId="77777777" w:rsidR="007144CC" w:rsidRPr="007B0544" w:rsidRDefault="007144CC" w:rsidP="00AF75C0">
            <w:pPr>
              <w:jc w:val="both"/>
              <w:rPr>
                <w:rFonts w:ascii="Garamond" w:hAnsi="Garamond" w:cs="Arial"/>
              </w:rPr>
            </w:pPr>
            <w:r w:rsidRPr="00061B56">
              <w:rPr>
                <w:rFonts w:ascii="Garamond" w:hAnsi="Garamond" w:cs="Arial"/>
              </w:rPr>
              <w:t>Moderate Fit</w:t>
            </w:r>
          </w:p>
        </w:tc>
      </w:tr>
    </w:tbl>
    <w:p w14:paraId="7310C9D0" w14:textId="77777777" w:rsidR="007144CC" w:rsidRDefault="007144CC" w:rsidP="007144CC">
      <w:pPr>
        <w:jc w:val="both"/>
        <w:rPr>
          <w:rFonts w:ascii="Times New Roman" w:hAnsi="Times New Roman" w:cs="Times New Roman"/>
          <w:bCs/>
          <w:sz w:val="24"/>
          <w:szCs w:val="24"/>
        </w:rPr>
      </w:pPr>
    </w:p>
    <w:p w14:paraId="661B16FD" w14:textId="77777777" w:rsidR="007144CC" w:rsidRDefault="007144CC" w:rsidP="007144CC">
      <w:pPr>
        <w:jc w:val="both"/>
        <w:rPr>
          <w:rFonts w:ascii="Times New Roman" w:hAnsi="Times New Roman" w:cs="Times New Roman"/>
          <w:bCs/>
          <w:sz w:val="24"/>
          <w:szCs w:val="24"/>
        </w:rPr>
      </w:pPr>
    </w:p>
    <w:p w14:paraId="384DCD70" w14:textId="77777777" w:rsidR="007144CC" w:rsidRDefault="007144CC" w:rsidP="007144CC">
      <w:pPr>
        <w:jc w:val="both"/>
        <w:rPr>
          <w:rFonts w:ascii="Times New Roman" w:hAnsi="Times New Roman" w:cs="Times New Roman"/>
          <w:bCs/>
          <w:sz w:val="24"/>
          <w:szCs w:val="24"/>
        </w:rPr>
      </w:pPr>
    </w:p>
    <w:p w14:paraId="1BCF2040" w14:textId="77777777" w:rsidR="007144CC" w:rsidRDefault="007144CC" w:rsidP="007144CC">
      <w:pPr>
        <w:jc w:val="both"/>
        <w:rPr>
          <w:rFonts w:ascii="Times New Roman" w:hAnsi="Times New Roman" w:cs="Times New Roman"/>
          <w:bCs/>
          <w:sz w:val="24"/>
          <w:szCs w:val="24"/>
        </w:rPr>
      </w:pPr>
    </w:p>
    <w:p w14:paraId="7414F390" w14:textId="77777777" w:rsidR="007144CC" w:rsidRDefault="007144CC" w:rsidP="007144CC">
      <w:pPr>
        <w:jc w:val="both"/>
        <w:rPr>
          <w:rFonts w:ascii="Times New Roman" w:hAnsi="Times New Roman" w:cs="Times New Roman"/>
          <w:bCs/>
          <w:sz w:val="24"/>
          <w:szCs w:val="24"/>
        </w:rPr>
      </w:pPr>
    </w:p>
    <w:p w14:paraId="62D0E3FB" w14:textId="77777777" w:rsidR="007144CC" w:rsidRDefault="007144CC" w:rsidP="007144CC">
      <w:pPr>
        <w:jc w:val="both"/>
        <w:rPr>
          <w:rFonts w:ascii="Times New Roman" w:hAnsi="Times New Roman" w:cs="Times New Roman"/>
          <w:bCs/>
          <w:sz w:val="24"/>
          <w:szCs w:val="24"/>
        </w:rPr>
      </w:pPr>
    </w:p>
    <w:p w14:paraId="02C6FA04" w14:textId="77777777" w:rsidR="007144CC" w:rsidRDefault="007144CC" w:rsidP="007144CC">
      <w:pPr>
        <w:jc w:val="both"/>
        <w:rPr>
          <w:rFonts w:ascii="Times New Roman" w:hAnsi="Times New Roman" w:cs="Times New Roman"/>
          <w:bCs/>
          <w:sz w:val="24"/>
          <w:szCs w:val="24"/>
        </w:rPr>
      </w:pPr>
    </w:p>
    <w:p w14:paraId="26721929" w14:textId="77777777" w:rsidR="007144CC" w:rsidRDefault="007144CC" w:rsidP="007144CC">
      <w:pPr>
        <w:jc w:val="both"/>
        <w:rPr>
          <w:rFonts w:ascii="Times New Roman" w:hAnsi="Times New Roman" w:cs="Times New Roman"/>
          <w:bCs/>
          <w:sz w:val="24"/>
          <w:szCs w:val="24"/>
        </w:rPr>
      </w:pPr>
    </w:p>
    <w:p w14:paraId="50C2ACF3" w14:textId="77777777" w:rsidR="007474E0" w:rsidRDefault="007474E0"/>
    <w:sectPr w:rsidR="007474E0" w:rsidSect="007144CC">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 w:author="Rodrigo, Liyanage" w:date="2026-06-06T12:04:00Z" w:initials="LR">
    <w:p w14:paraId="503F6FB3" w14:textId="77777777" w:rsidR="00462A37" w:rsidRDefault="007144CC" w:rsidP="00462A37">
      <w:pPr>
        <w:pStyle w:val="CommentText"/>
      </w:pPr>
      <w:r>
        <w:rPr>
          <w:rStyle w:val="CommentReference"/>
        </w:rPr>
        <w:annotationRef/>
      </w:r>
      <w:r w:rsidR="00462A37">
        <w:t>We did this paper in 2024. So, Basically,  We need to improve the introduction and contribution sections with recent papers that have been published since the paper was written. There are recent publications in the introduction section. I have done this in the theoretical framework section. Kindly revise the remaining chapters before submission.</w:t>
      </w:r>
    </w:p>
  </w:comment>
  <w:comment w:id="4" w:author="Wagner, Michael (wagneml)" w:date="2026-06-28T17:16:00Z" w:initials="MW">
    <w:p w14:paraId="60C209E9" w14:textId="77777777" w:rsidR="00BA109D" w:rsidRDefault="00BA109D" w:rsidP="00BA109D">
      <w:pPr>
        <w:pStyle w:val="CommentText"/>
      </w:pPr>
      <w:r>
        <w:rPr>
          <w:rStyle w:val="CommentReference"/>
        </w:rPr>
        <w:annotationRef/>
      </w:r>
      <w:r>
        <w:t>Updated cite:</w:t>
      </w:r>
    </w:p>
    <w:p w14:paraId="0F032B0E" w14:textId="77777777" w:rsidR="00BA109D" w:rsidRDefault="00BA109D" w:rsidP="00BA109D">
      <w:pPr>
        <w:pStyle w:val="CommentText"/>
      </w:pPr>
    </w:p>
    <w:p w14:paraId="65003396" w14:textId="77777777" w:rsidR="00BA109D" w:rsidRDefault="00BA109D" w:rsidP="00BA109D">
      <w:pPr>
        <w:pStyle w:val="CommentText"/>
      </w:pPr>
      <w:r>
        <w:t xml:space="preserve">Organisation for Economic Co‑operation and Development (OECD). (2023). </w:t>
      </w:r>
      <w:r>
        <w:rPr>
          <w:i/>
          <w:iCs/>
        </w:rPr>
        <w:t>OECD SME and entrepreneurship outlook 2023.</w:t>
      </w:r>
      <w:r>
        <w:t xml:space="preserve"> OECD Publishing.</w:t>
      </w:r>
    </w:p>
  </w:comment>
  <w:comment w:id="5" w:author="Rodrigo, Liyanage" w:date="2026-06-06T12:04:00Z" w:initials="LR">
    <w:p w14:paraId="1E91EB81" w14:textId="7CAA5860" w:rsidR="007144CC" w:rsidRDefault="007144CC" w:rsidP="007144CC">
      <w:pPr>
        <w:pStyle w:val="CommentText"/>
      </w:pPr>
      <w:r>
        <w:rPr>
          <w:rStyle w:val="CommentReference"/>
        </w:rPr>
        <w:annotationRef/>
      </w:r>
      <w:r>
        <w:t>There are too many abbreviations in the paper. I think we can write GP and GN in full throughout the paper.</w:t>
      </w:r>
    </w:p>
  </w:comment>
  <w:comment w:id="6" w:author="Wagner, Michael (wagneml)" w:date="2026-06-17T15:22:00Z" w:initials="MW">
    <w:p w14:paraId="517F8F65" w14:textId="77777777" w:rsidR="00042148" w:rsidRDefault="00C3458C" w:rsidP="00042148">
      <w:pPr>
        <w:pStyle w:val="CommentText"/>
      </w:pPr>
      <w:r>
        <w:rPr>
          <w:rStyle w:val="CommentReference"/>
        </w:rPr>
        <w:annotationRef/>
      </w:r>
      <w:r w:rsidR="00042148">
        <w:t>Li, Z. (2026).</w:t>
      </w:r>
      <w:r w:rsidR="00042148">
        <w:br/>
      </w:r>
      <w:r w:rsidR="00042148">
        <w:rPr>
          <w:i/>
          <w:iCs/>
        </w:rPr>
        <w:t>How green innovation affects carbon emissions: The moderating role of climate policy uncertainty and digital transformation.</w:t>
      </w:r>
      <w:r w:rsidR="00042148">
        <w:br/>
        <w:t>Advances in Economics, Management and Policy Studies. </w:t>
      </w:r>
      <w:hyperlink r:id="rId1" w:history="1">
        <w:r w:rsidR="00042148" w:rsidRPr="005D280A">
          <w:rPr>
            <w:rStyle w:val="Hyperlink"/>
          </w:rPr>
          <w:t>https://doi.org/10.54254/2754-1169/2026.GT34542ewapub</w:t>
        </w:r>
      </w:hyperlink>
    </w:p>
    <w:p w14:paraId="25ACE531" w14:textId="77777777" w:rsidR="00042148" w:rsidRDefault="00042148" w:rsidP="00042148">
      <w:pPr>
        <w:pStyle w:val="CommentText"/>
      </w:pPr>
    </w:p>
    <w:p w14:paraId="74E157EC" w14:textId="77777777" w:rsidR="00042148" w:rsidRDefault="00042148" w:rsidP="00042148">
      <w:pPr>
        <w:pStyle w:val="CommentText"/>
      </w:pPr>
      <w:r>
        <w:t>-- Showed positive relationship between green innovation and corporate carbon performance; this relationship is moderated by changing climate policy</w:t>
      </w:r>
    </w:p>
    <w:p w14:paraId="03F6F1BF" w14:textId="77777777" w:rsidR="00042148" w:rsidRDefault="00042148" w:rsidP="00042148">
      <w:pPr>
        <w:pStyle w:val="CommentText"/>
      </w:pPr>
    </w:p>
    <w:p w14:paraId="33A4ED5A" w14:textId="77777777" w:rsidR="00042148" w:rsidRDefault="00042148" w:rsidP="00042148">
      <w:pPr>
        <w:pStyle w:val="CommentText"/>
      </w:pPr>
    </w:p>
    <w:p w14:paraId="59325BAD" w14:textId="77777777" w:rsidR="00042148" w:rsidRDefault="00042148" w:rsidP="00042148">
      <w:pPr>
        <w:pStyle w:val="CommentText"/>
      </w:pPr>
      <w:r>
        <w:t>Xie, J., &amp; Wang, Y. (2024).</w:t>
      </w:r>
      <w:r>
        <w:br/>
      </w:r>
      <w:r>
        <w:rPr>
          <w:i/>
          <w:iCs/>
        </w:rPr>
        <w:t>Does enterprise green innovation contribute to carbon emission reduction? Evidence from China.</w:t>
      </w:r>
      <w:r>
        <w:br/>
        <w:t xml:space="preserve">Frontiers in Environmental Science, 12. </w:t>
      </w:r>
      <w:hyperlink r:id="rId2" w:history="1">
        <w:r w:rsidRPr="005D280A">
          <w:rPr>
            <w:rStyle w:val="Hyperlink"/>
          </w:rPr>
          <w:t>https://doi.org/10.3389/fenvs.2024.1519258</w:t>
        </w:r>
      </w:hyperlink>
    </w:p>
    <w:p w14:paraId="7BF3EEB6" w14:textId="77777777" w:rsidR="00042148" w:rsidRDefault="00042148" w:rsidP="00042148">
      <w:pPr>
        <w:pStyle w:val="CommentText"/>
      </w:pPr>
    </w:p>
    <w:p w14:paraId="5819A76A" w14:textId="77777777" w:rsidR="00042148" w:rsidRDefault="00042148" w:rsidP="00042148">
      <w:pPr>
        <w:pStyle w:val="CommentText"/>
      </w:pPr>
      <w:r>
        <w:t>-- Green innovation reduces carbon emissions through improvements in energy efficiency and</w:t>
      </w:r>
    </w:p>
    <w:p w14:paraId="6B386B8A" w14:textId="77777777" w:rsidR="00042148" w:rsidRDefault="00042148" w:rsidP="00042148">
      <w:pPr>
        <w:pStyle w:val="CommentText"/>
      </w:pPr>
      <w:r>
        <w:t>specialization of enterprise management.</w:t>
      </w:r>
    </w:p>
    <w:p w14:paraId="44975F41" w14:textId="77777777" w:rsidR="00042148" w:rsidRDefault="00042148" w:rsidP="00042148">
      <w:pPr>
        <w:pStyle w:val="CommentText"/>
      </w:pPr>
    </w:p>
  </w:comment>
  <w:comment w:id="7" w:author="Rodrigo, Liyanage" w:date="2026-06-06T12:05:00Z" w:initials="LR">
    <w:p w14:paraId="7EB23BDD" w14:textId="213890C8" w:rsidR="00A53F7A" w:rsidRDefault="007144CC" w:rsidP="00A53F7A">
      <w:pPr>
        <w:pStyle w:val="CommentText"/>
      </w:pPr>
      <w:r>
        <w:rPr>
          <w:rStyle w:val="CommentReference"/>
        </w:rPr>
        <w:annotationRef/>
      </w:r>
      <w:r w:rsidR="00A53F7A">
        <w:t xml:space="preserve">We need to expand the contribution section by integrating recent papers in the field. Please add findings of related papers recently published in the field. </w:t>
      </w:r>
    </w:p>
  </w:comment>
  <w:comment w:id="9" w:author="Wagner, Michael (wagneml)" w:date="2026-06-28T17:14:00Z" w:initials="MW">
    <w:p w14:paraId="5946666B" w14:textId="77777777" w:rsidR="00C87E55" w:rsidRDefault="00D06BE9" w:rsidP="00C87E55">
      <w:pPr>
        <w:pStyle w:val="CommentText"/>
      </w:pPr>
      <w:r>
        <w:rPr>
          <w:rStyle w:val="CommentReference"/>
        </w:rPr>
        <w:annotationRef/>
      </w:r>
      <w:r w:rsidR="00C87E55">
        <w:t xml:space="preserve">Updated cite: </w:t>
      </w:r>
    </w:p>
    <w:p w14:paraId="7CD3ED69" w14:textId="77777777" w:rsidR="00C87E55" w:rsidRDefault="00C87E55" w:rsidP="00C87E55">
      <w:pPr>
        <w:pStyle w:val="CommentText"/>
      </w:pPr>
    </w:p>
    <w:p w14:paraId="1786FC70" w14:textId="77777777" w:rsidR="00C87E55" w:rsidRDefault="00C87E55" w:rsidP="00C87E55">
      <w:pPr>
        <w:pStyle w:val="CommentText"/>
      </w:pPr>
      <w:r>
        <w:t xml:space="preserve">Ministry of Environment, Science, Technology and Innovation (MESTI). (2021). </w:t>
      </w:r>
      <w:r>
        <w:rPr>
          <w:i/>
          <w:iCs/>
        </w:rPr>
        <w:t>Ghana: Updated nationally determined contribution under the Paris Agreement (2020–2030).</w:t>
      </w:r>
      <w:r>
        <w:t xml:space="preserve"> Environmental Protection Agency, Accra.</w:t>
      </w:r>
    </w:p>
  </w:comment>
  <w:comment w:id="10" w:author="Rodrigo, Liyanage" w:date="2026-06-06T12:17:00Z" w:initials="LR">
    <w:p w14:paraId="101502AA" w14:textId="02A2B6BD" w:rsidR="00CA2E4A" w:rsidRDefault="00CA2E4A" w:rsidP="00CA2E4A">
      <w:pPr>
        <w:pStyle w:val="CommentText"/>
      </w:pPr>
      <w:r>
        <w:rPr>
          <w:rStyle w:val="CommentReference"/>
        </w:rPr>
        <w:annotationRef/>
      </w:r>
      <w:r>
        <w:t>Section needs to be revised and improved like above theoretical framework. Please use write NIT in full in the whole paper.</w:t>
      </w:r>
    </w:p>
  </w:comment>
  <w:comment w:id="15" w:author="Rodrigo, Liyanage" w:date="2026-06-06T12:22:00Z" w:initials="LR">
    <w:p w14:paraId="3EAAA453" w14:textId="77777777" w:rsidR="00CA2E4A" w:rsidRDefault="00CA2E4A" w:rsidP="00CA2E4A">
      <w:pPr>
        <w:pStyle w:val="CommentText"/>
      </w:pPr>
      <w:r>
        <w:rPr>
          <w:rStyle w:val="CommentReference"/>
        </w:rPr>
        <w:annotationRef/>
      </w:r>
      <w:r>
        <w:t>Figure not attached. We have to out the conceptual framework here.</w:t>
      </w:r>
    </w:p>
  </w:comment>
  <w:comment w:id="17" w:author="Rodrigo, Liyanage" w:date="2026-06-06T12:08:00Z" w:initials="LR">
    <w:p w14:paraId="64D04439" w14:textId="541A9BA8" w:rsidR="007144CC" w:rsidRDefault="007144CC" w:rsidP="007144CC">
      <w:pPr>
        <w:pStyle w:val="CommentText"/>
      </w:pPr>
      <w:r>
        <w:rPr>
          <w:rStyle w:val="CommentReference"/>
        </w:rPr>
        <w:annotationRef/>
      </w:r>
      <w:r>
        <w:t>May remove the exact date since is too old say data collect was done in 6 months</w:t>
      </w:r>
    </w:p>
  </w:comment>
  <w:comment w:id="18" w:author="Douglas Adu (staff)" w:date="2026-03-08T00:17:00Z" w:initials="DA">
    <w:p w14:paraId="317A9F5F" w14:textId="77777777" w:rsidR="007144CC" w:rsidRDefault="007144CC" w:rsidP="00B443AF">
      <w:pPr>
        <w:pStyle w:val="CommentText"/>
      </w:pPr>
      <w:r>
        <w:rPr>
          <w:rStyle w:val="CommentReference"/>
        </w:rPr>
        <w:annotationRef/>
      </w:r>
      <w:r>
        <w:t>Please cite recent papers</w:t>
      </w:r>
    </w:p>
  </w:comment>
  <w:comment w:id="19" w:author="Wagner, Michael (wagneml)" w:date="2026-06-17T15:56:00Z" w:initials="MW">
    <w:p w14:paraId="2754604A" w14:textId="77777777" w:rsidR="00156570" w:rsidRDefault="00BE33BF" w:rsidP="00156570">
      <w:pPr>
        <w:pStyle w:val="CommentText"/>
      </w:pPr>
      <w:r>
        <w:rPr>
          <w:rStyle w:val="CommentReference"/>
        </w:rPr>
        <w:annotationRef/>
      </w:r>
      <w:r w:rsidR="00156570">
        <w:t>These are a couple of papers I have cited for model fit – I have seen them cited frequently:</w:t>
      </w:r>
    </w:p>
    <w:p w14:paraId="6AFEC182" w14:textId="77777777" w:rsidR="00156570" w:rsidRDefault="00156570" w:rsidP="00156570">
      <w:pPr>
        <w:pStyle w:val="CommentText"/>
      </w:pPr>
    </w:p>
    <w:p w14:paraId="4A529522" w14:textId="77777777" w:rsidR="00156570" w:rsidRDefault="00156570" w:rsidP="00156570">
      <w:pPr>
        <w:pStyle w:val="CommentText"/>
      </w:pPr>
      <w:r>
        <w:t>Hu, L. T., &amp; Bentler, P. M. (1999).</w:t>
      </w:r>
      <w:r>
        <w:br/>
      </w:r>
      <w:r>
        <w:rPr>
          <w:i/>
          <w:iCs/>
        </w:rPr>
        <w:t>Cutoff criteria for fit indexes in covariance structure analysis: Conventional criteria versus new alternatives.</w:t>
      </w:r>
      <w:r>
        <w:br/>
        <w:t>Structural Equation Modeling, 6(1), 1–55. https://doi.org/10.1080/10705519909540118</w:t>
      </w:r>
    </w:p>
    <w:p w14:paraId="5D300B66" w14:textId="77777777" w:rsidR="00156570" w:rsidRDefault="00156570" w:rsidP="00156570">
      <w:pPr>
        <w:pStyle w:val="CommentText"/>
      </w:pPr>
    </w:p>
    <w:p w14:paraId="62B49DB3" w14:textId="77777777" w:rsidR="00156570" w:rsidRDefault="00156570" w:rsidP="00156570">
      <w:pPr>
        <w:pStyle w:val="CommentText"/>
      </w:pPr>
      <w:r>
        <w:t>Kline, R. B. (2016).</w:t>
      </w:r>
      <w:r>
        <w:br/>
      </w:r>
      <w:r>
        <w:rPr>
          <w:i/>
          <w:iCs/>
        </w:rPr>
        <w:t>Principles and practice of structural equation modeling</w:t>
      </w:r>
      <w:r>
        <w:t xml:space="preserve"> (4th ed.). Guilford Press.</w:t>
      </w:r>
    </w:p>
  </w:comment>
  <w:comment w:id="20" w:author="Douglas Adu (staff)" w:date="2026-03-08T00:17:00Z" w:initials="DA">
    <w:p w14:paraId="4840D9F3" w14:textId="78B2C6B7" w:rsidR="007144CC" w:rsidRDefault="007144CC" w:rsidP="00B443AF">
      <w:pPr>
        <w:pStyle w:val="CommentText"/>
      </w:pPr>
      <w:r>
        <w:rPr>
          <w:rStyle w:val="CommentReference"/>
        </w:rPr>
        <w:annotationRef/>
      </w:r>
      <w:r>
        <w:t>Please cite recent papers</w:t>
      </w:r>
    </w:p>
  </w:comment>
  <w:comment w:id="21" w:author="Wagner, Michael (wagneml)" w:date="2026-06-17T15:59:00Z" w:initials="MW">
    <w:p w14:paraId="51DD0829" w14:textId="77777777" w:rsidR="000912E8" w:rsidRDefault="0055215A" w:rsidP="000912E8">
      <w:pPr>
        <w:pStyle w:val="CommentText"/>
      </w:pPr>
      <w:r>
        <w:rPr>
          <w:rStyle w:val="CommentReference"/>
        </w:rPr>
        <w:annotationRef/>
      </w:r>
      <w:r w:rsidR="000912E8">
        <w:t>This cite is not in reference list. Is this the intended cite?</w:t>
      </w:r>
    </w:p>
    <w:p w14:paraId="278EE889" w14:textId="77777777" w:rsidR="000912E8" w:rsidRDefault="000912E8" w:rsidP="000912E8">
      <w:pPr>
        <w:pStyle w:val="CommentText"/>
      </w:pPr>
    </w:p>
    <w:p w14:paraId="307B88DE" w14:textId="77777777" w:rsidR="000912E8" w:rsidRDefault="000912E8" w:rsidP="000912E8">
      <w:pPr>
        <w:pStyle w:val="CommentText"/>
      </w:pPr>
      <w:r>
        <w:t xml:space="preserve">Gerschewski, S., Rose, E. L., &amp; Lindsay, V. J. (2015). </w:t>
      </w:r>
      <w:r>
        <w:rPr>
          <w:i/>
          <w:iCs/>
        </w:rPr>
        <w:t>Understanding the drivers of international performance for born global firms: An integrated perspective</w:t>
      </w:r>
      <w:r>
        <w:t>. Journal of World Business, 50(3), 558–575. https://doi.org/10.1016/j.jwb.2014.09.001</w:t>
      </w:r>
    </w:p>
    <w:p w14:paraId="0E3E6FDD" w14:textId="77777777" w:rsidR="000912E8" w:rsidRDefault="000912E8" w:rsidP="000912E8">
      <w:pPr>
        <w:pStyle w:val="CommentText"/>
      </w:pPr>
    </w:p>
    <w:p w14:paraId="0C562224" w14:textId="77777777" w:rsidR="000912E8" w:rsidRDefault="000912E8" w:rsidP="000912E8">
      <w:pPr>
        <w:pStyle w:val="CommentText"/>
      </w:pPr>
    </w:p>
    <w:p w14:paraId="7D88F473" w14:textId="77777777" w:rsidR="000912E8" w:rsidRDefault="000912E8" w:rsidP="000912E8">
      <w:pPr>
        <w:pStyle w:val="CommentText"/>
      </w:pPr>
      <w:r>
        <w:t>I cannot find these survey items mentiond in the paragraph in the Gerschewski et al. study.</w:t>
      </w:r>
    </w:p>
  </w:comment>
  <w:comment w:id="22" w:author="Douglas Adu (staff)" w:date="2026-03-08T00:17:00Z" w:initials="DA">
    <w:p w14:paraId="7AF62DD5" w14:textId="4777E6CE" w:rsidR="007144CC" w:rsidRDefault="007144CC" w:rsidP="00B443AF">
      <w:pPr>
        <w:pStyle w:val="CommentText"/>
      </w:pPr>
      <w:r>
        <w:rPr>
          <w:rStyle w:val="CommentReference"/>
        </w:rPr>
        <w:annotationRef/>
      </w:r>
      <w:r>
        <w:t>Please cite recent papers</w:t>
      </w:r>
    </w:p>
  </w:comment>
  <w:comment w:id="23" w:author="Wagner, Michael (wagneml)" w:date="2026-06-28T17:24:00Z" w:initials="MW">
    <w:p w14:paraId="2E8AA11E" w14:textId="77777777" w:rsidR="00482D2F" w:rsidRDefault="00041279" w:rsidP="00482D2F">
      <w:pPr>
        <w:pStyle w:val="CommentText"/>
      </w:pPr>
      <w:r>
        <w:rPr>
          <w:rStyle w:val="CommentReference"/>
        </w:rPr>
        <w:annotationRef/>
      </w:r>
      <w:r w:rsidR="00482D2F">
        <w:t xml:space="preserve">Adu, D. A., Chen, X. H., Hasan, M., Zhu, X., &amp; Jellason, N. (2023). </w:t>
      </w:r>
      <w:r w:rsidR="00482D2F">
        <w:rPr>
          <w:i/>
          <w:iCs/>
        </w:rPr>
        <w:t>The relationship between entrepreneurial energy efficiency orientation and carbon footprint reduction: The mediating role of green networking and identification of barriers to green practices</w:t>
      </w:r>
      <w:r w:rsidR="00482D2F">
        <w:t>. Journal of Environmental Management, 347, 119256.</w:t>
      </w:r>
    </w:p>
    <w:p w14:paraId="1753C64E" w14:textId="77777777" w:rsidR="00482D2F" w:rsidRDefault="00482D2F" w:rsidP="00482D2F">
      <w:pPr>
        <w:pStyle w:val="CommentText"/>
      </w:pPr>
    </w:p>
    <w:p w14:paraId="4666BDDB" w14:textId="77777777" w:rsidR="00482D2F" w:rsidRDefault="00482D2F" w:rsidP="00482D2F">
      <w:pPr>
        <w:pStyle w:val="CommentText"/>
      </w:pPr>
      <w:r>
        <w:t>-- Scale adapts items from Karami and Tang (2019)</w:t>
      </w:r>
    </w:p>
  </w:comment>
  <w:comment w:id="24" w:author="Douglas Adu (staff)" w:date="2026-03-08T00:17:00Z" w:initials="DA">
    <w:p w14:paraId="514931C6" w14:textId="77CDB1CA" w:rsidR="007144CC" w:rsidRDefault="007144CC" w:rsidP="00B443AF">
      <w:pPr>
        <w:pStyle w:val="CommentText"/>
      </w:pPr>
      <w:r>
        <w:rPr>
          <w:rStyle w:val="CommentReference"/>
        </w:rPr>
        <w:annotationRef/>
      </w:r>
      <w:r>
        <w:t>Please cite recent papers</w:t>
      </w:r>
    </w:p>
  </w:comment>
  <w:comment w:id="25" w:author="Wagner, Michael (wagneml)" w:date="2026-06-28T17:24:00Z" w:initials="MW">
    <w:p w14:paraId="20C322CA" w14:textId="4991733F" w:rsidR="00677083" w:rsidRDefault="00677083" w:rsidP="00677083">
      <w:pPr>
        <w:pStyle w:val="CommentText"/>
      </w:pPr>
      <w:r>
        <w:rPr>
          <w:rStyle w:val="CommentReference"/>
        </w:rPr>
        <w:annotationRef/>
      </w:r>
      <w:r>
        <w:t xml:space="preserve">Adu, D. A., Chen, X. H., Hasan, M., Zhu, X., &amp; Jellason, N. (2023). </w:t>
      </w:r>
      <w:r>
        <w:rPr>
          <w:i/>
          <w:iCs/>
        </w:rPr>
        <w:t>The relationship between entrepreneurial energy efficiency orientation and carbon footprint reduction: The mediating role of green networking and identification of barriers to green practices</w:t>
      </w:r>
      <w:r>
        <w:t xml:space="preserve">. </w:t>
      </w:r>
      <w:r>
        <w:rPr>
          <w:b/>
          <w:bCs/>
        </w:rPr>
        <w:t>Journal of Environmental Management, 347</w:t>
      </w:r>
      <w:r>
        <w:t>, 119256.</w:t>
      </w:r>
    </w:p>
  </w:comment>
  <w:comment w:id="26" w:author="Wagner, Michael (wagneml)" w:date="2026-06-28T17:40:00Z" w:initials="MW">
    <w:p w14:paraId="610021A9" w14:textId="0D9F006C" w:rsidR="005A6FB9" w:rsidRDefault="00C25C39" w:rsidP="005A6FB9">
      <w:pPr>
        <w:pStyle w:val="CommentText"/>
      </w:pPr>
      <w:r>
        <w:rPr>
          <w:rStyle w:val="CommentReference"/>
        </w:rPr>
        <w:annotationRef/>
      </w:r>
      <w:r w:rsidR="005A6FB9">
        <w:t xml:space="preserve">Chen et al. (2009) is not in references list. </w:t>
      </w:r>
    </w:p>
    <w:p w14:paraId="5D1847D4" w14:textId="77777777" w:rsidR="005A6FB9" w:rsidRDefault="005A6FB9" w:rsidP="005A6FB9">
      <w:pPr>
        <w:pStyle w:val="CommentText"/>
      </w:pPr>
    </w:p>
    <w:p w14:paraId="07887E64" w14:textId="77777777" w:rsidR="005A6FB9" w:rsidRDefault="005A6FB9" w:rsidP="005A6FB9">
      <w:pPr>
        <w:pStyle w:val="CommentText"/>
      </w:pPr>
      <w:r>
        <w:t>I have looked through the recent Olekanma et al studies, for Chen references. I have gone back and read those references, but I don’t see any use of a Green Networking scale in those studies.</w:t>
      </w:r>
    </w:p>
    <w:p w14:paraId="1A6564CC" w14:textId="77777777" w:rsidR="005A6FB9" w:rsidRDefault="005A6FB9" w:rsidP="005A6FB9">
      <w:pPr>
        <w:pStyle w:val="CommentText"/>
      </w:pPr>
    </w:p>
    <w:p w14:paraId="51DEF97F" w14:textId="77777777" w:rsidR="005A6FB9" w:rsidRDefault="005A6FB9" w:rsidP="005A6FB9">
      <w:pPr>
        <w:pStyle w:val="CommentText"/>
      </w:pPr>
      <w:r>
        <w:t>Please provide the APA cite for Chen 2009</w:t>
      </w:r>
    </w:p>
  </w:comment>
  <w:comment w:id="27" w:author="Wagner, Michael (wagneml)" w:date="2026-06-28T17:56:00Z" w:initials="MW">
    <w:p w14:paraId="2504C8F6" w14:textId="19B93C70" w:rsidR="00575B51" w:rsidRDefault="00575B51" w:rsidP="00575B51">
      <w:pPr>
        <w:pStyle w:val="CommentText"/>
      </w:pPr>
      <w:r>
        <w:rPr>
          <w:rStyle w:val="CommentReference"/>
        </w:rPr>
        <w:annotationRef/>
      </w:r>
      <w:r>
        <w:t>Uses Chen et al.’s (2009) scale:</w:t>
      </w:r>
    </w:p>
    <w:p w14:paraId="439E5A43" w14:textId="77777777" w:rsidR="00575B51" w:rsidRDefault="00575B51" w:rsidP="00575B51">
      <w:pPr>
        <w:pStyle w:val="CommentText"/>
      </w:pPr>
    </w:p>
    <w:p w14:paraId="08A5AB4F" w14:textId="77777777" w:rsidR="00575B51" w:rsidRDefault="00575B51" w:rsidP="00575B51">
      <w:pPr>
        <w:pStyle w:val="CommentText"/>
      </w:pPr>
      <w:r>
        <w:t xml:space="preserve">Huang, J.-W., &amp; Li, Y.-H. (2017). Green innovation and performance: The view of organizational capability and social reciprocity. Journal of Business Ethics, 145(2), 309–324. https://doi.org/10.1007/s10551-015-2903-y </w:t>
      </w:r>
    </w:p>
  </w:comment>
  <w:comment w:id="28" w:author="Douglas Adu (staff)" w:date="2026-03-08T00:18:00Z" w:initials="DA">
    <w:p w14:paraId="00075A44" w14:textId="77777777" w:rsidR="007144CC" w:rsidRDefault="007144CC" w:rsidP="00B443AF">
      <w:pPr>
        <w:pStyle w:val="CommentText"/>
      </w:pPr>
      <w:r>
        <w:rPr>
          <w:rStyle w:val="CommentReference"/>
        </w:rPr>
        <w:annotationRef/>
      </w:r>
      <w:r>
        <w:t>Please cite recent papers</w:t>
      </w:r>
    </w:p>
  </w:comment>
  <w:comment w:id="29" w:author="Wagner, Michael (wagneml)" w:date="2026-06-28T17:25:00Z" w:initials="MW">
    <w:p w14:paraId="5A783997" w14:textId="77777777" w:rsidR="00677083" w:rsidRDefault="00677083" w:rsidP="00677083">
      <w:pPr>
        <w:pStyle w:val="CommentText"/>
      </w:pPr>
      <w:r>
        <w:rPr>
          <w:rStyle w:val="CommentReference"/>
        </w:rPr>
        <w:annotationRef/>
      </w:r>
      <w:r>
        <w:t xml:space="preserve">Adu, D. A., Chen, X. H., Hasan, M., Zhu, X., &amp; Jellason, N. (2023). </w:t>
      </w:r>
      <w:r>
        <w:rPr>
          <w:i/>
          <w:iCs/>
        </w:rPr>
        <w:t>The relationship between entrepreneurial energy efficiency orientation and carbon footprint reduction: The mediating role of green networking and identification of barriers to green practices</w:t>
      </w:r>
      <w:r>
        <w:t xml:space="preserve">. </w:t>
      </w:r>
      <w:r>
        <w:rPr>
          <w:b/>
          <w:bCs/>
        </w:rPr>
        <w:t>Journal of Environmental Management, 347</w:t>
      </w:r>
      <w:r>
        <w:t>, 119256.</w:t>
      </w:r>
    </w:p>
  </w:comment>
  <w:comment w:id="31" w:author="Douglas Adu (staff)" w:date="2026-03-08T00:18:00Z" w:initials="DA">
    <w:p w14:paraId="351E944F" w14:textId="77777777" w:rsidR="007144CC" w:rsidRDefault="007144CC" w:rsidP="00B443AF">
      <w:pPr>
        <w:pStyle w:val="CommentText"/>
      </w:pPr>
      <w:r>
        <w:rPr>
          <w:rStyle w:val="CommentReference"/>
        </w:rPr>
        <w:annotationRef/>
      </w:r>
      <w:r>
        <w:t>Please cite recent papers</w:t>
      </w:r>
    </w:p>
  </w:comment>
  <w:comment w:id="30" w:author="Wagner, Michael (wagneml)" w:date="2026-06-28T17:40:00Z" w:initials="MW">
    <w:p w14:paraId="1D3125E2" w14:textId="77777777" w:rsidR="00B52698" w:rsidRDefault="00A35A51" w:rsidP="00B52698">
      <w:pPr>
        <w:pStyle w:val="CommentText"/>
      </w:pPr>
      <w:r>
        <w:rPr>
          <w:rStyle w:val="CommentReference"/>
        </w:rPr>
        <w:annotationRef/>
      </w:r>
      <w:r w:rsidR="00B52698">
        <w:t>See above comment on Chen et al. (2006)</w:t>
      </w:r>
    </w:p>
  </w:comment>
  <w:comment w:id="33" w:author="Wagner, Michael (wagneml)" w:date="2026-06-28T18:49:00Z" w:initials="MW">
    <w:p w14:paraId="2A0FD284" w14:textId="77777777" w:rsidR="005A6FB9" w:rsidRDefault="00853714" w:rsidP="005A6FB9">
      <w:pPr>
        <w:pStyle w:val="CommentText"/>
      </w:pPr>
      <w:r>
        <w:rPr>
          <w:rStyle w:val="CommentReference"/>
        </w:rPr>
        <w:annotationRef/>
      </w:r>
      <w:r w:rsidR="005A6FB9">
        <w:t>Note that Zahra et al. 2000 is not in reference list. Do you mean:</w:t>
      </w:r>
    </w:p>
    <w:p w14:paraId="3C0BEB6B" w14:textId="77777777" w:rsidR="005A6FB9" w:rsidRDefault="005A6FB9" w:rsidP="005A6FB9">
      <w:pPr>
        <w:pStyle w:val="CommentText"/>
      </w:pPr>
    </w:p>
    <w:p w14:paraId="30533D11" w14:textId="77777777" w:rsidR="005A6FB9" w:rsidRDefault="005A6FB9" w:rsidP="005A6FB9">
      <w:pPr>
        <w:pStyle w:val="CommentText"/>
      </w:pPr>
      <w:r>
        <w:t>Zahra, S. A., &amp; Garvis, D. M. (2000). International Corporate Entrepreneurship and Firm</w:t>
      </w:r>
    </w:p>
    <w:p w14:paraId="045A7CD0" w14:textId="77777777" w:rsidR="005A6FB9" w:rsidRDefault="005A6FB9" w:rsidP="005A6FB9">
      <w:pPr>
        <w:pStyle w:val="CommentText"/>
      </w:pPr>
      <w:r>
        <w:t>Performance: The Moderating Effect of International Environmental Hostility. Journal</w:t>
      </w:r>
    </w:p>
    <w:p w14:paraId="1E72DD8E" w14:textId="77777777" w:rsidR="005A6FB9" w:rsidRDefault="005A6FB9" w:rsidP="005A6FB9">
      <w:pPr>
        <w:pStyle w:val="CommentText"/>
      </w:pPr>
      <w:r>
        <w:t>of Business Venturing, 15, 469-492.</w:t>
      </w:r>
    </w:p>
    <w:p w14:paraId="37AA4796" w14:textId="77777777" w:rsidR="005A6FB9" w:rsidRDefault="005A6FB9" w:rsidP="005A6FB9">
      <w:pPr>
        <w:pStyle w:val="CommentText"/>
      </w:pPr>
    </w:p>
    <w:p w14:paraId="1A890569" w14:textId="77777777" w:rsidR="005A6FB9" w:rsidRDefault="005A6FB9" w:rsidP="005A6FB9">
      <w:pPr>
        <w:pStyle w:val="CommentText"/>
      </w:pPr>
    </w:p>
    <w:p w14:paraId="15A13E4D" w14:textId="77777777" w:rsidR="005A6FB9" w:rsidRDefault="005A6FB9" w:rsidP="005A6FB9">
      <w:pPr>
        <w:pStyle w:val="CommentText"/>
      </w:pPr>
      <w:r>
        <w:t>This article used firm size as a control variable in carbon emissions - I would use this instead of Zahra at el 2000:</w:t>
      </w:r>
    </w:p>
    <w:p w14:paraId="65DFC971" w14:textId="77777777" w:rsidR="005A6FB9" w:rsidRDefault="005A6FB9" w:rsidP="005A6FB9">
      <w:pPr>
        <w:pStyle w:val="CommentText"/>
      </w:pPr>
    </w:p>
    <w:p w14:paraId="3336FE1A" w14:textId="77777777" w:rsidR="005A6FB9" w:rsidRDefault="005A6FB9" w:rsidP="005A6FB9">
      <w:pPr>
        <w:pStyle w:val="CommentText"/>
      </w:pPr>
      <w:r>
        <w:t xml:space="preserve">Alremeithi, A., Jabeen, F., Farouk, S., &amp; Alshibani, S. M. (2026). Sustainability transitions in SMEs: Investigating net‑zero adoption, carbon footprint reduction, and performance outcomes. Corporate Social Responsibility and Environmental Management. </w:t>
      </w:r>
    </w:p>
  </w:comment>
  <w:comment w:id="32" w:author="Douglas Adu (staff)" w:date="2026-03-08T00:18:00Z" w:initials="DA">
    <w:p w14:paraId="712C579D" w14:textId="77777777" w:rsidR="007144CC" w:rsidRDefault="007144CC" w:rsidP="00B443AF">
      <w:pPr>
        <w:pStyle w:val="CommentText"/>
      </w:pPr>
      <w:r>
        <w:rPr>
          <w:rStyle w:val="CommentReference"/>
        </w:rPr>
        <w:annotationRef/>
      </w:r>
      <w:r>
        <w:t>Please cite recent papers</w:t>
      </w:r>
    </w:p>
  </w:comment>
  <w:comment w:id="34" w:author="Douglas Adu (staff)" w:date="2026-03-08T00:19:00Z" w:initials="DA">
    <w:p w14:paraId="4D2A235C" w14:textId="77777777" w:rsidR="007144CC" w:rsidRDefault="007144CC" w:rsidP="00E94958">
      <w:pPr>
        <w:pStyle w:val="CommentText"/>
      </w:pPr>
      <w:r>
        <w:rPr>
          <w:rStyle w:val="CommentReference"/>
        </w:rPr>
        <w:annotationRef/>
      </w:r>
      <w:r>
        <w:t>Please cite recent papers</w:t>
      </w:r>
    </w:p>
  </w:comment>
  <w:comment w:id="35" w:author="Wagner, Michael (wagneml)" w:date="2026-06-30T09:51:00Z" w:initials="MW">
    <w:p w14:paraId="25260379" w14:textId="77777777" w:rsidR="00A2469D" w:rsidRDefault="00C75789" w:rsidP="00A2469D">
      <w:pPr>
        <w:pStyle w:val="CommentText"/>
      </w:pPr>
      <w:r>
        <w:rPr>
          <w:rStyle w:val="CommentReference"/>
        </w:rPr>
        <w:annotationRef/>
      </w:r>
      <w:r w:rsidR="00A2469D">
        <w:t>I cannot find Adu 2022 in reference list. I looked at Adu 2023b instead.</w:t>
      </w:r>
    </w:p>
    <w:p w14:paraId="3E600E60" w14:textId="77777777" w:rsidR="00A2469D" w:rsidRDefault="00A2469D" w:rsidP="00A2469D">
      <w:pPr>
        <w:pStyle w:val="CommentText"/>
      </w:pPr>
    </w:p>
    <w:p w14:paraId="0614556A" w14:textId="77777777" w:rsidR="00A2469D" w:rsidRDefault="00A2469D" w:rsidP="00A2469D">
      <w:pPr>
        <w:pStyle w:val="CommentText"/>
      </w:pPr>
      <w:r>
        <w:t>Here are newer references to support this argument:</w:t>
      </w:r>
    </w:p>
    <w:p w14:paraId="551D837F" w14:textId="77777777" w:rsidR="00A2469D" w:rsidRDefault="00A2469D" w:rsidP="00A2469D">
      <w:pPr>
        <w:pStyle w:val="CommentText"/>
      </w:pPr>
    </w:p>
    <w:p w14:paraId="684A7D9F" w14:textId="77777777" w:rsidR="00A2469D" w:rsidRDefault="00A2469D" w:rsidP="00A2469D">
      <w:pPr>
        <w:pStyle w:val="CommentText"/>
      </w:pPr>
      <w:r>
        <w:t xml:space="preserve">Rahal, S., Alzubi, A., &amp; Iyiola, K. (2026). How sustainability orientation drives pro-environmental behavior in entrepreneurial firms: The roles of social support and sustainable entrepreneurship. </w:t>
      </w:r>
      <w:r>
        <w:rPr>
          <w:i/>
          <w:iCs/>
        </w:rPr>
        <w:t>Sustainability, 18(</w:t>
      </w:r>
      <w:r>
        <w:t xml:space="preserve">4), 2113. https://doi.org/10.3390/su18042113 </w:t>
      </w:r>
    </w:p>
    <w:p w14:paraId="0CC2187A" w14:textId="77777777" w:rsidR="00A2469D" w:rsidRDefault="00A2469D" w:rsidP="00A2469D">
      <w:pPr>
        <w:pStyle w:val="CommentText"/>
      </w:pPr>
    </w:p>
    <w:p w14:paraId="0D31C063" w14:textId="77777777" w:rsidR="00A2469D" w:rsidRDefault="00A2469D" w:rsidP="00A2469D">
      <w:pPr>
        <w:pStyle w:val="CommentText"/>
      </w:pPr>
      <w:r>
        <w:t xml:space="preserve">-- “In entrepreneurial firms, particularly SMEs, sustainability orientation is strongly shaped by founders’ and top managers’ personal values due to their central role in strategic choices and resource allocation.” </w:t>
      </w:r>
    </w:p>
    <w:p w14:paraId="48AE550E" w14:textId="77777777" w:rsidR="00A2469D" w:rsidRDefault="00A2469D" w:rsidP="00A2469D">
      <w:pPr>
        <w:pStyle w:val="CommentText"/>
      </w:pPr>
    </w:p>
    <w:p w14:paraId="6301D1AD" w14:textId="77777777" w:rsidR="00A2469D" w:rsidRDefault="00A2469D" w:rsidP="00A2469D">
      <w:pPr>
        <w:pStyle w:val="CommentText"/>
      </w:pPr>
    </w:p>
    <w:p w14:paraId="57D5C0A6" w14:textId="77777777" w:rsidR="00A2469D" w:rsidRDefault="00A2469D" w:rsidP="00A2469D">
      <w:pPr>
        <w:pStyle w:val="CommentText"/>
      </w:pPr>
      <w:r>
        <w:t>Sabihaini, Kurniawan, A., Prasetio, J. E., &amp; Rusdiyanto. (2024). Environmental analysis and impact on green business strategy and performance in SMEs post the Covid-19 pandemic. Cogent Economics &amp; Finance, 12(1), 2330428. https://doi.org/10.1080/23322039.2024.2330428</w:t>
      </w:r>
    </w:p>
    <w:p w14:paraId="3E4C823D" w14:textId="77777777" w:rsidR="00A2469D" w:rsidRDefault="00A2469D" w:rsidP="00A2469D">
      <w:pPr>
        <w:pStyle w:val="CommentText"/>
      </w:pPr>
    </w:p>
    <w:p w14:paraId="777E1A76" w14:textId="77777777" w:rsidR="00A2469D" w:rsidRDefault="00A2469D" w:rsidP="00A2469D">
      <w:pPr>
        <w:pStyle w:val="CommentText"/>
      </w:pPr>
      <w:r>
        <w:t>-- “Environmental orientation has a positive and significant influence on green business strategy…”</w:t>
      </w:r>
    </w:p>
  </w:comment>
  <w:comment w:id="36" w:author="Douglas Adu (staff)" w:date="2026-03-08T00:18:00Z" w:initials="DA">
    <w:p w14:paraId="649B6E0A" w14:textId="165D711E" w:rsidR="007144CC" w:rsidRDefault="007144CC" w:rsidP="00E94958">
      <w:pPr>
        <w:pStyle w:val="CommentText"/>
      </w:pPr>
      <w:r>
        <w:rPr>
          <w:rStyle w:val="CommentReference"/>
        </w:rPr>
        <w:annotationRef/>
      </w:r>
      <w:r>
        <w:t>Please cite recent papers</w:t>
      </w:r>
    </w:p>
  </w:comment>
  <w:comment w:id="37" w:author="Wagner, Michael (wagneml)" w:date="2026-07-01T10:28:00Z" w:initials="MW">
    <w:p w14:paraId="6A182B78" w14:textId="77777777" w:rsidR="00C05518" w:rsidRDefault="00B677A2" w:rsidP="00C05518">
      <w:pPr>
        <w:pStyle w:val="CommentText"/>
      </w:pPr>
      <w:r>
        <w:rPr>
          <w:rStyle w:val="CommentReference"/>
        </w:rPr>
        <w:annotationRef/>
      </w:r>
    </w:p>
    <w:p w14:paraId="3C488478" w14:textId="77777777" w:rsidR="00C05518" w:rsidRDefault="00C05518" w:rsidP="00C05518">
      <w:pPr>
        <w:pStyle w:val="CommentText"/>
      </w:pPr>
      <w:r>
        <w:t>Here are two new cites for Gupta and Barue (2018) and Bradford and Fraser (2008):</w:t>
      </w:r>
    </w:p>
    <w:p w14:paraId="450EBC52" w14:textId="77777777" w:rsidR="00C05518" w:rsidRDefault="00C05518" w:rsidP="00C05518">
      <w:pPr>
        <w:pStyle w:val="CommentText"/>
      </w:pPr>
    </w:p>
    <w:p w14:paraId="615B6FA0" w14:textId="77777777" w:rsidR="00C05518" w:rsidRDefault="00C05518" w:rsidP="00C05518">
      <w:pPr>
        <w:pStyle w:val="CommentText"/>
      </w:pPr>
      <w:r>
        <w:t>Baquero, A. (2024). Linking green entrepreneurial orientation and ambidextrous green innovation to stimulate green performance: A moderated mediation approach. Business Process Management Journal, 30(8), 71–98. https://doi.org/10.1108/BPMJ-09-2023-0703</w:t>
      </w:r>
    </w:p>
    <w:p w14:paraId="0BD6452A" w14:textId="77777777" w:rsidR="00C05518" w:rsidRDefault="00C05518" w:rsidP="00C05518">
      <w:pPr>
        <w:pStyle w:val="CommentText"/>
      </w:pPr>
    </w:p>
    <w:p w14:paraId="36280F49" w14:textId="77777777" w:rsidR="00C05518" w:rsidRDefault="00C05518" w:rsidP="00C05518">
      <w:pPr>
        <w:pStyle w:val="CommentText"/>
      </w:pPr>
      <w:r>
        <w:t>-- “A firm’s green performance is influenced by its green entrepreneurial orientation”</w:t>
      </w:r>
    </w:p>
    <w:p w14:paraId="39DF31BF" w14:textId="77777777" w:rsidR="00C05518" w:rsidRDefault="00C05518" w:rsidP="00C05518">
      <w:pPr>
        <w:pStyle w:val="CommentText"/>
      </w:pPr>
    </w:p>
    <w:p w14:paraId="42843824" w14:textId="77777777" w:rsidR="00C05518" w:rsidRDefault="00C05518" w:rsidP="00C05518">
      <w:pPr>
        <w:pStyle w:val="CommentText"/>
      </w:pPr>
    </w:p>
    <w:p w14:paraId="656A890E" w14:textId="77777777" w:rsidR="00C05518" w:rsidRDefault="00C05518" w:rsidP="00C05518">
      <w:pPr>
        <w:pStyle w:val="CommentText"/>
      </w:pPr>
    </w:p>
    <w:p w14:paraId="4318BEF8" w14:textId="77777777" w:rsidR="00C05518" w:rsidRDefault="00C05518" w:rsidP="00C05518">
      <w:pPr>
        <w:pStyle w:val="CommentText"/>
      </w:pPr>
      <w:r>
        <w:t>Asad, M., Majali, T., Aledeinat, M., Almajali, D. A., &amp; Akhorshaideh, A. O. (2023). Green entrepreneurial orientation for enhancing SMEs financial and environmental performance: Synergetic moderation of green technology dynamism and knowledge transfer and integration. Cogent Business &amp; Management, 10(3), 2278842. https://doi.org/10.1080/23311975.2023.2278842</w:t>
      </w:r>
    </w:p>
    <w:p w14:paraId="2763049D" w14:textId="77777777" w:rsidR="00C05518" w:rsidRDefault="00C05518" w:rsidP="00C05518">
      <w:pPr>
        <w:pStyle w:val="CommentText"/>
      </w:pPr>
    </w:p>
    <w:p w14:paraId="57FF650D" w14:textId="77777777" w:rsidR="00C05518" w:rsidRDefault="00C05518" w:rsidP="00C05518">
      <w:pPr>
        <w:pStyle w:val="CommentText"/>
      </w:pPr>
      <w:r>
        <w:t>-- Green entrepreneurial orientation has a significant impact on environmental … performance”</w:t>
      </w:r>
    </w:p>
  </w:comment>
  <w:comment w:id="38" w:author="Douglas Adu (staff)" w:date="2026-03-08T00:18:00Z" w:initials="DA">
    <w:p w14:paraId="39D96BDF" w14:textId="77777777" w:rsidR="007144CC" w:rsidRDefault="007144CC" w:rsidP="00E94958">
      <w:pPr>
        <w:pStyle w:val="CommentText"/>
      </w:pPr>
      <w:r>
        <w:rPr>
          <w:rStyle w:val="CommentReference"/>
        </w:rPr>
        <w:annotationRef/>
      </w:r>
      <w:r>
        <w:t>Please cite recent papers</w:t>
      </w:r>
    </w:p>
  </w:comment>
  <w:comment w:id="39" w:author="Wagner, Michael (wagneml)" w:date="2026-06-30T16:10:00Z" w:initials="MW">
    <w:p w14:paraId="0D9338F6" w14:textId="77777777" w:rsidR="0098324B" w:rsidRDefault="00BB255C" w:rsidP="0098324B">
      <w:pPr>
        <w:pStyle w:val="CommentText"/>
      </w:pPr>
      <w:r>
        <w:rPr>
          <w:rStyle w:val="CommentReference"/>
        </w:rPr>
        <w:annotationRef/>
      </w:r>
      <w:r w:rsidR="0098324B">
        <w:t xml:space="preserve">Novianty, R., &amp; Hermanto, Y. B. (2024). Improving SME performance through entrepreneurial orientation and green innovation: The mediating role of green knowledge sharing. </w:t>
      </w:r>
      <w:r w:rsidR="0098324B">
        <w:rPr>
          <w:i/>
          <w:iCs/>
        </w:rPr>
        <w:t>Journal of Infrastructure, Policy and Development, 8</w:t>
      </w:r>
      <w:r w:rsidR="0098324B">
        <w:t xml:space="preserve">(11), 7733. </w:t>
      </w:r>
      <w:hyperlink r:id="rId3" w:history="1">
        <w:r w:rsidR="0098324B" w:rsidRPr="007A1946">
          <w:rPr>
            <w:rStyle w:val="Hyperlink"/>
          </w:rPr>
          <w:t>https://doi.org/10.24294/jipd.v8i11.7733</w:t>
        </w:r>
      </w:hyperlink>
    </w:p>
    <w:p w14:paraId="63FCDEA7" w14:textId="77777777" w:rsidR="0098324B" w:rsidRDefault="0098324B" w:rsidP="0098324B">
      <w:pPr>
        <w:pStyle w:val="CommentText"/>
      </w:pPr>
    </w:p>
    <w:p w14:paraId="76F689BA" w14:textId="77777777" w:rsidR="0098324B" w:rsidRDefault="0098324B" w:rsidP="0098324B">
      <w:pPr>
        <w:pStyle w:val="CommentText"/>
      </w:pPr>
      <w:r>
        <w:t>-“SMEs with strong EO are better equipped to undertake green innovations…”</w:t>
      </w:r>
    </w:p>
    <w:p w14:paraId="6B0E9556" w14:textId="77777777" w:rsidR="0098324B" w:rsidRDefault="0098324B" w:rsidP="0098324B">
      <w:pPr>
        <w:pStyle w:val="CommentText"/>
      </w:pPr>
      <w:r>
        <w:t>-“Green entrepreneurial orientation improves… green service innovation.”</w:t>
      </w:r>
    </w:p>
    <w:p w14:paraId="732865BA" w14:textId="77777777" w:rsidR="0098324B" w:rsidRDefault="0098324B" w:rsidP="0098324B">
      <w:pPr>
        <w:pStyle w:val="CommentText"/>
      </w:pPr>
    </w:p>
  </w:comment>
  <w:comment w:id="40" w:author="Rodrigo, Liyanage" w:date="2026-06-06T12:12:00Z" w:initials="LR">
    <w:p w14:paraId="3A293079" w14:textId="450DC4CE" w:rsidR="007144CC" w:rsidRDefault="007144CC" w:rsidP="007144CC">
      <w:pPr>
        <w:pStyle w:val="CommentText"/>
      </w:pPr>
      <w:r>
        <w:rPr>
          <w:rStyle w:val="CommentReference"/>
        </w:rPr>
        <w:annotationRef/>
      </w:r>
      <w:r>
        <w:t xml:space="preserve">Please improve the section. Kindly refer to our JEMA paper with Obafemi and improve the policy implications and limitations. </w:t>
      </w:r>
      <w:hyperlink r:id="rId4" w:history="1">
        <w:r w:rsidRPr="00AB3121">
          <w:rPr>
            <w:rStyle w:val="Hyperlink"/>
          </w:rPr>
          <w:t>Carbon footprint reduction initiatives and green jobs creation: The mediating role of green innovation - ScienceDirect</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03F6FB3" w15:done="0"/>
  <w15:commentEx w15:paraId="65003396" w15:done="0"/>
  <w15:commentEx w15:paraId="1E91EB81" w15:done="0"/>
  <w15:commentEx w15:paraId="44975F41" w15:done="0"/>
  <w15:commentEx w15:paraId="7EB23BDD" w15:done="0"/>
  <w15:commentEx w15:paraId="1786FC70" w15:done="0"/>
  <w15:commentEx w15:paraId="101502AA" w15:done="0"/>
  <w15:commentEx w15:paraId="3EAAA453" w15:done="0"/>
  <w15:commentEx w15:paraId="64D04439" w15:done="0"/>
  <w15:commentEx w15:paraId="317A9F5F" w15:done="0"/>
  <w15:commentEx w15:paraId="62B49DB3" w15:paraIdParent="317A9F5F" w15:done="0"/>
  <w15:commentEx w15:paraId="4840D9F3" w15:done="0"/>
  <w15:commentEx w15:paraId="7D88F473" w15:paraIdParent="4840D9F3" w15:done="0"/>
  <w15:commentEx w15:paraId="7AF62DD5" w15:done="0"/>
  <w15:commentEx w15:paraId="4666BDDB" w15:paraIdParent="7AF62DD5" w15:done="0"/>
  <w15:commentEx w15:paraId="514931C6" w15:done="0"/>
  <w15:commentEx w15:paraId="20C322CA" w15:paraIdParent="514931C6" w15:done="0"/>
  <w15:commentEx w15:paraId="51DEF97F" w15:done="0"/>
  <w15:commentEx w15:paraId="08A5AB4F" w15:done="0"/>
  <w15:commentEx w15:paraId="00075A44" w15:done="0"/>
  <w15:commentEx w15:paraId="5A783997" w15:paraIdParent="00075A44" w15:done="0"/>
  <w15:commentEx w15:paraId="351E944F" w15:done="0"/>
  <w15:commentEx w15:paraId="1D3125E2" w15:done="0"/>
  <w15:commentEx w15:paraId="3336FE1A" w15:done="0"/>
  <w15:commentEx w15:paraId="712C579D" w15:done="0"/>
  <w15:commentEx w15:paraId="4D2A235C" w15:done="0"/>
  <w15:commentEx w15:paraId="777E1A76" w15:paraIdParent="4D2A235C" w15:done="0"/>
  <w15:commentEx w15:paraId="649B6E0A" w15:done="0"/>
  <w15:commentEx w15:paraId="57FF650D" w15:paraIdParent="649B6E0A" w15:done="0"/>
  <w15:commentEx w15:paraId="39D96BDF" w15:done="0"/>
  <w15:commentEx w15:paraId="732865BA" w15:paraIdParent="39D96BDF" w15:done="0"/>
  <w15:commentEx w15:paraId="3A29307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5C2D5DB" w16cex:dateUtc="2026-06-06T11:04:00Z"/>
  <w16cex:commentExtensible w16cex:durableId="52B8E6A4" w16cex:dateUtc="2026-06-28T21:16:00Z"/>
  <w16cex:commentExtensible w16cex:durableId="68757741" w16cex:dateUtc="2026-06-06T11:04:00Z"/>
  <w16cex:commentExtensible w16cex:durableId="741708D3" w16cex:dateUtc="2026-06-17T19:22:00Z"/>
  <w16cex:commentExtensible w16cex:durableId="18CFC7B1" w16cex:dateUtc="2026-06-06T11:05:00Z"/>
  <w16cex:commentExtensible w16cex:durableId="2C4D3F74" w16cex:dateUtc="2026-06-28T21:14:00Z"/>
  <w16cex:commentExtensible w16cex:durableId="71463521" w16cex:dateUtc="2026-06-06T11:17:00Z"/>
  <w16cex:commentExtensible w16cex:durableId="5FE8B59D" w16cex:dateUtc="2026-06-06T11:22:00Z"/>
  <w16cex:commentExtensible w16cex:durableId="1DAC5472" w16cex:dateUtc="2026-06-06T11:08:00Z"/>
  <w16cex:commentExtensible w16cex:durableId="0E0A659B" w16cex:dateUtc="2026-03-08T00:17:00Z"/>
  <w16cex:commentExtensible w16cex:durableId="53737A4C" w16cex:dateUtc="2026-06-17T19:56:00Z"/>
  <w16cex:commentExtensible w16cex:durableId="7F16804E" w16cex:dateUtc="2026-03-08T00:17:00Z"/>
  <w16cex:commentExtensible w16cex:durableId="68271B16" w16cex:dateUtc="2026-06-17T19:59:00Z"/>
  <w16cex:commentExtensible w16cex:durableId="38D12286" w16cex:dateUtc="2026-03-08T00:17:00Z"/>
  <w16cex:commentExtensible w16cex:durableId="120B46C8" w16cex:dateUtc="2026-06-28T21:24:00Z"/>
  <w16cex:commentExtensible w16cex:durableId="18B3410A" w16cex:dateUtc="2026-03-08T00:17:00Z"/>
  <w16cex:commentExtensible w16cex:durableId="28C06203" w16cex:dateUtc="2026-06-28T21:24:00Z"/>
  <w16cex:commentExtensible w16cex:durableId="122F3029" w16cex:dateUtc="2026-06-28T21:40:00Z"/>
  <w16cex:commentExtensible w16cex:durableId="75D7ECDD" w16cex:dateUtc="2026-06-28T21:56:00Z"/>
  <w16cex:commentExtensible w16cex:durableId="0E862B35" w16cex:dateUtc="2026-03-08T00:18:00Z"/>
  <w16cex:commentExtensible w16cex:durableId="135C5518" w16cex:dateUtc="2026-06-28T21:25:00Z"/>
  <w16cex:commentExtensible w16cex:durableId="45D06975" w16cex:dateUtc="2026-03-08T00:18:00Z"/>
  <w16cex:commentExtensible w16cex:durableId="3D7C9B84" w16cex:dateUtc="2026-06-28T21:40:00Z"/>
  <w16cex:commentExtensible w16cex:durableId="3845BEA9" w16cex:dateUtc="2026-06-28T22:49:00Z"/>
  <w16cex:commentExtensible w16cex:durableId="601E3E6F" w16cex:dateUtc="2026-03-08T00:18:00Z"/>
  <w16cex:commentExtensible w16cex:durableId="178FF7C8" w16cex:dateUtc="2026-03-08T00:19:00Z"/>
  <w16cex:commentExtensible w16cex:durableId="14F5360E" w16cex:dateUtc="2026-06-30T13:51:00Z"/>
  <w16cex:commentExtensible w16cex:durableId="1991529A" w16cex:dateUtc="2026-03-08T00:18:00Z"/>
  <w16cex:commentExtensible w16cex:durableId="21AB2686" w16cex:dateUtc="2026-07-01T14:28:00Z"/>
  <w16cex:commentExtensible w16cex:durableId="5DD1C15F" w16cex:dateUtc="2026-03-08T00:18:00Z"/>
  <w16cex:commentExtensible w16cex:durableId="3B3A347F" w16cex:dateUtc="2026-06-30T20:10:00Z"/>
  <w16cex:commentExtensible w16cex:durableId="709162F5" w16cex:dateUtc="2026-06-06T11: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03F6FB3" w16cid:durableId="25C2D5DB"/>
  <w16cid:commentId w16cid:paraId="65003396" w16cid:durableId="52B8E6A4"/>
  <w16cid:commentId w16cid:paraId="1E91EB81" w16cid:durableId="68757741"/>
  <w16cid:commentId w16cid:paraId="44975F41" w16cid:durableId="741708D3"/>
  <w16cid:commentId w16cid:paraId="7EB23BDD" w16cid:durableId="18CFC7B1"/>
  <w16cid:commentId w16cid:paraId="1786FC70" w16cid:durableId="2C4D3F74"/>
  <w16cid:commentId w16cid:paraId="101502AA" w16cid:durableId="71463521"/>
  <w16cid:commentId w16cid:paraId="3EAAA453" w16cid:durableId="5FE8B59D"/>
  <w16cid:commentId w16cid:paraId="64D04439" w16cid:durableId="1DAC5472"/>
  <w16cid:commentId w16cid:paraId="317A9F5F" w16cid:durableId="0E0A659B"/>
  <w16cid:commentId w16cid:paraId="62B49DB3" w16cid:durableId="53737A4C"/>
  <w16cid:commentId w16cid:paraId="4840D9F3" w16cid:durableId="7F16804E"/>
  <w16cid:commentId w16cid:paraId="7D88F473" w16cid:durableId="68271B16"/>
  <w16cid:commentId w16cid:paraId="7AF62DD5" w16cid:durableId="38D12286"/>
  <w16cid:commentId w16cid:paraId="4666BDDB" w16cid:durableId="120B46C8"/>
  <w16cid:commentId w16cid:paraId="514931C6" w16cid:durableId="18B3410A"/>
  <w16cid:commentId w16cid:paraId="20C322CA" w16cid:durableId="28C06203"/>
  <w16cid:commentId w16cid:paraId="51DEF97F" w16cid:durableId="122F3029"/>
  <w16cid:commentId w16cid:paraId="08A5AB4F" w16cid:durableId="75D7ECDD"/>
  <w16cid:commentId w16cid:paraId="00075A44" w16cid:durableId="0E862B35"/>
  <w16cid:commentId w16cid:paraId="5A783997" w16cid:durableId="135C5518"/>
  <w16cid:commentId w16cid:paraId="351E944F" w16cid:durableId="45D06975"/>
  <w16cid:commentId w16cid:paraId="1D3125E2" w16cid:durableId="3D7C9B84"/>
  <w16cid:commentId w16cid:paraId="3336FE1A" w16cid:durableId="3845BEA9"/>
  <w16cid:commentId w16cid:paraId="712C579D" w16cid:durableId="601E3E6F"/>
  <w16cid:commentId w16cid:paraId="4D2A235C" w16cid:durableId="178FF7C8"/>
  <w16cid:commentId w16cid:paraId="777E1A76" w16cid:durableId="14F5360E"/>
  <w16cid:commentId w16cid:paraId="649B6E0A" w16cid:durableId="1991529A"/>
  <w16cid:commentId w16cid:paraId="57FF650D" w16cid:durableId="21AB2686"/>
  <w16cid:commentId w16cid:paraId="39D96BDF" w16cid:durableId="5DD1C15F"/>
  <w16cid:commentId w16cid:paraId="732865BA" w16cid:durableId="3B3A347F"/>
  <w16cid:commentId w16cid:paraId="3A293079" w16cid:durableId="709162F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CFE32" w14:textId="77777777" w:rsidR="00754991" w:rsidRDefault="00754991">
      <w:pPr>
        <w:spacing w:after="0" w:line="240" w:lineRule="auto"/>
      </w:pPr>
      <w:r>
        <w:separator/>
      </w:r>
    </w:p>
  </w:endnote>
  <w:endnote w:type="continuationSeparator" w:id="0">
    <w:p w14:paraId="1C810C22" w14:textId="77777777" w:rsidR="00754991" w:rsidRDefault="00754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949034"/>
      <w:docPartObj>
        <w:docPartGallery w:val="Page Numbers (Bottom of Page)"/>
        <w:docPartUnique/>
      </w:docPartObj>
    </w:sdtPr>
    <w:sdtEndPr>
      <w:rPr>
        <w:noProof/>
      </w:rPr>
    </w:sdtEndPr>
    <w:sdtContent>
      <w:p w14:paraId="1BA60C71" w14:textId="77777777" w:rsidR="007144CC" w:rsidRDefault="007144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380DD0" w14:textId="77777777" w:rsidR="007144CC" w:rsidRDefault="007144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4445D" w14:textId="77777777" w:rsidR="00754991" w:rsidRDefault="00754991">
      <w:pPr>
        <w:spacing w:after="0" w:line="240" w:lineRule="auto"/>
      </w:pPr>
      <w:r>
        <w:separator/>
      </w:r>
    </w:p>
  </w:footnote>
  <w:footnote w:type="continuationSeparator" w:id="0">
    <w:p w14:paraId="4ADC9301" w14:textId="77777777" w:rsidR="00754991" w:rsidRDefault="007549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1459EC"/>
    <w:multiLevelType w:val="multilevel"/>
    <w:tmpl w:val="FE18A740"/>
    <w:lvl w:ilvl="0">
      <w:start w:val="1"/>
      <w:numFmt w:val="decimal"/>
      <w:lvlText w:val="%1"/>
      <w:lvlJc w:val="left"/>
      <w:pPr>
        <w:ind w:left="644"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705A6E5B"/>
    <w:multiLevelType w:val="hybridMultilevel"/>
    <w:tmpl w:val="E3D4C87A"/>
    <w:lvl w:ilvl="0" w:tplc="9CDC1D9A">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795712594">
    <w:abstractNumId w:val="0"/>
  </w:num>
  <w:num w:numId="2" w16cid:durableId="124649725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odrigo, Liyanage">
    <w15:presenceInfo w15:providerId="AD" w15:userId="S::L.Rodrigo@tees.ac.uk::246ded9d-b7db-4618-b2bb-5ff6f98ccb7f"/>
  </w15:person>
  <w15:person w15:author="Wagner, Michael (wagneml)">
    <w15:presenceInfo w15:providerId="AD" w15:userId="S::wagneml@ucmail.uc.edu::00280ca6-2649-46c8-907f-f04d8dfa0fe2"/>
  </w15:person>
  <w15:person w15:author="Douglas Adu (staff)">
    <w15:presenceInfo w15:providerId="AD" w15:userId="S::Douglas.Adu@nottingham.ac.uk::d9bcca33-26bf-4400-bd57-b4e2b5d6a31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4E0"/>
    <w:rsid w:val="0002185E"/>
    <w:rsid w:val="00041279"/>
    <w:rsid w:val="00042148"/>
    <w:rsid w:val="00061B56"/>
    <w:rsid w:val="000912E8"/>
    <w:rsid w:val="0009153D"/>
    <w:rsid w:val="00097FBA"/>
    <w:rsid w:val="000A2F20"/>
    <w:rsid w:val="000A4370"/>
    <w:rsid w:val="000B4D4C"/>
    <w:rsid w:val="000D69FF"/>
    <w:rsid w:val="00120932"/>
    <w:rsid w:val="0015403C"/>
    <w:rsid w:val="00156570"/>
    <w:rsid w:val="001655F9"/>
    <w:rsid w:val="00177D21"/>
    <w:rsid w:val="001A5A0E"/>
    <w:rsid w:val="001D2A60"/>
    <w:rsid w:val="00205387"/>
    <w:rsid w:val="002246B5"/>
    <w:rsid w:val="00277901"/>
    <w:rsid w:val="00322C90"/>
    <w:rsid w:val="003520AB"/>
    <w:rsid w:val="0037236E"/>
    <w:rsid w:val="003A0D24"/>
    <w:rsid w:val="003E1B72"/>
    <w:rsid w:val="00402462"/>
    <w:rsid w:val="00462A37"/>
    <w:rsid w:val="00463F70"/>
    <w:rsid w:val="004728B4"/>
    <w:rsid w:val="00482D2F"/>
    <w:rsid w:val="004A157F"/>
    <w:rsid w:val="004E0281"/>
    <w:rsid w:val="0055215A"/>
    <w:rsid w:val="0056174E"/>
    <w:rsid w:val="00575B51"/>
    <w:rsid w:val="00585224"/>
    <w:rsid w:val="005A6FB9"/>
    <w:rsid w:val="005F0352"/>
    <w:rsid w:val="00607888"/>
    <w:rsid w:val="00634420"/>
    <w:rsid w:val="00677083"/>
    <w:rsid w:val="006A1EEC"/>
    <w:rsid w:val="006F4296"/>
    <w:rsid w:val="007144CC"/>
    <w:rsid w:val="00734465"/>
    <w:rsid w:val="007474E0"/>
    <w:rsid w:val="00754991"/>
    <w:rsid w:val="007A0DDC"/>
    <w:rsid w:val="008157D8"/>
    <w:rsid w:val="008229EF"/>
    <w:rsid w:val="00847A2F"/>
    <w:rsid w:val="00853714"/>
    <w:rsid w:val="00854E8D"/>
    <w:rsid w:val="0098324B"/>
    <w:rsid w:val="00994169"/>
    <w:rsid w:val="009A1A04"/>
    <w:rsid w:val="009B5A9C"/>
    <w:rsid w:val="00A04947"/>
    <w:rsid w:val="00A21F78"/>
    <w:rsid w:val="00A2469D"/>
    <w:rsid w:val="00A35A51"/>
    <w:rsid w:val="00A53F7A"/>
    <w:rsid w:val="00A669C8"/>
    <w:rsid w:val="00A66E9A"/>
    <w:rsid w:val="00AD5FC2"/>
    <w:rsid w:val="00AE3AF7"/>
    <w:rsid w:val="00AF4C70"/>
    <w:rsid w:val="00B52698"/>
    <w:rsid w:val="00B63205"/>
    <w:rsid w:val="00B677A2"/>
    <w:rsid w:val="00BA109D"/>
    <w:rsid w:val="00BB255C"/>
    <w:rsid w:val="00BE33BF"/>
    <w:rsid w:val="00C05518"/>
    <w:rsid w:val="00C25C39"/>
    <w:rsid w:val="00C3458C"/>
    <w:rsid w:val="00C46A80"/>
    <w:rsid w:val="00C75789"/>
    <w:rsid w:val="00C87E55"/>
    <w:rsid w:val="00CA2E4A"/>
    <w:rsid w:val="00D06BE9"/>
    <w:rsid w:val="00D12375"/>
    <w:rsid w:val="00D47554"/>
    <w:rsid w:val="00DE3352"/>
    <w:rsid w:val="00E03B37"/>
    <w:rsid w:val="00E1012E"/>
    <w:rsid w:val="00E258A7"/>
    <w:rsid w:val="00E40F98"/>
    <w:rsid w:val="00E75F33"/>
    <w:rsid w:val="00ED59E0"/>
    <w:rsid w:val="00FA7245"/>
    <w:rsid w:val="00FD5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3A457"/>
  <w15:chartTrackingRefBased/>
  <w15:docId w15:val="{F6D700C2-DE8E-448C-843D-284DBE390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4CC"/>
    <w:pPr>
      <w:spacing w:line="259" w:lineRule="auto"/>
    </w:pPr>
    <w:rPr>
      <w:kern w:val="0"/>
      <w:sz w:val="22"/>
      <w:szCs w:val="22"/>
      <w14:ligatures w14:val="none"/>
    </w:rPr>
  </w:style>
  <w:style w:type="paragraph" w:styleId="Heading1">
    <w:name w:val="heading 1"/>
    <w:basedOn w:val="Normal"/>
    <w:next w:val="Normal"/>
    <w:link w:val="Heading1Char"/>
    <w:uiPriority w:val="9"/>
    <w:qFormat/>
    <w:rsid w:val="007474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74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74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474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74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74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4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4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4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4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74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74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474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74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74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4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4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4E0"/>
    <w:rPr>
      <w:rFonts w:eastAsiaTheme="majorEastAsia" w:cstheme="majorBidi"/>
      <w:color w:val="272727" w:themeColor="text1" w:themeTint="D8"/>
    </w:rPr>
  </w:style>
  <w:style w:type="paragraph" w:styleId="Title">
    <w:name w:val="Title"/>
    <w:basedOn w:val="Normal"/>
    <w:next w:val="Normal"/>
    <w:link w:val="TitleChar"/>
    <w:uiPriority w:val="10"/>
    <w:qFormat/>
    <w:rsid w:val="007474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4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4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4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4E0"/>
    <w:pPr>
      <w:spacing w:before="160"/>
      <w:jc w:val="center"/>
    </w:pPr>
    <w:rPr>
      <w:i/>
      <w:iCs/>
      <w:color w:val="404040" w:themeColor="text1" w:themeTint="BF"/>
    </w:rPr>
  </w:style>
  <w:style w:type="character" w:customStyle="1" w:styleId="QuoteChar">
    <w:name w:val="Quote Char"/>
    <w:basedOn w:val="DefaultParagraphFont"/>
    <w:link w:val="Quote"/>
    <w:uiPriority w:val="29"/>
    <w:rsid w:val="007474E0"/>
    <w:rPr>
      <w:i/>
      <w:iCs/>
      <w:color w:val="404040" w:themeColor="text1" w:themeTint="BF"/>
    </w:rPr>
  </w:style>
  <w:style w:type="paragraph" w:styleId="ListParagraph">
    <w:name w:val="List Paragraph"/>
    <w:basedOn w:val="Normal"/>
    <w:uiPriority w:val="34"/>
    <w:qFormat/>
    <w:rsid w:val="007474E0"/>
    <w:pPr>
      <w:ind w:left="720"/>
      <w:contextualSpacing/>
    </w:pPr>
  </w:style>
  <w:style w:type="character" w:styleId="IntenseEmphasis">
    <w:name w:val="Intense Emphasis"/>
    <w:basedOn w:val="DefaultParagraphFont"/>
    <w:uiPriority w:val="21"/>
    <w:qFormat/>
    <w:rsid w:val="007474E0"/>
    <w:rPr>
      <w:i/>
      <w:iCs/>
      <w:color w:val="0F4761" w:themeColor="accent1" w:themeShade="BF"/>
    </w:rPr>
  </w:style>
  <w:style w:type="paragraph" w:styleId="IntenseQuote">
    <w:name w:val="Intense Quote"/>
    <w:basedOn w:val="Normal"/>
    <w:next w:val="Normal"/>
    <w:link w:val="IntenseQuoteChar"/>
    <w:uiPriority w:val="30"/>
    <w:qFormat/>
    <w:rsid w:val="007474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74E0"/>
    <w:rPr>
      <w:i/>
      <w:iCs/>
      <w:color w:val="0F4761" w:themeColor="accent1" w:themeShade="BF"/>
    </w:rPr>
  </w:style>
  <w:style w:type="character" w:styleId="IntenseReference">
    <w:name w:val="Intense Reference"/>
    <w:basedOn w:val="DefaultParagraphFont"/>
    <w:uiPriority w:val="32"/>
    <w:qFormat/>
    <w:rsid w:val="007474E0"/>
    <w:rPr>
      <w:b/>
      <w:bCs/>
      <w:smallCaps/>
      <w:color w:val="0F4761" w:themeColor="accent1" w:themeShade="BF"/>
      <w:spacing w:val="5"/>
    </w:rPr>
  </w:style>
  <w:style w:type="paragraph" w:styleId="NoSpacing">
    <w:name w:val="No Spacing"/>
    <w:uiPriority w:val="1"/>
    <w:qFormat/>
    <w:rsid w:val="007144CC"/>
    <w:pPr>
      <w:spacing w:after="0" w:line="240" w:lineRule="auto"/>
    </w:pPr>
    <w:rPr>
      <w:kern w:val="0"/>
      <w:sz w:val="22"/>
      <w:szCs w:val="22"/>
      <w14:ligatures w14:val="none"/>
    </w:rPr>
  </w:style>
  <w:style w:type="paragraph" w:styleId="BalloonText">
    <w:name w:val="Balloon Text"/>
    <w:basedOn w:val="Normal"/>
    <w:link w:val="BalloonTextChar"/>
    <w:uiPriority w:val="99"/>
    <w:semiHidden/>
    <w:unhideWhenUsed/>
    <w:rsid w:val="007144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44CC"/>
    <w:rPr>
      <w:rFonts w:ascii="Segoe UI" w:hAnsi="Segoe UI" w:cs="Segoe UI"/>
      <w:kern w:val="0"/>
      <w:sz w:val="18"/>
      <w:szCs w:val="18"/>
      <w14:ligatures w14:val="none"/>
    </w:rPr>
  </w:style>
  <w:style w:type="paragraph" w:customStyle="1" w:styleId="MyTable">
    <w:name w:val="My Table"/>
    <w:basedOn w:val="Caption"/>
    <w:next w:val="Caption"/>
    <w:qFormat/>
    <w:rsid w:val="007144CC"/>
    <w:rPr>
      <w:rFonts w:ascii="Times New Roman" w:hAnsi="Times New Roman"/>
      <w:color w:val="auto"/>
      <w:sz w:val="24"/>
      <w:lang w:val="en-US"/>
    </w:rPr>
  </w:style>
  <w:style w:type="table" w:customStyle="1" w:styleId="TableGrid31">
    <w:name w:val="Table Grid31"/>
    <w:basedOn w:val="TableNormal"/>
    <w:next w:val="TableGrid"/>
    <w:uiPriority w:val="59"/>
    <w:rsid w:val="007144CC"/>
    <w:pPr>
      <w:spacing w:after="0" w:line="240" w:lineRule="auto"/>
    </w:pPr>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7144CC"/>
    <w:pPr>
      <w:spacing w:after="200" w:line="240" w:lineRule="auto"/>
    </w:pPr>
    <w:rPr>
      <w:i/>
      <w:iCs/>
      <w:color w:val="0E2841" w:themeColor="text2"/>
      <w:sz w:val="18"/>
      <w:szCs w:val="18"/>
    </w:rPr>
  </w:style>
  <w:style w:type="table" w:styleId="TableGrid">
    <w:name w:val="Table Grid"/>
    <w:basedOn w:val="TableNormal"/>
    <w:uiPriority w:val="39"/>
    <w:rsid w:val="007144CC"/>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7144CC"/>
    <w:pPr>
      <w:spacing w:after="0" w:line="240" w:lineRule="auto"/>
    </w:pPr>
    <w:rPr>
      <w:kern w:val="0"/>
      <w:sz w:val="22"/>
      <w:szCs w:val="22"/>
      <w14:ligatures w14:val="none"/>
    </w:rPr>
  </w:style>
  <w:style w:type="character" w:styleId="CommentReference">
    <w:name w:val="annotation reference"/>
    <w:basedOn w:val="DefaultParagraphFont"/>
    <w:uiPriority w:val="99"/>
    <w:semiHidden/>
    <w:unhideWhenUsed/>
    <w:rsid w:val="007144CC"/>
    <w:rPr>
      <w:sz w:val="16"/>
      <w:szCs w:val="16"/>
    </w:rPr>
  </w:style>
  <w:style w:type="paragraph" w:styleId="CommentText">
    <w:name w:val="annotation text"/>
    <w:basedOn w:val="Normal"/>
    <w:link w:val="CommentTextChar"/>
    <w:uiPriority w:val="99"/>
    <w:unhideWhenUsed/>
    <w:rsid w:val="007144CC"/>
    <w:pPr>
      <w:spacing w:line="240" w:lineRule="auto"/>
    </w:pPr>
    <w:rPr>
      <w:sz w:val="20"/>
      <w:szCs w:val="20"/>
    </w:rPr>
  </w:style>
  <w:style w:type="character" w:customStyle="1" w:styleId="CommentTextChar">
    <w:name w:val="Comment Text Char"/>
    <w:basedOn w:val="DefaultParagraphFont"/>
    <w:link w:val="CommentText"/>
    <w:uiPriority w:val="99"/>
    <w:rsid w:val="007144CC"/>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144CC"/>
    <w:rPr>
      <w:b/>
      <w:bCs/>
    </w:rPr>
  </w:style>
  <w:style w:type="character" w:customStyle="1" w:styleId="CommentSubjectChar">
    <w:name w:val="Comment Subject Char"/>
    <w:basedOn w:val="CommentTextChar"/>
    <w:link w:val="CommentSubject"/>
    <w:uiPriority w:val="99"/>
    <w:semiHidden/>
    <w:rsid w:val="007144CC"/>
    <w:rPr>
      <w:b/>
      <w:bCs/>
      <w:kern w:val="0"/>
      <w:sz w:val="20"/>
      <w:szCs w:val="20"/>
      <w14:ligatures w14:val="none"/>
    </w:rPr>
  </w:style>
  <w:style w:type="paragraph" w:styleId="Header">
    <w:name w:val="header"/>
    <w:basedOn w:val="Normal"/>
    <w:link w:val="HeaderChar"/>
    <w:uiPriority w:val="99"/>
    <w:unhideWhenUsed/>
    <w:rsid w:val="007144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4CC"/>
    <w:rPr>
      <w:kern w:val="0"/>
      <w:sz w:val="22"/>
      <w:szCs w:val="22"/>
      <w14:ligatures w14:val="none"/>
    </w:rPr>
  </w:style>
  <w:style w:type="paragraph" w:styleId="Footer">
    <w:name w:val="footer"/>
    <w:basedOn w:val="Normal"/>
    <w:link w:val="FooterChar"/>
    <w:uiPriority w:val="99"/>
    <w:unhideWhenUsed/>
    <w:rsid w:val="007144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4CC"/>
    <w:rPr>
      <w:kern w:val="0"/>
      <w:sz w:val="22"/>
      <w:szCs w:val="22"/>
      <w14:ligatures w14:val="none"/>
    </w:rPr>
  </w:style>
  <w:style w:type="character" w:styleId="Hyperlink">
    <w:name w:val="Hyperlink"/>
    <w:basedOn w:val="DefaultParagraphFont"/>
    <w:uiPriority w:val="99"/>
    <w:unhideWhenUsed/>
    <w:rsid w:val="007144CC"/>
    <w:rPr>
      <w:color w:val="467886" w:themeColor="hyperlink"/>
      <w:u w:val="single"/>
    </w:rPr>
  </w:style>
  <w:style w:type="character" w:styleId="UnresolvedMention">
    <w:name w:val="Unresolved Mention"/>
    <w:basedOn w:val="DefaultParagraphFont"/>
    <w:uiPriority w:val="99"/>
    <w:semiHidden/>
    <w:unhideWhenUsed/>
    <w:rsid w:val="007144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doi.org/10.24294/jipd.v8i11.7733" TargetMode="External"/><Relationship Id="rId2" Type="http://schemas.openxmlformats.org/officeDocument/2006/relationships/hyperlink" Target="https://doi.org/10.3389/fenvs.2024.1519258" TargetMode="External"/><Relationship Id="rId1" Type="http://schemas.openxmlformats.org/officeDocument/2006/relationships/hyperlink" Target="https://doi.org/10.54254/2754-1169/2026.GT34542ewapub" TargetMode="External"/><Relationship Id="rId4" Type="http://schemas.openxmlformats.org/officeDocument/2006/relationships/hyperlink" Target="https://www.sciencedirect.com/science/article/pii/S0301479726001969?via%3Dihub" TargetMode="External"/></Relationship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theme" Target="theme/theme1.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47</Pages>
  <Words>14900</Words>
  <Characters>84934</Characters>
  <Application>Microsoft Office Word</Application>
  <DocSecurity>0</DocSecurity>
  <Lines>707</Lines>
  <Paragraphs>199</Paragraphs>
  <ScaleCrop>false</ScaleCrop>
  <Company/>
  <LinksUpToDate>false</LinksUpToDate>
  <CharactersWithSpaces>99635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Rodrigo, Liyanage</dc:creator>
  <cp:keywords/>
  <dc:description/>
  <cp:lastModifiedBy>Rodrigo, Liyanage</cp:lastModifiedBy>
  <cp:revision>72</cp:revision>
  <dcterms:created xsi:type="dcterms:W3CDTF">2026-06-06T11:03:00Z</dcterms:created>
  <dcterms:modified xsi:type="dcterms:W3CDTF">2026-07-15T07:54:00Z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5b0326d5-2ff8-4341-9bed-5af2b12b7313</vt:lpwstr>
  </property>
</Properties>
</file>