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E0C8F" w14:textId="4C1526E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noProof/>
        </w:rPr>
        <w:drawing>
          <wp:anchor distT="0" distB="0" distL="114300" distR="114300" simplePos="0" relativeHeight="251658240" behindDoc="0" locked="0" layoutInCell="1" allowOverlap="1" wp14:anchorId="62823CC4" wp14:editId="369F90D1">
            <wp:simplePos x="0" y="0"/>
            <wp:positionH relativeFrom="column">
              <wp:posOffset>-581025</wp:posOffset>
            </wp:positionH>
            <wp:positionV relativeFrom="paragraph">
              <wp:posOffset>0</wp:posOffset>
            </wp:positionV>
            <wp:extent cx="2679700" cy="2238375"/>
            <wp:effectExtent l="0" t="0" r="6350" b="9525"/>
            <wp:wrapSquare wrapText="bothSides"/>
            <wp:docPr id="9" name="Picture 8" descr="UWTSD Named UK University of the Year ...">
              <a:extLst xmlns:a="http://schemas.openxmlformats.org/drawingml/2006/main">
                <a:ext uri="{FF2B5EF4-FFF2-40B4-BE49-F238E27FC236}">
                  <a16:creationId xmlns:a16="http://schemas.microsoft.com/office/drawing/2014/main" id="{5C781555-CF4E-0AB9-BF03-9208145365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UWTSD Named UK University of the Year ...">
                      <a:extLst>
                        <a:ext uri="{FF2B5EF4-FFF2-40B4-BE49-F238E27FC236}">
                          <a16:creationId xmlns:a16="http://schemas.microsoft.com/office/drawing/2014/main" id="{5C781555-CF4E-0AB9-BF03-92081453657A}"/>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970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30E987" w14:textId="7777777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E735A5" w14:textId="7777777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F714BD" w14:textId="7777777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7C47728" w14:textId="7777777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9E98326" w14:textId="77777777" w:rsidR="00F50ACB" w:rsidRDefault="00F50ACB" w:rsidP="002D10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8BEDCD9" w14:textId="5C8B74A0" w:rsidR="00F50ACB" w:rsidRPr="001B00CD" w:rsidRDefault="00F50ACB" w:rsidP="00F50ACB">
      <w:pPr>
        <w:pStyle w:val="NormalWeb"/>
        <w:spacing w:before="0" w:beforeAutospacing="0" w:after="0" w:afterAutospacing="0" w:line="360" w:lineRule="auto"/>
        <w:jc w:val="center"/>
        <w:rPr>
          <w:rFonts w:ascii="Arial" w:hAnsi="Arial" w:cs="Arial"/>
          <w:sz w:val="36"/>
          <w:szCs w:val="36"/>
        </w:rPr>
      </w:pPr>
      <w:r w:rsidRPr="001B00CD">
        <w:rPr>
          <w:rFonts w:ascii="Arial" w:eastAsia="Aptos" w:hAnsi="Arial" w:cs="Arial"/>
          <w:b/>
          <w:bCs/>
          <w:color w:val="000000"/>
          <w:kern w:val="2"/>
          <w:sz w:val="36"/>
          <w:szCs w:val="36"/>
          <w:lang w:val="nl-NL"/>
        </w:rPr>
        <w:t>Module name:</w:t>
      </w:r>
    </w:p>
    <w:p w14:paraId="35F39442" w14:textId="77777777" w:rsidR="00F50ACB" w:rsidRPr="001B00CD" w:rsidRDefault="00F50ACB" w:rsidP="00F50ACB">
      <w:pPr>
        <w:pStyle w:val="NormalWeb"/>
        <w:shd w:val="clear" w:color="auto" w:fill="FFFFFF"/>
        <w:spacing w:before="0" w:beforeAutospacing="0"/>
        <w:jc w:val="center"/>
        <w:rPr>
          <w:rFonts w:ascii="Arial" w:hAnsi="Arial" w:cs="Arial"/>
          <w:color w:val="1D2125"/>
          <w:sz w:val="36"/>
          <w:szCs w:val="36"/>
        </w:rPr>
      </w:pPr>
      <w:r w:rsidRPr="001B00CD">
        <w:rPr>
          <w:rStyle w:val="Strong"/>
          <w:rFonts w:ascii="Arial" w:eastAsiaTheme="majorEastAsia" w:hAnsi="Arial" w:cs="Arial"/>
          <w:color w:val="1D2125"/>
          <w:sz w:val="36"/>
          <w:szCs w:val="36"/>
        </w:rPr>
        <w:t>Health Care System Organisation and Leadership</w:t>
      </w:r>
    </w:p>
    <w:p w14:paraId="0E70354F" w14:textId="77777777" w:rsidR="00F50ACB" w:rsidRPr="001B00CD" w:rsidRDefault="00F50ACB" w:rsidP="00F50ACB">
      <w:pPr>
        <w:pStyle w:val="NormalWeb"/>
        <w:spacing w:before="0" w:beforeAutospacing="0" w:after="0" w:afterAutospacing="0" w:line="360" w:lineRule="auto"/>
        <w:jc w:val="center"/>
        <w:rPr>
          <w:rFonts w:ascii="Arial" w:eastAsia="Aptos" w:hAnsi="Arial" w:cs="Arial"/>
          <w:color w:val="000000"/>
          <w:kern w:val="2"/>
          <w:sz w:val="36"/>
          <w:szCs w:val="36"/>
          <w:lang w:val="nl-NL"/>
        </w:rPr>
      </w:pPr>
    </w:p>
    <w:p w14:paraId="028BA6C3" w14:textId="7595C9EB" w:rsidR="00F50ACB" w:rsidRPr="001B00CD" w:rsidRDefault="00F50ACB" w:rsidP="00F50ACB">
      <w:pPr>
        <w:pStyle w:val="NormalWeb"/>
        <w:spacing w:before="0" w:beforeAutospacing="0" w:after="0" w:afterAutospacing="0" w:line="360" w:lineRule="auto"/>
        <w:jc w:val="center"/>
        <w:rPr>
          <w:rFonts w:ascii="Arial" w:hAnsi="Arial" w:cs="Arial"/>
          <w:sz w:val="36"/>
          <w:szCs w:val="36"/>
        </w:rPr>
      </w:pPr>
      <w:r w:rsidRPr="001B00CD">
        <w:rPr>
          <w:rFonts w:ascii="Arial" w:eastAsia="Aptos" w:hAnsi="Arial" w:cs="Arial"/>
          <w:color w:val="000000"/>
          <w:kern w:val="2"/>
          <w:sz w:val="36"/>
          <w:szCs w:val="36"/>
        </w:rPr>
        <w:tab/>
      </w:r>
      <w:r w:rsidRPr="001B00CD">
        <w:rPr>
          <w:rFonts w:ascii="Arial" w:eastAsia="Aptos" w:hAnsi="Arial" w:cs="Arial"/>
          <w:b/>
          <w:bCs/>
          <w:color w:val="000000"/>
          <w:kern w:val="2"/>
          <w:sz w:val="36"/>
          <w:szCs w:val="36"/>
          <w:lang w:val="nl-NL"/>
        </w:rPr>
        <w:t>Student</w:t>
      </w:r>
      <w:r w:rsidRPr="001B00CD">
        <w:rPr>
          <w:rFonts w:ascii="Arial" w:eastAsia="Aptos" w:hAnsi="Arial" w:cs="Arial"/>
          <w:b/>
          <w:bCs/>
          <w:smallCaps/>
          <w:color w:val="000000"/>
          <w:kern w:val="2"/>
          <w:sz w:val="36"/>
          <w:szCs w:val="36"/>
          <w:lang w:val="nl-NL"/>
        </w:rPr>
        <w:t xml:space="preserve"> </w:t>
      </w:r>
      <w:r w:rsidRPr="001B00CD">
        <w:rPr>
          <w:rFonts w:ascii="Arial" w:eastAsia="Aptos" w:hAnsi="Arial" w:cs="Arial"/>
          <w:b/>
          <w:bCs/>
          <w:color w:val="000000"/>
          <w:kern w:val="2"/>
          <w:sz w:val="36"/>
          <w:szCs w:val="36"/>
          <w:lang w:val="nl-NL"/>
        </w:rPr>
        <w:t>name:</w:t>
      </w:r>
      <w:r w:rsidRPr="001B00CD">
        <w:rPr>
          <w:rFonts w:ascii="Arial" w:eastAsia="Aptos" w:hAnsi="Arial" w:cs="Arial"/>
          <w:b/>
          <w:bCs/>
          <w:smallCaps/>
          <w:color w:val="000000"/>
          <w:kern w:val="2"/>
          <w:sz w:val="36"/>
          <w:szCs w:val="36"/>
          <w:lang w:val="nl-NL"/>
        </w:rPr>
        <w:t xml:space="preserve"> </w:t>
      </w:r>
      <w:r w:rsidRPr="001B00CD">
        <w:rPr>
          <w:rFonts w:ascii="Arial" w:eastAsia="Aptos" w:hAnsi="Arial" w:cs="Arial"/>
          <w:color w:val="000000"/>
          <w:kern w:val="2"/>
          <w:sz w:val="36"/>
          <w:szCs w:val="36"/>
          <w:lang w:val="nl-NL"/>
        </w:rPr>
        <w:t>Josephine</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Osei</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Amoah</w:t>
      </w:r>
    </w:p>
    <w:p w14:paraId="42893585" w14:textId="77777777" w:rsidR="00F50ACB" w:rsidRPr="001B00CD" w:rsidRDefault="00F50ACB" w:rsidP="00F50ACB">
      <w:pPr>
        <w:pStyle w:val="NormalWeb"/>
        <w:spacing w:before="0" w:beforeAutospacing="0" w:after="0" w:afterAutospacing="0" w:line="360" w:lineRule="auto"/>
        <w:jc w:val="center"/>
        <w:rPr>
          <w:rFonts w:ascii="Arial" w:hAnsi="Arial" w:cs="Arial"/>
          <w:sz w:val="36"/>
          <w:szCs w:val="36"/>
        </w:rPr>
      </w:pPr>
      <w:r w:rsidRPr="001B00CD">
        <w:rPr>
          <w:rFonts w:ascii="Arial" w:eastAsia="Aptos" w:hAnsi="Arial" w:cs="Arial"/>
          <w:color w:val="000000"/>
          <w:kern w:val="2"/>
          <w:sz w:val="36"/>
          <w:szCs w:val="36"/>
          <w:lang w:val="nl-NL"/>
        </w:rPr>
        <w:t>Student</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ID:</w:t>
      </w:r>
      <w:r w:rsidRPr="001B00CD">
        <w:rPr>
          <w:rFonts w:ascii="Arial" w:eastAsia="Aptos" w:hAnsi="Arial" w:cs="Arial"/>
          <w:smallCaps/>
          <w:color w:val="000000"/>
          <w:kern w:val="2"/>
          <w:sz w:val="36"/>
          <w:szCs w:val="36"/>
          <w:lang w:val="nl-NL"/>
        </w:rPr>
        <w:t xml:space="preserve"> </w:t>
      </w:r>
      <w:r w:rsidRPr="001B00CD">
        <w:rPr>
          <w:rFonts w:ascii="Arial" w:eastAsia="Aptos" w:hAnsi="Arial" w:cs="Arial"/>
          <w:color w:val="000000"/>
          <w:kern w:val="2"/>
          <w:sz w:val="36"/>
          <w:szCs w:val="36"/>
          <w:lang w:val="nl-NL"/>
        </w:rPr>
        <w:t>2233505</w:t>
      </w:r>
    </w:p>
    <w:p w14:paraId="24D70F61" w14:textId="088FCB32" w:rsidR="00F50ACB" w:rsidRPr="001B00CD" w:rsidRDefault="00F50ACB" w:rsidP="00F50ACB">
      <w:pPr>
        <w:pStyle w:val="NormalWeb"/>
        <w:shd w:val="clear" w:color="auto" w:fill="FFFFFF"/>
        <w:spacing w:before="0" w:beforeAutospacing="0"/>
        <w:jc w:val="center"/>
        <w:rPr>
          <w:rFonts w:ascii="Arial" w:hAnsi="Arial" w:cs="Arial"/>
          <w:color w:val="1D2125"/>
          <w:sz w:val="36"/>
          <w:szCs w:val="36"/>
        </w:rPr>
      </w:pPr>
      <w:r w:rsidRPr="001B00CD">
        <w:rPr>
          <w:rFonts w:ascii="Arial" w:eastAsia="Aptos" w:hAnsi="Arial" w:cs="Arial"/>
          <w:b/>
          <w:bCs/>
          <w:color w:val="000000"/>
          <w:kern w:val="2"/>
          <w:sz w:val="36"/>
          <w:szCs w:val="36"/>
          <w:lang w:val="en-US"/>
        </w:rPr>
        <w:t>Module</w:t>
      </w:r>
      <w:r w:rsidRPr="001B00CD">
        <w:rPr>
          <w:rFonts w:ascii="Arial" w:eastAsia="Aptos" w:hAnsi="Arial" w:cs="Arial"/>
          <w:b/>
          <w:bCs/>
          <w:smallCaps/>
          <w:color w:val="000000"/>
          <w:kern w:val="2"/>
          <w:sz w:val="36"/>
          <w:szCs w:val="36"/>
          <w:lang w:val="en-US"/>
        </w:rPr>
        <w:t xml:space="preserve"> </w:t>
      </w:r>
      <w:r w:rsidRPr="001B00CD">
        <w:rPr>
          <w:rFonts w:ascii="Arial" w:eastAsia="Aptos" w:hAnsi="Arial" w:cs="Arial"/>
          <w:b/>
          <w:bCs/>
          <w:color w:val="000000"/>
          <w:kern w:val="2"/>
          <w:sz w:val="36"/>
          <w:szCs w:val="36"/>
          <w:lang w:val="en-US"/>
        </w:rPr>
        <w:t>code:</w:t>
      </w:r>
      <w:r w:rsidRPr="001B00CD">
        <w:rPr>
          <w:rStyle w:val="Strong"/>
          <w:rFonts w:ascii="Arial" w:eastAsiaTheme="majorEastAsia" w:hAnsi="Arial" w:cs="Arial"/>
          <w:color w:val="1D2125"/>
          <w:sz w:val="36"/>
          <w:szCs w:val="36"/>
        </w:rPr>
        <w:t xml:space="preserve"> </w:t>
      </w:r>
      <w:r w:rsidRPr="001B00CD">
        <w:rPr>
          <w:rStyle w:val="Strong"/>
          <w:rFonts w:ascii="Arial" w:eastAsiaTheme="majorEastAsia" w:hAnsi="Arial" w:cs="Arial"/>
          <w:b w:val="0"/>
          <w:bCs w:val="0"/>
          <w:color w:val="1D2125"/>
          <w:sz w:val="36"/>
          <w:szCs w:val="36"/>
        </w:rPr>
        <w:t>(LCHS7002_LON</w:t>
      </w:r>
      <w:r w:rsidRPr="001B00CD">
        <w:rPr>
          <w:rFonts w:ascii="Arial" w:eastAsia="Aptos" w:hAnsi="Arial" w:cs="Arial"/>
          <w:color w:val="000000"/>
          <w:kern w:val="2"/>
          <w:sz w:val="36"/>
          <w:szCs w:val="36"/>
          <w:lang w:val="en-US"/>
        </w:rPr>
        <w:t>)</w:t>
      </w:r>
    </w:p>
    <w:p w14:paraId="56991F36" w14:textId="77777777" w:rsidR="00B12DBF" w:rsidRDefault="00F50ACB" w:rsidP="00B12DBF">
      <w:pPr>
        <w:pStyle w:val="NormalWeb"/>
        <w:spacing w:before="0" w:beforeAutospacing="0" w:after="0" w:afterAutospacing="0" w:line="360" w:lineRule="auto"/>
        <w:jc w:val="center"/>
        <w:rPr>
          <w:rFonts w:ascii="Arial" w:hAnsi="Arial" w:cs="Arial"/>
          <w:color w:val="1D2125"/>
          <w:sz w:val="36"/>
          <w:szCs w:val="36"/>
          <w:shd w:val="clear" w:color="auto" w:fill="FFFFFF"/>
        </w:rPr>
      </w:pPr>
      <w:r w:rsidRPr="001B00CD">
        <w:rPr>
          <w:rFonts w:ascii="Arial" w:eastAsia="Aptos" w:hAnsi="Arial" w:cs="Arial"/>
          <w:b/>
          <w:bCs/>
          <w:color w:val="000000"/>
          <w:kern w:val="2"/>
          <w:sz w:val="36"/>
          <w:szCs w:val="36"/>
          <w:lang w:val="en-US"/>
        </w:rPr>
        <w:t>Lecturer</w:t>
      </w:r>
      <w:r w:rsidRPr="001B00CD">
        <w:rPr>
          <w:rFonts w:ascii="Arial" w:eastAsia="Aptos" w:hAnsi="Arial" w:cs="Arial"/>
          <w:b/>
          <w:bCs/>
          <w:smallCaps/>
          <w:color w:val="000000"/>
          <w:kern w:val="2"/>
          <w:sz w:val="36"/>
          <w:szCs w:val="36"/>
          <w:lang w:val="en-US"/>
        </w:rPr>
        <w:t xml:space="preserve"> </w:t>
      </w:r>
      <w:r w:rsidRPr="001B00CD">
        <w:rPr>
          <w:rFonts w:ascii="Arial" w:eastAsia="Aptos" w:hAnsi="Arial" w:cs="Arial"/>
          <w:b/>
          <w:bCs/>
          <w:color w:val="000000"/>
          <w:kern w:val="2"/>
          <w:sz w:val="36"/>
          <w:szCs w:val="36"/>
          <w:lang w:val="en-US"/>
        </w:rPr>
        <w:t xml:space="preserve">name: </w:t>
      </w:r>
      <w:r w:rsidRPr="001B00CD">
        <w:rPr>
          <w:rFonts w:ascii="Arial" w:hAnsi="Arial" w:cs="Arial"/>
          <w:color w:val="1D2125"/>
          <w:sz w:val="36"/>
          <w:szCs w:val="36"/>
          <w:shd w:val="clear" w:color="auto" w:fill="FFFFFF"/>
        </w:rPr>
        <w:t>Shaila Hussain</w:t>
      </w:r>
    </w:p>
    <w:p w14:paraId="3A346BD0" w14:textId="77777777" w:rsidR="00B12DBF" w:rsidRDefault="00B12DBF" w:rsidP="00B12DBF">
      <w:pPr>
        <w:pStyle w:val="NormalWeb"/>
        <w:spacing w:before="0" w:beforeAutospacing="0" w:after="0" w:afterAutospacing="0" w:line="360" w:lineRule="auto"/>
        <w:jc w:val="center"/>
        <w:rPr>
          <w:rFonts w:ascii="Arial" w:hAnsi="Arial" w:cs="Arial"/>
          <w:color w:val="1D2125"/>
          <w:sz w:val="36"/>
          <w:szCs w:val="36"/>
          <w:shd w:val="clear" w:color="auto" w:fill="FFFFFF"/>
        </w:rPr>
      </w:pPr>
    </w:p>
    <w:p w14:paraId="177989FB" w14:textId="4B4F3F18" w:rsidR="00B12DBF" w:rsidRPr="00B12DBF" w:rsidRDefault="00B12DBF" w:rsidP="00B12DBF">
      <w:pPr>
        <w:pStyle w:val="NormalWeb"/>
        <w:spacing w:before="0" w:beforeAutospacing="0" w:after="0" w:afterAutospacing="0" w:line="360" w:lineRule="auto"/>
        <w:jc w:val="center"/>
        <w:rPr>
          <w:rFonts w:ascii="Arial" w:hAnsi="Arial" w:cs="Arial"/>
          <w:sz w:val="36"/>
          <w:szCs w:val="36"/>
        </w:rPr>
      </w:pPr>
      <w:r>
        <w:rPr>
          <w:rFonts w:ascii="Arial" w:eastAsia="Aptos" w:hAnsi="Arial" w:cs="Arial"/>
          <w:b/>
          <w:bCs/>
          <w:color w:val="000000"/>
          <w:kern w:val="2"/>
          <w:sz w:val="48"/>
          <w:szCs w:val="48"/>
          <w:lang w:val="en-US"/>
        </w:rPr>
        <w:t>Subject:</w:t>
      </w:r>
      <w:r w:rsidRPr="00B12DBF">
        <w:rPr>
          <w:rFonts w:ascii="Arial" w:hAnsi="Arial" w:cs="Arial"/>
          <w:b/>
          <w:bCs/>
          <w:sz w:val="36"/>
          <w:szCs w:val="36"/>
        </w:rPr>
        <w:t xml:space="preserve"> </w:t>
      </w:r>
      <w:r w:rsidRPr="00EE46C5">
        <w:rPr>
          <w:rFonts w:ascii="Arial" w:hAnsi="Arial" w:cs="Arial"/>
          <w:b/>
          <w:bCs/>
          <w:sz w:val="36"/>
          <w:szCs w:val="36"/>
        </w:rPr>
        <w:t>THE CASE STUDY OF LEN,</w:t>
      </w:r>
      <w:r>
        <w:rPr>
          <w:rFonts w:ascii="Arial" w:hAnsi="Arial" w:cs="Arial"/>
          <w:b/>
          <w:bCs/>
          <w:sz w:val="36"/>
          <w:szCs w:val="36"/>
        </w:rPr>
        <w:t xml:space="preserve"> </w:t>
      </w:r>
      <w:r w:rsidRPr="00EE46C5">
        <w:rPr>
          <w:rFonts w:ascii="Arial" w:hAnsi="Arial" w:cs="Arial"/>
          <w:b/>
          <w:bCs/>
          <w:sz w:val="36"/>
          <w:szCs w:val="36"/>
        </w:rPr>
        <w:t>89-YEAR-OLD MAN</w:t>
      </w:r>
    </w:p>
    <w:p w14:paraId="0FF6FEA3" w14:textId="2CAF1942"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D47D7F3"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7BBBF8DF"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003AEDF"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7B8347C"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C5C928B" w14:textId="77777777" w:rsidR="00E61B16" w:rsidRPr="001B00CD" w:rsidRDefault="00E61B16" w:rsidP="00E61B16">
      <w:pPr>
        <w:pStyle w:val="NormalWeb"/>
        <w:spacing w:before="96" w:beforeAutospacing="0" w:after="0" w:afterAutospacing="0" w:line="216" w:lineRule="auto"/>
        <w:ind w:left="547" w:hanging="547"/>
        <w:jc w:val="center"/>
        <w:rPr>
          <w:rFonts w:ascii="Arial" w:hAnsi="Arial" w:cs="Arial"/>
          <w:sz w:val="28"/>
          <w:szCs w:val="28"/>
        </w:rPr>
      </w:pPr>
      <w:r w:rsidRPr="001B00CD">
        <w:rPr>
          <w:rFonts w:ascii="Arial" w:hAnsi="Arial" w:cs="Arial"/>
          <w:color w:val="000000"/>
          <w:kern w:val="24"/>
          <w:sz w:val="28"/>
          <w:szCs w:val="28"/>
          <w14:textFill>
            <w14:solidFill>
              <w14:srgbClr w14:val="000000">
                <w14:alpha w14:val="45000"/>
              </w14:srgbClr>
            </w14:solidFill>
          </w14:textFill>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2A5FDB39"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0D2719BE"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6E995399" w14:textId="77777777" w:rsidR="00F50ACB" w:rsidRPr="001B00CD" w:rsidRDefault="00F50ACB"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7E2687D0"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1E832192" w14:textId="77777777" w:rsidR="00595A8C" w:rsidRPr="00595A8C" w:rsidRDefault="00595A8C" w:rsidP="00595A8C">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r w:rsidRPr="00595A8C">
        <w:rPr>
          <w:rFonts w:ascii="Arial" w:eastAsia="Times New Roman" w:hAnsi="Arial" w:cs="Arial"/>
          <w:b/>
          <w:bCs/>
          <w:kern w:val="36"/>
          <w:sz w:val="24"/>
          <w:szCs w:val="24"/>
          <w:lang w:eastAsia="en-GB"/>
          <w14:ligatures w14:val="none"/>
        </w:rPr>
        <w:t>Table of Contents</w:t>
      </w:r>
    </w:p>
    <w:p w14:paraId="27ABAA3E" w14:textId="23D1F6D9" w:rsidR="00595A8C" w:rsidRPr="00595A8C" w:rsidRDefault="00595A8C" w:rsidP="00595A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1.0   Introduction ..............................................................</w:t>
      </w:r>
      <w:r>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w:t>
      </w:r>
      <w:proofErr w:type="gramEnd"/>
      <w:r w:rsidRPr="00595A8C">
        <w:rPr>
          <w:rFonts w:ascii="Arial" w:eastAsia="Times New Roman" w:hAnsi="Arial" w:cs="Arial"/>
          <w:kern w:val="0"/>
          <w:lang w:eastAsia="en-GB"/>
          <w14:ligatures w14:val="none"/>
        </w:rPr>
        <w:t>1</w:t>
      </w:r>
      <w:r w:rsidRPr="00595A8C">
        <w:rPr>
          <w:rFonts w:ascii="Arial" w:eastAsia="Times New Roman" w:hAnsi="Arial" w:cs="Arial"/>
          <w:kern w:val="0"/>
          <w:lang w:eastAsia="en-GB"/>
          <w14:ligatures w14:val="none"/>
        </w:rPr>
        <w:br/>
        <w:t>2.0   Main Body and Analysis ....................................................</w:t>
      </w:r>
      <w:r>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2  </w:t>
      </w:r>
      <w:r w:rsidRPr="00595A8C">
        <w:rPr>
          <w:rFonts w:ascii="Arial" w:eastAsia="Times New Roman" w:hAnsi="Arial" w:cs="Arial"/>
          <w:kern w:val="0"/>
          <w:lang w:eastAsia="en-GB"/>
          <w14:ligatures w14:val="none"/>
        </w:rPr>
        <w:br/>
        <w:t xml:space="preserve">2.1   Identifying the Problem and System Context (Systems Thinking Approach) .... 2  </w:t>
      </w:r>
      <w:r w:rsidRPr="00595A8C">
        <w:rPr>
          <w:rFonts w:ascii="Arial" w:eastAsia="Times New Roman" w:hAnsi="Arial" w:cs="Arial"/>
          <w:kern w:val="0"/>
          <w:lang w:eastAsia="en-GB"/>
          <w14:ligatures w14:val="none"/>
        </w:rPr>
        <w:br/>
        <w:t>2.2   Global Context of Medication Errors .......................................</w:t>
      </w:r>
      <w:r>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4  </w:t>
      </w:r>
      <w:r w:rsidRPr="00595A8C">
        <w:rPr>
          <w:rFonts w:ascii="Arial" w:eastAsia="Times New Roman" w:hAnsi="Arial" w:cs="Arial"/>
          <w:kern w:val="0"/>
          <w:lang w:eastAsia="en-GB"/>
          <w14:ligatures w14:val="none"/>
        </w:rPr>
        <w:br/>
        <w:t>2.3   National Context (United Kingdom)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6  </w:t>
      </w:r>
      <w:r w:rsidRPr="00595A8C">
        <w:rPr>
          <w:rFonts w:ascii="Arial" w:eastAsia="Times New Roman" w:hAnsi="Arial" w:cs="Arial"/>
          <w:kern w:val="0"/>
          <w:lang w:eastAsia="en-GB"/>
          <w14:ligatures w14:val="none"/>
        </w:rPr>
        <w:br/>
        <w:t>2.4   Centralisation and Decentralisation in Healthcare Systems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8  </w:t>
      </w:r>
      <w:r w:rsidRPr="00595A8C">
        <w:rPr>
          <w:rFonts w:ascii="Arial" w:eastAsia="Times New Roman" w:hAnsi="Arial" w:cs="Arial"/>
          <w:kern w:val="0"/>
          <w:lang w:eastAsia="en-GB"/>
          <w14:ligatures w14:val="none"/>
        </w:rPr>
        <w:br/>
        <w:t>2.5   Leadership Theories and Application to Len’s Case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10  </w:t>
      </w:r>
      <w:r w:rsidRPr="00595A8C">
        <w:rPr>
          <w:rFonts w:ascii="Arial" w:eastAsia="Times New Roman" w:hAnsi="Arial" w:cs="Arial"/>
          <w:kern w:val="0"/>
          <w:lang w:eastAsia="en-GB"/>
          <w14:ligatures w14:val="none"/>
        </w:rPr>
        <w:br/>
        <w:t>2.6   Leadership Effectiveness and Data Insights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13  </w:t>
      </w:r>
      <w:r w:rsidRPr="00595A8C">
        <w:rPr>
          <w:rFonts w:ascii="Arial" w:eastAsia="Times New Roman" w:hAnsi="Arial" w:cs="Arial"/>
          <w:kern w:val="0"/>
          <w:lang w:eastAsia="en-GB"/>
          <w14:ligatures w14:val="none"/>
        </w:rPr>
        <w:br/>
        <w:t>2.7   Critique, Improvements and Lessons Learned (Table 2)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15  </w:t>
      </w:r>
      <w:r w:rsidRPr="00595A8C">
        <w:rPr>
          <w:rFonts w:ascii="Arial" w:eastAsia="Times New Roman" w:hAnsi="Arial" w:cs="Arial"/>
          <w:kern w:val="0"/>
          <w:lang w:eastAsia="en-GB"/>
          <w14:ligatures w14:val="none"/>
        </w:rPr>
        <w:br/>
        <w:t>2.8   Problem–Data–Improvement Analysis (Table 3)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17  </w:t>
      </w:r>
      <w:r w:rsidRPr="00595A8C">
        <w:rPr>
          <w:rFonts w:ascii="Arial" w:eastAsia="Times New Roman" w:hAnsi="Arial" w:cs="Arial"/>
          <w:kern w:val="0"/>
          <w:lang w:eastAsia="en-GB"/>
          <w14:ligatures w14:val="none"/>
        </w:rPr>
        <w:br/>
        <w:t>2.9   Key Lessons for Healthcare Organisations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19  </w:t>
      </w:r>
      <w:r w:rsidRPr="00595A8C">
        <w:rPr>
          <w:rFonts w:ascii="Arial" w:eastAsia="Times New Roman" w:hAnsi="Arial" w:cs="Arial"/>
          <w:kern w:val="0"/>
          <w:lang w:eastAsia="en-GB"/>
          <w14:ligatures w14:val="none"/>
        </w:rPr>
        <w:br/>
        <w:t>3.0   Recommendations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21  </w:t>
      </w:r>
      <w:r w:rsidRPr="00595A8C">
        <w:rPr>
          <w:rFonts w:ascii="Arial" w:eastAsia="Times New Roman" w:hAnsi="Arial" w:cs="Arial"/>
          <w:kern w:val="0"/>
          <w:lang w:eastAsia="en-GB"/>
          <w14:ligatures w14:val="none"/>
        </w:rPr>
        <w:br/>
        <w:t>4.0   Conclusion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24  </w:t>
      </w:r>
      <w:r w:rsidRPr="00595A8C">
        <w:rPr>
          <w:rFonts w:ascii="Arial" w:eastAsia="Times New Roman" w:hAnsi="Arial" w:cs="Arial"/>
          <w:kern w:val="0"/>
          <w:lang w:eastAsia="en-GB"/>
          <w14:ligatures w14:val="none"/>
        </w:rPr>
        <w:br/>
        <w:t>5.0   References ...............................................................</w:t>
      </w:r>
      <w:r w:rsidR="00304905">
        <w:rPr>
          <w:rFonts w:ascii="Arial" w:eastAsia="Times New Roman" w:hAnsi="Arial" w:cs="Arial"/>
          <w:kern w:val="0"/>
          <w:lang w:eastAsia="en-GB"/>
          <w14:ligatures w14:val="none"/>
        </w:rPr>
        <w:t>...........................................</w:t>
      </w:r>
      <w:r w:rsidRPr="00595A8C">
        <w:rPr>
          <w:rFonts w:ascii="Arial" w:eastAsia="Times New Roman" w:hAnsi="Arial" w:cs="Arial"/>
          <w:kern w:val="0"/>
          <w:lang w:eastAsia="en-GB"/>
          <w14:ligatures w14:val="none"/>
        </w:rPr>
        <w:t xml:space="preserve"> 26  </w:t>
      </w:r>
    </w:p>
    <w:p w14:paraId="3D666743" w14:textId="77777777" w:rsidR="0087258F" w:rsidRPr="00595A8C" w:rsidRDefault="0087258F" w:rsidP="00595A8C">
      <w:pPr>
        <w:spacing w:before="100" w:beforeAutospacing="1" w:after="100" w:afterAutospacing="1" w:line="360" w:lineRule="auto"/>
        <w:outlineLvl w:val="1"/>
        <w:rPr>
          <w:rFonts w:ascii="Arial" w:eastAsia="Times New Roman" w:hAnsi="Arial" w:cs="Arial"/>
          <w:b/>
          <w:bCs/>
          <w:kern w:val="0"/>
          <w:lang w:eastAsia="en-GB"/>
          <w14:ligatures w14:val="none"/>
        </w:rPr>
      </w:pPr>
    </w:p>
    <w:p w14:paraId="02C7F134" w14:textId="77777777" w:rsidR="0087258F" w:rsidRDefault="0087258F" w:rsidP="00595A8C">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6974D6C"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22386265"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4815D0D"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D36E751"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197954B9"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B839473"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564A3D9"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0C7AB2F4"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7ADD516E" w14:textId="77777777" w:rsidR="0087258F" w:rsidRDefault="0087258F"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469C488" w14:textId="77777777" w:rsidR="001B00CD" w:rsidRDefault="001B00CD"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00A3534B" w14:textId="77777777" w:rsidR="001B00CD" w:rsidRDefault="001B00CD" w:rsidP="002D100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3022B91" w14:textId="71D8CB54" w:rsidR="00463B02" w:rsidRPr="005D465F" w:rsidRDefault="00463B02" w:rsidP="006101FE">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5D465F">
        <w:rPr>
          <w:rFonts w:ascii="Arial" w:eastAsia="Times New Roman" w:hAnsi="Arial" w:cs="Arial"/>
          <w:b/>
          <w:bCs/>
          <w:kern w:val="0"/>
          <w:sz w:val="28"/>
          <w:szCs w:val="28"/>
          <w:lang w:eastAsia="en-GB"/>
          <w14:ligatures w14:val="none"/>
        </w:rPr>
        <w:t>Introduction</w:t>
      </w:r>
    </w:p>
    <w:p w14:paraId="501B0F6F" w14:textId="649A1A67" w:rsidR="006A4EF6" w:rsidRPr="005D465F" w:rsidRDefault="006A4EF6" w:rsidP="006101FE">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5D465F">
        <w:rPr>
          <w:rFonts w:ascii="Arial" w:eastAsia="Times New Roman" w:hAnsi="Arial" w:cs="Arial"/>
          <w:b/>
          <w:bCs/>
          <w:kern w:val="0"/>
          <w:lang w:eastAsia="en-GB"/>
          <w14:ligatures w14:val="none"/>
        </w:rPr>
        <w:t>THE CASE STUDY OF LEN, 89-YEAR-OLD MAN</w:t>
      </w:r>
    </w:p>
    <w:p w14:paraId="086279F3" w14:textId="41008B78" w:rsidR="00463B02"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Patient safety </w:t>
      </w:r>
      <w:r w:rsidR="005D465F">
        <w:rPr>
          <w:rFonts w:ascii="Arial" w:eastAsia="Times New Roman" w:hAnsi="Arial" w:cs="Arial"/>
          <w:kern w:val="0"/>
          <w:lang w:eastAsia="en-GB"/>
          <w14:ligatures w14:val="none"/>
        </w:rPr>
        <w:t>is a crucial element of high-quality health and social care systems; however, preventable harm, especially medication-related errors, remains</w:t>
      </w:r>
      <w:r w:rsidRPr="006101FE">
        <w:rPr>
          <w:rFonts w:ascii="Arial" w:eastAsia="Times New Roman" w:hAnsi="Arial" w:cs="Arial"/>
          <w:kern w:val="0"/>
          <w:lang w:eastAsia="en-GB"/>
          <w14:ligatures w14:val="none"/>
        </w:rPr>
        <w:t xml:space="preserve"> a significant global issue. The case of Len, an 89-year-old gentleman diagnosed with Charcot-Marie-Tooth (CMT) disease, exemplifies how deficiencies in leadership, communication, and system design can lead to severe and avoidable consequences. After experiencing a fall accompanied by chest pain and breathlessness, Len was prescribed an oral morphine solution. Due to a misreading of the medication label, he ingested a dose far exceeding the intended amount, resulting in an accidental overdose, swift clinical decline, and </w:t>
      </w:r>
      <w:r w:rsidR="003A41A4" w:rsidRPr="006101FE">
        <w:rPr>
          <w:rFonts w:ascii="Arial" w:eastAsia="Times New Roman" w:hAnsi="Arial" w:cs="Arial"/>
          <w:kern w:val="0"/>
          <w:lang w:eastAsia="en-GB"/>
          <w14:ligatures w14:val="none"/>
        </w:rPr>
        <w:t>his</w:t>
      </w:r>
      <w:r w:rsidRPr="006101FE">
        <w:rPr>
          <w:rFonts w:ascii="Arial" w:eastAsia="Times New Roman" w:hAnsi="Arial" w:cs="Arial"/>
          <w:kern w:val="0"/>
          <w:lang w:eastAsia="en-GB"/>
          <w14:ligatures w14:val="none"/>
        </w:rPr>
        <w:t xml:space="preserve"> demise (HSSIB, 2020; 2022). Although this incident focuses on a single patient, it underscores broader systemic vulnerabilities in medication safety and organizational practices.</w:t>
      </w:r>
    </w:p>
    <w:p w14:paraId="3D5F8A6B" w14:textId="5BCF6025"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This case illustrates the intricate relationship among human factors, governance frameworks, and the effectiveness of leadership in ensuring patient </w:t>
      </w:r>
      <w:r w:rsidR="005D465F">
        <w:rPr>
          <w:rFonts w:ascii="Arial" w:eastAsia="Times New Roman" w:hAnsi="Arial" w:cs="Arial"/>
          <w:kern w:val="0"/>
          <w:lang w:eastAsia="en-GB"/>
          <w14:ligatures w14:val="none"/>
        </w:rPr>
        <w:t>well-being</w:t>
      </w:r>
      <w:r w:rsidRPr="006101FE">
        <w:rPr>
          <w:rFonts w:ascii="Arial" w:eastAsia="Times New Roman" w:hAnsi="Arial" w:cs="Arial"/>
          <w:kern w:val="0"/>
          <w:lang w:eastAsia="en-GB"/>
          <w14:ligatures w14:val="none"/>
        </w:rPr>
        <w:t xml:space="preserve">. Leadership within the realms of health and social care can be characterized as the capacity to influence both individuals and teams towards the attainment of common objectives, especially in the context of providing safe, effective, and patient-centered care (Northouse, 2021; West et al., 2015). </w:t>
      </w:r>
    </w:p>
    <w:p w14:paraId="154E0191" w14:textId="5A05D954"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lastRenderedPageBreak/>
        <w:t>The significance of effective leadership is paramount in the management of complex healthcare systems, in addressing critical incidents, and in fostering ongoing improvement. Leadership functions within governance structures that may be either centralized</w:t>
      </w:r>
      <w:r w:rsidR="003A41A4">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where decision-making power is concentrated at higher levels, or decentralized, where autonomy is granted closer to the frontline personnel. Each governance structure offers unique benefits, with centralization facilitating standardization and control, while decentralization allows for greater flexibility and responsiveness (Ferlie et al., 2011; Fulop et al., 2012).</w:t>
      </w:r>
    </w:p>
    <w:p w14:paraId="2BB808B9"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Moreover, leadership theories offer essential frameworks for comprehending the ways in which leaders impact organisational performance. Transformational leadership prioritises vision, innovation, and cultural transformation; transactional leadership centres on compliance with established rules and procedures; and situational leadership underscores the necessity of adjusting leadership styles based on the specific context (Bass and Riggio, 2006; Hersey et al., 2013). The selection of an appropriate leadership strategy is especially vital in high-risk domains such as medication management, where ineffective leadership may lead to detrimental outcomes.</w:t>
      </w:r>
    </w:p>
    <w:p w14:paraId="13DE5AB7" w14:textId="2F1A6B11"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This report seeks to conduct a critical analysis of Len's case utilizing the perspectives of systems thinking, leadership theory, and governance frameworks. It will investigate the underlying causes of the medication error, assess the influence of organizational structures, and evaluate the effectiveness of leadership within the realm of patient safety. Furthermore, the report will highlight essential lessons learned and suggest evidence-based recommendations aimed at enhancing safety and organizational performance. </w:t>
      </w:r>
      <w:r w:rsidR="003A41A4" w:rsidRPr="006101FE">
        <w:rPr>
          <w:rFonts w:ascii="Arial" w:eastAsia="Times New Roman" w:hAnsi="Arial" w:cs="Arial"/>
          <w:kern w:val="0"/>
          <w:lang w:eastAsia="en-GB"/>
          <w14:ligatures w14:val="none"/>
        </w:rPr>
        <w:t>It</w:t>
      </w:r>
      <w:r w:rsidRPr="006101FE">
        <w:rPr>
          <w:rFonts w:ascii="Arial" w:eastAsia="Times New Roman" w:hAnsi="Arial" w:cs="Arial"/>
          <w:kern w:val="0"/>
          <w:lang w:eastAsia="en-GB"/>
          <w14:ligatures w14:val="none"/>
        </w:rPr>
        <w:t xml:space="preserve"> emphasizes the necessity of integrating leadership, governance, and systems thinking to mitigate harm and improve the quality of care within health and social care organizations.</w:t>
      </w:r>
    </w:p>
    <w:p w14:paraId="7B379EE8"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34DB194B"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36797085" w14:textId="73EC6B59" w:rsidR="006101FE" w:rsidRPr="005D465F"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5D465F">
        <w:rPr>
          <w:rFonts w:ascii="Arial" w:eastAsia="Times New Roman" w:hAnsi="Arial" w:cs="Arial"/>
          <w:b/>
          <w:bCs/>
          <w:kern w:val="0"/>
          <w:sz w:val="24"/>
          <w:szCs w:val="24"/>
          <w:lang w:eastAsia="en-GB"/>
          <w14:ligatures w14:val="none"/>
        </w:rPr>
        <w:t xml:space="preserve">Identifying the Problem and System Context: Applying Systems Thinking </w:t>
      </w:r>
    </w:p>
    <w:p w14:paraId="73B434A8" w14:textId="4EBA7EF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The primary concern in Len’s situation is a critical medication error stemming from an unintentional overdose of oral morphine solution. Although it may initially seem like a singular mistake, employing a systems thinking perspective uncovers that the event was the result of numerous interrelated failures throughout the healthcare system, rather than merely an isolated human error. Systems thinking underscores the importance of comprehending how various elements within a system interact, acknowledging that negative outcomes frequently </w:t>
      </w:r>
      <w:r w:rsidRPr="006101FE">
        <w:rPr>
          <w:rFonts w:ascii="Arial" w:eastAsia="Times New Roman" w:hAnsi="Arial" w:cs="Arial"/>
          <w:kern w:val="0"/>
          <w:lang w:eastAsia="en-GB"/>
          <w14:ligatures w14:val="none"/>
        </w:rPr>
        <w:lastRenderedPageBreak/>
        <w:t>emerge from intricate relationships among individuals, processes, technologies, and organizational frameworks (Senge, 2006).</w:t>
      </w:r>
    </w:p>
    <w:p w14:paraId="4896AE23" w14:textId="0630EE0C"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Len, an 89-year-old individual diagnosed with Charcot-Marie-Tooth disease, was prescribed an oral morphine sulphate solution </w:t>
      </w:r>
      <w:r w:rsidR="00B23695">
        <w:rPr>
          <w:rFonts w:ascii="Arial" w:eastAsia="Times New Roman" w:hAnsi="Arial" w:cs="Arial"/>
          <w:kern w:val="0"/>
          <w:lang w:eastAsia="en-GB"/>
          <w14:ligatures w14:val="none"/>
        </w:rPr>
        <w:t>after</w:t>
      </w:r>
      <w:r w:rsidRPr="006101FE">
        <w:rPr>
          <w:rFonts w:ascii="Arial" w:eastAsia="Times New Roman" w:hAnsi="Arial" w:cs="Arial"/>
          <w:kern w:val="0"/>
          <w:lang w:eastAsia="en-GB"/>
          <w14:ligatures w14:val="none"/>
        </w:rPr>
        <w:t xml:space="preserve"> experiencing a fall that was accompanied by chest pain and breathlessness. The prescribed dosage ranged from 1.25 ml to 2.5 ml. However, Len misinterpreted the instructions for the medication and mistakenly administered doses of 5 ml, under the impression that the strength information provided (‘10 mg in 5 ml’) indicated the appropriate dosage. This misinterpretation resulted in an overdose, clinical deterioration, and </w:t>
      </w:r>
      <w:r w:rsidR="003A41A4" w:rsidRPr="006101FE">
        <w:rPr>
          <w:rFonts w:ascii="Arial" w:eastAsia="Times New Roman" w:hAnsi="Arial" w:cs="Arial"/>
          <w:kern w:val="0"/>
          <w:lang w:eastAsia="en-GB"/>
          <w14:ligatures w14:val="none"/>
        </w:rPr>
        <w:t>led</w:t>
      </w:r>
      <w:r w:rsidRPr="006101FE">
        <w:rPr>
          <w:rFonts w:ascii="Arial" w:eastAsia="Times New Roman" w:hAnsi="Arial" w:cs="Arial"/>
          <w:kern w:val="0"/>
          <w:lang w:eastAsia="en-GB"/>
          <w14:ligatures w14:val="none"/>
        </w:rPr>
        <w:t xml:space="preserve"> to his demise (HSSIB, 2020; 2022). This case exemplifies how flaws in system design, rather than patient negligence, played a significant role in the adverse outcome.</w:t>
      </w:r>
      <w:r w:rsidR="005D465F">
        <w:rPr>
          <w:rFonts w:ascii="Arial" w:eastAsia="Times New Roman" w:hAnsi="Arial" w:cs="Arial"/>
          <w:kern w:val="0"/>
          <w:lang w:eastAsia="en-GB"/>
          <w14:ligatures w14:val="none"/>
        </w:rPr>
        <w:t xml:space="preserve"> F</w:t>
      </w:r>
      <w:r w:rsidRPr="006101FE">
        <w:rPr>
          <w:rFonts w:ascii="Arial" w:eastAsia="Times New Roman" w:hAnsi="Arial" w:cs="Arial"/>
          <w:kern w:val="0"/>
          <w:lang w:eastAsia="en-GB"/>
          <w14:ligatures w14:val="none"/>
        </w:rPr>
        <w:t xml:space="preserve">rom a systems perspective, multiple interconnected factors played a role in the incident. To begin with, the design of the medication </w:t>
      </w:r>
      <w:r w:rsidR="005D465F" w:rsidRPr="006101FE">
        <w:rPr>
          <w:rFonts w:ascii="Arial" w:eastAsia="Times New Roman" w:hAnsi="Arial" w:cs="Arial"/>
          <w:kern w:val="0"/>
          <w:lang w:eastAsia="en-GB"/>
          <w14:ligatures w14:val="none"/>
        </w:rPr>
        <w:t>labelling</w:t>
      </w:r>
      <w:r w:rsidRPr="006101FE">
        <w:rPr>
          <w:rFonts w:ascii="Arial" w:eastAsia="Times New Roman" w:hAnsi="Arial" w:cs="Arial"/>
          <w:kern w:val="0"/>
          <w:lang w:eastAsia="en-GB"/>
          <w14:ligatures w14:val="none"/>
        </w:rPr>
        <w:t xml:space="preserve"> led to confusion. The dispensing label, which included dosage instructions, was affixed to the outer packaging instead of the medication bottle itself, while the manufacturer’s label prominently featured the concentration. This design flaw heightened cognitive load and complicated patients' ability to accurately interpret the instructions. Human factors engineering emphasizes that systems ought to be designed with consideration for human limitations, especially in high-risk settings such as healthcare (Carayon et al., 2014).</w:t>
      </w:r>
    </w:p>
    <w:p w14:paraId="4FBCD649"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Secondly, failures in communication were pivotal. Healthcare professionals did not sufficiently ensure that Len and his spouse comprehended the correct method for administering the medication. The lack of verification techniques, such as the teach-back method, resulted in misunderstandings remaining unrecognized and unaddressed. Communication failures are widely acknowledged as a primary contributor to adverse events within the healthcare sector (The Joint Commission, 2015).</w:t>
      </w:r>
    </w:p>
    <w:p w14:paraId="31201734" w14:textId="0AF936D9"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Thirdly, the structures of governance and accountability were disjointed. The responsibility for medication safety was dispersed among various stakeholders, including prescribers, pharmacists, regulatory agencies, and manufacturers. Nevertheless, no singular entity was tasked with guaranteeing comprehensive safety. This disjointedness led to oversight gaps, permitting unsafe practices</w:t>
      </w:r>
      <w:r w:rsidR="005D465F">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 xml:space="preserve">such as inconsistent </w:t>
      </w:r>
      <w:r w:rsidR="005D465F" w:rsidRPr="006101FE">
        <w:rPr>
          <w:rFonts w:ascii="Arial" w:eastAsia="Times New Roman" w:hAnsi="Arial" w:cs="Arial"/>
          <w:kern w:val="0"/>
          <w:lang w:eastAsia="en-GB"/>
          <w14:ligatures w14:val="none"/>
        </w:rPr>
        <w:t>labelling</w:t>
      </w:r>
      <w:r w:rsidR="005D465F">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to continue.</w:t>
      </w:r>
    </w:p>
    <w:p w14:paraId="4AF4483E" w14:textId="28EAC102"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Globally, medication errors pose a significant challenge to patient safety. The World Health Organization (WHO) estimates that harm related to medication impacts millions of patients each year and incurs costs of around $42 billion globally (WHO, 2017). Notably, </w:t>
      </w:r>
      <w:proofErr w:type="gramStart"/>
      <w:r w:rsidRPr="006101FE">
        <w:rPr>
          <w:rFonts w:ascii="Arial" w:eastAsia="Times New Roman" w:hAnsi="Arial" w:cs="Arial"/>
          <w:kern w:val="0"/>
          <w:lang w:eastAsia="en-GB"/>
          <w14:ligatures w14:val="none"/>
        </w:rPr>
        <w:t>a large portion</w:t>
      </w:r>
      <w:proofErr w:type="gramEnd"/>
      <w:r w:rsidRPr="006101FE">
        <w:rPr>
          <w:rFonts w:ascii="Arial" w:eastAsia="Times New Roman" w:hAnsi="Arial" w:cs="Arial"/>
          <w:kern w:val="0"/>
          <w:lang w:eastAsia="en-GB"/>
          <w14:ligatures w14:val="none"/>
        </w:rPr>
        <w:t xml:space="preserve"> of these errors is preventable and typically arises from systemic deficiencies rather than individual carelessness. Elderly individuals, such as Len, are especially at risk due to factors </w:t>
      </w:r>
      <w:r w:rsidRPr="006101FE">
        <w:rPr>
          <w:rFonts w:ascii="Arial" w:eastAsia="Times New Roman" w:hAnsi="Arial" w:cs="Arial"/>
          <w:kern w:val="0"/>
          <w:lang w:eastAsia="en-GB"/>
          <w14:ligatures w14:val="none"/>
        </w:rPr>
        <w:lastRenderedPageBreak/>
        <w:t>such as polypharmacy, physiological alterations, and heightened vulnerability to adverse drug reactions (Maher et al., 2014; Wimmer et al., 2017).</w:t>
      </w:r>
    </w:p>
    <w:p w14:paraId="177BDD90" w14:textId="49929899"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In the United Kingdom, the prevalence of medication errors is similarly alarming. Data from the NHS indicates that roughly 237 million medication errors are reported annually, with a </w:t>
      </w:r>
      <w:proofErr w:type="gramStart"/>
      <w:r w:rsidRPr="006101FE">
        <w:rPr>
          <w:rFonts w:ascii="Arial" w:eastAsia="Times New Roman" w:hAnsi="Arial" w:cs="Arial"/>
          <w:kern w:val="0"/>
          <w:lang w:eastAsia="en-GB"/>
          <w14:ligatures w14:val="none"/>
        </w:rPr>
        <w:t>significant number</w:t>
      </w:r>
      <w:proofErr w:type="gramEnd"/>
      <w:r w:rsidRPr="006101FE">
        <w:rPr>
          <w:rFonts w:ascii="Arial" w:eastAsia="Times New Roman" w:hAnsi="Arial" w:cs="Arial"/>
          <w:kern w:val="0"/>
          <w:lang w:eastAsia="en-GB"/>
          <w14:ligatures w14:val="none"/>
        </w:rPr>
        <w:t xml:space="preserve"> being clinically relevant (Elliott et al., 2018). A considerable amount of these errors </w:t>
      </w:r>
      <w:r w:rsidR="005D465F" w:rsidRPr="006101FE">
        <w:rPr>
          <w:rFonts w:ascii="Arial" w:eastAsia="Times New Roman" w:hAnsi="Arial" w:cs="Arial"/>
          <w:kern w:val="0"/>
          <w:lang w:eastAsia="en-GB"/>
          <w14:ligatures w14:val="none"/>
        </w:rPr>
        <w:t>transpires</w:t>
      </w:r>
      <w:r w:rsidRPr="006101FE">
        <w:rPr>
          <w:rFonts w:ascii="Arial" w:eastAsia="Times New Roman" w:hAnsi="Arial" w:cs="Arial"/>
          <w:kern w:val="0"/>
          <w:lang w:eastAsia="en-GB"/>
          <w14:ligatures w14:val="none"/>
        </w:rPr>
        <w:t xml:space="preserve"> in community and primary care environments, where patients are tasked with the self-administration of their medications. This underscores the necessity for effective communication, well-designed systems, and strong governance measures.</w:t>
      </w:r>
      <w:r w:rsidR="005D465F">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 xml:space="preserve">A systems thinking perspective also underscores the lack of effective feedback mechanisms. In Len's situation, the system reacted only after damage had occurred, rather than taking proactive measures to identify and mitigate potential risks. According to Reason's (2000) Swiss Cheese Model, adverse events transpire when multiple layers of </w:t>
      </w:r>
      <w:r w:rsidR="005D465F" w:rsidRPr="006101FE">
        <w:rPr>
          <w:rFonts w:ascii="Arial" w:eastAsia="Times New Roman" w:hAnsi="Arial" w:cs="Arial"/>
          <w:kern w:val="0"/>
          <w:lang w:eastAsia="en-GB"/>
          <w14:ligatures w14:val="none"/>
        </w:rPr>
        <w:t>defence</w:t>
      </w:r>
      <w:r w:rsidRPr="006101FE">
        <w:rPr>
          <w:rFonts w:ascii="Arial" w:eastAsia="Times New Roman" w:hAnsi="Arial" w:cs="Arial"/>
          <w:kern w:val="0"/>
          <w:lang w:eastAsia="en-GB"/>
          <w14:ligatures w14:val="none"/>
        </w:rPr>
        <w:t xml:space="preserve"> fail concurrently. In this instance, failures in </w:t>
      </w:r>
      <w:r w:rsidR="005D465F" w:rsidRPr="006101FE">
        <w:rPr>
          <w:rFonts w:ascii="Arial" w:eastAsia="Times New Roman" w:hAnsi="Arial" w:cs="Arial"/>
          <w:kern w:val="0"/>
          <w:lang w:eastAsia="en-GB"/>
          <w14:ligatures w14:val="none"/>
        </w:rPr>
        <w:t>labelling</w:t>
      </w:r>
      <w:r w:rsidRPr="006101FE">
        <w:rPr>
          <w:rFonts w:ascii="Arial" w:eastAsia="Times New Roman" w:hAnsi="Arial" w:cs="Arial"/>
          <w:kern w:val="0"/>
          <w:lang w:eastAsia="en-GB"/>
          <w14:ligatures w14:val="none"/>
        </w:rPr>
        <w:t>, communication, governance, and monitoring converged to form a pathway for harm.</w:t>
      </w:r>
    </w:p>
    <w:p w14:paraId="7A0C9323" w14:textId="5F5B4358"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In conclusion, Len's case illustrates that medication errors are seldom the outcome of a singular failure. Rather, they arise from intricate interactions within healthcare systems. Tackling such challenges necessitates a comprehensive approach that </w:t>
      </w:r>
      <w:r w:rsidR="00B23695" w:rsidRPr="006101FE">
        <w:rPr>
          <w:rFonts w:ascii="Arial" w:eastAsia="Times New Roman" w:hAnsi="Arial" w:cs="Arial"/>
          <w:kern w:val="0"/>
          <w:lang w:eastAsia="en-GB"/>
          <w14:ligatures w14:val="none"/>
        </w:rPr>
        <w:t>considers</w:t>
      </w:r>
      <w:r w:rsidRPr="006101FE">
        <w:rPr>
          <w:rFonts w:ascii="Arial" w:eastAsia="Times New Roman" w:hAnsi="Arial" w:cs="Arial"/>
          <w:kern w:val="0"/>
          <w:lang w:eastAsia="en-GB"/>
          <w14:ligatures w14:val="none"/>
        </w:rPr>
        <w:t xml:space="preserve"> human factors, system design, communication, and governance. By embracing systems thinking, healthcare organizations can transcend the tendency to blame individuals and instead concentrate on fostering safer, more resilient systems.</w:t>
      </w:r>
    </w:p>
    <w:p w14:paraId="4EA74E06"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5477D483" w14:textId="476D8BF0" w:rsidR="006101FE" w:rsidRPr="005D465F"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5D465F">
        <w:rPr>
          <w:rFonts w:ascii="Arial" w:eastAsia="Times New Roman" w:hAnsi="Arial" w:cs="Arial"/>
          <w:b/>
          <w:bCs/>
          <w:kern w:val="0"/>
          <w:sz w:val="24"/>
          <w:szCs w:val="24"/>
          <w:lang w:eastAsia="en-GB"/>
          <w14:ligatures w14:val="none"/>
        </w:rPr>
        <w:t xml:space="preserve">Centralisation and Decentralisation  </w:t>
      </w:r>
    </w:p>
    <w:p w14:paraId="57D39D59"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The healthcare system pertinent to Len’s case functions within a hybrid framework that integrates aspects of both centralisation and decentralisation. Grasping how these structural configurations have impacted the outcomes is essential for assessing system efficacy and pinpointing opportunities for enhancement.</w:t>
      </w:r>
    </w:p>
    <w:p w14:paraId="4553BF31" w14:textId="00C6706C"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Centralisation denotes the consolidation of decision-making power at elevated tiers of an organisation. Within the UK healthcare framework, centralised entities such as NHS England and various regulatory bodies formulate national policies, guidelines, and standards pertaining to medication safety. This methodology fosters uniformity, standardisation, and regulatory supervision. For instance, national prescribing guidelines alongside controlled drug </w:t>
      </w:r>
      <w:r w:rsidRPr="006101FE">
        <w:rPr>
          <w:rFonts w:ascii="Arial" w:eastAsia="Times New Roman" w:hAnsi="Arial" w:cs="Arial"/>
          <w:kern w:val="0"/>
          <w:lang w:eastAsia="en-GB"/>
          <w14:ligatures w14:val="none"/>
        </w:rPr>
        <w:lastRenderedPageBreak/>
        <w:t>regulations establish a comprehensive framework for the secure administration of medications.</w:t>
      </w:r>
    </w:p>
    <w:p w14:paraId="01EDE917"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Nevertheless, the Len case reveals significant shortcomings associated with centralisation. Although there are established guidelines concerning medication labelling and patient safety, many of these guidelines lack legal enforcement. For example, best practice recommendations indicate that dosage instructions ought to be prominently displayed on medication containers; however, there is no obligatory requirement to guarantee this practice. Consequently, variability in practice continues to exist across various healthcare environments. This situation underscores a fundamental flaw of centralisation: the disparity between policy formulation and actual implementation.</w:t>
      </w:r>
    </w:p>
    <w:p w14:paraId="1332ACF7" w14:textId="3151BE83"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In contrast, decentralisation entails the delegation of decision-making authority to local entities, such as general practitioner (GP) practices and community pharmacies. This approach enables healthcare professionals to customize care according to the specific needs of individual patients and to adapt responsively to local circumstances. Theoretically, decentralisation promotes patient-centred care and improves overall responsiveness.</w:t>
      </w:r>
    </w:p>
    <w:p w14:paraId="2D1BE3B6" w14:textId="4FFCA056"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In Len's situation, the process of decentralisation enabled the dispensing pharmacy to control the application of medication labels and the delivery of patient counselling. Although this degree of flexibility can prove advantageous, it simultaneously introduces variability and associated risks. In the absence of robust standardisation and oversight, decentralised systems may result in inconsistent practices that jeopardise patient safety.</w:t>
      </w:r>
      <w:r w:rsidR="005D465F">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 xml:space="preserve">Research demonstrates that patient misunderstanding significantly contributes to medication errors within community environments. Studies indicate that as many as 40% of medication errors stem from the misinterpretation of instructions, particularly among the elderly population (Naseralallah et al., 2023). </w:t>
      </w:r>
    </w:p>
    <w:p w14:paraId="1CD10870" w14:textId="4B230EF4"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This issue is particularly pertinent in Len's scenario, where failures in communication and labelling directly led to the overdose. The interplay between centralisation and decentralisation in this instance highlights a notable lack of alignment. Centralised policies failed to adequately enforce safety standards, while decentralised practices were devoid of sufficient safeguards to guarantee consistent implementation. This misalignment resulted in a system where risks were not effectively mitigated.</w:t>
      </w:r>
    </w:p>
    <w:p w14:paraId="170A2FA7" w14:textId="22E18969"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Moreover, the accountability within the system was ambiguous. Although numerous stakeholders participated in the medication process, no singular entity was tasked with the responsibility of ensuring overall safety. This dispersion of responsibility is a prevalent </w:t>
      </w:r>
      <w:r w:rsidRPr="006101FE">
        <w:rPr>
          <w:rFonts w:ascii="Arial" w:eastAsia="Times New Roman" w:hAnsi="Arial" w:cs="Arial"/>
          <w:kern w:val="0"/>
          <w:lang w:eastAsia="en-GB"/>
          <w14:ligatures w14:val="none"/>
        </w:rPr>
        <w:lastRenderedPageBreak/>
        <w:t>challenge in intricate healthcare systems and may result in care deficiencies. A more effective strategy would entail a careful balance between centralisation and decentralisation. Centralised systems ought to implement obligatory safety standards, especially for high-risk medications such as opioids. Concurrently, decentralised systems should receive support through training, resources, and monitoring to guarantee safe execution.</w:t>
      </w:r>
    </w:p>
    <w:p w14:paraId="41270632" w14:textId="3EB5CEDF"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Furthermore, a more robust integration among various levels of the system is essential. This encompasses enhanced communication among policymakers, healthcare providers, and patients, in addition to improved coordination of safety initiatives. Data-driven monitoring and feedback mechanisms can also assist in identifying risks and fostering continuous enhancement.</w:t>
      </w:r>
    </w:p>
    <w:p w14:paraId="67FD013F" w14:textId="7A9CCA01"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In summary, Len's situation underscores the difficulties associated with the management of hybrid healthcare systems. Although both centralization and decentralization present certain benefits, their success is contingent upon the degree to which they are harmonized. In the absence of explicit standards, accountability, and coordination, these frameworks may lead to systemic failures instead of averting them.</w:t>
      </w:r>
    </w:p>
    <w:p w14:paraId="7574391E"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343F9107" w14:textId="6EA3F0CF" w:rsidR="006101FE" w:rsidRPr="005D465F"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5D465F">
        <w:rPr>
          <w:rFonts w:ascii="Arial" w:eastAsia="Times New Roman" w:hAnsi="Arial" w:cs="Arial"/>
          <w:b/>
          <w:bCs/>
          <w:kern w:val="0"/>
          <w:sz w:val="24"/>
          <w:szCs w:val="24"/>
          <w:lang w:eastAsia="en-GB"/>
          <w14:ligatures w14:val="none"/>
        </w:rPr>
        <w:t>Leadership Theories and Their Application</w:t>
      </w:r>
    </w:p>
    <w:p w14:paraId="22E2E109"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Leadership is integral to the development of organisational culture, the influence of behaviour, and the assurance of patient safety. In the context of Len’s case, the efficacy of leadership can be examined through prominent leadership theories, such as transformational, transactional, and situational leadership.</w:t>
      </w:r>
    </w:p>
    <w:p w14:paraId="17FA4B6B" w14:textId="482337DE"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Transformational leadership is centred on the inspiration and motivation of individuals to realise a collective vision, fostering innovation, and cultivating a culture of ongoing improvement (Bass and Riggio, 2006). Within the healthcare sector, transformational leaders place a premium on patient safety, promote a culture of learning, and assist staff in recognising and mitigating risks. Research indicates that organisations characterised by robust transformational leadership exhibit superior patient outcomes, enhanced staff engagement, and lower mortality rates (West et al., 2015).</w:t>
      </w:r>
    </w:p>
    <w:p w14:paraId="7FA85ED5" w14:textId="0812D6F8"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In the situation concerning Len, there is minimal evidence supporting the presence of transformational leadership. An effective safety culture would have proactively recognized the risks linked to morphine usage, enhanced medication </w:t>
      </w:r>
      <w:r w:rsidR="005D465F" w:rsidRPr="006101FE">
        <w:rPr>
          <w:rFonts w:ascii="Arial" w:eastAsia="Times New Roman" w:hAnsi="Arial" w:cs="Arial"/>
          <w:kern w:val="0"/>
          <w:lang w:eastAsia="en-GB"/>
          <w14:ligatures w14:val="none"/>
        </w:rPr>
        <w:t>labelling</w:t>
      </w:r>
      <w:r w:rsidRPr="006101FE">
        <w:rPr>
          <w:rFonts w:ascii="Arial" w:eastAsia="Times New Roman" w:hAnsi="Arial" w:cs="Arial"/>
          <w:kern w:val="0"/>
          <w:lang w:eastAsia="en-GB"/>
          <w14:ligatures w14:val="none"/>
        </w:rPr>
        <w:t xml:space="preserve">, and emphasized the </w:t>
      </w:r>
      <w:r w:rsidRPr="006101FE">
        <w:rPr>
          <w:rFonts w:ascii="Arial" w:eastAsia="Times New Roman" w:hAnsi="Arial" w:cs="Arial"/>
          <w:kern w:val="0"/>
          <w:lang w:eastAsia="en-GB"/>
          <w14:ligatures w14:val="none"/>
        </w:rPr>
        <w:lastRenderedPageBreak/>
        <w:t>importance of effective communication. Conversely, the system only responded after harm had transpired, which suggests a deficiency in visionary leadership.</w:t>
      </w:r>
    </w:p>
    <w:p w14:paraId="51DCBCA2"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On the other hand, transactional leadership is characterized by its emphasis on maintaining stability through strict adherence to established rules, procedures, and performance monitoring (Burns, 1978). This leadership style is crucial for ensuring compliance with clinical guidelines and upholding baseline standards. In Len's scenario, the presence of prescribing protocols and dispensing procedures illustrated the application of transactional leadership.</w:t>
      </w:r>
    </w:p>
    <w:p w14:paraId="1DB8E0A3" w14:textId="79BF2825"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Nevertheless, relying solely on transactional leadership is inadequate in the context of complex healthcare environments. Although rules were adhered to, they failed to tackle the fundamental issue of patient comprehension. This underscores a significant limitation of transactional leadership: it tends to prioritize compliance at the expense of critical thinking and adaptability. Research has shown that strict adherence to protocols can occasionally lead to negative outcomes if contextual factors are overlooked (Braithwaite et al., 2017).</w:t>
      </w:r>
    </w:p>
    <w:p w14:paraId="6FF20C1C" w14:textId="2706C66A"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Situational leadership underscores the necessity of modifying leadership styles according to the context and the individual requirements (Hersey et al., 2013). In the realm of healthcare, this necessitates the customization of communication and care to align with the unique attributes of patients. Considering Len’s advanced age and </w:t>
      </w:r>
      <w:r w:rsidR="003A41A4" w:rsidRPr="006101FE">
        <w:rPr>
          <w:rFonts w:ascii="Arial" w:eastAsia="Times New Roman" w:hAnsi="Arial" w:cs="Arial"/>
          <w:kern w:val="0"/>
          <w:lang w:eastAsia="en-GB"/>
          <w14:ligatures w14:val="none"/>
        </w:rPr>
        <w:t>vulnerabilities</w:t>
      </w:r>
      <w:r w:rsidRPr="006101FE">
        <w:rPr>
          <w:rFonts w:ascii="Arial" w:eastAsia="Times New Roman" w:hAnsi="Arial" w:cs="Arial"/>
          <w:kern w:val="0"/>
          <w:lang w:eastAsia="en-GB"/>
          <w14:ligatures w14:val="none"/>
        </w:rPr>
        <w:t xml:space="preserve">, a situational leadership methodology would have emphasised the importance of clear communication, simplified instructions, and the confirmation of understanding. The lack of situational leadership in this instance is apparent in the failure to adjust communication strategies. Healthcare professionals did not sufficiently </w:t>
      </w:r>
      <w:r w:rsidR="00B23695" w:rsidRPr="006101FE">
        <w:rPr>
          <w:rFonts w:ascii="Arial" w:eastAsia="Times New Roman" w:hAnsi="Arial" w:cs="Arial"/>
          <w:kern w:val="0"/>
          <w:lang w:eastAsia="en-GB"/>
          <w14:ligatures w14:val="none"/>
        </w:rPr>
        <w:t>consider</w:t>
      </w:r>
      <w:r w:rsidRPr="006101FE">
        <w:rPr>
          <w:rFonts w:ascii="Arial" w:eastAsia="Times New Roman" w:hAnsi="Arial" w:cs="Arial"/>
          <w:kern w:val="0"/>
          <w:lang w:eastAsia="en-GB"/>
          <w14:ligatures w14:val="none"/>
        </w:rPr>
        <w:t xml:space="preserve"> Len’s needs or ensure that he comprehended how to utilize the medication safely. This deficiency in adaptability directly contributed to the error.</w:t>
      </w:r>
    </w:p>
    <w:p w14:paraId="4AB532BC" w14:textId="56915CDE"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Furthermore, a crucial element of leadership is the differentiation between reactive and </w:t>
      </w:r>
      <w:r w:rsidR="003A41A4" w:rsidRPr="006101FE">
        <w:rPr>
          <w:rFonts w:ascii="Arial" w:eastAsia="Times New Roman" w:hAnsi="Arial" w:cs="Arial"/>
          <w:kern w:val="0"/>
          <w:lang w:eastAsia="en-GB"/>
          <w14:ligatures w14:val="none"/>
        </w:rPr>
        <w:t>initiative-taking</w:t>
      </w:r>
      <w:r w:rsidRPr="006101FE">
        <w:rPr>
          <w:rFonts w:ascii="Arial" w:eastAsia="Times New Roman" w:hAnsi="Arial" w:cs="Arial"/>
          <w:kern w:val="0"/>
          <w:lang w:eastAsia="en-GB"/>
          <w14:ligatures w14:val="none"/>
        </w:rPr>
        <w:t xml:space="preserve"> strategies. In Len’s situation, leadership was predominantly reactive, addressing the incident post-occurrence rather than taking measures to avert it. </w:t>
      </w:r>
      <w:r w:rsidR="003A41A4" w:rsidRPr="006101FE">
        <w:rPr>
          <w:rFonts w:ascii="Arial" w:eastAsia="Times New Roman" w:hAnsi="Arial" w:cs="Arial"/>
          <w:kern w:val="0"/>
          <w:lang w:eastAsia="en-GB"/>
          <w14:ligatures w14:val="none"/>
        </w:rPr>
        <w:t>Initiative-taking</w:t>
      </w:r>
      <w:r w:rsidRPr="006101FE">
        <w:rPr>
          <w:rFonts w:ascii="Arial" w:eastAsia="Times New Roman" w:hAnsi="Arial" w:cs="Arial"/>
          <w:kern w:val="0"/>
          <w:lang w:eastAsia="en-GB"/>
          <w14:ligatures w14:val="none"/>
        </w:rPr>
        <w:t xml:space="preserve"> leadership entails the anticipation of risks, the implementation of protective measures, and the ongoing assessment of system performance.</w:t>
      </w:r>
    </w:p>
    <w:p w14:paraId="3FACC380" w14:textId="12796E4D"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Emotional intelligence constitutes a vital element of proficient leadership. Leaders who possess elevated emotional intelligence exhibit empathy, proficient communication skills, and a comprehensive understanding of patient requirements (Goleman, 1998). In this instance, adopting a more patient-centered methodology could have averted the mistake by guaranteeing that Len and his spouse comprehensively grasped the medication directives.</w:t>
      </w:r>
    </w:p>
    <w:p w14:paraId="1D87ED94" w14:textId="02B21811" w:rsidR="00687985" w:rsidRDefault="00687985" w:rsidP="00687985">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lastRenderedPageBreak/>
        <w:t xml:space="preserve">Application of Leadership Theories </w:t>
      </w:r>
    </w:p>
    <w:tbl>
      <w:tblPr>
        <w:tblpPr w:leftFromText="180" w:rightFromText="180" w:vertAnchor="text" w:horzAnchor="margin" w:tblpXSpec="center" w:tblpY="63"/>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3"/>
        <w:gridCol w:w="1866"/>
        <w:gridCol w:w="1757"/>
        <w:gridCol w:w="2005"/>
        <w:gridCol w:w="2042"/>
      </w:tblGrid>
      <w:tr w:rsidR="00687985" w14:paraId="1AC2A9C9" w14:textId="77777777" w:rsidTr="00284C54">
        <w:trPr>
          <w:trHeight w:val="974"/>
        </w:trPr>
        <w:tc>
          <w:tcPr>
            <w:tcW w:w="2557" w:type="dxa"/>
          </w:tcPr>
          <w:p w14:paraId="58FBBDAC" w14:textId="39A5DAC3"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Leadership Theory</w:t>
            </w:r>
          </w:p>
          <w:p w14:paraId="4CA85D7B" w14:textId="77777777" w:rsidR="00687985" w:rsidRDefault="00687985"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p>
        </w:tc>
        <w:tc>
          <w:tcPr>
            <w:tcW w:w="1677" w:type="dxa"/>
          </w:tcPr>
          <w:p w14:paraId="72170408" w14:textId="782AECB8" w:rsidR="00687985" w:rsidRPr="000B26C5" w:rsidRDefault="00284C54" w:rsidP="00687985">
            <w:pPr>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Key Characteristics</w:t>
            </w:r>
          </w:p>
          <w:p w14:paraId="7802AAA1" w14:textId="77777777" w:rsidR="00687985" w:rsidRDefault="00687985"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p>
        </w:tc>
        <w:tc>
          <w:tcPr>
            <w:tcW w:w="1710" w:type="dxa"/>
          </w:tcPr>
          <w:p w14:paraId="1958C8EB" w14:textId="017539B8" w:rsidR="00687985" w:rsidRPr="000B26C5" w:rsidRDefault="00284C54" w:rsidP="00687985">
            <w:pPr>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 xml:space="preserve">Evidence in </w:t>
            </w:r>
            <w:r w:rsidRPr="000B26C5">
              <w:rPr>
                <w:rFonts w:ascii="Arial" w:eastAsia="Times New Roman" w:hAnsi="Arial" w:cs="Arial"/>
                <w:b/>
                <w:bCs/>
                <w:kern w:val="0"/>
                <w:lang w:eastAsia="en-GB"/>
                <w14:ligatures w14:val="none"/>
              </w:rPr>
              <w:t xml:space="preserve">the </w:t>
            </w:r>
            <w:r w:rsidRPr="006101FE">
              <w:rPr>
                <w:rFonts w:ascii="Arial" w:eastAsia="Times New Roman" w:hAnsi="Arial" w:cs="Arial"/>
                <w:b/>
                <w:bCs/>
                <w:kern w:val="0"/>
                <w:lang w:eastAsia="en-GB"/>
                <w14:ligatures w14:val="none"/>
              </w:rPr>
              <w:t>Case</w:t>
            </w:r>
          </w:p>
          <w:p w14:paraId="7E209E88" w14:textId="77777777" w:rsidR="00687985" w:rsidRDefault="00687985"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p>
        </w:tc>
        <w:tc>
          <w:tcPr>
            <w:tcW w:w="2071" w:type="dxa"/>
          </w:tcPr>
          <w:p w14:paraId="69A19558" w14:textId="5A3ED9BB" w:rsidR="00687985" w:rsidRPr="000B26C5" w:rsidRDefault="00284C54" w:rsidP="00284C54">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Impact on Patient Safety</w:t>
            </w:r>
          </w:p>
        </w:tc>
        <w:tc>
          <w:tcPr>
            <w:tcW w:w="2328" w:type="dxa"/>
          </w:tcPr>
          <w:p w14:paraId="76EB4135" w14:textId="48241359" w:rsidR="00687985" w:rsidRPr="000B26C5" w:rsidRDefault="00284C54" w:rsidP="00687985">
            <w:pPr>
              <w:rPr>
                <w:rFonts w:ascii="Arial" w:eastAsia="Times New Roman" w:hAnsi="Arial" w:cs="Arial"/>
                <w:b/>
                <w:bCs/>
                <w:kern w:val="0"/>
                <w:lang w:eastAsia="en-GB"/>
                <w14:ligatures w14:val="none"/>
              </w:rPr>
            </w:pPr>
            <w:r w:rsidRPr="000B26C5">
              <w:rPr>
                <w:rFonts w:ascii="Arial" w:eastAsia="Times New Roman" w:hAnsi="Arial" w:cs="Arial"/>
                <w:b/>
                <w:bCs/>
                <w:kern w:val="0"/>
                <w:lang w:eastAsia="en-GB"/>
                <w14:ligatures w14:val="none"/>
              </w:rPr>
              <w:t>Critical Evaluation</w:t>
            </w:r>
          </w:p>
          <w:p w14:paraId="3A319234" w14:textId="77777777" w:rsidR="00687985" w:rsidRDefault="00687985"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p>
        </w:tc>
      </w:tr>
      <w:tr w:rsidR="00687985" w14:paraId="069B7E51" w14:textId="77777777" w:rsidTr="00284C54">
        <w:trPr>
          <w:trHeight w:val="818"/>
        </w:trPr>
        <w:tc>
          <w:tcPr>
            <w:tcW w:w="2557" w:type="dxa"/>
          </w:tcPr>
          <w:p w14:paraId="38F85624" w14:textId="63754788"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Transformational Leadership</w:t>
            </w:r>
          </w:p>
        </w:tc>
        <w:tc>
          <w:tcPr>
            <w:tcW w:w="1677" w:type="dxa"/>
          </w:tcPr>
          <w:p w14:paraId="2A0D7FEA" w14:textId="35309B55" w:rsidR="00687985" w:rsidRDefault="00284C54" w:rsidP="00284C54">
            <w:pPr>
              <w:spacing w:before="100" w:beforeAutospacing="1" w:after="100" w:afterAutospacing="1" w:line="360" w:lineRule="auto"/>
              <w:jc w:val="both"/>
              <w:outlineLvl w:val="2"/>
              <w:rPr>
                <w:rFonts w:ascii="Arial" w:eastAsia="Times New Roman" w:hAnsi="Arial" w:cs="Arial"/>
                <w:kern w:val="0"/>
                <w:lang w:eastAsia="en-GB"/>
                <w14:ligatures w14:val="none"/>
              </w:rPr>
            </w:pPr>
            <w:r w:rsidRPr="00284C54">
              <w:rPr>
                <w:rFonts w:ascii="Arial" w:eastAsia="Times New Roman" w:hAnsi="Arial" w:cs="Arial"/>
                <w:kern w:val="0"/>
                <w:lang w:eastAsia="en-GB"/>
                <w14:ligatures w14:val="none"/>
              </w:rPr>
              <w:t>Vision, innovation, safety culture</w:t>
            </w:r>
          </w:p>
        </w:tc>
        <w:tc>
          <w:tcPr>
            <w:tcW w:w="1710" w:type="dxa"/>
          </w:tcPr>
          <w:p w14:paraId="62F10FDE" w14:textId="623E5873" w:rsidR="00687985" w:rsidRDefault="00284C54"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Limited evidence</w:t>
            </w:r>
          </w:p>
        </w:tc>
        <w:tc>
          <w:tcPr>
            <w:tcW w:w="2071" w:type="dxa"/>
          </w:tcPr>
          <w:p w14:paraId="54FAAC03" w14:textId="27C7C454" w:rsidR="00687985" w:rsidRDefault="00284C54" w:rsidP="00284C54">
            <w:pPr>
              <w:spacing w:before="100" w:beforeAutospacing="1" w:after="100" w:afterAutospacing="1" w:line="360" w:lineRule="auto"/>
              <w:jc w:val="both"/>
              <w:outlineLvl w:val="2"/>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Weak</w:t>
            </w:r>
            <w:r>
              <w:rPr>
                <w:rFonts w:ascii="Arial" w:eastAsia="Times New Roman" w:hAnsi="Arial" w:cs="Arial"/>
                <w:kern w:val="0"/>
                <w:lang w:eastAsia="en-GB"/>
                <w14:ligatures w14:val="none"/>
              </w:rPr>
              <w:t xml:space="preserve"> </w:t>
            </w:r>
            <w:r w:rsidRPr="006101FE">
              <w:rPr>
                <w:rFonts w:ascii="Arial" w:eastAsia="Times New Roman" w:hAnsi="Arial" w:cs="Arial"/>
                <w:kern w:val="0"/>
                <w:lang w:eastAsia="en-GB"/>
                <w14:ligatures w14:val="none"/>
              </w:rPr>
              <w:t>safety culture, lack of proactive risk management</w:t>
            </w:r>
          </w:p>
        </w:tc>
        <w:tc>
          <w:tcPr>
            <w:tcW w:w="2328" w:type="dxa"/>
          </w:tcPr>
          <w:p w14:paraId="2FA5CC4D" w14:textId="364D6B51" w:rsidR="00687985" w:rsidRDefault="00284C54" w:rsidP="00687985">
            <w:pPr>
              <w:spacing w:before="100" w:beforeAutospacing="1" w:after="100" w:afterAutospacing="1" w:line="360" w:lineRule="auto"/>
              <w:ind w:left="660"/>
              <w:jc w:val="both"/>
              <w:outlineLvl w:val="2"/>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Failure to anticipate risks and improve system design</w:t>
            </w:r>
          </w:p>
        </w:tc>
      </w:tr>
      <w:tr w:rsidR="00687985" w14:paraId="324C809F" w14:textId="77777777" w:rsidTr="00284C54">
        <w:trPr>
          <w:trHeight w:val="712"/>
        </w:trPr>
        <w:tc>
          <w:tcPr>
            <w:tcW w:w="2557" w:type="dxa"/>
          </w:tcPr>
          <w:p w14:paraId="1649A2D3" w14:textId="1A205F49"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Transactional Leadership</w:t>
            </w:r>
          </w:p>
        </w:tc>
        <w:tc>
          <w:tcPr>
            <w:tcW w:w="1677" w:type="dxa"/>
          </w:tcPr>
          <w:p w14:paraId="21F83160" w14:textId="0142A48E"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Rules, compliance, procedures</w:t>
            </w:r>
          </w:p>
        </w:tc>
        <w:tc>
          <w:tcPr>
            <w:tcW w:w="1710" w:type="dxa"/>
          </w:tcPr>
          <w:p w14:paraId="498AF69B" w14:textId="50FA0800"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Present (guidelines followed)</w:t>
            </w:r>
          </w:p>
        </w:tc>
        <w:tc>
          <w:tcPr>
            <w:tcW w:w="2071" w:type="dxa"/>
          </w:tcPr>
          <w:p w14:paraId="73238421" w14:textId="40F7BE30"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Basic standards </w:t>
            </w:r>
            <w:r>
              <w:rPr>
                <w:rFonts w:ascii="Arial" w:eastAsia="Times New Roman" w:hAnsi="Arial" w:cs="Arial"/>
                <w:kern w:val="0"/>
                <w:lang w:eastAsia="en-GB"/>
                <w14:ligatures w14:val="none"/>
              </w:rPr>
              <w:t xml:space="preserve">are </w:t>
            </w:r>
            <w:r w:rsidRPr="006101FE">
              <w:rPr>
                <w:rFonts w:ascii="Arial" w:eastAsia="Times New Roman" w:hAnsi="Arial" w:cs="Arial"/>
                <w:kern w:val="0"/>
                <w:lang w:eastAsia="en-GB"/>
                <w14:ligatures w14:val="none"/>
              </w:rPr>
              <w:t>maintained</w:t>
            </w:r>
            <w:r>
              <w:rPr>
                <w:rFonts w:ascii="Arial" w:eastAsia="Times New Roman" w:hAnsi="Arial" w:cs="Arial"/>
                <w:kern w:val="0"/>
                <w:lang w:eastAsia="en-GB"/>
                <w14:ligatures w14:val="none"/>
              </w:rPr>
              <w:t>,</w:t>
            </w:r>
            <w:r w:rsidRPr="006101FE">
              <w:rPr>
                <w:rFonts w:ascii="Arial" w:eastAsia="Times New Roman" w:hAnsi="Arial" w:cs="Arial"/>
                <w:kern w:val="0"/>
                <w:lang w:eastAsia="en-GB"/>
                <w14:ligatures w14:val="none"/>
              </w:rPr>
              <w:t xml:space="preserve"> but insufficient</w:t>
            </w:r>
          </w:p>
        </w:tc>
        <w:tc>
          <w:tcPr>
            <w:tcW w:w="2328" w:type="dxa"/>
          </w:tcPr>
          <w:p w14:paraId="3490CE70" w14:textId="3BA508A8" w:rsidR="00687985" w:rsidRDefault="00284C54" w:rsidP="00687985">
            <w:pPr>
              <w:rPr>
                <w:rFonts w:ascii="Arial" w:eastAsia="Times New Roman" w:hAnsi="Arial" w:cs="Arial"/>
                <w:kern w:val="0"/>
                <w:lang w:eastAsia="en-GB"/>
                <w14:ligatures w14:val="none"/>
              </w:rPr>
            </w:pPr>
            <w:r w:rsidRPr="00284C54">
              <w:rPr>
                <w:rFonts w:ascii="Arial" w:eastAsia="Times New Roman" w:hAnsi="Arial" w:cs="Arial"/>
                <w:kern w:val="0"/>
                <w:lang w:eastAsia="en-GB"/>
                <w14:ligatures w14:val="none"/>
              </w:rPr>
              <w:t>Over-reliance on rules without considering patient understanding</w:t>
            </w:r>
          </w:p>
        </w:tc>
      </w:tr>
      <w:tr w:rsidR="00687985" w14:paraId="561C8E1C" w14:textId="77777777" w:rsidTr="00284C54">
        <w:trPr>
          <w:trHeight w:val="591"/>
        </w:trPr>
        <w:tc>
          <w:tcPr>
            <w:tcW w:w="2557" w:type="dxa"/>
          </w:tcPr>
          <w:p w14:paraId="3BEF16C0" w14:textId="54DA9E81"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Situational Leadership</w:t>
            </w:r>
          </w:p>
        </w:tc>
        <w:tc>
          <w:tcPr>
            <w:tcW w:w="1677" w:type="dxa"/>
          </w:tcPr>
          <w:p w14:paraId="5E48860F" w14:textId="461D0C04"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Adaptability, context-based approach</w:t>
            </w:r>
          </w:p>
        </w:tc>
        <w:tc>
          <w:tcPr>
            <w:tcW w:w="1710" w:type="dxa"/>
          </w:tcPr>
          <w:p w14:paraId="1F4BE423" w14:textId="1CC41688" w:rsidR="00687985" w:rsidRDefault="00284C54" w:rsidP="00687985">
            <w:pPr>
              <w:rPr>
                <w:rFonts w:ascii="Arial" w:eastAsia="Times New Roman" w:hAnsi="Arial" w:cs="Arial"/>
                <w:kern w:val="0"/>
                <w:lang w:eastAsia="en-GB"/>
                <w14:ligatures w14:val="none"/>
              </w:rPr>
            </w:pPr>
            <w:r w:rsidRPr="00284C54">
              <w:rPr>
                <w:rFonts w:ascii="Arial" w:eastAsia="Times New Roman" w:hAnsi="Arial" w:cs="Arial"/>
                <w:kern w:val="0"/>
                <w:lang w:eastAsia="en-GB"/>
                <w14:ligatures w14:val="none"/>
              </w:rPr>
              <w:t>Lacking</w:t>
            </w:r>
          </w:p>
        </w:tc>
        <w:tc>
          <w:tcPr>
            <w:tcW w:w="2071" w:type="dxa"/>
          </w:tcPr>
          <w:p w14:paraId="3D7BE1C4" w14:textId="6DDE78C7"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Poor communication and misunderstanding</w:t>
            </w:r>
          </w:p>
        </w:tc>
        <w:tc>
          <w:tcPr>
            <w:tcW w:w="2328" w:type="dxa"/>
          </w:tcPr>
          <w:p w14:paraId="5490E7E1" w14:textId="1131573A" w:rsidR="00687985" w:rsidRDefault="00284C54" w:rsidP="00687985">
            <w:pPr>
              <w:rPr>
                <w:rFonts w:ascii="Arial" w:eastAsia="Times New Roman" w:hAnsi="Arial" w:cs="Arial"/>
                <w:kern w:val="0"/>
                <w:lang w:eastAsia="en-GB"/>
                <w14:ligatures w14:val="none"/>
              </w:rPr>
            </w:pPr>
            <w:r w:rsidRPr="00284C54">
              <w:rPr>
                <w:rFonts w:ascii="Arial" w:eastAsia="Times New Roman" w:hAnsi="Arial" w:cs="Arial"/>
                <w:kern w:val="0"/>
                <w:lang w:eastAsia="en-GB"/>
                <w14:ligatures w14:val="none"/>
              </w:rPr>
              <w:t>Failure to tailor care to patient needs</w:t>
            </w:r>
          </w:p>
        </w:tc>
      </w:tr>
      <w:tr w:rsidR="00687985" w14:paraId="63AF16D7" w14:textId="77777777" w:rsidTr="00284C54">
        <w:trPr>
          <w:trHeight w:val="907"/>
        </w:trPr>
        <w:tc>
          <w:tcPr>
            <w:tcW w:w="2557" w:type="dxa"/>
          </w:tcPr>
          <w:p w14:paraId="2084AD2D" w14:textId="21B2C8AB"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Proactive Leadership</w:t>
            </w:r>
          </w:p>
        </w:tc>
        <w:tc>
          <w:tcPr>
            <w:tcW w:w="1677" w:type="dxa"/>
          </w:tcPr>
          <w:p w14:paraId="1CF46B7F" w14:textId="0CD3F29A"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Risk prevention, continuous monitoring</w:t>
            </w:r>
          </w:p>
        </w:tc>
        <w:tc>
          <w:tcPr>
            <w:tcW w:w="1710" w:type="dxa"/>
          </w:tcPr>
          <w:p w14:paraId="67CC99F0" w14:textId="462BD262"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Absent</w:t>
            </w:r>
          </w:p>
        </w:tc>
        <w:tc>
          <w:tcPr>
            <w:tcW w:w="2071" w:type="dxa"/>
          </w:tcPr>
          <w:p w14:paraId="2F3A6BDF" w14:textId="414C23D6" w:rsidR="00687985" w:rsidRDefault="00284C54" w:rsidP="00687985">
            <w:pPr>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No early identification of risks</w:t>
            </w:r>
          </w:p>
        </w:tc>
        <w:tc>
          <w:tcPr>
            <w:tcW w:w="2328" w:type="dxa"/>
          </w:tcPr>
          <w:p w14:paraId="6F492220" w14:textId="32FA826B" w:rsidR="00687985" w:rsidRDefault="000B26C5" w:rsidP="00687985">
            <w:pPr>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System responded only after harm</w:t>
            </w:r>
          </w:p>
        </w:tc>
      </w:tr>
      <w:tr w:rsidR="00687985" w14:paraId="2AE1EA72" w14:textId="77777777" w:rsidTr="00284C54">
        <w:trPr>
          <w:trHeight w:val="510"/>
        </w:trPr>
        <w:tc>
          <w:tcPr>
            <w:tcW w:w="2557" w:type="dxa"/>
          </w:tcPr>
          <w:p w14:paraId="282FC0E4" w14:textId="05238658" w:rsidR="00687985" w:rsidRPr="000B26C5" w:rsidRDefault="00687985" w:rsidP="00687985">
            <w:pPr>
              <w:spacing w:before="100" w:beforeAutospacing="1" w:after="100" w:afterAutospacing="1" w:line="360" w:lineRule="auto"/>
              <w:ind w:left="660"/>
              <w:jc w:val="both"/>
              <w:outlineLvl w:val="2"/>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Emotional Intelligence</w:t>
            </w:r>
          </w:p>
        </w:tc>
        <w:tc>
          <w:tcPr>
            <w:tcW w:w="1677" w:type="dxa"/>
          </w:tcPr>
          <w:p w14:paraId="4B07BB27" w14:textId="22BE8CE5" w:rsidR="00687985" w:rsidRDefault="000B26C5" w:rsidP="00687985">
            <w:pPr>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ab/>
              <w:t>Empathy, communication, patient-centred care</w:t>
            </w:r>
          </w:p>
        </w:tc>
        <w:tc>
          <w:tcPr>
            <w:tcW w:w="1710" w:type="dxa"/>
          </w:tcPr>
          <w:p w14:paraId="02A39639" w14:textId="1F9E00D6" w:rsidR="00687985" w:rsidRDefault="000B26C5" w:rsidP="00687985">
            <w:pPr>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Limited</w:t>
            </w:r>
          </w:p>
        </w:tc>
        <w:tc>
          <w:tcPr>
            <w:tcW w:w="2071" w:type="dxa"/>
          </w:tcPr>
          <w:p w14:paraId="58C6AE05" w14:textId="79A7A37E" w:rsidR="00687985" w:rsidRDefault="000B26C5" w:rsidP="00687985">
            <w:pPr>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Poor patient engagement</w:t>
            </w:r>
          </w:p>
        </w:tc>
        <w:tc>
          <w:tcPr>
            <w:tcW w:w="2328" w:type="dxa"/>
          </w:tcPr>
          <w:p w14:paraId="590EE131" w14:textId="5397AB49" w:rsidR="00687985" w:rsidRDefault="000B26C5" w:rsidP="00687985">
            <w:pPr>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Lack of understanding of patient needs</w:t>
            </w:r>
          </w:p>
        </w:tc>
      </w:tr>
    </w:tbl>
    <w:p w14:paraId="670D090D" w14:textId="77777777" w:rsidR="000B26C5" w:rsidRDefault="000B26C5"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216A9EAE" w14:textId="2D1D4045" w:rsidR="006101FE" w:rsidRPr="000B26C5"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0B26C5">
        <w:rPr>
          <w:rFonts w:ascii="Arial" w:eastAsia="Times New Roman" w:hAnsi="Arial" w:cs="Arial"/>
          <w:b/>
          <w:bCs/>
          <w:kern w:val="0"/>
          <w:sz w:val="24"/>
          <w:szCs w:val="24"/>
          <w:lang w:eastAsia="en-GB"/>
          <w14:ligatures w14:val="none"/>
        </w:rPr>
        <w:t xml:space="preserve">Enhancement and Insights Gained </w:t>
      </w:r>
    </w:p>
    <w:p w14:paraId="0FB52556" w14:textId="77777777" w:rsidR="006101FE" w:rsidRPr="000B26C5" w:rsidRDefault="006101FE" w:rsidP="000B26C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t>Len’s situation offers significant insights for advancing patient safety through enhanced leadership, governance, and system architecture. The occurrence underscores several areas necessitating improvement, bolstered by evidence-based methodologies.</w:t>
      </w:r>
    </w:p>
    <w:p w14:paraId="6CE9A803" w14:textId="1A1CFEA0" w:rsidR="006101FE" w:rsidRPr="000B26C5" w:rsidRDefault="006101FE" w:rsidP="000B26C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0B26C5">
        <w:rPr>
          <w:rFonts w:ascii="Arial" w:eastAsia="Times New Roman" w:hAnsi="Arial" w:cs="Arial"/>
          <w:b/>
          <w:bCs/>
          <w:kern w:val="0"/>
          <w:lang w:eastAsia="en-GB"/>
          <w14:ligatures w14:val="none"/>
        </w:rPr>
        <w:t>Issue 1:</w:t>
      </w:r>
      <w:r w:rsidRPr="000B26C5">
        <w:rPr>
          <w:rFonts w:ascii="Arial" w:eastAsia="Times New Roman" w:hAnsi="Arial" w:cs="Arial"/>
          <w:kern w:val="0"/>
          <w:lang w:eastAsia="en-GB"/>
          <w14:ligatures w14:val="none"/>
        </w:rPr>
        <w:t xml:space="preserve"> Medication </w:t>
      </w:r>
      <w:r w:rsidR="000B26C5" w:rsidRPr="000B26C5">
        <w:rPr>
          <w:rFonts w:ascii="Arial" w:eastAsia="Times New Roman" w:hAnsi="Arial" w:cs="Arial"/>
          <w:kern w:val="0"/>
          <w:lang w:eastAsia="en-GB"/>
          <w14:ligatures w14:val="none"/>
        </w:rPr>
        <w:t>Labelling</w:t>
      </w:r>
      <w:r w:rsidRPr="000B26C5">
        <w:rPr>
          <w:rFonts w:ascii="Arial" w:eastAsia="Times New Roman" w:hAnsi="Arial" w:cs="Arial"/>
          <w:kern w:val="0"/>
          <w:lang w:eastAsia="en-GB"/>
          <w14:ligatures w14:val="none"/>
        </w:rPr>
        <w:t xml:space="preserve"> and Human Factors</w:t>
      </w:r>
    </w:p>
    <w:p w14:paraId="49254E07" w14:textId="1CB6DFCD" w:rsidR="006101FE" w:rsidRPr="000B26C5" w:rsidRDefault="006101FE" w:rsidP="000B26C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0B26C5">
        <w:rPr>
          <w:rFonts w:ascii="Arial" w:eastAsia="Times New Roman" w:hAnsi="Arial" w:cs="Arial"/>
          <w:kern w:val="0"/>
          <w:lang w:eastAsia="en-GB"/>
          <w14:ligatures w14:val="none"/>
        </w:rPr>
        <w:lastRenderedPageBreak/>
        <w:t xml:space="preserve">Inadequate </w:t>
      </w:r>
      <w:r w:rsidR="000B26C5" w:rsidRPr="000B26C5">
        <w:rPr>
          <w:rFonts w:ascii="Arial" w:eastAsia="Times New Roman" w:hAnsi="Arial" w:cs="Arial"/>
          <w:kern w:val="0"/>
          <w:lang w:eastAsia="en-GB"/>
          <w14:ligatures w14:val="none"/>
        </w:rPr>
        <w:t>labelling</w:t>
      </w:r>
      <w:r w:rsidRPr="000B26C5">
        <w:rPr>
          <w:rFonts w:ascii="Arial" w:eastAsia="Times New Roman" w:hAnsi="Arial" w:cs="Arial"/>
          <w:kern w:val="0"/>
          <w:lang w:eastAsia="en-GB"/>
          <w14:ligatures w14:val="none"/>
        </w:rPr>
        <w:t xml:space="preserve"> design was a primary factor contributing to the error. Human factors engineering underscores the importance of creating systems that alleviate cognitive load and diminish the likelihood of mistakes.</w:t>
      </w:r>
    </w:p>
    <w:p w14:paraId="2CFDCCD0" w14:textId="77777777" w:rsidR="006101FE" w:rsidRPr="000B26C5" w:rsidRDefault="006101FE" w:rsidP="000B26C5">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0B26C5">
        <w:rPr>
          <w:rFonts w:ascii="Arial" w:eastAsia="Times New Roman" w:hAnsi="Arial" w:cs="Arial"/>
          <w:b/>
          <w:bCs/>
          <w:kern w:val="0"/>
          <w:lang w:eastAsia="en-GB"/>
          <w14:ligatures w14:val="none"/>
        </w:rPr>
        <w:t>Enhancements:</w:t>
      </w:r>
    </w:p>
    <w:p w14:paraId="178234A4" w14:textId="77777777" w:rsidR="000B26C5" w:rsidRPr="000B26C5" w:rsidRDefault="006101FE" w:rsidP="000B26C5">
      <w:pPr>
        <w:pStyle w:val="NoSpacing"/>
        <w:spacing w:line="360" w:lineRule="auto"/>
        <w:rPr>
          <w:rFonts w:ascii="Arial" w:hAnsi="Arial" w:cs="Arial"/>
          <w:lang w:eastAsia="en-GB"/>
        </w:rPr>
      </w:pPr>
      <w:r w:rsidRPr="000B26C5">
        <w:rPr>
          <w:rFonts w:ascii="Arial" w:hAnsi="Arial" w:cs="Arial"/>
          <w:lang w:eastAsia="en-GB"/>
        </w:rPr>
        <w:t>Compulsory inclusion of dosage instructions on medication containers</w:t>
      </w:r>
    </w:p>
    <w:p w14:paraId="1C233253" w14:textId="5FCB5B80" w:rsidR="006101FE" w:rsidRPr="000B26C5" w:rsidRDefault="006101FE" w:rsidP="000B26C5">
      <w:pPr>
        <w:pStyle w:val="NoSpacing"/>
        <w:spacing w:line="360" w:lineRule="auto"/>
        <w:rPr>
          <w:rFonts w:ascii="Arial" w:hAnsi="Arial" w:cs="Arial"/>
          <w:lang w:eastAsia="en-GB"/>
        </w:rPr>
      </w:pPr>
      <w:r w:rsidRPr="000B26C5">
        <w:rPr>
          <w:rFonts w:ascii="Arial" w:hAnsi="Arial" w:cs="Arial"/>
          <w:lang w:eastAsia="en-GB"/>
        </w:rPr>
        <w:t>Utilization of clear, straightforward language and larger typefaces</w:t>
      </w:r>
    </w:p>
    <w:p w14:paraId="3F4F355B" w14:textId="5C1C7D87" w:rsidR="006101FE" w:rsidRPr="000B26C5" w:rsidRDefault="006101FE" w:rsidP="000B26C5">
      <w:pPr>
        <w:pStyle w:val="NoSpacing"/>
        <w:spacing w:line="360" w:lineRule="auto"/>
        <w:rPr>
          <w:rFonts w:ascii="Arial" w:hAnsi="Arial" w:cs="Arial"/>
          <w:lang w:eastAsia="en-GB"/>
        </w:rPr>
      </w:pPr>
      <w:r w:rsidRPr="000B26C5">
        <w:rPr>
          <w:rFonts w:ascii="Arial" w:hAnsi="Arial" w:cs="Arial"/>
          <w:lang w:eastAsia="en-GB"/>
        </w:rPr>
        <w:t xml:space="preserve">Incorporation of visual aids and </w:t>
      </w:r>
      <w:r w:rsidR="000B26C5" w:rsidRPr="000B26C5">
        <w:rPr>
          <w:rFonts w:ascii="Arial" w:hAnsi="Arial" w:cs="Arial"/>
          <w:lang w:eastAsia="en-GB"/>
        </w:rPr>
        <w:t>colour</w:t>
      </w:r>
      <w:r w:rsidRPr="000B26C5">
        <w:rPr>
          <w:rFonts w:ascii="Arial" w:hAnsi="Arial" w:cs="Arial"/>
          <w:lang w:eastAsia="en-GB"/>
        </w:rPr>
        <w:t xml:space="preserve"> coding</w:t>
      </w:r>
    </w:p>
    <w:p w14:paraId="6FD0EB24" w14:textId="77777777" w:rsidR="006101FE" w:rsidRPr="000B26C5" w:rsidRDefault="006101FE" w:rsidP="000B26C5">
      <w:pPr>
        <w:pStyle w:val="NoSpacing"/>
        <w:spacing w:line="360" w:lineRule="auto"/>
        <w:rPr>
          <w:rFonts w:ascii="Arial" w:hAnsi="Arial" w:cs="Arial"/>
          <w:lang w:eastAsia="en-GB"/>
        </w:rPr>
      </w:pPr>
    </w:p>
    <w:p w14:paraId="47082BD5" w14:textId="77777777" w:rsidR="006101FE" w:rsidRPr="000B26C5" w:rsidRDefault="006101FE" w:rsidP="000B26C5">
      <w:pPr>
        <w:pStyle w:val="NoSpacing"/>
        <w:spacing w:line="360" w:lineRule="auto"/>
        <w:rPr>
          <w:rFonts w:ascii="Arial" w:hAnsi="Arial" w:cs="Arial"/>
          <w:lang w:eastAsia="en-GB"/>
        </w:rPr>
      </w:pPr>
      <w:r w:rsidRPr="000B26C5">
        <w:rPr>
          <w:rFonts w:ascii="Arial" w:hAnsi="Arial" w:cs="Arial"/>
          <w:b/>
          <w:bCs/>
          <w:lang w:eastAsia="en-GB"/>
        </w:rPr>
        <w:t>Issue 2:</w:t>
      </w:r>
      <w:r w:rsidRPr="000B26C5">
        <w:rPr>
          <w:rFonts w:ascii="Arial" w:hAnsi="Arial" w:cs="Arial"/>
          <w:lang w:eastAsia="en-GB"/>
        </w:rPr>
        <w:t xml:space="preserve"> Communication and Patient Understanding</w:t>
      </w:r>
    </w:p>
    <w:p w14:paraId="1F867095" w14:textId="77777777" w:rsidR="006101FE" w:rsidRPr="000B26C5" w:rsidRDefault="006101FE" w:rsidP="000B26C5">
      <w:pPr>
        <w:pStyle w:val="NoSpacing"/>
        <w:spacing w:line="360" w:lineRule="auto"/>
        <w:rPr>
          <w:rFonts w:ascii="Arial" w:hAnsi="Arial" w:cs="Arial"/>
          <w:lang w:eastAsia="en-GB"/>
        </w:rPr>
      </w:pPr>
    </w:p>
    <w:p w14:paraId="0399D4AE" w14:textId="77777777" w:rsidR="006101FE" w:rsidRPr="000B26C5" w:rsidRDefault="006101FE" w:rsidP="000B26C5">
      <w:pPr>
        <w:pStyle w:val="NoSpacing"/>
        <w:spacing w:line="360" w:lineRule="auto"/>
        <w:rPr>
          <w:rFonts w:ascii="Arial" w:hAnsi="Arial" w:cs="Arial"/>
          <w:lang w:eastAsia="en-GB"/>
        </w:rPr>
      </w:pPr>
      <w:r w:rsidRPr="000B26C5">
        <w:rPr>
          <w:rFonts w:ascii="Arial" w:hAnsi="Arial" w:cs="Arial"/>
          <w:lang w:eastAsia="en-GB"/>
        </w:rPr>
        <w:t>Effective communication is crucial for ensuring patient safety. It is imperative that patients comprehend the correct usage of their medications.</w:t>
      </w:r>
    </w:p>
    <w:p w14:paraId="3F80D4CD" w14:textId="77777777" w:rsidR="006101FE" w:rsidRPr="000B26C5" w:rsidRDefault="006101FE" w:rsidP="000B26C5">
      <w:pPr>
        <w:pStyle w:val="NoSpacing"/>
        <w:spacing w:line="360" w:lineRule="auto"/>
        <w:rPr>
          <w:rFonts w:ascii="Arial" w:hAnsi="Arial" w:cs="Arial"/>
          <w:lang w:eastAsia="en-GB"/>
        </w:rPr>
      </w:pPr>
    </w:p>
    <w:p w14:paraId="1809784E" w14:textId="34483697" w:rsidR="006101FE" w:rsidRPr="000B26C5" w:rsidRDefault="006101FE" w:rsidP="000B26C5">
      <w:pPr>
        <w:pStyle w:val="NoSpacing"/>
        <w:spacing w:line="360" w:lineRule="auto"/>
        <w:rPr>
          <w:rFonts w:ascii="Arial" w:hAnsi="Arial" w:cs="Arial"/>
          <w:b/>
          <w:bCs/>
          <w:lang w:eastAsia="en-GB"/>
        </w:rPr>
      </w:pPr>
      <w:r w:rsidRPr="000B26C5">
        <w:rPr>
          <w:rFonts w:ascii="Arial" w:hAnsi="Arial" w:cs="Arial"/>
          <w:b/>
          <w:bCs/>
          <w:lang w:eastAsia="en-GB"/>
        </w:rPr>
        <w:t>Improvements:</w:t>
      </w:r>
    </w:p>
    <w:p w14:paraId="3E58FC69" w14:textId="7F954FB1" w:rsidR="006101FE" w:rsidRPr="000B26C5" w:rsidRDefault="006101FE" w:rsidP="000B26C5">
      <w:pPr>
        <w:pStyle w:val="NoSpacing"/>
        <w:numPr>
          <w:ilvl w:val="0"/>
          <w:numId w:val="40"/>
        </w:numPr>
        <w:spacing w:line="360" w:lineRule="auto"/>
        <w:rPr>
          <w:rFonts w:ascii="Arial" w:hAnsi="Arial" w:cs="Arial"/>
          <w:lang w:eastAsia="en-GB"/>
        </w:rPr>
      </w:pPr>
      <w:r w:rsidRPr="000B26C5">
        <w:rPr>
          <w:rFonts w:ascii="Arial" w:hAnsi="Arial" w:cs="Arial"/>
          <w:lang w:eastAsia="en-GB"/>
        </w:rPr>
        <w:t xml:space="preserve">Adoption of teach-back </w:t>
      </w:r>
      <w:r w:rsidR="003A41A4" w:rsidRPr="000B26C5">
        <w:rPr>
          <w:rFonts w:ascii="Arial" w:hAnsi="Arial" w:cs="Arial"/>
          <w:lang w:eastAsia="en-GB"/>
        </w:rPr>
        <w:t>techniques.</w:t>
      </w:r>
    </w:p>
    <w:p w14:paraId="76D82B32" w14:textId="15663966" w:rsidR="006101FE" w:rsidRPr="000B26C5" w:rsidRDefault="006101FE" w:rsidP="000B26C5">
      <w:pPr>
        <w:pStyle w:val="NoSpacing"/>
        <w:numPr>
          <w:ilvl w:val="0"/>
          <w:numId w:val="40"/>
        </w:numPr>
        <w:spacing w:line="360" w:lineRule="auto"/>
        <w:rPr>
          <w:rFonts w:ascii="Arial" w:hAnsi="Arial" w:cs="Arial"/>
          <w:lang w:eastAsia="en-GB"/>
        </w:rPr>
      </w:pPr>
      <w:r w:rsidRPr="000B26C5">
        <w:rPr>
          <w:rFonts w:ascii="Arial" w:hAnsi="Arial" w:cs="Arial"/>
          <w:lang w:eastAsia="en-GB"/>
        </w:rPr>
        <w:t>Provision of both oral and written guidance</w:t>
      </w:r>
    </w:p>
    <w:p w14:paraId="5DFE224F" w14:textId="52D192A7" w:rsidR="006101FE" w:rsidRPr="000B26C5" w:rsidRDefault="006101FE" w:rsidP="000B26C5">
      <w:pPr>
        <w:pStyle w:val="NoSpacing"/>
        <w:numPr>
          <w:ilvl w:val="0"/>
          <w:numId w:val="42"/>
        </w:numPr>
        <w:spacing w:line="360" w:lineRule="auto"/>
        <w:rPr>
          <w:rFonts w:ascii="Arial" w:hAnsi="Arial" w:cs="Arial"/>
          <w:lang w:eastAsia="en-GB"/>
        </w:rPr>
      </w:pPr>
      <w:r w:rsidRPr="000B26C5">
        <w:rPr>
          <w:rFonts w:ascii="Arial" w:hAnsi="Arial" w:cs="Arial"/>
          <w:lang w:eastAsia="en-GB"/>
        </w:rPr>
        <w:t>Increased participation of caregivers in the decision-making process</w:t>
      </w:r>
    </w:p>
    <w:p w14:paraId="7977285B" w14:textId="77777777" w:rsidR="006101FE" w:rsidRPr="000B26C5" w:rsidRDefault="006101FE" w:rsidP="000B26C5">
      <w:pPr>
        <w:pStyle w:val="NoSpacing"/>
        <w:spacing w:line="360" w:lineRule="auto"/>
        <w:rPr>
          <w:rFonts w:ascii="Arial" w:hAnsi="Arial" w:cs="Arial"/>
          <w:lang w:eastAsia="en-GB"/>
        </w:rPr>
      </w:pPr>
    </w:p>
    <w:p w14:paraId="6B542E55" w14:textId="77777777" w:rsidR="006101FE" w:rsidRPr="000B26C5" w:rsidRDefault="006101FE" w:rsidP="000B26C5">
      <w:pPr>
        <w:pStyle w:val="NoSpacing"/>
        <w:spacing w:line="360" w:lineRule="auto"/>
        <w:rPr>
          <w:rFonts w:ascii="Arial" w:hAnsi="Arial" w:cs="Arial"/>
          <w:lang w:eastAsia="en-GB"/>
        </w:rPr>
      </w:pPr>
      <w:r w:rsidRPr="000B26C5">
        <w:rPr>
          <w:rFonts w:ascii="Arial" w:hAnsi="Arial" w:cs="Arial"/>
          <w:b/>
          <w:bCs/>
          <w:lang w:eastAsia="en-GB"/>
        </w:rPr>
        <w:t>Issue 3:</w:t>
      </w:r>
      <w:r w:rsidRPr="000B26C5">
        <w:rPr>
          <w:rFonts w:ascii="Arial" w:hAnsi="Arial" w:cs="Arial"/>
          <w:lang w:eastAsia="en-GB"/>
        </w:rPr>
        <w:t xml:space="preserve"> High-Risk Medications</w:t>
      </w:r>
    </w:p>
    <w:p w14:paraId="178255B6" w14:textId="77777777" w:rsidR="006101FE" w:rsidRPr="000B26C5" w:rsidRDefault="006101FE" w:rsidP="000B26C5">
      <w:pPr>
        <w:pStyle w:val="NoSpacing"/>
        <w:spacing w:line="360" w:lineRule="auto"/>
        <w:rPr>
          <w:rFonts w:ascii="Arial" w:hAnsi="Arial" w:cs="Arial"/>
          <w:lang w:eastAsia="en-GB"/>
        </w:rPr>
      </w:pPr>
    </w:p>
    <w:p w14:paraId="7E1EF111" w14:textId="77777777" w:rsidR="006101FE" w:rsidRPr="000B26C5" w:rsidRDefault="006101FE" w:rsidP="000B26C5">
      <w:pPr>
        <w:pStyle w:val="NoSpacing"/>
        <w:spacing w:line="360" w:lineRule="auto"/>
        <w:rPr>
          <w:rFonts w:ascii="Arial" w:hAnsi="Arial" w:cs="Arial"/>
          <w:lang w:eastAsia="en-GB"/>
        </w:rPr>
      </w:pPr>
      <w:r w:rsidRPr="000B26C5">
        <w:rPr>
          <w:rFonts w:ascii="Arial" w:hAnsi="Arial" w:cs="Arial"/>
          <w:lang w:eastAsia="en-GB"/>
        </w:rPr>
        <w:t>Morphine is classified as a high-risk medication that necessitates additional precautions.</w:t>
      </w:r>
    </w:p>
    <w:p w14:paraId="04132419" w14:textId="77777777" w:rsidR="006101FE" w:rsidRPr="000B26C5" w:rsidRDefault="006101FE" w:rsidP="000B26C5">
      <w:pPr>
        <w:pStyle w:val="NoSpacing"/>
        <w:spacing w:line="360" w:lineRule="auto"/>
        <w:rPr>
          <w:rFonts w:ascii="Arial" w:hAnsi="Arial" w:cs="Arial"/>
          <w:lang w:eastAsia="en-GB"/>
        </w:rPr>
      </w:pPr>
    </w:p>
    <w:p w14:paraId="6D5C7D90" w14:textId="77777777" w:rsidR="006101FE" w:rsidRPr="000B26C5" w:rsidRDefault="006101FE" w:rsidP="000B26C5">
      <w:pPr>
        <w:pStyle w:val="NoSpacing"/>
        <w:spacing w:line="360" w:lineRule="auto"/>
        <w:rPr>
          <w:rFonts w:ascii="Arial" w:hAnsi="Arial" w:cs="Arial"/>
          <w:b/>
          <w:bCs/>
          <w:lang w:eastAsia="en-GB"/>
        </w:rPr>
      </w:pPr>
      <w:r w:rsidRPr="000B26C5">
        <w:rPr>
          <w:rFonts w:ascii="Arial" w:hAnsi="Arial" w:cs="Arial"/>
          <w:b/>
          <w:bCs/>
          <w:lang w:eastAsia="en-GB"/>
        </w:rPr>
        <w:t>Improvements:</w:t>
      </w:r>
    </w:p>
    <w:p w14:paraId="0181236D" w14:textId="18699EF1" w:rsidR="006101FE" w:rsidRPr="000B26C5" w:rsidRDefault="006101FE" w:rsidP="006D60F2">
      <w:pPr>
        <w:pStyle w:val="NoSpacing"/>
        <w:numPr>
          <w:ilvl w:val="0"/>
          <w:numId w:val="46"/>
        </w:numPr>
        <w:spacing w:line="360" w:lineRule="auto"/>
        <w:rPr>
          <w:rFonts w:ascii="Arial" w:hAnsi="Arial" w:cs="Arial"/>
          <w:lang w:eastAsia="en-GB"/>
        </w:rPr>
      </w:pPr>
      <w:r w:rsidRPr="000B26C5">
        <w:rPr>
          <w:rFonts w:ascii="Arial" w:hAnsi="Arial" w:cs="Arial"/>
          <w:lang w:eastAsia="en-GB"/>
        </w:rPr>
        <w:t>Enhanced surveillance of high-risk medications</w:t>
      </w:r>
    </w:p>
    <w:p w14:paraId="5238BBCD" w14:textId="54B86F04" w:rsidR="006101FE" w:rsidRPr="000B26C5" w:rsidRDefault="006101FE" w:rsidP="006D60F2">
      <w:pPr>
        <w:pStyle w:val="NoSpacing"/>
        <w:numPr>
          <w:ilvl w:val="0"/>
          <w:numId w:val="46"/>
        </w:numPr>
        <w:spacing w:line="360" w:lineRule="auto"/>
        <w:rPr>
          <w:rFonts w:ascii="Arial" w:hAnsi="Arial" w:cs="Arial"/>
          <w:lang w:eastAsia="en-GB"/>
        </w:rPr>
      </w:pPr>
      <w:r w:rsidRPr="000B26C5">
        <w:rPr>
          <w:rFonts w:ascii="Arial" w:hAnsi="Arial" w:cs="Arial"/>
          <w:lang w:eastAsia="en-GB"/>
        </w:rPr>
        <w:t>Utilization of pre-measured dosing instruments</w:t>
      </w:r>
    </w:p>
    <w:p w14:paraId="08407C02" w14:textId="4287DF52" w:rsidR="006101FE" w:rsidRDefault="006101FE" w:rsidP="006D60F2">
      <w:pPr>
        <w:pStyle w:val="NoSpacing"/>
        <w:numPr>
          <w:ilvl w:val="0"/>
          <w:numId w:val="46"/>
        </w:numPr>
        <w:spacing w:line="360" w:lineRule="auto"/>
        <w:rPr>
          <w:rFonts w:ascii="Arial" w:hAnsi="Arial" w:cs="Arial"/>
          <w:lang w:eastAsia="en-GB"/>
        </w:rPr>
      </w:pPr>
      <w:r w:rsidRPr="000B26C5">
        <w:rPr>
          <w:rFonts w:ascii="Arial" w:hAnsi="Arial" w:cs="Arial"/>
          <w:lang w:eastAsia="en-GB"/>
        </w:rPr>
        <w:t>Evaluation of alternative treatment options when suitable</w:t>
      </w:r>
    </w:p>
    <w:p w14:paraId="14D81E11" w14:textId="77777777" w:rsidR="006D60F2" w:rsidRPr="000B26C5" w:rsidRDefault="006D60F2" w:rsidP="000B26C5">
      <w:pPr>
        <w:pStyle w:val="NoSpacing"/>
        <w:spacing w:line="360" w:lineRule="auto"/>
        <w:rPr>
          <w:rFonts w:ascii="Arial" w:hAnsi="Arial" w:cs="Arial"/>
          <w:lang w:eastAsia="en-GB"/>
        </w:rPr>
      </w:pPr>
    </w:p>
    <w:p w14:paraId="5F3D5FEE" w14:textId="77777777" w:rsidR="006101FE" w:rsidRPr="000B26C5" w:rsidRDefault="006101FE" w:rsidP="000B26C5">
      <w:pPr>
        <w:pStyle w:val="NoSpacing"/>
        <w:spacing w:line="360" w:lineRule="auto"/>
        <w:rPr>
          <w:rFonts w:ascii="Arial" w:hAnsi="Arial" w:cs="Arial"/>
          <w:lang w:eastAsia="en-GB"/>
        </w:rPr>
      </w:pPr>
      <w:r w:rsidRPr="006D60F2">
        <w:rPr>
          <w:rFonts w:ascii="Arial" w:hAnsi="Arial" w:cs="Arial"/>
          <w:b/>
          <w:bCs/>
          <w:lang w:eastAsia="en-GB"/>
        </w:rPr>
        <w:t>Issue 4:</w:t>
      </w:r>
      <w:r w:rsidRPr="000B26C5">
        <w:rPr>
          <w:rFonts w:ascii="Arial" w:hAnsi="Arial" w:cs="Arial"/>
          <w:lang w:eastAsia="en-GB"/>
        </w:rPr>
        <w:t xml:space="preserve"> Governance and Accountability</w:t>
      </w:r>
    </w:p>
    <w:p w14:paraId="2663A97E" w14:textId="77777777" w:rsidR="006101FE" w:rsidRPr="000B26C5" w:rsidRDefault="006101FE" w:rsidP="000B26C5">
      <w:pPr>
        <w:pStyle w:val="NoSpacing"/>
        <w:numPr>
          <w:ilvl w:val="0"/>
          <w:numId w:val="45"/>
        </w:numPr>
        <w:spacing w:line="360" w:lineRule="auto"/>
        <w:rPr>
          <w:rFonts w:ascii="Arial" w:hAnsi="Arial" w:cs="Arial"/>
          <w:lang w:eastAsia="en-GB"/>
        </w:rPr>
      </w:pPr>
      <w:r w:rsidRPr="000B26C5">
        <w:rPr>
          <w:rFonts w:ascii="Arial" w:hAnsi="Arial" w:cs="Arial"/>
          <w:lang w:eastAsia="en-GB"/>
        </w:rPr>
        <w:t>The fragmented nature of governance played a significant role in the failure.</w:t>
      </w:r>
    </w:p>
    <w:p w14:paraId="7DF1BB50" w14:textId="7202CDAF" w:rsidR="006101FE" w:rsidRPr="000B26C5" w:rsidRDefault="006101FE" w:rsidP="000B26C5">
      <w:pPr>
        <w:pStyle w:val="NoSpacing"/>
        <w:numPr>
          <w:ilvl w:val="0"/>
          <w:numId w:val="45"/>
        </w:numPr>
        <w:spacing w:line="360" w:lineRule="auto"/>
        <w:rPr>
          <w:rFonts w:ascii="Arial" w:hAnsi="Arial" w:cs="Arial"/>
          <w:lang w:eastAsia="en-GB"/>
        </w:rPr>
      </w:pPr>
      <w:r w:rsidRPr="000B26C5">
        <w:rPr>
          <w:rFonts w:ascii="Arial" w:hAnsi="Arial" w:cs="Arial"/>
          <w:lang w:eastAsia="en-GB"/>
        </w:rPr>
        <w:t xml:space="preserve">Systems should be designed with the end-users in </w:t>
      </w:r>
      <w:r w:rsidR="003A41A4" w:rsidRPr="000B26C5">
        <w:rPr>
          <w:rFonts w:ascii="Arial" w:hAnsi="Arial" w:cs="Arial"/>
          <w:lang w:eastAsia="en-GB"/>
        </w:rPr>
        <w:t>consideration.</w:t>
      </w:r>
    </w:p>
    <w:p w14:paraId="729A145A" w14:textId="77777777" w:rsidR="00173C90" w:rsidRDefault="006101FE" w:rsidP="00173C90">
      <w:pPr>
        <w:pStyle w:val="NoSpacing"/>
        <w:numPr>
          <w:ilvl w:val="0"/>
          <w:numId w:val="45"/>
        </w:numPr>
        <w:spacing w:line="360" w:lineRule="auto"/>
        <w:rPr>
          <w:rFonts w:ascii="Arial" w:hAnsi="Arial" w:cs="Arial"/>
          <w:lang w:eastAsia="en-GB"/>
        </w:rPr>
      </w:pPr>
      <w:r w:rsidRPr="000B26C5">
        <w:rPr>
          <w:rFonts w:ascii="Arial" w:hAnsi="Arial" w:cs="Arial"/>
          <w:lang w:eastAsia="en-GB"/>
        </w:rPr>
        <w:t>Continuous learning and improvement are imperative.</w:t>
      </w:r>
    </w:p>
    <w:p w14:paraId="24FDB0E7" w14:textId="77777777" w:rsidR="00173C90" w:rsidRDefault="00173C90" w:rsidP="00173C90">
      <w:pPr>
        <w:pStyle w:val="NoSpacing"/>
        <w:spacing w:line="360" w:lineRule="auto"/>
        <w:rPr>
          <w:rFonts w:ascii="Arial" w:eastAsia="Times New Roman" w:hAnsi="Arial" w:cs="Arial"/>
          <w:kern w:val="36"/>
          <w:lang w:eastAsia="en-GB"/>
          <w14:ligatures w14:val="none"/>
        </w:rPr>
      </w:pPr>
    </w:p>
    <w:p w14:paraId="5A5F6063" w14:textId="580077B8" w:rsidR="006101FE" w:rsidRPr="00173C90" w:rsidRDefault="006101FE" w:rsidP="00173C90">
      <w:pPr>
        <w:pStyle w:val="NoSpacing"/>
        <w:spacing w:line="360" w:lineRule="auto"/>
        <w:rPr>
          <w:rFonts w:ascii="Arial" w:hAnsi="Arial" w:cs="Arial"/>
          <w:b/>
          <w:bCs/>
          <w:sz w:val="24"/>
          <w:szCs w:val="24"/>
          <w:lang w:eastAsia="en-GB"/>
        </w:rPr>
      </w:pPr>
      <w:r w:rsidRPr="00173C90">
        <w:rPr>
          <w:rFonts w:ascii="Arial" w:eastAsia="Times New Roman" w:hAnsi="Arial" w:cs="Arial"/>
          <w:kern w:val="36"/>
          <w:lang w:eastAsia="en-GB"/>
          <w14:ligatures w14:val="none"/>
        </w:rPr>
        <w:t xml:space="preserve"> </w:t>
      </w:r>
      <w:r w:rsidRPr="00173C90">
        <w:rPr>
          <w:rFonts w:ascii="Arial" w:eastAsia="Times New Roman" w:hAnsi="Arial" w:cs="Arial"/>
          <w:b/>
          <w:bCs/>
          <w:kern w:val="36"/>
          <w:sz w:val="24"/>
          <w:szCs w:val="24"/>
          <w:lang w:eastAsia="en-GB"/>
          <w14:ligatures w14:val="none"/>
        </w:rPr>
        <w:t xml:space="preserve">Critique, Improvements, and Lessons Learned </w:t>
      </w:r>
    </w:p>
    <w:tbl>
      <w:tblPr>
        <w:tblW w:w="11199" w:type="dxa"/>
        <w:tblCellSpacing w:w="15" w:type="dxa"/>
        <w:tblInd w:w="-1139" w:type="dxa"/>
        <w:tblBorders>
          <w:top w:val="single" w:sz="4" w:space="0" w:color="auto"/>
          <w:left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6"/>
        <w:gridCol w:w="2197"/>
        <w:gridCol w:w="2351"/>
        <w:gridCol w:w="1821"/>
        <w:gridCol w:w="2774"/>
      </w:tblGrid>
      <w:tr w:rsidR="006B1E94" w:rsidRPr="006101FE" w14:paraId="4E5D6CF5" w14:textId="77777777" w:rsidTr="00D26365">
        <w:trPr>
          <w:tblHeader/>
          <w:tblCellSpacing w:w="15" w:type="dxa"/>
        </w:trPr>
        <w:tc>
          <w:tcPr>
            <w:tcW w:w="2011" w:type="dxa"/>
            <w:vAlign w:val="center"/>
            <w:hideMark/>
          </w:tcPr>
          <w:p w14:paraId="1801986C"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lastRenderedPageBreak/>
              <w:t>Leadership Approach</w:t>
            </w:r>
          </w:p>
        </w:tc>
        <w:tc>
          <w:tcPr>
            <w:tcW w:w="2167" w:type="dxa"/>
            <w:vAlign w:val="center"/>
            <w:hideMark/>
          </w:tcPr>
          <w:p w14:paraId="104134A3"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Critique in Len’s Case (What went wrong?)</w:t>
            </w:r>
          </w:p>
        </w:tc>
        <w:tc>
          <w:tcPr>
            <w:tcW w:w="2321" w:type="dxa"/>
            <w:vAlign w:val="center"/>
            <w:hideMark/>
          </w:tcPr>
          <w:p w14:paraId="308D1D0B"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Evidence/Data</w:t>
            </w:r>
          </w:p>
        </w:tc>
        <w:tc>
          <w:tcPr>
            <w:tcW w:w="0" w:type="auto"/>
            <w:vAlign w:val="center"/>
            <w:hideMark/>
          </w:tcPr>
          <w:p w14:paraId="30A001F1"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Improvements (What should be done differently?)</w:t>
            </w:r>
          </w:p>
        </w:tc>
        <w:tc>
          <w:tcPr>
            <w:tcW w:w="2729" w:type="dxa"/>
            <w:vAlign w:val="center"/>
            <w:hideMark/>
          </w:tcPr>
          <w:p w14:paraId="05775751"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Lessons Learned</w:t>
            </w:r>
          </w:p>
        </w:tc>
      </w:tr>
      <w:tr w:rsidR="006B1E94" w:rsidRPr="006101FE" w14:paraId="48749DD0" w14:textId="77777777" w:rsidTr="00D26365">
        <w:trPr>
          <w:tblCellSpacing w:w="15" w:type="dxa"/>
        </w:trPr>
        <w:tc>
          <w:tcPr>
            <w:tcW w:w="2011" w:type="dxa"/>
            <w:vAlign w:val="center"/>
            <w:hideMark/>
          </w:tcPr>
          <w:p w14:paraId="7129C51F"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Transformational Leadership</w:t>
            </w:r>
          </w:p>
        </w:tc>
        <w:tc>
          <w:tcPr>
            <w:tcW w:w="2167" w:type="dxa"/>
            <w:vAlign w:val="center"/>
            <w:hideMark/>
          </w:tcPr>
          <w:p w14:paraId="6A7C3975" w14:textId="71C95533"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 xml:space="preserve">No proactive safety </w:t>
            </w:r>
            <w:r w:rsidR="006B1E94" w:rsidRPr="00D26365">
              <w:rPr>
                <w:rFonts w:ascii="Arial" w:eastAsia="Times New Roman" w:hAnsi="Arial" w:cs="Arial"/>
                <w:kern w:val="0"/>
                <w:sz w:val="24"/>
                <w:szCs w:val="24"/>
                <w:lang w:eastAsia="en-GB"/>
                <w14:ligatures w14:val="none"/>
              </w:rPr>
              <w:t>culture:</w:t>
            </w:r>
            <w:r w:rsidRPr="006101FE">
              <w:rPr>
                <w:rFonts w:ascii="Arial" w:eastAsia="Times New Roman" w:hAnsi="Arial" w:cs="Arial"/>
                <w:kern w:val="0"/>
                <w:sz w:val="24"/>
                <w:szCs w:val="24"/>
                <w:lang w:eastAsia="en-GB"/>
                <w14:ligatures w14:val="none"/>
              </w:rPr>
              <w:t xml:space="preserve"> risks of morphine and confusing labelling were not anticipated before harm occurred</w:t>
            </w:r>
          </w:p>
        </w:tc>
        <w:tc>
          <w:tcPr>
            <w:tcW w:w="2321" w:type="dxa"/>
            <w:vAlign w:val="center"/>
            <w:hideMark/>
          </w:tcPr>
          <w:p w14:paraId="3AB53FC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Organisations with strong safety leadership show reduced mortality and better outcomes (West et al., 2015)</w:t>
            </w:r>
          </w:p>
        </w:tc>
        <w:tc>
          <w:tcPr>
            <w:tcW w:w="0" w:type="auto"/>
            <w:vAlign w:val="center"/>
            <w:hideMark/>
          </w:tcPr>
          <w:p w14:paraId="565D96C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Introduce safety-driven leadership; proactively identify high-risk medications; redesign labelling systems</w:t>
            </w:r>
          </w:p>
        </w:tc>
        <w:tc>
          <w:tcPr>
            <w:tcW w:w="2729" w:type="dxa"/>
            <w:vAlign w:val="center"/>
            <w:hideMark/>
          </w:tcPr>
          <w:p w14:paraId="5F6F35ED"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Leadership must anticipate risks and embed safety before incidents occur</w:t>
            </w:r>
          </w:p>
        </w:tc>
      </w:tr>
      <w:tr w:rsidR="006B1E94" w:rsidRPr="006101FE" w14:paraId="1CD24B5E" w14:textId="77777777" w:rsidTr="00D26365">
        <w:trPr>
          <w:tblCellSpacing w:w="15" w:type="dxa"/>
        </w:trPr>
        <w:tc>
          <w:tcPr>
            <w:tcW w:w="2011" w:type="dxa"/>
            <w:vAlign w:val="center"/>
            <w:hideMark/>
          </w:tcPr>
          <w:p w14:paraId="3CD710CD"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Transactional Leadership</w:t>
            </w:r>
          </w:p>
        </w:tc>
        <w:tc>
          <w:tcPr>
            <w:tcW w:w="2167" w:type="dxa"/>
            <w:vAlign w:val="center"/>
            <w:hideMark/>
          </w:tcPr>
          <w:p w14:paraId="21AC52F4"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Over-reliance on protocols; medication dispensed correctly but patient understanding not ensured</w:t>
            </w:r>
          </w:p>
        </w:tc>
        <w:tc>
          <w:tcPr>
            <w:tcW w:w="2321" w:type="dxa"/>
            <w:vAlign w:val="center"/>
            <w:hideMark/>
          </w:tcPr>
          <w:p w14:paraId="6AF7233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Protocol compliance alone does not prevent errors in complex systems (Braithwaite et al., 2017)</w:t>
            </w:r>
          </w:p>
        </w:tc>
        <w:tc>
          <w:tcPr>
            <w:tcW w:w="0" w:type="auto"/>
            <w:vAlign w:val="center"/>
            <w:hideMark/>
          </w:tcPr>
          <w:p w14:paraId="2610021A"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Combine protocols with patient education; ensure understanding through counselling and verification</w:t>
            </w:r>
          </w:p>
        </w:tc>
        <w:tc>
          <w:tcPr>
            <w:tcW w:w="2729" w:type="dxa"/>
            <w:vAlign w:val="center"/>
            <w:hideMark/>
          </w:tcPr>
          <w:p w14:paraId="4F2D6D98"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Compliance is insufficient without ensuring patient comprehension</w:t>
            </w:r>
          </w:p>
        </w:tc>
      </w:tr>
      <w:tr w:rsidR="006B1E94" w:rsidRPr="006101FE" w14:paraId="790B4763" w14:textId="77777777" w:rsidTr="00D26365">
        <w:trPr>
          <w:tblCellSpacing w:w="15" w:type="dxa"/>
        </w:trPr>
        <w:tc>
          <w:tcPr>
            <w:tcW w:w="2011" w:type="dxa"/>
            <w:vAlign w:val="center"/>
            <w:hideMark/>
          </w:tcPr>
          <w:p w14:paraId="4AA2253F"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Situational Leadership</w:t>
            </w:r>
          </w:p>
        </w:tc>
        <w:tc>
          <w:tcPr>
            <w:tcW w:w="2167" w:type="dxa"/>
            <w:vAlign w:val="center"/>
            <w:hideMark/>
          </w:tcPr>
          <w:p w14:paraId="497BC265"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No adaptation to Len’s age (89), condition (CMT), or vulnerability; instructions not simplified</w:t>
            </w:r>
          </w:p>
        </w:tc>
        <w:tc>
          <w:tcPr>
            <w:tcW w:w="2321" w:type="dxa"/>
            <w:vAlign w:val="center"/>
            <w:hideMark/>
          </w:tcPr>
          <w:p w14:paraId="2BDD74BC"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Older adults are at higher risk of medication misinterpretation (Wimmer et al., 2017)</w:t>
            </w:r>
          </w:p>
        </w:tc>
        <w:tc>
          <w:tcPr>
            <w:tcW w:w="0" w:type="auto"/>
            <w:vAlign w:val="center"/>
            <w:hideMark/>
          </w:tcPr>
          <w:p w14:paraId="69D4142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Use teach-back; simplify instructions; tailor communication to elderly patients</w:t>
            </w:r>
          </w:p>
        </w:tc>
        <w:tc>
          <w:tcPr>
            <w:tcW w:w="2729" w:type="dxa"/>
            <w:vAlign w:val="center"/>
            <w:hideMark/>
          </w:tcPr>
          <w:p w14:paraId="08171848"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Care must be adapted to individual patient needs, especially vulnerable groups</w:t>
            </w:r>
          </w:p>
        </w:tc>
      </w:tr>
      <w:tr w:rsidR="006B1E94" w:rsidRPr="006101FE" w14:paraId="640C74D2" w14:textId="77777777" w:rsidTr="00D26365">
        <w:trPr>
          <w:tblCellSpacing w:w="15" w:type="dxa"/>
        </w:trPr>
        <w:tc>
          <w:tcPr>
            <w:tcW w:w="2011" w:type="dxa"/>
            <w:vAlign w:val="center"/>
            <w:hideMark/>
          </w:tcPr>
          <w:p w14:paraId="40BE9AE0"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Reactive Leadership</w:t>
            </w:r>
          </w:p>
        </w:tc>
        <w:tc>
          <w:tcPr>
            <w:tcW w:w="2167" w:type="dxa"/>
            <w:vAlign w:val="center"/>
            <w:hideMark/>
          </w:tcPr>
          <w:p w14:paraId="6B484B3B"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 xml:space="preserve">Action occurred only after overdose and deterioration; </w:t>
            </w:r>
            <w:r w:rsidRPr="006101FE">
              <w:rPr>
                <w:rFonts w:ascii="Arial" w:eastAsia="Times New Roman" w:hAnsi="Arial" w:cs="Arial"/>
                <w:kern w:val="0"/>
                <w:sz w:val="24"/>
                <w:szCs w:val="24"/>
                <w:lang w:eastAsia="en-GB"/>
                <w14:ligatures w14:val="none"/>
              </w:rPr>
              <w:lastRenderedPageBreak/>
              <w:t>no early intervention</w:t>
            </w:r>
          </w:p>
        </w:tc>
        <w:tc>
          <w:tcPr>
            <w:tcW w:w="2321" w:type="dxa"/>
            <w:vAlign w:val="center"/>
            <w:hideMark/>
          </w:tcPr>
          <w:p w14:paraId="4F7AF7B1"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lastRenderedPageBreak/>
              <w:t xml:space="preserve">Reactive systems linked to poorer safety outcomes </w:t>
            </w:r>
            <w:r w:rsidRPr="006101FE">
              <w:rPr>
                <w:rFonts w:ascii="Arial" w:eastAsia="Times New Roman" w:hAnsi="Arial" w:cs="Arial"/>
                <w:kern w:val="0"/>
                <w:sz w:val="24"/>
                <w:szCs w:val="24"/>
                <w:lang w:eastAsia="en-GB"/>
                <w14:ligatures w14:val="none"/>
              </w:rPr>
              <w:lastRenderedPageBreak/>
              <w:t>(Mannion &amp; Davies, 2018)</w:t>
            </w:r>
          </w:p>
        </w:tc>
        <w:tc>
          <w:tcPr>
            <w:tcW w:w="0" w:type="auto"/>
            <w:vAlign w:val="center"/>
            <w:hideMark/>
          </w:tcPr>
          <w:p w14:paraId="3B7D1273"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lastRenderedPageBreak/>
              <w:t xml:space="preserve">Introduce early risk assessment; </w:t>
            </w:r>
            <w:r w:rsidRPr="006101FE">
              <w:rPr>
                <w:rFonts w:ascii="Arial" w:eastAsia="Times New Roman" w:hAnsi="Arial" w:cs="Arial"/>
                <w:kern w:val="0"/>
                <w:sz w:val="24"/>
                <w:szCs w:val="24"/>
                <w:lang w:eastAsia="en-GB"/>
                <w14:ligatures w14:val="none"/>
              </w:rPr>
              <w:lastRenderedPageBreak/>
              <w:t>monitor high-risk prescriptions; implement preventive safeguards</w:t>
            </w:r>
          </w:p>
        </w:tc>
        <w:tc>
          <w:tcPr>
            <w:tcW w:w="2729" w:type="dxa"/>
            <w:vAlign w:val="center"/>
            <w:hideMark/>
          </w:tcPr>
          <w:p w14:paraId="483994C0"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lastRenderedPageBreak/>
              <w:t>Prevention is more effective than responding after harm</w:t>
            </w:r>
          </w:p>
        </w:tc>
      </w:tr>
      <w:tr w:rsidR="006B1E94" w:rsidRPr="006101FE" w14:paraId="280B1585" w14:textId="77777777" w:rsidTr="00D26365">
        <w:trPr>
          <w:tblCellSpacing w:w="15" w:type="dxa"/>
        </w:trPr>
        <w:tc>
          <w:tcPr>
            <w:tcW w:w="2011" w:type="dxa"/>
            <w:vAlign w:val="center"/>
            <w:hideMark/>
          </w:tcPr>
          <w:p w14:paraId="4CEA8BC8"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Proactive Leadership</w:t>
            </w:r>
          </w:p>
        </w:tc>
        <w:tc>
          <w:tcPr>
            <w:tcW w:w="2167" w:type="dxa"/>
            <w:vAlign w:val="center"/>
            <w:hideMark/>
          </w:tcPr>
          <w:p w14:paraId="5D015C49"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No anticipation of known opioid risks; lack of safety checks before dispensing</w:t>
            </w:r>
          </w:p>
        </w:tc>
        <w:tc>
          <w:tcPr>
            <w:tcW w:w="2321" w:type="dxa"/>
            <w:vAlign w:val="center"/>
            <w:hideMark/>
          </w:tcPr>
          <w:p w14:paraId="183E3430"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Opioids are high-risk medications linked to adverse events (Davies &amp; O’Mahony, 2015)</w:t>
            </w:r>
          </w:p>
        </w:tc>
        <w:tc>
          <w:tcPr>
            <w:tcW w:w="0" w:type="auto"/>
            <w:vAlign w:val="center"/>
            <w:hideMark/>
          </w:tcPr>
          <w:p w14:paraId="2564DCD9"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Implement alerts for high-risk drugs; provide pre-measured dosing tools; strengthen monitoring</w:t>
            </w:r>
          </w:p>
        </w:tc>
        <w:tc>
          <w:tcPr>
            <w:tcW w:w="2729" w:type="dxa"/>
            <w:vAlign w:val="center"/>
            <w:hideMark/>
          </w:tcPr>
          <w:p w14:paraId="29792848"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High-risk medications require proactive safeguards</w:t>
            </w:r>
          </w:p>
        </w:tc>
      </w:tr>
      <w:tr w:rsidR="006B1E94" w:rsidRPr="006101FE" w14:paraId="7BD355F5" w14:textId="77777777" w:rsidTr="00D26365">
        <w:trPr>
          <w:tblCellSpacing w:w="15" w:type="dxa"/>
        </w:trPr>
        <w:tc>
          <w:tcPr>
            <w:tcW w:w="2011" w:type="dxa"/>
            <w:vAlign w:val="center"/>
            <w:hideMark/>
          </w:tcPr>
          <w:p w14:paraId="4C454E1B"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Emotionally Intelligent Leadership</w:t>
            </w:r>
          </w:p>
        </w:tc>
        <w:tc>
          <w:tcPr>
            <w:tcW w:w="2167" w:type="dxa"/>
            <w:vAlign w:val="center"/>
            <w:hideMark/>
          </w:tcPr>
          <w:p w14:paraId="19D243E4"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Limited engagement with Len and his wife; lack of empathy in ensuring understanding</w:t>
            </w:r>
          </w:p>
        </w:tc>
        <w:tc>
          <w:tcPr>
            <w:tcW w:w="2321" w:type="dxa"/>
            <w:vAlign w:val="center"/>
            <w:hideMark/>
          </w:tcPr>
          <w:p w14:paraId="328352C0"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Poor communication is a leading cause of adverse events (Joint Commission, 2015)</w:t>
            </w:r>
          </w:p>
        </w:tc>
        <w:tc>
          <w:tcPr>
            <w:tcW w:w="0" w:type="auto"/>
            <w:vAlign w:val="center"/>
            <w:hideMark/>
          </w:tcPr>
          <w:p w14:paraId="730A702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Improve patient-centred communication; involve carers; ensure clear explanation of medication use</w:t>
            </w:r>
          </w:p>
        </w:tc>
        <w:tc>
          <w:tcPr>
            <w:tcW w:w="2729" w:type="dxa"/>
            <w:vAlign w:val="center"/>
            <w:hideMark/>
          </w:tcPr>
          <w:p w14:paraId="727E8C25"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Effective care requires empathy, communication, and patient involvement</w:t>
            </w:r>
          </w:p>
        </w:tc>
      </w:tr>
      <w:tr w:rsidR="006B1E94" w:rsidRPr="006101FE" w14:paraId="379F3D21" w14:textId="77777777" w:rsidTr="00D26365">
        <w:trPr>
          <w:tblCellSpacing w:w="15" w:type="dxa"/>
        </w:trPr>
        <w:tc>
          <w:tcPr>
            <w:tcW w:w="2011" w:type="dxa"/>
            <w:vAlign w:val="center"/>
            <w:hideMark/>
          </w:tcPr>
          <w:p w14:paraId="75959535" w14:textId="77777777" w:rsidR="006101FE" w:rsidRPr="006101FE" w:rsidRDefault="006101FE" w:rsidP="00D26365">
            <w:pPr>
              <w:spacing w:after="0" w:line="360" w:lineRule="auto"/>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Distributed Leadership</w:t>
            </w:r>
          </w:p>
        </w:tc>
        <w:tc>
          <w:tcPr>
            <w:tcW w:w="2167" w:type="dxa"/>
            <w:vAlign w:val="center"/>
            <w:hideMark/>
          </w:tcPr>
          <w:p w14:paraId="068A002D"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Fragmented responsibility between GP, pharmacy, and system regulators; no clear ownership of safety</w:t>
            </w:r>
          </w:p>
        </w:tc>
        <w:tc>
          <w:tcPr>
            <w:tcW w:w="2321" w:type="dxa"/>
            <w:vAlign w:val="center"/>
            <w:hideMark/>
          </w:tcPr>
          <w:p w14:paraId="773583CE"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Lack of accountability contributes to system failures (HSSIB, 2022)</w:t>
            </w:r>
          </w:p>
        </w:tc>
        <w:tc>
          <w:tcPr>
            <w:tcW w:w="0" w:type="auto"/>
            <w:vAlign w:val="center"/>
            <w:hideMark/>
          </w:tcPr>
          <w:p w14:paraId="5B0E5E49"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t xml:space="preserve">Clarify roles; improve coordination; empower frontline staff to take </w:t>
            </w:r>
            <w:r w:rsidRPr="006101FE">
              <w:rPr>
                <w:rFonts w:ascii="Arial" w:eastAsia="Times New Roman" w:hAnsi="Arial" w:cs="Arial"/>
                <w:kern w:val="0"/>
                <w:sz w:val="24"/>
                <w:szCs w:val="24"/>
                <w:lang w:eastAsia="en-GB"/>
                <w14:ligatures w14:val="none"/>
              </w:rPr>
              <w:lastRenderedPageBreak/>
              <w:t>responsibility for safety</w:t>
            </w:r>
          </w:p>
        </w:tc>
        <w:tc>
          <w:tcPr>
            <w:tcW w:w="2729" w:type="dxa"/>
            <w:vAlign w:val="center"/>
            <w:hideMark/>
          </w:tcPr>
          <w:p w14:paraId="5143F873" w14:textId="77777777" w:rsidR="006101FE" w:rsidRPr="006101FE" w:rsidRDefault="006101FE" w:rsidP="00D26365">
            <w:pPr>
              <w:spacing w:after="0" w:line="360" w:lineRule="auto"/>
              <w:rPr>
                <w:rFonts w:ascii="Arial" w:eastAsia="Times New Roman" w:hAnsi="Arial" w:cs="Arial"/>
                <w:kern w:val="0"/>
                <w:sz w:val="24"/>
                <w:szCs w:val="24"/>
                <w:lang w:eastAsia="en-GB"/>
                <w14:ligatures w14:val="none"/>
              </w:rPr>
            </w:pPr>
            <w:r w:rsidRPr="006101FE">
              <w:rPr>
                <w:rFonts w:ascii="Arial" w:eastAsia="Times New Roman" w:hAnsi="Arial" w:cs="Arial"/>
                <w:kern w:val="0"/>
                <w:sz w:val="24"/>
                <w:szCs w:val="24"/>
                <w:lang w:eastAsia="en-GB"/>
                <w14:ligatures w14:val="none"/>
              </w:rPr>
              <w:lastRenderedPageBreak/>
              <w:t>Patient safety is a shared responsibility across the system</w:t>
            </w:r>
          </w:p>
        </w:tc>
      </w:tr>
    </w:tbl>
    <w:p w14:paraId="72F8DD4C" w14:textId="7F595D8F" w:rsidR="006101FE" w:rsidRPr="006101FE" w:rsidRDefault="006101FE" w:rsidP="00D26365">
      <w:pPr>
        <w:spacing w:after="0" w:line="360" w:lineRule="auto"/>
        <w:rPr>
          <w:rFonts w:ascii="Arial" w:eastAsia="Times New Roman" w:hAnsi="Arial" w:cs="Arial"/>
          <w:kern w:val="0"/>
          <w:sz w:val="18"/>
          <w:szCs w:val="18"/>
          <w:lang w:eastAsia="en-GB"/>
          <w14:ligatures w14:val="none"/>
        </w:rPr>
      </w:pPr>
    </w:p>
    <w:p w14:paraId="5619FF6C" w14:textId="77777777" w:rsidR="00D26365" w:rsidRDefault="00D26365" w:rsidP="00D26365">
      <w:pPr>
        <w:rPr>
          <w:rFonts w:ascii="Arial" w:hAnsi="Arial" w:cs="Arial"/>
          <w:b/>
          <w:bCs/>
        </w:rPr>
      </w:pPr>
    </w:p>
    <w:p w14:paraId="1489A4B2" w14:textId="3E6C26D1" w:rsidR="00D26365" w:rsidRPr="00D26365" w:rsidRDefault="00D26365" w:rsidP="00D26365">
      <w:pPr>
        <w:rPr>
          <w:rFonts w:ascii="Arial" w:hAnsi="Arial" w:cs="Arial"/>
          <w:b/>
          <w:bCs/>
          <w:sz w:val="24"/>
          <w:szCs w:val="24"/>
        </w:rPr>
      </w:pPr>
      <w:r w:rsidRPr="00D26365">
        <w:rPr>
          <w:rFonts w:ascii="Arial" w:hAnsi="Arial" w:cs="Arial"/>
          <w:b/>
          <w:bCs/>
          <w:sz w:val="24"/>
          <w:szCs w:val="24"/>
        </w:rPr>
        <w:t>Analysis of Short Linking</w:t>
      </w:r>
    </w:p>
    <w:p w14:paraId="18285B81" w14:textId="0126851D" w:rsidR="00D26365" w:rsidRPr="00D26365" w:rsidRDefault="00D26365" w:rsidP="00D2636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D26365">
        <w:rPr>
          <w:rFonts w:ascii="Arial" w:eastAsia="Times New Roman" w:hAnsi="Arial" w:cs="Arial"/>
          <w:kern w:val="0"/>
          <w:lang w:eastAsia="en-GB"/>
          <w14:ligatures w14:val="none"/>
        </w:rPr>
        <w:t xml:space="preserve">This table illustrates that the failures in Len's situation stemmed from multiple concurrent leadership deficiencies rather than a singular error. The lack of transformational and proactive leadership resulted in unaddressed known risks, such as opioid misuse and unclear </w:t>
      </w:r>
      <w:r w:rsidR="003A41A4" w:rsidRPr="00D26365">
        <w:rPr>
          <w:rFonts w:ascii="Arial" w:eastAsia="Times New Roman" w:hAnsi="Arial" w:cs="Arial"/>
          <w:kern w:val="0"/>
          <w:lang w:eastAsia="en-GB"/>
          <w14:ligatures w14:val="none"/>
        </w:rPr>
        <w:t>labelling</w:t>
      </w:r>
      <w:r w:rsidRPr="00D26365">
        <w:rPr>
          <w:rFonts w:ascii="Arial" w:eastAsia="Times New Roman" w:hAnsi="Arial" w:cs="Arial"/>
          <w:kern w:val="0"/>
          <w:lang w:eastAsia="en-GB"/>
          <w14:ligatures w14:val="none"/>
        </w:rPr>
        <w:t>. Concurrently, the prevalence of transactional leadership ensured adherence to procedures but did not enhance patient comprehension.</w:t>
      </w:r>
    </w:p>
    <w:p w14:paraId="5F4B359C" w14:textId="77777777" w:rsidR="00D26365" w:rsidRPr="00D26365" w:rsidRDefault="00D26365" w:rsidP="00D26365">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63548207" w14:textId="77777777" w:rsidR="00D26365" w:rsidRPr="00D26365" w:rsidRDefault="00D26365" w:rsidP="00D2636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D26365">
        <w:rPr>
          <w:rFonts w:ascii="Arial" w:eastAsia="Times New Roman" w:hAnsi="Arial" w:cs="Arial"/>
          <w:kern w:val="0"/>
          <w:lang w:eastAsia="en-GB"/>
          <w14:ligatures w14:val="none"/>
        </w:rPr>
        <w:t>Importantly, the absence of situational and emotionally intelligent leadership meant that Len's unique needs as an elderly patient were overlooked, directly leading to the overdose. Additionally, fragmented accountability in a distributed system resulted in no individual professional overseeing safe medication practices.</w:t>
      </w:r>
    </w:p>
    <w:p w14:paraId="3C0D3703" w14:textId="77777777" w:rsidR="00D26365" w:rsidRPr="00D26365" w:rsidRDefault="00D26365" w:rsidP="00D26365">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12F17981" w14:textId="4DDF3137" w:rsidR="00D26365" w:rsidRDefault="00D26365" w:rsidP="00D2636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D26365">
        <w:rPr>
          <w:rFonts w:ascii="Arial" w:eastAsia="Times New Roman" w:hAnsi="Arial" w:cs="Arial"/>
          <w:kern w:val="0"/>
          <w:lang w:eastAsia="en-GB"/>
          <w14:ligatures w14:val="none"/>
        </w:rPr>
        <w:t>In summary, the table emphasizes that integrated leadership strategies</w:t>
      </w:r>
      <w:r w:rsidR="001C51EF">
        <w:rPr>
          <w:rFonts w:ascii="Arial" w:eastAsia="Times New Roman" w:hAnsi="Arial" w:cs="Arial"/>
          <w:kern w:val="0"/>
          <w:lang w:eastAsia="en-GB"/>
          <w14:ligatures w14:val="none"/>
        </w:rPr>
        <w:t xml:space="preserve">, </w:t>
      </w:r>
      <w:r w:rsidRPr="00D26365">
        <w:rPr>
          <w:rFonts w:ascii="Arial" w:eastAsia="Times New Roman" w:hAnsi="Arial" w:cs="Arial"/>
          <w:kern w:val="0"/>
          <w:lang w:eastAsia="en-GB"/>
          <w14:ligatures w14:val="none"/>
        </w:rPr>
        <w:t>merging transformational, proactive, situational, and emotionally intelligent methods</w:t>
      </w:r>
      <w:r w:rsidR="001C51EF">
        <w:rPr>
          <w:rFonts w:ascii="Arial" w:eastAsia="Times New Roman" w:hAnsi="Arial" w:cs="Arial"/>
          <w:kern w:val="0"/>
          <w:lang w:eastAsia="en-GB"/>
          <w14:ligatures w14:val="none"/>
        </w:rPr>
        <w:t xml:space="preserve">, </w:t>
      </w:r>
      <w:r w:rsidRPr="00D26365">
        <w:rPr>
          <w:rFonts w:ascii="Arial" w:eastAsia="Times New Roman" w:hAnsi="Arial" w:cs="Arial"/>
          <w:kern w:val="0"/>
          <w:lang w:eastAsia="en-GB"/>
          <w14:ligatures w14:val="none"/>
        </w:rPr>
        <w:t>could have averted this incident. The essential takeaway is that effective healthcare leadership must transcend mere compliance to actively manage risks, support patients, and guarantee safety at all times.</w:t>
      </w:r>
    </w:p>
    <w:p w14:paraId="6240D1CD" w14:textId="5B678486" w:rsidR="006101FE" w:rsidRPr="006101FE"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6101FE">
        <w:rPr>
          <w:rFonts w:ascii="Arial" w:eastAsia="Times New Roman" w:hAnsi="Arial" w:cs="Arial"/>
          <w:kern w:val="0"/>
          <w:lang w:eastAsia="en-GB"/>
          <w14:ligatures w14:val="none"/>
        </w:rPr>
        <w:t xml:space="preserve"> </w:t>
      </w:r>
      <w:r w:rsidRPr="006101FE">
        <w:rPr>
          <w:rFonts w:ascii="Arial" w:eastAsia="Times New Roman" w:hAnsi="Arial" w:cs="Arial"/>
          <w:b/>
          <w:bCs/>
          <w:kern w:val="0"/>
          <w:sz w:val="24"/>
          <w:szCs w:val="24"/>
          <w:lang w:eastAsia="en-GB"/>
          <w14:ligatures w14:val="none"/>
        </w:rPr>
        <w:t>Problem</w:t>
      </w:r>
      <w:r w:rsidR="00D26365">
        <w:rPr>
          <w:rFonts w:ascii="Arial" w:eastAsia="Times New Roman" w:hAnsi="Arial" w:cs="Arial"/>
          <w:b/>
          <w:bCs/>
          <w:kern w:val="0"/>
          <w:sz w:val="24"/>
          <w:szCs w:val="24"/>
          <w:lang w:eastAsia="en-GB"/>
          <w14:ligatures w14:val="none"/>
        </w:rPr>
        <w:t xml:space="preserve">, </w:t>
      </w:r>
      <w:r w:rsidRPr="006101FE">
        <w:rPr>
          <w:rFonts w:ascii="Arial" w:eastAsia="Times New Roman" w:hAnsi="Arial" w:cs="Arial"/>
          <w:b/>
          <w:bCs/>
          <w:kern w:val="0"/>
          <w:sz w:val="24"/>
          <w:szCs w:val="24"/>
          <w:lang w:eastAsia="en-GB"/>
          <w14:ligatures w14:val="none"/>
        </w:rPr>
        <w:t>Data</w:t>
      </w:r>
      <w:r w:rsidR="00D26365">
        <w:rPr>
          <w:rFonts w:ascii="Arial" w:eastAsia="Times New Roman" w:hAnsi="Arial" w:cs="Arial"/>
          <w:b/>
          <w:bCs/>
          <w:kern w:val="0"/>
          <w:sz w:val="24"/>
          <w:szCs w:val="24"/>
          <w:lang w:eastAsia="en-GB"/>
          <w14:ligatures w14:val="none"/>
        </w:rPr>
        <w:t xml:space="preserve">, </w:t>
      </w:r>
      <w:r w:rsidRPr="006101FE">
        <w:rPr>
          <w:rFonts w:ascii="Arial" w:eastAsia="Times New Roman" w:hAnsi="Arial" w:cs="Arial"/>
          <w:b/>
          <w:bCs/>
          <w:kern w:val="0"/>
          <w:sz w:val="24"/>
          <w:szCs w:val="24"/>
          <w:lang w:eastAsia="en-GB"/>
          <w14:ligatures w14:val="none"/>
        </w:rPr>
        <w:t>Improvement Analysis Framework</w:t>
      </w:r>
    </w:p>
    <w:tbl>
      <w:tblPr>
        <w:tblW w:w="0" w:type="auto"/>
        <w:tblCellSpacing w:w="15" w:type="dxa"/>
        <w:tblBorders>
          <w:top w:val="single" w:sz="4" w:space="0" w:color="auto"/>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3"/>
        <w:gridCol w:w="3776"/>
        <w:gridCol w:w="3237"/>
      </w:tblGrid>
      <w:tr w:rsidR="006101FE" w:rsidRPr="006101FE" w14:paraId="4945904F" w14:textId="77777777" w:rsidTr="00D26365">
        <w:trPr>
          <w:tblHeader/>
          <w:tblCellSpacing w:w="15" w:type="dxa"/>
        </w:trPr>
        <w:tc>
          <w:tcPr>
            <w:tcW w:w="0" w:type="auto"/>
            <w:vAlign w:val="center"/>
            <w:hideMark/>
          </w:tcPr>
          <w:p w14:paraId="6BBD9FFA" w14:textId="77777777" w:rsidR="006101FE" w:rsidRPr="006101FE" w:rsidRDefault="006101FE" w:rsidP="006101FE">
            <w:pPr>
              <w:spacing w:after="0" w:line="360" w:lineRule="auto"/>
              <w:jc w:val="both"/>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Identified Problem</w:t>
            </w:r>
          </w:p>
        </w:tc>
        <w:tc>
          <w:tcPr>
            <w:tcW w:w="0" w:type="auto"/>
            <w:vAlign w:val="center"/>
            <w:hideMark/>
          </w:tcPr>
          <w:p w14:paraId="64AF3959" w14:textId="77777777" w:rsidR="006101FE" w:rsidRPr="006101FE" w:rsidRDefault="006101FE" w:rsidP="001C51EF">
            <w:pPr>
              <w:spacing w:after="0" w:line="360" w:lineRule="auto"/>
              <w:jc w:val="center"/>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Evidence / Data</w:t>
            </w:r>
          </w:p>
        </w:tc>
        <w:tc>
          <w:tcPr>
            <w:tcW w:w="0" w:type="auto"/>
            <w:vAlign w:val="center"/>
            <w:hideMark/>
          </w:tcPr>
          <w:p w14:paraId="3137EB2B" w14:textId="77777777" w:rsidR="006101FE" w:rsidRPr="006101FE" w:rsidRDefault="006101FE" w:rsidP="001C51EF">
            <w:pPr>
              <w:spacing w:after="0" w:line="360" w:lineRule="auto"/>
              <w:jc w:val="center"/>
              <w:rPr>
                <w:rFonts w:ascii="Arial" w:eastAsia="Times New Roman" w:hAnsi="Arial" w:cs="Arial"/>
                <w:b/>
                <w:bCs/>
                <w:kern w:val="0"/>
                <w:lang w:eastAsia="en-GB"/>
                <w14:ligatures w14:val="none"/>
              </w:rPr>
            </w:pPr>
            <w:r w:rsidRPr="006101FE">
              <w:rPr>
                <w:rFonts w:ascii="Arial" w:eastAsia="Times New Roman" w:hAnsi="Arial" w:cs="Arial"/>
                <w:b/>
                <w:bCs/>
                <w:kern w:val="0"/>
                <w:lang w:eastAsia="en-GB"/>
                <w14:ligatures w14:val="none"/>
              </w:rPr>
              <w:t>Improvement Strategy</w:t>
            </w:r>
          </w:p>
        </w:tc>
      </w:tr>
      <w:tr w:rsidR="006101FE" w:rsidRPr="006101FE" w14:paraId="0A445755" w14:textId="77777777" w:rsidTr="00D26365">
        <w:trPr>
          <w:tblCellSpacing w:w="15" w:type="dxa"/>
        </w:trPr>
        <w:tc>
          <w:tcPr>
            <w:tcW w:w="0" w:type="auto"/>
            <w:vAlign w:val="center"/>
            <w:hideMark/>
          </w:tcPr>
          <w:p w14:paraId="0CBE0FAD"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Unsafe medication labelling and poor system design</w:t>
            </w:r>
          </w:p>
        </w:tc>
        <w:tc>
          <w:tcPr>
            <w:tcW w:w="0" w:type="auto"/>
            <w:vAlign w:val="center"/>
            <w:hideMark/>
          </w:tcPr>
          <w:p w14:paraId="726C25AE"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Len misread “10 mg/5 ml” as the dose, leading to overdose (HSSIB, 2020; 2022). Research links unclear </w:t>
            </w:r>
            <w:r w:rsidRPr="006101FE">
              <w:rPr>
                <w:rFonts w:ascii="Arial" w:eastAsia="Times New Roman" w:hAnsi="Arial" w:cs="Arial"/>
                <w:kern w:val="0"/>
                <w:lang w:eastAsia="en-GB"/>
                <w14:ligatures w14:val="none"/>
              </w:rPr>
              <w:lastRenderedPageBreak/>
              <w:t>labelling to medication errors (Institute of Medicine, 2007).</w:t>
            </w:r>
          </w:p>
        </w:tc>
        <w:tc>
          <w:tcPr>
            <w:tcW w:w="0" w:type="auto"/>
            <w:vAlign w:val="center"/>
            <w:hideMark/>
          </w:tcPr>
          <w:p w14:paraId="39EE6924"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lastRenderedPageBreak/>
              <w:t xml:space="preserve">Standardise labelling nationally; ensure dosage instructions are prominent on medication </w:t>
            </w:r>
            <w:r w:rsidRPr="006101FE">
              <w:rPr>
                <w:rFonts w:ascii="Arial" w:eastAsia="Times New Roman" w:hAnsi="Arial" w:cs="Arial"/>
                <w:kern w:val="0"/>
                <w:lang w:eastAsia="en-GB"/>
                <w14:ligatures w14:val="none"/>
              </w:rPr>
              <w:lastRenderedPageBreak/>
              <w:t>containers; apply human factors principles (</w:t>
            </w:r>
            <w:proofErr w:type="gramStart"/>
            <w:r w:rsidRPr="006101FE">
              <w:rPr>
                <w:rFonts w:ascii="Arial" w:eastAsia="Times New Roman" w:hAnsi="Arial" w:cs="Arial"/>
                <w:kern w:val="0"/>
                <w:lang w:eastAsia="en-GB"/>
                <w14:ligatures w14:val="none"/>
              </w:rPr>
              <w:t>clear language</w:t>
            </w:r>
            <w:proofErr w:type="gramEnd"/>
            <w:r w:rsidRPr="006101FE">
              <w:rPr>
                <w:rFonts w:ascii="Arial" w:eastAsia="Times New Roman" w:hAnsi="Arial" w:cs="Arial"/>
                <w:kern w:val="0"/>
                <w:lang w:eastAsia="en-GB"/>
                <w14:ligatures w14:val="none"/>
              </w:rPr>
              <w:t>, larger fonts, visual cues).</w:t>
            </w:r>
          </w:p>
        </w:tc>
      </w:tr>
      <w:tr w:rsidR="006101FE" w:rsidRPr="006101FE" w14:paraId="27B2F86F" w14:textId="77777777" w:rsidTr="00D26365">
        <w:trPr>
          <w:tblCellSpacing w:w="15" w:type="dxa"/>
        </w:trPr>
        <w:tc>
          <w:tcPr>
            <w:tcW w:w="0" w:type="auto"/>
            <w:vAlign w:val="center"/>
            <w:hideMark/>
          </w:tcPr>
          <w:p w14:paraId="7AD715C4"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lastRenderedPageBreak/>
              <w:t>Poor patient understanding and communication failure</w:t>
            </w:r>
          </w:p>
        </w:tc>
        <w:tc>
          <w:tcPr>
            <w:tcW w:w="0" w:type="auto"/>
            <w:vAlign w:val="center"/>
            <w:hideMark/>
          </w:tcPr>
          <w:p w14:paraId="286B01C2"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High rates of patient misunderstanding of medication instructions, especially in older adults (Kripalani et al., 2006). Communication failures contribute significantly to adverse events (Joint Commission, 2015).</w:t>
            </w:r>
          </w:p>
        </w:tc>
        <w:tc>
          <w:tcPr>
            <w:tcW w:w="0" w:type="auto"/>
            <w:vAlign w:val="center"/>
            <w:hideMark/>
          </w:tcPr>
          <w:p w14:paraId="2C2F2534"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Use teach-back methods; provide verbal and written instructions; involve carers; adopt patient-centred communication strategies.</w:t>
            </w:r>
          </w:p>
        </w:tc>
      </w:tr>
      <w:tr w:rsidR="006101FE" w:rsidRPr="006101FE" w14:paraId="147E5817" w14:textId="77777777" w:rsidTr="00D26365">
        <w:trPr>
          <w:tblCellSpacing w:w="15" w:type="dxa"/>
        </w:trPr>
        <w:tc>
          <w:tcPr>
            <w:tcW w:w="0" w:type="auto"/>
            <w:vAlign w:val="center"/>
            <w:hideMark/>
          </w:tcPr>
          <w:p w14:paraId="17F18B2D"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High-risk medication (opioid) without adequate safeguards</w:t>
            </w:r>
          </w:p>
        </w:tc>
        <w:tc>
          <w:tcPr>
            <w:tcW w:w="0" w:type="auto"/>
            <w:vAlign w:val="center"/>
            <w:hideMark/>
          </w:tcPr>
          <w:p w14:paraId="2874F073"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Opioids associated with increased risk of overdose and adverse events in elderly populations (Davies &amp; O’Mahony, 2015).</w:t>
            </w:r>
          </w:p>
        </w:tc>
        <w:tc>
          <w:tcPr>
            <w:tcW w:w="0" w:type="auto"/>
            <w:vAlign w:val="center"/>
            <w:hideMark/>
          </w:tcPr>
          <w:p w14:paraId="293940F9"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Introduce prescribing alerts; use pre-measured dosing tools; increase monitoring; consider alternative pain management options.</w:t>
            </w:r>
          </w:p>
        </w:tc>
      </w:tr>
      <w:tr w:rsidR="006101FE" w:rsidRPr="006101FE" w14:paraId="7D213C13" w14:textId="77777777" w:rsidTr="00D26365">
        <w:trPr>
          <w:tblCellSpacing w:w="15" w:type="dxa"/>
        </w:trPr>
        <w:tc>
          <w:tcPr>
            <w:tcW w:w="0" w:type="auto"/>
            <w:vAlign w:val="center"/>
            <w:hideMark/>
          </w:tcPr>
          <w:p w14:paraId="4E0636B5"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Fragmented governance and unclear accountability</w:t>
            </w:r>
          </w:p>
        </w:tc>
        <w:tc>
          <w:tcPr>
            <w:tcW w:w="0" w:type="auto"/>
            <w:vAlign w:val="center"/>
            <w:hideMark/>
          </w:tcPr>
          <w:p w14:paraId="5F6D9B1D" w14:textId="042B2609"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Multiple stakeholders </w:t>
            </w:r>
            <w:r w:rsidR="001C51EF">
              <w:rPr>
                <w:rFonts w:ascii="Arial" w:eastAsia="Times New Roman" w:hAnsi="Arial" w:cs="Arial"/>
                <w:kern w:val="0"/>
                <w:lang w:eastAsia="en-GB"/>
                <w14:ligatures w14:val="none"/>
              </w:rPr>
              <w:t xml:space="preserve">are </w:t>
            </w:r>
            <w:r w:rsidRPr="006101FE">
              <w:rPr>
                <w:rFonts w:ascii="Arial" w:eastAsia="Times New Roman" w:hAnsi="Arial" w:cs="Arial"/>
                <w:kern w:val="0"/>
                <w:lang w:eastAsia="en-GB"/>
                <w14:ligatures w14:val="none"/>
              </w:rPr>
              <w:t>involved with no clear ownership of safety (HSSIB, 2022). Weak governance linked to system failures.</w:t>
            </w:r>
          </w:p>
        </w:tc>
        <w:tc>
          <w:tcPr>
            <w:tcW w:w="0" w:type="auto"/>
            <w:vAlign w:val="center"/>
            <w:hideMark/>
          </w:tcPr>
          <w:p w14:paraId="0AE48DD1"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Strengthen governance frameworks; clarify roles and responsibilities; enforce national safety standards; conduct audits.</w:t>
            </w:r>
          </w:p>
        </w:tc>
      </w:tr>
      <w:tr w:rsidR="006101FE" w:rsidRPr="006101FE" w14:paraId="71C2E71B" w14:textId="77777777" w:rsidTr="00D26365">
        <w:trPr>
          <w:tblCellSpacing w:w="15" w:type="dxa"/>
        </w:trPr>
        <w:tc>
          <w:tcPr>
            <w:tcW w:w="0" w:type="auto"/>
            <w:vAlign w:val="center"/>
            <w:hideMark/>
          </w:tcPr>
          <w:p w14:paraId="7F0AAB18"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Reactive leadership and absence of risk anticipation</w:t>
            </w:r>
          </w:p>
        </w:tc>
        <w:tc>
          <w:tcPr>
            <w:tcW w:w="0" w:type="auto"/>
            <w:vAlign w:val="center"/>
            <w:hideMark/>
          </w:tcPr>
          <w:p w14:paraId="5752C435" w14:textId="06607629"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System responded only after harm; reactive leadership </w:t>
            </w:r>
            <w:r w:rsidR="001C51EF">
              <w:rPr>
                <w:rFonts w:ascii="Arial" w:eastAsia="Times New Roman" w:hAnsi="Arial" w:cs="Arial"/>
                <w:kern w:val="0"/>
                <w:lang w:eastAsia="en-GB"/>
                <w14:ligatures w14:val="none"/>
              </w:rPr>
              <w:t xml:space="preserve">is </w:t>
            </w:r>
            <w:r w:rsidRPr="006101FE">
              <w:rPr>
                <w:rFonts w:ascii="Arial" w:eastAsia="Times New Roman" w:hAnsi="Arial" w:cs="Arial"/>
                <w:kern w:val="0"/>
                <w:lang w:eastAsia="en-GB"/>
                <w14:ligatures w14:val="none"/>
              </w:rPr>
              <w:t>linked to poorer safety outcomes (Mannion &amp; Davies, 2018).</w:t>
            </w:r>
          </w:p>
        </w:tc>
        <w:tc>
          <w:tcPr>
            <w:tcW w:w="0" w:type="auto"/>
            <w:vAlign w:val="center"/>
            <w:hideMark/>
          </w:tcPr>
          <w:p w14:paraId="1D3E1546"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Shift to proactive leadership; implement risk assessments; establish monitoring systems; prioritise prevention.</w:t>
            </w:r>
          </w:p>
        </w:tc>
      </w:tr>
      <w:tr w:rsidR="006101FE" w:rsidRPr="006101FE" w14:paraId="15EA846C" w14:textId="77777777" w:rsidTr="00D26365">
        <w:trPr>
          <w:tblCellSpacing w:w="15" w:type="dxa"/>
        </w:trPr>
        <w:tc>
          <w:tcPr>
            <w:tcW w:w="0" w:type="auto"/>
            <w:vAlign w:val="center"/>
            <w:hideMark/>
          </w:tcPr>
          <w:p w14:paraId="5D28FE5A"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Lack of continuous learning and feedback loops</w:t>
            </w:r>
          </w:p>
        </w:tc>
        <w:tc>
          <w:tcPr>
            <w:tcW w:w="0" w:type="auto"/>
            <w:vAlign w:val="center"/>
            <w:hideMark/>
          </w:tcPr>
          <w:p w14:paraId="08B2B32B"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Errors identified post-incident; lack of early warning systems (Reason, 2000; WHO, 2021).</w:t>
            </w:r>
          </w:p>
        </w:tc>
        <w:tc>
          <w:tcPr>
            <w:tcW w:w="0" w:type="auto"/>
            <w:vAlign w:val="center"/>
            <w:hideMark/>
          </w:tcPr>
          <w:p w14:paraId="4A901E62" w14:textId="77777777" w:rsidR="006101FE" w:rsidRPr="006101FE" w:rsidRDefault="006101FE" w:rsidP="006101FE">
            <w:pPr>
              <w:spacing w:after="0"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Strengthen incident reporting systems; promote a just culture; use data analytics for early risk detection.</w:t>
            </w:r>
          </w:p>
        </w:tc>
      </w:tr>
    </w:tbl>
    <w:p w14:paraId="60E6EF82" w14:textId="77777777" w:rsidR="006101FE" w:rsidRPr="006101FE" w:rsidRDefault="00000000" w:rsidP="006101FE">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0F4B9932">
          <v:rect id="_x0000_i1025" style="width:0;height:1.5pt" o:hralign="center" o:hrstd="t" o:hr="t" fillcolor="#a0a0a0" stroked="f"/>
        </w:pict>
      </w:r>
    </w:p>
    <w:p w14:paraId="167F4AFC"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6101FE">
        <w:rPr>
          <w:rFonts w:ascii="Arial" w:eastAsia="Times New Roman" w:hAnsi="Arial" w:cs="Arial"/>
          <w:b/>
          <w:bCs/>
          <w:kern w:val="0"/>
          <w:sz w:val="24"/>
          <w:szCs w:val="24"/>
          <w:lang w:eastAsia="en-GB"/>
          <w14:ligatures w14:val="none"/>
        </w:rPr>
        <w:t>Final Analysis: Integrated Systems and Leadership Lessons</w:t>
      </w:r>
    </w:p>
    <w:p w14:paraId="2C6C6995" w14:textId="77777777"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The analysis presented in Table 3 highlights that Len’s case was not the result of a single error but rather the consequence of interconnected system failures, weak leadership </w:t>
      </w:r>
      <w:r w:rsidRPr="006101FE">
        <w:rPr>
          <w:rFonts w:ascii="Arial" w:eastAsia="Times New Roman" w:hAnsi="Arial" w:cs="Arial"/>
          <w:kern w:val="0"/>
          <w:lang w:eastAsia="en-GB"/>
          <w14:ligatures w14:val="none"/>
        </w:rPr>
        <w:lastRenderedPageBreak/>
        <w:t>practices, and ineffective governance structures. A key theme emerging from this analysis is that healthcare systems must move beyond attributing blame to individuals and instead recognise that errors are often the product of poorly designed systems. In this case, unsafe medication labelling, inadequate communication, and the absence of proactive safeguards created conditions in which harm became highly likely. These findings reinforce the principle that patient safety cannot depend on individual vigilance alone.</w:t>
      </w:r>
    </w:p>
    <w:p w14:paraId="561B5045" w14:textId="77777777"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A critical lesson for healthcare organisations is that systems must not rely on individual heroism. Expecting patients, carers, or even healthcare professionals to compensate for flawed processes is both unrealistic and unsafe. Instead, robust systems should be designed to support consistent and reliable practice. For example, standardised medication labelling and the use of human factors principles could have reduced the likelihood of misinterpretation. Similarly, structured communication strategies such as teach-back would have ensured that Len and his wife understood how to administer the medication correctly. These interventions demonstrate how system-level improvements can significantly reduce risk without relying on individual judgement.</w:t>
      </w:r>
    </w:p>
    <w:p w14:paraId="70E34A6B" w14:textId="77777777"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Another important insight relates to the role of clear governance and accountability. The case revealed fragmented responsibility across multiple stakeholders, including prescribers, pharmacists, and regulatory bodies. This lack of clarity contributed to gaps in safety oversight and ultimately allowed the error to occur. Effective governance requires clearly defined roles, strong coordination, and enforceable standards to ensure that responsibility is properly assigned and monitored. Without these structures, even well-intentioned professionals may be unable to prevent harm.</w:t>
      </w:r>
    </w:p>
    <w:p w14:paraId="5AAAE587" w14:textId="77777777"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Furthermore, the analysis underscores the importance of psychological safety and organisational culture. In systems where staff feel unable to report concerns or near misses, opportunities for learning are lost. Evidence shows that organisations with strong safety cultures and open reporting mechanisms achieve better patient outcomes and reduced harm (WHO, 2021). In Len’s case, the absence of effective feedback loops meant that risks associated with medication labelling and patient understanding were not identified early. Promoting a “just culture,” where staff are encouraged to speak up without fear of blame, is therefore essential for continuous improvement.</w:t>
      </w:r>
    </w:p>
    <w:p w14:paraId="69345338" w14:textId="67D747A4"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In addition, the need for </w:t>
      </w:r>
      <w:r w:rsidR="003A41A4" w:rsidRPr="006101FE">
        <w:rPr>
          <w:rFonts w:ascii="Arial" w:eastAsia="Times New Roman" w:hAnsi="Arial" w:cs="Arial"/>
          <w:kern w:val="0"/>
          <w:lang w:eastAsia="en-GB"/>
          <w14:ligatures w14:val="none"/>
        </w:rPr>
        <w:t>initiative-taking</w:t>
      </w:r>
      <w:r w:rsidRPr="006101FE">
        <w:rPr>
          <w:rFonts w:ascii="Arial" w:eastAsia="Times New Roman" w:hAnsi="Arial" w:cs="Arial"/>
          <w:kern w:val="0"/>
          <w:lang w:eastAsia="en-GB"/>
          <w14:ligatures w14:val="none"/>
        </w:rPr>
        <w:t xml:space="preserve"> and data-driven leadership is evident throughout the case. Rather than reacting to incidents after they occur, healthcare organisations must use data, audits, and incident reports to identify patterns and anticipate risks. </w:t>
      </w:r>
      <w:r w:rsidR="003A41A4" w:rsidRPr="006101FE">
        <w:rPr>
          <w:rFonts w:ascii="Arial" w:eastAsia="Times New Roman" w:hAnsi="Arial" w:cs="Arial"/>
          <w:kern w:val="0"/>
          <w:lang w:eastAsia="en-GB"/>
          <w14:ligatures w14:val="none"/>
        </w:rPr>
        <w:t>Initiative-taking</w:t>
      </w:r>
      <w:r w:rsidRPr="006101FE">
        <w:rPr>
          <w:rFonts w:ascii="Arial" w:eastAsia="Times New Roman" w:hAnsi="Arial" w:cs="Arial"/>
          <w:kern w:val="0"/>
          <w:lang w:eastAsia="en-GB"/>
          <w14:ligatures w14:val="none"/>
        </w:rPr>
        <w:t xml:space="preserve"> leadership enables the implementation of preventative strategies, such as enhanced </w:t>
      </w:r>
      <w:r w:rsidRPr="006101FE">
        <w:rPr>
          <w:rFonts w:ascii="Arial" w:eastAsia="Times New Roman" w:hAnsi="Arial" w:cs="Arial"/>
          <w:kern w:val="0"/>
          <w:lang w:eastAsia="en-GB"/>
          <w14:ligatures w14:val="none"/>
        </w:rPr>
        <w:lastRenderedPageBreak/>
        <w:t>monitoring of high-risk medications and targeted patient education. This shift from reactive to preventative approaches is fundamental to improving safety outcomes.</w:t>
      </w:r>
    </w:p>
    <w:p w14:paraId="176969C2" w14:textId="1DDB73CC" w:rsidR="006101FE" w:rsidRPr="006101FE" w:rsidRDefault="006101FE" w:rsidP="006101FE">
      <w:pPr>
        <w:spacing w:before="100" w:beforeAutospacing="1" w:after="100" w:afterAutospacing="1" w:line="360" w:lineRule="auto"/>
        <w:jc w:val="both"/>
        <w:rPr>
          <w:rFonts w:ascii="Arial" w:eastAsia="Times New Roman" w:hAnsi="Arial" w:cs="Arial"/>
          <w:kern w:val="0"/>
          <w:lang w:eastAsia="en-GB"/>
          <w14:ligatures w14:val="none"/>
        </w:rPr>
      </w:pPr>
      <w:r w:rsidRPr="006101FE">
        <w:rPr>
          <w:rFonts w:ascii="Arial" w:eastAsia="Times New Roman" w:hAnsi="Arial" w:cs="Arial"/>
          <w:kern w:val="0"/>
          <w:lang w:eastAsia="en-GB"/>
          <w14:ligatures w14:val="none"/>
        </w:rPr>
        <w:t xml:space="preserve">In conclusion, Len’s case provides valuable lessons for health and social care organisations. It demonstrates that patient safety depends on the integration of effective system design, strong governance, and </w:t>
      </w:r>
      <w:r w:rsidR="003A41A4" w:rsidRPr="006101FE">
        <w:rPr>
          <w:rFonts w:ascii="Arial" w:eastAsia="Times New Roman" w:hAnsi="Arial" w:cs="Arial"/>
          <w:kern w:val="0"/>
          <w:lang w:eastAsia="en-GB"/>
          <w14:ligatures w14:val="none"/>
        </w:rPr>
        <w:t>initiative-taking</w:t>
      </w:r>
      <w:r w:rsidRPr="006101FE">
        <w:rPr>
          <w:rFonts w:ascii="Arial" w:eastAsia="Times New Roman" w:hAnsi="Arial" w:cs="Arial"/>
          <w:kern w:val="0"/>
          <w:lang w:eastAsia="en-GB"/>
          <w14:ligatures w14:val="none"/>
        </w:rPr>
        <w:t xml:space="preserve"> leadership. By prioritising robust processes, clear accountability, and a culture of openness and learning, healthcare systems can reduce the likelihood of similar incidents and ensure safer, more reliable care for all patients.</w:t>
      </w:r>
    </w:p>
    <w:p w14:paraId="40BAC4A1"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02A5727D" w14:textId="49CF00F4"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1C5D84">
        <w:rPr>
          <w:rFonts w:ascii="Arial" w:eastAsia="Times New Roman" w:hAnsi="Arial" w:cs="Arial"/>
          <w:b/>
          <w:bCs/>
          <w:kern w:val="0"/>
          <w:sz w:val="24"/>
          <w:szCs w:val="24"/>
          <w:lang w:eastAsia="en-GB"/>
          <w14:ligatures w14:val="none"/>
        </w:rPr>
        <w:t>Recommendations</w:t>
      </w:r>
      <w:r w:rsidRPr="006101FE">
        <w:rPr>
          <w:rFonts w:ascii="Arial" w:eastAsia="Times New Roman" w:hAnsi="Arial" w:cs="Arial"/>
          <w:kern w:val="0"/>
          <w:lang w:eastAsia="en-GB"/>
          <w14:ligatures w14:val="none"/>
        </w:rPr>
        <w:t xml:space="preserve"> </w:t>
      </w:r>
    </w:p>
    <w:p w14:paraId="5947548A" w14:textId="3D53175D" w:rsidR="001C5D84" w:rsidRPr="001C5D84" w:rsidRDefault="001C5D84" w:rsidP="001C5D84">
      <w:pPr>
        <w:spacing w:before="100" w:beforeAutospacing="1" w:after="100" w:afterAutospacing="1" w:line="360" w:lineRule="auto"/>
        <w:jc w:val="both"/>
        <w:outlineLvl w:val="1"/>
        <w:rPr>
          <w:rFonts w:ascii="Arial" w:eastAsia="Times New Roman" w:hAnsi="Arial" w:cs="Arial"/>
          <w:kern w:val="0"/>
          <w:lang w:eastAsia="en-GB"/>
          <w14:ligatures w14:val="none"/>
        </w:rPr>
      </w:pPr>
      <w:r w:rsidRPr="001C5D84">
        <w:rPr>
          <w:rFonts w:ascii="Arial" w:eastAsia="Times New Roman" w:hAnsi="Arial" w:cs="Arial"/>
          <w:kern w:val="0"/>
          <w:lang w:eastAsia="en-GB"/>
          <w14:ligatures w14:val="none"/>
        </w:rPr>
        <w:t>Following the analysis of Len's case, a series of evidence-based recommendations can be developed to improve patient safety, enhance leadership effectiveness, and boost organisational performance within health and social care systems.</w:t>
      </w:r>
    </w:p>
    <w:p w14:paraId="3EFE4809" w14:textId="5EA89E8A" w:rsidR="006101FE" w:rsidRPr="006101FE" w:rsidRDefault="001C5D84" w:rsidP="001C5D84">
      <w:pPr>
        <w:spacing w:before="100" w:beforeAutospacing="1" w:after="100" w:afterAutospacing="1" w:line="360" w:lineRule="auto"/>
        <w:jc w:val="both"/>
        <w:outlineLvl w:val="1"/>
        <w:rPr>
          <w:rFonts w:ascii="Arial" w:eastAsia="Times New Roman" w:hAnsi="Arial" w:cs="Arial"/>
          <w:kern w:val="0"/>
          <w:lang w:eastAsia="en-GB"/>
          <w14:ligatures w14:val="none"/>
        </w:rPr>
      </w:pPr>
      <w:r w:rsidRPr="001C5D84">
        <w:rPr>
          <w:rFonts w:ascii="Arial" w:eastAsia="Times New Roman" w:hAnsi="Arial" w:cs="Arial"/>
          <w:kern w:val="0"/>
          <w:lang w:eastAsia="en-GB"/>
          <w14:ligatures w14:val="none"/>
        </w:rPr>
        <w:t>To begin with, healthcare organisations should adopt transformational and distributed leadership approaches. Transformational leadership cultivates a strong safety culture, encourages innovation, and enables staff to engage actively in improvement efforts (West et al., 2015). At the same time, distributed leadership ensures that the accountability for safety is shared collectively at all levels, particularly empowering frontline professionals who are closest to patient care. Leaders must prioritise patient-centred care, foster open communication, and motivate staff to recognise and report risks without the fear of retaliation.</w:t>
      </w:r>
    </w:p>
    <w:p w14:paraId="6051C380" w14:textId="78FF50E3"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 xml:space="preserve">Secondly, it is essential that governance frameworks are strengthened by converting recommendations from safety investigations into mandatory and enforceable standards. In the case of Len, the guidance regarding medication </w:t>
      </w:r>
      <w:r w:rsidR="003A41A4" w:rsidRPr="00EC1C15">
        <w:rPr>
          <w:rFonts w:ascii="Arial" w:eastAsia="Times New Roman" w:hAnsi="Arial" w:cs="Arial"/>
          <w:kern w:val="0"/>
          <w:lang w:eastAsia="en-GB"/>
          <w14:ligatures w14:val="none"/>
        </w:rPr>
        <w:t>labelling</w:t>
      </w:r>
      <w:r w:rsidRPr="00EC1C15">
        <w:rPr>
          <w:rFonts w:ascii="Arial" w:eastAsia="Times New Roman" w:hAnsi="Arial" w:cs="Arial"/>
          <w:kern w:val="0"/>
          <w:lang w:eastAsia="en-GB"/>
          <w14:ligatures w14:val="none"/>
        </w:rPr>
        <w:t xml:space="preserve"> was not legally binding, which allowed for unsafe variability in practice. Regulatory bodies must guarantee that safety-critical recommendations</w:t>
      </w:r>
      <w:r>
        <w:rPr>
          <w:rFonts w:ascii="Arial" w:eastAsia="Times New Roman" w:hAnsi="Arial" w:cs="Arial"/>
          <w:kern w:val="0"/>
          <w:lang w:eastAsia="en-GB"/>
          <w14:ligatures w14:val="none"/>
        </w:rPr>
        <w:t xml:space="preserve">, </w:t>
      </w:r>
      <w:r w:rsidRPr="00EC1C15">
        <w:rPr>
          <w:rFonts w:ascii="Arial" w:eastAsia="Times New Roman" w:hAnsi="Arial" w:cs="Arial"/>
          <w:kern w:val="0"/>
          <w:lang w:eastAsia="en-GB"/>
          <w14:ligatures w14:val="none"/>
        </w:rPr>
        <w:t>particularly those related to high-risk medications such as opioids</w:t>
      </w:r>
      <w:r>
        <w:rPr>
          <w:rFonts w:ascii="Arial" w:eastAsia="Times New Roman" w:hAnsi="Arial" w:cs="Arial"/>
          <w:kern w:val="0"/>
          <w:lang w:eastAsia="en-GB"/>
          <w14:ligatures w14:val="none"/>
        </w:rPr>
        <w:t xml:space="preserve">, </w:t>
      </w:r>
      <w:r w:rsidRPr="00EC1C15">
        <w:rPr>
          <w:rFonts w:ascii="Arial" w:eastAsia="Times New Roman" w:hAnsi="Arial" w:cs="Arial"/>
          <w:kern w:val="0"/>
          <w:lang w:eastAsia="en-GB"/>
          <w14:ligatures w14:val="none"/>
        </w:rPr>
        <w:t>are standardized and uniformly enforced across all healthcare settings (NHS England, 2022). This strategy would enhance accountability and reduce inconsistencies in practice.</w:t>
      </w:r>
    </w:p>
    <w:p w14:paraId="364022CA" w14:textId="1E51C3F7"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 xml:space="preserve">Thirdly, the national standardization of medication </w:t>
      </w:r>
      <w:r w:rsidR="003A41A4" w:rsidRPr="00EC1C15">
        <w:rPr>
          <w:rFonts w:ascii="Arial" w:eastAsia="Times New Roman" w:hAnsi="Arial" w:cs="Arial"/>
          <w:kern w:val="0"/>
          <w:lang w:eastAsia="en-GB"/>
          <w14:ligatures w14:val="none"/>
        </w:rPr>
        <w:t>labelling</w:t>
      </w:r>
      <w:r w:rsidRPr="00EC1C15">
        <w:rPr>
          <w:rFonts w:ascii="Arial" w:eastAsia="Times New Roman" w:hAnsi="Arial" w:cs="Arial"/>
          <w:kern w:val="0"/>
          <w:lang w:eastAsia="en-GB"/>
          <w14:ligatures w14:val="none"/>
        </w:rPr>
        <w:t xml:space="preserve"> is vital to reduce confusion and lower the risk of dosing errors. Medication labels should clearly highlight dosage instructions rather than drug concentration and must be attached directly to medication containers instead of external packaging. The application of human factors principles</w:t>
      </w:r>
      <w:r>
        <w:rPr>
          <w:rFonts w:ascii="Arial" w:eastAsia="Times New Roman" w:hAnsi="Arial" w:cs="Arial"/>
          <w:kern w:val="0"/>
          <w:lang w:eastAsia="en-GB"/>
          <w14:ligatures w14:val="none"/>
        </w:rPr>
        <w:t xml:space="preserve">, </w:t>
      </w:r>
      <w:r w:rsidRPr="00EC1C15">
        <w:rPr>
          <w:rFonts w:ascii="Arial" w:eastAsia="Times New Roman" w:hAnsi="Arial" w:cs="Arial"/>
          <w:kern w:val="0"/>
          <w:lang w:eastAsia="en-GB"/>
          <w14:ligatures w14:val="none"/>
        </w:rPr>
        <w:t xml:space="preserve">such as using simplified </w:t>
      </w:r>
      <w:r w:rsidRPr="00EC1C15">
        <w:rPr>
          <w:rFonts w:ascii="Arial" w:eastAsia="Times New Roman" w:hAnsi="Arial" w:cs="Arial"/>
          <w:kern w:val="0"/>
          <w:lang w:eastAsia="en-GB"/>
          <w14:ligatures w14:val="none"/>
        </w:rPr>
        <w:lastRenderedPageBreak/>
        <w:t>language, larger font sizes, and visual cues</w:t>
      </w:r>
      <w:r>
        <w:rPr>
          <w:rFonts w:ascii="Arial" w:eastAsia="Times New Roman" w:hAnsi="Arial" w:cs="Arial"/>
          <w:kern w:val="0"/>
          <w:lang w:eastAsia="en-GB"/>
          <w14:ligatures w14:val="none"/>
        </w:rPr>
        <w:t xml:space="preserve">, </w:t>
      </w:r>
      <w:r w:rsidRPr="00EC1C15">
        <w:rPr>
          <w:rFonts w:ascii="Arial" w:eastAsia="Times New Roman" w:hAnsi="Arial" w:cs="Arial"/>
          <w:kern w:val="0"/>
          <w:lang w:eastAsia="en-GB"/>
          <w14:ligatures w14:val="none"/>
        </w:rPr>
        <w:t>can significantly improve patient understanding and decrease cognitive load (ISMP, 2023).</w:t>
      </w:r>
    </w:p>
    <w:p w14:paraId="1A24CA95" w14:textId="2D5BAD93" w:rsid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Fourthly, it is crucial to improve communication systems by incorporating shared digital medication records within both general practice and pharmacy services. The use of digital systems has the potential to enhance continuity of care, reduce information gaps, and provide real-time access to prescribing information. Additionally, the implementation of alerts for high-risk medications can greatly aid in promoting safer prescribing and dispensing practices.</w:t>
      </w:r>
    </w:p>
    <w:p w14:paraId="723B3A28" w14:textId="77777777"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Fifthly, enhancing allocative efficiency is crucial for reducing the strain on healthcare systems while maintaining high care standards. It is imperative to strategically shift resources from reactive measures, such as hospital admissions due to medication-related issues, towards preventative approaches, which include patient education, medication assessments, and safety interventions (OECD, 2017). Furthermore, investing in staff training and professional development is essential for enhancing clinical decision-making and reducing errors.</w:t>
      </w:r>
    </w:p>
    <w:p w14:paraId="73D9453F" w14:textId="77777777"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Additionally, prioritizing communication and patient education is vital. Healthcare professionals should implement structured communication techniques, such as the teach-back method, to confirm patient understanding. It is particularly important to offer both verbal and written instructions tailored to the specific needs of older adults and vulnerable groups. Moreover, caregivers and family members must be actively involved in medication management to ensure safe administration.</w:t>
      </w:r>
    </w:p>
    <w:p w14:paraId="71427CEB" w14:textId="77777777"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46863EFC" w14:textId="1EBF271A" w:rsid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Furthermore, organizations should promote stakeholder engagement and co-production by including patients and caregivers in the development and evaluation of safety initiatives. Evidence suggests that substantial patient involvement results in better safety outcomes, higher satisfaction, and increased trust in healthcare systems (WHO, 2021). It is essential that shared decision-making is incorporated into practice to guarantee that care aligns with the preferences and needs of patients.</w:t>
      </w:r>
    </w:p>
    <w:p w14:paraId="7C19112D" w14:textId="424C0F25" w:rsidR="006101FE" w:rsidRPr="006101FE" w:rsidRDefault="00EC1C15"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Ultimately, healthcare organizations must cultivate a culture that emphasizes ongoing learning and improvement. This requires strengthening incident reporting systems, fostering a "just culture," and leveraging data to identify trends and potential hazards. Feedback mechanisms should ensure that lessons learned from incidents are transformed into tangible improvements in practice. By integrating learning into governance frameworks, organizations can enhance resilience and prevent the recurrence of similar mistakes.</w:t>
      </w:r>
    </w:p>
    <w:p w14:paraId="4991D239" w14:textId="74A51B8D" w:rsidR="006101FE" w:rsidRPr="001C5D84" w:rsidRDefault="006101FE" w:rsidP="006101FE">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1C5D84">
        <w:rPr>
          <w:rFonts w:ascii="Arial" w:eastAsia="Times New Roman" w:hAnsi="Arial" w:cs="Arial"/>
          <w:b/>
          <w:bCs/>
          <w:kern w:val="0"/>
          <w:sz w:val="24"/>
          <w:szCs w:val="24"/>
          <w:lang w:eastAsia="en-GB"/>
          <w14:ligatures w14:val="none"/>
        </w:rPr>
        <w:lastRenderedPageBreak/>
        <w:t xml:space="preserve">Conclusion </w:t>
      </w:r>
    </w:p>
    <w:p w14:paraId="6757E8C2" w14:textId="02D716C2"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 xml:space="preserve">Len’s case highlights the </w:t>
      </w:r>
      <w:proofErr w:type="gramStart"/>
      <w:r w:rsidRPr="00EC1C15">
        <w:rPr>
          <w:rFonts w:ascii="Arial" w:eastAsia="Times New Roman" w:hAnsi="Arial" w:cs="Arial"/>
          <w:kern w:val="0"/>
          <w:lang w:eastAsia="en-GB"/>
          <w14:ligatures w14:val="none"/>
        </w:rPr>
        <w:t>serious consequences</w:t>
      </w:r>
      <w:proofErr w:type="gramEnd"/>
      <w:r w:rsidRPr="00EC1C15">
        <w:rPr>
          <w:rFonts w:ascii="Arial" w:eastAsia="Times New Roman" w:hAnsi="Arial" w:cs="Arial"/>
          <w:kern w:val="0"/>
          <w:lang w:eastAsia="en-GB"/>
          <w14:ligatures w14:val="none"/>
        </w:rPr>
        <w:t xml:space="preserve"> linked to medication errors and demonstrates how shortcomings in leadership, governance, and system design can result in preventable harm. The analysis reveals that the incident was not due to a single individual error but arose from a combination of systemic weaknesses, such as poor communication, inadequate medication </w:t>
      </w:r>
      <w:r w:rsidRPr="00EC1C15">
        <w:rPr>
          <w:rFonts w:ascii="Arial" w:eastAsia="Times New Roman" w:hAnsi="Arial" w:cs="Arial"/>
          <w:kern w:val="0"/>
          <w:lang w:eastAsia="en-GB"/>
          <w14:ligatures w14:val="none"/>
        </w:rPr>
        <w:t>labelling</w:t>
      </w:r>
      <w:r w:rsidRPr="00EC1C15">
        <w:rPr>
          <w:rFonts w:ascii="Arial" w:eastAsia="Times New Roman" w:hAnsi="Arial" w:cs="Arial"/>
          <w:kern w:val="0"/>
          <w:lang w:eastAsia="en-GB"/>
          <w14:ligatures w14:val="none"/>
        </w:rPr>
        <w:t>, fragmented accountability, and ineffective leadership strategies.</w:t>
      </w:r>
    </w:p>
    <w:p w14:paraId="5982A13A" w14:textId="1193E7D3" w:rsidR="00EC1C15" w:rsidRP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 xml:space="preserve">Utilizing a systems thinking approach clarifies the complexities of healthcare environments, where outcomes are shaped by the interaction of multiple factors. In this case, the conflict between centralized policies and decentralized practices created safety gaps, while the absence of strong feedback mechanisms limited the system’s ability to learn and adapt. Leadership was </w:t>
      </w:r>
      <w:r w:rsidR="003A41A4" w:rsidRPr="00EC1C15">
        <w:rPr>
          <w:rFonts w:ascii="Arial" w:eastAsia="Times New Roman" w:hAnsi="Arial" w:cs="Arial"/>
          <w:kern w:val="0"/>
          <w:lang w:eastAsia="en-GB"/>
          <w14:ligatures w14:val="none"/>
        </w:rPr>
        <w:t>transactional</w:t>
      </w:r>
      <w:r w:rsidRPr="00EC1C15">
        <w:rPr>
          <w:rFonts w:ascii="Arial" w:eastAsia="Times New Roman" w:hAnsi="Arial" w:cs="Arial"/>
          <w:kern w:val="0"/>
          <w:lang w:eastAsia="en-GB"/>
          <w14:ligatures w14:val="none"/>
        </w:rPr>
        <w:t xml:space="preserve"> and reactive, focusing on compliance rather than proactive risk management and patient-centered care.</w:t>
      </w:r>
    </w:p>
    <w:p w14:paraId="0A8AE528" w14:textId="7F44E0C6" w:rsidR="00EC1C15" w:rsidRDefault="00EC1C15" w:rsidP="00EC1C15">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The findings emphasize the essential role of effective leadership in safeguarding patient safety. Both transformational and situational leadership approaches are crucial for fostering a culture focused on safety, encouraging innovation, and addressing the specific needs of individual patients. Furthermore, strong governance frameworks are essential to ensure accountability, standardization, and the consistent implementation of safety protocols across healthcare systems.</w:t>
      </w:r>
    </w:p>
    <w:p w14:paraId="29FD9FC8" w14:textId="545243B1" w:rsidR="006101FE" w:rsidRPr="006101FE" w:rsidRDefault="00EC1C15"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r w:rsidRPr="00EC1C15">
        <w:rPr>
          <w:rFonts w:ascii="Arial" w:eastAsia="Times New Roman" w:hAnsi="Arial" w:cs="Arial"/>
          <w:kern w:val="0"/>
          <w:lang w:eastAsia="en-GB"/>
          <w14:ligatures w14:val="none"/>
        </w:rPr>
        <w:t xml:space="preserve">In summary, improving patient safety requires a thorough and cohesive approach that combines leadership, governance, and systems thinking. Avoiding incidents akin to Len's case depends on proactive risk assessment, effective communication, and the integration of human factors principles into system design. By implementing the suggestions outlined in this report, healthcare organizations can reduce medication-related injuries, enhance organizational performance, and deliver safer, higher-quality, patient-centered </w:t>
      </w:r>
      <w:r w:rsidR="003A41A4" w:rsidRPr="00EC1C15">
        <w:rPr>
          <w:rFonts w:ascii="Arial" w:eastAsia="Times New Roman" w:hAnsi="Arial" w:cs="Arial"/>
          <w:kern w:val="0"/>
          <w:lang w:eastAsia="en-GB"/>
          <w14:ligatures w14:val="none"/>
        </w:rPr>
        <w:t>care.</w:t>
      </w:r>
    </w:p>
    <w:p w14:paraId="14BE1C83"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796FBE66"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3F13414C"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45AB3B41" w14:textId="77777777" w:rsidR="006101FE" w:rsidRPr="006101FE" w:rsidRDefault="006101FE" w:rsidP="006101FE">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7C7CAD88" w14:textId="77777777" w:rsidR="0025052F" w:rsidRPr="006101FE"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443687CD" w14:textId="77777777" w:rsidR="0025052F" w:rsidRPr="006101FE"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79398D12" w14:textId="77777777" w:rsidR="0025052F" w:rsidRPr="006101FE"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20EDFCA7" w14:textId="77777777" w:rsidR="0025052F"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301E1C77" w14:textId="77777777" w:rsidR="001C5D84" w:rsidRDefault="001C5D84"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66433874" w14:textId="77777777" w:rsidR="001C5D84" w:rsidRDefault="001C5D84"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2A61588E" w14:textId="77777777" w:rsidR="001C5D84" w:rsidRDefault="001C5D84"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5436B79D" w14:textId="77777777" w:rsidR="001C5D84" w:rsidRDefault="001C5D84"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6B6DE9C5" w14:textId="77777777" w:rsidR="001C5D84" w:rsidRPr="006101FE" w:rsidRDefault="001C5D84"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2831F29A" w14:textId="77777777" w:rsidR="0025052F" w:rsidRPr="006101FE"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43C96AEF" w14:textId="77777777" w:rsidR="0025052F" w:rsidRDefault="0025052F"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1E1F8326" w14:textId="77777777" w:rsidR="00EC1C15" w:rsidRDefault="00EC1C15"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55F0C888" w14:textId="77777777" w:rsidR="00EC1C15" w:rsidRPr="006101FE" w:rsidRDefault="00EC1C15" w:rsidP="006101FE">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1A45D390" w14:textId="1F34B326" w:rsidR="00FC2351" w:rsidRDefault="00FC2351" w:rsidP="006101FE">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1C5D84">
        <w:rPr>
          <w:rFonts w:ascii="Arial" w:eastAsia="Times New Roman" w:hAnsi="Arial" w:cs="Arial"/>
          <w:b/>
          <w:bCs/>
          <w:kern w:val="36"/>
          <w:sz w:val="24"/>
          <w:szCs w:val="24"/>
          <w:lang w:eastAsia="en-GB"/>
          <w14:ligatures w14:val="none"/>
        </w:rPr>
        <w:t xml:space="preserve">REFERENCE </w:t>
      </w:r>
    </w:p>
    <w:p w14:paraId="765930B7"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Alldred, D.P., Kennedy, M.C., Hughes, C., Chen, T.F. and Miller, P. (2016) ‘Interventions to optimise prescribing for older people in care homes’, </w:t>
      </w:r>
      <w:r w:rsidRPr="00595A8C">
        <w:rPr>
          <w:rFonts w:ascii="Arial" w:eastAsia="Times New Roman" w:hAnsi="Arial" w:cs="Arial"/>
          <w:i/>
          <w:iCs/>
          <w:kern w:val="0"/>
          <w:lang w:eastAsia="en-GB"/>
          <w14:ligatures w14:val="none"/>
        </w:rPr>
        <w:t>Cochrane Database of Systematic Reviews</w:t>
      </w:r>
      <w:r w:rsidRPr="00595A8C">
        <w:rPr>
          <w:rFonts w:ascii="Arial" w:eastAsia="Times New Roman" w:hAnsi="Arial" w:cs="Arial"/>
          <w:kern w:val="0"/>
          <w:lang w:eastAsia="en-GB"/>
          <w14:ligatures w14:val="none"/>
        </w:rPr>
        <w:t>, 2(2), pp. 1–167.</w:t>
      </w:r>
    </w:p>
    <w:p w14:paraId="56AEC6E1"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Baird, B., Charles, A., Honeyman, M., Maguire, </w:t>
      </w:r>
      <w:proofErr w:type="gramStart"/>
      <w:r w:rsidRPr="00595A8C">
        <w:rPr>
          <w:rFonts w:ascii="Arial" w:eastAsia="Times New Roman" w:hAnsi="Arial" w:cs="Arial"/>
          <w:kern w:val="0"/>
          <w:lang w:eastAsia="en-GB"/>
          <w14:ligatures w14:val="none"/>
        </w:rPr>
        <w:t>D.</w:t>
      </w:r>
      <w:proofErr w:type="gramEnd"/>
      <w:r w:rsidRPr="00595A8C">
        <w:rPr>
          <w:rFonts w:ascii="Arial" w:eastAsia="Times New Roman" w:hAnsi="Arial" w:cs="Arial"/>
          <w:kern w:val="0"/>
          <w:lang w:eastAsia="en-GB"/>
          <w14:ligatures w14:val="none"/>
        </w:rPr>
        <w:t xml:space="preserve"> and Das, P. (2016) </w:t>
      </w:r>
      <w:r w:rsidRPr="00595A8C">
        <w:rPr>
          <w:rFonts w:ascii="Arial" w:eastAsia="Times New Roman" w:hAnsi="Arial" w:cs="Arial"/>
          <w:i/>
          <w:iCs/>
          <w:kern w:val="0"/>
          <w:lang w:eastAsia="en-GB"/>
          <w14:ligatures w14:val="none"/>
        </w:rPr>
        <w:t>Understanding pressures in general practice</w:t>
      </w:r>
      <w:r w:rsidRPr="00595A8C">
        <w:rPr>
          <w:rFonts w:ascii="Arial" w:eastAsia="Times New Roman" w:hAnsi="Arial" w:cs="Arial"/>
          <w:kern w:val="0"/>
          <w:lang w:eastAsia="en-GB"/>
          <w14:ligatures w14:val="none"/>
        </w:rPr>
        <w:t>. London: The King’s Fund.</w:t>
      </w:r>
    </w:p>
    <w:p w14:paraId="0A107CE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Bass, B.M. and Riggio, R.E. (2006) </w:t>
      </w:r>
      <w:r w:rsidRPr="00595A8C">
        <w:rPr>
          <w:rFonts w:ascii="Arial" w:eastAsia="Times New Roman" w:hAnsi="Arial" w:cs="Arial"/>
          <w:i/>
          <w:iCs/>
          <w:kern w:val="0"/>
          <w:lang w:eastAsia="en-GB"/>
          <w14:ligatures w14:val="none"/>
        </w:rPr>
        <w:t>Transformational leadership</w:t>
      </w:r>
      <w:r w:rsidRPr="00595A8C">
        <w:rPr>
          <w:rFonts w:ascii="Arial" w:eastAsia="Times New Roman" w:hAnsi="Arial" w:cs="Arial"/>
          <w:kern w:val="0"/>
          <w:lang w:eastAsia="en-GB"/>
          <w14:ligatures w14:val="none"/>
        </w:rPr>
        <w:t xml:space="preserve">. 2nd </w:t>
      </w:r>
      <w:proofErr w:type="spellStart"/>
      <w:r w:rsidRPr="00595A8C">
        <w:rPr>
          <w:rFonts w:ascii="Arial" w:eastAsia="Times New Roman" w:hAnsi="Arial" w:cs="Arial"/>
          <w:kern w:val="0"/>
          <w:lang w:eastAsia="en-GB"/>
          <w14:ligatures w14:val="none"/>
        </w:rPr>
        <w:t>edn</w:t>
      </w:r>
      <w:proofErr w:type="spellEnd"/>
      <w:r w:rsidRPr="00595A8C">
        <w:rPr>
          <w:rFonts w:ascii="Arial" w:eastAsia="Times New Roman" w:hAnsi="Arial" w:cs="Arial"/>
          <w:kern w:val="0"/>
          <w:lang w:eastAsia="en-GB"/>
          <w14:ligatures w14:val="none"/>
        </w:rPr>
        <w:t>. Mahwah, NJ: Lawrence Erlbaum Associates.</w:t>
      </w:r>
    </w:p>
    <w:p w14:paraId="3593A718"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BMJ Quality &amp; Safety (2020) </w:t>
      </w:r>
      <w:r w:rsidRPr="00595A8C">
        <w:rPr>
          <w:rFonts w:ascii="Arial" w:eastAsia="Times New Roman" w:hAnsi="Arial" w:cs="Arial"/>
          <w:i/>
          <w:iCs/>
          <w:kern w:val="0"/>
          <w:lang w:eastAsia="en-GB"/>
          <w14:ligatures w14:val="none"/>
        </w:rPr>
        <w:t>Medication errors in England: prevalence and impact</w:t>
      </w:r>
      <w:r w:rsidRPr="00595A8C">
        <w:rPr>
          <w:rFonts w:ascii="Arial" w:eastAsia="Times New Roman" w:hAnsi="Arial" w:cs="Arial"/>
          <w:kern w:val="0"/>
          <w:lang w:eastAsia="en-GB"/>
          <w14:ligatures w14:val="none"/>
        </w:rPr>
        <w:t xml:space="preserve">. Available at: </w:t>
      </w:r>
      <w:hyperlink r:id="rId7" w:tgtFrame="_new" w:history="1">
        <w:r w:rsidRPr="00595A8C">
          <w:rPr>
            <w:rFonts w:ascii="Arial" w:eastAsia="Times New Roman" w:hAnsi="Arial" w:cs="Arial"/>
            <w:color w:val="0000FF"/>
            <w:kern w:val="0"/>
            <w:u w:val="single"/>
            <w:lang w:eastAsia="en-GB"/>
            <w14:ligatures w14:val="none"/>
          </w:rPr>
          <w:t>https://qualitysafety.bmj.com</w:t>
        </w:r>
      </w:hyperlink>
      <w:r w:rsidRPr="00595A8C">
        <w:rPr>
          <w:rFonts w:ascii="Arial" w:eastAsia="Times New Roman" w:hAnsi="Arial" w:cs="Arial"/>
          <w:kern w:val="0"/>
          <w:lang w:eastAsia="en-GB"/>
          <w14:ligatures w14:val="none"/>
        </w:rPr>
        <w:t xml:space="preserve"> (Accessed: 12 March 2026).</w:t>
      </w:r>
    </w:p>
    <w:p w14:paraId="7C7E180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Braithwaite, J., </w:t>
      </w:r>
      <w:proofErr w:type="spellStart"/>
      <w:r w:rsidRPr="00595A8C">
        <w:rPr>
          <w:rFonts w:ascii="Arial" w:eastAsia="Times New Roman" w:hAnsi="Arial" w:cs="Arial"/>
          <w:kern w:val="0"/>
          <w:lang w:eastAsia="en-GB"/>
          <w14:ligatures w14:val="none"/>
        </w:rPr>
        <w:t>Churruca</w:t>
      </w:r>
      <w:proofErr w:type="spellEnd"/>
      <w:r w:rsidRPr="00595A8C">
        <w:rPr>
          <w:rFonts w:ascii="Arial" w:eastAsia="Times New Roman" w:hAnsi="Arial" w:cs="Arial"/>
          <w:kern w:val="0"/>
          <w:lang w:eastAsia="en-GB"/>
          <w14:ligatures w14:val="none"/>
        </w:rPr>
        <w:t xml:space="preserve">, K., Ellis, L.A. and Long, J.C. (2017) ‘Complexity science in healthcare’, </w:t>
      </w:r>
      <w:r w:rsidRPr="00595A8C">
        <w:rPr>
          <w:rFonts w:ascii="Arial" w:eastAsia="Times New Roman" w:hAnsi="Arial" w:cs="Arial"/>
          <w:i/>
          <w:iCs/>
          <w:kern w:val="0"/>
          <w:lang w:eastAsia="en-GB"/>
          <w14:ligatures w14:val="none"/>
        </w:rPr>
        <w:t>BMJ Quality &amp; Safety</w:t>
      </w:r>
      <w:r w:rsidRPr="00595A8C">
        <w:rPr>
          <w:rFonts w:ascii="Arial" w:eastAsia="Times New Roman" w:hAnsi="Arial" w:cs="Arial"/>
          <w:kern w:val="0"/>
          <w:lang w:eastAsia="en-GB"/>
          <w14:ligatures w14:val="none"/>
        </w:rPr>
        <w:t>, 26(1), pp. 3–6.</w:t>
      </w:r>
    </w:p>
    <w:p w14:paraId="0C6C123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lastRenderedPageBreak/>
        <w:t xml:space="preserve">Braithwaite, J., Herkes, J., Ludlow, K., Testa, L. and </w:t>
      </w:r>
      <w:proofErr w:type="spellStart"/>
      <w:r w:rsidRPr="00595A8C">
        <w:rPr>
          <w:rFonts w:ascii="Arial" w:eastAsia="Times New Roman" w:hAnsi="Arial" w:cs="Arial"/>
          <w:kern w:val="0"/>
          <w:lang w:eastAsia="en-GB"/>
          <w14:ligatures w14:val="none"/>
        </w:rPr>
        <w:t>Lamprell</w:t>
      </w:r>
      <w:proofErr w:type="spellEnd"/>
      <w:r w:rsidRPr="00595A8C">
        <w:rPr>
          <w:rFonts w:ascii="Arial" w:eastAsia="Times New Roman" w:hAnsi="Arial" w:cs="Arial"/>
          <w:kern w:val="0"/>
          <w:lang w:eastAsia="en-GB"/>
          <w14:ligatures w14:val="none"/>
        </w:rPr>
        <w:t xml:space="preserve">, G. (2017) ‘Association between organisational and workplace cultures, and patient outcomes’, </w:t>
      </w:r>
      <w:r w:rsidRPr="00595A8C">
        <w:rPr>
          <w:rFonts w:ascii="Arial" w:eastAsia="Times New Roman" w:hAnsi="Arial" w:cs="Arial"/>
          <w:i/>
          <w:iCs/>
          <w:kern w:val="0"/>
          <w:lang w:eastAsia="en-GB"/>
          <w14:ligatures w14:val="none"/>
        </w:rPr>
        <w:t>BMJ Open</w:t>
      </w:r>
      <w:r w:rsidRPr="00595A8C">
        <w:rPr>
          <w:rFonts w:ascii="Arial" w:eastAsia="Times New Roman" w:hAnsi="Arial" w:cs="Arial"/>
          <w:kern w:val="0"/>
          <w:lang w:eastAsia="en-GB"/>
          <w14:ligatures w14:val="none"/>
        </w:rPr>
        <w:t xml:space="preserve">, 7(11), pp. 1–12. Available at: </w:t>
      </w:r>
      <w:hyperlink r:id="rId8" w:tgtFrame="_new" w:history="1">
        <w:r w:rsidRPr="00595A8C">
          <w:rPr>
            <w:rFonts w:ascii="Arial" w:eastAsia="Times New Roman" w:hAnsi="Arial" w:cs="Arial"/>
            <w:color w:val="0000FF"/>
            <w:kern w:val="0"/>
            <w:u w:val="single"/>
            <w:lang w:eastAsia="en-GB"/>
            <w14:ligatures w14:val="none"/>
          </w:rPr>
          <w:t>https://bmjopen.bmj.com</w:t>
        </w:r>
      </w:hyperlink>
      <w:r w:rsidRPr="00595A8C">
        <w:rPr>
          <w:rFonts w:ascii="Arial" w:eastAsia="Times New Roman" w:hAnsi="Arial" w:cs="Arial"/>
          <w:kern w:val="0"/>
          <w:lang w:eastAsia="en-GB"/>
          <w14:ligatures w14:val="none"/>
        </w:rPr>
        <w:t xml:space="preserve"> (Accessed: 14 March 2026).</w:t>
      </w:r>
    </w:p>
    <w:p w14:paraId="2902B93E"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Burns, J.M. (1978) </w:t>
      </w:r>
      <w:r w:rsidRPr="00595A8C">
        <w:rPr>
          <w:rFonts w:ascii="Arial" w:eastAsia="Times New Roman" w:hAnsi="Arial" w:cs="Arial"/>
          <w:i/>
          <w:iCs/>
          <w:kern w:val="0"/>
          <w:lang w:eastAsia="en-GB"/>
          <w14:ligatures w14:val="none"/>
        </w:rPr>
        <w:t>Leadership</w:t>
      </w:r>
      <w:r w:rsidRPr="00595A8C">
        <w:rPr>
          <w:rFonts w:ascii="Arial" w:eastAsia="Times New Roman" w:hAnsi="Arial" w:cs="Arial"/>
          <w:kern w:val="0"/>
          <w:lang w:eastAsia="en-GB"/>
          <w14:ligatures w14:val="none"/>
        </w:rPr>
        <w:t>. New York: Harper &amp; Row.</w:t>
      </w:r>
    </w:p>
    <w:p w14:paraId="68895863"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Care Quality Commission (CQC) (2023) </w:t>
      </w:r>
      <w:r w:rsidRPr="00595A8C">
        <w:rPr>
          <w:rFonts w:ascii="Arial" w:eastAsia="Times New Roman" w:hAnsi="Arial" w:cs="Arial"/>
          <w:i/>
          <w:iCs/>
          <w:kern w:val="0"/>
          <w:lang w:eastAsia="en-GB"/>
          <w14:ligatures w14:val="none"/>
        </w:rPr>
        <w:t>Regulation and inspection of health and social care services</w:t>
      </w:r>
      <w:r w:rsidRPr="00595A8C">
        <w:rPr>
          <w:rFonts w:ascii="Arial" w:eastAsia="Times New Roman" w:hAnsi="Arial" w:cs="Arial"/>
          <w:kern w:val="0"/>
          <w:lang w:eastAsia="en-GB"/>
          <w14:ligatures w14:val="none"/>
        </w:rPr>
        <w:t xml:space="preserve">. London: CQC. Available at: </w:t>
      </w:r>
      <w:hyperlink r:id="rId9" w:tgtFrame="_new" w:history="1">
        <w:r w:rsidRPr="00595A8C">
          <w:rPr>
            <w:rFonts w:ascii="Arial" w:eastAsia="Times New Roman" w:hAnsi="Arial" w:cs="Arial"/>
            <w:color w:val="0000FF"/>
            <w:kern w:val="0"/>
            <w:u w:val="single"/>
            <w:lang w:eastAsia="en-GB"/>
            <w14:ligatures w14:val="none"/>
          </w:rPr>
          <w:t>https://www.cqc.org.uk</w:t>
        </w:r>
      </w:hyperlink>
      <w:r w:rsidRPr="00595A8C">
        <w:rPr>
          <w:rFonts w:ascii="Arial" w:eastAsia="Times New Roman" w:hAnsi="Arial" w:cs="Arial"/>
          <w:kern w:val="0"/>
          <w:lang w:eastAsia="en-GB"/>
          <w14:ligatures w14:val="none"/>
        </w:rPr>
        <w:t xml:space="preserve"> (Accessed: 16 April 2026).</w:t>
      </w:r>
    </w:p>
    <w:p w14:paraId="7810B823"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595A8C">
        <w:rPr>
          <w:rFonts w:ascii="Arial" w:eastAsia="Times New Roman" w:hAnsi="Arial" w:cs="Arial"/>
          <w:kern w:val="0"/>
          <w:lang w:eastAsia="en-GB"/>
          <w14:ligatures w14:val="none"/>
        </w:rPr>
        <w:t>Carayon</w:t>
      </w:r>
      <w:proofErr w:type="spellEnd"/>
      <w:r w:rsidRPr="00595A8C">
        <w:rPr>
          <w:rFonts w:ascii="Arial" w:eastAsia="Times New Roman" w:hAnsi="Arial" w:cs="Arial"/>
          <w:kern w:val="0"/>
          <w:lang w:eastAsia="en-GB"/>
          <w14:ligatures w14:val="none"/>
        </w:rPr>
        <w:t xml:space="preserve">, P., Schoofs Hundt, A., Karsh, B.T. et al. (2014) ‘Human factors in patient safety’, </w:t>
      </w:r>
      <w:r w:rsidRPr="00595A8C">
        <w:rPr>
          <w:rFonts w:ascii="Arial" w:eastAsia="Times New Roman" w:hAnsi="Arial" w:cs="Arial"/>
          <w:i/>
          <w:iCs/>
          <w:kern w:val="0"/>
          <w:lang w:eastAsia="en-GB"/>
          <w14:ligatures w14:val="none"/>
        </w:rPr>
        <w:t>BMJ Quality &amp; Safety</w:t>
      </w:r>
      <w:r w:rsidRPr="00595A8C">
        <w:rPr>
          <w:rFonts w:ascii="Arial" w:eastAsia="Times New Roman" w:hAnsi="Arial" w:cs="Arial"/>
          <w:kern w:val="0"/>
          <w:lang w:eastAsia="en-GB"/>
          <w14:ligatures w14:val="none"/>
        </w:rPr>
        <w:t>, 23(1), pp. 1–12.</w:t>
      </w:r>
    </w:p>
    <w:p w14:paraId="3474FF51"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595A8C">
        <w:rPr>
          <w:rFonts w:ascii="Arial" w:eastAsia="Times New Roman" w:hAnsi="Arial" w:cs="Arial"/>
          <w:kern w:val="0"/>
          <w:lang w:eastAsia="en-GB"/>
          <w14:ligatures w14:val="none"/>
        </w:rPr>
        <w:t>Checkland</w:t>
      </w:r>
      <w:proofErr w:type="spellEnd"/>
      <w:r w:rsidRPr="00595A8C">
        <w:rPr>
          <w:rFonts w:ascii="Arial" w:eastAsia="Times New Roman" w:hAnsi="Arial" w:cs="Arial"/>
          <w:kern w:val="0"/>
          <w:lang w:eastAsia="en-GB"/>
          <w14:ligatures w14:val="none"/>
        </w:rPr>
        <w:t xml:space="preserve">, K., Allen, P., Coleman, A. et al. (2013) ‘Commissioning in the English NHS’, </w:t>
      </w:r>
      <w:r w:rsidRPr="00595A8C">
        <w:rPr>
          <w:rFonts w:ascii="Arial" w:eastAsia="Times New Roman" w:hAnsi="Arial" w:cs="Arial"/>
          <w:i/>
          <w:iCs/>
          <w:kern w:val="0"/>
          <w:lang w:eastAsia="en-GB"/>
          <w14:ligatures w14:val="none"/>
        </w:rPr>
        <w:t>BMJ</w:t>
      </w:r>
      <w:r w:rsidRPr="00595A8C">
        <w:rPr>
          <w:rFonts w:ascii="Arial" w:eastAsia="Times New Roman" w:hAnsi="Arial" w:cs="Arial"/>
          <w:kern w:val="0"/>
          <w:lang w:eastAsia="en-GB"/>
          <w14:ligatures w14:val="none"/>
        </w:rPr>
        <w:t>, 346, f2823.</w:t>
      </w:r>
    </w:p>
    <w:p w14:paraId="07738FC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Clavel, N., Thompson, R. and Green, S. (2021) </w:t>
      </w:r>
      <w:r w:rsidRPr="00595A8C">
        <w:rPr>
          <w:rFonts w:ascii="Arial" w:eastAsia="Times New Roman" w:hAnsi="Arial" w:cs="Arial"/>
          <w:i/>
          <w:iCs/>
          <w:kern w:val="0"/>
          <w:lang w:eastAsia="en-GB"/>
          <w14:ligatures w14:val="none"/>
        </w:rPr>
        <w:t>Patient involvement in safety and quality improvement</w:t>
      </w:r>
      <w:r w:rsidRPr="00595A8C">
        <w:rPr>
          <w:rFonts w:ascii="Arial" w:eastAsia="Times New Roman" w:hAnsi="Arial" w:cs="Arial"/>
          <w:kern w:val="0"/>
          <w:lang w:eastAsia="en-GB"/>
          <w14:ligatures w14:val="none"/>
        </w:rPr>
        <w:t>. London: Healthcare Safety Press.</w:t>
      </w:r>
    </w:p>
    <w:p w14:paraId="775FBED3"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Davies, E.A. and O’Mahony, M.S. (2015) ‘Adverse drug reactions in older patients’, </w:t>
      </w:r>
      <w:r w:rsidRPr="00595A8C">
        <w:rPr>
          <w:rFonts w:ascii="Arial" w:eastAsia="Times New Roman" w:hAnsi="Arial" w:cs="Arial"/>
          <w:i/>
          <w:iCs/>
          <w:kern w:val="0"/>
          <w:lang w:eastAsia="en-GB"/>
          <w14:ligatures w14:val="none"/>
        </w:rPr>
        <w:t>Age and Ageing</w:t>
      </w:r>
      <w:r w:rsidRPr="00595A8C">
        <w:rPr>
          <w:rFonts w:ascii="Arial" w:eastAsia="Times New Roman" w:hAnsi="Arial" w:cs="Arial"/>
          <w:kern w:val="0"/>
          <w:lang w:eastAsia="en-GB"/>
          <w14:ligatures w14:val="none"/>
        </w:rPr>
        <w:t>, 44(2), pp. 213–218.</w:t>
      </w:r>
    </w:p>
    <w:p w14:paraId="2F28965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Davis, T.R., Smith, J.L. and Kumar, P. (2025) </w:t>
      </w:r>
      <w:r w:rsidRPr="00595A8C">
        <w:rPr>
          <w:rFonts w:ascii="Arial" w:eastAsia="Times New Roman" w:hAnsi="Arial" w:cs="Arial"/>
          <w:i/>
          <w:iCs/>
          <w:kern w:val="0"/>
          <w:lang w:eastAsia="en-GB"/>
          <w14:ligatures w14:val="none"/>
        </w:rPr>
        <w:t>Improving accountability and transparency in healthcare systems</w:t>
      </w:r>
      <w:r w:rsidRPr="00595A8C">
        <w:rPr>
          <w:rFonts w:ascii="Arial" w:eastAsia="Times New Roman" w:hAnsi="Arial" w:cs="Arial"/>
          <w:kern w:val="0"/>
          <w:lang w:eastAsia="en-GB"/>
          <w14:ligatures w14:val="none"/>
        </w:rPr>
        <w:t>. London: Health Policy Press.</w:t>
      </w:r>
    </w:p>
    <w:p w14:paraId="431B9065"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Dekker, S. (2014) </w:t>
      </w:r>
      <w:r w:rsidRPr="00595A8C">
        <w:rPr>
          <w:rFonts w:ascii="Arial" w:eastAsia="Times New Roman" w:hAnsi="Arial" w:cs="Arial"/>
          <w:i/>
          <w:iCs/>
          <w:kern w:val="0"/>
          <w:lang w:eastAsia="en-GB"/>
          <w14:ligatures w14:val="none"/>
        </w:rPr>
        <w:t>The field guide to understanding human error</w:t>
      </w:r>
      <w:r w:rsidRPr="00595A8C">
        <w:rPr>
          <w:rFonts w:ascii="Arial" w:eastAsia="Times New Roman" w:hAnsi="Arial" w:cs="Arial"/>
          <w:kern w:val="0"/>
          <w:lang w:eastAsia="en-GB"/>
          <w14:ligatures w14:val="none"/>
        </w:rPr>
        <w:t xml:space="preserve">. 3rd </w:t>
      </w:r>
      <w:proofErr w:type="spellStart"/>
      <w:r w:rsidRPr="00595A8C">
        <w:rPr>
          <w:rFonts w:ascii="Arial" w:eastAsia="Times New Roman" w:hAnsi="Arial" w:cs="Arial"/>
          <w:kern w:val="0"/>
          <w:lang w:eastAsia="en-GB"/>
          <w14:ligatures w14:val="none"/>
        </w:rPr>
        <w:t>edn</w:t>
      </w:r>
      <w:proofErr w:type="spellEnd"/>
      <w:r w:rsidRPr="00595A8C">
        <w:rPr>
          <w:rFonts w:ascii="Arial" w:eastAsia="Times New Roman" w:hAnsi="Arial" w:cs="Arial"/>
          <w:kern w:val="0"/>
          <w:lang w:eastAsia="en-GB"/>
          <w14:ligatures w14:val="none"/>
        </w:rPr>
        <w:t>. Farnham: Ashgate.</w:t>
      </w:r>
    </w:p>
    <w:p w14:paraId="137F4CE8"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Elliott, R.A., Camacho, E., Jankovic, D., </w:t>
      </w:r>
      <w:proofErr w:type="spellStart"/>
      <w:r w:rsidRPr="00595A8C">
        <w:rPr>
          <w:rFonts w:ascii="Arial" w:eastAsia="Times New Roman" w:hAnsi="Arial" w:cs="Arial"/>
          <w:kern w:val="0"/>
          <w:lang w:eastAsia="en-GB"/>
          <w14:ligatures w14:val="none"/>
        </w:rPr>
        <w:t>Sculpher</w:t>
      </w:r>
      <w:proofErr w:type="spellEnd"/>
      <w:r w:rsidRPr="00595A8C">
        <w:rPr>
          <w:rFonts w:ascii="Arial" w:eastAsia="Times New Roman" w:hAnsi="Arial" w:cs="Arial"/>
          <w:kern w:val="0"/>
          <w:lang w:eastAsia="en-GB"/>
          <w14:ligatures w14:val="none"/>
        </w:rPr>
        <w:t xml:space="preserve">, M.J. and Faria, R. (2018) ‘Economic analysis of medication error in England’, </w:t>
      </w:r>
      <w:r w:rsidRPr="00595A8C">
        <w:rPr>
          <w:rFonts w:ascii="Arial" w:eastAsia="Times New Roman" w:hAnsi="Arial" w:cs="Arial"/>
          <w:i/>
          <w:iCs/>
          <w:kern w:val="0"/>
          <w:lang w:eastAsia="en-GB"/>
          <w14:ligatures w14:val="none"/>
        </w:rPr>
        <w:t>BMJ Quality &amp; Safety</w:t>
      </w:r>
      <w:r w:rsidRPr="00595A8C">
        <w:rPr>
          <w:rFonts w:ascii="Arial" w:eastAsia="Times New Roman" w:hAnsi="Arial" w:cs="Arial"/>
          <w:kern w:val="0"/>
          <w:lang w:eastAsia="en-GB"/>
          <w14:ligatures w14:val="none"/>
        </w:rPr>
        <w:t>, 27(7), pp. 550–560.</w:t>
      </w:r>
    </w:p>
    <w:p w14:paraId="15B62E6F"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595A8C">
        <w:rPr>
          <w:rFonts w:ascii="Arial" w:eastAsia="Times New Roman" w:hAnsi="Arial" w:cs="Arial"/>
          <w:kern w:val="0"/>
          <w:lang w:eastAsia="en-GB"/>
          <w14:ligatures w14:val="none"/>
        </w:rPr>
        <w:t>Exworthy</w:t>
      </w:r>
      <w:proofErr w:type="spellEnd"/>
      <w:r w:rsidRPr="00595A8C">
        <w:rPr>
          <w:rFonts w:ascii="Arial" w:eastAsia="Times New Roman" w:hAnsi="Arial" w:cs="Arial"/>
          <w:kern w:val="0"/>
          <w:lang w:eastAsia="en-GB"/>
          <w14:ligatures w14:val="none"/>
        </w:rPr>
        <w:t xml:space="preserve">, M., Powell, </w:t>
      </w:r>
      <w:proofErr w:type="gramStart"/>
      <w:r w:rsidRPr="00595A8C">
        <w:rPr>
          <w:rFonts w:ascii="Arial" w:eastAsia="Times New Roman" w:hAnsi="Arial" w:cs="Arial"/>
          <w:kern w:val="0"/>
          <w:lang w:eastAsia="en-GB"/>
          <w14:ligatures w14:val="none"/>
        </w:rPr>
        <w:t>M.</w:t>
      </w:r>
      <w:proofErr w:type="gramEnd"/>
      <w:r w:rsidRPr="00595A8C">
        <w:rPr>
          <w:rFonts w:ascii="Arial" w:eastAsia="Times New Roman" w:hAnsi="Arial" w:cs="Arial"/>
          <w:kern w:val="0"/>
          <w:lang w:eastAsia="en-GB"/>
          <w14:ligatures w14:val="none"/>
        </w:rPr>
        <w:t xml:space="preserve"> and Glasby, J. (2019) ‘Centralisation and decentralisation in healthcare’, </w:t>
      </w:r>
      <w:r w:rsidRPr="00595A8C">
        <w:rPr>
          <w:rFonts w:ascii="Arial" w:eastAsia="Times New Roman" w:hAnsi="Arial" w:cs="Arial"/>
          <w:i/>
          <w:iCs/>
          <w:kern w:val="0"/>
          <w:lang w:eastAsia="en-GB"/>
          <w14:ligatures w14:val="none"/>
        </w:rPr>
        <w:t>Health Policy</w:t>
      </w:r>
      <w:r w:rsidRPr="00595A8C">
        <w:rPr>
          <w:rFonts w:ascii="Arial" w:eastAsia="Times New Roman" w:hAnsi="Arial" w:cs="Arial"/>
          <w:kern w:val="0"/>
          <w:lang w:eastAsia="en-GB"/>
          <w14:ligatures w14:val="none"/>
        </w:rPr>
        <w:t>, 123(2), pp. 128–136.</w:t>
      </w:r>
    </w:p>
    <w:p w14:paraId="09201D1D"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Ferlie, E. and Shortell, S. (2001) ‘Improving quality in healthcare’, </w:t>
      </w:r>
      <w:r w:rsidRPr="00595A8C">
        <w:rPr>
          <w:rFonts w:ascii="Arial" w:eastAsia="Times New Roman" w:hAnsi="Arial" w:cs="Arial"/>
          <w:i/>
          <w:iCs/>
          <w:kern w:val="0"/>
          <w:lang w:eastAsia="en-GB"/>
          <w14:ligatures w14:val="none"/>
        </w:rPr>
        <w:t>Milbank Quarterly</w:t>
      </w:r>
      <w:r w:rsidRPr="00595A8C">
        <w:rPr>
          <w:rFonts w:ascii="Arial" w:eastAsia="Times New Roman" w:hAnsi="Arial" w:cs="Arial"/>
          <w:kern w:val="0"/>
          <w:lang w:eastAsia="en-GB"/>
          <w14:ligatures w14:val="none"/>
        </w:rPr>
        <w:t>, 79(2), pp. 281–315.</w:t>
      </w:r>
    </w:p>
    <w:p w14:paraId="30098B46"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Ferlie, E., Fitzgerald, L., McGivern, G., Dopson, </w:t>
      </w:r>
      <w:proofErr w:type="gramStart"/>
      <w:r w:rsidRPr="00595A8C">
        <w:rPr>
          <w:rFonts w:ascii="Arial" w:eastAsia="Times New Roman" w:hAnsi="Arial" w:cs="Arial"/>
          <w:kern w:val="0"/>
          <w:lang w:eastAsia="en-GB"/>
          <w14:ligatures w14:val="none"/>
        </w:rPr>
        <w:t>S.</w:t>
      </w:r>
      <w:proofErr w:type="gramEnd"/>
      <w:r w:rsidRPr="00595A8C">
        <w:rPr>
          <w:rFonts w:ascii="Arial" w:eastAsia="Times New Roman" w:hAnsi="Arial" w:cs="Arial"/>
          <w:kern w:val="0"/>
          <w:lang w:eastAsia="en-GB"/>
          <w14:ligatures w14:val="none"/>
        </w:rPr>
        <w:t xml:space="preserve"> and Bennett, C. (2011) </w:t>
      </w:r>
      <w:r w:rsidRPr="00595A8C">
        <w:rPr>
          <w:rFonts w:ascii="Arial" w:eastAsia="Times New Roman" w:hAnsi="Arial" w:cs="Arial"/>
          <w:i/>
          <w:iCs/>
          <w:kern w:val="0"/>
          <w:lang w:eastAsia="en-GB"/>
          <w14:ligatures w14:val="none"/>
        </w:rPr>
        <w:t>Public policy networks and “wicked problems”</w:t>
      </w:r>
      <w:r w:rsidRPr="00595A8C">
        <w:rPr>
          <w:rFonts w:ascii="Arial" w:eastAsia="Times New Roman" w:hAnsi="Arial" w:cs="Arial"/>
          <w:kern w:val="0"/>
          <w:lang w:eastAsia="en-GB"/>
          <w14:ligatures w14:val="none"/>
        </w:rPr>
        <w:t>. Oxford: Oxford University Press.</w:t>
      </w:r>
    </w:p>
    <w:p w14:paraId="7930B69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Fulop, N., Ramsay, A.I.G., Perry, C. et al. (2012) ‘Explaining outcomes in major system change’, </w:t>
      </w:r>
      <w:r w:rsidRPr="00595A8C">
        <w:rPr>
          <w:rFonts w:ascii="Arial" w:eastAsia="Times New Roman" w:hAnsi="Arial" w:cs="Arial"/>
          <w:i/>
          <w:iCs/>
          <w:kern w:val="0"/>
          <w:lang w:eastAsia="en-GB"/>
          <w14:ligatures w14:val="none"/>
        </w:rPr>
        <w:t>Medical Care Research and Review</w:t>
      </w:r>
      <w:r w:rsidRPr="00595A8C">
        <w:rPr>
          <w:rFonts w:ascii="Arial" w:eastAsia="Times New Roman" w:hAnsi="Arial" w:cs="Arial"/>
          <w:kern w:val="0"/>
          <w:lang w:eastAsia="en-GB"/>
          <w14:ligatures w14:val="none"/>
        </w:rPr>
        <w:t>, 69(2), pp. 131–160.</w:t>
      </w:r>
    </w:p>
    <w:p w14:paraId="5CD8FD71"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lastRenderedPageBreak/>
        <w:t xml:space="preserve">Goleman, D. (1998) </w:t>
      </w:r>
      <w:r w:rsidRPr="00595A8C">
        <w:rPr>
          <w:rFonts w:ascii="Arial" w:eastAsia="Times New Roman" w:hAnsi="Arial" w:cs="Arial"/>
          <w:i/>
          <w:iCs/>
          <w:kern w:val="0"/>
          <w:lang w:eastAsia="en-GB"/>
          <w14:ligatures w14:val="none"/>
        </w:rPr>
        <w:t>Working with emotional intelligence</w:t>
      </w:r>
      <w:r w:rsidRPr="00595A8C">
        <w:rPr>
          <w:rFonts w:ascii="Arial" w:eastAsia="Times New Roman" w:hAnsi="Arial" w:cs="Arial"/>
          <w:kern w:val="0"/>
          <w:lang w:eastAsia="en-GB"/>
          <w14:ligatures w14:val="none"/>
        </w:rPr>
        <w:t>. New York: Bantam Books.</w:t>
      </w:r>
    </w:p>
    <w:p w14:paraId="0B7FC261"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Greenwood, R. and </w:t>
      </w:r>
      <w:proofErr w:type="spellStart"/>
      <w:r w:rsidRPr="00595A8C">
        <w:rPr>
          <w:rFonts w:ascii="Arial" w:eastAsia="Times New Roman" w:hAnsi="Arial" w:cs="Arial"/>
          <w:kern w:val="0"/>
          <w:lang w:eastAsia="en-GB"/>
          <w14:ligatures w14:val="none"/>
        </w:rPr>
        <w:t>Hinings</w:t>
      </w:r>
      <w:proofErr w:type="spellEnd"/>
      <w:r w:rsidRPr="00595A8C">
        <w:rPr>
          <w:rFonts w:ascii="Arial" w:eastAsia="Times New Roman" w:hAnsi="Arial" w:cs="Arial"/>
          <w:kern w:val="0"/>
          <w:lang w:eastAsia="en-GB"/>
          <w14:ligatures w14:val="none"/>
        </w:rPr>
        <w:t xml:space="preserve">, C.R. (1996) ‘Understanding radical organisational change’, </w:t>
      </w:r>
      <w:r w:rsidRPr="00595A8C">
        <w:rPr>
          <w:rFonts w:ascii="Arial" w:eastAsia="Times New Roman" w:hAnsi="Arial" w:cs="Arial"/>
          <w:i/>
          <w:iCs/>
          <w:kern w:val="0"/>
          <w:lang w:eastAsia="en-GB"/>
          <w14:ligatures w14:val="none"/>
        </w:rPr>
        <w:t>Academy of Management Review</w:t>
      </w:r>
      <w:r w:rsidRPr="00595A8C">
        <w:rPr>
          <w:rFonts w:ascii="Arial" w:eastAsia="Times New Roman" w:hAnsi="Arial" w:cs="Arial"/>
          <w:kern w:val="0"/>
          <w:lang w:eastAsia="en-GB"/>
          <w14:ligatures w14:val="none"/>
        </w:rPr>
        <w:t>, 21(4), pp. 1022–1054.</w:t>
      </w:r>
    </w:p>
    <w:p w14:paraId="3F50AD0C"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Heifetz, R., </w:t>
      </w:r>
      <w:proofErr w:type="spellStart"/>
      <w:r w:rsidRPr="00595A8C">
        <w:rPr>
          <w:rFonts w:ascii="Arial" w:eastAsia="Times New Roman" w:hAnsi="Arial" w:cs="Arial"/>
          <w:kern w:val="0"/>
          <w:lang w:eastAsia="en-GB"/>
          <w14:ligatures w14:val="none"/>
        </w:rPr>
        <w:t>Grashow</w:t>
      </w:r>
      <w:proofErr w:type="spellEnd"/>
      <w:r w:rsidRPr="00595A8C">
        <w:rPr>
          <w:rFonts w:ascii="Arial" w:eastAsia="Times New Roman" w:hAnsi="Arial" w:cs="Arial"/>
          <w:kern w:val="0"/>
          <w:lang w:eastAsia="en-GB"/>
          <w14:ligatures w14:val="none"/>
        </w:rPr>
        <w:t xml:space="preserve">, A. and Linsky, M. (2009) </w:t>
      </w:r>
      <w:r w:rsidRPr="00595A8C">
        <w:rPr>
          <w:rFonts w:ascii="Arial" w:eastAsia="Times New Roman" w:hAnsi="Arial" w:cs="Arial"/>
          <w:i/>
          <w:iCs/>
          <w:kern w:val="0"/>
          <w:lang w:eastAsia="en-GB"/>
          <w14:ligatures w14:val="none"/>
        </w:rPr>
        <w:t>The practice of adaptive leadership</w:t>
      </w:r>
      <w:r w:rsidRPr="00595A8C">
        <w:rPr>
          <w:rFonts w:ascii="Arial" w:eastAsia="Times New Roman" w:hAnsi="Arial" w:cs="Arial"/>
          <w:kern w:val="0"/>
          <w:lang w:eastAsia="en-GB"/>
          <w14:ligatures w14:val="none"/>
        </w:rPr>
        <w:t>. Boston: Harvard Business Press.</w:t>
      </w:r>
    </w:p>
    <w:p w14:paraId="150B8CD7"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Hersey, P., Blanchard, K.H. and Johnson, D.E. (2013) </w:t>
      </w:r>
      <w:r w:rsidRPr="00595A8C">
        <w:rPr>
          <w:rFonts w:ascii="Arial" w:eastAsia="Times New Roman" w:hAnsi="Arial" w:cs="Arial"/>
          <w:i/>
          <w:iCs/>
          <w:kern w:val="0"/>
          <w:lang w:eastAsia="en-GB"/>
          <w14:ligatures w14:val="none"/>
        </w:rPr>
        <w:t>Management of organisational behaviour</w:t>
      </w:r>
      <w:r w:rsidRPr="00595A8C">
        <w:rPr>
          <w:rFonts w:ascii="Arial" w:eastAsia="Times New Roman" w:hAnsi="Arial" w:cs="Arial"/>
          <w:kern w:val="0"/>
          <w:lang w:eastAsia="en-GB"/>
          <w14:ligatures w14:val="none"/>
        </w:rPr>
        <w:t xml:space="preserve">. 10th </w:t>
      </w:r>
      <w:proofErr w:type="spellStart"/>
      <w:r w:rsidRPr="00595A8C">
        <w:rPr>
          <w:rFonts w:ascii="Arial" w:eastAsia="Times New Roman" w:hAnsi="Arial" w:cs="Arial"/>
          <w:kern w:val="0"/>
          <w:lang w:eastAsia="en-GB"/>
          <w14:ligatures w14:val="none"/>
        </w:rPr>
        <w:t>edn</w:t>
      </w:r>
      <w:proofErr w:type="spellEnd"/>
      <w:r w:rsidRPr="00595A8C">
        <w:rPr>
          <w:rFonts w:ascii="Arial" w:eastAsia="Times New Roman" w:hAnsi="Arial" w:cs="Arial"/>
          <w:kern w:val="0"/>
          <w:lang w:eastAsia="en-GB"/>
          <w14:ligatures w14:val="none"/>
        </w:rPr>
        <w:t>. Harlow: Pearson.</w:t>
      </w:r>
    </w:p>
    <w:p w14:paraId="7726C1A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HM Government (2023) </w:t>
      </w:r>
      <w:r w:rsidRPr="00595A8C">
        <w:rPr>
          <w:rFonts w:ascii="Arial" w:eastAsia="Times New Roman" w:hAnsi="Arial" w:cs="Arial"/>
          <w:i/>
          <w:iCs/>
          <w:kern w:val="0"/>
          <w:lang w:eastAsia="en-GB"/>
          <w14:ligatures w14:val="none"/>
        </w:rPr>
        <w:t>Complaints policies and public service accountability</w:t>
      </w:r>
      <w:r w:rsidRPr="00595A8C">
        <w:rPr>
          <w:rFonts w:ascii="Arial" w:eastAsia="Times New Roman" w:hAnsi="Arial" w:cs="Arial"/>
          <w:kern w:val="0"/>
          <w:lang w:eastAsia="en-GB"/>
          <w14:ligatures w14:val="none"/>
        </w:rPr>
        <w:t xml:space="preserve">. London: HMSO. Available at: </w:t>
      </w:r>
      <w:hyperlink r:id="rId10" w:tgtFrame="_new" w:history="1">
        <w:r w:rsidRPr="00595A8C">
          <w:rPr>
            <w:rFonts w:ascii="Arial" w:eastAsia="Times New Roman" w:hAnsi="Arial" w:cs="Arial"/>
            <w:color w:val="0000FF"/>
            <w:kern w:val="0"/>
            <w:u w:val="single"/>
            <w:lang w:eastAsia="en-GB"/>
            <w14:ligatures w14:val="none"/>
          </w:rPr>
          <w:t>https://www.gov.uk</w:t>
        </w:r>
      </w:hyperlink>
      <w:r w:rsidRPr="00595A8C">
        <w:rPr>
          <w:rFonts w:ascii="Arial" w:eastAsia="Times New Roman" w:hAnsi="Arial" w:cs="Arial"/>
          <w:kern w:val="0"/>
          <w:lang w:eastAsia="en-GB"/>
          <w14:ligatures w14:val="none"/>
        </w:rPr>
        <w:t xml:space="preserve"> (Accessed: 16 April 2026).</w:t>
      </w:r>
    </w:p>
    <w:p w14:paraId="24E05B05"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Healthcare Safety Investigation Branch (HSSIB) (2020) </w:t>
      </w:r>
      <w:r w:rsidRPr="00595A8C">
        <w:rPr>
          <w:rFonts w:ascii="Arial" w:eastAsia="Times New Roman" w:hAnsi="Arial" w:cs="Arial"/>
          <w:i/>
          <w:iCs/>
          <w:kern w:val="0"/>
          <w:lang w:eastAsia="en-GB"/>
          <w14:ligatures w14:val="none"/>
        </w:rPr>
        <w:t>Unintentional overdose of morphine sulphate oral solution</w:t>
      </w:r>
      <w:r w:rsidRPr="00595A8C">
        <w:rPr>
          <w:rFonts w:ascii="Arial" w:eastAsia="Times New Roman" w:hAnsi="Arial" w:cs="Arial"/>
          <w:kern w:val="0"/>
          <w:lang w:eastAsia="en-GB"/>
          <w14:ligatures w14:val="none"/>
        </w:rPr>
        <w:t xml:space="preserve">. London: HSSIB. Available at: </w:t>
      </w:r>
      <w:hyperlink r:id="rId11" w:tgtFrame="_new" w:history="1">
        <w:r w:rsidRPr="00595A8C">
          <w:rPr>
            <w:rFonts w:ascii="Arial" w:eastAsia="Times New Roman" w:hAnsi="Arial" w:cs="Arial"/>
            <w:color w:val="0000FF"/>
            <w:kern w:val="0"/>
            <w:u w:val="single"/>
            <w:lang w:eastAsia="en-GB"/>
            <w14:ligatures w14:val="none"/>
          </w:rPr>
          <w:t>https://www.hssib.org.uk</w:t>
        </w:r>
      </w:hyperlink>
      <w:r w:rsidRPr="00595A8C">
        <w:rPr>
          <w:rFonts w:ascii="Arial" w:eastAsia="Times New Roman" w:hAnsi="Arial" w:cs="Arial"/>
          <w:kern w:val="0"/>
          <w:lang w:eastAsia="en-GB"/>
          <w14:ligatures w14:val="none"/>
        </w:rPr>
        <w:t xml:space="preserve"> (Accessed: 6 April 2026).</w:t>
      </w:r>
    </w:p>
    <w:p w14:paraId="4E109493"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Healthcare Safety Investigation Branch (HSSIB) (2022) </w:t>
      </w:r>
      <w:r w:rsidRPr="00595A8C">
        <w:rPr>
          <w:rFonts w:ascii="Arial" w:eastAsia="Times New Roman" w:hAnsi="Arial" w:cs="Arial"/>
          <w:i/>
          <w:iCs/>
          <w:kern w:val="0"/>
          <w:lang w:eastAsia="en-GB"/>
          <w14:ligatures w14:val="none"/>
        </w:rPr>
        <w:t>Medication safety in primary care</w:t>
      </w:r>
      <w:r w:rsidRPr="00595A8C">
        <w:rPr>
          <w:rFonts w:ascii="Arial" w:eastAsia="Times New Roman" w:hAnsi="Arial" w:cs="Arial"/>
          <w:kern w:val="0"/>
          <w:lang w:eastAsia="en-GB"/>
          <w14:ligatures w14:val="none"/>
        </w:rPr>
        <w:t xml:space="preserve">. London: HSSIB. Available at: </w:t>
      </w:r>
      <w:hyperlink r:id="rId12" w:tgtFrame="_new" w:history="1">
        <w:r w:rsidRPr="00595A8C">
          <w:rPr>
            <w:rFonts w:ascii="Arial" w:eastAsia="Times New Roman" w:hAnsi="Arial" w:cs="Arial"/>
            <w:color w:val="0000FF"/>
            <w:kern w:val="0"/>
            <w:u w:val="single"/>
            <w:lang w:eastAsia="en-GB"/>
            <w14:ligatures w14:val="none"/>
          </w:rPr>
          <w:t>https://www.hssib.org.uk</w:t>
        </w:r>
      </w:hyperlink>
      <w:r w:rsidRPr="00595A8C">
        <w:rPr>
          <w:rFonts w:ascii="Arial" w:eastAsia="Times New Roman" w:hAnsi="Arial" w:cs="Arial"/>
          <w:kern w:val="0"/>
          <w:lang w:eastAsia="en-GB"/>
          <w14:ligatures w14:val="none"/>
        </w:rPr>
        <w:t xml:space="preserve"> (Accessed: 7 April 2026).</w:t>
      </w:r>
    </w:p>
    <w:p w14:paraId="6D20A95C"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Impact Guru (2023) </w:t>
      </w:r>
      <w:r w:rsidRPr="00595A8C">
        <w:rPr>
          <w:rFonts w:ascii="Arial" w:eastAsia="Times New Roman" w:hAnsi="Arial" w:cs="Arial"/>
          <w:i/>
          <w:iCs/>
          <w:kern w:val="0"/>
          <w:lang w:eastAsia="en-GB"/>
          <w14:ligatures w14:val="none"/>
        </w:rPr>
        <w:t>Improving healthcare quality through training and systems change</w:t>
      </w:r>
      <w:r w:rsidRPr="00595A8C">
        <w:rPr>
          <w:rFonts w:ascii="Arial" w:eastAsia="Times New Roman" w:hAnsi="Arial" w:cs="Arial"/>
          <w:kern w:val="0"/>
          <w:lang w:eastAsia="en-GB"/>
          <w14:ligatures w14:val="none"/>
        </w:rPr>
        <w:t xml:space="preserve">. Available at: </w:t>
      </w:r>
      <w:hyperlink r:id="rId13" w:tgtFrame="_new" w:history="1">
        <w:r w:rsidRPr="00595A8C">
          <w:rPr>
            <w:rFonts w:ascii="Arial" w:eastAsia="Times New Roman" w:hAnsi="Arial" w:cs="Arial"/>
            <w:color w:val="0000FF"/>
            <w:kern w:val="0"/>
            <w:u w:val="single"/>
            <w:lang w:eastAsia="en-GB"/>
            <w14:ligatures w14:val="none"/>
          </w:rPr>
          <w:t>https://www.impact-guru.co.uk</w:t>
        </w:r>
      </w:hyperlink>
      <w:r w:rsidRPr="00595A8C">
        <w:rPr>
          <w:rFonts w:ascii="Arial" w:eastAsia="Times New Roman" w:hAnsi="Arial" w:cs="Arial"/>
          <w:kern w:val="0"/>
          <w:lang w:eastAsia="en-GB"/>
          <w14:ligatures w14:val="none"/>
        </w:rPr>
        <w:t xml:space="preserve"> (Accessed: 6 April 2026).</w:t>
      </w:r>
    </w:p>
    <w:p w14:paraId="190E2616"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Institute for Safe Medication Practices (ISMP) (2023) </w:t>
      </w:r>
      <w:r w:rsidRPr="00595A8C">
        <w:rPr>
          <w:rFonts w:ascii="Arial" w:eastAsia="Times New Roman" w:hAnsi="Arial" w:cs="Arial"/>
          <w:i/>
          <w:iCs/>
          <w:kern w:val="0"/>
          <w:lang w:eastAsia="en-GB"/>
          <w14:ligatures w14:val="none"/>
        </w:rPr>
        <w:t>Guidelines for safe medication labelling</w:t>
      </w:r>
      <w:r w:rsidRPr="00595A8C">
        <w:rPr>
          <w:rFonts w:ascii="Arial" w:eastAsia="Times New Roman" w:hAnsi="Arial" w:cs="Arial"/>
          <w:kern w:val="0"/>
          <w:lang w:eastAsia="en-GB"/>
          <w14:ligatures w14:val="none"/>
        </w:rPr>
        <w:t xml:space="preserve">. Available at: </w:t>
      </w:r>
      <w:hyperlink r:id="rId14" w:tgtFrame="_new" w:history="1">
        <w:r w:rsidRPr="00595A8C">
          <w:rPr>
            <w:rFonts w:ascii="Arial" w:eastAsia="Times New Roman" w:hAnsi="Arial" w:cs="Arial"/>
            <w:color w:val="0000FF"/>
            <w:kern w:val="0"/>
            <w:u w:val="single"/>
            <w:lang w:eastAsia="en-GB"/>
            <w14:ligatures w14:val="none"/>
          </w:rPr>
          <w:t>https://www.ismp.org</w:t>
        </w:r>
      </w:hyperlink>
      <w:r w:rsidRPr="00595A8C">
        <w:rPr>
          <w:rFonts w:ascii="Arial" w:eastAsia="Times New Roman" w:hAnsi="Arial" w:cs="Arial"/>
          <w:kern w:val="0"/>
          <w:lang w:eastAsia="en-GB"/>
          <w14:ligatures w14:val="none"/>
        </w:rPr>
        <w:t xml:space="preserve"> (Accessed: 10 March 2026).</w:t>
      </w:r>
    </w:p>
    <w:p w14:paraId="4ED7D09D"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Institute of Medicine (2007) </w:t>
      </w:r>
      <w:r w:rsidRPr="00595A8C">
        <w:rPr>
          <w:rFonts w:ascii="Arial" w:eastAsia="Times New Roman" w:hAnsi="Arial" w:cs="Arial"/>
          <w:i/>
          <w:iCs/>
          <w:kern w:val="0"/>
          <w:lang w:eastAsia="en-GB"/>
          <w14:ligatures w14:val="none"/>
        </w:rPr>
        <w:t>Preventing medication errors</w:t>
      </w:r>
      <w:r w:rsidRPr="00595A8C">
        <w:rPr>
          <w:rFonts w:ascii="Arial" w:eastAsia="Times New Roman" w:hAnsi="Arial" w:cs="Arial"/>
          <w:kern w:val="0"/>
          <w:lang w:eastAsia="en-GB"/>
          <w14:ligatures w14:val="none"/>
        </w:rPr>
        <w:t>. Washington, DC: National Academies Press.</w:t>
      </w:r>
    </w:p>
    <w:p w14:paraId="486B00D5"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Irving, G., Neves, A.L., Dambha-Miller, H. et al. (2017) ‘International variations in primary care consultation time’, </w:t>
      </w:r>
      <w:r w:rsidRPr="00595A8C">
        <w:rPr>
          <w:rFonts w:ascii="Arial" w:eastAsia="Times New Roman" w:hAnsi="Arial" w:cs="Arial"/>
          <w:i/>
          <w:iCs/>
          <w:kern w:val="0"/>
          <w:lang w:eastAsia="en-GB"/>
          <w14:ligatures w14:val="none"/>
        </w:rPr>
        <w:t>BMJ Open</w:t>
      </w:r>
      <w:r w:rsidRPr="00595A8C">
        <w:rPr>
          <w:rFonts w:ascii="Arial" w:eastAsia="Times New Roman" w:hAnsi="Arial" w:cs="Arial"/>
          <w:kern w:val="0"/>
          <w:lang w:eastAsia="en-GB"/>
          <w14:ligatures w14:val="none"/>
        </w:rPr>
        <w:t>, 7(10).</w:t>
      </w:r>
    </w:p>
    <w:p w14:paraId="4C0BD780"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Kripalani, S., Henderson, L.E., Jacobson, T.A. and Vaccarino, V. (2006) ‘Medication use among patients’, </w:t>
      </w:r>
      <w:r w:rsidRPr="00595A8C">
        <w:rPr>
          <w:rFonts w:ascii="Arial" w:eastAsia="Times New Roman" w:hAnsi="Arial" w:cs="Arial"/>
          <w:i/>
          <w:iCs/>
          <w:kern w:val="0"/>
          <w:lang w:eastAsia="en-GB"/>
          <w14:ligatures w14:val="none"/>
        </w:rPr>
        <w:t>Archives of Internal Medicine</w:t>
      </w:r>
      <w:r w:rsidRPr="00595A8C">
        <w:rPr>
          <w:rFonts w:ascii="Arial" w:eastAsia="Times New Roman" w:hAnsi="Arial" w:cs="Arial"/>
          <w:kern w:val="0"/>
          <w:lang w:eastAsia="en-GB"/>
          <w14:ligatures w14:val="none"/>
        </w:rPr>
        <w:t>, 166(20), pp. 2161–2167.</w:t>
      </w:r>
    </w:p>
    <w:p w14:paraId="7D572775"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Maher, R.L., Hanlon, </w:t>
      </w:r>
      <w:proofErr w:type="gramStart"/>
      <w:r w:rsidRPr="00595A8C">
        <w:rPr>
          <w:rFonts w:ascii="Arial" w:eastAsia="Times New Roman" w:hAnsi="Arial" w:cs="Arial"/>
          <w:kern w:val="0"/>
          <w:lang w:eastAsia="en-GB"/>
          <w14:ligatures w14:val="none"/>
        </w:rPr>
        <w:t>J.</w:t>
      </w:r>
      <w:proofErr w:type="gramEnd"/>
      <w:r w:rsidRPr="00595A8C">
        <w:rPr>
          <w:rFonts w:ascii="Arial" w:eastAsia="Times New Roman" w:hAnsi="Arial" w:cs="Arial"/>
          <w:kern w:val="0"/>
          <w:lang w:eastAsia="en-GB"/>
          <w14:ligatures w14:val="none"/>
        </w:rPr>
        <w:t xml:space="preserve"> and Hajjar, E.R. (2014) ‘Clinical consequences of polypharmacy in elderly’, </w:t>
      </w:r>
      <w:r w:rsidRPr="00595A8C">
        <w:rPr>
          <w:rFonts w:ascii="Arial" w:eastAsia="Times New Roman" w:hAnsi="Arial" w:cs="Arial"/>
          <w:i/>
          <w:iCs/>
          <w:kern w:val="0"/>
          <w:lang w:eastAsia="en-GB"/>
          <w14:ligatures w14:val="none"/>
        </w:rPr>
        <w:t>Expert Opinion on Drug Safety</w:t>
      </w:r>
      <w:r w:rsidRPr="00595A8C">
        <w:rPr>
          <w:rFonts w:ascii="Arial" w:eastAsia="Times New Roman" w:hAnsi="Arial" w:cs="Arial"/>
          <w:kern w:val="0"/>
          <w:lang w:eastAsia="en-GB"/>
          <w14:ligatures w14:val="none"/>
        </w:rPr>
        <w:t>, 13(1), pp. 57–65.</w:t>
      </w:r>
    </w:p>
    <w:p w14:paraId="1391AB2B"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lastRenderedPageBreak/>
        <w:t xml:space="preserve">Mannion, R. and Davies, H. (2018) ‘Understanding organisational culture for healthcare quality improvement’, </w:t>
      </w:r>
      <w:r w:rsidRPr="00595A8C">
        <w:rPr>
          <w:rFonts w:ascii="Arial" w:eastAsia="Times New Roman" w:hAnsi="Arial" w:cs="Arial"/>
          <w:i/>
          <w:iCs/>
          <w:kern w:val="0"/>
          <w:lang w:eastAsia="en-GB"/>
          <w14:ligatures w14:val="none"/>
        </w:rPr>
        <w:t>BMJ</w:t>
      </w:r>
      <w:r w:rsidRPr="00595A8C">
        <w:rPr>
          <w:rFonts w:ascii="Arial" w:eastAsia="Times New Roman" w:hAnsi="Arial" w:cs="Arial"/>
          <w:kern w:val="0"/>
          <w:lang w:eastAsia="en-GB"/>
          <w14:ligatures w14:val="none"/>
        </w:rPr>
        <w:t>, 363, k4907.</w:t>
      </w:r>
    </w:p>
    <w:p w14:paraId="5660473E"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Mintzberg, H. (1983) </w:t>
      </w:r>
      <w:r w:rsidRPr="00595A8C">
        <w:rPr>
          <w:rFonts w:ascii="Arial" w:eastAsia="Times New Roman" w:hAnsi="Arial" w:cs="Arial"/>
          <w:i/>
          <w:iCs/>
          <w:kern w:val="0"/>
          <w:lang w:eastAsia="en-GB"/>
          <w14:ligatures w14:val="none"/>
        </w:rPr>
        <w:t>Structure in fives</w:t>
      </w:r>
      <w:r w:rsidRPr="00595A8C">
        <w:rPr>
          <w:rFonts w:ascii="Arial" w:eastAsia="Times New Roman" w:hAnsi="Arial" w:cs="Arial"/>
          <w:kern w:val="0"/>
          <w:lang w:eastAsia="en-GB"/>
          <w14:ligatures w14:val="none"/>
        </w:rPr>
        <w:t>. Englewood Cliffs, NJ: Prentice Hall.</w:t>
      </w:r>
    </w:p>
    <w:p w14:paraId="4699FF5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Montori, V., Kunneman, M. and Brito, J. (2022) </w:t>
      </w:r>
      <w:r w:rsidRPr="00595A8C">
        <w:rPr>
          <w:rFonts w:ascii="Arial" w:eastAsia="Times New Roman" w:hAnsi="Arial" w:cs="Arial"/>
          <w:i/>
          <w:iCs/>
          <w:kern w:val="0"/>
          <w:lang w:eastAsia="en-GB"/>
          <w14:ligatures w14:val="none"/>
        </w:rPr>
        <w:t>Shared decision making in healthcare: Achieving evidence-based patient choice</w:t>
      </w:r>
      <w:r w:rsidRPr="00595A8C">
        <w:rPr>
          <w:rFonts w:ascii="Arial" w:eastAsia="Times New Roman" w:hAnsi="Arial" w:cs="Arial"/>
          <w:kern w:val="0"/>
          <w:lang w:eastAsia="en-GB"/>
          <w14:ligatures w14:val="none"/>
        </w:rPr>
        <w:t>. Oxford: Oxford University Press.</w:t>
      </w:r>
    </w:p>
    <w:p w14:paraId="1CE4D8EA"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595A8C">
        <w:rPr>
          <w:rFonts w:ascii="Arial" w:eastAsia="Times New Roman" w:hAnsi="Arial" w:cs="Arial"/>
          <w:kern w:val="0"/>
          <w:lang w:eastAsia="en-GB"/>
          <w14:ligatures w14:val="none"/>
        </w:rPr>
        <w:t>Naseralallah</w:t>
      </w:r>
      <w:proofErr w:type="spellEnd"/>
      <w:r w:rsidRPr="00595A8C">
        <w:rPr>
          <w:rFonts w:ascii="Arial" w:eastAsia="Times New Roman" w:hAnsi="Arial" w:cs="Arial"/>
          <w:kern w:val="0"/>
          <w:lang w:eastAsia="en-GB"/>
          <w14:ligatures w14:val="none"/>
        </w:rPr>
        <w:t xml:space="preserve">, L.M. et al. (2023) ‘Medication errors in community care’, </w:t>
      </w:r>
      <w:r w:rsidRPr="00595A8C">
        <w:rPr>
          <w:rFonts w:ascii="Arial" w:eastAsia="Times New Roman" w:hAnsi="Arial" w:cs="Arial"/>
          <w:i/>
          <w:iCs/>
          <w:kern w:val="0"/>
          <w:lang w:eastAsia="en-GB"/>
          <w14:ligatures w14:val="none"/>
        </w:rPr>
        <w:t>International Journal of Pharmacy Practice</w:t>
      </w:r>
      <w:r w:rsidRPr="00595A8C">
        <w:rPr>
          <w:rFonts w:ascii="Arial" w:eastAsia="Times New Roman" w:hAnsi="Arial" w:cs="Arial"/>
          <w:kern w:val="0"/>
          <w:lang w:eastAsia="en-GB"/>
          <w14:ligatures w14:val="none"/>
        </w:rPr>
        <w:t>, 31(2), pp. 210–220.</w:t>
      </w:r>
    </w:p>
    <w:p w14:paraId="1262409C"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National Institute for Health and Care Excellence (NICE) (2012) </w:t>
      </w:r>
      <w:r w:rsidRPr="00595A8C">
        <w:rPr>
          <w:rFonts w:ascii="Arial" w:eastAsia="Times New Roman" w:hAnsi="Arial" w:cs="Arial"/>
          <w:i/>
          <w:iCs/>
          <w:kern w:val="0"/>
          <w:lang w:eastAsia="en-GB"/>
          <w14:ligatures w14:val="none"/>
        </w:rPr>
        <w:t>Patient experience in adult NHS services</w:t>
      </w:r>
      <w:r w:rsidRPr="00595A8C">
        <w:rPr>
          <w:rFonts w:ascii="Arial" w:eastAsia="Times New Roman" w:hAnsi="Arial" w:cs="Arial"/>
          <w:kern w:val="0"/>
          <w:lang w:eastAsia="en-GB"/>
          <w14:ligatures w14:val="none"/>
        </w:rPr>
        <w:t xml:space="preserve">. London: NICE. Available at: </w:t>
      </w:r>
      <w:hyperlink r:id="rId15" w:tgtFrame="_new" w:history="1">
        <w:r w:rsidRPr="00595A8C">
          <w:rPr>
            <w:rFonts w:ascii="Arial" w:eastAsia="Times New Roman" w:hAnsi="Arial" w:cs="Arial"/>
            <w:color w:val="0000FF"/>
            <w:kern w:val="0"/>
            <w:u w:val="single"/>
            <w:lang w:eastAsia="en-GB"/>
            <w14:ligatures w14:val="none"/>
          </w:rPr>
          <w:t>https://www.nice.org.uk</w:t>
        </w:r>
      </w:hyperlink>
      <w:r w:rsidRPr="00595A8C">
        <w:rPr>
          <w:rFonts w:ascii="Arial" w:eastAsia="Times New Roman" w:hAnsi="Arial" w:cs="Arial"/>
          <w:kern w:val="0"/>
          <w:lang w:eastAsia="en-GB"/>
          <w14:ligatures w14:val="none"/>
        </w:rPr>
        <w:t xml:space="preserve"> (Accessed: 11 April 2026).</w:t>
      </w:r>
    </w:p>
    <w:p w14:paraId="5E554B9B"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National Institute for Health and Care Excellence (NICE) (2021) </w:t>
      </w:r>
      <w:r w:rsidRPr="00595A8C">
        <w:rPr>
          <w:rFonts w:ascii="Arial" w:eastAsia="Times New Roman" w:hAnsi="Arial" w:cs="Arial"/>
          <w:i/>
          <w:iCs/>
          <w:kern w:val="0"/>
          <w:lang w:eastAsia="en-GB"/>
          <w14:ligatures w14:val="none"/>
        </w:rPr>
        <w:t>Shared decision making</w:t>
      </w:r>
      <w:r w:rsidRPr="00595A8C">
        <w:rPr>
          <w:rFonts w:ascii="Arial" w:eastAsia="Times New Roman" w:hAnsi="Arial" w:cs="Arial"/>
          <w:kern w:val="0"/>
          <w:lang w:eastAsia="en-GB"/>
          <w14:ligatures w14:val="none"/>
        </w:rPr>
        <w:t xml:space="preserve">. London: NICE. Available at: </w:t>
      </w:r>
      <w:hyperlink r:id="rId16" w:tgtFrame="_new" w:history="1">
        <w:r w:rsidRPr="00595A8C">
          <w:rPr>
            <w:rFonts w:ascii="Arial" w:eastAsia="Times New Roman" w:hAnsi="Arial" w:cs="Arial"/>
            <w:color w:val="0000FF"/>
            <w:kern w:val="0"/>
            <w:u w:val="single"/>
            <w:lang w:eastAsia="en-GB"/>
            <w14:ligatures w14:val="none"/>
          </w:rPr>
          <w:t>https://www.nice.org.uk</w:t>
        </w:r>
      </w:hyperlink>
      <w:r w:rsidRPr="00595A8C">
        <w:rPr>
          <w:rFonts w:ascii="Arial" w:eastAsia="Times New Roman" w:hAnsi="Arial" w:cs="Arial"/>
          <w:kern w:val="0"/>
          <w:lang w:eastAsia="en-GB"/>
          <w14:ligatures w14:val="none"/>
        </w:rPr>
        <w:t xml:space="preserve"> (Accessed: 16 April 2026).</w:t>
      </w:r>
    </w:p>
    <w:p w14:paraId="0942563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NHS England (2019) </w:t>
      </w:r>
      <w:r w:rsidRPr="00595A8C">
        <w:rPr>
          <w:rFonts w:ascii="Arial" w:eastAsia="Times New Roman" w:hAnsi="Arial" w:cs="Arial"/>
          <w:i/>
          <w:iCs/>
          <w:kern w:val="0"/>
          <w:lang w:eastAsia="en-GB"/>
          <w14:ligatures w14:val="none"/>
        </w:rPr>
        <w:t>The NHS Patient Safety Strategy</w:t>
      </w:r>
      <w:r w:rsidRPr="00595A8C">
        <w:rPr>
          <w:rFonts w:ascii="Arial" w:eastAsia="Times New Roman" w:hAnsi="Arial" w:cs="Arial"/>
          <w:kern w:val="0"/>
          <w:lang w:eastAsia="en-GB"/>
          <w14:ligatures w14:val="none"/>
        </w:rPr>
        <w:t xml:space="preserve">. London: NHS England. Available at: </w:t>
      </w:r>
      <w:hyperlink r:id="rId17" w:tgtFrame="_new" w:history="1">
        <w:r w:rsidRPr="00595A8C">
          <w:rPr>
            <w:rFonts w:ascii="Arial" w:eastAsia="Times New Roman" w:hAnsi="Arial" w:cs="Arial"/>
            <w:color w:val="0000FF"/>
            <w:kern w:val="0"/>
            <w:u w:val="single"/>
            <w:lang w:eastAsia="en-GB"/>
            <w14:ligatures w14:val="none"/>
          </w:rPr>
          <w:t>https://www.england.nhs.uk</w:t>
        </w:r>
      </w:hyperlink>
      <w:r w:rsidRPr="00595A8C">
        <w:rPr>
          <w:rFonts w:ascii="Arial" w:eastAsia="Times New Roman" w:hAnsi="Arial" w:cs="Arial"/>
          <w:kern w:val="0"/>
          <w:lang w:eastAsia="en-GB"/>
          <w14:ligatures w14:val="none"/>
        </w:rPr>
        <w:t xml:space="preserve"> (Accessed: 10 April 2026).</w:t>
      </w:r>
    </w:p>
    <w:p w14:paraId="50F2852C"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NHS England (2022) </w:t>
      </w:r>
      <w:r w:rsidRPr="00595A8C">
        <w:rPr>
          <w:rFonts w:ascii="Arial" w:eastAsia="Times New Roman" w:hAnsi="Arial" w:cs="Arial"/>
          <w:i/>
          <w:iCs/>
          <w:kern w:val="0"/>
          <w:lang w:eastAsia="en-GB"/>
          <w14:ligatures w14:val="none"/>
        </w:rPr>
        <w:t>Quality and safety in healthcare services</w:t>
      </w:r>
      <w:r w:rsidRPr="00595A8C">
        <w:rPr>
          <w:rFonts w:ascii="Arial" w:eastAsia="Times New Roman" w:hAnsi="Arial" w:cs="Arial"/>
          <w:kern w:val="0"/>
          <w:lang w:eastAsia="en-GB"/>
          <w14:ligatures w14:val="none"/>
        </w:rPr>
        <w:t xml:space="preserve">. London: NHS England. Available at: </w:t>
      </w:r>
      <w:hyperlink r:id="rId18" w:tgtFrame="_new" w:history="1">
        <w:r w:rsidRPr="00595A8C">
          <w:rPr>
            <w:rFonts w:ascii="Arial" w:eastAsia="Times New Roman" w:hAnsi="Arial" w:cs="Arial"/>
            <w:color w:val="0000FF"/>
            <w:kern w:val="0"/>
            <w:u w:val="single"/>
            <w:lang w:eastAsia="en-GB"/>
            <w14:ligatures w14:val="none"/>
          </w:rPr>
          <w:t>https://www.england.nhs.uk</w:t>
        </w:r>
      </w:hyperlink>
      <w:r w:rsidRPr="00595A8C">
        <w:rPr>
          <w:rFonts w:ascii="Arial" w:eastAsia="Times New Roman" w:hAnsi="Arial" w:cs="Arial"/>
          <w:kern w:val="0"/>
          <w:lang w:eastAsia="en-GB"/>
          <w14:ligatures w14:val="none"/>
        </w:rPr>
        <w:t xml:space="preserve"> (Accessed: 16 March 2026).</w:t>
      </w:r>
    </w:p>
    <w:p w14:paraId="02EBD93B"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Northouse, P.G. (2021) </w:t>
      </w:r>
      <w:r w:rsidRPr="00595A8C">
        <w:rPr>
          <w:rFonts w:ascii="Arial" w:eastAsia="Times New Roman" w:hAnsi="Arial" w:cs="Arial"/>
          <w:i/>
          <w:iCs/>
          <w:kern w:val="0"/>
          <w:lang w:eastAsia="en-GB"/>
          <w14:ligatures w14:val="none"/>
        </w:rPr>
        <w:t>Leadership: Theory and practice</w:t>
      </w:r>
      <w:r w:rsidRPr="00595A8C">
        <w:rPr>
          <w:rFonts w:ascii="Arial" w:eastAsia="Times New Roman" w:hAnsi="Arial" w:cs="Arial"/>
          <w:kern w:val="0"/>
          <w:lang w:eastAsia="en-GB"/>
          <w14:ligatures w14:val="none"/>
        </w:rPr>
        <w:t xml:space="preserve">. 9th </w:t>
      </w:r>
      <w:proofErr w:type="spellStart"/>
      <w:r w:rsidRPr="00595A8C">
        <w:rPr>
          <w:rFonts w:ascii="Arial" w:eastAsia="Times New Roman" w:hAnsi="Arial" w:cs="Arial"/>
          <w:kern w:val="0"/>
          <w:lang w:eastAsia="en-GB"/>
          <w14:ligatures w14:val="none"/>
        </w:rPr>
        <w:t>edn</w:t>
      </w:r>
      <w:proofErr w:type="spellEnd"/>
      <w:r w:rsidRPr="00595A8C">
        <w:rPr>
          <w:rFonts w:ascii="Arial" w:eastAsia="Times New Roman" w:hAnsi="Arial" w:cs="Arial"/>
          <w:kern w:val="0"/>
          <w:lang w:eastAsia="en-GB"/>
          <w14:ligatures w14:val="none"/>
        </w:rPr>
        <w:t>. Thousand Oaks, CA: Sage.</w:t>
      </w:r>
    </w:p>
    <w:p w14:paraId="2CF963A8"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Nuffield Trust (2022) </w:t>
      </w:r>
      <w:r w:rsidRPr="00595A8C">
        <w:rPr>
          <w:rFonts w:ascii="Arial" w:eastAsia="Times New Roman" w:hAnsi="Arial" w:cs="Arial"/>
          <w:i/>
          <w:iCs/>
          <w:kern w:val="0"/>
          <w:lang w:eastAsia="en-GB"/>
          <w14:ligatures w14:val="none"/>
        </w:rPr>
        <w:t>Using patient feedback to improve care</w:t>
      </w:r>
      <w:r w:rsidRPr="00595A8C">
        <w:rPr>
          <w:rFonts w:ascii="Arial" w:eastAsia="Times New Roman" w:hAnsi="Arial" w:cs="Arial"/>
          <w:kern w:val="0"/>
          <w:lang w:eastAsia="en-GB"/>
          <w14:ligatures w14:val="none"/>
        </w:rPr>
        <w:t xml:space="preserve">. London: Nuffield Trust. Available at: </w:t>
      </w:r>
      <w:hyperlink r:id="rId19" w:tgtFrame="_new" w:history="1">
        <w:r w:rsidRPr="00595A8C">
          <w:rPr>
            <w:rFonts w:ascii="Arial" w:eastAsia="Times New Roman" w:hAnsi="Arial" w:cs="Arial"/>
            <w:color w:val="0000FF"/>
            <w:kern w:val="0"/>
            <w:u w:val="single"/>
            <w:lang w:eastAsia="en-GB"/>
            <w14:ligatures w14:val="none"/>
          </w:rPr>
          <w:t>https://www.nuffieldtrust.org.uk</w:t>
        </w:r>
      </w:hyperlink>
      <w:r w:rsidRPr="00595A8C">
        <w:rPr>
          <w:rFonts w:ascii="Arial" w:eastAsia="Times New Roman" w:hAnsi="Arial" w:cs="Arial"/>
          <w:kern w:val="0"/>
          <w:lang w:eastAsia="en-GB"/>
          <w14:ligatures w14:val="none"/>
        </w:rPr>
        <w:t xml:space="preserve"> (Accessed: 16 April 2026).</w:t>
      </w:r>
    </w:p>
    <w:p w14:paraId="7670F8D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OECD (2017) </w:t>
      </w:r>
      <w:r w:rsidRPr="00595A8C">
        <w:rPr>
          <w:rFonts w:ascii="Arial" w:eastAsia="Times New Roman" w:hAnsi="Arial" w:cs="Arial"/>
          <w:i/>
          <w:iCs/>
          <w:kern w:val="0"/>
          <w:lang w:eastAsia="en-GB"/>
          <w14:ligatures w14:val="none"/>
        </w:rPr>
        <w:t>The economics of patient safety</w:t>
      </w:r>
      <w:r w:rsidRPr="00595A8C">
        <w:rPr>
          <w:rFonts w:ascii="Arial" w:eastAsia="Times New Roman" w:hAnsi="Arial" w:cs="Arial"/>
          <w:kern w:val="0"/>
          <w:lang w:eastAsia="en-GB"/>
          <w14:ligatures w14:val="none"/>
        </w:rPr>
        <w:t>. Paris: OECD Publishing.</w:t>
      </w:r>
    </w:p>
    <w:p w14:paraId="6707A55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OECD (2019) </w:t>
      </w:r>
      <w:r w:rsidRPr="00595A8C">
        <w:rPr>
          <w:rFonts w:ascii="Arial" w:eastAsia="Times New Roman" w:hAnsi="Arial" w:cs="Arial"/>
          <w:i/>
          <w:iCs/>
          <w:kern w:val="0"/>
          <w:lang w:eastAsia="en-GB"/>
          <w14:ligatures w14:val="none"/>
        </w:rPr>
        <w:t>Health at a glance</w:t>
      </w:r>
      <w:r w:rsidRPr="00595A8C">
        <w:rPr>
          <w:rFonts w:ascii="Arial" w:eastAsia="Times New Roman" w:hAnsi="Arial" w:cs="Arial"/>
          <w:kern w:val="0"/>
          <w:lang w:eastAsia="en-GB"/>
          <w14:ligatures w14:val="none"/>
        </w:rPr>
        <w:t>. Paris: OECD Publishing.</w:t>
      </w:r>
    </w:p>
    <w:p w14:paraId="2B5F45BD"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Reason, J. (</w:t>
      </w:r>
      <w:proofErr w:type="gramStart"/>
      <w:r w:rsidRPr="00595A8C">
        <w:rPr>
          <w:rFonts w:ascii="Arial" w:eastAsia="Times New Roman" w:hAnsi="Arial" w:cs="Arial"/>
          <w:kern w:val="0"/>
          <w:lang w:eastAsia="en-GB"/>
          <w14:ligatures w14:val="none"/>
        </w:rPr>
        <w:t>2000</w:t>
      </w:r>
      <w:proofErr w:type="gramEnd"/>
      <w:r w:rsidRPr="00595A8C">
        <w:rPr>
          <w:rFonts w:ascii="Arial" w:eastAsia="Times New Roman" w:hAnsi="Arial" w:cs="Arial"/>
          <w:kern w:val="0"/>
          <w:lang w:eastAsia="en-GB"/>
          <w14:ligatures w14:val="none"/>
        </w:rPr>
        <w:t xml:space="preserve">) ‘Human error: Models and management’, </w:t>
      </w:r>
      <w:r w:rsidRPr="00595A8C">
        <w:rPr>
          <w:rFonts w:ascii="Arial" w:eastAsia="Times New Roman" w:hAnsi="Arial" w:cs="Arial"/>
          <w:i/>
          <w:iCs/>
          <w:kern w:val="0"/>
          <w:lang w:eastAsia="en-GB"/>
          <w14:ligatures w14:val="none"/>
        </w:rPr>
        <w:t>BMJ</w:t>
      </w:r>
      <w:r w:rsidRPr="00595A8C">
        <w:rPr>
          <w:rFonts w:ascii="Arial" w:eastAsia="Times New Roman" w:hAnsi="Arial" w:cs="Arial"/>
          <w:kern w:val="0"/>
          <w:lang w:eastAsia="en-GB"/>
          <w14:ligatures w14:val="none"/>
        </w:rPr>
        <w:t>, 320(7237), pp. 768–770.</w:t>
      </w:r>
    </w:p>
    <w:p w14:paraId="0103278D"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Saltman, R.B., </w:t>
      </w:r>
      <w:proofErr w:type="spellStart"/>
      <w:r w:rsidRPr="00595A8C">
        <w:rPr>
          <w:rFonts w:ascii="Arial" w:eastAsia="Times New Roman" w:hAnsi="Arial" w:cs="Arial"/>
          <w:kern w:val="0"/>
          <w:lang w:eastAsia="en-GB"/>
          <w14:ligatures w14:val="none"/>
        </w:rPr>
        <w:t>Bankauskaite</w:t>
      </w:r>
      <w:proofErr w:type="spellEnd"/>
      <w:r w:rsidRPr="00595A8C">
        <w:rPr>
          <w:rFonts w:ascii="Arial" w:eastAsia="Times New Roman" w:hAnsi="Arial" w:cs="Arial"/>
          <w:kern w:val="0"/>
          <w:lang w:eastAsia="en-GB"/>
          <w14:ligatures w14:val="none"/>
        </w:rPr>
        <w:t xml:space="preserve">, V. and </w:t>
      </w:r>
      <w:proofErr w:type="spellStart"/>
      <w:r w:rsidRPr="00595A8C">
        <w:rPr>
          <w:rFonts w:ascii="Arial" w:eastAsia="Times New Roman" w:hAnsi="Arial" w:cs="Arial"/>
          <w:kern w:val="0"/>
          <w:lang w:eastAsia="en-GB"/>
          <w14:ligatures w14:val="none"/>
        </w:rPr>
        <w:t>Vrangbaek</w:t>
      </w:r>
      <w:proofErr w:type="spellEnd"/>
      <w:r w:rsidRPr="00595A8C">
        <w:rPr>
          <w:rFonts w:ascii="Arial" w:eastAsia="Times New Roman" w:hAnsi="Arial" w:cs="Arial"/>
          <w:kern w:val="0"/>
          <w:lang w:eastAsia="en-GB"/>
          <w14:ligatures w14:val="none"/>
        </w:rPr>
        <w:t xml:space="preserve">, K. (2007) </w:t>
      </w:r>
      <w:r w:rsidRPr="00595A8C">
        <w:rPr>
          <w:rFonts w:ascii="Arial" w:eastAsia="Times New Roman" w:hAnsi="Arial" w:cs="Arial"/>
          <w:i/>
          <w:iCs/>
          <w:kern w:val="0"/>
          <w:lang w:eastAsia="en-GB"/>
          <w14:ligatures w14:val="none"/>
        </w:rPr>
        <w:t>Decentralization in health care</w:t>
      </w:r>
      <w:r w:rsidRPr="00595A8C">
        <w:rPr>
          <w:rFonts w:ascii="Arial" w:eastAsia="Times New Roman" w:hAnsi="Arial" w:cs="Arial"/>
          <w:kern w:val="0"/>
          <w:lang w:eastAsia="en-GB"/>
          <w14:ligatures w14:val="none"/>
        </w:rPr>
        <w:t>. Maidenhead: Open University Press.</w:t>
      </w:r>
    </w:p>
    <w:p w14:paraId="7110EF10"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Santos, C., Brown, L. and Patel, R. (2025) </w:t>
      </w:r>
      <w:r w:rsidRPr="00595A8C">
        <w:rPr>
          <w:rFonts w:ascii="Arial" w:eastAsia="Times New Roman" w:hAnsi="Arial" w:cs="Arial"/>
          <w:i/>
          <w:iCs/>
          <w:kern w:val="0"/>
          <w:lang w:eastAsia="en-GB"/>
          <w14:ligatures w14:val="none"/>
        </w:rPr>
        <w:t>Incident reporting and patient safety improvement</w:t>
      </w:r>
      <w:r w:rsidRPr="00595A8C">
        <w:rPr>
          <w:rFonts w:ascii="Arial" w:eastAsia="Times New Roman" w:hAnsi="Arial" w:cs="Arial"/>
          <w:kern w:val="0"/>
          <w:lang w:eastAsia="en-GB"/>
          <w14:ligatures w14:val="none"/>
        </w:rPr>
        <w:t>. London: Healthcare Improvement Press.</w:t>
      </w:r>
    </w:p>
    <w:p w14:paraId="31B0246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Senge, P.M. (2006) </w:t>
      </w:r>
      <w:r w:rsidRPr="00595A8C">
        <w:rPr>
          <w:rFonts w:ascii="Arial" w:eastAsia="Times New Roman" w:hAnsi="Arial" w:cs="Arial"/>
          <w:i/>
          <w:iCs/>
          <w:kern w:val="0"/>
          <w:lang w:eastAsia="en-GB"/>
          <w14:ligatures w14:val="none"/>
        </w:rPr>
        <w:t>The fifth discipline</w:t>
      </w:r>
      <w:r w:rsidRPr="00595A8C">
        <w:rPr>
          <w:rFonts w:ascii="Arial" w:eastAsia="Times New Roman" w:hAnsi="Arial" w:cs="Arial"/>
          <w:kern w:val="0"/>
          <w:lang w:eastAsia="en-GB"/>
          <w14:ligatures w14:val="none"/>
        </w:rPr>
        <w:t>. New York: Doubleday.</w:t>
      </w:r>
    </w:p>
    <w:p w14:paraId="4D71AF3A"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lastRenderedPageBreak/>
        <w:t xml:space="preserve">Skills for Care (2022) </w:t>
      </w:r>
      <w:r w:rsidRPr="00595A8C">
        <w:rPr>
          <w:rFonts w:ascii="Arial" w:eastAsia="Times New Roman" w:hAnsi="Arial" w:cs="Arial"/>
          <w:i/>
          <w:iCs/>
          <w:kern w:val="0"/>
          <w:lang w:eastAsia="en-GB"/>
          <w14:ligatures w14:val="none"/>
        </w:rPr>
        <w:t>Learning and development in adult social care</w:t>
      </w:r>
      <w:r w:rsidRPr="00595A8C">
        <w:rPr>
          <w:rFonts w:ascii="Arial" w:eastAsia="Times New Roman" w:hAnsi="Arial" w:cs="Arial"/>
          <w:kern w:val="0"/>
          <w:lang w:eastAsia="en-GB"/>
          <w14:ligatures w14:val="none"/>
        </w:rPr>
        <w:t xml:space="preserve">. Available at: </w:t>
      </w:r>
      <w:hyperlink r:id="rId20" w:tgtFrame="_new" w:history="1">
        <w:r w:rsidRPr="00595A8C">
          <w:rPr>
            <w:rFonts w:ascii="Arial" w:eastAsia="Times New Roman" w:hAnsi="Arial" w:cs="Arial"/>
            <w:color w:val="0000FF"/>
            <w:kern w:val="0"/>
            <w:u w:val="single"/>
            <w:lang w:eastAsia="en-GB"/>
            <w14:ligatures w14:val="none"/>
          </w:rPr>
          <w:t>https://www.skillsforcare.org.uk</w:t>
        </w:r>
      </w:hyperlink>
      <w:r w:rsidRPr="00595A8C">
        <w:rPr>
          <w:rFonts w:ascii="Arial" w:eastAsia="Times New Roman" w:hAnsi="Arial" w:cs="Arial"/>
          <w:kern w:val="0"/>
          <w:lang w:eastAsia="en-GB"/>
          <w14:ligatures w14:val="none"/>
        </w:rPr>
        <w:t xml:space="preserve"> (Accessed: 6 March 2026).</w:t>
      </w:r>
    </w:p>
    <w:p w14:paraId="1D5C312B"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Smith, P.C., Anell, A., Busse, R. et al. (2012) </w:t>
      </w:r>
      <w:r w:rsidRPr="00595A8C">
        <w:rPr>
          <w:rFonts w:ascii="Arial" w:eastAsia="Times New Roman" w:hAnsi="Arial" w:cs="Arial"/>
          <w:i/>
          <w:iCs/>
          <w:kern w:val="0"/>
          <w:lang w:eastAsia="en-GB"/>
          <w14:ligatures w14:val="none"/>
        </w:rPr>
        <w:t>Leadership and governance in healthcare</w:t>
      </w:r>
      <w:r w:rsidRPr="00595A8C">
        <w:rPr>
          <w:rFonts w:ascii="Arial" w:eastAsia="Times New Roman" w:hAnsi="Arial" w:cs="Arial"/>
          <w:kern w:val="0"/>
          <w:lang w:eastAsia="en-GB"/>
          <w14:ligatures w14:val="none"/>
        </w:rPr>
        <w:t>. Cambridge: Cambridge University Press.</w:t>
      </w:r>
    </w:p>
    <w:p w14:paraId="74D70414"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The Joint Commission (2015) </w:t>
      </w:r>
      <w:r w:rsidRPr="00595A8C">
        <w:rPr>
          <w:rFonts w:ascii="Arial" w:eastAsia="Times New Roman" w:hAnsi="Arial" w:cs="Arial"/>
          <w:i/>
          <w:iCs/>
          <w:kern w:val="0"/>
          <w:lang w:eastAsia="en-GB"/>
          <w14:ligatures w14:val="none"/>
        </w:rPr>
        <w:t>Sentinel event data root causes</w:t>
      </w:r>
      <w:r w:rsidRPr="00595A8C">
        <w:rPr>
          <w:rFonts w:ascii="Arial" w:eastAsia="Times New Roman" w:hAnsi="Arial" w:cs="Arial"/>
          <w:kern w:val="0"/>
          <w:lang w:eastAsia="en-GB"/>
          <w14:ligatures w14:val="none"/>
        </w:rPr>
        <w:t xml:space="preserve">. Available at: </w:t>
      </w:r>
      <w:hyperlink r:id="rId21" w:tgtFrame="_new" w:history="1">
        <w:r w:rsidRPr="00595A8C">
          <w:rPr>
            <w:rFonts w:ascii="Arial" w:eastAsia="Times New Roman" w:hAnsi="Arial" w:cs="Arial"/>
            <w:color w:val="0000FF"/>
            <w:kern w:val="0"/>
            <w:u w:val="single"/>
            <w:lang w:eastAsia="en-GB"/>
            <w14:ligatures w14:val="none"/>
          </w:rPr>
          <w:t>https://www.jointcommission.org</w:t>
        </w:r>
      </w:hyperlink>
      <w:r w:rsidRPr="00595A8C">
        <w:rPr>
          <w:rFonts w:ascii="Arial" w:eastAsia="Times New Roman" w:hAnsi="Arial" w:cs="Arial"/>
          <w:kern w:val="0"/>
          <w:lang w:eastAsia="en-GB"/>
          <w14:ligatures w14:val="none"/>
        </w:rPr>
        <w:t xml:space="preserve"> (Accessed: 9 March 2026).</w:t>
      </w:r>
    </w:p>
    <w:p w14:paraId="77C45BB6"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Volkow, N.D. and McLellan, T.A. (2016) ‘Opioid abuse in chronic pain’, </w:t>
      </w:r>
      <w:r w:rsidRPr="00595A8C">
        <w:rPr>
          <w:rFonts w:ascii="Arial" w:eastAsia="Times New Roman" w:hAnsi="Arial" w:cs="Arial"/>
          <w:i/>
          <w:iCs/>
          <w:kern w:val="0"/>
          <w:lang w:eastAsia="en-GB"/>
          <w14:ligatures w14:val="none"/>
        </w:rPr>
        <w:t>New England Journal of Medicine</w:t>
      </w:r>
      <w:r w:rsidRPr="00595A8C">
        <w:rPr>
          <w:rFonts w:ascii="Arial" w:eastAsia="Times New Roman" w:hAnsi="Arial" w:cs="Arial"/>
          <w:kern w:val="0"/>
          <w:lang w:eastAsia="en-GB"/>
          <w14:ligatures w14:val="none"/>
        </w:rPr>
        <w:t>, 374(13), pp. 1253–1263.</w:t>
      </w:r>
    </w:p>
    <w:p w14:paraId="42FF5D69"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West, M., Eckert, R., Steward, </w:t>
      </w:r>
      <w:proofErr w:type="gramStart"/>
      <w:r w:rsidRPr="00595A8C">
        <w:rPr>
          <w:rFonts w:ascii="Arial" w:eastAsia="Times New Roman" w:hAnsi="Arial" w:cs="Arial"/>
          <w:kern w:val="0"/>
          <w:lang w:eastAsia="en-GB"/>
          <w14:ligatures w14:val="none"/>
        </w:rPr>
        <w:t>K.</w:t>
      </w:r>
      <w:proofErr w:type="gramEnd"/>
      <w:r w:rsidRPr="00595A8C">
        <w:rPr>
          <w:rFonts w:ascii="Arial" w:eastAsia="Times New Roman" w:hAnsi="Arial" w:cs="Arial"/>
          <w:kern w:val="0"/>
          <w:lang w:eastAsia="en-GB"/>
          <w14:ligatures w14:val="none"/>
        </w:rPr>
        <w:t xml:space="preserve"> and Pasmore, B. (2015) </w:t>
      </w:r>
      <w:r w:rsidRPr="00595A8C">
        <w:rPr>
          <w:rFonts w:ascii="Arial" w:eastAsia="Times New Roman" w:hAnsi="Arial" w:cs="Arial"/>
          <w:i/>
          <w:iCs/>
          <w:kern w:val="0"/>
          <w:lang w:eastAsia="en-GB"/>
          <w14:ligatures w14:val="none"/>
        </w:rPr>
        <w:t>Developing collective leadership for healthcare</w:t>
      </w:r>
      <w:r w:rsidRPr="00595A8C">
        <w:rPr>
          <w:rFonts w:ascii="Arial" w:eastAsia="Times New Roman" w:hAnsi="Arial" w:cs="Arial"/>
          <w:kern w:val="0"/>
          <w:lang w:eastAsia="en-GB"/>
          <w14:ligatures w14:val="none"/>
        </w:rPr>
        <w:t>. London: The King’s Fund.</w:t>
      </w:r>
    </w:p>
    <w:p w14:paraId="59AF6E91"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Wimmer, B.C., Cross, A.J., Jokanovic, N. et al. (2017) ‘Clinical outcomes associated with polypharmacy’, </w:t>
      </w:r>
      <w:r w:rsidRPr="00595A8C">
        <w:rPr>
          <w:rFonts w:ascii="Arial" w:eastAsia="Times New Roman" w:hAnsi="Arial" w:cs="Arial"/>
          <w:i/>
          <w:iCs/>
          <w:kern w:val="0"/>
          <w:lang w:eastAsia="en-GB"/>
          <w14:ligatures w14:val="none"/>
        </w:rPr>
        <w:t>Journal of the American Geriatrics Society</w:t>
      </w:r>
      <w:r w:rsidRPr="00595A8C">
        <w:rPr>
          <w:rFonts w:ascii="Arial" w:eastAsia="Times New Roman" w:hAnsi="Arial" w:cs="Arial"/>
          <w:kern w:val="0"/>
          <w:lang w:eastAsia="en-GB"/>
          <w14:ligatures w14:val="none"/>
        </w:rPr>
        <w:t>, 65(5), pp. 989–996.</w:t>
      </w:r>
    </w:p>
    <w:p w14:paraId="3A31A052"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World Health Organization (WHO) (2017) </w:t>
      </w:r>
      <w:r w:rsidRPr="00595A8C">
        <w:rPr>
          <w:rFonts w:ascii="Arial" w:eastAsia="Times New Roman" w:hAnsi="Arial" w:cs="Arial"/>
          <w:i/>
          <w:iCs/>
          <w:kern w:val="0"/>
          <w:lang w:eastAsia="en-GB"/>
          <w14:ligatures w14:val="none"/>
        </w:rPr>
        <w:t>Medication without harm</w:t>
      </w:r>
      <w:r w:rsidRPr="00595A8C">
        <w:rPr>
          <w:rFonts w:ascii="Arial" w:eastAsia="Times New Roman" w:hAnsi="Arial" w:cs="Arial"/>
          <w:kern w:val="0"/>
          <w:lang w:eastAsia="en-GB"/>
          <w14:ligatures w14:val="none"/>
        </w:rPr>
        <w:t xml:space="preserve">. Geneva: WHO. Available at: </w:t>
      </w:r>
      <w:hyperlink r:id="rId22" w:tgtFrame="_new" w:history="1">
        <w:r w:rsidRPr="00595A8C">
          <w:rPr>
            <w:rFonts w:ascii="Arial" w:eastAsia="Times New Roman" w:hAnsi="Arial" w:cs="Arial"/>
            <w:color w:val="0000FF"/>
            <w:kern w:val="0"/>
            <w:u w:val="single"/>
            <w:lang w:eastAsia="en-GB"/>
            <w14:ligatures w14:val="none"/>
          </w:rPr>
          <w:t>https://www.who.int</w:t>
        </w:r>
      </w:hyperlink>
      <w:r w:rsidRPr="00595A8C">
        <w:rPr>
          <w:rFonts w:ascii="Arial" w:eastAsia="Times New Roman" w:hAnsi="Arial" w:cs="Arial"/>
          <w:kern w:val="0"/>
          <w:lang w:eastAsia="en-GB"/>
          <w14:ligatures w14:val="none"/>
        </w:rPr>
        <w:t xml:space="preserve"> (Accessed: 8 March 2026).</w:t>
      </w:r>
    </w:p>
    <w:p w14:paraId="1CE035FE" w14:textId="77777777" w:rsidR="00595A8C" w:rsidRPr="00595A8C" w:rsidRDefault="00595A8C" w:rsidP="00595A8C">
      <w:pPr>
        <w:spacing w:before="100" w:beforeAutospacing="1" w:after="100" w:afterAutospacing="1" w:line="360" w:lineRule="auto"/>
        <w:jc w:val="both"/>
        <w:rPr>
          <w:rFonts w:ascii="Arial" w:eastAsia="Times New Roman" w:hAnsi="Arial" w:cs="Arial"/>
          <w:kern w:val="0"/>
          <w:lang w:eastAsia="en-GB"/>
          <w14:ligatures w14:val="none"/>
        </w:rPr>
      </w:pPr>
      <w:r w:rsidRPr="00595A8C">
        <w:rPr>
          <w:rFonts w:ascii="Arial" w:eastAsia="Times New Roman" w:hAnsi="Arial" w:cs="Arial"/>
          <w:kern w:val="0"/>
          <w:lang w:eastAsia="en-GB"/>
          <w14:ligatures w14:val="none"/>
        </w:rPr>
        <w:t xml:space="preserve">World Health Organization (WHO) (2021) </w:t>
      </w:r>
      <w:r w:rsidRPr="00595A8C">
        <w:rPr>
          <w:rFonts w:ascii="Arial" w:eastAsia="Times New Roman" w:hAnsi="Arial" w:cs="Arial"/>
          <w:i/>
          <w:iCs/>
          <w:kern w:val="0"/>
          <w:lang w:eastAsia="en-GB"/>
          <w14:ligatures w14:val="none"/>
        </w:rPr>
        <w:t>Patient safety and quality improvement: Essential principles</w:t>
      </w:r>
      <w:r w:rsidRPr="00595A8C">
        <w:rPr>
          <w:rFonts w:ascii="Arial" w:eastAsia="Times New Roman" w:hAnsi="Arial" w:cs="Arial"/>
          <w:kern w:val="0"/>
          <w:lang w:eastAsia="en-GB"/>
          <w14:ligatures w14:val="none"/>
        </w:rPr>
        <w:t xml:space="preserve">. Geneva: WHO. Available at: </w:t>
      </w:r>
      <w:hyperlink r:id="rId23" w:tgtFrame="_new" w:history="1">
        <w:r w:rsidRPr="00595A8C">
          <w:rPr>
            <w:rFonts w:ascii="Arial" w:eastAsia="Times New Roman" w:hAnsi="Arial" w:cs="Arial"/>
            <w:color w:val="0000FF"/>
            <w:kern w:val="0"/>
            <w:u w:val="single"/>
            <w:lang w:eastAsia="en-GB"/>
            <w14:ligatures w14:val="none"/>
          </w:rPr>
          <w:t>https://www.who.int</w:t>
        </w:r>
      </w:hyperlink>
      <w:r w:rsidRPr="00595A8C">
        <w:rPr>
          <w:rFonts w:ascii="Arial" w:eastAsia="Times New Roman" w:hAnsi="Arial" w:cs="Arial"/>
          <w:kern w:val="0"/>
          <w:lang w:eastAsia="en-GB"/>
          <w14:ligatures w14:val="none"/>
        </w:rPr>
        <w:t xml:space="preserve"> (Accessed: 9 March 2026).</w:t>
      </w:r>
    </w:p>
    <w:p w14:paraId="6E051EBC" w14:textId="77777777" w:rsidR="00595A8C" w:rsidRPr="00595A8C" w:rsidRDefault="00595A8C" w:rsidP="00595A8C">
      <w:pPr>
        <w:spacing w:line="360" w:lineRule="auto"/>
        <w:jc w:val="both"/>
        <w:rPr>
          <w:rFonts w:ascii="Arial" w:eastAsia="Times New Roman" w:hAnsi="Arial" w:cs="Arial"/>
          <w:lang w:eastAsia="en-GB"/>
        </w:rPr>
      </w:pPr>
    </w:p>
    <w:sectPr w:rsidR="00595A8C" w:rsidRPr="00595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31353"/>
    <w:multiLevelType w:val="multilevel"/>
    <w:tmpl w:val="2BF8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31711"/>
    <w:multiLevelType w:val="multilevel"/>
    <w:tmpl w:val="13922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82478"/>
    <w:multiLevelType w:val="multilevel"/>
    <w:tmpl w:val="9C52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FF458F"/>
    <w:multiLevelType w:val="multilevel"/>
    <w:tmpl w:val="A2C2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955EA"/>
    <w:multiLevelType w:val="multilevel"/>
    <w:tmpl w:val="80F6E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61F87"/>
    <w:multiLevelType w:val="multilevel"/>
    <w:tmpl w:val="5F2A5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1A17B0"/>
    <w:multiLevelType w:val="multilevel"/>
    <w:tmpl w:val="DA78C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693B7A"/>
    <w:multiLevelType w:val="multilevel"/>
    <w:tmpl w:val="E3C48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27432D"/>
    <w:multiLevelType w:val="multilevel"/>
    <w:tmpl w:val="D2BE4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841A1C"/>
    <w:multiLevelType w:val="multilevel"/>
    <w:tmpl w:val="D086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C6070B"/>
    <w:multiLevelType w:val="multilevel"/>
    <w:tmpl w:val="A930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137F40"/>
    <w:multiLevelType w:val="multilevel"/>
    <w:tmpl w:val="35288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A81EBF"/>
    <w:multiLevelType w:val="multilevel"/>
    <w:tmpl w:val="982C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8555BC"/>
    <w:multiLevelType w:val="multilevel"/>
    <w:tmpl w:val="874A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905C35"/>
    <w:multiLevelType w:val="hybridMultilevel"/>
    <w:tmpl w:val="5FE681B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E22CBB"/>
    <w:multiLevelType w:val="multilevel"/>
    <w:tmpl w:val="7332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E827AD"/>
    <w:multiLevelType w:val="multilevel"/>
    <w:tmpl w:val="AFEEE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10CE6"/>
    <w:multiLevelType w:val="hybridMultilevel"/>
    <w:tmpl w:val="5D76F16A"/>
    <w:lvl w:ilvl="0" w:tplc="D9D079E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077978"/>
    <w:multiLevelType w:val="hybridMultilevel"/>
    <w:tmpl w:val="6BE0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3262F8"/>
    <w:multiLevelType w:val="multilevel"/>
    <w:tmpl w:val="1FEE4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A371C6"/>
    <w:multiLevelType w:val="multilevel"/>
    <w:tmpl w:val="F6BE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C94540"/>
    <w:multiLevelType w:val="hybridMultilevel"/>
    <w:tmpl w:val="F9781F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BE6076"/>
    <w:multiLevelType w:val="multilevel"/>
    <w:tmpl w:val="D5B8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12679F"/>
    <w:multiLevelType w:val="multilevel"/>
    <w:tmpl w:val="213E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4F71AD"/>
    <w:multiLevelType w:val="multilevel"/>
    <w:tmpl w:val="779E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3E609B"/>
    <w:multiLevelType w:val="multilevel"/>
    <w:tmpl w:val="BF92D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037842"/>
    <w:multiLevelType w:val="multilevel"/>
    <w:tmpl w:val="9538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3C2FE1"/>
    <w:multiLevelType w:val="hybridMultilevel"/>
    <w:tmpl w:val="0F940C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E05338"/>
    <w:multiLevelType w:val="multilevel"/>
    <w:tmpl w:val="C3761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C16E2D"/>
    <w:multiLevelType w:val="hybridMultilevel"/>
    <w:tmpl w:val="052E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5F79BA"/>
    <w:multiLevelType w:val="multilevel"/>
    <w:tmpl w:val="537E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DF784B"/>
    <w:multiLevelType w:val="multilevel"/>
    <w:tmpl w:val="60DA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5245B1"/>
    <w:multiLevelType w:val="multilevel"/>
    <w:tmpl w:val="C85E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460D68"/>
    <w:multiLevelType w:val="hybridMultilevel"/>
    <w:tmpl w:val="DDFA7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EE0811"/>
    <w:multiLevelType w:val="multilevel"/>
    <w:tmpl w:val="3938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755D60"/>
    <w:multiLevelType w:val="hybridMultilevel"/>
    <w:tmpl w:val="BFB8AC9A"/>
    <w:lvl w:ilvl="0" w:tplc="0809000B">
      <w:start w:val="1"/>
      <w:numFmt w:val="bullet"/>
      <w:lvlText w:val=""/>
      <w:lvlJc w:val="left"/>
      <w:pPr>
        <w:ind w:left="720" w:hanging="360"/>
      </w:pPr>
      <w:rPr>
        <w:rFonts w:ascii="Wingdings" w:hAnsi="Wingdings" w:hint="default"/>
      </w:rPr>
    </w:lvl>
    <w:lvl w:ilvl="1" w:tplc="3000BC3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F633F0"/>
    <w:multiLevelType w:val="multilevel"/>
    <w:tmpl w:val="8C42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3679C3"/>
    <w:multiLevelType w:val="hybridMultilevel"/>
    <w:tmpl w:val="E244D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EB14BE"/>
    <w:multiLevelType w:val="hybridMultilevel"/>
    <w:tmpl w:val="66B2244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78400377"/>
    <w:multiLevelType w:val="multilevel"/>
    <w:tmpl w:val="3A542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D83206"/>
    <w:multiLevelType w:val="hybridMultilevel"/>
    <w:tmpl w:val="A8266AA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E56583"/>
    <w:multiLevelType w:val="hybridMultilevel"/>
    <w:tmpl w:val="5D82C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5B1124"/>
    <w:multiLevelType w:val="multilevel"/>
    <w:tmpl w:val="AB00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4D345B"/>
    <w:multiLevelType w:val="hybridMultilevel"/>
    <w:tmpl w:val="C3A2AA64"/>
    <w:lvl w:ilvl="0" w:tplc="E53A80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010E8D"/>
    <w:multiLevelType w:val="multilevel"/>
    <w:tmpl w:val="E11E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2F77BC"/>
    <w:multiLevelType w:val="multilevel"/>
    <w:tmpl w:val="80BAC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9806469">
    <w:abstractNumId w:val="0"/>
  </w:num>
  <w:num w:numId="2" w16cid:durableId="663093347">
    <w:abstractNumId w:val="12"/>
  </w:num>
  <w:num w:numId="3" w16cid:durableId="1162814391">
    <w:abstractNumId w:val="1"/>
  </w:num>
  <w:num w:numId="4" w16cid:durableId="361832869">
    <w:abstractNumId w:val="23"/>
  </w:num>
  <w:num w:numId="5" w16cid:durableId="1812283440">
    <w:abstractNumId w:val="31"/>
  </w:num>
  <w:num w:numId="6" w16cid:durableId="1627155412">
    <w:abstractNumId w:val="11"/>
  </w:num>
  <w:num w:numId="7" w16cid:durableId="146359459">
    <w:abstractNumId w:val="39"/>
  </w:num>
  <w:num w:numId="8" w16cid:durableId="1610700505">
    <w:abstractNumId w:val="44"/>
  </w:num>
  <w:num w:numId="9" w16cid:durableId="1685665085">
    <w:abstractNumId w:val="42"/>
  </w:num>
  <w:num w:numId="10" w16cid:durableId="1617718209">
    <w:abstractNumId w:val="13"/>
  </w:num>
  <w:num w:numId="11" w16cid:durableId="1822848758">
    <w:abstractNumId w:val="6"/>
  </w:num>
  <w:num w:numId="12" w16cid:durableId="947735330">
    <w:abstractNumId w:val="3"/>
  </w:num>
  <w:num w:numId="13" w16cid:durableId="1403142817">
    <w:abstractNumId w:val="5"/>
  </w:num>
  <w:num w:numId="14" w16cid:durableId="1984237450">
    <w:abstractNumId w:val="26"/>
  </w:num>
  <w:num w:numId="15" w16cid:durableId="1009140688">
    <w:abstractNumId w:val="30"/>
  </w:num>
  <w:num w:numId="16" w16cid:durableId="504517508">
    <w:abstractNumId w:val="8"/>
  </w:num>
  <w:num w:numId="17" w16cid:durableId="1372153152">
    <w:abstractNumId w:val="19"/>
  </w:num>
  <w:num w:numId="18" w16cid:durableId="1812166293">
    <w:abstractNumId w:val="10"/>
  </w:num>
  <w:num w:numId="19" w16cid:durableId="2001033493">
    <w:abstractNumId w:val="4"/>
  </w:num>
  <w:num w:numId="20" w16cid:durableId="1266615630">
    <w:abstractNumId w:val="20"/>
  </w:num>
  <w:num w:numId="21" w16cid:durableId="1945991978">
    <w:abstractNumId w:val="16"/>
  </w:num>
  <w:num w:numId="22" w16cid:durableId="884411558">
    <w:abstractNumId w:val="24"/>
  </w:num>
  <w:num w:numId="23" w16cid:durableId="108551199">
    <w:abstractNumId w:val="36"/>
  </w:num>
  <w:num w:numId="24" w16cid:durableId="1936741435">
    <w:abstractNumId w:val="22"/>
  </w:num>
  <w:num w:numId="25" w16cid:durableId="342824772">
    <w:abstractNumId w:val="7"/>
  </w:num>
  <w:num w:numId="26" w16cid:durableId="273289520">
    <w:abstractNumId w:val="15"/>
  </w:num>
  <w:num w:numId="27" w16cid:durableId="215705756">
    <w:abstractNumId w:val="9"/>
  </w:num>
  <w:num w:numId="28" w16cid:durableId="222108976">
    <w:abstractNumId w:val="32"/>
  </w:num>
  <w:num w:numId="29" w16cid:durableId="726535734">
    <w:abstractNumId w:val="45"/>
  </w:num>
  <w:num w:numId="30" w16cid:durableId="2017151273">
    <w:abstractNumId w:val="34"/>
  </w:num>
  <w:num w:numId="31" w16cid:durableId="841892117">
    <w:abstractNumId w:val="41"/>
  </w:num>
  <w:num w:numId="32" w16cid:durableId="1253777027">
    <w:abstractNumId w:val="18"/>
  </w:num>
  <w:num w:numId="33" w16cid:durableId="364135624">
    <w:abstractNumId w:val="33"/>
  </w:num>
  <w:num w:numId="34" w16cid:durableId="1764640944">
    <w:abstractNumId w:val="29"/>
  </w:num>
  <w:num w:numId="35" w16cid:durableId="956761030">
    <w:abstractNumId w:val="37"/>
  </w:num>
  <w:num w:numId="36" w16cid:durableId="1828473031">
    <w:abstractNumId w:val="38"/>
  </w:num>
  <w:num w:numId="37" w16cid:durableId="512110632">
    <w:abstractNumId w:val="2"/>
  </w:num>
  <w:num w:numId="38" w16cid:durableId="359748275">
    <w:abstractNumId w:val="28"/>
  </w:num>
  <w:num w:numId="39" w16cid:durableId="769084440">
    <w:abstractNumId w:val="25"/>
  </w:num>
  <w:num w:numId="40" w16cid:durableId="87628964">
    <w:abstractNumId w:val="35"/>
  </w:num>
  <w:num w:numId="41" w16cid:durableId="550118738">
    <w:abstractNumId w:val="17"/>
  </w:num>
  <w:num w:numId="42" w16cid:durableId="1931280479">
    <w:abstractNumId w:val="27"/>
  </w:num>
  <w:num w:numId="43" w16cid:durableId="1860197414">
    <w:abstractNumId w:val="43"/>
  </w:num>
  <w:num w:numId="44" w16cid:durableId="1276861605">
    <w:abstractNumId w:val="40"/>
  </w:num>
  <w:num w:numId="45" w16cid:durableId="614873506">
    <w:abstractNumId w:val="14"/>
  </w:num>
  <w:num w:numId="46" w16cid:durableId="13468189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004"/>
    <w:rsid w:val="000B26C5"/>
    <w:rsid w:val="00145F02"/>
    <w:rsid w:val="00173C90"/>
    <w:rsid w:val="001B00CD"/>
    <w:rsid w:val="001C51EF"/>
    <w:rsid w:val="001C5D84"/>
    <w:rsid w:val="0025052F"/>
    <w:rsid w:val="002703FC"/>
    <w:rsid w:val="00284C54"/>
    <w:rsid w:val="002D1004"/>
    <w:rsid w:val="002E162F"/>
    <w:rsid w:val="00304905"/>
    <w:rsid w:val="00367017"/>
    <w:rsid w:val="00395DDF"/>
    <w:rsid w:val="003A0063"/>
    <w:rsid w:val="003A41A4"/>
    <w:rsid w:val="004023A7"/>
    <w:rsid w:val="00463B02"/>
    <w:rsid w:val="00470B80"/>
    <w:rsid w:val="00475667"/>
    <w:rsid w:val="004A4CEE"/>
    <w:rsid w:val="004A6CB9"/>
    <w:rsid w:val="004F6459"/>
    <w:rsid w:val="0051062F"/>
    <w:rsid w:val="005333B0"/>
    <w:rsid w:val="00595A8C"/>
    <w:rsid w:val="005D465F"/>
    <w:rsid w:val="006101FE"/>
    <w:rsid w:val="00687985"/>
    <w:rsid w:val="006A4EF6"/>
    <w:rsid w:val="006B1E94"/>
    <w:rsid w:val="006C3B51"/>
    <w:rsid w:val="006C54D8"/>
    <w:rsid w:val="006D60F2"/>
    <w:rsid w:val="007037D4"/>
    <w:rsid w:val="00735860"/>
    <w:rsid w:val="007D775D"/>
    <w:rsid w:val="00816625"/>
    <w:rsid w:val="0082594E"/>
    <w:rsid w:val="00861354"/>
    <w:rsid w:val="0087258F"/>
    <w:rsid w:val="009F3A00"/>
    <w:rsid w:val="00B048E3"/>
    <w:rsid w:val="00B06263"/>
    <w:rsid w:val="00B12DBF"/>
    <w:rsid w:val="00B23695"/>
    <w:rsid w:val="00BE6BC5"/>
    <w:rsid w:val="00C40C28"/>
    <w:rsid w:val="00C46381"/>
    <w:rsid w:val="00CE1A73"/>
    <w:rsid w:val="00D1702B"/>
    <w:rsid w:val="00D26365"/>
    <w:rsid w:val="00DA025A"/>
    <w:rsid w:val="00E55F00"/>
    <w:rsid w:val="00E61B16"/>
    <w:rsid w:val="00EA707D"/>
    <w:rsid w:val="00EC1C15"/>
    <w:rsid w:val="00EE46C5"/>
    <w:rsid w:val="00F00724"/>
    <w:rsid w:val="00F053BC"/>
    <w:rsid w:val="00F11A28"/>
    <w:rsid w:val="00F423EA"/>
    <w:rsid w:val="00F50ACB"/>
    <w:rsid w:val="00FC2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6F7C1"/>
  <w15:chartTrackingRefBased/>
  <w15:docId w15:val="{07BE8230-C389-4ACF-AEB1-11B3C008B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0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10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0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0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0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0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0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0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0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0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10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0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0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0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0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0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0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004"/>
    <w:rPr>
      <w:rFonts w:eastAsiaTheme="majorEastAsia" w:cstheme="majorBidi"/>
      <w:color w:val="272727" w:themeColor="text1" w:themeTint="D8"/>
    </w:rPr>
  </w:style>
  <w:style w:type="paragraph" w:styleId="Title">
    <w:name w:val="Title"/>
    <w:basedOn w:val="Normal"/>
    <w:next w:val="Normal"/>
    <w:link w:val="TitleChar"/>
    <w:uiPriority w:val="10"/>
    <w:qFormat/>
    <w:rsid w:val="002D10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0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0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0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004"/>
    <w:pPr>
      <w:spacing w:before="160"/>
      <w:jc w:val="center"/>
    </w:pPr>
    <w:rPr>
      <w:i/>
      <w:iCs/>
      <w:color w:val="404040" w:themeColor="text1" w:themeTint="BF"/>
    </w:rPr>
  </w:style>
  <w:style w:type="character" w:customStyle="1" w:styleId="QuoteChar">
    <w:name w:val="Quote Char"/>
    <w:basedOn w:val="DefaultParagraphFont"/>
    <w:link w:val="Quote"/>
    <w:uiPriority w:val="29"/>
    <w:rsid w:val="002D1004"/>
    <w:rPr>
      <w:i/>
      <w:iCs/>
      <w:color w:val="404040" w:themeColor="text1" w:themeTint="BF"/>
    </w:rPr>
  </w:style>
  <w:style w:type="paragraph" w:styleId="ListParagraph">
    <w:name w:val="List Paragraph"/>
    <w:basedOn w:val="Normal"/>
    <w:uiPriority w:val="34"/>
    <w:qFormat/>
    <w:rsid w:val="002D1004"/>
    <w:pPr>
      <w:ind w:left="720"/>
      <w:contextualSpacing/>
    </w:pPr>
  </w:style>
  <w:style w:type="character" w:styleId="IntenseEmphasis">
    <w:name w:val="Intense Emphasis"/>
    <w:basedOn w:val="DefaultParagraphFont"/>
    <w:uiPriority w:val="21"/>
    <w:qFormat/>
    <w:rsid w:val="002D1004"/>
    <w:rPr>
      <w:i/>
      <w:iCs/>
      <w:color w:val="0F4761" w:themeColor="accent1" w:themeShade="BF"/>
    </w:rPr>
  </w:style>
  <w:style w:type="paragraph" w:styleId="IntenseQuote">
    <w:name w:val="Intense Quote"/>
    <w:basedOn w:val="Normal"/>
    <w:next w:val="Normal"/>
    <w:link w:val="IntenseQuoteChar"/>
    <w:uiPriority w:val="30"/>
    <w:qFormat/>
    <w:rsid w:val="002D10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004"/>
    <w:rPr>
      <w:i/>
      <w:iCs/>
      <w:color w:val="0F4761" w:themeColor="accent1" w:themeShade="BF"/>
    </w:rPr>
  </w:style>
  <w:style w:type="character" w:styleId="IntenseReference">
    <w:name w:val="Intense Reference"/>
    <w:basedOn w:val="DefaultParagraphFont"/>
    <w:uiPriority w:val="32"/>
    <w:qFormat/>
    <w:rsid w:val="002D1004"/>
    <w:rPr>
      <w:b/>
      <w:bCs/>
      <w:smallCaps/>
      <w:color w:val="0F4761" w:themeColor="accent1" w:themeShade="BF"/>
      <w:spacing w:val="5"/>
    </w:rPr>
  </w:style>
  <w:style w:type="paragraph" w:styleId="NormalWeb">
    <w:name w:val="Normal (Web)"/>
    <w:basedOn w:val="Normal"/>
    <w:uiPriority w:val="99"/>
    <w:unhideWhenUsed/>
    <w:rsid w:val="00F50A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50ACB"/>
    <w:rPr>
      <w:b/>
      <w:bCs/>
    </w:rPr>
  </w:style>
  <w:style w:type="character" w:styleId="Emphasis">
    <w:name w:val="Emphasis"/>
    <w:basedOn w:val="DefaultParagraphFont"/>
    <w:uiPriority w:val="20"/>
    <w:qFormat/>
    <w:rsid w:val="00B06263"/>
    <w:rPr>
      <w:i/>
      <w:iCs/>
    </w:rPr>
  </w:style>
  <w:style w:type="character" w:styleId="Hyperlink">
    <w:name w:val="Hyperlink"/>
    <w:basedOn w:val="DefaultParagraphFont"/>
    <w:uiPriority w:val="99"/>
    <w:semiHidden/>
    <w:unhideWhenUsed/>
    <w:rsid w:val="00B06263"/>
    <w:rPr>
      <w:color w:val="0000FF"/>
      <w:u w:val="single"/>
    </w:rPr>
  </w:style>
  <w:style w:type="paragraph" w:styleId="NoSpacing">
    <w:name w:val="No Spacing"/>
    <w:uiPriority w:val="1"/>
    <w:qFormat/>
    <w:rsid w:val="000B26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 TargetMode="External"/><Relationship Id="rId13" Type="http://schemas.openxmlformats.org/officeDocument/2006/relationships/hyperlink" Target="https://www.impact-guru.co.uk" TargetMode="External"/><Relationship Id="rId18" Type="http://schemas.openxmlformats.org/officeDocument/2006/relationships/hyperlink" Target="https://www.england.nhs.uk" TargetMode="External"/><Relationship Id="rId3" Type="http://schemas.openxmlformats.org/officeDocument/2006/relationships/styles" Target="styles.xml"/><Relationship Id="rId21" Type="http://schemas.openxmlformats.org/officeDocument/2006/relationships/hyperlink" Target="https://www.jointcommission.org" TargetMode="External"/><Relationship Id="rId7" Type="http://schemas.openxmlformats.org/officeDocument/2006/relationships/hyperlink" Target="https://qualitysafety.bmj.com" TargetMode="External"/><Relationship Id="rId12" Type="http://schemas.openxmlformats.org/officeDocument/2006/relationships/hyperlink" Target="https://www.hssib.org.uk" TargetMode="External"/><Relationship Id="rId17" Type="http://schemas.openxmlformats.org/officeDocument/2006/relationships/hyperlink" Target="https://www.england.nhs.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hyperlink" Target="https://www.skillsforcare.org.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hssib.org.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ice.org.uk" TargetMode="External"/><Relationship Id="rId23" Type="http://schemas.openxmlformats.org/officeDocument/2006/relationships/hyperlink" Target="https://www.who.int" TargetMode="External"/><Relationship Id="rId10" Type="http://schemas.openxmlformats.org/officeDocument/2006/relationships/hyperlink" Target="https://www.gov.uk" TargetMode="External"/><Relationship Id="rId19" Type="http://schemas.openxmlformats.org/officeDocument/2006/relationships/hyperlink" Target="https://www.nuffieldtrust.org.uk"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ismp.org" TargetMode="External"/><Relationship Id="rId22"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03114-8E1B-400D-A5BC-16FE3CC08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6961</Words>
  <Characters>39680</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2</cp:revision>
  <dcterms:created xsi:type="dcterms:W3CDTF">2026-04-21T05:09:00Z</dcterms:created>
  <dcterms:modified xsi:type="dcterms:W3CDTF">2026-04-21T05:09:00Z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a5a8a374-8d7d-4fc9-ba2f-780306581a95</vt:lpwstr>
  </property>
</Properties>
</file>