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4313" w14:textId="79D4BDAE" w:rsidR="00991C9C" w:rsidRDefault="00104C73" w:rsidP="0029369A">
      <w:pPr>
        <w:pStyle w:val="Title"/>
        <w:jc w:val="center"/>
      </w:pPr>
      <w:r w:rsidRPr="0029369A">
        <w:t xml:space="preserve">Psychological Theories to Support </w:t>
      </w:r>
      <w:r w:rsidR="00154A73">
        <w:t xml:space="preserve">Elderly Patients </w:t>
      </w:r>
      <w:r w:rsidRPr="0029369A">
        <w:t>with Dementia</w:t>
      </w:r>
    </w:p>
    <w:p w14:paraId="20E954FC" w14:textId="77777777" w:rsidR="0075795F" w:rsidRDefault="0075795F" w:rsidP="0075795F"/>
    <w:p w14:paraId="404F6656" w14:textId="77777777" w:rsidR="0075795F" w:rsidRDefault="0075795F" w:rsidP="0075795F"/>
    <w:p w14:paraId="79931386" w14:textId="77777777" w:rsidR="0075795F" w:rsidRDefault="0075795F" w:rsidP="0075795F"/>
    <w:p w14:paraId="1732CD43" w14:textId="77777777" w:rsidR="0075795F" w:rsidRDefault="0075795F" w:rsidP="0075795F"/>
    <w:p w14:paraId="00F1BC7C" w14:textId="14AF7FE1" w:rsidR="0075795F" w:rsidRDefault="0075795F" w:rsidP="0075795F"/>
    <w:p w14:paraId="71BFFEDA" w14:textId="77777777" w:rsidR="0075795F" w:rsidRDefault="0075795F" w:rsidP="0075795F"/>
    <w:p w14:paraId="50FAF794" w14:textId="77777777" w:rsidR="0075795F" w:rsidRPr="0075795F" w:rsidRDefault="0075795F" w:rsidP="0075795F"/>
    <w:p w14:paraId="4DF00578" w14:textId="23942516" w:rsidR="00991C9C" w:rsidRPr="0029369A" w:rsidRDefault="00104C73" w:rsidP="0029369A">
      <w:pPr>
        <w:jc w:val="center"/>
        <w:rPr>
          <w:rFonts w:ascii="Arial" w:hAnsi="Arial" w:cs="Arial"/>
        </w:rPr>
      </w:pPr>
      <w:r w:rsidRPr="0029369A">
        <w:rPr>
          <w:rFonts w:ascii="Arial" w:hAnsi="Arial" w:cs="Arial"/>
        </w:rPr>
        <w:t xml:space="preserve">Name: </w:t>
      </w:r>
      <w:r w:rsidR="0075795F">
        <w:rPr>
          <w:rFonts w:ascii="Arial" w:hAnsi="Arial" w:cs="Arial"/>
        </w:rPr>
        <w:t>Sabiha Zahid</w:t>
      </w:r>
    </w:p>
    <w:p w14:paraId="0C0EB712" w14:textId="3A8C584E" w:rsidR="00991C9C" w:rsidRPr="0029369A" w:rsidRDefault="00104C73" w:rsidP="0029369A">
      <w:pPr>
        <w:jc w:val="center"/>
        <w:rPr>
          <w:rFonts w:ascii="Arial" w:hAnsi="Arial" w:cs="Arial"/>
        </w:rPr>
      </w:pPr>
      <w:r w:rsidRPr="0029369A">
        <w:rPr>
          <w:rFonts w:ascii="Arial" w:hAnsi="Arial" w:cs="Arial"/>
        </w:rPr>
        <w:t xml:space="preserve">Student Number: </w:t>
      </w:r>
      <w:r w:rsidR="0075795F">
        <w:rPr>
          <w:rFonts w:ascii="Arial" w:hAnsi="Arial" w:cs="Arial"/>
        </w:rPr>
        <w:t>2426800</w:t>
      </w:r>
    </w:p>
    <w:p w14:paraId="5A4A3247" w14:textId="3524865F" w:rsidR="0075795F" w:rsidRDefault="00104C73" w:rsidP="0029369A">
      <w:pPr>
        <w:jc w:val="center"/>
        <w:rPr>
          <w:rFonts w:ascii="Arial" w:hAnsi="Arial" w:cs="Arial"/>
        </w:rPr>
      </w:pPr>
      <w:r w:rsidRPr="0029369A">
        <w:rPr>
          <w:rFonts w:ascii="Arial" w:hAnsi="Arial" w:cs="Arial"/>
        </w:rPr>
        <w:t xml:space="preserve">Module Code: </w:t>
      </w:r>
      <w:r w:rsidR="0075795F">
        <w:rPr>
          <w:rFonts w:ascii="Arial" w:hAnsi="Arial" w:cs="Arial"/>
        </w:rPr>
        <w:t>LCHS4010</w:t>
      </w:r>
    </w:p>
    <w:p w14:paraId="2B91E54A" w14:textId="2B4BED33" w:rsidR="00991C9C" w:rsidRPr="0029369A" w:rsidRDefault="0075795F" w:rsidP="0029369A">
      <w:pPr>
        <w:jc w:val="center"/>
        <w:rPr>
          <w:rFonts w:ascii="Arial" w:hAnsi="Arial" w:cs="Arial"/>
        </w:rPr>
      </w:pPr>
      <w:r>
        <w:rPr>
          <w:rFonts w:ascii="Arial" w:hAnsi="Arial" w:cs="Arial"/>
        </w:rPr>
        <w:t>Module lead: Neale Haddon</w:t>
      </w:r>
    </w:p>
    <w:p w14:paraId="171600C2" w14:textId="1ADE5533" w:rsidR="00991C9C" w:rsidRPr="0029369A" w:rsidRDefault="00104C73" w:rsidP="0029369A">
      <w:pPr>
        <w:jc w:val="center"/>
        <w:rPr>
          <w:rFonts w:ascii="Arial" w:hAnsi="Arial" w:cs="Arial"/>
        </w:rPr>
      </w:pPr>
      <w:r w:rsidRPr="0029369A">
        <w:rPr>
          <w:rFonts w:ascii="Arial" w:hAnsi="Arial" w:cs="Arial"/>
        </w:rPr>
        <w:t xml:space="preserve">Lecturer: </w:t>
      </w:r>
      <w:r w:rsidR="0075795F">
        <w:rPr>
          <w:rFonts w:ascii="Arial" w:hAnsi="Arial" w:cs="Arial"/>
        </w:rPr>
        <w:t xml:space="preserve">Alice Clayton </w:t>
      </w:r>
    </w:p>
    <w:p w14:paraId="4227C0C8" w14:textId="77777777" w:rsidR="00991C9C" w:rsidRPr="0029369A" w:rsidRDefault="00104C73" w:rsidP="0029369A">
      <w:pPr>
        <w:jc w:val="center"/>
        <w:rPr>
          <w:rFonts w:ascii="Arial" w:hAnsi="Arial" w:cs="Arial"/>
        </w:rPr>
      </w:pPr>
      <w:r w:rsidRPr="0029369A">
        <w:rPr>
          <w:rFonts w:ascii="Arial" w:hAnsi="Arial" w:cs="Arial"/>
        </w:rPr>
        <w:t>Assignment Title: Psychological Report</w:t>
      </w:r>
    </w:p>
    <w:p w14:paraId="0A1B9C3D" w14:textId="77777777" w:rsidR="00991C9C" w:rsidRPr="0029369A" w:rsidRDefault="00104C73">
      <w:pPr>
        <w:rPr>
          <w:rFonts w:ascii="Arial" w:hAnsi="Arial" w:cs="Arial"/>
        </w:rPr>
      </w:pPr>
      <w:r w:rsidRPr="0029369A">
        <w:rPr>
          <w:rFonts w:ascii="Arial" w:hAnsi="Arial" w:cs="Arial"/>
        </w:rPr>
        <w:br w:type="page"/>
      </w:r>
    </w:p>
    <w:p w14:paraId="604592FF" w14:textId="77777777" w:rsidR="00991C9C" w:rsidRPr="0029369A" w:rsidRDefault="00991C9C">
      <w:pPr>
        <w:rPr>
          <w:rFonts w:ascii="Arial" w:hAnsi="Arial" w:cs="Arial"/>
        </w:rPr>
      </w:pPr>
    </w:p>
    <w:p w14:paraId="68251B5F" w14:textId="77777777" w:rsidR="00991C9C" w:rsidRPr="0029369A" w:rsidRDefault="00104C73" w:rsidP="0029369A">
      <w:pPr>
        <w:pStyle w:val="Heading2"/>
      </w:pPr>
      <w:r w:rsidRPr="0029369A">
        <w:t>Introduction</w:t>
      </w:r>
    </w:p>
    <w:p w14:paraId="72980A70" w14:textId="5B136DBF" w:rsidR="00991C9C" w:rsidRPr="0029369A" w:rsidRDefault="00D329FB">
      <w:pPr>
        <w:rPr>
          <w:rFonts w:ascii="Arial" w:hAnsi="Arial" w:cs="Arial"/>
        </w:rPr>
      </w:pPr>
      <w:r w:rsidRPr="00D329FB">
        <w:rPr>
          <w:rFonts w:ascii="Arial" w:hAnsi="Arial" w:cs="Arial"/>
        </w:rPr>
        <w:t xml:space="preserve">Cognitive decline in older adults in dementia care homes slowly diminishes their ability to remember, communicate, recognize themselves, and control their emotions. As the disease progresses, individuals commonly become confused, anxious, less independent, and sometimes exhibit challenging behaviors that test the patience of both </w:t>
      </w:r>
      <w:proofErr w:type="gramStart"/>
      <w:r w:rsidRPr="00D329FB">
        <w:rPr>
          <w:rFonts w:ascii="Arial" w:hAnsi="Arial" w:cs="Arial"/>
        </w:rPr>
        <w:t>themselves</w:t>
      </w:r>
      <w:proofErr w:type="gramEnd"/>
      <w:r w:rsidRPr="00D329FB">
        <w:rPr>
          <w:rFonts w:ascii="Arial" w:hAnsi="Arial" w:cs="Arial"/>
        </w:rPr>
        <w:t xml:space="preserve"> and care staff. It is, </w:t>
      </w:r>
      <w:proofErr w:type="gramStart"/>
      <w:r w:rsidRPr="00D329FB">
        <w:rPr>
          <w:rFonts w:ascii="Arial" w:hAnsi="Arial" w:cs="Arial"/>
        </w:rPr>
        <w:t>therefore</w:t>
      </w:r>
      <w:proofErr w:type="gramEnd"/>
      <w:r w:rsidRPr="00D329FB">
        <w:rPr>
          <w:rFonts w:ascii="Arial" w:hAnsi="Arial" w:cs="Arial"/>
        </w:rPr>
        <w:t xml:space="preserve"> essential that health and social care professionals working with such populations have a sound theoretical basis for compassionate and effective support. Psychological theories provide systematic ways of conceptualizing behavior, well-being and intervention development in response to the </w:t>
      </w:r>
      <w:proofErr w:type="gramStart"/>
      <w:r w:rsidRPr="00D329FB">
        <w:rPr>
          <w:rFonts w:ascii="Arial" w:hAnsi="Arial" w:cs="Arial"/>
        </w:rPr>
        <w:t>particular needs</w:t>
      </w:r>
      <w:proofErr w:type="gramEnd"/>
      <w:r w:rsidRPr="00D329FB">
        <w:rPr>
          <w:rFonts w:ascii="Arial" w:hAnsi="Arial" w:cs="Arial"/>
        </w:rPr>
        <w:t xml:space="preserve"> of the adult population. This report focuses on two major frameworks: Erikson's psychosocial theory and Maslow's hierarchy of needs. Both theories find broad applications in gerontology and dementia care and therefore provide meaningful insight into the experiences of adults aged 65 and over. This report will critically assess the relevance of these theories to a dementia care home environment, offer some practical implications, and identify challenges that professionals may face along with methods to overcome these.</w:t>
      </w:r>
    </w:p>
    <w:p w14:paraId="4DD55F5A" w14:textId="77777777" w:rsidR="00991C9C" w:rsidRPr="0029369A" w:rsidRDefault="00991C9C">
      <w:pPr>
        <w:rPr>
          <w:rFonts w:ascii="Arial" w:hAnsi="Arial" w:cs="Arial"/>
        </w:rPr>
      </w:pPr>
    </w:p>
    <w:p w14:paraId="0DB7D27F" w14:textId="77777777" w:rsidR="00991C9C" w:rsidRPr="0029369A" w:rsidRDefault="00104C73" w:rsidP="0029369A">
      <w:pPr>
        <w:pStyle w:val="Heading2"/>
      </w:pPr>
      <w:r w:rsidRPr="0029369A">
        <w:t>Erikson’s Psychosocial Theory</w:t>
      </w:r>
    </w:p>
    <w:p w14:paraId="2F16B341" w14:textId="4F00FF4B" w:rsidR="00574E0E" w:rsidRPr="00574E0E" w:rsidRDefault="00574E0E" w:rsidP="00574E0E">
      <w:pPr>
        <w:rPr>
          <w:rFonts w:ascii="Arial" w:hAnsi="Arial" w:cs="Arial"/>
          <w:lang w:val="en-GB"/>
        </w:rPr>
      </w:pPr>
      <w:r w:rsidRPr="00574E0E">
        <w:rPr>
          <w:rFonts w:ascii="Arial" w:hAnsi="Arial" w:cs="Arial"/>
          <w:lang w:val="en-GB"/>
        </w:rPr>
        <w:t xml:space="preserve">Erikson proposed that there are eight stages of psychosocial development across the lifespan, each characterized by a central conflict. Later in life, a person experiences the stage of Integrity vs. Despair, where individuals look back on their life's meaning. The resolution is successful when wisdom, acceptance, and a sense of </w:t>
      </w:r>
      <w:r w:rsidR="00BC4E63" w:rsidRPr="00574E0E">
        <w:rPr>
          <w:rFonts w:ascii="Arial" w:hAnsi="Arial" w:cs="Arial"/>
          <w:lang w:val="en-GB"/>
        </w:rPr>
        <w:t>fulfilment</w:t>
      </w:r>
      <w:r w:rsidRPr="00574E0E">
        <w:rPr>
          <w:rFonts w:ascii="Arial" w:hAnsi="Arial" w:cs="Arial"/>
          <w:lang w:val="en-GB"/>
        </w:rPr>
        <w:t xml:space="preserve"> occur. Unsuccessfully resolved conflict may lead to regret, hopelessness, or despair. For a resident living with dementia, this becomes a very complicated stage. The loss of memory disrupts life-review processes and may lead to anxiety when one cannot remember events important to them or their accomplishments. Yet Erikson made it clear that identity development continues throughout the lifespan. Even as memory declines, emotional memory and core aspects of identity often remain intact. This emphasizes that it is important to support older adults in maintaining their sense of value, continuity, and identity.</w:t>
      </w:r>
    </w:p>
    <w:p w14:paraId="3E9D1037" w14:textId="18239661" w:rsidR="00991C9C" w:rsidRPr="002F22CF" w:rsidRDefault="00574E0E">
      <w:pPr>
        <w:rPr>
          <w:rFonts w:ascii="Arial" w:hAnsi="Arial" w:cs="Arial"/>
          <w:lang w:val="en-GB"/>
        </w:rPr>
      </w:pPr>
      <w:r w:rsidRPr="00574E0E">
        <w:rPr>
          <w:rFonts w:ascii="Arial" w:hAnsi="Arial" w:cs="Arial"/>
          <w:lang w:val="en-GB"/>
        </w:rPr>
        <w:t>Erikson's theory is particularly relevant in relation to emotional distress in the context of dementia care. Agitation or withdrawal can reflect deeper concerns around loss of identity or lack of control. The purpose of life</w:t>
      </w:r>
      <w:r w:rsidRPr="00574E0E">
        <w:rPr>
          <w:rFonts w:ascii="Arial" w:hAnsi="Arial" w:cs="Arial"/>
          <w:lang w:val="en-GB"/>
        </w:rPr>
        <w:noBreakHyphen/>
        <w:t xml:space="preserve">story work has a direct resonance with Erikson's model in helping residents regain access to memories that bring pride, belonging, and comfort. Tools such as memory boxes, personalized rooms, and reminiscence therapy will help the staff reconnect the residents with elements of their past and thus reinforce integrity. Individuals with quite advanced dementia may respond to music, smells, or photos from earlier life stages. Such experiences can strengthen emotional security and reduce </w:t>
      </w:r>
      <w:r w:rsidR="00C7789E" w:rsidRPr="00574E0E">
        <w:rPr>
          <w:rFonts w:ascii="Arial" w:hAnsi="Arial" w:cs="Arial"/>
          <w:lang w:val="en-GB"/>
        </w:rPr>
        <w:t>behavioural</w:t>
      </w:r>
      <w:r w:rsidRPr="00574E0E">
        <w:rPr>
          <w:rFonts w:ascii="Arial" w:hAnsi="Arial" w:cs="Arial"/>
          <w:lang w:val="en-GB"/>
        </w:rPr>
        <w:t xml:space="preserve"> distress.</w:t>
      </w:r>
    </w:p>
    <w:p w14:paraId="2A83F1DD" w14:textId="77777777" w:rsidR="00991C9C" w:rsidRPr="0029369A" w:rsidRDefault="00991C9C">
      <w:pPr>
        <w:rPr>
          <w:rFonts w:ascii="Arial" w:hAnsi="Arial" w:cs="Arial"/>
        </w:rPr>
      </w:pPr>
    </w:p>
    <w:p w14:paraId="22E263A2" w14:textId="77777777" w:rsidR="00991C9C" w:rsidRPr="0029369A" w:rsidRDefault="00104C73" w:rsidP="0029369A">
      <w:pPr>
        <w:pStyle w:val="Heading2"/>
      </w:pPr>
      <w:r w:rsidRPr="0029369A">
        <w:t>Maslow’s Hierarchy of Needs</w:t>
      </w:r>
    </w:p>
    <w:p w14:paraId="7412F500" w14:textId="64DC5FB5" w:rsidR="003E5D4E" w:rsidRPr="003E5D4E" w:rsidRDefault="003E5D4E" w:rsidP="003E5D4E">
      <w:pPr>
        <w:rPr>
          <w:rFonts w:ascii="Arial" w:hAnsi="Arial" w:cs="Arial"/>
          <w:lang w:val="en-GB"/>
        </w:rPr>
      </w:pPr>
      <w:r w:rsidRPr="003E5D4E">
        <w:rPr>
          <w:rFonts w:ascii="Arial" w:hAnsi="Arial" w:cs="Arial"/>
          <w:lang w:val="en-GB"/>
        </w:rPr>
        <w:t>Maslow's hierarchy reveals human motivation as a layered structure developing from basic physiological needs to higher</w:t>
      </w:r>
      <w:r w:rsidR="00C7789E">
        <w:rPr>
          <w:rFonts w:ascii="Arial" w:hAnsi="Arial" w:cs="Arial"/>
          <w:lang w:val="en-GB"/>
        </w:rPr>
        <w:t xml:space="preserve"> </w:t>
      </w:r>
      <w:r w:rsidRPr="003E5D4E">
        <w:rPr>
          <w:rFonts w:ascii="Arial" w:hAnsi="Arial" w:cs="Arial"/>
          <w:lang w:val="en-GB"/>
        </w:rPr>
        <w:t>order psychological needs an</w:t>
      </w:r>
      <w:r w:rsidR="00C7789E">
        <w:rPr>
          <w:rFonts w:ascii="Arial" w:hAnsi="Arial" w:cs="Arial"/>
          <w:lang w:val="en-GB"/>
        </w:rPr>
        <w:t>d</w:t>
      </w:r>
      <w:r w:rsidRPr="003E5D4E">
        <w:rPr>
          <w:rFonts w:ascii="Arial" w:hAnsi="Arial" w:cs="Arial"/>
          <w:lang w:val="en-GB"/>
        </w:rPr>
        <w:t xml:space="preserve"> finally, self-actualisation. Physiological needs </w:t>
      </w:r>
      <w:r w:rsidR="00C7789E">
        <w:rPr>
          <w:rFonts w:ascii="Arial" w:hAnsi="Arial" w:cs="Arial"/>
          <w:lang w:val="en-GB"/>
        </w:rPr>
        <w:t>(</w:t>
      </w:r>
      <w:r w:rsidRPr="003E5D4E">
        <w:rPr>
          <w:rFonts w:ascii="Arial" w:hAnsi="Arial" w:cs="Arial"/>
          <w:lang w:val="en-GB"/>
        </w:rPr>
        <w:t>rehydration, nutrition, sleep, and comfort</w:t>
      </w:r>
      <w:r w:rsidR="00C7789E">
        <w:rPr>
          <w:rFonts w:ascii="Arial" w:hAnsi="Arial" w:cs="Arial"/>
          <w:lang w:val="en-GB"/>
        </w:rPr>
        <w:t xml:space="preserve">) </w:t>
      </w:r>
      <w:r w:rsidRPr="003E5D4E">
        <w:rPr>
          <w:rFonts w:ascii="Arial" w:hAnsi="Arial" w:cs="Arial"/>
          <w:lang w:val="en-GB"/>
        </w:rPr>
        <w:t xml:space="preserve">form the basis of wellbeing. In people with dementia, these needs are crucial since unsatisfied basic needs are one of the major triggers of agitation, confusion, and challenging behaviour. Safety needs also become </w:t>
      </w:r>
      <w:r w:rsidR="00D20FC9">
        <w:rPr>
          <w:rFonts w:ascii="Arial" w:hAnsi="Arial" w:cs="Arial"/>
          <w:lang w:val="en-GB"/>
        </w:rPr>
        <w:t>very important as</w:t>
      </w:r>
      <w:r w:rsidRPr="003E5D4E">
        <w:rPr>
          <w:rFonts w:ascii="Arial" w:hAnsi="Arial" w:cs="Arial"/>
          <w:lang w:val="en-GB"/>
        </w:rPr>
        <w:t xml:space="preserve"> dementia enhances the risk of falls, disorientation, and emotional insecurity. Care homes should thus establish ordered routines, clear signage, enabling light, and predictable environments.</w:t>
      </w:r>
    </w:p>
    <w:p w14:paraId="73BACA96" w14:textId="3FAFF137" w:rsidR="00991C9C" w:rsidRPr="003E5D4E" w:rsidRDefault="003E5D4E">
      <w:pPr>
        <w:rPr>
          <w:rFonts w:ascii="Arial" w:hAnsi="Arial" w:cs="Arial"/>
          <w:lang w:val="en-GB"/>
        </w:rPr>
      </w:pPr>
      <w:r w:rsidRPr="003E5D4E">
        <w:rPr>
          <w:rFonts w:ascii="Arial" w:hAnsi="Arial" w:cs="Arial"/>
          <w:lang w:val="en-GB"/>
        </w:rPr>
        <w:t xml:space="preserve">After physiological needs, Maslow stresses the importance of belonging, love, esteem, and meaningful engagement. Common experiences among older adults with dementia include loneliness, loss of autonomy, and diminished social roles. Maslow’s theory emphasizes social connection and emotional security </w:t>
      </w:r>
      <w:r w:rsidR="00D20FC9">
        <w:rPr>
          <w:rFonts w:ascii="Arial" w:hAnsi="Arial" w:cs="Arial"/>
          <w:lang w:val="en-GB"/>
        </w:rPr>
        <w:t>so</w:t>
      </w:r>
      <w:r w:rsidRPr="003E5D4E">
        <w:rPr>
          <w:rFonts w:ascii="Arial" w:hAnsi="Arial" w:cs="Arial"/>
          <w:lang w:val="en-GB"/>
        </w:rPr>
        <w:t xml:space="preserve"> staff should foster group involvement, ensure continuity of staff-resident relationships, and engage families when possible. Esteem needs remain pertinent even in the most advanced stages of dementia; residents need respect, praise, and opportunities for mastery, such as participating in an activity or making a simple choice. Although more challenging to conceptualize in the context of dementia, aspects of self-actualisation, including creativity, pleasure, and self-expression, can still be facilitated through music, art therapy, sensory activities, spiritual support, and nature-based activities.</w:t>
      </w:r>
    </w:p>
    <w:p w14:paraId="5FFACFE1" w14:textId="77777777" w:rsidR="00991C9C" w:rsidRPr="0029369A" w:rsidRDefault="00991C9C">
      <w:pPr>
        <w:rPr>
          <w:rFonts w:ascii="Arial" w:hAnsi="Arial" w:cs="Arial"/>
        </w:rPr>
      </w:pPr>
    </w:p>
    <w:p w14:paraId="3405E074" w14:textId="77777777" w:rsidR="00991C9C" w:rsidRPr="0029369A" w:rsidRDefault="00104C73" w:rsidP="0029369A">
      <w:pPr>
        <w:pStyle w:val="Heading2"/>
      </w:pPr>
      <w:r w:rsidRPr="0029369A">
        <w:t>Application in Dementia Care Homes</w:t>
      </w:r>
    </w:p>
    <w:p w14:paraId="60808354" w14:textId="77777777" w:rsidR="00991C9C" w:rsidRPr="0029369A" w:rsidRDefault="00104C73">
      <w:pPr>
        <w:rPr>
          <w:rFonts w:ascii="Arial" w:hAnsi="Arial" w:cs="Arial"/>
        </w:rPr>
      </w:pPr>
      <w:r w:rsidRPr="0029369A">
        <w:rPr>
          <w:rFonts w:ascii="Arial" w:hAnsi="Arial" w:cs="Arial"/>
        </w:rPr>
        <w:t xml:space="preserve">Both Erikson and Maslow provide practical guidance for supporting wellbeing in dementia care homes. Erikson’s framework suggests that professionals should protect and reinforce personal identity. Staff can use </w:t>
      </w:r>
      <w:proofErr w:type="spellStart"/>
      <w:r w:rsidRPr="0029369A">
        <w:rPr>
          <w:rFonts w:ascii="Arial" w:hAnsi="Arial" w:cs="Arial"/>
        </w:rPr>
        <w:t>personalised</w:t>
      </w:r>
      <w:proofErr w:type="spellEnd"/>
      <w:r w:rsidRPr="0029369A">
        <w:rPr>
          <w:rFonts w:ascii="Arial" w:hAnsi="Arial" w:cs="Arial"/>
        </w:rPr>
        <w:t xml:space="preserve"> care plans that include important memories, cultural traditions, hobbies, or music preferences. For example, a resident who previously enjoyed gardening may benefit from sensory garden activities. This helps maintain identity continuity, reducing distress and increasing feelings of value. Life</w:t>
      </w:r>
      <w:r w:rsidRPr="0029369A">
        <w:rPr>
          <w:rFonts w:ascii="Cambria Math" w:hAnsi="Cambria Math" w:cs="Cambria Math"/>
        </w:rPr>
        <w:t>‑</w:t>
      </w:r>
      <w:r w:rsidRPr="0029369A">
        <w:rPr>
          <w:rFonts w:ascii="Arial" w:hAnsi="Arial" w:cs="Arial"/>
        </w:rPr>
        <w:t>story books and reminiscence sessions also support emotional connection by helping residents recall meaningful experiences.</w:t>
      </w:r>
    </w:p>
    <w:p w14:paraId="1CBE3DEC" w14:textId="221733D9" w:rsidR="00991C9C" w:rsidRPr="0029369A" w:rsidRDefault="00104C73">
      <w:pPr>
        <w:rPr>
          <w:rFonts w:ascii="Arial" w:hAnsi="Arial" w:cs="Arial"/>
        </w:rPr>
      </w:pPr>
      <w:r w:rsidRPr="0029369A">
        <w:rPr>
          <w:rFonts w:ascii="Arial" w:hAnsi="Arial" w:cs="Arial"/>
        </w:rPr>
        <w:t xml:space="preserve">Maslow’s theory guides staff in </w:t>
      </w:r>
      <w:proofErr w:type="spellStart"/>
      <w:r w:rsidRPr="0029369A">
        <w:rPr>
          <w:rFonts w:ascii="Arial" w:hAnsi="Arial" w:cs="Arial"/>
        </w:rPr>
        <w:t>prioritising</w:t>
      </w:r>
      <w:proofErr w:type="spellEnd"/>
      <w:r w:rsidRPr="0029369A">
        <w:rPr>
          <w:rFonts w:ascii="Arial" w:hAnsi="Arial" w:cs="Arial"/>
        </w:rPr>
        <w:t xml:space="preserve"> needs holistically. Ensuring adequate hydration, nutrition, pain management, and comfort should be the first response to distress. Many residents exhibit challenging </w:t>
      </w:r>
      <w:r w:rsidR="00415972" w:rsidRPr="0029369A">
        <w:rPr>
          <w:rFonts w:ascii="Arial" w:hAnsi="Arial" w:cs="Arial"/>
        </w:rPr>
        <w:t>behavior</w:t>
      </w:r>
      <w:r w:rsidRPr="0029369A">
        <w:rPr>
          <w:rFonts w:ascii="Arial" w:hAnsi="Arial" w:cs="Arial"/>
        </w:rPr>
        <w:t xml:space="preserve"> when experiencing </w:t>
      </w:r>
      <w:r w:rsidR="00415972" w:rsidRPr="0029369A">
        <w:rPr>
          <w:rFonts w:ascii="Arial" w:hAnsi="Arial" w:cs="Arial"/>
        </w:rPr>
        <w:t>discomfort,</w:t>
      </w:r>
      <w:r w:rsidRPr="0029369A">
        <w:rPr>
          <w:rFonts w:ascii="Arial" w:hAnsi="Arial" w:cs="Arial"/>
        </w:rPr>
        <w:t xml:space="preserve"> they cannot express verbally. A Maslow</w:t>
      </w:r>
      <w:r w:rsidR="00415972">
        <w:rPr>
          <w:rFonts w:ascii="Cambria Math" w:hAnsi="Cambria Math" w:cs="Cambria Math"/>
        </w:rPr>
        <w:t xml:space="preserve"> </w:t>
      </w:r>
      <w:r w:rsidRPr="0029369A">
        <w:rPr>
          <w:rFonts w:ascii="Arial" w:hAnsi="Arial" w:cs="Arial"/>
        </w:rPr>
        <w:t xml:space="preserve">informed approach encourages staff to explore physical, emotional, and environmental causes before assuming </w:t>
      </w:r>
      <w:proofErr w:type="spellStart"/>
      <w:r w:rsidRPr="0029369A">
        <w:rPr>
          <w:rFonts w:ascii="Arial" w:hAnsi="Arial" w:cs="Arial"/>
        </w:rPr>
        <w:t>behavioural</w:t>
      </w:r>
      <w:proofErr w:type="spellEnd"/>
      <w:r w:rsidRPr="0029369A">
        <w:rPr>
          <w:rFonts w:ascii="Arial" w:hAnsi="Arial" w:cs="Arial"/>
        </w:rPr>
        <w:t xml:space="preserve"> dysfunction. Safety is enhanced through dementia</w:t>
      </w:r>
      <w:r w:rsidRPr="0029369A">
        <w:rPr>
          <w:rFonts w:ascii="Cambria Math" w:hAnsi="Cambria Math" w:cs="Cambria Math"/>
        </w:rPr>
        <w:t>‑</w:t>
      </w:r>
      <w:r w:rsidRPr="0029369A">
        <w:rPr>
          <w:rFonts w:ascii="Arial" w:hAnsi="Arial" w:cs="Arial"/>
        </w:rPr>
        <w:t xml:space="preserve">friendly design, including </w:t>
      </w:r>
      <w:proofErr w:type="spellStart"/>
      <w:r w:rsidRPr="0029369A">
        <w:rPr>
          <w:rFonts w:ascii="Arial" w:hAnsi="Arial" w:cs="Arial"/>
        </w:rPr>
        <w:t>colour</w:t>
      </w:r>
      <w:proofErr w:type="spellEnd"/>
      <w:r w:rsidRPr="0029369A">
        <w:rPr>
          <w:rFonts w:ascii="Cambria Math" w:hAnsi="Cambria Math" w:cs="Cambria Math"/>
        </w:rPr>
        <w:t>‑</w:t>
      </w:r>
      <w:r w:rsidRPr="0029369A">
        <w:rPr>
          <w:rFonts w:ascii="Arial" w:hAnsi="Arial" w:cs="Arial"/>
        </w:rPr>
        <w:t xml:space="preserve">coded corridors, accessible outdoor spaces, and calm sensory environments. Belonging and esteem can be supported through structured group activities, intergenerational </w:t>
      </w:r>
      <w:proofErr w:type="spellStart"/>
      <w:r w:rsidRPr="0029369A">
        <w:rPr>
          <w:rFonts w:ascii="Arial" w:hAnsi="Arial" w:cs="Arial"/>
        </w:rPr>
        <w:t>programmes</w:t>
      </w:r>
      <w:proofErr w:type="spellEnd"/>
      <w:r w:rsidRPr="0029369A">
        <w:rPr>
          <w:rFonts w:ascii="Arial" w:hAnsi="Arial" w:cs="Arial"/>
        </w:rPr>
        <w:t xml:space="preserve">, spiritual services, and encouragement of independence </w:t>
      </w:r>
      <w:r w:rsidRPr="0029369A">
        <w:rPr>
          <w:rFonts w:ascii="Arial" w:hAnsi="Arial" w:cs="Arial"/>
        </w:rPr>
        <w:lastRenderedPageBreak/>
        <w:t>in everyday tasks such as choosing clothes or participating in simple household activities.</w:t>
      </w:r>
    </w:p>
    <w:p w14:paraId="495A4CCB" w14:textId="77777777" w:rsidR="00991C9C" w:rsidRPr="0029369A" w:rsidRDefault="00991C9C">
      <w:pPr>
        <w:rPr>
          <w:rFonts w:ascii="Arial" w:hAnsi="Arial" w:cs="Arial"/>
        </w:rPr>
      </w:pPr>
    </w:p>
    <w:p w14:paraId="2840DB38" w14:textId="77777777" w:rsidR="00991C9C" w:rsidRPr="0029369A" w:rsidRDefault="00104C73" w:rsidP="0029369A">
      <w:pPr>
        <w:pStyle w:val="Heading2"/>
      </w:pPr>
      <w:r w:rsidRPr="0029369A">
        <w:t>Critical Evaluation and Professional Challenges</w:t>
      </w:r>
    </w:p>
    <w:p w14:paraId="76DA40F0" w14:textId="40EE768F" w:rsidR="00991C9C" w:rsidRPr="0029369A" w:rsidRDefault="00AF15C1">
      <w:pPr>
        <w:rPr>
          <w:rFonts w:ascii="Arial" w:hAnsi="Arial" w:cs="Arial"/>
        </w:rPr>
      </w:pPr>
      <w:r w:rsidRPr="00AF15C1">
        <w:rPr>
          <w:rFonts w:ascii="Arial" w:hAnsi="Arial" w:cs="Arial"/>
        </w:rPr>
        <w:t>However, both theories have their limits within the context of dementia: Erikson's model presumes an ability of reflection in individuals, which is often diminished by dementia. Life</w:t>
      </w:r>
      <w:r w:rsidRPr="00AF15C1">
        <w:rPr>
          <w:rFonts w:ascii="Arial" w:hAnsi="Arial" w:cs="Arial"/>
        </w:rPr>
        <w:noBreakHyphen/>
        <w:t xml:space="preserve">story work can be frustrating when residents cannot recall information; others may find reminiscence rather distressing if memories evoke loss. Staff must therefore adapt interventions sensitively, using prompts that evoke comfort rather than confusion. Further, Erikson's theory fails to take into consideration the neurological basis of dementia as it is merely a psychological theory of development. Thus, it is valuable but </w:t>
      </w:r>
      <w:proofErr w:type="gramStart"/>
      <w:r w:rsidR="00415972">
        <w:rPr>
          <w:rFonts w:ascii="Arial" w:hAnsi="Arial" w:cs="Arial"/>
        </w:rPr>
        <w:t>has to</w:t>
      </w:r>
      <w:proofErr w:type="gramEnd"/>
      <w:r w:rsidR="00415972">
        <w:rPr>
          <w:rFonts w:ascii="Arial" w:hAnsi="Arial" w:cs="Arial"/>
        </w:rPr>
        <w:t xml:space="preserve"> </w:t>
      </w:r>
      <w:r w:rsidRPr="00AF15C1">
        <w:rPr>
          <w:rFonts w:ascii="Arial" w:hAnsi="Arial" w:cs="Arial"/>
        </w:rPr>
        <w:t>be set within a clinical understanding of cognitive impairment.</w:t>
      </w:r>
    </w:p>
    <w:p w14:paraId="726851DE" w14:textId="69ECE47D" w:rsidR="00991C9C" w:rsidRPr="0029369A" w:rsidRDefault="003116E5">
      <w:pPr>
        <w:rPr>
          <w:rFonts w:ascii="Arial" w:hAnsi="Arial" w:cs="Arial"/>
        </w:rPr>
      </w:pPr>
      <w:r w:rsidRPr="003116E5">
        <w:rPr>
          <w:rFonts w:ascii="Arial" w:hAnsi="Arial" w:cs="Arial"/>
        </w:rPr>
        <w:t>Maslow's hierarchy has been criticized because of its rigid nature and the assumption that needs occur in a strict order. The care of people with dementia shows that needs are not static; for example, psychological comfort can be more imperative than physical needs at times. High workloads, staff shortages, and lack of resources may also limit the ability of staff to consistently meet higher-order needs. The provision of opportunities for esteem and empowerment is difficult when residents are experiencing significant cognitive decline or behavioral distress. Cultural diversity also impacts on the perception of needs and wellbeing, and Maslow's model may not allow for this.</w:t>
      </w:r>
    </w:p>
    <w:p w14:paraId="27199DB2" w14:textId="77777777" w:rsidR="00991C9C" w:rsidRPr="0029369A" w:rsidRDefault="00104C73" w:rsidP="0029369A">
      <w:pPr>
        <w:pStyle w:val="Heading2"/>
      </w:pPr>
      <w:r w:rsidRPr="0029369A">
        <w:t>Strategies to Address Challenges</w:t>
      </w:r>
    </w:p>
    <w:p w14:paraId="1CC38CCF" w14:textId="6A99C280" w:rsidR="00991C9C" w:rsidRPr="0029369A" w:rsidRDefault="00104C73">
      <w:pPr>
        <w:rPr>
          <w:rFonts w:ascii="Arial" w:hAnsi="Arial" w:cs="Arial"/>
        </w:rPr>
      </w:pPr>
      <w:r w:rsidRPr="0029369A">
        <w:rPr>
          <w:rFonts w:ascii="Arial" w:hAnsi="Arial" w:cs="Arial"/>
        </w:rPr>
        <w:t>To overcome these limitations, care homes should implement evidence</w:t>
      </w:r>
      <w:r w:rsidRPr="0029369A">
        <w:rPr>
          <w:rFonts w:ascii="Cambria Math" w:hAnsi="Cambria Math" w:cs="Cambria Math"/>
        </w:rPr>
        <w:t>‑</w:t>
      </w:r>
      <w:r w:rsidRPr="0029369A">
        <w:rPr>
          <w:rFonts w:ascii="Arial" w:hAnsi="Arial" w:cs="Arial"/>
        </w:rPr>
        <w:t>based dementia training for all staff, focusing on communication, de</w:t>
      </w:r>
      <w:r w:rsidRPr="0029369A">
        <w:rPr>
          <w:rFonts w:ascii="Cambria Math" w:hAnsi="Cambria Math" w:cs="Cambria Math"/>
        </w:rPr>
        <w:t>‑</w:t>
      </w:r>
      <w:r w:rsidRPr="0029369A">
        <w:rPr>
          <w:rFonts w:ascii="Arial" w:hAnsi="Arial" w:cs="Arial"/>
        </w:rPr>
        <w:t>escalation, person</w:t>
      </w:r>
      <w:r w:rsidR="00415972">
        <w:rPr>
          <w:rFonts w:ascii="Cambria Math" w:hAnsi="Cambria Math" w:cs="Cambria Math"/>
        </w:rPr>
        <w:t xml:space="preserve"> </w:t>
      </w:r>
      <w:r w:rsidR="00415972" w:rsidRPr="0029369A">
        <w:rPr>
          <w:rFonts w:ascii="Arial" w:hAnsi="Arial" w:cs="Arial"/>
        </w:rPr>
        <w:t>centered</w:t>
      </w:r>
      <w:r w:rsidRPr="0029369A">
        <w:rPr>
          <w:rFonts w:ascii="Arial" w:hAnsi="Arial" w:cs="Arial"/>
        </w:rPr>
        <w:t xml:space="preserve"> care, and interpreting </w:t>
      </w:r>
      <w:r w:rsidR="00415972" w:rsidRPr="0029369A">
        <w:rPr>
          <w:rFonts w:ascii="Arial" w:hAnsi="Arial" w:cs="Arial"/>
        </w:rPr>
        <w:t>behavioral</w:t>
      </w:r>
      <w:r w:rsidRPr="0029369A">
        <w:rPr>
          <w:rFonts w:ascii="Arial" w:hAnsi="Arial" w:cs="Arial"/>
        </w:rPr>
        <w:t xml:space="preserve"> </w:t>
      </w:r>
      <w:r w:rsidR="00415972">
        <w:rPr>
          <w:rFonts w:ascii="Arial" w:hAnsi="Arial" w:cs="Arial"/>
        </w:rPr>
        <w:t>signs</w:t>
      </w:r>
      <w:r w:rsidRPr="0029369A">
        <w:rPr>
          <w:rFonts w:ascii="Arial" w:hAnsi="Arial" w:cs="Arial"/>
        </w:rPr>
        <w:t xml:space="preserve"> of need.</w:t>
      </w:r>
      <w:r w:rsidR="00BF202C">
        <w:rPr>
          <w:rFonts w:ascii="Arial" w:hAnsi="Arial" w:cs="Arial"/>
        </w:rPr>
        <w:t xml:space="preserve"> </w:t>
      </w:r>
      <w:r w:rsidR="00BF202C" w:rsidRPr="00BF202C">
        <w:rPr>
          <w:rFonts w:ascii="Arial" w:hAnsi="Arial" w:cs="Arial"/>
        </w:rPr>
        <w:t xml:space="preserve">Interdisciplinary teamwork is essential: nurses, care assistants, psychologists, occupational therapists, and family members contribute to insights that help provide holistic care. Application of structured frameworks, such as the VIPS model of </w:t>
      </w:r>
      <w:r w:rsidR="009A0E37" w:rsidRPr="00BF202C">
        <w:rPr>
          <w:rFonts w:ascii="Arial" w:hAnsi="Arial" w:cs="Arial"/>
        </w:rPr>
        <w:t>person</w:t>
      </w:r>
      <w:r w:rsidR="009A0E37">
        <w:rPr>
          <w:rFonts w:ascii="Arial" w:hAnsi="Arial" w:cs="Arial"/>
        </w:rPr>
        <w:t>-centered</w:t>
      </w:r>
      <w:r w:rsidR="00BF202C" w:rsidRPr="00BF202C">
        <w:rPr>
          <w:rFonts w:ascii="Arial" w:hAnsi="Arial" w:cs="Arial"/>
        </w:rPr>
        <w:t xml:space="preserve"> care, ensures that identity, dignity, and individual preferences remain central. Consistency in staffing helps establish feelings of security and belonging, reducing anxiety and meeting both Maslow's and Erikson's theories.</w:t>
      </w:r>
    </w:p>
    <w:p w14:paraId="60AA9218" w14:textId="5E74FE80" w:rsidR="00991C9C" w:rsidRPr="0029369A" w:rsidRDefault="00DA0F2D">
      <w:pPr>
        <w:rPr>
          <w:rFonts w:ascii="Arial" w:hAnsi="Arial" w:cs="Arial"/>
        </w:rPr>
      </w:pPr>
      <w:r w:rsidRPr="00DA0F2D">
        <w:rPr>
          <w:rFonts w:ascii="Arial" w:hAnsi="Arial" w:cs="Arial"/>
        </w:rPr>
        <w:t>Environmental design contributes to the fulfillment of both safety and psychological needs. Quiet, homely areas with meaningful objects offer a sense of security and continuity of identity. Activity programs must be individualized, flexible, and adaptable in relation to changing cognitive abilities. Ongoing family involvement enhances social connection and promotes continuity of identity. Reflective practice supports staff in reflecting on emotional, cultural, and psychological factors influencing residents, thereby minimizing the likelihood of task</w:t>
      </w:r>
      <w:r w:rsidRPr="00DA0F2D">
        <w:rPr>
          <w:rFonts w:ascii="Arial" w:hAnsi="Arial" w:cs="Arial"/>
        </w:rPr>
        <w:noBreakHyphen/>
        <w:t>oriented care</w:t>
      </w:r>
      <w:r w:rsidRPr="0029369A">
        <w:rPr>
          <w:rFonts w:ascii="Arial" w:hAnsi="Arial" w:cs="Arial"/>
        </w:rPr>
        <w:t>.</w:t>
      </w:r>
    </w:p>
    <w:p w14:paraId="0AB389D3" w14:textId="77777777" w:rsidR="00991C9C" w:rsidRPr="0029369A" w:rsidRDefault="00991C9C">
      <w:pPr>
        <w:rPr>
          <w:rFonts w:ascii="Arial" w:hAnsi="Arial" w:cs="Arial"/>
        </w:rPr>
      </w:pPr>
    </w:p>
    <w:p w14:paraId="24BB14BB" w14:textId="77777777" w:rsidR="00991C9C" w:rsidRPr="0029369A" w:rsidRDefault="00104C73" w:rsidP="0029369A">
      <w:pPr>
        <w:pStyle w:val="Heading2"/>
      </w:pPr>
      <w:r w:rsidRPr="0029369A">
        <w:lastRenderedPageBreak/>
        <w:t>Conclusion</w:t>
      </w:r>
    </w:p>
    <w:p w14:paraId="6A9ED648" w14:textId="2FA32FF3" w:rsidR="00991C9C" w:rsidRPr="0029369A" w:rsidRDefault="00104C73">
      <w:pPr>
        <w:rPr>
          <w:rFonts w:ascii="Arial" w:hAnsi="Arial" w:cs="Arial"/>
        </w:rPr>
      </w:pPr>
      <w:r w:rsidRPr="0029369A">
        <w:rPr>
          <w:rFonts w:ascii="Arial" w:hAnsi="Arial" w:cs="Arial"/>
        </w:rPr>
        <w:t xml:space="preserve">Psychological </w:t>
      </w:r>
      <w:r w:rsidR="005D013B" w:rsidRPr="005D013B">
        <w:rPr>
          <w:rFonts w:ascii="Arial" w:hAnsi="Arial" w:cs="Arial"/>
        </w:rPr>
        <w:t>theories are especially instructive for the provision of support to adults aged 65 and over who are living with dementia. Erikson’s psychosocial theory provides an emphasis on identity, emotional connection, and meaning</w:t>
      </w:r>
      <w:r w:rsidR="005D013B" w:rsidRPr="005D013B">
        <w:rPr>
          <w:rFonts w:ascii="Arial" w:hAnsi="Arial" w:cs="Arial"/>
        </w:rPr>
        <w:noBreakHyphen/>
        <w:t>making, while Maslow’s hierarchy of needs offers a structure through which to understand motivation and wellbeing. These theories should be applied thoughtfully to help professionals gain insight into the emotional and psychological experiences lying beneath behavioral expressions and thus enable more empathetic, person</w:t>
      </w:r>
      <w:r w:rsidR="005D013B" w:rsidRPr="005D013B">
        <w:rPr>
          <w:rFonts w:ascii="Arial" w:hAnsi="Arial" w:cs="Arial"/>
        </w:rPr>
        <w:noBreakHyphen/>
        <w:t>centered care. Challenges exist in communication, memory loss, and limited staffing, although strategies such as training, environmental adaptation, interdisciplinary teamwork, and personalized care can reduce barriers. Ultimately, integrating these theories helps create compassionate, dignified, and supportive care environments respectful of individuality and humanity for older adults experiencing dementia.</w:t>
      </w:r>
    </w:p>
    <w:p w14:paraId="293E5318" w14:textId="77777777" w:rsidR="005D013B" w:rsidRDefault="005D013B" w:rsidP="0029369A">
      <w:pPr>
        <w:pStyle w:val="Heading2"/>
      </w:pPr>
    </w:p>
    <w:p w14:paraId="32B3DAD4" w14:textId="77777777" w:rsidR="005D013B" w:rsidRDefault="005D013B" w:rsidP="0029369A">
      <w:pPr>
        <w:pStyle w:val="Heading2"/>
      </w:pPr>
    </w:p>
    <w:p w14:paraId="51E6B39E" w14:textId="77777777" w:rsidR="0075795F" w:rsidRDefault="0075795F" w:rsidP="0075795F"/>
    <w:p w14:paraId="0F279D6C" w14:textId="77777777" w:rsidR="0075795F" w:rsidRDefault="0075795F" w:rsidP="0075795F"/>
    <w:p w14:paraId="09A50F38" w14:textId="77777777" w:rsidR="0075795F" w:rsidRDefault="0075795F" w:rsidP="0075795F"/>
    <w:p w14:paraId="3397E434" w14:textId="77777777" w:rsidR="0075795F" w:rsidRDefault="0075795F" w:rsidP="0075795F"/>
    <w:p w14:paraId="40F5CDDE" w14:textId="77777777" w:rsidR="0075795F" w:rsidRDefault="0075795F" w:rsidP="0075795F"/>
    <w:p w14:paraId="40635FCE" w14:textId="77777777" w:rsidR="0075795F" w:rsidRDefault="0075795F" w:rsidP="0075795F"/>
    <w:p w14:paraId="4427E605" w14:textId="77777777" w:rsidR="0075795F" w:rsidRDefault="0075795F" w:rsidP="0075795F"/>
    <w:p w14:paraId="0489B9BE" w14:textId="77777777" w:rsidR="0075795F" w:rsidRDefault="0075795F" w:rsidP="0075795F"/>
    <w:p w14:paraId="5C1A68BD" w14:textId="77777777" w:rsidR="0075795F" w:rsidRDefault="0075795F" w:rsidP="0075795F"/>
    <w:p w14:paraId="7D37A322" w14:textId="77777777" w:rsidR="0075795F" w:rsidRDefault="0075795F" w:rsidP="0075795F"/>
    <w:p w14:paraId="220E438A" w14:textId="77777777" w:rsidR="0075795F" w:rsidRDefault="0075795F" w:rsidP="0075795F"/>
    <w:p w14:paraId="314D710E" w14:textId="77777777" w:rsidR="0075795F" w:rsidRDefault="0075795F" w:rsidP="0075795F"/>
    <w:p w14:paraId="55528079" w14:textId="77777777" w:rsidR="0075795F" w:rsidRDefault="0075795F" w:rsidP="0075795F"/>
    <w:p w14:paraId="74C44BFB" w14:textId="77777777" w:rsidR="0075795F" w:rsidRDefault="0075795F" w:rsidP="0075795F"/>
    <w:p w14:paraId="0BDDAFA6" w14:textId="77777777" w:rsidR="0075795F" w:rsidRPr="0075795F" w:rsidRDefault="0075795F" w:rsidP="0075795F"/>
    <w:p w14:paraId="6A8F70C1" w14:textId="570695F6" w:rsidR="00991C9C" w:rsidRPr="0029369A" w:rsidRDefault="00104C73" w:rsidP="0029369A">
      <w:pPr>
        <w:pStyle w:val="Heading2"/>
      </w:pPr>
      <w:r w:rsidRPr="0029369A">
        <w:lastRenderedPageBreak/>
        <w:t>References</w:t>
      </w:r>
    </w:p>
    <w:p w14:paraId="2C0281FE" w14:textId="77777777" w:rsidR="00A51850" w:rsidRPr="00A51850" w:rsidRDefault="00A51850" w:rsidP="00A51850">
      <w:pPr>
        <w:rPr>
          <w:rFonts w:ascii="Arial" w:hAnsi="Arial" w:cs="Arial"/>
          <w:lang w:val="en-GB"/>
        </w:rPr>
      </w:pPr>
      <w:proofErr w:type="spellStart"/>
      <w:r w:rsidRPr="00A51850">
        <w:rPr>
          <w:rFonts w:ascii="Arial" w:hAnsi="Arial" w:cs="Arial"/>
          <w:lang w:val="en-GB"/>
        </w:rPr>
        <w:t>Brodaty</w:t>
      </w:r>
      <w:proofErr w:type="spellEnd"/>
      <w:r w:rsidRPr="00A51850">
        <w:rPr>
          <w:rFonts w:ascii="Arial" w:hAnsi="Arial" w:cs="Arial"/>
          <w:lang w:val="en-GB"/>
        </w:rPr>
        <w:t xml:space="preserve">, H. and Arasaratnam, C. (2012). </w:t>
      </w:r>
      <w:r w:rsidRPr="00A51850">
        <w:rPr>
          <w:rFonts w:ascii="Arial" w:hAnsi="Arial" w:cs="Arial"/>
          <w:i/>
          <w:iCs/>
          <w:lang w:val="en-GB"/>
        </w:rPr>
        <w:t>Meta-analysis of caregiver interventions for dementia.</w:t>
      </w:r>
      <w:r w:rsidRPr="00A51850">
        <w:rPr>
          <w:rFonts w:ascii="Arial" w:hAnsi="Arial" w:cs="Arial"/>
          <w:lang w:val="en-GB"/>
        </w:rPr>
        <w:t xml:space="preserve"> Journal of the American Geriatrics Society, pp.pp.1062-1069.</w:t>
      </w:r>
    </w:p>
    <w:p w14:paraId="7741B1E8" w14:textId="77777777" w:rsidR="00A51850" w:rsidRPr="00A51850" w:rsidRDefault="00A51850" w:rsidP="00A51850">
      <w:pPr>
        <w:rPr>
          <w:rFonts w:ascii="Arial" w:hAnsi="Arial" w:cs="Arial"/>
          <w:lang w:val="en-GB"/>
        </w:rPr>
      </w:pPr>
      <w:r w:rsidRPr="00A51850">
        <w:rPr>
          <w:rFonts w:ascii="Arial" w:hAnsi="Arial" w:cs="Arial"/>
          <w:lang w:val="en-GB"/>
        </w:rPr>
        <w:t xml:space="preserve">Brooker, D. (2007). </w:t>
      </w:r>
      <w:r w:rsidRPr="00A51850">
        <w:rPr>
          <w:rFonts w:ascii="Arial" w:hAnsi="Arial" w:cs="Arial"/>
          <w:i/>
          <w:iCs/>
          <w:lang w:val="en-GB"/>
        </w:rPr>
        <w:t xml:space="preserve">Person-centred Dementia </w:t>
      </w:r>
      <w:proofErr w:type="gramStart"/>
      <w:r w:rsidRPr="00A51850">
        <w:rPr>
          <w:rFonts w:ascii="Arial" w:hAnsi="Arial" w:cs="Arial"/>
          <w:i/>
          <w:iCs/>
          <w:lang w:val="en-GB"/>
        </w:rPr>
        <w:t>Care :</w:t>
      </w:r>
      <w:proofErr w:type="gramEnd"/>
      <w:r w:rsidRPr="00A51850">
        <w:rPr>
          <w:rFonts w:ascii="Arial" w:hAnsi="Arial" w:cs="Arial"/>
          <w:i/>
          <w:iCs/>
          <w:lang w:val="en-GB"/>
        </w:rPr>
        <w:t xml:space="preserve"> Making Services Better</w:t>
      </w:r>
      <w:r w:rsidRPr="00A51850">
        <w:rPr>
          <w:rFonts w:ascii="Arial" w:hAnsi="Arial" w:cs="Arial"/>
          <w:lang w:val="en-GB"/>
        </w:rPr>
        <w:t>. London: Jessica Kingsley Publishers.</w:t>
      </w:r>
    </w:p>
    <w:p w14:paraId="2E52F9CF" w14:textId="77777777" w:rsidR="00A51850" w:rsidRPr="00A51850" w:rsidRDefault="00A51850" w:rsidP="00A51850">
      <w:pPr>
        <w:rPr>
          <w:rFonts w:ascii="Arial" w:hAnsi="Arial" w:cs="Arial"/>
          <w:lang w:val="en-GB"/>
        </w:rPr>
      </w:pPr>
      <w:r w:rsidRPr="00A51850">
        <w:rPr>
          <w:rFonts w:ascii="Arial" w:hAnsi="Arial" w:cs="Arial"/>
          <w:lang w:val="en-GB"/>
        </w:rPr>
        <w:t xml:space="preserve">Erik Homburger Erikson, Joan Mowat Erikson and </w:t>
      </w:r>
      <w:proofErr w:type="spellStart"/>
      <w:r w:rsidRPr="00A51850">
        <w:rPr>
          <w:rFonts w:ascii="Arial" w:hAnsi="Arial" w:cs="Arial"/>
          <w:lang w:val="en-GB"/>
        </w:rPr>
        <w:t>Kivnick</w:t>
      </w:r>
      <w:proofErr w:type="spellEnd"/>
      <w:r w:rsidRPr="00A51850">
        <w:rPr>
          <w:rFonts w:ascii="Arial" w:hAnsi="Arial" w:cs="Arial"/>
          <w:lang w:val="en-GB"/>
        </w:rPr>
        <w:t xml:space="preserve">, H.Q. (1986). </w:t>
      </w:r>
      <w:r w:rsidRPr="00A51850">
        <w:rPr>
          <w:rFonts w:ascii="Arial" w:hAnsi="Arial" w:cs="Arial"/>
          <w:i/>
          <w:iCs/>
          <w:lang w:val="en-GB"/>
        </w:rPr>
        <w:t>Vital involvement in old age</w:t>
      </w:r>
      <w:r w:rsidRPr="00A51850">
        <w:rPr>
          <w:rFonts w:ascii="Arial" w:hAnsi="Arial" w:cs="Arial"/>
          <w:lang w:val="en-GB"/>
        </w:rPr>
        <w:t>. New York: W.W. Norton.</w:t>
      </w:r>
    </w:p>
    <w:p w14:paraId="40463CA9" w14:textId="77777777" w:rsidR="00A51850" w:rsidRPr="00A51850" w:rsidRDefault="00A51850" w:rsidP="00A51850">
      <w:pPr>
        <w:rPr>
          <w:rFonts w:ascii="Arial" w:hAnsi="Arial" w:cs="Arial"/>
          <w:lang w:val="en-GB"/>
        </w:rPr>
      </w:pPr>
      <w:r w:rsidRPr="00A51850">
        <w:rPr>
          <w:rFonts w:ascii="Arial" w:hAnsi="Arial" w:cs="Arial"/>
          <w:lang w:val="en-GB"/>
        </w:rPr>
        <w:t xml:space="preserve">Erikson, E.H. and Erikson, J.M. (1998). </w:t>
      </w:r>
      <w:r w:rsidRPr="00A51850">
        <w:rPr>
          <w:rFonts w:ascii="Arial" w:hAnsi="Arial" w:cs="Arial"/>
          <w:i/>
          <w:iCs/>
          <w:lang w:val="en-GB"/>
        </w:rPr>
        <w:t>The life cycle completed</w:t>
      </w:r>
      <w:r w:rsidRPr="00A51850">
        <w:rPr>
          <w:rFonts w:ascii="Arial" w:hAnsi="Arial" w:cs="Arial"/>
          <w:lang w:val="en-GB"/>
        </w:rPr>
        <w:t>. New York: W.W. Norton, pp.120–135.</w:t>
      </w:r>
    </w:p>
    <w:p w14:paraId="6191FDA7" w14:textId="77777777" w:rsidR="00A51850" w:rsidRPr="00A51850" w:rsidRDefault="00A51850" w:rsidP="00A51850">
      <w:pPr>
        <w:rPr>
          <w:rFonts w:ascii="Arial" w:hAnsi="Arial" w:cs="Arial"/>
          <w:lang w:val="en-GB"/>
        </w:rPr>
      </w:pPr>
      <w:r w:rsidRPr="00A51850">
        <w:rPr>
          <w:rFonts w:ascii="Arial" w:hAnsi="Arial" w:cs="Arial"/>
          <w:lang w:val="en-GB"/>
        </w:rPr>
        <w:t xml:space="preserve">Maslow, A.H. (2023). </w:t>
      </w:r>
      <w:r w:rsidRPr="00A51850">
        <w:rPr>
          <w:rFonts w:ascii="Arial" w:hAnsi="Arial" w:cs="Arial"/>
          <w:i/>
          <w:iCs/>
          <w:lang w:val="en-GB"/>
        </w:rPr>
        <w:t>Motivation and Personality</w:t>
      </w:r>
      <w:r w:rsidRPr="00A51850">
        <w:rPr>
          <w:rFonts w:ascii="Arial" w:hAnsi="Arial" w:cs="Arial"/>
          <w:lang w:val="en-GB"/>
        </w:rPr>
        <w:t>. Prabhat Prakashan, pp.370–396.</w:t>
      </w:r>
    </w:p>
    <w:p w14:paraId="38BCDCD7" w14:textId="77777777" w:rsidR="00A51850" w:rsidRPr="00A51850" w:rsidRDefault="00A51850" w:rsidP="00A51850">
      <w:pPr>
        <w:rPr>
          <w:rFonts w:ascii="Arial" w:hAnsi="Arial" w:cs="Arial"/>
          <w:lang w:val="en-GB"/>
        </w:rPr>
      </w:pPr>
      <w:proofErr w:type="spellStart"/>
      <w:r w:rsidRPr="00A51850">
        <w:rPr>
          <w:rFonts w:ascii="Arial" w:hAnsi="Arial" w:cs="Arial"/>
          <w:lang w:val="en-GB"/>
        </w:rPr>
        <w:t>Sukhawathanakul</w:t>
      </w:r>
      <w:proofErr w:type="spellEnd"/>
      <w:r w:rsidRPr="00A51850">
        <w:rPr>
          <w:rFonts w:ascii="Arial" w:hAnsi="Arial" w:cs="Arial"/>
          <w:lang w:val="en-GB"/>
        </w:rPr>
        <w:t xml:space="preserve">, P., Crizzle, A., </w:t>
      </w:r>
      <w:proofErr w:type="spellStart"/>
      <w:r w:rsidRPr="00A51850">
        <w:rPr>
          <w:rFonts w:ascii="Arial" w:hAnsi="Arial" w:cs="Arial"/>
          <w:lang w:val="en-GB"/>
        </w:rPr>
        <w:t>Tuokko</w:t>
      </w:r>
      <w:proofErr w:type="spellEnd"/>
      <w:r w:rsidRPr="00A51850">
        <w:rPr>
          <w:rFonts w:ascii="Arial" w:hAnsi="Arial" w:cs="Arial"/>
          <w:lang w:val="en-GB"/>
        </w:rPr>
        <w:t xml:space="preserve">, H., </w:t>
      </w:r>
      <w:proofErr w:type="spellStart"/>
      <w:r w:rsidRPr="00A51850">
        <w:rPr>
          <w:rFonts w:ascii="Arial" w:hAnsi="Arial" w:cs="Arial"/>
          <w:lang w:val="en-GB"/>
        </w:rPr>
        <w:t>Naglie</w:t>
      </w:r>
      <w:proofErr w:type="spellEnd"/>
      <w:r w:rsidRPr="00A51850">
        <w:rPr>
          <w:rFonts w:ascii="Arial" w:hAnsi="Arial" w:cs="Arial"/>
          <w:lang w:val="en-GB"/>
        </w:rPr>
        <w:t xml:space="preserve">, G. and Rapoport, M.J. (2021). Psychotherapeutic Interventions for Dementia: </w:t>
      </w:r>
      <w:proofErr w:type="gramStart"/>
      <w:r w:rsidRPr="00A51850">
        <w:rPr>
          <w:rFonts w:ascii="Arial" w:hAnsi="Arial" w:cs="Arial"/>
          <w:lang w:val="en-GB"/>
        </w:rPr>
        <w:t>a</w:t>
      </w:r>
      <w:proofErr w:type="gramEnd"/>
      <w:r w:rsidRPr="00A51850">
        <w:rPr>
          <w:rFonts w:ascii="Arial" w:hAnsi="Arial" w:cs="Arial"/>
          <w:lang w:val="en-GB"/>
        </w:rPr>
        <w:t xml:space="preserve"> Systematic Review. </w:t>
      </w:r>
      <w:r w:rsidRPr="00A51850">
        <w:rPr>
          <w:rFonts w:ascii="Arial" w:hAnsi="Arial" w:cs="Arial"/>
          <w:i/>
          <w:iCs/>
          <w:lang w:val="en-GB"/>
        </w:rPr>
        <w:t>Canadian Geriatrics Journal</w:t>
      </w:r>
      <w:r w:rsidRPr="00A51850">
        <w:rPr>
          <w:rFonts w:ascii="Arial" w:hAnsi="Arial" w:cs="Arial"/>
          <w:lang w:val="en-GB"/>
        </w:rPr>
        <w:t xml:space="preserve">, [online] 24(3), pp.222–236. </w:t>
      </w:r>
      <w:proofErr w:type="spellStart"/>
      <w:proofErr w:type="gramStart"/>
      <w:r w:rsidRPr="00A51850">
        <w:rPr>
          <w:rFonts w:ascii="Arial" w:hAnsi="Arial" w:cs="Arial"/>
          <w:lang w:val="en-GB"/>
        </w:rPr>
        <w:t>doi:https</w:t>
      </w:r>
      <w:proofErr w:type="spellEnd"/>
      <w:r w:rsidRPr="00A51850">
        <w:rPr>
          <w:rFonts w:ascii="Arial" w:hAnsi="Arial" w:cs="Arial"/>
          <w:lang w:val="en-GB"/>
        </w:rPr>
        <w:t>://doi.org/10.5770/cgj.24.447</w:t>
      </w:r>
      <w:proofErr w:type="gramEnd"/>
      <w:r w:rsidRPr="00A51850">
        <w:rPr>
          <w:rFonts w:ascii="Arial" w:hAnsi="Arial" w:cs="Arial"/>
          <w:lang w:val="en-GB"/>
        </w:rPr>
        <w:t>.</w:t>
      </w:r>
    </w:p>
    <w:p w14:paraId="1F0A63F8" w14:textId="77777777" w:rsidR="00991C9C" w:rsidRPr="00A51850" w:rsidRDefault="00991C9C">
      <w:pPr>
        <w:rPr>
          <w:rFonts w:ascii="Arial" w:hAnsi="Arial" w:cs="Arial"/>
        </w:rPr>
      </w:pPr>
    </w:p>
    <w:sectPr w:rsidR="00991C9C" w:rsidRPr="00A51850"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6B292" w14:textId="77777777" w:rsidR="005658AF" w:rsidRDefault="005658AF" w:rsidP="00AD396C">
      <w:pPr>
        <w:spacing w:after="0" w:line="240" w:lineRule="auto"/>
      </w:pPr>
      <w:r>
        <w:separator/>
      </w:r>
    </w:p>
  </w:endnote>
  <w:endnote w:type="continuationSeparator" w:id="0">
    <w:p w14:paraId="194C6838" w14:textId="77777777" w:rsidR="005658AF" w:rsidRDefault="005658AF" w:rsidP="00AD3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766304"/>
      <w:docPartObj>
        <w:docPartGallery w:val="Page Numbers (Bottom of Page)"/>
        <w:docPartUnique/>
      </w:docPartObj>
    </w:sdtPr>
    <w:sdtContent>
      <w:p w14:paraId="40870488" w14:textId="45E9905F" w:rsidR="00AD396C" w:rsidRDefault="00AD396C">
        <w:pPr>
          <w:pStyle w:val="Footer"/>
          <w:jc w:val="right"/>
        </w:pPr>
        <w:r>
          <w:fldChar w:fldCharType="begin"/>
        </w:r>
        <w:r>
          <w:instrText>PAGE   \* MERGEFORMAT</w:instrText>
        </w:r>
        <w:r>
          <w:fldChar w:fldCharType="separate"/>
        </w:r>
        <w:r>
          <w:rPr>
            <w:lang w:val="en-GB"/>
          </w:rPr>
          <w:t>2</w:t>
        </w:r>
        <w:r>
          <w:fldChar w:fldCharType="end"/>
        </w:r>
      </w:p>
    </w:sdtContent>
  </w:sdt>
  <w:p w14:paraId="7C0E0671" w14:textId="77777777" w:rsidR="00AD396C" w:rsidRDefault="00AD3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1BA87" w14:textId="77777777" w:rsidR="005658AF" w:rsidRDefault="005658AF" w:rsidP="00AD396C">
      <w:pPr>
        <w:spacing w:after="0" w:line="240" w:lineRule="auto"/>
      </w:pPr>
      <w:r>
        <w:separator/>
      </w:r>
    </w:p>
  </w:footnote>
  <w:footnote w:type="continuationSeparator" w:id="0">
    <w:p w14:paraId="2106A7D9" w14:textId="77777777" w:rsidR="005658AF" w:rsidRDefault="005658AF" w:rsidP="00AD3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3470569">
    <w:abstractNumId w:val="8"/>
  </w:num>
  <w:num w:numId="2" w16cid:durableId="502361065">
    <w:abstractNumId w:val="6"/>
  </w:num>
  <w:num w:numId="3" w16cid:durableId="2053074279">
    <w:abstractNumId w:val="5"/>
  </w:num>
  <w:num w:numId="4" w16cid:durableId="2038040188">
    <w:abstractNumId w:val="4"/>
  </w:num>
  <w:num w:numId="5" w16cid:durableId="1968049955">
    <w:abstractNumId w:val="7"/>
  </w:num>
  <w:num w:numId="6" w16cid:durableId="39017054">
    <w:abstractNumId w:val="3"/>
  </w:num>
  <w:num w:numId="7" w16cid:durableId="1092319122">
    <w:abstractNumId w:val="2"/>
  </w:num>
  <w:num w:numId="8" w16cid:durableId="372341676">
    <w:abstractNumId w:val="1"/>
  </w:num>
  <w:num w:numId="9" w16cid:durableId="1634289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4C73"/>
    <w:rsid w:val="0015074B"/>
    <w:rsid w:val="00154A73"/>
    <w:rsid w:val="001F4B58"/>
    <w:rsid w:val="0029369A"/>
    <w:rsid w:val="0029639D"/>
    <w:rsid w:val="002F22CF"/>
    <w:rsid w:val="003116E5"/>
    <w:rsid w:val="00326F90"/>
    <w:rsid w:val="003E5D4E"/>
    <w:rsid w:val="00415972"/>
    <w:rsid w:val="00415CC8"/>
    <w:rsid w:val="00475AEC"/>
    <w:rsid w:val="004B0E9A"/>
    <w:rsid w:val="005658AF"/>
    <w:rsid w:val="00574E0E"/>
    <w:rsid w:val="005D013B"/>
    <w:rsid w:val="00754294"/>
    <w:rsid w:val="0075795F"/>
    <w:rsid w:val="008938EF"/>
    <w:rsid w:val="00991C9C"/>
    <w:rsid w:val="009A0E37"/>
    <w:rsid w:val="00A51850"/>
    <w:rsid w:val="00AA1D8D"/>
    <w:rsid w:val="00AD396C"/>
    <w:rsid w:val="00AF15C1"/>
    <w:rsid w:val="00B47730"/>
    <w:rsid w:val="00BC4E63"/>
    <w:rsid w:val="00BF202C"/>
    <w:rsid w:val="00C7789E"/>
    <w:rsid w:val="00CB0664"/>
    <w:rsid w:val="00CF2F8F"/>
    <w:rsid w:val="00D20FC9"/>
    <w:rsid w:val="00D329FB"/>
    <w:rsid w:val="00DA0F2D"/>
    <w:rsid w:val="00DF0D60"/>
    <w:rsid w:val="00ED5E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6E3C00"/>
  <w14:defaultImageDpi w14:val="300"/>
  <w15:docId w15:val="{ECE7515F-9F18-4203-A2EE-66C8ADD1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a5bcb737a2b3eff44ad7719c233ef1c4">
  <xsd:schema xmlns:xsd="http://www.w3.org/2001/XMLSchema" xmlns:xs="http://www.w3.org/2001/XMLSchema" xmlns:p="http://schemas.microsoft.com/office/2006/metadata/properties" xmlns:ns3="ccfc14db-0f45-423b-b2f5-752f8f8a0ada" targetNamespace="http://schemas.microsoft.com/office/2006/metadata/properties" ma:root="true" ma:fieldsID="8766a4a67a633fd70d6fe72a9c993817"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FC10CFC-F97A-4EC9-97CA-195C36D6F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D3D02D-EEC9-4ABC-81CD-F057EB074B7F}">
  <ds:schemaRefs>
    <ds:schemaRef ds:uri="http://schemas.microsoft.com/sharepoint/v3/contenttype/forms"/>
  </ds:schemaRefs>
</ds:datastoreItem>
</file>

<file path=customXml/itemProps4.xml><?xml version="1.0" encoding="utf-8"?>
<ds:datastoreItem xmlns:ds="http://schemas.openxmlformats.org/officeDocument/2006/customXml" ds:itemID="{C315CBE3-CC53-437B-9146-2D7394A70EB8}">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1446</Words>
  <Characters>9336</Characters>
  <Application>Microsoft Office Word</Application>
  <DocSecurity>0</DocSecurity>
  <Lines>176</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Sabiha Zahid (2426800)</cp:lastModifiedBy>
  <cp:revision>4</cp:revision>
  <dcterms:created xsi:type="dcterms:W3CDTF">2025-11-15T13:09:00Z</dcterms:created>
  <dcterms:modified xsi:type="dcterms:W3CDTF">2025-11-15T13:17:00Z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