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Default Extension="bin" ContentType="application/vnd.openxmlformats-officedocument.oleObject"/>
  <Default Extension="wmf" ContentType="image/x-wmf"/>
  <Override PartName="/word/styles.xml" ContentType="application/vnd.openxmlformats-officedocument.wordprocessingml.styles+xml"/>
  <Override PartName="/word/numbering.xml" ContentType="application/vnd.openxmlformats-officedocument.wordprocessingml.numbering+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0" w:after="160" w:line="256"/>
        <w:ind w:right="0" w:left="0" w:firstLine="0"/>
        <w:jc w:val="center"/>
        <w:rPr>
          <w:rFonts w:ascii="Arial" w:hAnsi="Arial" w:cs="Arial" w:eastAsia="Arial"/>
          <w:color w:val="auto"/>
          <w:spacing w:val="0"/>
          <w:position w:val="0"/>
          <w:sz w:val="24"/>
          <w:shd w:fill="auto" w:val="clear"/>
        </w:rPr>
      </w:pPr>
      <w:r>
        <w:object w:dxaOrig="11901" w:dyaOrig="4946">
          <v:rect xmlns:o="urn:schemas-microsoft-com:office:office" xmlns:v="urn:schemas-microsoft-com:vml" id="rectole0000000000" style="width:595.050000pt;height:247.300000pt" o:preferrelative="t" o:ole="">
            <o:lock v:ext="edit"/>
            <v:imagedata xmlns:r="http://schemas.openxmlformats.org/officeDocument/2006/relationships" r:id="docRId1" o:title=""/>
          </v:rect>
          <o:OLEObject xmlns:r="http://schemas.openxmlformats.org/officeDocument/2006/relationships" xmlns:o="urn:schemas-microsoft-com:office:office" Type="Embed" ProgID="StaticMetafile" DrawAspect="Content" ObjectID="0000000000" ShapeID="rectole0000000000" r:id="docRId0"/>
        </w:object>
      </w:r>
    </w:p>
    <w:p>
      <w:pPr>
        <w:spacing w:before="0" w:after="160" w:line="256"/>
        <w:ind w:right="0" w:left="0" w:firstLine="0"/>
        <w:jc w:val="center"/>
        <w:rPr>
          <w:rFonts w:ascii="Arial" w:hAnsi="Arial" w:cs="Arial" w:eastAsia="Arial"/>
          <w:color w:val="auto"/>
          <w:spacing w:val="0"/>
          <w:position w:val="0"/>
          <w:sz w:val="40"/>
          <w:shd w:fill="auto" w:val="clear"/>
        </w:rPr>
      </w:pPr>
      <w:r>
        <w:rPr>
          <w:rFonts w:ascii="Arial" w:hAnsi="Arial" w:cs="Arial" w:eastAsia="Arial"/>
          <w:color w:val="auto"/>
          <w:spacing w:val="0"/>
          <w:position w:val="0"/>
          <w:sz w:val="40"/>
          <w:shd w:fill="auto" w:val="clear"/>
        </w:rPr>
        <w:t xml:space="preserve">Mental Health Problems Among UK Postgraduate Students in the UK: Causes and Solutions; A Systematic Review  </w:t>
      </w:r>
    </w:p>
    <w:p>
      <w:pPr>
        <w:spacing w:before="0" w:after="158" w:line="360"/>
        <w:ind w:right="0" w:left="59" w:firstLine="0"/>
        <w:jc w:val="center"/>
        <w:rPr>
          <w:rFonts w:ascii="Arial" w:hAnsi="Arial" w:cs="Arial" w:eastAsia="Arial"/>
          <w:color w:val="auto"/>
          <w:spacing w:val="0"/>
          <w:position w:val="0"/>
          <w:sz w:val="24"/>
          <w:shd w:fill="auto" w:val="clear"/>
        </w:rPr>
      </w:pPr>
    </w:p>
    <w:p>
      <w:pPr>
        <w:spacing w:before="0" w:after="158" w:line="360"/>
        <w:ind w:right="0" w:left="59" w:firstLine="0"/>
        <w:jc w:val="center"/>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Student Name:  Tariqur Rahman </w:t>
      </w:r>
    </w:p>
    <w:p>
      <w:pPr>
        <w:spacing w:before="0" w:after="158" w:line="360"/>
        <w:ind w:right="0" w:left="59" w:firstLine="0"/>
        <w:jc w:val="center"/>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Student ID: 2504359</w:t>
      </w:r>
    </w:p>
    <w:p>
      <w:pPr>
        <w:spacing w:before="0" w:after="158" w:line="360"/>
        <w:ind w:right="0" w:left="59" w:firstLine="0"/>
        <w:jc w:val="center"/>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Word count: 16473 words</w:t>
      </w:r>
    </w:p>
    <w:p>
      <w:pPr>
        <w:spacing w:before="0" w:after="158" w:line="360"/>
        <w:ind w:right="0" w:left="59" w:firstLine="0"/>
        <w:jc w:val="center"/>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Supervisor: Ping Wu </w:t>
      </w:r>
    </w:p>
    <w:p>
      <w:pPr>
        <w:spacing w:before="0" w:after="158" w:line="360"/>
        <w:ind w:right="0" w:left="59" w:firstLine="0"/>
        <w:jc w:val="center"/>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Submission Date: 24</w:t>
      </w:r>
      <w:r>
        <w:rPr>
          <w:rFonts w:ascii="Arial" w:hAnsi="Arial" w:cs="Arial" w:eastAsia="Arial"/>
          <w:color w:val="auto"/>
          <w:spacing w:val="0"/>
          <w:position w:val="0"/>
          <w:sz w:val="24"/>
          <w:shd w:fill="auto" w:val="clear"/>
          <w:vertAlign w:val="superscript"/>
        </w:rPr>
        <w:t xml:space="preserve">th</w:t>
      </w:r>
      <w:r>
        <w:rPr>
          <w:rFonts w:ascii="Arial" w:hAnsi="Arial" w:cs="Arial" w:eastAsia="Arial"/>
          <w:color w:val="auto"/>
          <w:spacing w:val="0"/>
          <w:position w:val="0"/>
          <w:sz w:val="24"/>
          <w:shd w:fill="auto" w:val="clear"/>
        </w:rPr>
        <w:t xml:space="preserve"> September 2026</w:t>
      </w:r>
    </w:p>
    <w:p>
      <w:pPr>
        <w:spacing w:before="0" w:after="160" w:line="256"/>
        <w:ind w:right="0" w:left="0" w:firstLine="0"/>
        <w:jc w:val="center"/>
        <w:rPr>
          <w:rFonts w:ascii="Arial" w:hAnsi="Arial" w:cs="Arial" w:eastAsia="Arial"/>
          <w:color w:val="auto"/>
          <w:spacing w:val="0"/>
          <w:position w:val="0"/>
          <w:sz w:val="24"/>
          <w:shd w:fill="auto" w:val="clear"/>
        </w:rPr>
      </w:pPr>
    </w:p>
    <w:p>
      <w:pPr>
        <w:spacing w:before="0" w:after="160" w:line="256"/>
        <w:ind w:right="0" w:left="0" w:firstLine="0"/>
        <w:jc w:val="center"/>
        <w:rPr>
          <w:rFonts w:ascii="Arial" w:hAnsi="Arial" w:cs="Arial" w:eastAsia="Arial"/>
          <w:color w:val="auto"/>
          <w:spacing w:val="0"/>
          <w:position w:val="0"/>
          <w:sz w:val="24"/>
          <w:shd w:fill="auto" w:val="clear"/>
        </w:rPr>
      </w:pPr>
    </w:p>
    <w:p>
      <w:pPr>
        <w:spacing w:before="0" w:after="160" w:line="256"/>
        <w:ind w:right="0" w:left="0" w:firstLine="0"/>
        <w:jc w:val="center"/>
        <w:rPr>
          <w:rFonts w:ascii="Arial" w:hAnsi="Arial" w:cs="Arial" w:eastAsia="Arial"/>
          <w:color w:val="auto"/>
          <w:spacing w:val="0"/>
          <w:position w:val="0"/>
          <w:sz w:val="24"/>
          <w:shd w:fill="auto" w:val="clear"/>
        </w:rPr>
      </w:pPr>
    </w:p>
    <w:p>
      <w:pPr>
        <w:spacing w:before="0" w:after="160" w:line="256"/>
        <w:ind w:right="0" w:left="0" w:firstLine="0"/>
        <w:jc w:val="center"/>
        <w:rPr>
          <w:rFonts w:ascii="Arial" w:hAnsi="Arial" w:cs="Arial" w:eastAsia="Arial"/>
          <w:color w:val="auto"/>
          <w:spacing w:val="0"/>
          <w:position w:val="0"/>
          <w:sz w:val="24"/>
          <w:shd w:fill="auto" w:val="clear"/>
        </w:rPr>
      </w:pPr>
    </w:p>
    <w:p>
      <w:pPr>
        <w:spacing w:before="0" w:after="160" w:line="256"/>
        <w:ind w:right="0" w:left="0" w:firstLine="0"/>
        <w:jc w:val="center"/>
        <w:rPr>
          <w:rFonts w:ascii="Arial" w:hAnsi="Arial" w:cs="Arial" w:eastAsia="Arial"/>
          <w:color w:val="auto"/>
          <w:spacing w:val="0"/>
          <w:position w:val="0"/>
          <w:sz w:val="24"/>
          <w:shd w:fill="auto" w:val="clear"/>
        </w:rPr>
      </w:pPr>
    </w:p>
    <w:p>
      <w:pPr>
        <w:spacing w:before="0" w:after="156" w:line="360"/>
        <w:ind w:right="0" w:left="59" w:firstLine="0"/>
        <w:jc w:val="center"/>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A Dissertation submitted in partial fulfilment of the requirements for the degree of Masters of Science in Public Health and Social Care in Practice</w:t>
      </w:r>
    </w:p>
    <w:p>
      <w:pPr>
        <w:spacing w:before="0" w:after="160" w:line="259"/>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 </w:t>
      </w:r>
    </w:p>
    <w:p>
      <w:pPr>
        <w:spacing w:before="0" w:after="160" w:line="259"/>
        <w:ind w:right="0" w:left="0" w:firstLine="0"/>
        <w:jc w:val="left"/>
        <w:rPr>
          <w:rFonts w:ascii="Arial" w:hAnsi="Arial" w:cs="Arial" w:eastAsia="Arial"/>
          <w:color w:val="auto"/>
          <w:spacing w:val="0"/>
          <w:position w:val="0"/>
          <w:sz w:val="22"/>
          <w:shd w:fill="auto" w:val="clear"/>
        </w:rPr>
      </w:pPr>
    </w:p>
    <w:p>
      <w:pPr>
        <w:keepNext w:val="true"/>
        <w:keepLines w:val="true"/>
        <w:spacing w:before="240" w:after="240" w:line="276"/>
        <w:ind w:right="0" w:left="0" w:firstLine="0"/>
        <w:jc w:val="center"/>
        <w:rPr>
          <w:rFonts w:ascii="Arial" w:hAnsi="Arial" w:cs="Arial" w:eastAsia="Arial"/>
          <w:b/>
          <w:color w:val="auto"/>
          <w:spacing w:val="0"/>
          <w:position w:val="0"/>
          <w:sz w:val="32"/>
          <w:shd w:fill="DBDBDB" w:val="clear"/>
        </w:rPr>
      </w:pPr>
      <w:r>
        <w:rPr>
          <w:rFonts w:ascii="Arial" w:hAnsi="Arial" w:cs="Arial" w:eastAsia="Arial"/>
          <w:b/>
          <w:color w:val="auto"/>
          <w:spacing w:val="0"/>
          <w:position w:val="0"/>
          <w:sz w:val="32"/>
          <w:shd w:fill="DBDBDB" w:val="clear"/>
        </w:rPr>
        <w:t xml:space="preserve">DECLARATION</w:t>
      </w:r>
    </w:p>
    <w:p>
      <w:pPr>
        <w:spacing w:before="0" w:after="160" w:line="259"/>
        <w:ind w:right="0" w:left="0" w:firstLine="0"/>
        <w:jc w:val="left"/>
        <w:rPr>
          <w:rFonts w:ascii="Arial" w:hAnsi="Arial" w:cs="Arial" w:eastAsia="Arial"/>
          <w:color w:val="auto"/>
          <w:spacing w:val="0"/>
          <w:position w:val="0"/>
          <w:sz w:val="22"/>
          <w:shd w:fill="auto" w:val="clear"/>
        </w:rPr>
      </w:pP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I, </w:t>
      </w:r>
      <w:r>
        <w:rPr>
          <w:rFonts w:ascii="Arial" w:hAnsi="Arial" w:cs="Arial" w:eastAsia="Arial"/>
          <w:b/>
          <w:color w:val="auto"/>
          <w:spacing w:val="0"/>
          <w:position w:val="0"/>
          <w:sz w:val="22"/>
          <w:u w:val="single"/>
          <w:shd w:fill="auto" w:val="clear"/>
        </w:rPr>
        <w:t xml:space="preserve">Tariqur Rahman </w:t>
      </w:r>
      <w:r>
        <w:rPr>
          <w:rFonts w:ascii="Arial" w:hAnsi="Arial" w:cs="Arial" w:eastAsia="Arial"/>
          <w:color w:val="auto"/>
          <w:spacing w:val="0"/>
          <w:position w:val="0"/>
          <w:sz w:val="22"/>
          <w:shd w:fill="auto" w:val="clear"/>
        </w:rPr>
        <w:t xml:space="preserve">declare that this dissertation has been composed by myself, that the work contained herein is entirely my own except where explicitly stated otherwise in the text, and that this work has not been submitted for any other degree or qualification, in whole or in part, except as specified.</w:t>
        <w:t xml:space="preserve"> </w:t>
      </w:r>
    </w:p>
    <w:p>
      <w:pPr>
        <w:spacing w:before="0" w:after="160" w:line="360"/>
        <w:ind w:right="0" w:left="0" w:firstLine="0"/>
        <w:jc w:val="both"/>
        <w:rPr>
          <w:rFonts w:ascii="Arial" w:hAnsi="Arial" w:cs="Arial" w:eastAsia="Arial"/>
          <w:color w:val="auto"/>
          <w:spacing w:val="0"/>
          <w:position w:val="0"/>
          <w:sz w:val="22"/>
          <w:shd w:fill="auto" w:val="clear"/>
        </w:rPr>
      </w:pPr>
    </w:p>
    <w:p>
      <w:pPr>
        <w:keepNext w:val="true"/>
        <w:keepLines w:val="true"/>
        <w:spacing w:before="240" w:after="240" w:line="276"/>
        <w:ind w:right="0" w:left="0" w:firstLine="0"/>
        <w:jc w:val="center"/>
        <w:rPr>
          <w:rFonts w:ascii="Arial" w:hAnsi="Arial" w:cs="Arial" w:eastAsia="Arial"/>
          <w:b/>
          <w:color w:val="auto"/>
          <w:spacing w:val="0"/>
          <w:position w:val="0"/>
          <w:sz w:val="32"/>
          <w:shd w:fill="DBDBDB" w:val="clear"/>
        </w:rPr>
      </w:pPr>
      <w:r>
        <w:rPr>
          <w:rFonts w:ascii="Arial" w:hAnsi="Arial" w:cs="Arial" w:eastAsia="Arial"/>
          <w:b/>
          <w:color w:val="auto"/>
          <w:spacing w:val="0"/>
          <w:position w:val="0"/>
          <w:sz w:val="32"/>
          <w:shd w:fill="DBDBDB" w:val="clear"/>
        </w:rPr>
        <w:t xml:space="preserve">Acknowledgements</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I am thankful to my dissertation supervisor for guidance, constructive feedback, and encouragement throughout the process of this research. I would also like to thank the academic staff from the University of Wales Trinity Saint David for being my tutors during my MSc studies. My appreciation extends to my family and friends for their patience, motivation, and understanding throughout the dissertation process. Last but not least, I would like to thank those researchers and organizations that have reported their findings and have contributed immensely to making this systematic review possible and effective.</w:t>
      </w:r>
    </w:p>
    <w:p>
      <w:pPr>
        <w:spacing w:before="0" w:after="160" w:line="259"/>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 </w:t>
      </w:r>
    </w:p>
    <w:p>
      <w:pPr>
        <w:spacing w:before="0" w:after="160" w:line="259"/>
        <w:ind w:right="0" w:left="0" w:firstLine="0"/>
        <w:jc w:val="left"/>
        <w:rPr>
          <w:rFonts w:ascii="Arial" w:hAnsi="Arial" w:cs="Arial" w:eastAsia="Arial"/>
          <w:color w:val="auto"/>
          <w:spacing w:val="0"/>
          <w:position w:val="0"/>
          <w:sz w:val="22"/>
          <w:shd w:fill="auto" w:val="clear"/>
        </w:rPr>
      </w:pPr>
    </w:p>
    <w:p>
      <w:pPr>
        <w:keepNext w:val="true"/>
        <w:keepLines w:val="true"/>
        <w:spacing w:before="240" w:after="240" w:line="276"/>
        <w:ind w:right="0" w:left="0" w:firstLine="0"/>
        <w:jc w:val="center"/>
        <w:rPr>
          <w:rFonts w:ascii="Arial" w:hAnsi="Arial" w:cs="Arial" w:eastAsia="Arial"/>
          <w:b/>
          <w:color w:val="auto"/>
          <w:spacing w:val="0"/>
          <w:position w:val="0"/>
          <w:sz w:val="32"/>
          <w:shd w:fill="DBDBDB" w:val="clear"/>
        </w:rPr>
      </w:pPr>
      <w:r>
        <w:rPr>
          <w:rFonts w:ascii="Arial" w:hAnsi="Arial" w:cs="Arial" w:eastAsia="Arial"/>
          <w:b/>
          <w:color w:val="auto"/>
          <w:spacing w:val="0"/>
          <w:position w:val="0"/>
          <w:sz w:val="32"/>
          <w:shd w:fill="DBDBDB" w:val="clear"/>
        </w:rPr>
        <w:t xml:space="preserve">Abstract</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The aim of this systematic review was to explore the nature and prevalence of mental health issues in UK postgraduate students, as well as factors likely to be associated with mental health issues as identified in the literature, with a specific focus on financial stress, the rising cost of living, stress related to postgraduate study including, supervision, social isolation and access to support. An SMCR (Systematic Mixed Evidence) approach was used, and PRISMA 2020 was used to report the selection of studies, and CASP was used to appraise the qualitative studies. Relevant studies were identified by conducting structured searches of the databases, screened according to eligibility criteria, critically appraised (using design-specific tools) and summarised in a narrative and thematic synthesis. Fifteen reports were included in the final synthesis. These themes were interrelated and came in 4 categories: financial and structural pressures, academic, supervisory and social relationships, mental health outcomes and academic functioning, help-seeking and multi-level support. There was robust evidence of significant levels of anxiety, depression and psychological distress in postgraduate students, but these varied somewhat among samples, measures and study designs. Relationships which promoted peer connection and access to services had a positive association with wellbeing, while financial insecurity, workload, supervision challenges, isolation and stigma were associated with poorer wellbeing in repeated instances. The evidence on the effectiveness of long-term intervention and on postgraduate taught students was relatively limited. The review is that for a postgraduate, mental health care should not be seen as a problem solely at the individual level. The universities should take a multi-faceted approach to mental health provision, including responsive supervision, peer connection, clear and straightforward referral pathways, timely provision for mental health and financial support. Longitudinal studies, multi-university studies and the assessment of interventions specifically for postgraduates should be the focus of future research and development.</w:t>
        <w:t xml:space="preserve"> </w:t>
      </w:r>
    </w:p>
    <w:p>
      <w:pPr>
        <w:spacing w:before="0" w:after="160" w:line="360"/>
        <w:ind w:right="0" w:left="0" w:firstLine="0"/>
        <w:jc w:val="both"/>
        <w:rPr>
          <w:rFonts w:ascii="Arial" w:hAnsi="Arial" w:cs="Arial" w:eastAsia="Arial"/>
          <w:color w:val="auto"/>
          <w:spacing w:val="0"/>
          <w:position w:val="0"/>
          <w:sz w:val="22"/>
          <w:shd w:fill="auto" w:val="clear"/>
        </w:rPr>
      </w:pPr>
    </w:p>
    <w:p>
      <w:pPr>
        <w:keepNext w:val="true"/>
        <w:keepLines w:val="true"/>
        <w:spacing w:before="240" w:after="240" w:line="276"/>
        <w:ind w:right="0" w:left="0" w:firstLine="0"/>
        <w:jc w:val="center"/>
        <w:rPr>
          <w:rFonts w:ascii="Arial" w:hAnsi="Arial" w:cs="Arial" w:eastAsia="Arial"/>
          <w:b/>
          <w:color w:val="auto"/>
          <w:spacing w:val="0"/>
          <w:position w:val="0"/>
          <w:sz w:val="32"/>
          <w:shd w:fill="DBDBDB" w:val="clear"/>
        </w:rPr>
      </w:pPr>
      <w:r>
        <w:rPr>
          <w:rFonts w:ascii="Arial" w:hAnsi="Arial" w:cs="Arial" w:eastAsia="Arial"/>
          <w:b/>
          <w:color w:val="auto"/>
          <w:spacing w:val="0"/>
          <w:position w:val="0"/>
          <w:sz w:val="32"/>
          <w:shd w:fill="DBDBDB" w:val="clear"/>
        </w:rPr>
        <w:t xml:space="preserve">List of Abbreviations</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CASP - Critical Appraisal Skills Programme</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CINAHL - Cumulative Index to Nursing and Allied Health Literature</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DASS-21 - Depression Anxiety Stress Scales </w:t>
      </w:r>
      <w:r>
        <w:rPr>
          <w:rFonts w:ascii="Arial" w:hAnsi="Arial" w:cs="Arial" w:eastAsia="Arial"/>
          <w:color w:val="auto"/>
          <w:spacing w:val="0"/>
          <w:position w:val="0"/>
          <w:sz w:val="22"/>
          <w:shd w:fill="auto" w:val="clear"/>
        </w:rPr>
        <w:t xml:space="preserve">–</w:t>
      </w:r>
      <w:r>
        <w:rPr>
          <w:rFonts w:ascii="Arial" w:hAnsi="Arial" w:cs="Arial" w:eastAsia="Arial"/>
          <w:color w:val="auto"/>
          <w:spacing w:val="0"/>
          <w:position w:val="0"/>
          <w:sz w:val="22"/>
          <w:shd w:fill="auto" w:val="clear"/>
        </w:rPr>
        <w:t xml:space="preserve"> 21 Items</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JBI - Joanna Briggs Institute</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MMAT - Mixed Methods Appraisal Tool</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NHS - National Health Service</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PGT - Postgraduate Taught</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PGR - Postgraduate Research</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PICO - Population, Intervention/Interest, Comparison and Outcome</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PRISMA - Preferred Reporting Items for Systematic Reviews and Meta-Analyses</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SWiM - Synthesis Without Meta-analysis</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WHO - World Health Organization</w:t>
        <w:t xml:space="preserve"> </w:t>
      </w:r>
    </w:p>
    <w:p>
      <w:pPr>
        <w:spacing w:before="0" w:after="160" w:line="360"/>
        <w:ind w:right="0" w:left="0" w:firstLine="0"/>
        <w:jc w:val="both"/>
        <w:rPr>
          <w:rFonts w:ascii="Arial" w:hAnsi="Arial" w:cs="Arial" w:eastAsia="Arial"/>
          <w:color w:val="auto"/>
          <w:spacing w:val="0"/>
          <w:position w:val="0"/>
          <w:sz w:val="22"/>
          <w:shd w:fill="auto" w:val="clear"/>
        </w:rPr>
      </w:pPr>
    </w:p>
    <w:p>
      <w:pPr>
        <w:keepNext w:val="true"/>
        <w:keepLines w:val="true"/>
        <w:spacing w:before="240" w:after="240" w:line="276"/>
        <w:ind w:right="0" w:left="0" w:firstLine="0"/>
        <w:jc w:val="center"/>
        <w:rPr>
          <w:rFonts w:ascii="Arial" w:hAnsi="Arial" w:cs="Arial" w:eastAsia="Arial"/>
          <w:b/>
          <w:color w:val="auto"/>
          <w:spacing w:val="0"/>
          <w:position w:val="0"/>
          <w:sz w:val="32"/>
          <w:shd w:fill="DBDBDB" w:val="clear"/>
        </w:rPr>
      </w:pPr>
      <w:r>
        <w:rPr>
          <w:rFonts w:ascii="Arial" w:hAnsi="Arial" w:cs="Arial" w:eastAsia="Arial"/>
          <w:b/>
          <w:color w:val="auto"/>
          <w:spacing w:val="0"/>
          <w:position w:val="0"/>
          <w:sz w:val="32"/>
          <w:shd w:fill="DBDBDB" w:val="clear"/>
        </w:rPr>
        <w:t xml:space="preserve">List of Figures</w:t>
      </w:r>
    </w:p>
    <w:tbl>
      <w:tblPr/>
      <w:tblGrid>
        <w:gridCol w:w="1337"/>
        <w:gridCol w:w="8211"/>
      </w:tblGrid>
      <w:tr>
        <w:trPr>
          <w:trHeight w:val="485" w:hRule="auto"/>
          <w:jc w:val="left"/>
        </w:trPr>
        <w:tc>
          <w:tcPr>
            <w:tcW w:w="133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259"/>
              <w:ind w:right="0" w:left="0" w:firstLine="0"/>
              <w:jc w:val="left"/>
              <w:rPr>
                <w:color w:val="auto"/>
                <w:spacing w:val="0"/>
                <w:position w:val="0"/>
                <w:sz w:val="22"/>
                <w:shd w:fill="auto" w:val="clear"/>
              </w:rPr>
            </w:pPr>
            <w:r>
              <w:rPr>
                <w:rFonts w:ascii="Arial" w:hAnsi="Arial" w:cs="Arial" w:eastAsia="Arial"/>
                <w:b/>
                <w:color w:val="auto"/>
                <w:spacing w:val="0"/>
                <w:position w:val="0"/>
                <w:sz w:val="22"/>
                <w:shd w:fill="auto" w:val="clear"/>
              </w:rPr>
              <w:t xml:space="preserve">Figure</w:t>
            </w:r>
          </w:p>
        </w:tc>
        <w:tc>
          <w:tcPr>
            <w:tcW w:w="8211"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259"/>
              <w:ind w:right="0" w:left="0" w:firstLine="0"/>
              <w:jc w:val="left"/>
              <w:rPr>
                <w:color w:val="auto"/>
                <w:spacing w:val="0"/>
                <w:position w:val="0"/>
                <w:sz w:val="22"/>
                <w:shd w:fill="auto" w:val="clear"/>
              </w:rPr>
            </w:pPr>
            <w:r>
              <w:rPr>
                <w:rFonts w:ascii="Arial" w:hAnsi="Arial" w:cs="Arial" w:eastAsia="Arial"/>
                <w:b/>
                <w:color w:val="auto"/>
                <w:spacing w:val="0"/>
                <w:position w:val="0"/>
                <w:sz w:val="22"/>
                <w:shd w:fill="auto" w:val="clear"/>
              </w:rPr>
              <w:t xml:space="preserve">Title</w:t>
            </w:r>
          </w:p>
        </w:tc>
      </w:tr>
      <w:tr>
        <w:trPr>
          <w:trHeight w:val="497" w:hRule="auto"/>
          <w:jc w:val="left"/>
        </w:trPr>
        <w:tc>
          <w:tcPr>
            <w:tcW w:w="133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259"/>
              <w:ind w:right="0" w:left="0" w:firstLine="0"/>
              <w:jc w:val="left"/>
              <w:rPr>
                <w:color w:val="auto"/>
                <w:spacing w:val="0"/>
                <w:position w:val="0"/>
                <w:sz w:val="22"/>
                <w:shd w:fill="auto" w:val="clear"/>
              </w:rPr>
            </w:pPr>
            <w:r>
              <w:rPr>
                <w:rFonts w:ascii="Arial" w:hAnsi="Arial" w:cs="Arial" w:eastAsia="Arial"/>
                <w:b/>
                <w:color w:val="auto"/>
                <w:spacing w:val="0"/>
                <w:position w:val="0"/>
                <w:sz w:val="22"/>
                <w:shd w:fill="auto" w:val="clear"/>
              </w:rPr>
              <w:t xml:space="preserve">Figure 1</w:t>
            </w:r>
          </w:p>
        </w:tc>
        <w:tc>
          <w:tcPr>
            <w:tcW w:w="8211"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259"/>
              <w:ind w:right="0" w:left="0" w:firstLine="0"/>
              <w:jc w:val="left"/>
              <w:rPr>
                <w:color w:val="auto"/>
                <w:spacing w:val="0"/>
                <w:position w:val="0"/>
                <w:sz w:val="22"/>
                <w:shd w:fill="auto" w:val="clear"/>
              </w:rPr>
            </w:pPr>
            <w:r>
              <w:rPr>
                <w:rFonts w:ascii="Arial" w:hAnsi="Arial" w:cs="Arial" w:eastAsia="Arial"/>
                <w:color w:val="auto"/>
                <w:spacing w:val="0"/>
                <w:position w:val="0"/>
                <w:sz w:val="22"/>
                <w:shd w:fill="auto" w:val="clear"/>
              </w:rPr>
              <w:t xml:space="preserve">Cost-of-living pressures affecting higher education students in England, 2023</w:t>
            </w:r>
          </w:p>
        </w:tc>
      </w:tr>
      <w:tr>
        <w:trPr>
          <w:trHeight w:val="485" w:hRule="auto"/>
          <w:jc w:val="left"/>
        </w:trPr>
        <w:tc>
          <w:tcPr>
            <w:tcW w:w="133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259"/>
              <w:ind w:right="0" w:left="0" w:firstLine="0"/>
              <w:jc w:val="left"/>
              <w:rPr>
                <w:color w:val="auto"/>
                <w:spacing w:val="0"/>
                <w:position w:val="0"/>
                <w:sz w:val="22"/>
                <w:shd w:fill="auto" w:val="clear"/>
              </w:rPr>
            </w:pPr>
            <w:r>
              <w:rPr>
                <w:rFonts w:ascii="Arial" w:hAnsi="Arial" w:cs="Arial" w:eastAsia="Arial"/>
                <w:b/>
                <w:color w:val="auto"/>
                <w:spacing w:val="0"/>
                <w:position w:val="0"/>
                <w:sz w:val="22"/>
                <w:shd w:fill="auto" w:val="clear"/>
              </w:rPr>
              <w:t xml:space="preserve">Figure 2</w:t>
            </w:r>
          </w:p>
        </w:tc>
        <w:tc>
          <w:tcPr>
            <w:tcW w:w="8211"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259"/>
              <w:ind w:right="0" w:left="0" w:firstLine="0"/>
              <w:jc w:val="left"/>
              <w:rPr>
                <w:color w:val="auto"/>
                <w:spacing w:val="0"/>
                <w:position w:val="0"/>
                <w:sz w:val="22"/>
                <w:shd w:fill="auto" w:val="clear"/>
              </w:rPr>
            </w:pPr>
            <w:r>
              <w:rPr>
                <w:rFonts w:ascii="Arial" w:hAnsi="Arial" w:cs="Arial" w:eastAsia="Arial"/>
                <w:color w:val="auto"/>
                <w:spacing w:val="0"/>
                <w:position w:val="0"/>
                <w:sz w:val="22"/>
                <w:shd w:fill="auto" w:val="clear"/>
              </w:rPr>
              <w:t xml:space="preserve">Dissertation chapters summary</w:t>
            </w:r>
          </w:p>
        </w:tc>
      </w:tr>
      <w:tr>
        <w:trPr>
          <w:trHeight w:val="485" w:hRule="auto"/>
          <w:jc w:val="left"/>
        </w:trPr>
        <w:tc>
          <w:tcPr>
            <w:tcW w:w="133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259"/>
              <w:ind w:right="0" w:left="0" w:firstLine="0"/>
              <w:jc w:val="left"/>
              <w:rPr>
                <w:color w:val="auto"/>
                <w:spacing w:val="0"/>
                <w:position w:val="0"/>
                <w:sz w:val="22"/>
                <w:shd w:fill="auto" w:val="clear"/>
              </w:rPr>
            </w:pPr>
            <w:r>
              <w:rPr>
                <w:rFonts w:ascii="Arial" w:hAnsi="Arial" w:cs="Arial" w:eastAsia="Arial"/>
                <w:b/>
                <w:color w:val="auto"/>
                <w:spacing w:val="0"/>
                <w:position w:val="0"/>
                <w:sz w:val="22"/>
                <w:shd w:fill="auto" w:val="clear"/>
              </w:rPr>
              <w:t xml:space="preserve">Figure 4.1</w:t>
            </w:r>
          </w:p>
        </w:tc>
        <w:tc>
          <w:tcPr>
            <w:tcW w:w="8211"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259"/>
              <w:ind w:right="0" w:left="0" w:firstLine="0"/>
              <w:jc w:val="left"/>
              <w:rPr>
                <w:color w:val="auto"/>
                <w:spacing w:val="0"/>
                <w:position w:val="0"/>
                <w:sz w:val="22"/>
                <w:shd w:fill="auto" w:val="clear"/>
              </w:rPr>
            </w:pPr>
            <w:r>
              <w:rPr>
                <w:rFonts w:ascii="Arial" w:hAnsi="Arial" w:cs="Arial" w:eastAsia="Arial"/>
                <w:color w:val="auto"/>
                <w:spacing w:val="0"/>
                <w:position w:val="0"/>
                <w:sz w:val="22"/>
                <w:shd w:fill="auto" w:val="clear"/>
              </w:rPr>
              <w:t xml:space="preserve">PRISMA 2020 flow of study selection</w:t>
            </w:r>
          </w:p>
        </w:tc>
      </w:tr>
    </w:tbl>
    <w:p>
      <w:pPr>
        <w:keepNext w:val="true"/>
        <w:keepLines w:val="true"/>
        <w:spacing w:before="240" w:after="240" w:line="276"/>
        <w:ind w:right="0" w:left="0" w:firstLine="0"/>
        <w:jc w:val="center"/>
        <w:rPr>
          <w:rFonts w:ascii="Arial" w:hAnsi="Arial" w:cs="Arial" w:eastAsia="Arial"/>
          <w:b/>
          <w:color w:val="auto"/>
          <w:spacing w:val="0"/>
          <w:position w:val="0"/>
          <w:sz w:val="32"/>
          <w:shd w:fill="DBDBDB" w:val="clear"/>
        </w:rPr>
      </w:pPr>
      <w:r>
        <w:rPr>
          <w:rFonts w:ascii="Arial" w:hAnsi="Arial" w:cs="Arial" w:eastAsia="Arial"/>
          <w:b/>
          <w:color w:val="auto"/>
          <w:spacing w:val="0"/>
          <w:position w:val="0"/>
          <w:sz w:val="32"/>
          <w:shd w:fill="DBDBDB" w:val="clear"/>
        </w:rPr>
        <w:t xml:space="preserve">List of Tables</w:t>
      </w:r>
    </w:p>
    <w:tbl>
      <w:tblPr/>
      <w:tblGrid>
        <w:gridCol w:w="2311"/>
        <w:gridCol w:w="7265"/>
      </w:tblGrid>
      <w:tr>
        <w:trPr>
          <w:trHeight w:val="1" w:hRule="atLeast"/>
          <w:jc w:val="left"/>
        </w:trPr>
        <w:tc>
          <w:tcPr>
            <w:tcW w:w="2311"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259"/>
              <w:ind w:right="0" w:left="0" w:firstLine="0"/>
              <w:jc w:val="left"/>
              <w:rPr>
                <w:color w:val="auto"/>
                <w:spacing w:val="0"/>
                <w:position w:val="0"/>
                <w:sz w:val="22"/>
                <w:shd w:fill="auto" w:val="clear"/>
              </w:rPr>
            </w:pPr>
            <w:r>
              <w:rPr>
                <w:rFonts w:ascii="Arial" w:hAnsi="Arial" w:cs="Arial" w:eastAsia="Arial"/>
                <w:b/>
                <w:color w:val="auto"/>
                <w:spacing w:val="0"/>
                <w:position w:val="0"/>
                <w:sz w:val="22"/>
                <w:shd w:fill="auto" w:val="clear"/>
              </w:rPr>
              <w:t xml:space="preserve">Table</w:t>
            </w:r>
          </w:p>
        </w:tc>
        <w:tc>
          <w:tcPr>
            <w:tcW w:w="726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259"/>
              <w:ind w:right="0" w:left="0" w:firstLine="0"/>
              <w:jc w:val="left"/>
              <w:rPr>
                <w:color w:val="auto"/>
                <w:spacing w:val="0"/>
                <w:position w:val="0"/>
                <w:sz w:val="22"/>
                <w:shd w:fill="auto" w:val="clear"/>
              </w:rPr>
            </w:pPr>
            <w:r>
              <w:rPr>
                <w:rFonts w:ascii="Arial" w:hAnsi="Arial" w:cs="Arial" w:eastAsia="Arial"/>
                <w:b/>
                <w:color w:val="auto"/>
                <w:spacing w:val="0"/>
                <w:position w:val="0"/>
                <w:sz w:val="22"/>
                <w:shd w:fill="auto" w:val="clear"/>
              </w:rPr>
              <w:t xml:space="preserve">Title</w:t>
            </w:r>
          </w:p>
        </w:tc>
      </w:tr>
      <w:tr>
        <w:trPr>
          <w:trHeight w:val="1" w:hRule="atLeast"/>
          <w:jc w:val="left"/>
        </w:trPr>
        <w:tc>
          <w:tcPr>
            <w:tcW w:w="2311"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259"/>
              <w:ind w:right="0" w:left="0" w:firstLine="0"/>
              <w:jc w:val="left"/>
              <w:rPr>
                <w:color w:val="auto"/>
                <w:spacing w:val="0"/>
                <w:position w:val="0"/>
                <w:sz w:val="22"/>
                <w:shd w:fill="auto" w:val="clear"/>
              </w:rPr>
            </w:pPr>
            <w:r>
              <w:rPr>
                <w:rFonts w:ascii="Arial" w:hAnsi="Arial" w:cs="Arial" w:eastAsia="Arial"/>
                <w:b/>
                <w:color w:val="auto"/>
                <w:spacing w:val="0"/>
                <w:position w:val="0"/>
                <w:sz w:val="22"/>
                <w:shd w:fill="auto" w:val="clear"/>
              </w:rPr>
              <w:t xml:space="preserve">Table 2.1</w:t>
            </w:r>
          </w:p>
        </w:tc>
        <w:tc>
          <w:tcPr>
            <w:tcW w:w="726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259"/>
              <w:ind w:right="0" w:left="0" w:firstLine="0"/>
              <w:jc w:val="left"/>
              <w:rPr>
                <w:color w:val="auto"/>
                <w:spacing w:val="0"/>
                <w:position w:val="0"/>
                <w:sz w:val="22"/>
                <w:shd w:fill="auto" w:val="clear"/>
              </w:rPr>
            </w:pPr>
            <w:r>
              <w:rPr>
                <w:rFonts w:ascii="Arial" w:hAnsi="Arial" w:cs="Arial" w:eastAsia="Arial"/>
                <w:color w:val="auto"/>
                <w:spacing w:val="0"/>
                <w:position w:val="0"/>
                <w:sz w:val="22"/>
                <w:shd w:fill="auto" w:val="clear"/>
              </w:rPr>
              <w:t xml:space="preserve">Critical Overview of Key UK Postgraduate Mental Health Studies</w:t>
            </w:r>
          </w:p>
        </w:tc>
      </w:tr>
      <w:tr>
        <w:trPr>
          <w:trHeight w:val="1" w:hRule="atLeast"/>
          <w:jc w:val="left"/>
        </w:trPr>
        <w:tc>
          <w:tcPr>
            <w:tcW w:w="2311"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259"/>
              <w:ind w:right="0" w:left="0" w:firstLine="0"/>
              <w:jc w:val="left"/>
              <w:rPr>
                <w:color w:val="auto"/>
                <w:spacing w:val="0"/>
                <w:position w:val="0"/>
                <w:sz w:val="22"/>
                <w:shd w:fill="auto" w:val="clear"/>
              </w:rPr>
            </w:pPr>
            <w:r>
              <w:rPr>
                <w:rFonts w:ascii="Arial" w:hAnsi="Arial" w:cs="Arial" w:eastAsia="Arial"/>
                <w:b/>
                <w:color w:val="auto"/>
                <w:spacing w:val="0"/>
                <w:position w:val="0"/>
                <w:sz w:val="22"/>
                <w:shd w:fill="auto" w:val="clear"/>
              </w:rPr>
              <w:t xml:space="preserve">Table 2.2</w:t>
            </w:r>
          </w:p>
        </w:tc>
        <w:tc>
          <w:tcPr>
            <w:tcW w:w="726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259"/>
              <w:ind w:right="0" w:left="0" w:firstLine="0"/>
              <w:jc w:val="left"/>
              <w:rPr>
                <w:color w:val="auto"/>
                <w:spacing w:val="0"/>
                <w:position w:val="0"/>
                <w:sz w:val="22"/>
                <w:shd w:fill="auto" w:val="clear"/>
              </w:rPr>
            </w:pPr>
            <w:r>
              <w:rPr>
                <w:rFonts w:ascii="Arial" w:hAnsi="Arial" w:cs="Arial" w:eastAsia="Arial"/>
                <w:color w:val="auto"/>
                <w:spacing w:val="0"/>
                <w:position w:val="0"/>
                <w:sz w:val="22"/>
                <w:shd w:fill="auto" w:val="clear"/>
              </w:rPr>
              <w:t xml:space="preserve">Adapted Social Determinants of Mental Health Framework</w:t>
            </w:r>
          </w:p>
        </w:tc>
      </w:tr>
      <w:tr>
        <w:trPr>
          <w:trHeight w:val="1" w:hRule="atLeast"/>
          <w:jc w:val="left"/>
        </w:trPr>
        <w:tc>
          <w:tcPr>
            <w:tcW w:w="2311"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259"/>
              <w:ind w:right="0" w:left="0" w:firstLine="0"/>
              <w:jc w:val="left"/>
              <w:rPr>
                <w:color w:val="auto"/>
                <w:spacing w:val="0"/>
                <w:position w:val="0"/>
                <w:sz w:val="22"/>
                <w:shd w:fill="auto" w:val="clear"/>
              </w:rPr>
            </w:pPr>
            <w:r>
              <w:rPr>
                <w:rFonts w:ascii="Arial" w:hAnsi="Arial" w:cs="Arial" w:eastAsia="Arial"/>
                <w:b/>
                <w:color w:val="auto"/>
                <w:spacing w:val="0"/>
                <w:position w:val="0"/>
                <w:sz w:val="22"/>
                <w:shd w:fill="auto" w:val="clear"/>
              </w:rPr>
              <w:t xml:space="preserve">Table 3.1</w:t>
            </w:r>
          </w:p>
        </w:tc>
        <w:tc>
          <w:tcPr>
            <w:tcW w:w="726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259"/>
              <w:ind w:right="0" w:left="0" w:firstLine="0"/>
              <w:jc w:val="left"/>
              <w:rPr>
                <w:color w:val="auto"/>
                <w:spacing w:val="0"/>
                <w:position w:val="0"/>
                <w:sz w:val="22"/>
                <w:shd w:fill="auto" w:val="clear"/>
              </w:rPr>
            </w:pPr>
            <w:r>
              <w:rPr>
                <w:rFonts w:ascii="Arial" w:hAnsi="Arial" w:cs="Arial" w:eastAsia="Arial"/>
                <w:color w:val="auto"/>
                <w:spacing w:val="0"/>
                <w:position w:val="0"/>
                <w:sz w:val="22"/>
                <w:shd w:fill="auto" w:val="clear"/>
              </w:rPr>
              <w:t xml:space="preserve">Adapted PICO Framework</w:t>
            </w:r>
          </w:p>
        </w:tc>
      </w:tr>
      <w:tr>
        <w:trPr>
          <w:trHeight w:val="1" w:hRule="atLeast"/>
          <w:jc w:val="left"/>
        </w:trPr>
        <w:tc>
          <w:tcPr>
            <w:tcW w:w="2311"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259"/>
              <w:ind w:right="0" w:left="0" w:firstLine="0"/>
              <w:jc w:val="left"/>
              <w:rPr>
                <w:color w:val="auto"/>
                <w:spacing w:val="0"/>
                <w:position w:val="0"/>
                <w:sz w:val="22"/>
                <w:shd w:fill="auto" w:val="clear"/>
              </w:rPr>
            </w:pPr>
            <w:r>
              <w:rPr>
                <w:rFonts w:ascii="Arial" w:hAnsi="Arial" w:cs="Arial" w:eastAsia="Arial"/>
                <w:b/>
                <w:color w:val="auto"/>
                <w:spacing w:val="0"/>
                <w:position w:val="0"/>
                <w:sz w:val="22"/>
                <w:shd w:fill="auto" w:val="clear"/>
              </w:rPr>
              <w:t xml:space="preserve">Table 3.2</w:t>
            </w:r>
          </w:p>
        </w:tc>
        <w:tc>
          <w:tcPr>
            <w:tcW w:w="726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259"/>
              <w:ind w:right="0" w:left="0" w:firstLine="0"/>
              <w:jc w:val="left"/>
              <w:rPr>
                <w:color w:val="auto"/>
                <w:spacing w:val="0"/>
                <w:position w:val="0"/>
                <w:sz w:val="22"/>
                <w:shd w:fill="auto" w:val="clear"/>
              </w:rPr>
            </w:pPr>
            <w:r>
              <w:rPr>
                <w:rFonts w:ascii="Arial" w:hAnsi="Arial" w:cs="Arial" w:eastAsia="Arial"/>
                <w:color w:val="auto"/>
                <w:spacing w:val="0"/>
                <w:position w:val="0"/>
                <w:sz w:val="22"/>
                <w:shd w:fill="auto" w:val="clear"/>
              </w:rPr>
              <w:t xml:space="preserve">Inclusion and Exclusion Criteria</w:t>
            </w:r>
          </w:p>
        </w:tc>
      </w:tr>
      <w:tr>
        <w:trPr>
          <w:trHeight w:val="1" w:hRule="atLeast"/>
          <w:jc w:val="left"/>
        </w:trPr>
        <w:tc>
          <w:tcPr>
            <w:tcW w:w="2311"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259"/>
              <w:ind w:right="0" w:left="0" w:firstLine="0"/>
              <w:jc w:val="left"/>
              <w:rPr>
                <w:color w:val="auto"/>
                <w:spacing w:val="0"/>
                <w:position w:val="0"/>
                <w:sz w:val="22"/>
                <w:shd w:fill="auto" w:val="clear"/>
              </w:rPr>
            </w:pPr>
            <w:r>
              <w:rPr>
                <w:rFonts w:ascii="Arial" w:hAnsi="Arial" w:cs="Arial" w:eastAsia="Arial"/>
                <w:b/>
                <w:color w:val="auto"/>
                <w:spacing w:val="0"/>
                <w:position w:val="0"/>
                <w:sz w:val="22"/>
                <w:shd w:fill="auto" w:val="clear"/>
              </w:rPr>
              <w:t xml:space="preserve">Table 3.3</w:t>
            </w:r>
          </w:p>
        </w:tc>
        <w:tc>
          <w:tcPr>
            <w:tcW w:w="726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259"/>
              <w:ind w:right="0" w:left="0" w:firstLine="0"/>
              <w:jc w:val="left"/>
              <w:rPr>
                <w:color w:val="auto"/>
                <w:spacing w:val="0"/>
                <w:position w:val="0"/>
                <w:sz w:val="22"/>
                <w:shd w:fill="auto" w:val="clear"/>
              </w:rPr>
            </w:pPr>
            <w:r>
              <w:rPr>
                <w:rFonts w:ascii="Arial" w:hAnsi="Arial" w:cs="Arial" w:eastAsia="Arial"/>
                <w:color w:val="auto"/>
                <w:spacing w:val="0"/>
                <w:position w:val="0"/>
                <w:sz w:val="22"/>
                <w:shd w:fill="auto" w:val="clear"/>
              </w:rPr>
              <w:t xml:space="preserve">Search Concepts and Terms</w:t>
            </w:r>
          </w:p>
        </w:tc>
      </w:tr>
      <w:tr>
        <w:trPr>
          <w:trHeight w:val="1" w:hRule="atLeast"/>
          <w:jc w:val="left"/>
        </w:trPr>
        <w:tc>
          <w:tcPr>
            <w:tcW w:w="2311"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259"/>
              <w:ind w:right="0" w:left="0" w:firstLine="0"/>
              <w:jc w:val="left"/>
              <w:rPr>
                <w:color w:val="auto"/>
                <w:spacing w:val="0"/>
                <w:position w:val="0"/>
                <w:sz w:val="22"/>
                <w:shd w:fill="auto" w:val="clear"/>
              </w:rPr>
            </w:pPr>
            <w:r>
              <w:rPr>
                <w:rFonts w:ascii="Arial" w:hAnsi="Arial" w:cs="Arial" w:eastAsia="Arial"/>
                <w:b/>
                <w:color w:val="auto"/>
                <w:spacing w:val="0"/>
                <w:position w:val="0"/>
                <w:sz w:val="22"/>
                <w:shd w:fill="auto" w:val="clear"/>
              </w:rPr>
              <w:t xml:space="preserve">Table 3.4</w:t>
            </w:r>
          </w:p>
        </w:tc>
        <w:tc>
          <w:tcPr>
            <w:tcW w:w="726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259"/>
              <w:ind w:right="0" w:left="0" w:firstLine="0"/>
              <w:jc w:val="left"/>
              <w:rPr>
                <w:color w:val="auto"/>
                <w:spacing w:val="0"/>
                <w:position w:val="0"/>
                <w:sz w:val="22"/>
                <w:shd w:fill="auto" w:val="clear"/>
              </w:rPr>
            </w:pPr>
            <w:r>
              <w:rPr>
                <w:rFonts w:ascii="Arial" w:hAnsi="Arial" w:cs="Arial" w:eastAsia="Arial"/>
                <w:color w:val="auto"/>
                <w:spacing w:val="0"/>
                <w:position w:val="0"/>
                <w:sz w:val="22"/>
                <w:shd w:fill="auto" w:val="clear"/>
              </w:rPr>
              <w:t xml:space="preserve">Information Sources and Purpose</w:t>
            </w:r>
          </w:p>
        </w:tc>
      </w:tr>
      <w:tr>
        <w:trPr>
          <w:trHeight w:val="1" w:hRule="atLeast"/>
          <w:jc w:val="left"/>
        </w:trPr>
        <w:tc>
          <w:tcPr>
            <w:tcW w:w="2311"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259"/>
              <w:ind w:right="0" w:left="0" w:firstLine="0"/>
              <w:jc w:val="left"/>
              <w:rPr>
                <w:color w:val="auto"/>
                <w:spacing w:val="0"/>
                <w:position w:val="0"/>
                <w:sz w:val="22"/>
                <w:shd w:fill="auto" w:val="clear"/>
              </w:rPr>
            </w:pPr>
            <w:r>
              <w:rPr>
                <w:rFonts w:ascii="Arial" w:hAnsi="Arial" w:cs="Arial" w:eastAsia="Arial"/>
                <w:b/>
                <w:color w:val="auto"/>
                <w:spacing w:val="0"/>
                <w:position w:val="0"/>
                <w:sz w:val="22"/>
                <w:shd w:fill="auto" w:val="clear"/>
              </w:rPr>
              <w:t xml:space="preserve">Table 3.5</w:t>
            </w:r>
          </w:p>
        </w:tc>
        <w:tc>
          <w:tcPr>
            <w:tcW w:w="726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259"/>
              <w:ind w:right="0" w:left="0" w:firstLine="0"/>
              <w:jc w:val="left"/>
              <w:rPr>
                <w:color w:val="auto"/>
                <w:spacing w:val="0"/>
                <w:position w:val="0"/>
                <w:sz w:val="22"/>
                <w:shd w:fill="auto" w:val="clear"/>
              </w:rPr>
            </w:pPr>
            <w:r>
              <w:rPr>
                <w:rFonts w:ascii="Arial" w:hAnsi="Arial" w:cs="Arial" w:eastAsia="Arial"/>
                <w:color w:val="auto"/>
                <w:spacing w:val="0"/>
                <w:position w:val="0"/>
                <w:sz w:val="22"/>
                <w:shd w:fill="auto" w:val="clear"/>
              </w:rPr>
              <w:t xml:space="preserve">Critical Appraisal Tools</w:t>
            </w:r>
          </w:p>
        </w:tc>
      </w:tr>
      <w:tr>
        <w:trPr>
          <w:trHeight w:val="1" w:hRule="atLeast"/>
          <w:jc w:val="left"/>
        </w:trPr>
        <w:tc>
          <w:tcPr>
            <w:tcW w:w="2311"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259"/>
              <w:ind w:right="0" w:left="0" w:firstLine="0"/>
              <w:jc w:val="left"/>
              <w:rPr>
                <w:color w:val="auto"/>
                <w:spacing w:val="0"/>
                <w:position w:val="0"/>
                <w:sz w:val="22"/>
                <w:shd w:fill="auto" w:val="clear"/>
              </w:rPr>
            </w:pPr>
            <w:r>
              <w:rPr>
                <w:rFonts w:ascii="Arial" w:hAnsi="Arial" w:cs="Arial" w:eastAsia="Arial"/>
                <w:b/>
                <w:color w:val="auto"/>
                <w:spacing w:val="0"/>
                <w:position w:val="0"/>
                <w:sz w:val="22"/>
                <w:shd w:fill="auto" w:val="clear"/>
              </w:rPr>
              <w:t xml:space="preserve">Table 3.5a</w:t>
            </w:r>
          </w:p>
        </w:tc>
        <w:tc>
          <w:tcPr>
            <w:tcW w:w="726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259"/>
              <w:ind w:right="0" w:left="0" w:firstLine="0"/>
              <w:jc w:val="left"/>
              <w:rPr>
                <w:color w:val="auto"/>
                <w:spacing w:val="0"/>
                <w:position w:val="0"/>
                <w:sz w:val="22"/>
                <w:shd w:fill="auto" w:val="clear"/>
              </w:rPr>
            </w:pPr>
            <w:r>
              <w:rPr>
                <w:rFonts w:ascii="Arial" w:hAnsi="Arial" w:cs="Arial" w:eastAsia="Arial"/>
                <w:color w:val="auto"/>
                <w:spacing w:val="0"/>
                <w:position w:val="0"/>
                <w:sz w:val="22"/>
                <w:shd w:fill="auto" w:val="clear"/>
              </w:rPr>
              <w:t xml:space="preserve">CASP Qualitative Appraisal Criteria Applied in this Review</w:t>
            </w:r>
          </w:p>
        </w:tc>
      </w:tr>
      <w:tr>
        <w:trPr>
          <w:trHeight w:val="1" w:hRule="atLeast"/>
          <w:jc w:val="left"/>
        </w:trPr>
        <w:tc>
          <w:tcPr>
            <w:tcW w:w="2311"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259"/>
              <w:ind w:right="0" w:left="0" w:firstLine="0"/>
              <w:jc w:val="left"/>
              <w:rPr>
                <w:color w:val="auto"/>
                <w:spacing w:val="0"/>
                <w:position w:val="0"/>
                <w:sz w:val="22"/>
                <w:shd w:fill="auto" w:val="clear"/>
              </w:rPr>
            </w:pPr>
            <w:r>
              <w:rPr>
                <w:rFonts w:ascii="Arial" w:hAnsi="Arial" w:cs="Arial" w:eastAsia="Arial"/>
                <w:b/>
                <w:color w:val="auto"/>
                <w:spacing w:val="0"/>
                <w:position w:val="0"/>
                <w:sz w:val="22"/>
                <w:shd w:fill="auto" w:val="clear"/>
              </w:rPr>
              <w:t xml:space="preserve">Table 3.6</w:t>
            </w:r>
          </w:p>
        </w:tc>
        <w:tc>
          <w:tcPr>
            <w:tcW w:w="726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259"/>
              <w:ind w:right="0" w:left="0" w:firstLine="0"/>
              <w:jc w:val="left"/>
              <w:rPr>
                <w:color w:val="auto"/>
                <w:spacing w:val="0"/>
                <w:position w:val="0"/>
                <w:sz w:val="22"/>
                <w:shd w:fill="auto" w:val="clear"/>
              </w:rPr>
            </w:pPr>
            <w:r>
              <w:rPr>
                <w:rFonts w:ascii="Arial" w:hAnsi="Arial" w:cs="Arial" w:eastAsia="Arial"/>
                <w:color w:val="auto"/>
                <w:spacing w:val="0"/>
                <w:position w:val="0"/>
                <w:sz w:val="22"/>
                <w:shd w:fill="auto" w:val="clear"/>
              </w:rPr>
              <w:t xml:space="preserve">Data Extraction Framework</w:t>
            </w:r>
          </w:p>
        </w:tc>
      </w:tr>
      <w:tr>
        <w:trPr>
          <w:trHeight w:val="1" w:hRule="atLeast"/>
          <w:jc w:val="left"/>
        </w:trPr>
        <w:tc>
          <w:tcPr>
            <w:tcW w:w="2311"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259"/>
              <w:ind w:right="0" w:left="0" w:firstLine="0"/>
              <w:jc w:val="left"/>
              <w:rPr>
                <w:color w:val="auto"/>
                <w:spacing w:val="0"/>
                <w:position w:val="0"/>
                <w:sz w:val="22"/>
                <w:shd w:fill="auto" w:val="clear"/>
              </w:rPr>
            </w:pPr>
            <w:r>
              <w:rPr>
                <w:rFonts w:ascii="Arial" w:hAnsi="Arial" w:cs="Arial" w:eastAsia="Arial"/>
                <w:b/>
                <w:color w:val="auto"/>
                <w:spacing w:val="0"/>
                <w:position w:val="0"/>
                <w:sz w:val="22"/>
                <w:shd w:fill="auto" w:val="clear"/>
              </w:rPr>
              <w:t xml:space="preserve">Table 4.1</w:t>
            </w:r>
          </w:p>
        </w:tc>
        <w:tc>
          <w:tcPr>
            <w:tcW w:w="726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259"/>
              <w:ind w:right="0" w:left="0" w:firstLine="0"/>
              <w:jc w:val="left"/>
              <w:rPr>
                <w:color w:val="auto"/>
                <w:spacing w:val="0"/>
                <w:position w:val="0"/>
                <w:sz w:val="22"/>
                <w:shd w:fill="auto" w:val="clear"/>
              </w:rPr>
            </w:pPr>
            <w:r>
              <w:rPr>
                <w:rFonts w:ascii="Arial" w:hAnsi="Arial" w:cs="Arial" w:eastAsia="Arial"/>
                <w:color w:val="auto"/>
                <w:spacing w:val="0"/>
                <w:position w:val="0"/>
                <w:sz w:val="22"/>
                <w:shd w:fill="auto" w:val="clear"/>
              </w:rPr>
              <w:t xml:space="preserve">PRISMA Screening Summary</w:t>
            </w:r>
          </w:p>
        </w:tc>
      </w:tr>
      <w:tr>
        <w:trPr>
          <w:trHeight w:val="1" w:hRule="atLeast"/>
          <w:jc w:val="left"/>
        </w:trPr>
        <w:tc>
          <w:tcPr>
            <w:tcW w:w="2311"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259"/>
              <w:ind w:right="0" w:left="0" w:firstLine="0"/>
              <w:jc w:val="left"/>
              <w:rPr>
                <w:color w:val="auto"/>
                <w:spacing w:val="0"/>
                <w:position w:val="0"/>
                <w:sz w:val="22"/>
                <w:shd w:fill="auto" w:val="clear"/>
              </w:rPr>
            </w:pPr>
            <w:r>
              <w:rPr>
                <w:rFonts w:ascii="Arial" w:hAnsi="Arial" w:cs="Arial" w:eastAsia="Arial"/>
                <w:b/>
                <w:color w:val="auto"/>
                <w:spacing w:val="0"/>
                <w:position w:val="0"/>
                <w:sz w:val="22"/>
                <w:shd w:fill="auto" w:val="clear"/>
              </w:rPr>
              <w:t xml:space="preserve">Table 4.2</w:t>
            </w:r>
          </w:p>
        </w:tc>
        <w:tc>
          <w:tcPr>
            <w:tcW w:w="726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259"/>
              <w:ind w:right="0" w:left="0" w:firstLine="0"/>
              <w:jc w:val="left"/>
              <w:rPr>
                <w:color w:val="auto"/>
                <w:spacing w:val="0"/>
                <w:position w:val="0"/>
                <w:sz w:val="22"/>
                <w:shd w:fill="auto" w:val="clear"/>
              </w:rPr>
            </w:pPr>
            <w:r>
              <w:rPr>
                <w:rFonts w:ascii="Arial" w:hAnsi="Arial" w:cs="Arial" w:eastAsia="Arial"/>
                <w:color w:val="auto"/>
                <w:spacing w:val="0"/>
                <w:position w:val="0"/>
                <w:sz w:val="22"/>
                <w:shd w:fill="auto" w:val="clear"/>
              </w:rPr>
              <w:t xml:space="preserve">Characteristics, Data Extraction and Contribution of the 15 Included Reports</w:t>
            </w:r>
          </w:p>
        </w:tc>
      </w:tr>
      <w:tr>
        <w:trPr>
          <w:trHeight w:val="1" w:hRule="atLeast"/>
          <w:jc w:val="left"/>
        </w:trPr>
        <w:tc>
          <w:tcPr>
            <w:tcW w:w="2311"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259"/>
              <w:ind w:right="0" w:left="0" w:firstLine="0"/>
              <w:jc w:val="left"/>
              <w:rPr>
                <w:color w:val="auto"/>
                <w:spacing w:val="0"/>
                <w:position w:val="0"/>
                <w:sz w:val="22"/>
                <w:shd w:fill="auto" w:val="clear"/>
              </w:rPr>
            </w:pPr>
            <w:r>
              <w:rPr>
                <w:rFonts w:ascii="Arial" w:hAnsi="Arial" w:cs="Arial" w:eastAsia="Arial"/>
                <w:b/>
                <w:color w:val="auto"/>
                <w:spacing w:val="0"/>
                <w:position w:val="0"/>
                <w:sz w:val="22"/>
                <w:shd w:fill="auto" w:val="clear"/>
              </w:rPr>
              <w:t xml:space="preserve">Table 4.3</w:t>
            </w:r>
          </w:p>
        </w:tc>
        <w:tc>
          <w:tcPr>
            <w:tcW w:w="726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259"/>
              <w:ind w:right="0" w:left="0" w:firstLine="0"/>
              <w:jc w:val="left"/>
              <w:rPr>
                <w:color w:val="auto"/>
                <w:spacing w:val="0"/>
                <w:position w:val="0"/>
                <w:sz w:val="22"/>
                <w:shd w:fill="auto" w:val="clear"/>
              </w:rPr>
            </w:pPr>
            <w:r>
              <w:rPr>
                <w:rFonts w:ascii="Arial" w:hAnsi="Arial" w:cs="Arial" w:eastAsia="Arial"/>
                <w:color w:val="auto"/>
                <w:spacing w:val="0"/>
                <w:position w:val="0"/>
                <w:sz w:val="22"/>
                <w:shd w:fill="auto" w:val="clear"/>
              </w:rPr>
              <w:t xml:space="preserve">Review-Level Methodological Appraisal Summary</w:t>
            </w:r>
          </w:p>
        </w:tc>
      </w:tr>
      <w:tr>
        <w:trPr>
          <w:trHeight w:val="1" w:hRule="atLeast"/>
          <w:jc w:val="left"/>
        </w:trPr>
        <w:tc>
          <w:tcPr>
            <w:tcW w:w="2311"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259"/>
              <w:ind w:right="0" w:left="0" w:firstLine="0"/>
              <w:jc w:val="left"/>
              <w:rPr>
                <w:color w:val="auto"/>
                <w:spacing w:val="0"/>
                <w:position w:val="0"/>
                <w:sz w:val="22"/>
                <w:shd w:fill="auto" w:val="clear"/>
              </w:rPr>
            </w:pPr>
            <w:r>
              <w:rPr>
                <w:rFonts w:ascii="Arial" w:hAnsi="Arial" w:cs="Arial" w:eastAsia="Arial"/>
                <w:b/>
                <w:color w:val="auto"/>
                <w:spacing w:val="0"/>
                <w:position w:val="0"/>
                <w:sz w:val="22"/>
                <w:shd w:fill="auto" w:val="clear"/>
              </w:rPr>
              <w:t xml:space="preserve">Table 4.4</w:t>
            </w:r>
          </w:p>
        </w:tc>
        <w:tc>
          <w:tcPr>
            <w:tcW w:w="726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259"/>
              <w:ind w:right="0" w:left="0" w:firstLine="0"/>
              <w:jc w:val="left"/>
              <w:rPr>
                <w:color w:val="auto"/>
                <w:spacing w:val="0"/>
                <w:position w:val="0"/>
                <w:sz w:val="22"/>
                <w:shd w:fill="auto" w:val="clear"/>
              </w:rPr>
            </w:pPr>
            <w:r>
              <w:rPr>
                <w:rFonts w:ascii="Arial" w:hAnsi="Arial" w:cs="Arial" w:eastAsia="Arial"/>
                <w:color w:val="auto"/>
                <w:spacing w:val="0"/>
                <w:position w:val="0"/>
                <w:sz w:val="22"/>
                <w:shd w:fill="auto" w:val="clear"/>
              </w:rPr>
              <w:t xml:space="preserve">Summary of Themes and Contributing Evidence</w:t>
            </w:r>
          </w:p>
        </w:tc>
      </w:tr>
      <w:tr>
        <w:trPr>
          <w:trHeight w:val="1" w:hRule="atLeast"/>
          <w:jc w:val="left"/>
        </w:trPr>
        <w:tc>
          <w:tcPr>
            <w:tcW w:w="2311"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259"/>
              <w:ind w:right="0" w:left="0" w:firstLine="0"/>
              <w:jc w:val="left"/>
              <w:rPr>
                <w:color w:val="auto"/>
                <w:spacing w:val="0"/>
                <w:position w:val="0"/>
                <w:sz w:val="22"/>
                <w:shd w:fill="auto" w:val="clear"/>
              </w:rPr>
            </w:pPr>
            <w:r>
              <w:rPr>
                <w:rFonts w:ascii="Arial" w:hAnsi="Arial" w:cs="Arial" w:eastAsia="Arial"/>
                <w:b/>
                <w:color w:val="auto"/>
                <w:spacing w:val="0"/>
                <w:position w:val="0"/>
                <w:sz w:val="22"/>
                <w:shd w:fill="auto" w:val="clear"/>
              </w:rPr>
              <w:t xml:space="preserve">Appendix Table A1.1</w:t>
            </w:r>
          </w:p>
        </w:tc>
        <w:tc>
          <w:tcPr>
            <w:tcW w:w="726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259"/>
              <w:ind w:right="0" w:left="0" w:firstLine="0"/>
              <w:jc w:val="left"/>
              <w:rPr>
                <w:color w:val="auto"/>
                <w:spacing w:val="0"/>
                <w:position w:val="0"/>
                <w:sz w:val="22"/>
                <w:shd w:fill="auto" w:val="clear"/>
              </w:rPr>
            </w:pPr>
            <w:r>
              <w:rPr>
                <w:rFonts w:ascii="Arial" w:hAnsi="Arial" w:cs="Arial" w:eastAsia="Arial"/>
                <w:color w:val="auto"/>
                <w:spacing w:val="0"/>
                <w:position w:val="0"/>
                <w:sz w:val="22"/>
                <w:shd w:fill="auto" w:val="clear"/>
              </w:rPr>
              <w:t xml:space="preserve">CASP Appraisal of Qualitative Studies</w:t>
            </w:r>
          </w:p>
        </w:tc>
      </w:tr>
      <w:tr>
        <w:trPr>
          <w:trHeight w:val="1" w:hRule="atLeast"/>
          <w:jc w:val="left"/>
        </w:trPr>
        <w:tc>
          <w:tcPr>
            <w:tcW w:w="2311"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259"/>
              <w:ind w:right="0" w:left="0" w:firstLine="0"/>
              <w:jc w:val="left"/>
              <w:rPr>
                <w:color w:val="auto"/>
                <w:spacing w:val="0"/>
                <w:position w:val="0"/>
                <w:sz w:val="22"/>
                <w:shd w:fill="auto" w:val="clear"/>
              </w:rPr>
            </w:pPr>
            <w:r>
              <w:rPr>
                <w:rFonts w:ascii="Arial" w:hAnsi="Arial" w:cs="Arial" w:eastAsia="Arial"/>
                <w:b/>
                <w:color w:val="auto"/>
                <w:spacing w:val="0"/>
                <w:position w:val="0"/>
                <w:sz w:val="22"/>
                <w:shd w:fill="auto" w:val="clear"/>
              </w:rPr>
              <w:t xml:space="preserve">Appendix Table A1.2</w:t>
            </w:r>
          </w:p>
        </w:tc>
        <w:tc>
          <w:tcPr>
            <w:tcW w:w="726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259"/>
              <w:ind w:right="0" w:left="0" w:firstLine="0"/>
              <w:jc w:val="left"/>
              <w:rPr>
                <w:color w:val="auto"/>
                <w:spacing w:val="0"/>
                <w:position w:val="0"/>
                <w:sz w:val="22"/>
                <w:shd w:fill="auto" w:val="clear"/>
              </w:rPr>
            </w:pPr>
            <w:r>
              <w:rPr>
                <w:rFonts w:ascii="Arial" w:hAnsi="Arial" w:cs="Arial" w:eastAsia="Arial"/>
                <w:color w:val="auto"/>
                <w:spacing w:val="0"/>
                <w:position w:val="0"/>
                <w:sz w:val="22"/>
                <w:shd w:fill="auto" w:val="clear"/>
              </w:rPr>
              <w:t xml:space="preserve">Overall CASP Appraisal Summary</w:t>
            </w:r>
          </w:p>
        </w:tc>
      </w:tr>
    </w:tbl>
    <w:p>
      <w:pPr>
        <w:spacing w:before="0" w:after="160" w:line="259"/>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 </w:t>
        <w:t xml:space="preserve"> </w:t>
      </w:r>
    </w:p>
    <w:p>
      <w:pPr>
        <w:spacing w:before="0" w:after="160" w:line="259"/>
        <w:ind w:right="0" w:left="0" w:firstLine="0"/>
        <w:jc w:val="left"/>
        <w:rPr>
          <w:rFonts w:ascii="Arial" w:hAnsi="Arial" w:cs="Arial" w:eastAsia="Arial"/>
          <w:color w:val="auto"/>
          <w:spacing w:val="0"/>
          <w:position w:val="0"/>
          <w:sz w:val="22"/>
          <w:shd w:fill="auto" w:val="clear"/>
        </w:rPr>
      </w:pPr>
    </w:p>
    <w:p>
      <w:pPr>
        <w:spacing w:before="0" w:after="160" w:line="259"/>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 </w:t>
      </w:r>
    </w:p>
    <w:p>
      <w:pPr>
        <w:spacing w:before="0" w:after="160" w:line="259"/>
        <w:ind w:right="0" w:left="0" w:firstLine="0"/>
        <w:jc w:val="left"/>
        <w:rPr>
          <w:rFonts w:ascii="Arial" w:hAnsi="Arial" w:cs="Arial" w:eastAsia="Arial"/>
          <w:color w:val="auto"/>
          <w:spacing w:val="0"/>
          <w:position w:val="0"/>
          <w:sz w:val="22"/>
          <w:shd w:fill="auto" w:val="clear"/>
        </w:rPr>
      </w:pPr>
    </w:p>
    <w:p>
      <w:pPr>
        <w:keepNext w:val="true"/>
        <w:keepLines w:val="true"/>
        <w:spacing w:before="240" w:after="240" w:line="276"/>
        <w:ind w:right="0" w:left="0" w:firstLine="0"/>
        <w:jc w:val="center"/>
        <w:rPr>
          <w:rFonts w:ascii="Arial" w:hAnsi="Arial" w:cs="Arial" w:eastAsia="Arial"/>
          <w:b/>
          <w:color w:val="auto"/>
          <w:spacing w:val="0"/>
          <w:position w:val="0"/>
          <w:sz w:val="32"/>
          <w:shd w:fill="DBDBDB" w:val="clear"/>
        </w:rPr>
      </w:pPr>
      <w:r>
        <w:rPr>
          <w:rFonts w:ascii="Arial" w:hAnsi="Arial" w:cs="Arial" w:eastAsia="Arial"/>
          <w:b/>
          <w:color w:val="auto"/>
          <w:spacing w:val="0"/>
          <w:position w:val="0"/>
          <w:sz w:val="32"/>
          <w:shd w:fill="DBDBDB" w:val="clear"/>
        </w:rPr>
        <w:t xml:space="preserve">Chapter One: Introduction</w:t>
      </w:r>
    </w:p>
    <w:p>
      <w:pPr>
        <w:keepNext w:val="true"/>
        <w:keepLines w:val="true"/>
        <w:spacing w:before="40" w:after="0" w:line="360"/>
        <w:ind w:right="0" w:left="0" w:firstLine="0"/>
        <w:jc w:val="both"/>
        <w:rPr>
          <w:rFonts w:ascii="Arial" w:hAnsi="Arial" w:cs="Arial" w:eastAsia="Arial"/>
          <w:b/>
          <w:color w:val="auto"/>
          <w:spacing w:val="0"/>
          <w:position w:val="0"/>
          <w:sz w:val="28"/>
          <w:shd w:fill="auto" w:val="clear"/>
        </w:rPr>
      </w:pPr>
      <w:r>
        <w:rPr>
          <w:rFonts w:ascii="Arial" w:hAnsi="Arial" w:cs="Arial" w:eastAsia="Arial"/>
          <w:b/>
          <w:color w:val="auto"/>
          <w:spacing w:val="0"/>
          <w:position w:val="0"/>
          <w:sz w:val="28"/>
          <w:shd w:fill="auto" w:val="clear"/>
        </w:rPr>
        <w:t xml:space="preserve">1.1 Introduction</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The chapter will introduce a systematic review of mental health issues of post-graduate students in the United Kingdom, covering financial stress, increasing living costs, anxiety, depression and support available. It will introduce study background, problem statement, rationale, research question, aim, objectives, significance and structure of the dissertation. The dissertation will be a systematic review and not involve primary data collection (Campbell et al., 2022; Hazell et al., 2021; Osborn et al., 2022).</w:t>
      </w:r>
    </w:p>
    <w:p>
      <w:pPr>
        <w:keepNext w:val="true"/>
        <w:keepLines w:val="true"/>
        <w:spacing w:before="40" w:after="0" w:line="360"/>
        <w:ind w:right="0" w:left="0" w:firstLine="0"/>
        <w:jc w:val="both"/>
        <w:rPr>
          <w:rFonts w:ascii="Arial" w:hAnsi="Arial" w:cs="Arial" w:eastAsia="Arial"/>
          <w:b/>
          <w:color w:val="auto"/>
          <w:spacing w:val="0"/>
          <w:position w:val="0"/>
          <w:sz w:val="28"/>
          <w:shd w:fill="auto" w:val="clear"/>
        </w:rPr>
      </w:pPr>
      <w:r>
        <w:rPr>
          <w:rFonts w:ascii="Arial" w:hAnsi="Arial" w:cs="Arial" w:eastAsia="Arial"/>
          <w:b/>
          <w:color w:val="auto"/>
          <w:spacing w:val="0"/>
          <w:position w:val="0"/>
          <w:sz w:val="28"/>
          <w:shd w:fill="auto" w:val="clear"/>
        </w:rPr>
        <w:t xml:space="preserve">1.2 Background of the Study</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The mental health of university students has been highlighted in recent international and UK evidence, such as loneliness, stress, suicidal ideation, depression, and insomnia. anxiety, depression, insomnia, loneliness, stress, and suicidal ideation are all identified as evidence-based mental health concerns for university students, both nationally and internationally, in the UK. (Akram et al., 2023; Chen and Lucock, 2022). Postgraduate cohorts are older and more diverse in nationality, with many studying while also working and having family responsibilities, and international students may experience pressures and uncertainties around future employment opportunities and immigration (Marshall et al., 2026; Hosseinpur, Parsa and Kabir, 2023). Data related to psychological distress among doctoral researchers in the UK suggests that being a doctoral student can have a negative impact and that research culture, supervision quality, workload and isolation have an impact on doctoral research (Hazell et al., 2021; Berry et al., 2021a). The significance of these findings is that postgraduate distress is not just a personal health issue, but it impacts areas of academic engagement and attendance, academic progression, productivity and intention to leave (Berry, Niven and Hazell, 2023; Casey et al., 2024a).</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This issue has been worsened by the financial landscape as the cost-of-living crisis has caused difficulties with rents, food costs, utilities, transport and tuition costs (ONS, 2023a; Bennett et al., 2023). It is evident in the UK that pupils often experience financial difficulty, new debt, reduced wellbeing, and worry about being unable to afford rising costs, which could impact their academic performance (ONS, 2023a; Iqbal et al., 2025). These pressures could be greater for postgraduate students, as funding is difficult to secure, the costs of the study are high and mature students might have household/family needs to pay in addition to study costs (Marshall et al., 2026; Bennett et al., 2023). Counselling and wellbeing services, along with the NHS Guidance, digital resources, peer support and physical-activity programs are available, but there remains stigma, uncertainty, waiting times and disjointed pathways to seek any help (Broglia, Millings and Barkham, 2021; Malagodi et al., 2024).</w:t>
      </w:r>
    </w:p>
    <w:p>
      <w:pPr>
        <w:spacing w:before="0" w:after="160" w:line="360"/>
        <w:ind w:right="0" w:left="0" w:firstLine="0"/>
        <w:jc w:val="center"/>
        <w:rPr>
          <w:rFonts w:ascii="Arial" w:hAnsi="Arial" w:cs="Arial" w:eastAsia="Arial"/>
          <w:color w:val="auto"/>
          <w:spacing w:val="0"/>
          <w:position w:val="0"/>
          <w:sz w:val="22"/>
          <w:shd w:fill="auto" w:val="clear"/>
        </w:rPr>
      </w:pPr>
    </w:p>
    <w:p>
      <w:pPr>
        <w:spacing w:before="0" w:after="160" w:line="360"/>
        <w:ind w:right="0" w:left="0" w:firstLine="0"/>
        <w:jc w:val="center"/>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Figure 1: Cost-of-living pressures affecting higher education students in England, 2023 (ONS, 2023a)</w:t>
      </w:r>
    </w:p>
    <w:p>
      <w:pPr>
        <w:keepNext w:val="true"/>
        <w:keepLines w:val="true"/>
        <w:spacing w:before="40" w:after="0" w:line="360"/>
        <w:ind w:right="0" w:left="0" w:firstLine="0"/>
        <w:jc w:val="both"/>
        <w:rPr>
          <w:rFonts w:ascii="Arial" w:hAnsi="Arial" w:cs="Arial" w:eastAsia="Arial"/>
          <w:b/>
          <w:color w:val="auto"/>
          <w:spacing w:val="0"/>
          <w:position w:val="0"/>
          <w:sz w:val="28"/>
          <w:shd w:fill="auto" w:val="clear"/>
        </w:rPr>
      </w:pPr>
      <w:r>
        <w:rPr>
          <w:rFonts w:ascii="Arial" w:hAnsi="Arial" w:cs="Arial" w:eastAsia="Arial"/>
          <w:b/>
          <w:color w:val="auto"/>
          <w:spacing w:val="0"/>
          <w:position w:val="0"/>
          <w:sz w:val="28"/>
          <w:shd w:fill="auto" w:val="clear"/>
        </w:rPr>
        <w:t xml:space="preserve">1.3 Statement of the Problem</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Mental health problems are common and multifaceted among UK university students, yet the existing evidence base and available support services are not always sufficiently tailored to postgraduate populations (Campbell et al., 2022; Carr et al., 2022a). While general student mental health studies have their merits, researchers and postgraduate students may miss the specific root of their mental wellbeing issues within their postgraduate programs, including the isolation of the thesis, intermittences in the research process, strained relationships with supervisors, the undulating nature of funding, and the pressure to publish (Mavrogalou-Foti et al., 2024; Hazell et al., 2021). Financial stress can be considered a social determinant of mental health as financial difficulties can impact sleep, food security, ability to concentrate, attendance to school, belonging and motivation to continue studying (ONS, 2023a; Bennett et al., 2023). If this becomes a problem, the risks are increased anxiety/depression in postgraduates, risk of university closure and increased demand for NHS services (DE, 2026; Osborn et al., 2022).</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One challenge is that solutions are included as single coping strategies, despite the fact that they can be partly structural/institutional (NHS England, 2021b; Campbell et al., 2022). Whilst there are a range of counselling and wellbeing services available within the NHS, and university wellbeing services, these may be inadequate if distress is associated with financial difficulty, unstable support, isolation and unclear referral pathways (NHS England, 2021a; Broglia, Millings and Barkham, 2021). So, there is a need to integrate causes, outcomes and solutions as part of the evidence-based synthesis, and this needs to be carefully conducted as a systematic review (DE, 2026; Osborn et al., 2022).</w:t>
      </w:r>
    </w:p>
    <w:p>
      <w:pPr>
        <w:keepNext w:val="true"/>
        <w:keepLines w:val="true"/>
        <w:spacing w:before="40" w:after="0" w:line="360"/>
        <w:ind w:right="0" w:left="0" w:firstLine="0"/>
        <w:jc w:val="both"/>
        <w:rPr>
          <w:rFonts w:ascii="Arial" w:hAnsi="Arial" w:cs="Arial" w:eastAsia="Arial"/>
          <w:b/>
          <w:color w:val="auto"/>
          <w:spacing w:val="0"/>
          <w:position w:val="0"/>
          <w:sz w:val="28"/>
          <w:shd w:fill="auto" w:val="clear"/>
        </w:rPr>
      </w:pPr>
      <w:r>
        <w:rPr>
          <w:rFonts w:ascii="Arial" w:hAnsi="Arial" w:cs="Arial" w:eastAsia="Arial"/>
          <w:b/>
          <w:color w:val="auto"/>
          <w:spacing w:val="0"/>
          <w:position w:val="0"/>
          <w:sz w:val="28"/>
          <w:shd w:fill="auto" w:val="clear"/>
        </w:rPr>
        <w:t xml:space="preserve">1.4 Rationale of the Research</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This study's rationale is that there is already evidence spread across several studies investigating prevalence, qualitative studies, comprehensive systematic reviews, and financial-stress research and intervention mapping (Akram et al., 2023; Malagodi et al., 2024). A systematic review is appropriate as it will be able to bring together evidence from the UK over the last few years, fill the gaps in the evidence between the financial, academic, social and support determinants and differentiate between postgraduate taught and postgraduate research evidence (Campbell et al., 2022; Carr et al., 2021). This method is also ethically appropriate as it will be able to explore a sensitive topic regarding mental health without putting the postgraduate participants at risk of being emotionally challenged or directly asked about the topic (DE, 2026; NHS England, 2021a). The review takes place at a timely moment as a result of the pandemic, inflationary pressures and living cost pressures being different to how postgraduate students are able to study, access support and work (Chen and Lucock, 2022; ONS, 2023a).</w:t>
      </w:r>
    </w:p>
    <w:p>
      <w:pPr>
        <w:keepNext w:val="true"/>
        <w:keepLines w:val="true"/>
        <w:spacing w:before="40" w:after="0" w:line="360"/>
        <w:ind w:right="0" w:left="0" w:firstLine="0"/>
        <w:jc w:val="both"/>
        <w:rPr>
          <w:rFonts w:ascii="Arial" w:hAnsi="Arial" w:cs="Arial" w:eastAsia="Arial"/>
          <w:b/>
          <w:color w:val="auto"/>
          <w:spacing w:val="0"/>
          <w:position w:val="0"/>
          <w:sz w:val="28"/>
          <w:shd w:fill="auto" w:val="clear"/>
        </w:rPr>
      </w:pPr>
      <w:r>
        <w:rPr>
          <w:rFonts w:ascii="Arial" w:hAnsi="Arial" w:cs="Arial" w:eastAsia="Arial"/>
          <w:b/>
          <w:color w:val="auto"/>
          <w:spacing w:val="0"/>
          <w:position w:val="0"/>
          <w:sz w:val="28"/>
          <w:shd w:fill="auto" w:val="clear"/>
        </w:rPr>
        <w:t xml:space="preserve">1.5 Research Question</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What prevalance and causes mental health problems among postgraduate students in the UK, and what relevant evidence-based solutions are available to support them?</w:t>
      </w:r>
    </w:p>
    <w:p>
      <w:pPr>
        <w:keepNext w:val="true"/>
        <w:keepLines w:val="true"/>
        <w:spacing w:before="40" w:after="0" w:line="360"/>
        <w:ind w:right="0" w:left="0" w:firstLine="0"/>
        <w:jc w:val="both"/>
        <w:rPr>
          <w:rFonts w:ascii="Arial" w:hAnsi="Arial" w:cs="Arial" w:eastAsia="Arial"/>
          <w:b/>
          <w:color w:val="auto"/>
          <w:spacing w:val="0"/>
          <w:position w:val="0"/>
          <w:sz w:val="28"/>
          <w:shd w:fill="auto" w:val="clear"/>
        </w:rPr>
      </w:pPr>
      <w:r>
        <w:rPr>
          <w:rFonts w:ascii="Arial" w:hAnsi="Arial" w:cs="Arial" w:eastAsia="Arial"/>
          <w:b/>
          <w:color w:val="auto"/>
          <w:spacing w:val="0"/>
          <w:position w:val="0"/>
          <w:sz w:val="28"/>
          <w:shd w:fill="auto" w:val="clear"/>
        </w:rPr>
        <w:t xml:space="preserve">1.6 Research Aim</w:t>
      </w:r>
    </w:p>
    <w:p>
      <w:pPr>
        <w:spacing w:before="0" w:after="160" w:line="360"/>
        <w:ind w:right="0" w:left="0" w:firstLine="0"/>
        <w:jc w:val="both"/>
        <w:rPr>
          <w:rFonts w:ascii="Arial" w:hAnsi="Arial" w:cs="Arial" w:eastAsia="Arial"/>
          <w:color w:val="000000"/>
          <w:spacing w:val="0"/>
          <w:position w:val="0"/>
          <w:sz w:val="22"/>
          <w:shd w:fill="auto" w:val="clear"/>
        </w:rPr>
      </w:pPr>
      <w:r>
        <w:rPr>
          <w:rFonts w:ascii="Arial" w:hAnsi="Arial" w:cs="Arial" w:eastAsia="Arial"/>
          <w:color w:val="000000"/>
          <w:spacing w:val="0"/>
          <w:position w:val="0"/>
          <w:sz w:val="22"/>
          <w:shd w:fill="auto" w:val="clear"/>
        </w:rPr>
        <w:t xml:space="preserve">The aim of this systematic review is to critically examine the prevalence of mental health problems and associated risk factors among UK postgraduate students, with particular attention to financial stress and rising living costs, and to identify evidence-based support solutions for practice.</w:t>
      </w:r>
    </w:p>
    <w:p>
      <w:pPr>
        <w:keepNext w:val="true"/>
        <w:keepLines w:val="true"/>
        <w:spacing w:before="40" w:after="0" w:line="360"/>
        <w:ind w:right="0" w:left="0" w:firstLine="0"/>
        <w:jc w:val="both"/>
        <w:rPr>
          <w:rFonts w:ascii="Arial" w:hAnsi="Arial" w:cs="Arial" w:eastAsia="Arial"/>
          <w:b/>
          <w:color w:val="auto"/>
          <w:spacing w:val="0"/>
          <w:position w:val="0"/>
          <w:sz w:val="28"/>
          <w:shd w:fill="auto" w:val="clear"/>
        </w:rPr>
      </w:pPr>
      <w:r>
        <w:rPr>
          <w:rFonts w:ascii="Arial" w:hAnsi="Arial" w:cs="Arial" w:eastAsia="Arial"/>
          <w:b/>
          <w:color w:val="auto"/>
          <w:spacing w:val="0"/>
          <w:position w:val="0"/>
          <w:sz w:val="28"/>
          <w:shd w:fill="auto" w:val="clear"/>
        </w:rPr>
        <w:t xml:space="preserve">1.7 Research Objectives</w:t>
      </w:r>
    </w:p>
    <w:p>
      <w:pPr>
        <w:numPr>
          <w:ilvl w:val="0"/>
          <w:numId w:val="79"/>
        </w:numPr>
        <w:spacing w:before="0" w:after="160" w:line="360"/>
        <w:ind w:right="0" w:left="720" w:hanging="360"/>
        <w:jc w:val="both"/>
        <w:rPr>
          <w:rFonts w:ascii="Arial" w:hAnsi="Arial" w:cs="Arial" w:eastAsia="Arial"/>
          <w:color w:val="000000"/>
          <w:spacing w:val="0"/>
          <w:position w:val="0"/>
          <w:sz w:val="22"/>
          <w:shd w:fill="auto" w:val="clear"/>
        </w:rPr>
      </w:pPr>
      <w:r>
        <w:rPr>
          <w:rFonts w:ascii="Arial" w:hAnsi="Arial" w:cs="Arial" w:eastAsia="Arial"/>
          <w:color w:val="000000"/>
          <w:spacing w:val="0"/>
          <w:position w:val="0"/>
          <w:sz w:val="22"/>
          <w:shd w:fill="auto" w:val="clear"/>
        </w:rPr>
        <w:t xml:space="preserve">RO1: To assess the level of financial stress experienced by UK postgraduate students and its relationship with anxiety, depression and psychological distress.</w:t>
      </w:r>
    </w:p>
    <w:p>
      <w:pPr>
        <w:numPr>
          <w:ilvl w:val="0"/>
          <w:numId w:val="79"/>
        </w:numPr>
        <w:spacing w:before="0" w:after="160" w:line="360"/>
        <w:ind w:right="0" w:left="720" w:hanging="360"/>
        <w:jc w:val="both"/>
        <w:rPr>
          <w:rFonts w:ascii="Arial" w:hAnsi="Arial" w:cs="Arial" w:eastAsia="Arial"/>
          <w:color w:val="000000"/>
          <w:spacing w:val="0"/>
          <w:position w:val="0"/>
          <w:sz w:val="22"/>
          <w:shd w:fill="auto" w:val="clear"/>
        </w:rPr>
      </w:pPr>
      <w:r>
        <w:rPr>
          <w:rFonts w:ascii="Arial" w:hAnsi="Arial" w:cs="Arial" w:eastAsia="Arial"/>
          <w:color w:val="000000"/>
          <w:spacing w:val="0"/>
          <w:position w:val="0"/>
          <w:sz w:val="22"/>
          <w:shd w:fill="auto" w:val="clear"/>
        </w:rPr>
        <w:t xml:space="preserve">RO2: To examine how rising living costs, including housing, food, utilities and tuition fees, affect postgraduate students' financial stability and mental wellbeing.</w:t>
      </w:r>
    </w:p>
    <w:p>
      <w:pPr>
        <w:numPr>
          <w:ilvl w:val="0"/>
          <w:numId w:val="79"/>
        </w:numPr>
        <w:spacing w:before="0" w:after="160" w:line="360"/>
        <w:ind w:right="0" w:left="720" w:hanging="360"/>
        <w:jc w:val="both"/>
        <w:rPr>
          <w:rFonts w:ascii="Arial" w:hAnsi="Arial" w:cs="Arial" w:eastAsia="Arial"/>
          <w:color w:val="000000"/>
          <w:spacing w:val="0"/>
          <w:position w:val="0"/>
          <w:sz w:val="22"/>
          <w:shd w:fill="auto" w:val="clear"/>
        </w:rPr>
      </w:pPr>
      <w:r>
        <w:rPr>
          <w:rFonts w:ascii="Arial" w:hAnsi="Arial" w:cs="Arial" w:eastAsia="Arial"/>
          <w:color w:val="000000"/>
          <w:spacing w:val="0"/>
          <w:position w:val="0"/>
          <w:sz w:val="22"/>
          <w:shd w:fill="auto" w:val="clear"/>
        </w:rPr>
        <w:t xml:space="preserve">RO3: To review existing evidence on the prevalence and severity of common mental health outcomes, particularly anxiety and depression, among UK postgraduate students.</w:t>
      </w:r>
    </w:p>
    <w:p>
      <w:pPr>
        <w:numPr>
          <w:ilvl w:val="0"/>
          <w:numId w:val="79"/>
        </w:numPr>
        <w:spacing w:before="0" w:after="160" w:line="360"/>
        <w:ind w:right="0" w:left="720" w:hanging="360"/>
        <w:jc w:val="both"/>
        <w:rPr>
          <w:rFonts w:ascii="Arial" w:hAnsi="Arial" w:cs="Arial" w:eastAsia="Arial"/>
          <w:color w:val="000000"/>
          <w:spacing w:val="0"/>
          <w:position w:val="0"/>
          <w:sz w:val="22"/>
          <w:shd w:fill="auto" w:val="clear"/>
        </w:rPr>
      </w:pPr>
      <w:r>
        <w:rPr>
          <w:rFonts w:ascii="Arial" w:hAnsi="Arial" w:cs="Arial" w:eastAsia="Arial"/>
          <w:color w:val="000000"/>
          <w:spacing w:val="0"/>
          <w:position w:val="0"/>
          <w:sz w:val="22"/>
          <w:shd w:fill="auto" w:val="clear"/>
        </w:rPr>
        <w:t xml:space="preserve">RO4: To develop practical, evidence-based recommendations to improve mental health support and address identified risk factors among postgraduate students in the UK.</w:t>
      </w:r>
    </w:p>
    <w:p>
      <w:pPr>
        <w:keepNext w:val="true"/>
        <w:keepLines w:val="true"/>
        <w:spacing w:before="40" w:after="0" w:line="360"/>
        <w:ind w:right="0" w:left="0" w:firstLine="0"/>
        <w:jc w:val="both"/>
        <w:rPr>
          <w:rFonts w:ascii="Arial" w:hAnsi="Arial" w:cs="Arial" w:eastAsia="Arial"/>
          <w:b/>
          <w:color w:val="auto"/>
          <w:spacing w:val="0"/>
          <w:position w:val="0"/>
          <w:sz w:val="28"/>
          <w:shd w:fill="auto" w:val="clear"/>
        </w:rPr>
      </w:pPr>
      <w:r>
        <w:rPr>
          <w:rFonts w:ascii="Arial" w:hAnsi="Arial" w:cs="Arial" w:eastAsia="Arial"/>
          <w:b/>
          <w:color w:val="auto"/>
          <w:spacing w:val="0"/>
          <w:position w:val="0"/>
          <w:sz w:val="28"/>
          <w:shd w:fill="auto" w:val="clear"/>
        </w:rPr>
        <w:t xml:space="preserve">1.8 Significance of the Study</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The significant nature of this study stems from the contribution of postgraduate students to the research and professions, including healthcare, education, business and public policy, and their mental health needs may not be as noticeable as those of undergraduate students (Marshall et al., 2026; Casey et al., 2024b). The review will consider evidence from the UK to explore links between academic pressure, financial difficulties, social isolation, barriers to accessing services, supervision quality and relationship to postgraduate distress (Mavrogalou-Foti, Kambouri and Çili, 2024; Berry, Niven and Hazell, 2021a). The results could inform strategies to enhance the prevention, early intervention, counselling and physical-activity delivery, and NHS engagement at universities (Malagodi et al., 2024; Department for Education, 2026). The study might also inform evidence-based public health practice (ONS, 2023b; NHS England, 2021b) by bringing the mental health of postgraduate students into the conversation of debt, housing costs, food prices and social support and service access.</w:t>
      </w:r>
    </w:p>
    <w:p>
      <w:pPr>
        <w:keepNext w:val="true"/>
        <w:keepLines w:val="true"/>
        <w:spacing w:before="40" w:after="0" w:line="360"/>
        <w:ind w:right="0" w:left="0" w:firstLine="0"/>
        <w:jc w:val="both"/>
        <w:rPr>
          <w:rFonts w:ascii="Arial" w:hAnsi="Arial" w:cs="Arial" w:eastAsia="Arial"/>
          <w:b/>
          <w:color w:val="auto"/>
          <w:spacing w:val="0"/>
          <w:position w:val="0"/>
          <w:sz w:val="28"/>
          <w:shd w:fill="auto" w:val="clear"/>
        </w:rPr>
      </w:pPr>
      <w:r>
        <w:rPr>
          <w:rFonts w:ascii="Arial" w:hAnsi="Arial" w:cs="Arial" w:eastAsia="Arial"/>
          <w:b/>
          <w:color w:val="auto"/>
          <w:spacing w:val="0"/>
          <w:position w:val="0"/>
          <w:sz w:val="28"/>
          <w:shd w:fill="auto" w:val="clear"/>
        </w:rPr>
        <w:t xml:space="preserve">1.9 Structure of the Dissertation</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The subject of the research, background, problem, rationale, research question, aim, and objectives and significance were introduced in Chapter One. In chapter Two, the literature will be reviewed, evaluated and critiqued, gaps will be identified, and the theoretical framework that will guide the systematic review will be presented. The methodology, such as the databases, search terms, inclusion and exclusion criteria, PRISMA screening, quality appraisal and data extraction will be explained in Chapter Three. Search results, study properties, quality results, and synthesized themes will be presented in Chapter Four, where the results are not overly interpreted. Findings will be discussed critically in comparison to all previously mentioned evidence, objectives, implications, strengths and limitations in Chapter Five. The research question will be answered, and clear recommendations for practice and future research will be presented at the end of Chapter Six.</w:t>
      </w:r>
    </w:p>
    <w:p>
      <w:pPr>
        <w:spacing w:before="0" w:after="160" w:line="360"/>
        <w:ind w:right="0" w:left="0" w:firstLine="0"/>
        <w:jc w:val="center"/>
        <w:rPr>
          <w:rFonts w:ascii="Arial" w:hAnsi="Arial" w:cs="Arial" w:eastAsia="Arial"/>
          <w:color w:val="auto"/>
          <w:spacing w:val="0"/>
          <w:position w:val="0"/>
          <w:sz w:val="22"/>
          <w:shd w:fill="auto" w:val="clear"/>
        </w:rPr>
      </w:pPr>
      <w:r>
        <w:object w:dxaOrig="6037" w:dyaOrig="10195">
          <v:rect xmlns:o="urn:schemas-microsoft-com:office:office" xmlns:v="urn:schemas-microsoft-com:vml" id="rectole0000000001" style="width:301.850000pt;height:509.750000pt" o:preferrelative="t" o:ole="">
            <o:lock v:ext="edit"/>
            <v:imagedata xmlns:r="http://schemas.openxmlformats.org/officeDocument/2006/relationships" r:id="docRId3" o:title=""/>
          </v:rect>
          <o:OLEObject xmlns:r="http://schemas.openxmlformats.org/officeDocument/2006/relationships" xmlns:o="urn:schemas-microsoft-com:office:office" Type="Embed" ProgID="StaticMetafile" DrawAspect="Content" ObjectID="0000000001" ShapeID="rectole0000000001" r:id="docRId2"/>
        </w:object>
      </w:r>
    </w:p>
    <w:p>
      <w:pPr>
        <w:spacing w:before="0" w:after="160" w:line="360"/>
        <w:ind w:right="0" w:left="0" w:firstLine="0"/>
        <w:jc w:val="center"/>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Figure 2: Dissertation chapters summary (Self-Made)</w:t>
      </w:r>
    </w:p>
    <w:p>
      <w:pPr>
        <w:keepNext w:val="true"/>
        <w:keepLines w:val="true"/>
        <w:spacing w:before="40" w:after="0" w:line="360"/>
        <w:ind w:right="0" w:left="0" w:firstLine="0"/>
        <w:jc w:val="both"/>
        <w:rPr>
          <w:rFonts w:ascii="Arial" w:hAnsi="Arial" w:cs="Arial" w:eastAsia="Arial"/>
          <w:b/>
          <w:color w:val="auto"/>
          <w:spacing w:val="0"/>
          <w:position w:val="0"/>
          <w:sz w:val="28"/>
          <w:shd w:fill="auto" w:val="clear"/>
        </w:rPr>
      </w:pPr>
      <w:r>
        <w:rPr>
          <w:rFonts w:ascii="Arial" w:hAnsi="Arial" w:cs="Arial" w:eastAsia="Arial"/>
          <w:b/>
          <w:color w:val="auto"/>
          <w:spacing w:val="0"/>
          <w:position w:val="0"/>
          <w:sz w:val="28"/>
          <w:shd w:fill="auto" w:val="clear"/>
        </w:rPr>
        <w:t xml:space="preserve">1.10 Chapter Summary</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This chapter helps to show that academic, financial, social and institutional pressures affect the mental health of postgraduate students in the United Kingdom. Financial stress and cost of living were highlighted as key to the understanding of anxiety, depression and wellbeing postgraduate students. Given the recent and fragmented evidence on prevalence, causes, barriers and support solutions for the use of REW, the chapter argued that a systematic review was warranted. </w:t>
      </w:r>
    </w:p>
    <w:p>
      <w:pPr>
        <w:spacing w:before="0" w:after="160" w:line="259"/>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 </w:t>
      </w:r>
    </w:p>
    <w:p>
      <w:pPr>
        <w:spacing w:before="0" w:after="160" w:line="259"/>
        <w:ind w:right="0" w:left="0" w:firstLine="0"/>
        <w:jc w:val="left"/>
        <w:rPr>
          <w:rFonts w:ascii="Arial" w:hAnsi="Arial" w:cs="Arial" w:eastAsia="Arial"/>
          <w:color w:val="auto"/>
          <w:spacing w:val="0"/>
          <w:position w:val="0"/>
          <w:sz w:val="22"/>
          <w:shd w:fill="auto" w:val="clear"/>
        </w:rPr>
      </w:pPr>
    </w:p>
    <w:p>
      <w:pPr>
        <w:keepNext w:val="true"/>
        <w:keepLines w:val="true"/>
        <w:spacing w:before="240" w:after="240" w:line="276"/>
        <w:ind w:right="0" w:left="0" w:firstLine="0"/>
        <w:jc w:val="center"/>
        <w:rPr>
          <w:rFonts w:ascii="Arial" w:hAnsi="Arial" w:cs="Arial" w:eastAsia="Arial"/>
          <w:b/>
          <w:color w:val="auto"/>
          <w:spacing w:val="0"/>
          <w:position w:val="0"/>
          <w:sz w:val="32"/>
          <w:shd w:fill="DBDBDB" w:val="clear"/>
        </w:rPr>
      </w:pPr>
      <w:r>
        <w:rPr>
          <w:rFonts w:ascii="Arial" w:hAnsi="Arial" w:cs="Arial" w:eastAsia="Arial"/>
          <w:b/>
          <w:color w:val="auto"/>
          <w:spacing w:val="0"/>
          <w:position w:val="0"/>
          <w:sz w:val="32"/>
          <w:shd w:fill="DBDBDB" w:val="clear"/>
        </w:rPr>
        <w:t xml:space="preserve">Chapter Two: Literature Review and Theoretical Framework</w:t>
      </w:r>
    </w:p>
    <w:p>
      <w:pPr>
        <w:keepNext w:val="true"/>
        <w:keepLines w:val="true"/>
        <w:spacing w:before="40" w:after="0" w:line="360"/>
        <w:ind w:right="0" w:left="0" w:firstLine="0"/>
        <w:jc w:val="both"/>
        <w:rPr>
          <w:rFonts w:ascii="Arial" w:hAnsi="Arial" w:cs="Arial" w:eastAsia="Arial"/>
          <w:b/>
          <w:color w:val="auto"/>
          <w:spacing w:val="0"/>
          <w:position w:val="0"/>
          <w:sz w:val="28"/>
          <w:shd w:fill="auto" w:val="clear"/>
        </w:rPr>
      </w:pPr>
      <w:r>
        <w:rPr>
          <w:rFonts w:ascii="Arial" w:hAnsi="Arial" w:cs="Arial" w:eastAsia="Arial"/>
          <w:b/>
          <w:color w:val="auto"/>
          <w:spacing w:val="0"/>
          <w:position w:val="0"/>
          <w:sz w:val="28"/>
          <w:shd w:fill="auto" w:val="clear"/>
        </w:rPr>
        <w:t xml:space="preserve">2.1 Introduction</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This chapter critically discusses the literature between 2021 and 2026 concerning mental health issues among postgraduate students in the United Kingdom. It has a particular focus on anxiety, depression, psychological distress and loneliness, as well as how financial hardship, the cost of living, academic requirements, research culture, social connections and access to services impact these outcomes. Lastly, a modified social determinants of mental health framework is proposed to categorise the associations between structural determinants, acute stressors, protective factors and mental health outcomes (WHO, 2022; Campbell et al., 2022). </w:t>
      </w:r>
    </w:p>
    <w:p>
      <w:pPr>
        <w:keepNext w:val="true"/>
        <w:keepLines w:val="true"/>
        <w:spacing w:before="40" w:after="0" w:line="360"/>
        <w:ind w:right="0" w:left="0" w:firstLine="0"/>
        <w:jc w:val="both"/>
        <w:rPr>
          <w:rFonts w:ascii="Arial" w:hAnsi="Arial" w:cs="Arial" w:eastAsia="Arial"/>
          <w:b/>
          <w:color w:val="auto"/>
          <w:spacing w:val="0"/>
          <w:position w:val="0"/>
          <w:sz w:val="28"/>
          <w:shd w:fill="auto" w:val="clear"/>
        </w:rPr>
      </w:pPr>
      <w:r>
        <w:rPr>
          <w:rFonts w:ascii="Arial" w:hAnsi="Arial" w:cs="Arial" w:eastAsia="Arial"/>
          <w:b/>
          <w:color w:val="auto"/>
          <w:spacing w:val="0"/>
          <w:position w:val="0"/>
          <w:sz w:val="28"/>
          <w:shd w:fill="auto" w:val="clear"/>
        </w:rPr>
        <w:t xml:space="preserve">2.2 Scoping Literature Search Strategy</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A preliminary scoping search was conducted to find concepts, key studies and debates that were required for this literature search and were not necessarily part of the systematic search, which was reproduced in Chapter Three. The searches included MEDLINE/PubMed, PsycINFO, CINAHL, Web of Science and Google Scholar, and were complemented by reference list searching and authoritative UK grey literature. Search terms were: postgraduate student mental health, postgraduate researcher anxiety, doctoral student depression, postgraduate taught wellbeing, financial stress, cost of living, supervisory relationship, loneliness, help-seeking, university counselling and United Kingdom. Population, exposure and outcome terms were linked together by using boolean operators and phrase searching. Peer-reviewed empirical studies and systematic reviews from 2021-2026 were prioritised, and current reports were used from the Office for National Statistics, Department for Education, Office for Students, Student Minds, Universities UK and the World Health Organization. </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Searches for articles on a broad definition of ‘student mental health' yielded many undergraduate or international studies, while searches for postgraduate-specific evidence focused on doctoral researchers. Thus, such material was invoked primarily to support the contemporary pressures and service arrangements, and empirical claims were rooted mainly in academic research (Campbell et al., 2022; Osborn et al., 2022; DfE, 2023). </w:t>
      </w:r>
    </w:p>
    <w:p>
      <w:pPr>
        <w:keepNext w:val="true"/>
        <w:keepLines w:val="true"/>
        <w:spacing w:before="40" w:after="0" w:line="360"/>
        <w:ind w:right="0" w:left="0" w:firstLine="0"/>
        <w:jc w:val="both"/>
        <w:rPr>
          <w:rFonts w:ascii="Arial" w:hAnsi="Arial" w:cs="Arial" w:eastAsia="Arial"/>
          <w:b/>
          <w:color w:val="auto"/>
          <w:spacing w:val="0"/>
          <w:position w:val="0"/>
          <w:sz w:val="28"/>
          <w:shd w:fill="auto" w:val="clear"/>
        </w:rPr>
      </w:pPr>
      <w:r>
        <w:rPr>
          <w:rFonts w:ascii="Arial" w:hAnsi="Arial" w:cs="Arial" w:eastAsia="Arial"/>
          <w:b/>
          <w:color w:val="auto"/>
          <w:spacing w:val="0"/>
          <w:position w:val="0"/>
          <w:sz w:val="28"/>
          <w:shd w:fill="auto" w:val="clear"/>
        </w:rPr>
        <w:t xml:space="preserve">2.3 Conceptualising Postgraduate Mental Health</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Mental health is not necessarily just the lack of a diagnosable disorder; it relates to emotional, psychological and social functioning and is affected by the contexts of study, work and living (WHO, 2022). For this review, drawing on WHO (2022) and the symptom domains used in recent UK student research (Akram et al., 2023), “mental health problems” refers to clinically relevant depressive and anxious symptoms, broader psychological distress and loneliness, stress, sleep disturbance, as well as suicidality. The majority of research on the university campus measures symptoms rather than using diagnostic interviews. Therefore, prevalence estimates should not be interpreted as the number of cases of psychiatric illness, and scores above screening thresholds suggest a likelihood of difficulty, rather than an actual diagnosis (Akram et al., 2023; Chen and Lucock, 2022). </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There is no homogeneity among postgraduate students. Postgraduate taught students are typically engaged in time-limited Master's courses with intensive courses, evaluations and dissertations, whereas postgraduate researchers are involved in less structured and often longer research degrees which are more influenced by supervision, funding and research culture. Marshall et al. (2026) provide rare direct evidence about taught postgraduates, whereas Hazell et al. (2021), Berry et al. (2021a) and Casey et al. (2024a) focus primarily on doctoral or research students. This imbalance is significant because the results of studies on publication pressure, supervisor dependence and drop-out from doctoral studies cannot be immediately transferred to students following one-year taught courses. However, general surveys at the university level can mask the risks of postgraduate studies if they include a mixture of postgraduates, ages and modes of study. A defensible synthesis should thus be drawn from more extensive student evidence and should clearly point to the population from which the inferences are made (Bisal et al., 2026; Dodd et al., 2021; Casey et al., 2022). </w:t>
      </w:r>
    </w:p>
    <w:p>
      <w:pPr>
        <w:keepNext w:val="true"/>
        <w:keepLines w:val="true"/>
        <w:spacing w:before="40" w:after="0" w:line="360"/>
        <w:ind w:right="0" w:left="0" w:firstLine="0"/>
        <w:jc w:val="both"/>
        <w:rPr>
          <w:rFonts w:ascii="Arial" w:hAnsi="Arial" w:cs="Arial" w:eastAsia="Arial"/>
          <w:b/>
          <w:color w:val="auto"/>
          <w:spacing w:val="0"/>
          <w:position w:val="0"/>
          <w:sz w:val="28"/>
          <w:shd w:fill="auto" w:val="clear"/>
        </w:rPr>
      </w:pPr>
      <w:r>
        <w:rPr>
          <w:rFonts w:ascii="Arial" w:hAnsi="Arial" w:cs="Arial" w:eastAsia="Arial"/>
          <w:b/>
          <w:color w:val="auto"/>
          <w:spacing w:val="0"/>
          <w:position w:val="0"/>
          <w:sz w:val="28"/>
          <w:shd w:fill="auto" w:val="clear"/>
        </w:rPr>
        <w:t xml:space="preserve">2.4 Extent and Nature of Mental Health Problems</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Recent studies show significant prevalence of mental health needs among the student population in the UK at university level, although this is inconsistent due to differences in samples, timeframe and measures. Data from 1408 UK university students on validated measures of anxiety, depression, insomnia, perceived stress, suicidal behaviour, psychotic experiences and loneliness show that difficulties don't exist in isolation, but in clusters, as Akram et al. (2023) put it. In their subsequent study, they found that loneliness was strongly associated with various psychiatric markers (Akram et al., 2025). These studies provide a much wider range of symptoms but, because of the cross-sectional nature, cannot determine whether loneliness causes distress, or if the distress causes loneliness, or if these are mutually reinforcing over time. In addition, findings in relation to any particular postgraduate are constrained by mixed student samples. </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More direct evidence comes from studies by postgraduate researchers. Hazell et al. (2021) ran a national survey of doctoral students in the UK and found high levels of depression, anxiety and suicidality compared to other populations. Perfectionism, impostor thoughts, weak social connectedness and poorer supervisory communion predicted symptoms among postgraduate researchers in the UK (Berry et al., 2021a). In a study of 241 researchers from two English Universities, Moss et al. (2022) found that 70 percent of the researchers reported moderate to high psychological distress and that low wellbeing was associated with higher distress and lower help-seeking. However, both were based on voluntary online responses, which may have led to some self-selection, as students who were struggling may have been particularly motivated to respond. </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Casey et al. (2024a) have explored the associations between postgraduate researcher wellbeing and resilience, workload, isolation and imposter experiences at a single university in the UK. In 2023, Hosseinpur et al. reported depressive symptoms in 34.6% of 153 International public-health master's students and an association with funding, accommodation, ethnicity and challenges with the adaptation to life in the UK (Byrom et al., 2022; Crook et al., 2021; Hazell et al., 2020). While directly relevant to taught international postgraduates, there are limitations of generalisation due to convenience sampling, one discipline and one institution. Marshall et al. (2026) found that 21 participants were interviewed in their qualitative study, which provided insights into processes of support and hindrance to wellbeing for taught postgraduates but not into prevalence. </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Carr et al. (2022a) observed high levels of anxiety and depression among UK university staff and postgraduate students during the early COVID-19 disruption, with follow-up resulting in seeing a diverse range of mental health trajectories, not an overall improvement or decline (Carr et al., 2022b). In a northern English university, Chen and Lucock (2022) also found high levels of distress linked to lower levels of physical activity, financial worries and relationship issues. These studies report on a true historical shock, but lockdown, emergency online learning and social restrictions were unprecedented exposures. If we assume the pandemic estimates as baseline prevalence, it would be an overstatement of the certainty (Bennett et al., 2022; Tang et al., 2022; Jackman et al., 2022b). Overall, the evidence is consistent in its support of grave need, but established postgraduate prevalence is not yet clearly understood, as PGT students are under-studied and the measurement is inconsistent, with most designs being observational. </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Table 2.1: Critical Overview of Key UK Postgraduate Mental Health Studies (Hazell et al., 2021; Moss et al., 2022; Hosseinpur et al., 2023; Bennett et al., 2023; Mavrogalou-Foti et al., 2024; Marshall et al., 2026)</w:t>
      </w:r>
    </w:p>
    <w:tbl>
      <w:tblPr/>
      <w:tblGrid>
        <w:gridCol w:w="2909"/>
        <w:gridCol w:w="3637"/>
        <w:gridCol w:w="3030"/>
      </w:tblGrid>
      <w:tr>
        <w:trPr>
          <w:trHeight w:val="1" w:hRule="atLeast"/>
          <w:jc w:val="left"/>
        </w:trPr>
        <w:tc>
          <w:tcPr>
            <w:tcW w:w="290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360"/>
              <w:ind w:right="0" w:left="0" w:firstLine="0"/>
              <w:jc w:val="both"/>
              <w:rPr>
                <w:color w:val="auto"/>
                <w:spacing w:val="0"/>
                <w:position w:val="0"/>
                <w:sz w:val="22"/>
                <w:shd w:fill="auto" w:val="clear"/>
              </w:rPr>
            </w:pPr>
            <w:r>
              <w:rPr>
                <w:rFonts w:ascii="Arial" w:hAnsi="Arial" w:cs="Arial" w:eastAsia="Arial"/>
                <w:b/>
                <w:color w:val="auto"/>
                <w:spacing w:val="0"/>
                <w:position w:val="0"/>
                <w:sz w:val="22"/>
                <w:shd w:fill="auto" w:val="clear"/>
              </w:rPr>
              <w:t xml:space="preserve">Source and population</w:t>
            </w:r>
          </w:p>
        </w:tc>
        <w:tc>
          <w:tcPr>
            <w:tcW w:w="363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360"/>
              <w:ind w:right="0" w:left="0" w:firstLine="0"/>
              <w:jc w:val="both"/>
              <w:rPr>
                <w:color w:val="auto"/>
                <w:spacing w:val="0"/>
                <w:position w:val="0"/>
                <w:sz w:val="22"/>
                <w:shd w:fill="auto" w:val="clear"/>
              </w:rPr>
            </w:pPr>
            <w:r>
              <w:rPr>
                <w:rFonts w:ascii="Arial" w:hAnsi="Arial" w:cs="Arial" w:eastAsia="Arial"/>
                <w:b/>
                <w:color w:val="auto"/>
                <w:spacing w:val="0"/>
                <w:position w:val="0"/>
                <w:sz w:val="22"/>
                <w:shd w:fill="auto" w:val="clear"/>
              </w:rPr>
              <w:t xml:space="preserve">Principal contribution</w:t>
            </w:r>
          </w:p>
        </w:tc>
        <w:tc>
          <w:tcPr>
            <w:tcW w:w="303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360"/>
              <w:ind w:right="0" w:left="0" w:firstLine="0"/>
              <w:jc w:val="both"/>
              <w:rPr>
                <w:color w:val="auto"/>
                <w:spacing w:val="0"/>
                <w:position w:val="0"/>
                <w:sz w:val="22"/>
                <w:shd w:fill="auto" w:val="clear"/>
              </w:rPr>
            </w:pPr>
            <w:r>
              <w:rPr>
                <w:rFonts w:ascii="Arial" w:hAnsi="Arial" w:cs="Arial" w:eastAsia="Arial"/>
                <w:b/>
                <w:color w:val="auto"/>
                <w:spacing w:val="0"/>
                <w:position w:val="0"/>
                <w:sz w:val="22"/>
                <w:shd w:fill="auto" w:val="clear"/>
              </w:rPr>
              <w:t xml:space="preserve">Critical limitation</w:t>
            </w:r>
          </w:p>
        </w:tc>
      </w:tr>
      <w:tr>
        <w:trPr>
          <w:trHeight w:val="1" w:hRule="atLeast"/>
          <w:jc w:val="left"/>
        </w:trPr>
        <w:tc>
          <w:tcPr>
            <w:tcW w:w="290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360"/>
              <w:ind w:right="0" w:left="0" w:firstLine="0"/>
              <w:jc w:val="both"/>
              <w:rPr>
                <w:color w:val="auto"/>
                <w:spacing w:val="0"/>
                <w:position w:val="0"/>
                <w:sz w:val="22"/>
                <w:shd w:fill="auto" w:val="clear"/>
              </w:rPr>
            </w:pPr>
            <w:r>
              <w:rPr>
                <w:rFonts w:ascii="Arial" w:hAnsi="Arial" w:cs="Arial" w:eastAsia="Arial"/>
                <w:color w:val="auto"/>
                <w:spacing w:val="0"/>
                <w:position w:val="0"/>
                <w:sz w:val="22"/>
                <w:shd w:fill="auto" w:val="clear"/>
              </w:rPr>
              <w:t xml:space="preserve">Hazell et al. (2021): nationwide UK doctoral-researcher survey</w:t>
            </w:r>
          </w:p>
        </w:tc>
        <w:tc>
          <w:tcPr>
            <w:tcW w:w="363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360"/>
              <w:ind w:right="0" w:left="0" w:firstLine="0"/>
              <w:jc w:val="both"/>
              <w:rPr>
                <w:color w:val="auto"/>
                <w:spacing w:val="0"/>
                <w:position w:val="0"/>
                <w:sz w:val="22"/>
                <w:shd w:fill="auto" w:val="clear"/>
              </w:rPr>
            </w:pPr>
            <w:r>
              <w:rPr>
                <w:rFonts w:ascii="Arial" w:hAnsi="Arial" w:cs="Arial" w:eastAsia="Arial"/>
                <w:color w:val="auto"/>
                <w:spacing w:val="0"/>
                <w:position w:val="0"/>
                <w:sz w:val="22"/>
                <w:shd w:fill="auto" w:val="clear"/>
              </w:rPr>
              <w:t xml:space="preserve">Identified substantial depression, anxiety and suicidality among doctoral researchers</w:t>
            </w:r>
          </w:p>
        </w:tc>
        <w:tc>
          <w:tcPr>
            <w:tcW w:w="303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360"/>
              <w:ind w:right="0" w:left="0" w:firstLine="0"/>
              <w:jc w:val="both"/>
              <w:rPr>
                <w:color w:val="auto"/>
                <w:spacing w:val="0"/>
                <w:position w:val="0"/>
                <w:sz w:val="22"/>
                <w:shd w:fill="auto" w:val="clear"/>
              </w:rPr>
            </w:pPr>
            <w:r>
              <w:rPr>
                <w:rFonts w:ascii="Arial" w:hAnsi="Arial" w:cs="Arial" w:eastAsia="Arial"/>
                <w:color w:val="auto"/>
                <w:spacing w:val="0"/>
                <w:position w:val="0"/>
                <w:sz w:val="22"/>
                <w:shd w:fill="auto" w:val="clear"/>
              </w:rPr>
              <w:t xml:space="preserve">Voluntary, cross-sectional self-report evidence; findings do not represent PGT students</w:t>
            </w:r>
          </w:p>
        </w:tc>
      </w:tr>
      <w:tr>
        <w:trPr>
          <w:trHeight w:val="1" w:hRule="atLeast"/>
          <w:jc w:val="left"/>
        </w:trPr>
        <w:tc>
          <w:tcPr>
            <w:tcW w:w="290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360"/>
              <w:ind w:right="0" w:left="0" w:firstLine="0"/>
              <w:jc w:val="both"/>
              <w:rPr>
                <w:color w:val="auto"/>
                <w:spacing w:val="0"/>
                <w:position w:val="0"/>
                <w:sz w:val="22"/>
                <w:shd w:fill="auto" w:val="clear"/>
              </w:rPr>
            </w:pPr>
            <w:r>
              <w:rPr>
                <w:rFonts w:ascii="Arial" w:hAnsi="Arial" w:cs="Arial" w:eastAsia="Arial"/>
                <w:color w:val="auto"/>
                <w:spacing w:val="0"/>
                <w:position w:val="0"/>
                <w:sz w:val="22"/>
                <w:shd w:fill="auto" w:val="clear"/>
              </w:rPr>
              <w:t xml:space="preserve">Moss et al. (2022): 241 postgraduate researchers at two English universities</w:t>
            </w:r>
          </w:p>
        </w:tc>
        <w:tc>
          <w:tcPr>
            <w:tcW w:w="363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360"/>
              <w:ind w:right="0" w:left="0" w:firstLine="0"/>
              <w:jc w:val="both"/>
              <w:rPr>
                <w:color w:val="auto"/>
                <w:spacing w:val="0"/>
                <w:position w:val="0"/>
                <w:sz w:val="22"/>
                <w:shd w:fill="auto" w:val="clear"/>
              </w:rPr>
            </w:pPr>
            <w:r>
              <w:rPr>
                <w:rFonts w:ascii="Arial" w:hAnsi="Arial" w:cs="Arial" w:eastAsia="Arial"/>
                <w:color w:val="auto"/>
                <w:spacing w:val="0"/>
                <w:position w:val="0"/>
                <w:sz w:val="22"/>
                <w:shd w:fill="auto" w:val="clear"/>
              </w:rPr>
              <w:t xml:space="preserve">Reported that 70% experienced mild-to-severe psychological distress and identified weak help-seeking</w:t>
            </w:r>
          </w:p>
        </w:tc>
        <w:tc>
          <w:tcPr>
            <w:tcW w:w="303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360"/>
              <w:ind w:right="0" w:left="0" w:firstLine="0"/>
              <w:jc w:val="both"/>
              <w:rPr>
                <w:color w:val="auto"/>
                <w:spacing w:val="0"/>
                <w:position w:val="0"/>
                <w:sz w:val="22"/>
                <w:shd w:fill="auto" w:val="clear"/>
              </w:rPr>
            </w:pPr>
            <w:r>
              <w:rPr>
                <w:rFonts w:ascii="Arial" w:hAnsi="Arial" w:cs="Arial" w:eastAsia="Arial"/>
                <w:color w:val="auto"/>
                <w:spacing w:val="0"/>
                <w:position w:val="0"/>
                <w:sz w:val="22"/>
                <w:shd w:fill="auto" w:val="clear"/>
              </w:rPr>
              <w:t xml:space="preserve">Two-university sample and possible self-selection bias</w:t>
            </w:r>
          </w:p>
        </w:tc>
      </w:tr>
      <w:tr>
        <w:trPr>
          <w:trHeight w:val="1" w:hRule="atLeast"/>
          <w:jc w:val="left"/>
        </w:trPr>
        <w:tc>
          <w:tcPr>
            <w:tcW w:w="290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360"/>
              <w:ind w:right="0" w:left="0" w:firstLine="0"/>
              <w:jc w:val="both"/>
              <w:rPr>
                <w:color w:val="auto"/>
                <w:spacing w:val="0"/>
                <w:position w:val="0"/>
                <w:sz w:val="22"/>
                <w:shd w:fill="auto" w:val="clear"/>
              </w:rPr>
            </w:pPr>
            <w:r>
              <w:rPr>
                <w:rFonts w:ascii="Arial" w:hAnsi="Arial" w:cs="Arial" w:eastAsia="Arial"/>
                <w:color w:val="auto"/>
                <w:spacing w:val="0"/>
                <w:position w:val="0"/>
                <w:sz w:val="22"/>
                <w:shd w:fill="auto" w:val="clear"/>
              </w:rPr>
              <w:t xml:space="preserve">Hosseinpur et al. (2023): 153 international public-health postgraduates</w:t>
            </w:r>
          </w:p>
        </w:tc>
        <w:tc>
          <w:tcPr>
            <w:tcW w:w="363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360"/>
              <w:ind w:right="0" w:left="0" w:firstLine="0"/>
              <w:jc w:val="both"/>
              <w:rPr>
                <w:color w:val="auto"/>
                <w:spacing w:val="0"/>
                <w:position w:val="0"/>
                <w:sz w:val="22"/>
                <w:shd w:fill="auto" w:val="clear"/>
              </w:rPr>
            </w:pPr>
            <w:r>
              <w:rPr>
                <w:rFonts w:ascii="Arial" w:hAnsi="Arial" w:cs="Arial" w:eastAsia="Arial"/>
                <w:color w:val="auto"/>
                <w:spacing w:val="0"/>
                <w:position w:val="0"/>
                <w:sz w:val="22"/>
                <w:shd w:fill="auto" w:val="clear"/>
              </w:rPr>
              <w:t xml:space="preserve">Found a 34.6% positive depression-screening rate and associations with funding and accommodation</w:t>
            </w:r>
          </w:p>
        </w:tc>
        <w:tc>
          <w:tcPr>
            <w:tcW w:w="303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360"/>
              <w:ind w:right="0" w:left="0" w:firstLine="0"/>
              <w:jc w:val="both"/>
              <w:rPr>
                <w:color w:val="auto"/>
                <w:spacing w:val="0"/>
                <w:position w:val="0"/>
                <w:sz w:val="22"/>
                <w:shd w:fill="auto" w:val="clear"/>
              </w:rPr>
            </w:pPr>
            <w:r>
              <w:rPr>
                <w:rFonts w:ascii="Arial" w:hAnsi="Arial" w:cs="Arial" w:eastAsia="Arial"/>
                <w:color w:val="auto"/>
                <w:spacing w:val="0"/>
                <w:position w:val="0"/>
                <w:sz w:val="22"/>
                <w:shd w:fill="auto" w:val="clear"/>
              </w:rPr>
              <w:t xml:space="preserve">One institution, one discipline and convenience sampling</w:t>
            </w:r>
          </w:p>
        </w:tc>
      </w:tr>
      <w:tr>
        <w:trPr>
          <w:trHeight w:val="1" w:hRule="atLeast"/>
          <w:jc w:val="left"/>
        </w:trPr>
        <w:tc>
          <w:tcPr>
            <w:tcW w:w="290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360"/>
              <w:ind w:right="0" w:left="0" w:firstLine="0"/>
              <w:jc w:val="both"/>
              <w:rPr>
                <w:color w:val="auto"/>
                <w:spacing w:val="0"/>
                <w:position w:val="0"/>
                <w:sz w:val="22"/>
                <w:shd w:fill="auto" w:val="clear"/>
              </w:rPr>
            </w:pPr>
            <w:r>
              <w:rPr>
                <w:rFonts w:ascii="Arial" w:hAnsi="Arial" w:cs="Arial" w:eastAsia="Arial"/>
                <w:color w:val="auto"/>
                <w:spacing w:val="0"/>
                <w:position w:val="0"/>
                <w:sz w:val="22"/>
                <w:shd w:fill="auto" w:val="clear"/>
              </w:rPr>
              <w:t xml:space="preserve">Bennett et al. (2023): 10,876 annual UK university survey responses</w:t>
            </w:r>
          </w:p>
        </w:tc>
        <w:tc>
          <w:tcPr>
            <w:tcW w:w="363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360"/>
              <w:ind w:right="0" w:left="0" w:firstLine="0"/>
              <w:jc w:val="both"/>
              <w:rPr>
                <w:color w:val="auto"/>
                <w:spacing w:val="0"/>
                <w:position w:val="0"/>
                <w:sz w:val="22"/>
                <w:shd w:fill="auto" w:val="clear"/>
              </w:rPr>
            </w:pPr>
            <w:r>
              <w:rPr>
                <w:rFonts w:ascii="Arial" w:hAnsi="Arial" w:cs="Arial" w:eastAsia="Arial"/>
                <w:color w:val="auto"/>
                <w:spacing w:val="0"/>
                <w:position w:val="0"/>
                <w:sz w:val="22"/>
                <w:shd w:fill="auto" w:val="clear"/>
              </w:rPr>
              <w:t xml:space="preserve">Demonstrated increasing financial stress between 2018 and 2022</w:t>
            </w:r>
          </w:p>
        </w:tc>
        <w:tc>
          <w:tcPr>
            <w:tcW w:w="303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360"/>
              <w:ind w:right="0" w:left="0" w:firstLine="0"/>
              <w:jc w:val="both"/>
              <w:rPr>
                <w:color w:val="auto"/>
                <w:spacing w:val="0"/>
                <w:position w:val="0"/>
                <w:sz w:val="22"/>
                <w:shd w:fill="auto" w:val="clear"/>
              </w:rPr>
            </w:pPr>
            <w:r>
              <w:rPr>
                <w:rFonts w:ascii="Arial" w:hAnsi="Arial" w:cs="Arial" w:eastAsia="Arial"/>
                <w:color w:val="auto"/>
                <w:spacing w:val="0"/>
                <w:position w:val="0"/>
                <w:sz w:val="22"/>
                <w:shd w:fill="auto" w:val="clear"/>
              </w:rPr>
              <w:t xml:space="preserve">Repeated cross-sectional rather than longitudinal individual data</w:t>
            </w:r>
          </w:p>
        </w:tc>
      </w:tr>
      <w:tr>
        <w:trPr>
          <w:trHeight w:val="1" w:hRule="atLeast"/>
          <w:jc w:val="left"/>
        </w:trPr>
        <w:tc>
          <w:tcPr>
            <w:tcW w:w="290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360"/>
              <w:ind w:right="0" w:left="0" w:firstLine="0"/>
              <w:jc w:val="both"/>
              <w:rPr>
                <w:color w:val="auto"/>
                <w:spacing w:val="0"/>
                <w:position w:val="0"/>
                <w:sz w:val="22"/>
                <w:shd w:fill="auto" w:val="clear"/>
              </w:rPr>
            </w:pPr>
            <w:r>
              <w:rPr>
                <w:rFonts w:ascii="Arial" w:hAnsi="Arial" w:cs="Arial" w:eastAsia="Arial"/>
                <w:color w:val="auto"/>
                <w:spacing w:val="0"/>
                <w:position w:val="0"/>
                <w:sz w:val="22"/>
                <w:shd w:fill="auto" w:val="clear"/>
              </w:rPr>
              <w:t xml:space="preserve">Mavrogalou-Foti et al. (2024): UK doctoral students</w:t>
            </w:r>
          </w:p>
        </w:tc>
        <w:tc>
          <w:tcPr>
            <w:tcW w:w="363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360"/>
              <w:ind w:right="0" w:left="0" w:firstLine="0"/>
              <w:jc w:val="both"/>
              <w:rPr>
                <w:color w:val="auto"/>
                <w:spacing w:val="0"/>
                <w:position w:val="0"/>
                <w:sz w:val="22"/>
                <w:shd w:fill="auto" w:val="clear"/>
              </w:rPr>
            </w:pPr>
            <w:r>
              <w:rPr>
                <w:rFonts w:ascii="Arial" w:hAnsi="Arial" w:cs="Arial" w:eastAsia="Arial"/>
                <w:color w:val="auto"/>
                <w:spacing w:val="0"/>
                <w:position w:val="0"/>
                <w:sz w:val="22"/>
                <w:shd w:fill="auto" w:val="clear"/>
              </w:rPr>
              <w:t xml:space="preserve">Connected supervisory relationship quality with mental health outcomes</w:t>
            </w:r>
          </w:p>
        </w:tc>
        <w:tc>
          <w:tcPr>
            <w:tcW w:w="303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360"/>
              <w:ind w:right="0" w:left="0" w:firstLine="0"/>
              <w:jc w:val="both"/>
              <w:rPr>
                <w:color w:val="auto"/>
                <w:spacing w:val="0"/>
                <w:position w:val="0"/>
                <w:sz w:val="22"/>
                <w:shd w:fill="auto" w:val="clear"/>
              </w:rPr>
            </w:pPr>
            <w:r>
              <w:rPr>
                <w:rFonts w:ascii="Arial" w:hAnsi="Arial" w:cs="Arial" w:eastAsia="Arial"/>
                <w:color w:val="auto"/>
                <w:spacing w:val="0"/>
                <w:position w:val="0"/>
                <w:sz w:val="22"/>
                <w:shd w:fill="auto" w:val="clear"/>
              </w:rPr>
              <w:t xml:space="preserve">Cross-sectional design leaves reverse causation possible</w:t>
            </w:r>
          </w:p>
        </w:tc>
      </w:tr>
      <w:tr>
        <w:trPr>
          <w:trHeight w:val="1" w:hRule="atLeast"/>
          <w:jc w:val="left"/>
        </w:trPr>
        <w:tc>
          <w:tcPr>
            <w:tcW w:w="290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360"/>
              <w:ind w:right="0" w:left="0" w:firstLine="0"/>
              <w:jc w:val="both"/>
              <w:rPr>
                <w:color w:val="auto"/>
                <w:spacing w:val="0"/>
                <w:position w:val="0"/>
                <w:sz w:val="22"/>
                <w:shd w:fill="auto" w:val="clear"/>
              </w:rPr>
            </w:pPr>
            <w:r>
              <w:rPr>
                <w:rFonts w:ascii="Arial" w:hAnsi="Arial" w:cs="Arial" w:eastAsia="Arial"/>
                <w:color w:val="auto"/>
                <w:spacing w:val="0"/>
                <w:position w:val="0"/>
                <w:sz w:val="22"/>
                <w:shd w:fill="auto" w:val="clear"/>
              </w:rPr>
              <w:t xml:space="preserve">Marshall et al. (2026): 21 postgraduate taught students</w:t>
            </w:r>
          </w:p>
        </w:tc>
        <w:tc>
          <w:tcPr>
            <w:tcW w:w="363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360"/>
              <w:ind w:right="0" w:left="0" w:firstLine="0"/>
              <w:jc w:val="both"/>
              <w:rPr>
                <w:color w:val="auto"/>
                <w:spacing w:val="0"/>
                <w:position w:val="0"/>
                <w:sz w:val="22"/>
                <w:shd w:fill="auto" w:val="clear"/>
              </w:rPr>
            </w:pPr>
            <w:r>
              <w:rPr>
                <w:rFonts w:ascii="Arial" w:hAnsi="Arial" w:cs="Arial" w:eastAsia="Arial"/>
                <w:color w:val="auto"/>
                <w:spacing w:val="0"/>
                <w:position w:val="0"/>
                <w:sz w:val="22"/>
                <w:shd w:fill="auto" w:val="clear"/>
              </w:rPr>
              <w:t xml:space="preserve">Provided rare evidence concerning communication, isolation, support and pressure among PGT students</w:t>
            </w:r>
          </w:p>
        </w:tc>
        <w:tc>
          <w:tcPr>
            <w:tcW w:w="303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360"/>
              <w:ind w:right="0" w:left="0" w:firstLine="0"/>
              <w:jc w:val="both"/>
              <w:rPr>
                <w:color w:val="auto"/>
                <w:spacing w:val="0"/>
                <w:position w:val="0"/>
                <w:sz w:val="22"/>
                <w:shd w:fill="auto" w:val="clear"/>
              </w:rPr>
            </w:pPr>
            <w:r>
              <w:rPr>
                <w:rFonts w:ascii="Arial" w:hAnsi="Arial" w:cs="Arial" w:eastAsia="Arial"/>
                <w:color w:val="auto"/>
                <w:spacing w:val="0"/>
                <w:position w:val="0"/>
                <w:sz w:val="22"/>
                <w:shd w:fill="auto" w:val="clear"/>
              </w:rPr>
              <w:t xml:space="preserve">Small retrospective qualitative sample cannot establish prevalence</w:t>
            </w:r>
          </w:p>
        </w:tc>
      </w:tr>
    </w:tbl>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i/>
          <w:color w:val="auto"/>
          <w:spacing w:val="0"/>
          <w:position w:val="0"/>
          <w:sz w:val="22"/>
          <w:shd w:fill="auto" w:val="clear"/>
        </w:rPr>
        <w:t xml:space="preserve">Table sources:</w:t>
      </w:r>
      <w:r>
        <w:rPr>
          <w:rFonts w:ascii="Arial" w:hAnsi="Arial" w:cs="Arial" w:eastAsia="Arial"/>
          <w:color w:val="auto"/>
          <w:spacing w:val="0"/>
          <w:position w:val="0"/>
          <w:sz w:val="22"/>
          <w:shd w:fill="auto" w:val="clear"/>
        </w:rPr>
        <w:t xml:space="preserve"> Hazell et al. (2021), Moss et al. (2022), Hosseinpur et al. (2023), Bennett et al. (2023), Mavrogalou-Foti et al. (2024) and Marshall et al. (2026). </w:t>
      </w:r>
    </w:p>
    <w:p>
      <w:pPr>
        <w:keepNext w:val="true"/>
        <w:keepLines w:val="true"/>
        <w:spacing w:before="40" w:after="0" w:line="360"/>
        <w:ind w:right="0" w:left="0" w:firstLine="0"/>
        <w:jc w:val="both"/>
        <w:rPr>
          <w:rFonts w:ascii="Arial" w:hAnsi="Arial" w:cs="Arial" w:eastAsia="Arial"/>
          <w:b/>
          <w:color w:val="auto"/>
          <w:spacing w:val="0"/>
          <w:position w:val="0"/>
          <w:sz w:val="28"/>
          <w:shd w:fill="auto" w:val="clear"/>
        </w:rPr>
      </w:pPr>
      <w:r>
        <w:rPr>
          <w:rFonts w:ascii="Arial" w:hAnsi="Arial" w:cs="Arial" w:eastAsia="Arial"/>
          <w:b/>
          <w:color w:val="auto"/>
          <w:spacing w:val="0"/>
          <w:position w:val="0"/>
          <w:sz w:val="28"/>
          <w:shd w:fill="auto" w:val="clear"/>
        </w:rPr>
        <w:t xml:space="preserve">2.5 Financial Stress and Cost of Living</w:t>
      </w:r>
    </w:p>
    <w:p>
      <w:pPr>
        <w:keepNext w:val="true"/>
        <w:keepLines w:val="true"/>
        <w:spacing w:before="40" w:after="0" w:line="360"/>
        <w:ind w:right="0" w:left="0" w:firstLine="0"/>
        <w:jc w:val="both"/>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2.5.1 Overview</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There is a good rationale behind why financial stress should be considered a social determinant of postgraduate mental health due to its impact on housing, food, heating, transport, study time and social participation. According to the 2023 Office for National Statistics (ONS) survey, 92% of the higher-education students in the survey said that their cost of living had risen and 49% of respondents said that they were in financial difficulty, 30% had taken out new debt, 78% said their mental health and wellbeing had suffered since the fall term, and 46% of respondents said their education had worsened as a result of rising costs of living (ONS, 2023a). These are policy-relevant, but not postgraduate prevalence estimates (as the sample included both foundation and undergraduate and postgraduate students, and was based on self-report with a 0.9% response rate). Weighting mitigates known non-response imbalance but does not eliminate the non-response bias. </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Qualitative ONS interviews revealed how constrained budgets led to lower food spending, debt, and increased paid work and reliance on family assistance (ONS, 2023b). Although 25 interviews do not reflect the national student population, such accounts can help to explain some of the mechanisms that surveys might not capture. Bennett et al. (2023) examined 10,876 annual responses from one UK university from 2018 to 2022, and found that the financial stress for students has been on the rise during the pandemic and recession. Although multiple cross-sectional data sets provide a more robust comparison over time than a single survey, it is impossible to make any causal claims with individual-level data because the composition of the respondents varies each year. There can be a direct link between financial stress and mental health, but financial stress can also exacerbate difficulties in the workplace, making it harder to work, budget and seek assistance. </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Master's courses are often expensive to study, with inadequate maintenance for those attending, whilst research students may rely on a time-limited stipend, a job or an uncertain extension. International students may face higher tuition, visa restrictions, fluctuations in exchange rates, and a lack of family support. Hosseinpur et al. (2023) detected a cross-sectional relationship between depression and funding source among international postgraduates; however, this does not imply that the difficulties with funding led to depression. A number of students from an English medical school reported increasing paid work, essential restrictions, and the view that work impacted study, as reported by Iqbal et al. (2025). While medical students may not be representative of all postgraduates, results indicate a viable trajectory from resource constraints to the conflict between work and education. </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So it would be wrong to read financial strain as a reflection of poor individual budgeting. Worry can increase directly and indirectly through material hardship, which causes distress to nutrition, housing security, sleep and belonging. It can also lead to a decrease in access to protective activities due to travel, sports or social events that students avoid. Student Minds (2023) identified specific challenges to support for part-time, distance and commuter students who may have less engagement on campus and less access to support services. The literature, however, generally does not distinguish between objective resources and subjective financial strain, and few studies have an experimental design to assess the effectiveness of hardship funds in enhancing mental health. The most robust conclusion is that financial circumstances are always linked to wellbeing and academic concern; and that the size and causal pathway of impacts between specific postgraduate sub-groups is unclear. </w:t>
      </w:r>
    </w:p>
    <w:p>
      <w:pPr>
        <w:keepNext w:val="true"/>
        <w:keepLines w:val="true"/>
        <w:spacing w:before="40" w:after="0" w:line="360"/>
        <w:ind w:right="0" w:left="0" w:firstLine="0"/>
        <w:jc w:val="both"/>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2.5.2 Impact of Financial Stress on Mental Health</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Financial stress has the potential to impact postgraduate mental health either directly via psychological stress or indirectly via material pathways. Financial stress and uncertainty about rent, food, utilities, tuition and debt can also raise concerns and affect a sense of control, and lack of resources can impact sleep, eating, social interaction and the amount of study time. Financial concerns have been shown to be associated with mental health and psychological distress in the UK; however, most studies had a cross-sectional design, meaning that it cannot be concluded that financial pressures are the only cause of anxiety or depression (Chen and Lucock, 2022; Bennett et al., 2023). Similarly, the ONS (2023a) found that many HE students had financial problems as well as poorer wellbeing, but the mixed sample of students does not necessarily mean that the size of the relationship applies to all groups of HE students.</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The relationship might be significant for postgraduates, as other pressures are also at play, such as financial exposure. International students may pay more and have fewer choices of work; taught and research postgraduates might have to work on top of their studies or find their funding insecure. Hosseinpur et al. (2023) identified links between funding situations and depressive symptoms among international postgraduates, and Iqbal et al. (2025) demonstrated that cost pressures could lead to increased paid work and limited necessary expenses. The results validate the inclusion of financial stress as an SDOH that might exacerbate academic and social stress, and caution is continued to be exercised regarding the direction of causality. In the systematic review, therefore, financial stress is not just considered an economic outcome but as a possible pathway to anxiety, depression and less well-being (McCloud and Bann, 2019; Jessop et al., 2020; Aldubaybi et al., 2024).</w:t>
      </w:r>
    </w:p>
    <w:p>
      <w:pPr>
        <w:keepNext w:val="true"/>
        <w:keepLines w:val="true"/>
        <w:spacing w:before="40" w:after="0" w:line="360"/>
        <w:ind w:right="0" w:left="0" w:firstLine="0"/>
        <w:jc w:val="both"/>
        <w:rPr>
          <w:rFonts w:ascii="Arial" w:hAnsi="Arial" w:cs="Arial" w:eastAsia="Arial"/>
          <w:b/>
          <w:color w:val="auto"/>
          <w:spacing w:val="0"/>
          <w:position w:val="0"/>
          <w:sz w:val="28"/>
          <w:shd w:fill="auto" w:val="clear"/>
        </w:rPr>
      </w:pPr>
      <w:r>
        <w:rPr>
          <w:rFonts w:ascii="Arial" w:hAnsi="Arial" w:cs="Arial" w:eastAsia="Arial"/>
          <w:b/>
          <w:color w:val="auto"/>
          <w:spacing w:val="0"/>
          <w:position w:val="0"/>
          <w:sz w:val="28"/>
          <w:shd w:fill="auto" w:val="clear"/>
        </w:rPr>
        <w:t xml:space="preserve">2.6 Other Risk Factors: Academic, Supervisory and Social Determinants</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Postgraduate study can involve both higher-level academic requirements and unpredictable prospects and career changes. Taught students might be subjected to crowded curricula, different assessment norms and quick dissertation deadlines; researchers to open-ended projects, publication pressure, and uncertain completion. Marshall et al. (2026) identified that the factors that influence PGT wellbeing included teaching arrangements, communication, support, isolation and academic pressure. Transferability is restricted by the small sample size of the retrospective study, yet it considers a population not included in large doctoral surveys. Similarly, Campbell et al. (2022) found from UK evidence that workload, transitions, relationships and broader living conditions impact on student mental health; however, heterogeneity meant that they were unable to perform a meta-analysis. </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Supervisory relationship is a central, institutionalised exposure for postgraduate researchers as it impacts on feedback, progression, networks and perceptions of belonging. Berry et al. (2021a) found that decreased supervisory communion was a consistent predictor of depression, anxiety and suicidality. Supervisory relationship quality was also shown to predict mental health outcomes for doctoral students in a study by Mavrogalou-Foti et al. (2024) with UK participants. Such studies provide evidence for relational explanations, but reversals of cause and effect are possible, as distressed students might have more negative perceptions of interactions or communication difficulties. Institutional response, therefore, should be to enhance supervisory practice and not to make supervisors into clinicians, and not to assume that the resolution of relationships alone can solve the problem of structural pressures (McCray and Joseph-Richard, 2021; Thomas et al., 2024; UK Council for Graduate Education, 2022). </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Research culture can also come to accept overwork and make absence less acceptable. Berry et al. (2021b) identified a high level of perceived stigma and discrimination among 3,352 postgraduate researchers in the UK and the link between stigma and absenteeism and presenteeism. Presenteeism has been a major concern as students may keep coming to school when they are sick, and in disguise, and support may not be sought for as long as it should be. Berry et al. (2023) then demonstrated that depression, anxiety and suicidality were predictors for absence, intermission, presenteeism and intention to leave doctoral study. While these outcomes are functionally relevant, there is no necessary connection between intention to leave and actual attrition, and the use of a common survey dataset means that the findings are related and not independent replications. </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Social connection can act as a buffer against wellbeing with emotional support, practical information and academic identity (Alsubaie et al., 2019; Vasileiou et al., 2019; McIntyre et al., 2018). Dost (2025) identified a relationship between belonging, loneliness, academic anxiety and pandemic-related stress amongst undergraduate and postgraduate students in a UK collegiate setting. Similarly, psychiatric correlates of loneliness were found to be high by Akram et al. (2025). However, belonging can be both cause and effect: anxiety can make it harder to be involved and being excluded can make it harder to be anxious. If cohorts are small, teaching is short, research is done in isolation or commuting and working outside the campus decrease contact, postgraduates can be vulnerable. International students may also suffer homesickness, language needs, discrimination and unfamiliar services, as described in Hosseinpur et al. (2023). </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Academic, social and financial determinants should not be viewed as individual factors. Uncertainty can increase, study and social time can get less, and help-seeking can decrease, due to distress and weak supervision; and concentration and progress can be affected by paid work. Casey et al. (2024a) determined that resilience is applicable but that resilience as an individual approach can be interpreted as a way for students to adjust to an unhealthy environment. A more critical interpretation views resilience as being partly shaped by regular work, supportive relationships, a decent income and available services. Thus, postgraduate mental health is thought of as an interaction of personal resources and institutional environments, rather than a pathological lack of coping. </w:t>
      </w:r>
    </w:p>
    <w:p>
      <w:pPr>
        <w:keepNext w:val="true"/>
        <w:keepLines w:val="true"/>
        <w:spacing w:before="40" w:after="0" w:line="360"/>
        <w:ind w:right="0" w:left="0" w:firstLine="0"/>
        <w:jc w:val="both"/>
        <w:rPr>
          <w:rFonts w:ascii="Arial" w:hAnsi="Arial" w:cs="Arial" w:eastAsia="Arial"/>
          <w:b/>
          <w:color w:val="auto"/>
          <w:spacing w:val="0"/>
          <w:position w:val="0"/>
          <w:sz w:val="28"/>
          <w:shd w:fill="auto" w:val="clear"/>
        </w:rPr>
      </w:pPr>
      <w:r>
        <w:rPr>
          <w:rFonts w:ascii="Arial" w:hAnsi="Arial" w:cs="Arial" w:eastAsia="Arial"/>
          <w:b/>
          <w:color w:val="auto"/>
          <w:spacing w:val="0"/>
          <w:position w:val="0"/>
          <w:sz w:val="28"/>
          <w:shd w:fill="auto" w:val="clear"/>
        </w:rPr>
        <w:t xml:space="preserve">2.7 Inequalities and Differential Risk</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Average estimates may disguise inequities in exposure and support (Olaniyan, 2021; Stoll et al., 2022; Dougall et al., 2023). International postgraduates may experience cultural adjustment, loss of existing networks, new academic expectations and financial or immigration issues. The study of Hosseinpur et al. (2023) discovered that ethnicity, funding and accommodation were linked to depressive symptoms among international public-health students; however, broad ethnic groups and convenience sampling make culturally specific interpretations of these associations unsafe. That discovery does, however, signal that universities can't expect a standardised experience with their international students. </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Student Minds (2023) said that part-time, distance and commuter students might experience financial stress, not feeling like they fit in and few opportunities to access campus support. Some taught postgraduates may not get enough time to establish relationships before the evaluation period starts, while doctoral researchers might feel a sense of uncertainty and reliance on a limited network of supervisors (Marshall et al., 2026; Hazell et al., 2021). For mature students, study might be combined with work, child care or other responsibilities; this might make it more difficult for some to access services at standard daytime hours. Much of the subgroup evidence is descriptive, however, and small samples preclude analysis of complex interaction of group characteristics, including disability, ethnicity, gender, income and international status. </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The data requirements of institutions also rely on disclosure. Reported mental health conditions are less evenly distributed across different groups of students, but disclosure rates are not necessarily the same as the prevalence of mental health conditions, as disclosure of a condition depends on diagnosis, trust, stigma and perceived benefit (Office for Students, 2023; Jones et al., 2019; Office for Students, 2023; Student Minds, 2024). Berry et al. (2021b) show how under-disclosure is possible in the context of academic cultures that are seen as stigmatising. So, the equity-oriented review should both take differential risk and differential visibility into consideration. Institutional evidence may fail to capture students who do not declare, those who are unable to attend services and those who leave early, thereby creating an overly positive picture of provision. </w:t>
      </w:r>
    </w:p>
    <w:p>
      <w:pPr>
        <w:keepNext w:val="true"/>
        <w:keepLines w:val="true"/>
        <w:spacing w:before="40" w:after="0" w:line="360"/>
        <w:ind w:right="0" w:left="0" w:firstLine="0"/>
        <w:jc w:val="both"/>
        <w:rPr>
          <w:rFonts w:ascii="Arial" w:hAnsi="Arial" w:cs="Arial" w:eastAsia="Arial"/>
          <w:b/>
          <w:color w:val="auto"/>
          <w:spacing w:val="0"/>
          <w:position w:val="0"/>
          <w:sz w:val="28"/>
          <w:shd w:fill="auto" w:val="clear"/>
        </w:rPr>
      </w:pPr>
      <w:r>
        <w:rPr>
          <w:rFonts w:ascii="Arial" w:hAnsi="Arial" w:cs="Arial" w:eastAsia="Arial"/>
          <w:b/>
          <w:color w:val="auto"/>
          <w:spacing w:val="0"/>
          <w:position w:val="0"/>
          <w:sz w:val="28"/>
          <w:shd w:fill="auto" w:val="clear"/>
        </w:rPr>
        <w:t xml:space="preserve">2.8 Help-Seeking and Service Access</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Universities have a counselling service, wellbeing teams, disability support, financial advice and peer support programmes and referrals to NHS services, but access is not guaranteed to be timely or acceptable (Wadman et al., 2019; Gorczynski et al., 2020; Waight and Giordano, 2018). Broglia et al. (2021) asked 1956 students from five UK universities about their reasons for not seeking help, and found that uncertainty, expected time commitment and delayed recognition of need were barriers to seeking help. The multi-university sample provides breadth, but it may not necessarily capture the current demand due to the pre-dates of the data prior to the current cost-of-living crisis. The studies by Moss et al. (2022) indicated that psychometric literacy was not enough to address practical or cultural obstacles to accessing mental health services for distressed PGRs. </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Barnett et al. (2021b) found six themes, including complicated access, limited personalisation, stigma and feeling abandoned/invisible, among 16 students who had accessed mental health support. While the small sample can't measure how prevalent these experiences are, it does uncover relational and administrative shortcomings that satisfaction scores might overlook. Remskar et al. (2022) also identified that students preferred wellbeing resources that were flexible, credible and focused on the user. Both studies support co-design, although stated preferences don't guarantee that redesign of services will lead to better clinical and academic outcomes. </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Osborn et al. (2022) found, at the population level, that although only a minority of students with mental health issues accessed formal services, there were significant differences between studies. Their international meta-analysis expands their statistical coverage, but includes a mixture of healthcare systems, definitions and student cohorts (Hughes et al., 2018; Hughes and Spanner, 2024; Wavehill, 2022). Conclusions for the UK are thus to be interpreted with caution. Postgraduates may wish to seek a first contact from their supervisors or peers but may not be trained, will not know their confidentiality boundaries or referral pathways. In contrast, using all difficulties as targets for clinical services can be a way of medicalising issues of workload or finance/exclusion. </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Increased emphasis on coordination in policy. The research undertaken by the DfE shows that there is significant variation between the way English providers organise, assess and embed mental health provision in their schools (Department for Education, 2021a; Department for Education, 2023). Office for Students work on joined-up provision emphasises the need for the higher education and NHS services to work together where students travel between home and higher education institutions, and where specialist care is required (Office for Students, 2023b). The national implementation taskforce has identified case management and HE-NHS partnerships, staff development, and clearer user journeys as priorities (DfE, 2026). While these are credible directions, much of the supporting evidence is in the form of case studies and reports of implementation and not necessarily the result of controlled evaluations. </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Reach and waiting time, equity, engagement and outcomes must therefore be evaluated when the service is expanded. Even if appointments are increased, referral systems that are confusing or culturally inappropriate cannot enhance access. Support with recognition and signposting through training of supervisors and teaching staff; no non-clinical staff to diagnose or provide therapy - role boundaries. Effective provision should link in with the clinical care in a way that reflects the multiple determinants that exist in the literature and provide financial support and social support. </w:t>
      </w:r>
    </w:p>
    <w:p>
      <w:pPr>
        <w:keepNext w:val="true"/>
        <w:keepLines w:val="true"/>
        <w:spacing w:before="40" w:after="0" w:line="360"/>
        <w:ind w:right="0" w:left="0" w:firstLine="0"/>
        <w:jc w:val="both"/>
        <w:rPr>
          <w:rFonts w:ascii="Arial" w:hAnsi="Arial" w:cs="Arial" w:eastAsia="Arial"/>
          <w:b/>
          <w:color w:val="auto"/>
          <w:spacing w:val="0"/>
          <w:position w:val="0"/>
          <w:sz w:val="28"/>
          <w:shd w:fill="auto" w:val="clear"/>
        </w:rPr>
      </w:pPr>
      <w:r>
        <w:rPr>
          <w:rFonts w:ascii="Arial" w:hAnsi="Arial" w:cs="Arial" w:eastAsia="Arial"/>
          <w:b/>
          <w:color w:val="auto"/>
          <w:spacing w:val="0"/>
          <w:position w:val="0"/>
          <w:sz w:val="28"/>
          <w:shd w:fill="auto" w:val="clear"/>
        </w:rPr>
        <w:t xml:space="preserve">2.9 Evidence-Based Interventions and Institutional Responses</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It has been shown that psychological interventions are effective for decreasing student symptoms, with varying effect sizes and durations. Barnett et al. (2021a) identified evidence of psychological prevention and treatment interventions within university populations, and Worsley et al. (2022) reported some evidence for cognitive-behavioural and mindfulness programmes, but little evidence for programmes at the university level or in the UK. These reviews help to make therapy and preventive services available, but most of the primary research relied on short follow-up, self-selected samples and symptom scales instead of functioning or retention measures. Intervention evidence does not, therefore, justify giving up on structural reform and relying on individual treatment. </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Exercise is also a possible preventive measure. Malagodi et al. (2024) revealed that out of the 125 UK universities that responded, only 45 had a physical-activity programme specifically designed to help students' mental health. Universities need to be careful not to assume that the availability of a programme brings benefits when they have not measured uptake, accessibility and mental health outcomes. </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A whole university model is more aligned with the evidence, as curriculum, assessment, employment practices, supervision, community, accommodation &amp; clinical support are connected (Metcalfe et al., 2018; Metcalfe et al., 2020; Priestley et al., 2022). Embedding mental health throughout the institutional systems rather than within counselling services is recommended by Universities UK (2023). Programme diversity and non-experimental evaluation make it difficult to be certain of the comparative effectiveness of these targeted and intersectional projects, but Office for Students evaluations suggest that this can reach groups facing barriers (Office for Students, 2024). The best answer is therefore a complex one, comprising universal prevention and healthy academic design, interventions for exposed groups, access to appropriate care as quickly as possible, reasonable academic flexibility, financial protection and effective NHS referral. </w:t>
      </w:r>
    </w:p>
    <w:p>
      <w:pPr>
        <w:keepNext w:val="true"/>
        <w:keepLines w:val="true"/>
        <w:spacing w:before="40" w:after="0" w:line="360"/>
        <w:ind w:right="0" w:left="0" w:firstLine="0"/>
        <w:jc w:val="both"/>
        <w:rPr>
          <w:rFonts w:ascii="Arial" w:hAnsi="Arial" w:cs="Arial" w:eastAsia="Arial"/>
          <w:b/>
          <w:color w:val="auto"/>
          <w:spacing w:val="0"/>
          <w:position w:val="0"/>
          <w:sz w:val="28"/>
          <w:shd w:fill="auto" w:val="clear"/>
        </w:rPr>
      </w:pPr>
      <w:r>
        <w:rPr>
          <w:rFonts w:ascii="Arial" w:hAnsi="Arial" w:cs="Arial" w:eastAsia="Arial"/>
          <w:b/>
          <w:color w:val="auto"/>
          <w:spacing w:val="0"/>
          <w:position w:val="0"/>
          <w:sz w:val="28"/>
          <w:shd w:fill="auto" w:val="clear"/>
        </w:rPr>
        <w:t xml:space="preserve">2.10 Gaps in the literature</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There are several gaps that justify the systematic review. Firstly, research in the UK is mainly carried out on general student samples and on doctoral students; there is a lack of direct evidence on postgraduates who are actually being taught. Secondly, the extent to which programmes, institutions and demographic groups are examined in studies is often collapsed, meaning that analysis of international, mature, disabled, part-time, commuter and distance postgraduates is restricted. Third, cross-sectional self-report designs predominate, making it unclear which comes first and what causes what. Fourth, pandemic research can be useful but may not be applicable to post-pandemic teaching, inflation and service pressures. Fifth, a lack of consistency makes it difficult to compare levels of anxiety, depression, distress, loneliness and wellbeing. </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There is also limited evidence of intervention effects (Galante et al., 2021; Wagner et al., 2023; Bywater, 2026). Changes to workload, supervision, funding, assessment or institutional culture are studied less frequently than individual therapies. Equity of uptake, academic functioning, retention, cost-effectiveness and sustained outcomes are reported by few evaluations. While financial stress has consistently been linked to wellbeing, there have been few postgraduate-specific longitudinal studies and assessments of financial hardship supports. Last but not least, services and determinants are examined separately, when students are subjected to them at the same time. There is a need for a systematic synthesis that links causes with outcomes and solutions, making explicit the distinction between PGT and PGR evidence. </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One restriction is related to results. Studies are reported on symptom scores, but do not usually investigate the ability of students to attend school, complete assessments, and/or continue their studies. This is tackled by looking at attendance and outcomes of intentions to drop out by looking at outcomes of taught postgraduates, as does Berry et al. (2023). Research needs to differentiate between availability and access, as services can be provided, but waiting times, eligibility screening, cultural mismatch and delivery issues may prevent access (Barnett et al., 2021b; Osborn et al., 2022). </w:t>
      </w:r>
    </w:p>
    <w:p>
      <w:pPr>
        <w:keepNext w:val="true"/>
        <w:keepLines w:val="true"/>
        <w:spacing w:before="40" w:after="0" w:line="360"/>
        <w:ind w:right="0" w:left="0" w:firstLine="0"/>
        <w:jc w:val="both"/>
        <w:rPr>
          <w:rFonts w:ascii="Arial" w:hAnsi="Arial" w:cs="Arial" w:eastAsia="Arial"/>
          <w:b/>
          <w:color w:val="auto"/>
          <w:spacing w:val="0"/>
          <w:position w:val="0"/>
          <w:sz w:val="28"/>
          <w:shd w:fill="auto" w:val="clear"/>
        </w:rPr>
      </w:pPr>
      <w:r>
        <w:rPr>
          <w:rFonts w:ascii="Arial" w:hAnsi="Arial" w:cs="Arial" w:eastAsia="Arial"/>
          <w:b/>
          <w:color w:val="auto"/>
          <w:spacing w:val="0"/>
          <w:position w:val="0"/>
          <w:sz w:val="28"/>
          <w:shd w:fill="auto" w:val="clear"/>
        </w:rPr>
        <w:t xml:space="preserve">2.11 Theoretical Framework</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An adapted social determinants of mental health framework will guide the review (WHO, 2022). The social and economic contexts and the availability of mental health services all influence mental health, as emphasised by WHO (2022). Structural conditions in postgraduate education relate to national funding, fee status, housing markets, immigration policy and NHS capacity. The institutional conditions comprise workload, assessment, research culture, supervision, inclusion and service design. Interpersonal factors are those related to peers, family and supervisory relationships, and Individual factors are those related to previous mental health, coping resources and physical health. </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The framework avoids two analytical errors. First, it does not treat hardship, isolation or overwork as individual vulnerabilities. Second, it avoids structural determinism by recognising protective resources and personal differences. Anxiety and depression are outcomes, along with feelings of loneliness, decreased wellbeing, absence, and presenteeism, and intention to interrupt and/or attrition. Support can be provided at various stages: income and housing assistance may help minimise exposure; inclusive teaching and supervision may enhance environments; peer networks may support belonging; and counselling or NHS care may address emerging symptoms. This multi-level structure is therefore appropriate to summarise disparate evidence and analyse the level of problems relative to that of proposed solutions. </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Table 2.2: Adapted Social Determinants of Mental Health Framework (WHO, 2022; Berry et al., 2021a; Dost, 2025; ONS, 2023a; DfE, 2026)</w:t>
      </w:r>
    </w:p>
    <w:tbl>
      <w:tblPr/>
      <w:tblGrid>
        <w:gridCol w:w="1691"/>
        <w:gridCol w:w="3128"/>
        <w:gridCol w:w="2138"/>
        <w:gridCol w:w="2619"/>
      </w:tblGrid>
      <w:tr>
        <w:trPr>
          <w:trHeight w:val="1" w:hRule="atLeast"/>
          <w:jc w:val="left"/>
        </w:trPr>
        <w:tc>
          <w:tcPr>
            <w:tcW w:w="1691"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360"/>
              <w:ind w:right="0" w:left="0" w:firstLine="0"/>
              <w:jc w:val="both"/>
              <w:rPr>
                <w:color w:val="auto"/>
                <w:spacing w:val="0"/>
                <w:position w:val="0"/>
                <w:sz w:val="22"/>
                <w:shd w:fill="auto" w:val="clear"/>
              </w:rPr>
            </w:pPr>
            <w:r>
              <w:rPr>
                <w:rFonts w:ascii="Arial" w:hAnsi="Arial" w:cs="Arial" w:eastAsia="Arial"/>
                <w:b/>
                <w:color w:val="auto"/>
                <w:spacing w:val="0"/>
                <w:position w:val="0"/>
                <w:sz w:val="22"/>
                <w:shd w:fill="auto" w:val="clear"/>
              </w:rPr>
              <w:t xml:space="preserve">Analytical level</w:t>
            </w:r>
          </w:p>
        </w:tc>
        <w:tc>
          <w:tcPr>
            <w:tcW w:w="312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360"/>
              <w:ind w:right="0" w:left="0" w:firstLine="0"/>
              <w:jc w:val="both"/>
              <w:rPr>
                <w:color w:val="auto"/>
                <w:spacing w:val="0"/>
                <w:position w:val="0"/>
                <w:sz w:val="22"/>
                <w:shd w:fill="auto" w:val="clear"/>
              </w:rPr>
            </w:pPr>
            <w:r>
              <w:rPr>
                <w:rFonts w:ascii="Arial" w:hAnsi="Arial" w:cs="Arial" w:eastAsia="Arial"/>
                <w:b/>
                <w:color w:val="auto"/>
                <w:spacing w:val="0"/>
                <w:position w:val="0"/>
                <w:sz w:val="22"/>
                <w:shd w:fill="auto" w:val="clear"/>
              </w:rPr>
              <w:t xml:space="preserve">Illustrative determinants</w:t>
            </w:r>
          </w:p>
        </w:tc>
        <w:tc>
          <w:tcPr>
            <w:tcW w:w="213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360"/>
              <w:ind w:right="0" w:left="0" w:firstLine="0"/>
              <w:jc w:val="both"/>
              <w:rPr>
                <w:color w:val="auto"/>
                <w:spacing w:val="0"/>
                <w:position w:val="0"/>
                <w:sz w:val="22"/>
                <w:shd w:fill="auto" w:val="clear"/>
              </w:rPr>
            </w:pPr>
            <w:r>
              <w:rPr>
                <w:rFonts w:ascii="Arial" w:hAnsi="Arial" w:cs="Arial" w:eastAsia="Arial"/>
                <w:b/>
                <w:color w:val="auto"/>
                <w:spacing w:val="0"/>
                <w:position w:val="0"/>
                <w:sz w:val="22"/>
                <w:shd w:fill="auto" w:val="clear"/>
              </w:rPr>
              <w:t xml:space="preserve">Proposed pathway</w:t>
            </w:r>
          </w:p>
        </w:tc>
        <w:tc>
          <w:tcPr>
            <w:tcW w:w="261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360"/>
              <w:ind w:right="0" w:left="0" w:firstLine="0"/>
              <w:jc w:val="both"/>
              <w:rPr>
                <w:color w:val="auto"/>
                <w:spacing w:val="0"/>
                <w:position w:val="0"/>
                <w:sz w:val="22"/>
                <w:shd w:fill="auto" w:val="clear"/>
              </w:rPr>
            </w:pPr>
            <w:r>
              <w:rPr>
                <w:rFonts w:ascii="Arial" w:hAnsi="Arial" w:cs="Arial" w:eastAsia="Arial"/>
                <w:b/>
                <w:color w:val="auto"/>
                <w:spacing w:val="0"/>
                <w:position w:val="0"/>
                <w:sz w:val="22"/>
                <w:shd w:fill="auto" w:val="clear"/>
              </w:rPr>
              <w:t xml:space="preserve">Relevant response</w:t>
            </w:r>
          </w:p>
        </w:tc>
      </w:tr>
      <w:tr>
        <w:trPr>
          <w:trHeight w:val="1" w:hRule="atLeast"/>
          <w:jc w:val="left"/>
        </w:trPr>
        <w:tc>
          <w:tcPr>
            <w:tcW w:w="1691"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360"/>
              <w:ind w:right="0" w:left="0" w:firstLine="0"/>
              <w:jc w:val="both"/>
              <w:rPr>
                <w:color w:val="auto"/>
                <w:spacing w:val="0"/>
                <w:position w:val="0"/>
                <w:sz w:val="22"/>
                <w:shd w:fill="auto" w:val="clear"/>
              </w:rPr>
            </w:pPr>
            <w:r>
              <w:rPr>
                <w:rFonts w:ascii="Arial" w:hAnsi="Arial" w:cs="Arial" w:eastAsia="Arial"/>
                <w:color w:val="auto"/>
                <w:spacing w:val="0"/>
                <w:position w:val="0"/>
                <w:sz w:val="22"/>
                <w:shd w:fill="auto" w:val="clear"/>
              </w:rPr>
              <w:t xml:space="preserve">Structural and system</w:t>
            </w:r>
          </w:p>
        </w:tc>
        <w:tc>
          <w:tcPr>
            <w:tcW w:w="312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360"/>
              <w:ind w:right="0" w:left="0" w:firstLine="0"/>
              <w:jc w:val="both"/>
              <w:rPr>
                <w:color w:val="auto"/>
                <w:spacing w:val="0"/>
                <w:position w:val="0"/>
                <w:sz w:val="22"/>
                <w:shd w:fill="auto" w:val="clear"/>
              </w:rPr>
            </w:pPr>
            <w:r>
              <w:rPr>
                <w:rFonts w:ascii="Arial" w:hAnsi="Arial" w:cs="Arial" w:eastAsia="Arial"/>
                <w:color w:val="auto"/>
                <w:spacing w:val="0"/>
                <w:position w:val="0"/>
                <w:sz w:val="22"/>
                <w:shd w:fill="auto" w:val="clear"/>
              </w:rPr>
              <w:t xml:space="preserve">Postgraduate funding, tuition fees, housing costs, visa and work conditions, NHS capacity</w:t>
            </w:r>
          </w:p>
        </w:tc>
        <w:tc>
          <w:tcPr>
            <w:tcW w:w="213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360"/>
              <w:ind w:right="0" w:left="0" w:firstLine="0"/>
              <w:jc w:val="both"/>
              <w:rPr>
                <w:color w:val="auto"/>
                <w:spacing w:val="0"/>
                <w:position w:val="0"/>
                <w:sz w:val="22"/>
                <w:shd w:fill="auto" w:val="clear"/>
              </w:rPr>
            </w:pPr>
            <w:r>
              <w:rPr>
                <w:rFonts w:ascii="Arial" w:hAnsi="Arial" w:cs="Arial" w:eastAsia="Arial"/>
                <w:color w:val="auto"/>
                <w:spacing w:val="0"/>
                <w:position w:val="0"/>
                <w:sz w:val="22"/>
                <w:shd w:fill="auto" w:val="clear"/>
              </w:rPr>
              <w:t xml:space="preserve">Material insecurity and unequal access to care</w:t>
            </w:r>
          </w:p>
        </w:tc>
        <w:tc>
          <w:tcPr>
            <w:tcW w:w="261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360"/>
              <w:ind w:right="0" w:left="0" w:firstLine="0"/>
              <w:jc w:val="both"/>
              <w:rPr>
                <w:color w:val="auto"/>
                <w:spacing w:val="0"/>
                <w:position w:val="0"/>
                <w:sz w:val="22"/>
                <w:shd w:fill="auto" w:val="clear"/>
              </w:rPr>
            </w:pPr>
            <w:r>
              <w:rPr>
                <w:rFonts w:ascii="Arial" w:hAnsi="Arial" w:cs="Arial" w:eastAsia="Arial"/>
                <w:color w:val="auto"/>
                <w:spacing w:val="0"/>
                <w:position w:val="0"/>
                <w:sz w:val="22"/>
                <w:shd w:fill="auto" w:val="clear"/>
              </w:rPr>
              <w:t xml:space="preserve">Financial protection, housing assistance and HE-NHS coordination</w:t>
            </w:r>
          </w:p>
        </w:tc>
      </w:tr>
      <w:tr>
        <w:trPr>
          <w:trHeight w:val="1" w:hRule="atLeast"/>
          <w:jc w:val="left"/>
        </w:trPr>
        <w:tc>
          <w:tcPr>
            <w:tcW w:w="1691"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360"/>
              <w:ind w:right="0" w:left="0" w:firstLine="0"/>
              <w:jc w:val="both"/>
              <w:rPr>
                <w:color w:val="auto"/>
                <w:spacing w:val="0"/>
                <w:position w:val="0"/>
                <w:sz w:val="22"/>
                <w:shd w:fill="auto" w:val="clear"/>
              </w:rPr>
            </w:pPr>
            <w:r>
              <w:rPr>
                <w:rFonts w:ascii="Arial" w:hAnsi="Arial" w:cs="Arial" w:eastAsia="Arial"/>
                <w:color w:val="auto"/>
                <w:spacing w:val="0"/>
                <w:position w:val="0"/>
                <w:sz w:val="22"/>
                <w:shd w:fill="auto" w:val="clear"/>
              </w:rPr>
              <w:t xml:space="preserve">Institutional and academic</w:t>
            </w:r>
          </w:p>
        </w:tc>
        <w:tc>
          <w:tcPr>
            <w:tcW w:w="312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360"/>
              <w:ind w:right="0" w:left="0" w:firstLine="0"/>
              <w:jc w:val="both"/>
              <w:rPr>
                <w:color w:val="auto"/>
                <w:spacing w:val="0"/>
                <w:position w:val="0"/>
                <w:sz w:val="22"/>
                <w:shd w:fill="auto" w:val="clear"/>
              </w:rPr>
            </w:pPr>
            <w:r>
              <w:rPr>
                <w:rFonts w:ascii="Arial" w:hAnsi="Arial" w:cs="Arial" w:eastAsia="Arial"/>
                <w:color w:val="auto"/>
                <w:spacing w:val="0"/>
                <w:position w:val="0"/>
                <w:sz w:val="22"/>
                <w:shd w:fill="auto" w:val="clear"/>
              </w:rPr>
              <w:t xml:space="preserve">Workload, assessment, research culture, supervision, inclusion and service design</w:t>
            </w:r>
          </w:p>
        </w:tc>
        <w:tc>
          <w:tcPr>
            <w:tcW w:w="213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360"/>
              <w:ind w:right="0" w:left="0" w:firstLine="0"/>
              <w:jc w:val="both"/>
              <w:rPr>
                <w:color w:val="auto"/>
                <w:spacing w:val="0"/>
                <w:position w:val="0"/>
                <w:sz w:val="22"/>
                <w:shd w:fill="auto" w:val="clear"/>
              </w:rPr>
            </w:pPr>
            <w:r>
              <w:rPr>
                <w:rFonts w:ascii="Arial" w:hAnsi="Arial" w:cs="Arial" w:eastAsia="Arial"/>
                <w:color w:val="auto"/>
                <w:spacing w:val="0"/>
                <w:position w:val="0"/>
                <w:sz w:val="22"/>
                <w:shd w:fill="auto" w:val="clear"/>
              </w:rPr>
              <w:t xml:space="preserve">Stress, uncertainty, exclusion and stigma</w:t>
            </w:r>
          </w:p>
        </w:tc>
        <w:tc>
          <w:tcPr>
            <w:tcW w:w="261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360"/>
              <w:ind w:right="0" w:left="0" w:firstLine="0"/>
              <w:jc w:val="both"/>
              <w:rPr>
                <w:color w:val="auto"/>
                <w:spacing w:val="0"/>
                <w:position w:val="0"/>
                <w:sz w:val="22"/>
                <w:shd w:fill="auto" w:val="clear"/>
              </w:rPr>
            </w:pPr>
            <w:r>
              <w:rPr>
                <w:rFonts w:ascii="Arial" w:hAnsi="Arial" w:cs="Arial" w:eastAsia="Arial"/>
                <w:color w:val="auto"/>
                <w:spacing w:val="0"/>
                <w:position w:val="0"/>
                <w:sz w:val="22"/>
                <w:shd w:fill="auto" w:val="clear"/>
              </w:rPr>
              <w:t xml:space="preserve">Healthier course design, supervisor development and integrated support</w:t>
            </w:r>
          </w:p>
        </w:tc>
      </w:tr>
      <w:tr>
        <w:trPr>
          <w:trHeight w:val="1" w:hRule="atLeast"/>
          <w:jc w:val="left"/>
        </w:trPr>
        <w:tc>
          <w:tcPr>
            <w:tcW w:w="1691"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360"/>
              <w:ind w:right="0" w:left="0" w:firstLine="0"/>
              <w:jc w:val="both"/>
              <w:rPr>
                <w:color w:val="auto"/>
                <w:spacing w:val="0"/>
                <w:position w:val="0"/>
                <w:sz w:val="22"/>
                <w:shd w:fill="auto" w:val="clear"/>
              </w:rPr>
            </w:pPr>
            <w:r>
              <w:rPr>
                <w:rFonts w:ascii="Arial" w:hAnsi="Arial" w:cs="Arial" w:eastAsia="Arial"/>
                <w:color w:val="auto"/>
                <w:spacing w:val="0"/>
                <w:position w:val="0"/>
                <w:sz w:val="22"/>
                <w:shd w:fill="auto" w:val="clear"/>
              </w:rPr>
              <w:t xml:space="preserve">Interpersonal</w:t>
            </w:r>
          </w:p>
        </w:tc>
        <w:tc>
          <w:tcPr>
            <w:tcW w:w="312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360"/>
              <w:ind w:right="0" w:left="0" w:firstLine="0"/>
              <w:jc w:val="both"/>
              <w:rPr>
                <w:color w:val="auto"/>
                <w:spacing w:val="0"/>
                <w:position w:val="0"/>
                <w:sz w:val="22"/>
                <w:shd w:fill="auto" w:val="clear"/>
              </w:rPr>
            </w:pPr>
            <w:r>
              <w:rPr>
                <w:rFonts w:ascii="Arial" w:hAnsi="Arial" w:cs="Arial" w:eastAsia="Arial"/>
                <w:color w:val="auto"/>
                <w:spacing w:val="0"/>
                <w:position w:val="0"/>
                <w:sz w:val="22"/>
                <w:shd w:fill="auto" w:val="clear"/>
              </w:rPr>
              <w:t xml:space="preserve">Peer belonging, family relationships and supervisory support</w:t>
            </w:r>
          </w:p>
        </w:tc>
        <w:tc>
          <w:tcPr>
            <w:tcW w:w="213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360"/>
              <w:ind w:right="0" w:left="0" w:firstLine="0"/>
              <w:jc w:val="both"/>
              <w:rPr>
                <w:color w:val="auto"/>
                <w:spacing w:val="0"/>
                <w:position w:val="0"/>
                <w:sz w:val="22"/>
                <w:shd w:fill="auto" w:val="clear"/>
              </w:rPr>
            </w:pPr>
            <w:r>
              <w:rPr>
                <w:rFonts w:ascii="Arial" w:hAnsi="Arial" w:cs="Arial" w:eastAsia="Arial"/>
                <w:color w:val="auto"/>
                <w:spacing w:val="0"/>
                <w:position w:val="0"/>
                <w:sz w:val="22"/>
                <w:shd w:fill="auto" w:val="clear"/>
              </w:rPr>
              <w:t xml:space="preserve">Social connection or loneliness</w:t>
            </w:r>
          </w:p>
        </w:tc>
        <w:tc>
          <w:tcPr>
            <w:tcW w:w="261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360"/>
              <w:ind w:right="0" w:left="0" w:firstLine="0"/>
              <w:jc w:val="both"/>
              <w:rPr>
                <w:color w:val="auto"/>
                <w:spacing w:val="0"/>
                <w:position w:val="0"/>
                <w:sz w:val="22"/>
                <w:shd w:fill="auto" w:val="clear"/>
              </w:rPr>
            </w:pPr>
            <w:r>
              <w:rPr>
                <w:rFonts w:ascii="Arial" w:hAnsi="Arial" w:cs="Arial" w:eastAsia="Arial"/>
                <w:color w:val="auto"/>
                <w:spacing w:val="0"/>
                <w:position w:val="0"/>
                <w:sz w:val="22"/>
                <w:shd w:fill="auto" w:val="clear"/>
              </w:rPr>
              <w:t xml:space="preserve">Peer networks, inclusive communities and relational supervision</w:t>
            </w:r>
          </w:p>
        </w:tc>
      </w:tr>
      <w:tr>
        <w:trPr>
          <w:trHeight w:val="1" w:hRule="atLeast"/>
          <w:jc w:val="left"/>
        </w:trPr>
        <w:tc>
          <w:tcPr>
            <w:tcW w:w="1691"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360"/>
              <w:ind w:right="0" w:left="0" w:firstLine="0"/>
              <w:jc w:val="both"/>
              <w:rPr>
                <w:color w:val="auto"/>
                <w:spacing w:val="0"/>
                <w:position w:val="0"/>
                <w:sz w:val="22"/>
                <w:shd w:fill="auto" w:val="clear"/>
              </w:rPr>
            </w:pPr>
            <w:r>
              <w:rPr>
                <w:rFonts w:ascii="Arial" w:hAnsi="Arial" w:cs="Arial" w:eastAsia="Arial"/>
                <w:color w:val="auto"/>
                <w:spacing w:val="0"/>
                <w:position w:val="0"/>
                <w:sz w:val="22"/>
                <w:shd w:fill="auto" w:val="clear"/>
              </w:rPr>
              <w:t xml:space="preserve">Individual</w:t>
            </w:r>
          </w:p>
        </w:tc>
        <w:tc>
          <w:tcPr>
            <w:tcW w:w="312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360"/>
              <w:ind w:right="0" w:left="0" w:firstLine="0"/>
              <w:jc w:val="both"/>
              <w:rPr>
                <w:color w:val="auto"/>
                <w:spacing w:val="0"/>
                <w:position w:val="0"/>
                <w:sz w:val="22"/>
                <w:shd w:fill="auto" w:val="clear"/>
              </w:rPr>
            </w:pPr>
            <w:r>
              <w:rPr>
                <w:rFonts w:ascii="Arial" w:hAnsi="Arial" w:cs="Arial" w:eastAsia="Arial"/>
                <w:color w:val="auto"/>
                <w:spacing w:val="0"/>
                <w:position w:val="0"/>
                <w:sz w:val="22"/>
                <w:shd w:fill="auto" w:val="clear"/>
              </w:rPr>
              <w:t xml:space="preserve">Previous mental health, physical health, coping resources and resilience</w:t>
            </w:r>
          </w:p>
        </w:tc>
        <w:tc>
          <w:tcPr>
            <w:tcW w:w="213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360"/>
              <w:ind w:right="0" w:left="0" w:firstLine="0"/>
              <w:jc w:val="both"/>
              <w:rPr>
                <w:color w:val="auto"/>
                <w:spacing w:val="0"/>
                <w:position w:val="0"/>
                <w:sz w:val="22"/>
                <w:shd w:fill="auto" w:val="clear"/>
              </w:rPr>
            </w:pPr>
            <w:r>
              <w:rPr>
                <w:rFonts w:ascii="Arial" w:hAnsi="Arial" w:cs="Arial" w:eastAsia="Arial"/>
                <w:color w:val="auto"/>
                <w:spacing w:val="0"/>
                <w:position w:val="0"/>
                <w:sz w:val="22"/>
                <w:shd w:fill="auto" w:val="clear"/>
              </w:rPr>
              <w:t xml:space="preserve">Variation in exposure, interpretation and response</w:t>
            </w:r>
          </w:p>
        </w:tc>
        <w:tc>
          <w:tcPr>
            <w:tcW w:w="261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360"/>
              <w:ind w:right="0" w:left="0" w:firstLine="0"/>
              <w:jc w:val="both"/>
              <w:rPr>
                <w:color w:val="auto"/>
                <w:spacing w:val="0"/>
                <w:position w:val="0"/>
                <w:sz w:val="22"/>
                <w:shd w:fill="auto" w:val="clear"/>
              </w:rPr>
            </w:pPr>
            <w:r>
              <w:rPr>
                <w:rFonts w:ascii="Arial" w:hAnsi="Arial" w:cs="Arial" w:eastAsia="Arial"/>
                <w:color w:val="auto"/>
                <w:spacing w:val="0"/>
                <w:position w:val="0"/>
                <w:sz w:val="22"/>
                <w:shd w:fill="auto" w:val="clear"/>
              </w:rPr>
              <w:t xml:space="preserve">Early identification and accessible therapy without individualising structural problems</w:t>
            </w:r>
          </w:p>
        </w:tc>
      </w:tr>
      <w:tr>
        <w:trPr>
          <w:trHeight w:val="1" w:hRule="atLeast"/>
          <w:jc w:val="left"/>
        </w:trPr>
        <w:tc>
          <w:tcPr>
            <w:tcW w:w="1691"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360"/>
              <w:ind w:right="0" w:left="0" w:firstLine="0"/>
              <w:jc w:val="both"/>
              <w:rPr>
                <w:color w:val="auto"/>
                <w:spacing w:val="0"/>
                <w:position w:val="0"/>
                <w:sz w:val="22"/>
                <w:shd w:fill="auto" w:val="clear"/>
              </w:rPr>
            </w:pPr>
            <w:r>
              <w:rPr>
                <w:rFonts w:ascii="Arial" w:hAnsi="Arial" w:cs="Arial" w:eastAsia="Arial"/>
                <w:color w:val="auto"/>
                <w:spacing w:val="0"/>
                <w:position w:val="0"/>
                <w:sz w:val="22"/>
                <w:shd w:fill="auto" w:val="clear"/>
              </w:rPr>
              <w:t xml:space="preserve">Outcomes</w:t>
            </w:r>
          </w:p>
        </w:tc>
        <w:tc>
          <w:tcPr>
            <w:tcW w:w="312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360"/>
              <w:ind w:right="0" w:left="0" w:firstLine="0"/>
              <w:jc w:val="both"/>
              <w:rPr>
                <w:color w:val="auto"/>
                <w:spacing w:val="0"/>
                <w:position w:val="0"/>
                <w:sz w:val="22"/>
                <w:shd w:fill="auto" w:val="clear"/>
              </w:rPr>
            </w:pPr>
            <w:r>
              <w:rPr>
                <w:rFonts w:ascii="Arial" w:hAnsi="Arial" w:cs="Arial" w:eastAsia="Arial"/>
                <w:color w:val="auto"/>
                <w:spacing w:val="0"/>
                <w:position w:val="0"/>
                <w:sz w:val="22"/>
                <w:shd w:fill="auto" w:val="clear"/>
              </w:rPr>
              <w:t xml:space="preserve">Anxiety, depression, distress, loneliness, reduced wellbeing, absence, presenteeism, interruption and attrition intention</w:t>
            </w:r>
          </w:p>
        </w:tc>
        <w:tc>
          <w:tcPr>
            <w:tcW w:w="213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360"/>
              <w:ind w:right="0" w:left="0" w:firstLine="0"/>
              <w:jc w:val="both"/>
              <w:rPr>
                <w:color w:val="auto"/>
                <w:spacing w:val="0"/>
                <w:position w:val="0"/>
                <w:sz w:val="22"/>
                <w:shd w:fill="auto" w:val="clear"/>
              </w:rPr>
            </w:pPr>
            <w:r>
              <w:rPr>
                <w:rFonts w:ascii="Arial" w:hAnsi="Arial" w:cs="Arial" w:eastAsia="Arial"/>
                <w:color w:val="auto"/>
                <w:spacing w:val="0"/>
                <w:position w:val="0"/>
                <w:sz w:val="22"/>
                <w:shd w:fill="auto" w:val="clear"/>
              </w:rPr>
              <w:t xml:space="preserve">Effects on health, academic functioning and continuation</w:t>
            </w:r>
          </w:p>
        </w:tc>
        <w:tc>
          <w:tcPr>
            <w:tcW w:w="261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360"/>
              <w:ind w:right="0" w:left="0" w:firstLine="0"/>
              <w:jc w:val="both"/>
              <w:rPr>
                <w:color w:val="auto"/>
                <w:spacing w:val="0"/>
                <w:position w:val="0"/>
                <w:sz w:val="22"/>
                <w:shd w:fill="auto" w:val="clear"/>
              </w:rPr>
            </w:pPr>
            <w:r>
              <w:rPr>
                <w:rFonts w:ascii="Arial" w:hAnsi="Arial" w:cs="Arial" w:eastAsia="Arial"/>
                <w:color w:val="auto"/>
                <w:spacing w:val="0"/>
                <w:position w:val="0"/>
                <w:sz w:val="22"/>
                <w:shd w:fill="auto" w:val="clear"/>
              </w:rPr>
              <w:t xml:space="preserve">Multilevel prevention, treatment and academic support</w:t>
            </w:r>
          </w:p>
        </w:tc>
      </w:tr>
    </w:tbl>
    <w:p>
      <w:pPr>
        <w:keepNext w:val="true"/>
        <w:keepLines w:val="true"/>
        <w:spacing w:before="40" w:after="0" w:line="360"/>
        <w:ind w:right="0" w:left="0" w:firstLine="0"/>
        <w:jc w:val="both"/>
        <w:rPr>
          <w:rFonts w:ascii="Arial" w:hAnsi="Arial" w:cs="Arial" w:eastAsia="Arial"/>
          <w:b/>
          <w:color w:val="auto"/>
          <w:spacing w:val="0"/>
          <w:position w:val="0"/>
          <w:sz w:val="28"/>
          <w:shd w:fill="auto" w:val="clear"/>
        </w:rPr>
      </w:pPr>
      <w:r>
        <w:rPr>
          <w:rFonts w:ascii="Arial" w:hAnsi="Arial" w:cs="Arial" w:eastAsia="Arial"/>
          <w:b/>
          <w:color w:val="auto"/>
          <w:spacing w:val="0"/>
          <w:position w:val="0"/>
          <w:sz w:val="28"/>
          <w:shd w:fill="auto" w:val="clear"/>
        </w:rPr>
        <w:t xml:space="preserve">2.12 Chapter Summary</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The chapter drew on recent UK evidence to identify concerns and significant uncertainty within the field of postgraduate mental health. High distress was found among doctoral students, and associations were found with perfectionism, supervision, stigma, loneliness and academic functioning. Evidence on taught postgraduates was limited. A sense of financial hardship, increasing costs of living, academic pressure, weak belonging and fragmented support seemed to be interconnected rather than separate. Some existing interventions were found to have some potential, while individual therapies were evaluated more frequently than structural or postgraduate-specific reforms. Here, methodological shortcomings were identified, such as self-selection, cross-sectional designs, inconsistent measures, pandemic concentration, and limited subgroup analyses. The adapted social determinants framework then led to a conceptualisation of mental health as a result of the interplay between the structural, institutional, interpersonal and individual determinants, providing the foundation for the systematic methodology in Chapter Three.</w:t>
      </w:r>
    </w:p>
    <w:p>
      <w:pPr>
        <w:keepNext w:val="true"/>
        <w:keepLines w:val="true"/>
        <w:spacing w:before="240" w:after="240" w:line="276"/>
        <w:ind w:right="0" w:left="0" w:firstLine="0"/>
        <w:jc w:val="center"/>
        <w:rPr>
          <w:rFonts w:ascii="Arial" w:hAnsi="Arial" w:cs="Arial" w:eastAsia="Arial"/>
          <w:b/>
          <w:color w:val="auto"/>
          <w:spacing w:val="0"/>
          <w:position w:val="0"/>
          <w:sz w:val="32"/>
          <w:shd w:fill="DBDBDB" w:val="clear"/>
        </w:rPr>
      </w:pPr>
      <w:r>
        <w:rPr>
          <w:rFonts w:ascii="Arial" w:hAnsi="Arial" w:cs="Arial" w:eastAsia="Arial"/>
          <w:b/>
          <w:color w:val="auto"/>
          <w:spacing w:val="0"/>
          <w:position w:val="0"/>
          <w:sz w:val="32"/>
          <w:shd w:fill="DBDBDB" w:val="clear"/>
        </w:rPr>
        <w:t xml:space="preserve">Chapter Three: Research Methodology</w:t>
      </w:r>
    </w:p>
    <w:p>
      <w:pPr>
        <w:keepNext w:val="true"/>
        <w:keepLines w:val="true"/>
        <w:spacing w:before="40" w:after="0" w:line="360"/>
        <w:ind w:right="0" w:left="0" w:firstLine="0"/>
        <w:jc w:val="both"/>
        <w:rPr>
          <w:rFonts w:ascii="Arial" w:hAnsi="Arial" w:cs="Arial" w:eastAsia="Arial"/>
          <w:b/>
          <w:color w:val="auto"/>
          <w:spacing w:val="0"/>
          <w:position w:val="0"/>
          <w:sz w:val="28"/>
          <w:shd w:fill="auto" w:val="clear"/>
        </w:rPr>
      </w:pPr>
      <w:r>
        <w:rPr>
          <w:rFonts w:ascii="Arial" w:hAnsi="Arial" w:cs="Arial" w:eastAsia="Arial"/>
          <w:b/>
          <w:color w:val="auto"/>
          <w:spacing w:val="0"/>
          <w:position w:val="0"/>
          <w:sz w:val="28"/>
          <w:shd w:fill="auto" w:val="clear"/>
        </w:rPr>
        <w:t xml:space="preserve">3.1 Introduction</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The methodology adopted to address the question, "what causes mental health issues among postgraduate students in the United Kingdom and what is the available relevant evidence-based solution to assist them is explained in this chapter. The review covered financial stress, increases in living costs, learning pressures, supervision, social isolation, feelings of anxiety, depression and psychological distress, help-seeking and institutional responses. It was secondary research, and so there was no recruitment, questionnaire, interviews or identifiable data being collected. These procedures were detailed in advance to ensure the decisions are explicit and reproducible, and not reliant upon an ad hoc interpretation of reading convenient studies.</w:t>
      </w:r>
    </w:p>
    <w:p>
      <w:pPr>
        <w:keepNext w:val="true"/>
        <w:keepLines w:val="true"/>
        <w:spacing w:before="40" w:after="0" w:line="360"/>
        <w:ind w:right="0" w:left="0" w:firstLine="0"/>
        <w:jc w:val="both"/>
        <w:rPr>
          <w:rFonts w:ascii="Arial" w:hAnsi="Arial" w:cs="Arial" w:eastAsia="Arial"/>
          <w:b/>
          <w:color w:val="auto"/>
          <w:spacing w:val="0"/>
          <w:position w:val="0"/>
          <w:sz w:val="28"/>
          <w:shd w:fill="auto" w:val="clear"/>
        </w:rPr>
      </w:pPr>
      <w:r>
        <w:rPr>
          <w:rFonts w:ascii="Arial" w:hAnsi="Arial" w:cs="Arial" w:eastAsia="Arial"/>
          <w:b/>
          <w:color w:val="auto"/>
          <w:spacing w:val="0"/>
          <w:position w:val="0"/>
          <w:sz w:val="28"/>
          <w:shd w:fill="auto" w:val="clear"/>
        </w:rPr>
        <w:t xml:space="preserve">3.2 Research Philosophy and Approach</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The review adopted a pragmatic approach, driven by the need for evidence on measurable mental health outcomes as well as on conditions-dependent experiences in relation to the research question. The quantitative studies can allow for estimates of prevalence and association, and even service outcomes, while the qualitative studies can provide an understanding of how financial insecurity, supervisory relationships, isolation and help-seeking are experienced. Pragmatism also allows for the use of methods based on their utility in providing an answer to the question in hand rather than having to adopt a single epistemological stance in relation to evidence (Gough, Oliver and Thomas, 2017). However, methodological differences were maintained in the appraisal and synthesis process, and numerical associations did not count as accounts of lived experience (Aveyard, 2023; Booth et al., 2021).</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The method used was a combination of deductive and inductive. Deductively, the extraction and initial coding were arranged by the four objectives and the adapted social determinants framework set out in Chapter Two: structural, institutional, interpersonal and individual determinants, followed by mental health and academic outcomes. Inductively, those items which did not fit those categories were kept and used to develop new themes. This allowed the likelihood of making all the conclusions in the framework to be reduced, and, at the same time, kept the synthesis related to the dissertation question. To ensure adherence to quality standards for thematic analysis (Braun and Clarke, 2021), reflexivity notes were kept to document interpretations, changes to code definitions and the potential influence of the researcher's prior expectations.</w:t>
      </w:r>
    </w:p>
    <w:p>
      <w:pPr>
        <w:keepNext w:val="true"/>
        <w:keepLines w:val="true"/>
        <w:spacing w:before="40" w:after="0" w:line="360"/>
        <w:ind w:right="0" w:left="0" w:firstLine="0"/>
        <w:jc w:val="both"/>
        <w:rPr>
          <w:rFonts w:ascii="Arial" w:hAnsi="Arial" w:cs="Arial" w:eastAsia="Arial"/>
          <w:b/>
          <w:color w:val="auto"/>
          <w:spacing w:val="0"/>
          <w:position w:val="0"/>
          <w:sz w:val="28"/>
          <w:shd w:fill="auto" w:val="clear"/>
        </w:rPr>
      </w:pPr>
      <w:r>
        <w:rPr>
          <w:rFonts w:ascii="Arial" w:hAnsi="Arial" w:cs="Arial" w:eastAsia="Arial"/>
          <w:b/>
          <w:color w:val="auto"/>
          <w:spacing w:val="0"/>
          <w:position w:val="0"/>
          <w:sz w:val="28"/>
          <w:shd w:fill="auto" w:val="clear"/>
        </w:rPr>
        <w:t xml:space="preserve">3.3 Research Design and Review Protocol</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A systematic mixed-evidence review with narrative and thematic synthesis was used for the study. It was more suitable to perform a systematic review than a traditional narrative review, as a systematic review involves a pre-specified question, transparent search, explicit eligibility criteria, documented selection, design-sensitive appraisal, and structured synthesis. It was also more appropriate than a scoping review, in that the aim was not just to map the quantity and type of literature but to critically answer a specific question relating to causes, consequences and solutions within a specific population of postgraduates in the UK (Munn et al., 2018a; Munn et al., 2018b). Because there is a high likelihood of significant differences in populations, measures, exposures, and study methods and outcomes in the interventions, a plan for the meta-analysis was not included.</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The protocol was drafted beforehand, with the help of a template provided for the systematic review planning process. It defined the question, frameworks, databases, date as well as language and eligibility criteria, appraisal, extraction fields and synthesis plan. PRISMA-P was followed to develop the protocol, and PRISMA 2020 and PRISMA-S (PRISMA search-reporting extension) were used to report the completed review (Shamseer et al., 2015; Page et al., 2021; Rethlefsen et al., 2021). The operational decisions of mixed evidence, searching, selecting, data collection and risk of bias were made using the JBI Manual and Cochrane Handbook (Aromataris et al., 2024; Higgins et al., 2024). Any change to the protocol was documented with some explanation and not made when results were published.</w:t>
      </w:r>
    </w:p>
    <w:p>
      <w:pPr>
        <w:keepNext w:val="true"/>
        <w:keepLines w:val="true"/>
        <w:spacing w:before="40" w:after="0" w:line="360"/>
        <w:ind w:right="0" w:left="0" w:firstLine="0"/>
        <w:jc w:val="both"/>
        <w:rPr>
          <w:rFonts w:ascii="Arial" w:hAnsi="Arial" w:cs="Arial" w:eastAsia="Arial"/>
          <w:b/>
          <w:color w:val="auto"/>
          <w:spacing w:val="0"/>
          <w:position w:val="0"/>
          <w:sz w:val="28"/>
          <w:shd w:fill="auto" w:val="clear"/>
        </w:rPr>
      </w:pPr>
      <w:r>
        <w:rPr>
          <w:rFonts w:ascii="Arial" w:hAnsi="Arial" w:cs="Arial" w:eastAsia="Arial"/>
          <w:b/>
          <w:color w:val="auto"/>
          <w:spacing w:val="0"/>
          <w:position w:val="0"/>
          <w:sz w:val="28"/>
          <w:shd w:fill="auto" w:val="clear"/>
        </w:rPr>
        <w:t xml:space="preserve">3.4 Review Question and Framework</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The last question in the review was: What </w:t>
      </w:r>
      <w:r>
        <w:rPr>
          <w:rFonts w:ascii="Arial" w:hAnsi="Arial" w:cs="Arial" w:eastAsia="Arial"/>
          <w:color w:val="000000"/>
          <w:spacing w:val="0"/>
          <w:position w:val="0"/>
          <w:sz w:val="22"/>
          <w:shd w:fill="auto" w:val="clear"/>
        </w:rPr>
        <w:t xml:space="preserve">are the potential risk factors associated </w:t>
      </w:r>
      <w:r>
        <w:rPr>
          <w:rFonts w:ascii="Arial" w:hAnsi="Arial" w:cs="Arial" w:eastAsia="Arial"/>
          <w:color w:val="auto"/>
          <w:spacing w:val="0"/>
          <w:position w:val="0"/>
          <w:sz w:val="22"/>
          <w:shd w:fill="auto" w:val="clear"/>
        </w:rPr>
        <w:t xml:space="preserve">with mental health issues among postgraduate students in the UK and what are the evidence-based solutions that can be highlighted to help students address these issues? </w:t>
      </w:r>
      <w:r>
        <w:rPr>
          <w:rFonts w:ascii="Arial" w:hAnsi="Arial" w:cs="Arial" w:eastAsia="Arial"/>
          <w:color w:val="000000"/>
          <w:spacing w:val="0"/>
          <w:position w:val="0"/>
          <w:sz w:val="22"/>
          <w:shd w:fill="auto" w:val="clear"/>
        </w:rPr>
        <w:t xml:space="preserve">Population, Intervention/Interest, Comparison and Outcome (PICO) was adapted </w:t>
      </w:r>
      <w:r>
        <w:rPr>
          <w:rFonts w:ascii="Arial" w:hAnsi="Arial" w:cs="Arial" w:eastAsia="Arial"/>
          <w:color w:val="auto"/>
          <w:spacing w:val="0"/>
          <w:position w:val="0"/>
          <w:sz w:val="22"/>
          <w:shd w:fill="auto" w:val="clear"/>
        </w:rPr>
        <w:t xml:space="preserve">since "intervention" was not a word that would capture a question that included risk factors, exposures and support arrangements. The population consisted of postgraduate students (those enrolled at universities and other higher education institutions in the UK) with a taught and research component. Financial stress, cost-of-living stress, academic workload, research environment, supervision, isolation, and mental health support were the aspects of the interest component. Comparisons were accepted even when they were not available, such as subgroups at the postgraduate level and undergraduate level, different levels of exposure, or different pre- and post-test conditions. Outcomes consisted of anxiety, depression, distress, loneliness, wellbeing, help seeking, attendance, interruption, attrition intention and "evaluated" support outcomes. This allowed for the concept to remain clear, and it did not omit any evidence of observations or descriptions (Boland, Cherry and Dickson, 2017).</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Table 3.1: Adapted PICO framework</w:t>
      </w:r>
    </w:p>
    <w:tbl>
      <w:tblPr/>
      <w:tblGrid>
        <w:gridCol w:w="1937"/>
        <w:gridCol w:w="7391"/>
      </w:tblGrid>
      <w:tr>
        <w:trPr>
          <w:trHeight w:val="512" w:hRule="auto"/>
          <w:jc w:val="center"/>
          <w:cantSplit w:val="1"/>
        </w:trPr>
        <w:tc>
          <w:tcPr>
            <w:tcW w:w="1937" w:type="dxa"/>
            <w:tcBorders>
              <w:top w:val="single" w:color="000000" w:sz="4"/>
              <w:left w:val="single" w:color="000000" w:sz="4"/>
              <w:bottom w:val="single" w:color="000000" w:sz="4"/>
              <w:right w:val="single" w:color="000000" w:sz="4"/>
            </w:tcBorders>
            <w:shd w:color="auto" w:fill="auto" w:val="clear"/>
            <w:tcMar>
              <w:left w:w="108" w:type="dxa"/>
              <w:right w:w="108" w:type="dxa"/>
            </w:tcMar>
            <w:vAlign w:val="center"/>
          </w:tcPr>
          <w:p>
            <w:pPr>
              <w:spacing w:before="0" w:after="0" w:line="360"/>
              <w:ind w:right="0" w:left="0" w:firstLine="0"/>
              <w:jc w:val="center"/>
              <w:rPr>
                <w:color w:val="auto"/>
                <w:spacing w:val="0"/>
                <w:position w:val="0"/>
                <w:shd w:fill="auto" w:val="clear"/>
              </w:rPr>
            </w:pPr>
            <w:r>
              <w:rPr>
                <w:rFonts w:ascii="Arial" w:hAnsi="Arial" w:cs="Arial" w:eastAsia="Arial"/>
                <w:b/>
                <w:color w:val="auto"/>
                <w:spacing w:val="0"/>
                <w:position w:val="0"/>
                <w:sz w:val="18"/>
                <w:shd w:fill="auto" w:val="clear"/>
              </w:rPr>
              <w:t xml:space="preserve">Element</w:t>
            </w:r>
          </w:p>
        </w:tc>
        <w:tc>
          <w:tcPr>
            <w:tcW w:w="7391" w:type="dxa"/>
            <w:tcBorders>
              <w:top w:val="single" w:color="000000" w:sz="4"/>
              <w:left w:val="single" w:color="000000" w:sz="4"/>
              <w:bottom w:val="single" w:color="000000" w:sz="4"/>
              <w:right w:val="single" w:color="000000" w:sz="4"/>
            </w:tcBorders>
            <w:shd w:color="auto" w:fill="auto" w:val="clear"/>
            <w:tcMar>
              <w:left w:w="108" w:type="dxa"/>
              <w:right w:w="108" w:type="dxa"/>
            </w:tcMar>
            <w:vAlign w:val="center"/>
          </w:tcPr>
          <w:p>
            <w:pPr>
              <w:spacing w:before="0" w:after="0" w:line="360"/>
              <w:ind w:right="0" w:left="0" w:firstLine="0"/>
              <w:jc w:val="center"/>
              <w:rPr>
                <w:color w:val="auto"/>
                <w:spacing w:val="0"/>
                <w:position w:val="0"/>
                <w:shd w:fill="auto" w:val="clear"/>
              </w:rPr>
            </w:pPr>
            <w:r>
              <w:rPr>
                <w:rFonts w:ascii="Arial" w:hAnsi="Arial" w:cs="Arial" w:eastAsia="Arial"/>
                <w:b/>
                <w:color w:val="auto"/>
                <w:spacing w:val="0"/>
                <w:position w:val="0"/>
                <w:sz w:val="18"/>
                <w:shd w:fill="auto" w:val="clear"/>
              </w:rPr>
              <w:t xml:space="preserve">Application to this review</w:t>
            </w:r>
          </w:p>
        </w:tc>
      </w:tr>
      <w:tr>
        <w:trPr>
          <w:trHeight w:val="677" w:hRule="auto"/>
          <w:jc w:val="center"/>
          <w:cantSplit w:val="1"/>
        </w:trPr>
        <w:tc>
          <w:tcPr>
            <w:tcW w:w="193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both"/>
              <w:rPr>
                <w:color w:val="auto"/>
                <w:spacing w:val="0"/>
                <w:position w:val="0"/>
                <w:shd w:fill="auto" w:val="clear"/>
              </w:rPr>
            </w:pPr>
            <w:r>
              <w:rPr>
                <w:rFonts w:ascii="Arial" w:hAnsi="Arial" w:cs="Arial" w:eastAsia="Arial"/>
                <w:color w:val="auto"/>
                <w:spacing w:val="0"/>
                <w:position w:val="0"/>
                <w:sz w:val="18"/>
                <w:shd w:fill="auto" w:val="clear"/>
              </w:rPr>
              <w:t xml:space="preserve">Population</w:t>
            </w:r>
          </w:p>
        </w:tc>
        <w:tc>
          <w:tcPr>
            <w:tcW w:w="7391"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both"/>
              <w:rPr>
                <w:color w:val="auto"/>
                <w:spacing w:val="0"/>
                <w:position w:val="0"/>
                <w:shd w:fill="auto" w:val="clear"/>
              </w:rPr>
            </w:pPr>
            <w:r>
              <w:rPr>
                <w:rFonts w:ascii="Arial" w:hAnsi="Arial" w:cs="Arial" w:eastAsia="Arial"/>
                <w:color w:val="auto"/>
                <w:spacing w:val="0"/>
                <w:position w:val="0"/>
                <w:sz w:val="18"/>
                <w:shd w:fill="auto" w:val="clear"/>
              </w:rPr>
              <w:t xml:space="preserve">Postgraduate taught and postgraduate research students enrolled at UK higher education institutions.</w:t>
            </w:r>
          </w:p>
        </w:tc>
      </w:tr>
      <w:tr>
        <w:trPr>
          <w:trHeight w:val="693" w:hRule="auto"/>
          <w:jc w:val="center"/>
          <w:cantSplit w:val="1"/>
        </w:trPr>
        <w:tc>
          <w:tcPr>
            <w:tcW w:w="193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both"/>
              <w:rPr>
                <w:color w:val="auto"/>
                <w:spacing w:val="0"/>
                <w:position w:val="0"/>
                <w:shd w:fill="auto" w:val="clear"/>
              </w:rPr>
            </w:pPr>
            <w:r>
              <w:rPr>
                <w:rFonts w:ascii="Arial" w:hAnsi="Arial" w:cs="Arial" w:eastAsia="Arial"/>
                <w:color w:val="auto"/>
                <w:spacing w:val="0"/>
                <w:position w:val="0"/>
                <w:sz w:val="18"/>
                <w:shd w:fill="auto" w:val="clear"/>
              </w:rPr>
              <w:t xml:space="preserve">Interest / exposure</w:t>
            </w:r>
          </w:p>
        </w:tc>
        <w:tc>
          <w:tcPr>
            <w:tcW w:w="7391"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both"/>
              <w:rPr>
                <w:color w:val="auto"/>
                <w:spacing w:val="0"/>
                <w:position w:val="0"/>
                <w:shd w:fill="auto" w:val="clear"/>
              </w:rPr>
            </w:pPr>
            <w:r>
              <w:rPr>
                <w:rFonts w:ascii="Arial" w:hAnsi="Arial" w:cs="Arial" w:eastAsia="Arial"/>
                <w:color w:val="auto"/>
                <w:spacing w:val="0"/>
                <w:position w:val="0"/>
                <w:sz w:val="18"/>
                <w:shd w:fill="auto" w:val="clear"/>
              </w:rPr>
              <w:t xml:space="preserve">Financial stress, rising living costs, academic pressure, research culture, supervision, social isolation, help-seeking and institutional support.</w:t>
            </w:r>
          </w:p>
        </w:tc>
      </w:tr>
      <w:tr>
        <w:trPr>
          <w:trHeight w:val="677" w:hRule="auto"/>
          <w:jc w:val="center"/>
          <w:cantSplit w:val="1"/>
        </w:trPr>
        <w:tc>
          <w:tcPr>
            <w:tcW w:w="193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both"/>
              <w:rPr>
                <w:color w:val="auto"/>
                <w:spacing w:val="0"/>
                <w:position w:val="0"/>
                <w:shd w:fill="auto" w:val="clear"/>
              </w:rPr>
            </w:pPr>
            <w:r>
              <w:rPr>
                <w:rFonts w:ascii="Arial" w:hAnsi="Arial" w:cs="Arial" w:eastAsia="Arial"/>
                <w:color w:val="auto"/>
                <w:spacing w:val="0"/>
                <w:position w:val="0"/>
                <w:sz w:val="18"/>
                <w:shd w:fill="auto" w:val="clear"/>
              </w:rPr>
              <w:t xml:space="preserve">Comparison</w:t>
            </w:r>
          </w:p>
        </w:tc>
        <w:tc>
          <w:tcPr>
            <w:tcW w:w="7391"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both"/>
              <w:rPr>
                <w:color w:val="auto"/>
                <w:spacing w:val="0"/>
                <w:position w:val="0"/>
                <w:shd w:fill="auto" w:val="clear"/>
              </w:rPr>
            </w:pPr>
            <w:r>
              <w:rPr>
                <w:rFonts w:ascii="Arial" w:hAnsi="Arial" w:cs="Arial" w:eastAsia="Arial"/>
                <w:color w:val="auto"/>
                <w:spacing w:val="0"/>
                <w:position w:val="0"/>
                <w:sz w:val="18"/>
                <w:shd w:fill="auto" w:val="clear"/>
              </w:rPr>
              <w:t xml:space="preserve">Postgraduate subgroups, undergraduate groups, different exposure levels, or pre-/post-intervention conditions where available.</w:t>
            </w:r>
          </w:p>
        </w:tc>
      </w:tr>
      <w:tr>
        <w:trPr>
          <w:trHeight w:val="693" w:hRule="auto"/>
          <w:jc w:val="center"/>
          <w:cantSplit w:val="1"/>
        </w:trPr>
        <w:tc>
          <w:tcPr>
            <w:tcW w:w="193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both"/>
              <w:rPr>
                <w:color w:val="auto"/>
                <w:spacing w:val="0"/>
                <w:position w:val="0"/>
                <w:shd w:fill="auto" w:val="clear"/>
              </w:rPr>
            </w:pPr>
            <w:r>
              <w:rPr>
                <w:rFonts w:ascii="Arial" w:hAnsi="Arial" w:cs="Arial" w:eastAsia="Arial"/>
                <w:color w:val="auto"/>
                <w:spacing w:val="0"/>
                <w:position w:val="0"/>
                <w:sz w:val="18"/>
                <w:shd w:fill="auto" w:val="clear"/>
              </w:rPr>
              <w:t xml:space="preserve">Outcomes</w:t>
            </w:r>
          </w:p>
        </w:tc>
        <w:tc>
          <w:tcPr>
            <w:tcW w:w="7391"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both"/>
              <w:rPr>
                <w:color w:val="auto"/>
                <w:spacing w:val="0"/>
                <w:position w:val="0"/>
                <w:shd w:fill="auto" w:val="clear"/>
              </w:rPr>
            </w:pPr>
            <w:r>
              <w:rPr>
                <w:rFonts w:ascii="Arial" w:hAnsi="Arial" w:cs="Arial" w:eastAsia="Arial"/>
                <w:color w:val="auto"/>
                <w:spacing w:val="0"/>
                <w:position w:val="0"/>
                <w:sz w:val="18"/>
                <w:shd w:fill="auto" w:val="clear"/>
              </w:rPr>
              <w:t xml:space="preserve">Anxiety, depression, psychological distress, loneliness, wellbeing, help-seeking, attendance, interruption, attrition intention and support outcomes.</w:t>
            </w:r>
          </w:p>
        </w:tc>
      </w:tr>
      <w:tr>
        <w:trPr>
          <w:trHeight w:val="677" w:hRule="auto"/>
          <w:jc w:val="center"/>
          <w:cantSplit w:val="1"/>
        </w:trPr>
        <w:tc>
          <w:tcPr>
            <w:tcW w:w="193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both"/>
              <w:rPr>
                <w:color w:val="auto"/>
                <w:spacing w:val="0"/>
                <w:position w:val="0"/>
                <w:shd w:fill="auto" w:val="clear"/>
              </w:rPr>
            </w:pPr>
            <w:r>
              <w:rPr>
                <w:rFonts w:ascii="Arial" w:hAnsi="Arial" w:cs="Arial" w:eastAsia="Arial"/>
                <w:color w:val="auto"/>
                <w:spacing w:val="0"/>
                <w:position w:val="0"/>
                <w:sz w:val="18"/>
                <w:shd w:fill="auto" w:val="clear"/>
              </w:rPr>
              <w:t xml:space="preserve">Setting and review type</w:t>
            </w:r>
          </w:p>
        </w:tc>
        <w:tc>
          <w:tcPr>
            <w:tcW w:w="7391"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both"/>
              <w:rPr>
                <w:color w:val="auto"/>
                <w:spacing w:val="0"/>
                <w:position w:val="0"/>
                <w:shd w:fill="auto" w:val="clear"/>
              </w:rPr>
            </w:pPr>
            <w:r>
              <w:rPr>
                <w:rFonts w:ascii="Arial" w:hAnsi="Arial" w:cs="Arial" w:eastAsia="Arial"/>
                <w:color w:val="auto"/>
                <w:spacing w:val="0"/>
                <w:position w:val="0"/>
                <w:sz w:val="18"/>
                <w:shd w:fill="auto" w:val="clear"/>
              </w:rPr>
              <w:t xml:space="preserve">United Kingdom; systematic mixed-evidence review with narrative and thematic synthesis.</w:t>
            </w:r>
          </w:p>
        </w:tc>
      </w:tr>
    </w:tbl>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Source: Developed for this review from the supplied protocol and systematic-review guidance.</w:t>
      </w:r>
    </w:p>
    <w:p>
      <w:pPr>
        <w:keepNext w:val="true"/>
        <w:keepLines w:val="true"/>
        <w:spacing w:before="40" w:after="0" w:line="360"/>
        <w:ind w:right="0" w:left="0" w:firstLine="0"/>
        <w:jc w:val="both"/>
        <w:rPr>
          <w:rFonts w:ascii="Arial" w:hAnsi="Arial" w:cs="Arial" w:eastAsia="Arial"/>
          <w:b/>
          <w:color w:val="auto"/>
          <w:spacing w:val="0"/>
          <w:position w:val="0"/>
          <w:sz w:val="28"/>
          <w:shd w:fill="auto" w:val="clear"/>
        </w:rPr>
      </w:pPr>
      <w:r>
        <w:rPr>
          <w:rFonts w:ascii="Arial" w:hAnsi="Arial" w:cs="Arial" w:eastAsia="Arial"/>
          <w:b/>
          <w:color w:val="auto"/>
          <w:spacing w:val="0"/>
          <w:position w:val="0"/>
          <w:sz w:val="28"/>
          <w:shd w:fill="auto" w:val="clear"/>
        </w:rPr>
        <w:t xml:space="preserve">3.5 Eligibility Criteria</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Eligibility criteria were uniformly applied in the title, abstract and full text. Studies published from January 2016 to 3 August 2026 were eligible and had to be published in English. The ten-year window was chosen to represent the period of postgraduate education during the pandemic disruption, the impacts of post-pandemic cost-of-living pressures and any changes to service arrangements. Studies were required to have included postgraduate research students studying in the United Kingdom; mixed samples of universities were only acceptable as long as postgraduate analysis results could be teased out of them. Eligible students were postgraduate taught, master's, doctoral, professional doctorate, MRes, full-time, part-time, home and international students.</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For mental health outcomes, at least one relevant determinant had to be reported along with the corresponding mental health outcome. For help-seeking or solutions evaluated, only one of the issues or solutions was required to be reported to be considered relevant. All three were accepted as there were three different designs for different elements of the question. The final fifteen primary studies were synthesised. Reviews, protocols, editorials, conference abstracts, dissertations and opinion pieces were excluded because they did not meet the primary empirical-study eligibility criteria or could lead to double counting. Only government, NHS, University-sector and charity reports were used for context to policy or service arrangements only. Those studies carried out completely outside of the UK, in which all participants were undergraduates or staff, or the clinical conditions were unrelated, were excluded. There was no study excluded due to statistical non-significant findings, so reducing outcome-based selection.</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Table 3.2: Inclusion and exclusion criteria</w:t>
      </w:r>
    </w:p>
    <w:tbl>
      <w:tblPr/>
      <w:tblGrid>
        <w:gridCol w:w="1512"/>
        <w:gridCol w:w="3960"/>
        <w:gridCol w:w="3888"/>
      </w:tblGrid>
      <w:tr>
        <w:trPr>
          <w:trHeight w:val="1" w:hRule="atLeast"/>
          <w:jc w:val="center"/>
          <w:cantSplit w:val="1"/>
        </w:trPr>
        <w:tc>
          <w:tcPr>
            <w:tcW w:w="1512" w:type="dxa"/>
            <w:tcBorders>
              <w:top w:val="single" w:color="000000" w:sz="4"/>
              <w:left w:val="single" w:color="000000" w:sz="4"/>
              <w:bottom w:val="single" w:color="000000" w:sz="4"/>
              <w:right w:val="single" w:color="000000" w:sz="4"/>
            </w:tcBorders>
            <w:shd w:color="auto" w:fill="auto" w:val="clear"/>
            <w:tcMar>
              <w:left w:w="108" w:type="dxa"/>
              <w:right w:w="108" w:type="dxa"/>
            </w:tcMar>
            <w:vAlign w:val="center"/>
          </w:tcPr>
          <w:p>
            <w:pPr>
              <w:spacing w:before="0" w:after="0" w:line="360"/>
              <w:ind w:right="0" w:left="0" w:firstLine="0"/>
              <w:jc w:val="both"/>
              <w:rPr>
                <w:color w:val="auto"/>
                <w:spacing w:val="0"/>
                <w:position w:val="0"/>
                <w:sz w:val="22"/>
                <w:shd w:fill="auto" w:val="clear"/>
              </w:rPr>
            </w:pPr>
            <w:r>
              <w:rPr>
                <w:rFonts w:ascii="Arial" w:hAnsi="Arial" w:cs="Arial" w:eastAsia="Arial"/>
                <w:b/>
                <w:color w:val="auto"/>
                <w:spacing w:val="0"/>
                <w:position w:val="0"/>
                <w:sz w:val="22"/>
                <w:shd w:fill="auto" w:val="clear"/>
              </w:rPr>
              <w:t xml:space="preserve">Category</w:t>
            </w:r>
          </w:p>
        </w:tc>
        <w:tc>
          <w:tcPr>
            <w:tcW w:w="3960" w:type="dxa"/>
            <w:tcBorders>
              <w:top w:val="single" w:color="000000" w:sz="4"/>
              <w:left w:val="single" w:color="000000" w:sz="4"/>
              <w:bottom w:val="single" w:color="000000" w:sz="4"/>
              <w:right w:val="single" w:color="000000" w:sz="4"/>
            </w:tcBorders>
            <w:shd w:color="auto" w:fill="auto" w:val="clear"/>
            <w:tcMar>
              <w:left w:w="108" w:type="dxa"/>
              <w:right w:w="108" w:type="dxa"/>
            </w:tcMar>
            <w:vAlign w:val="center"/>
          </w:tcPr>
          <w:p>
            <w:pPr>
              <w:spacing w:before="0" w:after="0" w:line="360"/>
              <w:ind w:right="0" w:left="0" w:firstLine="0"/>
              <w:jc w:val="both"/>
              <w:rPr>
                <w:color w:val="auto"/>
                <w:spacing w:val="0"/>
                <w:position w:val="0"/>
                <w:sz w:val="22"/>
                <w:shd w:fill="auto" w:val="clear"/>
              </w:rPr>
            </w:pPr>
            <w:r>
              <w:rPr>
                <w:rFonts w:ascii="Arial" w:hAnsi="Arial" w:cs="Arial" w:eastAsia="Arial"/>
                <w:b/>
                <w:color w:val="auto"/>
                <w:spacing w:val="0"/>
                <w:position w:val="0"/>
                <w:sz w:val="22"/>
                <w:shd w:fill="auto" w:val="clear"/>
              </w:rPr>
              <w:t xml:space="preserve">Inclusion criteria</w:t>
            </w:r>
          </w:p>
        </w:tc>
        <w:tc>
          <w:tcPr>
            <w:tcW w:w="3888" w:type="dxa"/>
            <w:tcBorders>
              <w:top w:val="single" w:color="000000" w:sz="4"/>
              <w:left w:val="single" w:color="000000" w:sz="4"/>
              <w:bottom w:val="single" w:color="000000" w:sz="4"/>
              <w:right w:val="single" w:color="000000" w:sz="4"/>
            </w:tcBorders>
            <w:shd w:color="auto" w:fill="auto" w:val="clear"/>
            <w:tcMar>
              <w:left w:w="108" w:type="dxa"/>
              <w:right w:w="108" w:type="dxa"/>
            </w:tcMar>
            <w:vAlign w:val="center"/>
          </w:tcPr>
          <w:p>
            <w:pPr>
              <w:spacing w:before="0" w:after="0" w:line="360"/>
              <w:ind w:right="0" w:left="0" w:firstLine="0"/>
              <w:jc w:val="both"/>
              <w:rPr>
                <w:color w:val="auto"/>
                <w:spacing w:val="0"/>
                <w:position w:val="0"/>
                <w:sz w:val="22"/>
                <w:shd w:fill="auto" w:val="clear"/>
              </w:rPr>
            </w:pPr>
            <w:r>
              <w:rPr>
                <w:rFonts w:ascii="Arial" w:hAnsi="Arial" w:cs="Arial" w:eastAsia="Arial"/>
                <w:b/>
                <w:color w:val="auto"/>
                <w:spacing w:val="0"/>
                <w:position w:val="0"/>
                <w:sz w:val="22"/>
                <w:shd w:fill="auto" w:val="clear"/>
              </w:rPr>
              <w:t xml:space="preserve">Exclusion criteria</w:t>
            </w:r>
          </w:p>
        </w:tc>
      </w:tr>
      <w:tr>
        <w:trPr>
          <w:trHeight w:val="1" w:hRule="atLeast"/>
          <w:jc w:val="center"/>
          <w:cantSplit w:val="1"/>
        </w:trPr>
        <w:tc>
          <w:tcPr>
            <w:tcW w:w="151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z w:val="22"/>
                <w:shd w:fill="auto" w:val="clear"/>
              </w:rPr>
            </w:pPr>
            <w:r>
              <w:rPr>
                <w:rFonts w:ascii="Arial" w:hAnsi="Arial" w:cs="Arial" w:eastAsia="Arial"/>
                <w:color w:val="auto"/>
                <w:spacing w:val="0"/>
                <w:position w:val="0"/>
                <w:sz w:val="22"/>
                <w:shd w:fill="auto" w:val="clear"/>
              </w:rPr>
              <w:t xml:space="preserve">Population</w:t>
            </w:r>
          </w:p>
        </w:tc>
        <w:tc>
          <w:tcPr>
            <w:tcW w:w="396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z w:val="22"/>
                <w:shd w:fill="auto" w:val="clear"/>
              </w:rPr>
            </w:pPr>
            <w:r>
              <w:rPr>
                <w:rFonts w:ascii="Arial" w:hAnsi="Arial" w:cs="Arial" w:eastAsia="Arial"/>
                <w:color w:val="auto"/>
                <w:spacing w:val="0"/>
                <w:position w:val="0"/>
                <w:sz w:val="22"/>
                <w:shd w:fill="auto" w:val="clear"/>
              </w:rPr>
              <w:t xml:space="preserve">UK postgraduate taught or research students; mixed samples with separately extractable postgraduate data.</w:t>
            </w:r>
          </w:p>
        </w:tc>
        <w:tc>
          <w:tcPr>
            <w:tcW w:w="388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z w:val="22"/>
                <w:shd w:fill="auto" w:val="clear"/>
              </w:rPr>
            </w:pPr>
            <w:r>
              <w:rPr>
                <w:rFonts w:ascii="Arial" w:hAnsi="Arial" w:cs="Arial" w:eastAsia="Arial"/>
                <w:color w:val="auto"/>
                <w:spacing w:val="0"/>
                <w:position w:val="0"/>
                <w:sz w:val="22"/>
                <w:shd w:fill="auto" w:val="clear"/>
              </w:rPr>
              <w:t xml:space="preserve">Undergraduate-only, staff-only or non-postgraduate populations; mixed samples without extractable postgraduate results.</w:t>
            </w:r>
          </w:p>
        </w:tc>
      </w:tr>
      <w:tr>
        <w:trPr>
          <w:trHeight w:val="1" w:hRule="atLeast"/>
          <w:jc w:val="center"/>
          <w:cantSplit w:val="1"/>
        </w:trPr>
        <w:tc>
          <w:tcPr>
            <w:tcW w:w="151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z w:val="22"/>
                <w:shd w:fill="auto" w:val="clear"/>
              </w:rPr>
            </w:pPr>
            <w:r>
              <w:rPr>
                <w:rFonts w:ascii="Arial" w:hAnsi="Arial" w:cs="Arial" w:eastAsia="Arial"/>
                <w:color w:val="auto"/>
                <w:spacing w:val="0"/>
                <w:position w:val="0"/>
                <w:sz w:val="22"/>
                <w:shd w:fill="auto" w:val="clear"/>
              </w:rPr>
              <w:t xml:space="preserve">Topic</w:t>
            </w:r>
          </w:p>
        </w:tc>
        <w:tc>
          <w:tcPr>
            <w:tcW w:w="396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z w:val="22"/>
                <w:shd w:fill="auto" w:val="clear"/>
              </w:rPr>
            </w:pPr>
            <w:r>
              <w:rPr>
                <w:rFonts w:ascii="Arial" w:hAnsi="Arial" w:cs="Arial" w:eastAsia="Arial"/>
                <w:color w:val="auto"/>
                <w:spacing w:val="0"/>
                <w:position w:val="0"/>
                <w:sz w:val="22"/>
                <w:shd w:fill="auto" w:val="clear"/>
              </w:rPr>
              <w:t xml:space="preserve">At least one relevant determinant, mental health outcome, help-seeking issue or evaluated solution.</w:t>
            </w:r>
          </w:p>
        </w:tc>
        <w:tc>
          <w:tcPr>
            <w:tcW w:w="388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z w:val="22"/>
                <w:shd w:fill="auto" w:val="clear"/>
              </w:rPr>
            </w:pPr>
            <w:r>
              <w:rPr>
                <w:rFonts w:ascii="Arial" w:hAnsi="Arial" w:cs="Arial" w:eastAsia="Arial"/>
                <w:color w:val="auto"/>
                <w:spacing w:val="0"/>
                <w:position w:val="0"/>
                <w:sz w:val="22"/>
                <w:shd w:fill="auto" w:val="clear"/>
              </w:rPr>
              <w:t xml:space="preserve">Unrelated clinical conditions or studies without relevant mental health/support findings.</w:t>
            </w:r>
          </w:p>
        </w:tc>
      </w:tr>
      <w:tr>
        <w:trPr>
          <w:trHeight w:val="1" w:hRule="atLeast"/>
          <w:jc w:val="center"/>
          <w:cantSplit w:val="1"/>
        </w:trPr>
        <w:tc>
          <w:tcPr>
            <w:tcW w:w="151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z w:val="22"/>
                <w:shd w:fill="auto" w:val="clear"/>
              </w:rPr>
            </w:pPr>
            <w:r>
              <w:rPr>
                <w:rFonts w:ascii="Arial" w:hAnsi="Arial" w:cs="Arial" w:eastAsia="Arial"/>
                <w:color w:val="auto"/>
                <w:spacing w:val="0"/>
                <w:position w:val="0"/>
                <w:sz w:val="22"/>
                <w:shd w:fill="auto" w:val="clear"/>
              </w:rPr>
              <w:t xml:space="preserve">Context</w:t>
            </w:r>
          </w:p>
        </w:tc>
        <w:tc>
          <w:tcPr>
            <w:tcW w:w="396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z w:val="22"/>
                <w:shd w:fill="auto" w:val="clear"/>
              </w:rPr>
            </w:pPr>
            <w:r>
              <w:rPr>
                <w:rFonts w:ascii="Arial" w:hAnsi="Arial" w:cs="Arial" w:eastAsia="Arial"/>
                <w:color w:val="auto"/>
                <w:spacing w:val="0"/>
                <w:position w:val="0"/>
                <w:sz w:val="22"/>
                <w:shd w:fill="auto" w:val="clear"/>
              </w:rPr>
              <w:t xml:space="preserve">Studies conducted in the UK or reporting a clearly separable UK subgroup.</w:t>
            </w:r>
          </w:p>
        </w:tc>
        <w:tc>
          <w:tcPr>
            <w:tcW w:w="388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z w:val="22"/>
                <w:shd w:fill="auto" w:val="clear"/>
              </w:rPr>
            </w:pPr>
            <w:r>
              <w:rPr>
                <w:rFonts w:ascii="Arial" w:hAnsi="Arial" w:cs="Arial" w:eastAsia="Arial"/>
                <w:color w:val="auto"/>
                <w:spacing w:val="0"/>
                <w:position w:val="0"/>
                <w:sz w:val="22"/>
                <w:shd w:fill="auto" w:val="clear"/>
              </w:rPr>
              <w:t xml:space="preserve">Studies conducted wholly outside the UK without separable UK data.</w:t>
            </w:r>
          </w:p>
        </w:tc>
      </w:tr>
      <w:tr>
        <w:trPr>
          <w:trHeight w:val="1" w:hRule="atLeast"/>
          <w:jc w:val="center"/>
          <w:cantSplit w:val="1"/>
        </w:trPr>
        <w:tc>
          <w:tcPr>
            <w:tcW w:w="151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z w:val="22"/>
                <w:shd w:fill="auto" w:val="clear"/>
              </w:rPr>
            </w:pPr>
            <w:r>
              <w:rPr>
                <w:rFonts w:ascii="Arial" w:hAnsi="Arial" w:cs="Arial" w:eastAsia="Arial"/>
                <w:color w:val="auto"/>
                <w:spacing w:val="0"/>
                <w:position w:val="0"/>
                <w:sz w:val="22"/>
                <w:shd w:fill="auto" w:val="clear"/>
              </w:rPr>
              <w:t xml:space="preserve">Design</w:t>
            </w:r>
          </w:p>
        </w:tc>
        <w:tc>
          <w:tcPr>
            <w:tcW w:w="396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z w:val="22"/>
                <w:shd w:fill="auto" w:val="clear"/>
              </w:rPr>
            </w:pPr>
            <w:r>
              <w:rPr>
                <w:rFonts w:ascii="Arial" w:hAnsi="Arial" w:cs="Arial" w:eastAsia="Arial"/>
                <w:color w:val="auto"/>
                <w:spacing w:val="0"/>
                <w:position w:val="0"/>
                <w:sz w:val="22"/>
                <w:shd w:fill="auto" w:val="clear"/>
              </w:rPr>
              <w:t xml:space="preserve">Quantitative, qualitative and mixed-methods primary empirical studies.</w:t>
            </w:r>
          </w:p>
        </w:tc>
        <w:tc>
          <w:tcPr>
            <w:tcW w:w="388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z w:val="22"/>
                <w:shd w:fill="auto" w:val="clear"/>
              </w:rPr>
            </w:pPr>
            <w:r>
              <w:rPr>
                <w:rFonts w:ascii="Arial" w:hAnsi="Arial" w:cs="Arial" w:eastAsia="Arial"/>
                <w:color w:val="auto"/>
                <w:spacing w:val="0"/>
                <w:position w:val="0"/>
                <w:sz w:val="22"/>
                <w:shd w:fill="auto" w:val="clear"/>
              </w:rPr>
              <w:t xml:space="preserve">Reviews, protocols, editorials, opinion pieces, conference abstracts and dissertations.</w:t>
            </w:r>
          </w:p>
        </w:tc>
      </w:tr>
      <w:tr>
        <w:trPr>
          <w:trHeight w:val="1" w:hRule="atLeast"/>
          <w:jc w:val="center"/>
          <w:cantSplit w:val="1"/>
        </w:trPr>
        <w:tc>
          <w:tcPr>
            <w:tcW w:w="151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z w:val="22"/>
                <w:shd w:fill="auto" w:val="clear"/>
              </w:rPr>
            </w:pPr>
            <w:r>
              <w:rPr>
                <w:rFonts w:ascii="Arial" w:hAnsi="Arial" w:cs="Arial" w:eastAsia="Arial"/>
                <w:color w:val="auto"/>
                <w:spacing w:val="0"/>
                <w:position w:val="0"/>
                <w:sz w:val="22"/>
                <w:shd w:fill="auto" w:val="clear"/>
              </w:rPr>
              <w:t xml:space="preserve">Publication status</w:t>
            </w:r>
          </w:p>
        </w:tc>
        <w:tc>
          <w:tcPr>
            <w:tcW w:w="396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z w:val="22"/>
                <w:shd w:fill="auto" w:val="clear"/>
              </w:rPr>
            </w:pPr>
            <w:r>
              <w:rPr>
                <w:rFonts w:ascii="Arial" w:hAnsi="Arial" w:cs="Arial" w:eastAsia="Arial"/>
                <w:color w:val="auto"/>
                <w:spacing w:val="0"/>
                <w:position w:val="0"/>
                <w:sz w:val="22"/>
                <w:shd w:fill="auto" w:val="clear"/>
              </w:rPr>
              <w:t xml:space="preserve">Peer-reviewed journal articles; full text available.</w:t>
            </w:r>
          </w:p>
        </w:tc>
        <w:tc>
          <w:tcPr>
            <w:tcW w:w="388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z w:val="22"/>
                <w:shd w:fill="auto" w:val="clear"/>
              </w:rPr>
            </w:pPr>
            <w:r>
              <w:rPr>
                <w:rFonts w:ascii="Arial" w:hAnsi="Arial" w:cs="Arial" w:eastAsia="Arial"/>
                <w:color w:val="auto"/>
                <w:spacing w:val="0"/>
                <w:position w:val="0"/>
                <w:sz w:val="22"/>
                <w:shd w:fill="auto" w:val="clear"/>
              </w:rPr>
              <w:t xml:space="preserve">Non-peer-reviewed material in the final synthesis. Grey literature used only for context.</w:t>
            </w:r>
          </w:p>
        </w:tc>
      </w:tr>
      <w:tr>
        <w:trPr>
          <w:trHeight w:val="1" w:hRule="atLeast"/>
          <w:jc w:val="center"/>
          <w:cantSplit w:val="1"/>
        </w:trPr>
        <w:tc>
          <w:tcPr>
            <w:tcW w:w="151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z w:val="22"/>
                <w:shd w:fill="auto" w:val="clear"/>
              </w:rPr>
            </w:pPr>
            <w:r>
              <w:rPr>
                <w:rFonts w:ascii="Arial" w:hAnsi="Arial" w:cs="Arial" w:eastAsia="Arial"/>
                <w:color w:val="auto"/>
                <w:spacing w:val="0"/>
                <w:position w:val="0"/>
                <w:sz w:val="22"/>
                <w:shd w:fill="auto" w:val="clear"/>
              </w:rPr>
              <w:t xml:space="preserve">Language</w:t>
            </w:r>
          </w:p>
        </w:tc>
        <w:tc>
          <w:tcPr>
            <w:tcW w:w="396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z w:val="22"/>
                <w:shd w:fill="auto" w:val="clear"/>
              </w:rPr>
            </w:pPr>
            <w:r>
              <w:rPr>
                <w:rFonts w:ascii="Arial" w:hAnsi="Arial" w:cs="Arial" w:eastAsia="Arial"/>
                <w:color w:val="auto"/>
                <w:spacing w:val="0"/>
                <w:position w:val="0"/>
                <w:sz w:val="22"/>
                <w:shd w:fill="auto" w:val="clear"/>
              </w:rPr>
              <w:t xml:space="preserve">English.</w:t>
            </w:r>
          </w:p>
        </w:tc>
        <w:tc>
          <w:tcPr>
            <w:tcW w:w="388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z w:val="22"/>
                <w:shd w:fill="auto" w:val="clear"/>
              </w:rPr>
            </w:pPr>
            <w:r>
              <w:rPr>
                <w:rFonts w:ascii="Arial" w:hAnsi="Arial" w:cs="Arial" w:eastAsia="Arial"/>
                <w:color w:val="auto"/>
                <w:spacing w:val="0"/>
                <w:position w:val="0"/>
                <w:sz w:val="22"/>
                <w:shd w:fill="auto" w:val="clear"/>
              </w:rPr>
              <w:t xml:space="preserve">Non-English publications.</w:t>
            </w:r>
          </w:p>
        </w:tc>
      </w:tr>
      <w:tr>
        <w:trPr>
          <w:trHeight w:val="1" w:hRule="atLeast"/>
          <w:jc w:val="center"/>
          <w:cantSplit w:val="1"/>
        </w:trPr>
        <w:tc>
          <w:tcPr>
            <w:tcW w:w="151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z w:val="22"/>
                <w:shd w:fill="auto" w:val="clear"/>
              </w:rPr>
            </w:pPr>
            <w:r>
              <w:rPr>
                <w:rFonts w:ascii="Arial" w:hAnsi="Arial" w:cs="Arial" w:eastAsia="Arial"/>
                <w:color w:val="auto"/>
                <w:spacing w:val="0"/>
                <w:position w:val="0"/>
                <w:sz w:val="22"/>
                <w:shd w:fill="auto" w:val="clear"/>
              </w:rPr>
              <w:t xml:space="preserve">Date</w:t>
            </w:r>
          </w:p>
        </w:tc>
        <w:tc>
          <w:tcPr>
            <w:tcW w:w="396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z w:val="22"/>
                <w:shd w:fill="auto" w:val="clear"/>
              </w:rPr>
            </w:pPr>
            <w:r>
              <w:rPr>
                <w:rFonts w:ascii="Arial" w:hAnsi="Arial" w:cs="Arial" w:eastAsia="Arial"/>
                <w:color w:val="auto"/>
                <w:spacing w:val="0"/>
                <w:position w:val="0"/>
                <w:sz w:val="22"/>
                <w:shd w:fill="auto" w:val="clear"/>
              </w:rPr>
              <w:t xml:space="preserve">January 2016 to 3 August 2026.</w:t>
            </w:r>
          </w:p>
        </w:tc>
        <w:tc>
          <w:tcPr>
            <w:tcW w:w="388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z w:val="22"/>
                <w:shd w:fill="auto" w:val="clear"/>
              </w:rPr>
            </w:pPr>
            <w:r>
              <w:rPr>
                <w:rFonts w:ascii="Arial" w:hAnsi="Arial" w:cs="Arial" w:eastAsia="Arial"/>
                <w:color w:val="auto"/>
                <w:spacing w:val="0"/>
                <w:position w:val="0"/>
                <w:sz w:val="22"/>
                <w:shd w:fill="auto" w:val="clear"/>
              </w:rPr>
              <w:t xml:space="preserve">Published before January 2016.</w:t>
            </w:r>
          </w:p>
        </w:tc>
      </w:tr>
      <w:tr>
        <w:trPr>
          <w:trHeight w:val="1" w:hRule="atLeast"/>
          <w:jc w:val="center"/>
          <w:cantSplit w:val="1"/>
        </w:trPr>
        <w:tc>
          <w:tcPr>
            <w:tcW w:w="151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z w:val="22"/>
                <w:shd w:fill="auto" w:val="clear"/>
              </w:rPr>
            </w:pPr>
            <w:r>
              <w:rPr>
                <w:rFonts w:ascii="Arial" w:hAnsi="Arial" w:cs="Arial" w:eastAsia="Arial"/>
                <w:color w:val="auto"/>
                <w:spacing w:val="0"/>
                <w:position w:val="0"/>
                <w:sz w:val="22"/>
                <w:shd w:fill="auto" w:val="clear"/>
              </w:rPr>
              <w:t xml:space="preserve">Quality</w:t>
            </w:r>
          </w:p>
        </w:tc>
        <w:tc>
          <w:tcPr>
            <w:tcW w:w="396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z w:val="22"/>
                <w:shd w:fill="auto" w:val="clear"/>
              </w:rPr>
            </w:pPr>
            <w:r>
              <w:rPr>
                <w:rFonts w:ascii="Arial" w:hAnsi="Arial" w:cs="Arial" w:eastAsia="Arial"/>
                <w:color w:val="auto"/>
                <w:spacing w:val="0"/>
                <w:position w:val="0"/>
                <w:sz w:val="22"/>
                <w:shd w:fill="auto" w:val="clear"/>
              </w:rPr>
              <w:t xml:space="preserve">At least 50% of applicable appraisal criteria and no critical methodological failure.</w:t>
            </w:r>
          </w:p>
        </w:tc>
        <w:tc>
          <w:tcPr>
            <w:tcW w:w="388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z w:val="22"/>
                <w:shd w:fill="auto" w:val="clear"/>
              </w:rPr>
            </w:pPr>
            <w:r>
              <w:rPr>
                <w:rFonts w:ascii="Arial" w:hAnsi="Arial" w:cs="Arial" w:eastAsia="Arial"/>
                <w:color w:val="auto"/>
                <w:spacing w:val="0"/>
                <w:position w:val="0"/>
                <w:sz w:val="22"/>
                <w:shd w:fill="auto" w:val="clear"/>
              </w:rPr>
              <w:t xml:space="preserve">Below 50% or failure of a critical domain such as valid measurement, sampling, ethics or coherent analysis.</w:t>
            </w:r>
          </w:p>
        </w:tc>
      </w:tr>
    </w:tbl>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Source: Developed for this review in line with PRISMA-P, PRISMA 2020 and JBI guidance.</w:t>
      </w:r>
    </w:p>
    <w:p>
      <w:pPr>
        <w:keepNext w:val="true"/>
        <w:keepLines w:val="true"/>
        <w:spacing w:before="40" w:after="0" w:line="360"/>
        <w:ind w:right="0" w:left="0" w:firstLine="0"/>
        <w:jc w:val="both"/>
        <w:rPr>
          <w:rFonts w:ascii="Arial" w:hAnsi="Arial" w:cs="Arial" w:eastAsia="Arial"/>
          <w:b/>
          <w:color w:val="auto"/>
          <w:spacing w:val="0"/>
          <w:position w:val="0"/>
          <w:sz w:val="28"/>
          <w:shd w:fill="auto" w:val="clear"/>
        </w:rPr>
      </w:pPr>
      <w:r>
        <w:rPr>
          <w:rFonts w:ascii="Arial" w:hAnsi="Arial" w:cs="Arial" w:eastAsia="Arial"/>
          <w:b/>
          <w:color w:val="auto"/>
          <w:spacing w:val="0"/>
          <w:position w:val="0"/>
          <w:sz w:val="28"/>
          <w:shd w:fill="auto" w:val="clear"/>
        </w:rPr>
        <w:t xml:space="preserve">3.6 Information Sources and Search Strategy</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000000"/>
          <w:spacing w:val="0"/>
          <w:position w:val="0"/>
          <w:sz w:val="22"/>
          <w:shd w:fill="auto" w:val="clear"/>
        </w:rPr>
        <w:t xml:space="preserve">A systematic search strategy was carried out on the electronic databases MEDLINE/PubMed, CINAHL and Web of Science from 08 June to 03 August 2026. The </w:t>
      </w:r>
      <w:r>
        <w:rPr>
          <w:rFonts w:ascii="Arial" w:hAnsi="Arial" w:cs="Arial" w:eastAsia="Arial"/>
          <w:color w:val="auto"/>
          <w:spacing w:val="0"/>
          <w:position w:val="0"/>
          <w:sz w:val="22"/>
          <w:shd w:fill="auto" w:val="clear"/>
        </w:rPr>
        <w:t xml:space="preserve">sources include medicine, psychology, nursing, public health and multidisciplinary research; several databases had to be searched as no single database contains information on all sources (Bramer et al., 2017). </w:t>
      </w:r>
      <w:r>
        <w:rPr>
          <w:rFonts w:ascii="Arial" w:hAnsi="Arial" w:cs="Arial" w:eastAsia="Arial"/>
          <w:color w:val="000000"/>
          <w:spacing w:val="0"/>
          <w:position w:val="0"/>
          <w:sz w:val="22"/>
          <w:shd w:fill="auto" w:val="clear"/>
        </w:rPr>
        <w:t xml:space="preserve">Google Scholar was used for supplementary citation searching due to its drawbacks </w:t>
      </w:r>
      <w:r>
        <w:rPr>
          <w:rFonts w:ascii="Arial" w:hAnsi="Arial" w:cs="Arial" w:eastAsia="Arial"/>
          <w:color w:val="auto"/>
          <w:spacing w:val="0"/>
          <w:position w:val="0"/>
          <w:sz w:val="22"/>
          <w:shd w:fill="auto" w:val="clear"/>
        </w:rPr>
        <w:t xml:space="preserve">in terms of less transparency in ranking and reproducing the results but greater coverage. Backward citation searching of reference lists of eligible studies, as well as forward citation searching in Google Scholar, was performed.</w:t>
      </w:r>
      <w:r>
        <w:rPr>
          <w:rFonts w:ascii="Arial" w:hAnsi="Arial" w:cs="Arial" w:eastAsia="Arial"/>
          <w:color w:val="000000"/>
          <w:spacing w:val="0"/>
          <w:position w:val="0"/>
          <w:sz w:val="22"/>
          <w:shd w:fill="auto" w:val="clear"/>
        </w:rPr>
        <w:t xml:space="preserve"> Grey </w:t>
      </w:r>
      <w:r>
        <w:rPr>
          <w:rFonts w:ascii="Arial" w:hAnsi="Arial" w:cs="Arial" w:eastAsia="Arial"/>
          <w:color w:val="auto"/>
          <w:spacing w:val="0"/>
          <w:position w:val="0"/>
          <w:sz w:val="22"/>
          <w:shd w:fill="auto" w:val="clear"/>
        </w:rPr>
        <w:t xml:space="preserve">literature was located from targeted and systematic searches of ONS, NHS, Department for Education, Office for Students, UKCGE, Universities UK, Mind, and Student Minds.</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The review framework was translated to each database with controlled vocabulary and free-text terms to develop search concepts. The main blocks were population (post-graduation), mental health, United Kingdom. No specific cause was required for all searches: determinant and solution terms were used as supplementary search terms instead of being the only search terms to be included in all searches. The following terms were used to search a representative sample of PubMed: ("postgraduate student*" OR "postgraduate researcher*" OR "doctoral student*" OR "master* student*" OR PGT OR PGR) AND ("mental health" OR anxi* OR depress* OR distress OR wellbeing OR loneliness OR suicid*) AND ("United Kingdom" OR UK OR England OR Scotland OR Wales OR "Northern Ireland"). Further searches were conducted to add to the others the words financ*, cost of living, supervis*, isolation, help-seeking, counselling, intervention and support.</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The MEDLINE strategy was tested with the PRESS elements: accurate translation of concepts, subject heading, text word, Boolean logic, spelling and limits (McGowan et al., 2016). Search syntax, platform, date, results and total number of results were captured for repeatability, following PRISMA-S and Cochrane's guidance on searching (Lefebvre et al., 2024). Results from searching were exported to a reference manager and matched automatically and compared manually between the authors, title, year and DOI (Bramer et al., 2016) to eliminate any duplicate records. Qualitative terms were not added as a mandatory filter, as using qualitative indexing is inconsistent, which can impact retrieval sensitivities (Booth, 2016).</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Table 3.3: Search concepts and terms (Author Generated)</w:t>
      </w:r>
    </w:p>
    <w:tbl>
      <w:tblPr/>
      <w:tblGrid>
        <w:gridCol w:w="2088"/>
        <w:gridCol w:w="7272"/>
      </w:tblGrid>
      <w:tr>
        <w:trPr>
          <w:trHeight w:val="1" w:hRule="atLeast"/>
          <w:jc w:val="left"/>
        </w:trPr>
        <w:tc>
          <w:tcPr>
            <w:tcW w:w="208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z w:val="22"/>
                <w:shd w:fill="auto" w:val="clear"/>
              </w:rPr>
            </w:pPr>
            <w:r>
              <w:rPr>
                <w:rFonts w:ascii="Arial" w:hAnsi="Arial" w:cs="Arial" w:eastAsia="Arial"/>
                <w:b/>
                <w:color w:val="auto"/>
                <w:spacing w:val="0"/>
                <w:position w:val="0"/>
                <w:sz w:val="22"/>
                <w:shd w:fill="auto" w:val="clear"/>
              </w:rPr>
              <w:t xml:space="preserve">Concept</w:t>
            </w:r>
          </w:p>
        </w:tc>
        <w:tc>
          <w:tcPr>
            <w:tcW w:w="727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z w:val="22"/>
                <w:shd w:fill="auto" w:val="clear"/>
              </w:rPr>
            </w:pPr>
            <w:r>
              <w:rPr>
                <w:rFonts w:ascii="Arial" w:hAnsi="Arial" w:cs="Arial" w:eastAsia="Arial"/>
                <w:b/>
                <w:color w:val="auto"/>
                <w:spacing w:val="0"/>
                <w:position w:val="0"/>
                <w:sz w:val="22"/>
                <w:shd w:fill="auto" w:val="clear"/>
              </w:rPr>
              <w:t xml:space="preserve">Illustrative search terms</w:t>
            </w:r>
          </w:p>
        </w:tc>
      </w:tr>
      <w:tr>
        <w:trPr>
          <w:trHeight w:val="1" w:hRule="atLeast"/>
          <w:jc w:val="left"/>
        </w:trPr>
        <w:tc>
          <w:tcPr>
            <w:tcW w:w="208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z w:val="22"/>
                <w:shd w:fill="auto" w:val="clear"/>
              </w:rPr>
            </w:pPr>
            <w:r>
              <w:rPr>
                <w:rFonts w:ascii="Arial" w:hAnsi="Arial" w:cs="Arial" w:eastAsia="Arial"/>
                <w:color w:val="auto"/>
                <w:spacing w:val="0"/>
                <w:position w:val="0"/>
                <w:sz w:val="22"/>
                <w:shd w:fill="auto" w:val="clear"/>
              </w:rPr>
              <w:t xml:space="preserve">Postgraduate population</w:t>
            </w:r>
          </w:p>
        </w:tc>
        <w:tc>
          <w:tcPr>
            <w:tcW w:w="727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z w:val="22"/>
                <w:shd w:fill="auto" w:val="clear"/>
              </w:rPr>
            </w:pPr>
            <w:r>
              <w:rPr>
                <w:rFonts w:ascii="Arial" w:hAnsi="Arial" w:cs="Arial" w:eastAsia="Arial"/>
                <w:color w:val="auto"/>
                <w:spacing w:val="0"/>
                <w:position w:val="0"/>
                <w:sz w:val="22"/>
                <w:shd w:fill="auto" w:val="clear"/>
              </w:rPr>
              <w:t xml:space="preserve">"postgraduate student*" OR "postgraduate researcher*" OR "doctoral student*" OR "master* student*" OR PGT OR PGR</w:t>
            </w:r>
          </w:p>
        </w:tc>
      </w:tr>
      <w:tr>
        <w:trPr>
          <w:trHeight w:val="1" w:hRule="atLeast"/>
          <w:jc w:val="left"/>
        </w:trPr>
        <w:tc>
          <w:tcPr>
            <w:tcW w:w="208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z w:val="22"/>
                <w:shd w:fill="auto" w:val="clear"/>
              </w:rPr>
            </w:pPr>
            <w:r>
              <w:rPr>
                <w:rFonts w:ascii="Arial" w:hAnsi="Arial" w:cs="Arial" w:eastAsia="Arial"/>
                <w:color w:val="auto"/>
                <w:spacing w:val="0"/>
                <w:position w:val="0"/>
                <w:sz w:val="22"/>
                <w:shd w:fill="auto" w:val="clear"/>
              </w:rPr>
              <w:t xml:space="preserve">Mental health</w:t>
            </w:r>
          </w:p>
        </w:tc>
        <w:tc>
          <w:tcPr>
            <w:tcW w:w="727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z w:val="22"/>
                <w:shd w:fill="auto" w:val="clear"/>
              </w:rPr>
            </w:pPr>
            <w:r>
              <w:rPr>
                <w:rFonts w:ascii="Arial" w:hAnsi="Arial" w:cs="Arial" w:eastAsia="Arial"/>
                <w:color w:val="auto"/>
                <w:spacing w:val="0"/>
                <w:position w:val="0"/>
                <w:sz w:val="22"/>
                <w:shd w:fill="auto" w:val="clear"/>
              </w:rPr>
              <w:t xml:space="preserve">"mental health" OR anxi* OR depress* OR distress OR wellbeing OR loneliness OR suicid*</w:t>
            </w:r>
          </w:p>
        </w:tc>
      </w:tr>
      <w:tr>
        <w:trPr>
          <w:trHeight w:val="1" w:hRule="atLeast"/>
          <w:jc w:val="left"/>
        </w:trPr>
        <w:tc>
          <w:tcPr>
            <w:tcW w:w="208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z w:val="22"/>
                <w:shd w:fill="auto" w:val="clear"/>
              </w:rPr>
            </w:pPr>
            <w:r>
              <w:rPr>
                <w:rFonts w:ascii="Arial" w:hAnsi="Arial" w:cs="Arial" w:eastAsia="Arial"/>
                <w:color w:val="auto"/>
                <w:spacing w:val="0"/>
                <w:position w:val="0"/>
                <w:sz w:val="22"/>
                <w:shd w:fill="auto" w:val="clear"/>
              </w:rPr>
              <w:t xml:space="preserve">United Kingdom</w:t>
            </w:r>
          </w:p>
        </w:tc>
        <w:tc>
          <w:tcPr>
            <w:tcW w:w="727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z w:val="22"/>
                <w:shd w:fill="auto" w:val="clear"/>
              </w:rPr>
            </w:pPr>
            <w:r>
              <w:rPr>
                <w:rFonts w:ascii="Arial" w:hAnsi="Arial" w:cs="Arial" w:eastAsia="Arial"/>
                <w:color w:val="auto"/>
                <w:spacing w:val="0"/>
                <w:position w:val="0"/>
                <w:sz w:val="22"/>
                <w:shd w:fill="auto" w:val="clear"/>
              </w:rPr>
              <w:t xml:space="preserve">"United Kingdom" OR UK OR England OR Scotland OR Wales OR "Northern Ireland"</w:t>
            </w:r>
          </w:p>
        </w:tc>
      </w:tr>
      <w:tr>
        <w:trPr>
          <w:trHeight w:val="1" w:hRule="atLeast"/>
          <w:jc w:val="left"/>
        </w:trPr>
        <w:tc>
          <w:tcPr>
            <w:tcW w:w="208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z w:val="22"/>
                <w:shd w:fill="auto" w:val="clear"/>
              </w:rPr>
            </w:pPr>
            <w:r>
              <w:rPr>
                <w:rFonts w:ascii="Arial" w:hAnsi="Arial" w:cs="Arial" w:eastAsia="Arial"/>
                <w:color w:val="auto"/>
                <w:spacing w:val="0"/>
                <w:position w:val="0"/>
                <w:sz w:val="22"/>
                <w:shd w:fill="auto" w:val="clear"/>
              </w:rPr>
              <w:t xml:space="preserve">Determinants</w:t>
            </w:r>
          </w:p>
        </w:tc>
        <w:tc>
          <w:tcPr>
            <w:tcW w:w="727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z w:val="22"/>
                <w:shd w:fill="auto" w:val="clear"/>
              </w:rPr>
            </w:pPr>
            <w:r>
              <w:rPr>
                <w:rFonts w:ascii="Arial" w:hAnsi="Arial" w:cs="Arial" w:eastAsia="Arial"/>
                <w:color w:val="auto"/>
                <w:spacing w:val="0"/>
                <w:position w:val="0"/>
                <w:sz w:val="22"/>
                <w:shd w:fill="auto" w:val="clear"/>
              </w:rPr>
              <w:t xml:space="preserve">financ* OR "cost of living" OR supervis* OR workload OR isolation OR belonging OR stigma</w:t>
            </w:r>
          </w:p>
        </w:tc>
      </w:tr>
      <w:tr>
        <w:trPr>
          <w:trHeight w:val="1" w:hRule="atLeast"/>
          <w:jc w:val="left"/>
        </w:trPr>
        <w:tc>
          <w:tcPr>
            <w:tcW w:w="208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z w:val="22"/>
                <w:shd w:fill="auto" w:val="clear"/>
              </w:rPr>
            </w:pPr>
            <w:r>
              <w:rPr>
                <w:rFonts w:ascii="Arial" w:hAnsi="Arial" w:cs="Arial" w:eastAsia="Arial"/>
                <w:color w:val="auto"/>
                <w:spacing w:val="0"/>
                <w:position w:val="0"/>
                <w:sz w:val="22"/>
                <w:shd w:fill="auto" w:val="clear"/>
              </w:rPr>
              <w:t xml:space="preserve">Solutions and access</w:t>
            </w:r>
          </w:p>
        </w:tc>
        <w:tc>
          <w:tcPr>
            <w:tcW w:w="727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z w:val="22"/>
                <w:shd w:fill="auto" w:val="clear"/>
              </w:rPr>
            </w:pPr>
            <w:r>
              <w:rPr>
                <w:rFonts w:ascii="Arial" w:hAnsi="Arial" w:cs="Arial" w:eastAsia="Arial"/>
                <w:color w:val="auto"/>
                <w:spacing w:val="0"/>
                <w:position w:val="0"/>
                <w:sz w:val="22"/>
                <w:shd w:fill="auto" w:val="clear"/>
              </w:rPr>
              <w:t xml:space="preserve">"help-seeking" OR counselling OR intervention OR support OR "peer support" OR "digital mental health"</w:t>
            </w:r>
          </w:p>
        </w:tc>
      </w:tr>
    </w:tbl>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Source: Developed from the adapted PICO framework</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Table 3.4: Information sources and purpose</w:t>
      </w:r>
    </w:p>
    <w:tbl>
      <w:tblPr/>
      <w:tblGrid>
        <w:gridCol w:w="2376"/>
        <w:gridCol w:w="6984"/>
      </w:tblGrid>
      <w:tr>
        <w:trPr>
          <w:trHeight w:val="1" w:hRule="atLeast"/>
          <w:jc w:val="center"/>
          <w:cantSplit w:val="1"/>
        </w:trPr>
        <w:tc>
          <w:tcPr>
            <w:tcW w:w="2376" w:type="dxa"/>
            <w:tcBorders>
              <w:top w:val="single" w:color="000000" w:sz="4"/>
              <w:left w:val="single" w:color="000000" w:sz="4"/>
              <w:bottom w:val="single" w:color="000000" w:sz="4"/>
              <w:right w:val="single" w:color="000000" w:sz="4"/>
            </w:tcBorders>
            <w:shd w:color="auto" w:fill="auto" w:val="clear"/>
            <w:tcMar>
              <w:left w:w="108" w:type="dxa"/>
              <w:right w:w="108" w:type="dxa"/>
            </w:tcMar>
            <w:vAlign w:val="center"/>
          </w:tcPr>
          <w:p>
            <w:pPr>
              <w:spacing w:before="0" w:after="0" w:line="360"/>
              <w:ind w:right="0" w:left="0" w:firstLine="0"/>
              <w:jc w:val="both"/>
              <w:rPr>
                <w:color w:val="auto"/>
                <w:spacing w:val="0"/>
                <w:position w:val="0"/>
                <w:sz w:val="22"/>
                <w:shd w:fill="auto" w:val="clear"/>
              </w:rPr>
            </w:pPr>
            <w:r>
              <w:rPr>
                <w:rFonts w:ascii="Arial" w:hAnsi="Arial" w:cs="Arial" w:eastAsia="Arial"/>
                <w:b/>
                <w:color w:val="auto"/>
                <w:spacing w:val="0"/>
                <w:position w:val="0"/>
                <w:sz w:val="22"/>
                <w:shd w:fill="auto" w:val="clear"/>
              </w:rPr>
              <w:t xml:space="preserve">Source</w:t>
            </w:r>
          </w:p>
        </w:tc>
        <w:tc>
          <w:tcPr>
            <w:tcW w:w="6984" w:type="dxa"/>
            <w:tcBorders>
              <w:top w:val="single" w:color="000000" w:sz="4"/>
              <w:left w:val="single" w:color="000000" w:sz="4"/>
              <w:bottom w:val="single" w:color="000000" w:sz="4"/>
              <w:right w:val="single" w:color="000000" w:sz="4"/>
            </w:tcBorders>
            <w:shd w:color="auto" w:fill="auto" w:val="clear"/>
            <w:tcMar>
              <w:left w:w="108" w:type="dxa"/>
              <w:right w:w="108" w:type="dxa"/>
            </w:tcMar>
            <w:vAlign w:val="center"/>
          </w:tcPr>
          <w:p>
            <w:pPr>
              <w:spacing w:before="0" w:after="0" w:line="360"/>
              <w:ind w:right="0" w:left="0" w:firstLine="0"/>
              <w:jc w:val="both"/>
              <w:rPr>
                <w:color w:val="auto"/>
                <w:spacing w:val="0"/>
                <w:position w:val="0"/>
                <w:sz w:val="22"/>
                <w:shd w:fill="auto" w:val="clear"/>
              </w:rPr>
            </w:pPr>
            <w:r>
              <w:rPr>
                <w:rFonts w:ascii="Arial" w:hAnsi="Arial" w:cs="Arial" w:eastAsia="Arial"/>
                <w:b/>
                <w:color w:val="auto"/>
                <w:spacing w:val="0"/>
                <w:position w:val="0"/>
                <w:sz w:val="22"/>
                <w:shd w:fill="auto" w:val="clear"/>
              </w:rPr>
              <w:t xml:space="preserve">Purpose in the review</w:t>
            </w:r>
          </w:p>
        </w:tc>
      </w:tr>
      <w:tr>
        <w:trPr>
          <w:trHeight w:val="1" w:hRule="atLeast"/>
          <w:jc w:val="center"/>
          <w:cantSplit w:val="1"/>
        </w:trPr>
        <w:tc>
          <w:tcPr>
            <w:tcW w:w="237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z w:val="22"/>
                <w:shd w:fill="auto" w:val="clear"/>
              </w:rPr>
            </w:pPr>
            <w:r>
              <w:rPr>
                <w:rFonts w:ascii="Arial" w:hAnsi="Arial" w:cs="Arial" w:eastAsia="Arial"/>
                <w:color w:val="auto"/>
                <w:spacing w:val="0"/>
                <w:position w:val="0"/>
                <w:sz w:val="22"/>
                <w:shd w:fill="auto" w:val="clear"/>
              </w:rPr>
              <w:t xml:space="preserve">MEDLINE/PubMed</w:t>
            </w:r>
          </w:p>
        </w:tc>
        <w:tc>
          <w:tcPr>
            <w:tcW w:w="698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z w:val="22"/>
                <w:shd w:fill="auto" w:val="clear"/>
              </w:rPr>
            </w:pPr>
            <w:r>
              <w:rPr>
                <w:rFonts w:ascii="Arial" w:hAnsi="Arial" w:cs="Arial" w:eastAsia="Arial"/>
                <w:color w:val="auto"/>
                <w:spacing w:val="0"/>
                <w:position w:val="0"/>
                <w:sz w:val="22"/>
                <w:shd w:fill="auto" w:val="clear"/>
              </w:rPr>
              <w:t xml:space="preserve">Medicine, public health and clinical research</w:t>
            </w:r>
          </w:p>
        </w:tc>
      </w:tr>
      <w:tr>
        <w:trPr>
          <w:trHeight w:val="1" w:hRule="atLeast"/>
          <w:jc w:val="center"/>
          <w:cantSplit w:val="1"/>
        </w:trPr>
        <w:tc>
          <w:tcPr>
            <w:tcW w:w="237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z w:val="22"/>
                <w:shd w:fill="auto" w:val="clear"/>
              </w:rPr>
            </w:pPr>
            <w:r>
              <w:rPr>
                <w:rFonts w:ascii="Arial" w:hAnsi="Arial" w:cs="Arial" w:eastAsia="Arial"/>
                <w:color w:val="auto"/>
                <w:spacing w:val="0"/>
                <w:position w:val="0"/>
                <w:sz w:val="22"/>
                <w:shd w:fill="auto" w:val="clear"/>
              </w:rPr>
              <w:t xml:space="preserve">PsycINFO</w:t>
            </w:r>
          </w:p>
        </w:tc>
        <w:tc>
          <w:tcPr>
            <w:tcW w:w="698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z w:val="22"/>
                <w:shd w:fill="auto" w:val="clear"/>
              </w:rPr>
            </w:pPr>
            <w:r>
              <w:rPr>
                <w:rFonts w:ascii="Arial" w:hAnsi="Arial" w:cs="Arial" w:eastAsia="Arial"/>
                <w:color w:val="auto"/>
                <w:spacing w:val="0"/>
                <w:position w:val="0"/>
                <w:sz w:val="22"/>
                <w:shd w:fill="auto" w:val="clear"/>
              </w:rPr>
              <w:t xml:space="preserve">Psychology, mental health and behavioural research</w:t>
            </w:r>
          </w:p>
        </w:tc>
      </w:tr>
      <w:tr>
        <w:trPr>
          <w:trHeight w:val="1" w:hRule="atLeast"/>
          <w:jc w:val="center"/>
          <w:cantSplit w:val="1"/>
        </w:trPr>
        <w:tc>
          <w:tcPr>
            <w:tcW w:w="237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z w:val="22"/>
                <w:shd w:fill="auto" w:val="clear"/>
              </w:rPr>
            </w:pPr>
            <w:r>
              <w:rPr>
                <w:rFonts w:ascii="Arial" w:hAnsi="Arial" w:cs="Arial" w:eastAsia="Arial"/>
                <w:color w:val="auto"/>
                <w:spacing w:val="0"/>
                <w:position w:val="0"/>
                <w:sz w:val="22"/>
                <w:shd w:fill="auto" w:val="clear"/>
              </w:rPr>
              <w:t xml:space="preserve">CINAHL</w:t>
            </w:r>
          </w:p>
        </w:tc>
        <w:tc>
          <w:tcPr>
            <w:tcW w:w="698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z w:val="22"/>
                <w:shd w:fill="auto" w:val="clear"/>
              </w:rPr>
            </w:pPr>
            <w:r>
              <w:rPr>
                <w:rFonts w:ascii="Arial" w:hAnsi="Arial" w:cs="Arial" w:eastAsia="Arial"/>
                <w:color w:val="auto"/>
                <w:spacing w:val="0"/>
                <w:position w:val="0"/>
                <w:sz w:val="22"/>
                <w:shd w:fill="auto" w:val="clear"/>
              </w:rPr>
              <w:t xml:space="preserve">Nursing, allied health and student-support research</w:t>
            </w:r>
          </w:p>
        </w:tc>
      </w:tr>
      <w:tr>
        <w:trPr>
          <w:trHeight w:val="1" w:hRule="atLeast"/>
          <w:jc w:val="center"/>
          <w:cantSplit w:val="1"/>
        </w:trPr>
        <w:tc>
          <w:tcPr>
            <w:tcW w:w="237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z w:val="22"/>
                <w:shd w:fill="auto" w:val="clear"/>
              </w:rPr>
            </w:pPr>
            <w:r>
              <w:rPr>
                <w:rFonts w:ascii="Arial" w:hAnsi="Arial" w:cs="Arial" w:eastAsia="Arial"/>
                <w:color w:val="auto"/>
                <w:spacing w:val="0"/>
                <w:position w:val="0"/>
                <w:sz w:val="22"/>
                <w:shd w:fill="auto" w:val="clear"/>
              </w:rPr>
              <w:t xml:space="preserve">Web of Science</w:t>
            </w:r>
          </w:p>
        </w:tc>
        <w:tc>
          <w:tcPr>
            <w:tcW w:w="698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z w:val="22"/>
                <w:shd w:fill="auto" w:val="clear"/>
              </w:rPr>
            </w:pPr>
            <w:r>
              <w:rPr>
                <w:rFonts w:ascii="Arial" w:hAnsi="Arial" w:cs="Arial" w:eastAsia="Arial"/>
                <w:color w:val="auto"/>
                <w:spacing w:val="0"/>
                <w:position w:val="0"/>
                <w:sz w:val="22"/>
                <w:shd w:fill="auto" w:val="clear"/>
              </w:rPr>
              <w:t xml:space="preserve">Multidisciplinary indexing and citation searching</w:t>
            </w:r>
          </w:p>
        </w:tc>
      </w:tr>
      <w:tr>
        <w:trPr>
          <w:trHeight w:val="1" w:hRule="atLeast"/>
          <w:jc w:val="center"/>
          <w:cantSplit w:val="1"/>
        </w:trPr>
        <w:tc>
          <w:tcPr>
            <w:tcW w:w="237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z w:val="22"/>
                <w:shd w:fill="auto" w:val="clear"/>
              </w:rPr>
            </w:pPr>
            <w:r>
              <w:rPr>
                <w:rFonts w:ascii="Arial" w:hAnsi="Arial" w:cs="Arial" w:eastAsia="Arial"/>
                <w:color w:val="auto"/>
                <w:spacing w:val="0"/>
                <w:position w:val="0"/>
                <w:sz w:val="22"/>
                <w:shd w:fill="auto" w:val="clear"/>
              </w:rPr>
              <w:t xml:space="preserve">Google Scholar</w:t>
            </w:r>
          </w:p>
        </w:tc>
        <w:tc>
          <w:tcPr>
            <w:tcW w:w="698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z w:val="22"/>
                <w:shd w:fill="auto" w:val="clear"/>
              </w:rPr>
            </w:pPr>
            <w:r>
              <w:rPr>
                <w:rFonts w:ascii="Arial" w:hAnsi="Arial" w:cs="Arial" w:eastAsia="Arial"/>
                <w:color w:val="auto"/>
                <w:spacing w:val="0"/>
                <w:position w:val="0"/>
                <w:sz w:val="22"/>
                <w:shd w:fill="auto" w:val="clear"/>
              </w:rPr>
              <w:t xml:space="preserve">Supplementary citation searching only</w:t>
            </w:r>
          </w:p>
        </w:tc>
      </w:tr>
      <w:tr>
        <w:trPr>
          <w:trHeight w:val="1" w:hRule="atLeast"/>
          <w:jc w:val="center"/>
          <w:cantSplit w:val="1"/>
        </w:trPr>
        <w:tc>
          <w:tcPr>
            <w:tcW w:w="237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z w:val="22"/>
                <w:shd w:fill="auto" w:val="clear"/>
              </w:rPr>
            </w:pPr>
            <w:r>
              <w:rPr>
                <w:rFonts w:ascii="Arial" w:hAnsi="Arial" w:cs="Arial" w:eastAsia="Arial"/>
                <w:color w:val="auto"/>
                <w:spacing w:val="0"/>
                <w:position w:val="0"/>
                <w:sz w:val="22"/>
                <w:shd w:fill="auto" w:val="clear"/>
              </w:rPr>
              <w:t xml:space="preserve">Targeted organisational sites</w:t>
            </w:r>
          </w:p>
        </w:tc>
        <w:tc>
          <w:tcPr>
            <w:tcW w:w="698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z w:val="22"/>
                <w:shd w:fill="auto" w:val="clear"/>
              </w:rPr>
            </w:pPr>
            <w:r>
              <w:rPr>
                <w:rFonts w:ascii="Arial" w:hAnsi="Arial" w:cs="Arial" w:eastAsia="Arial"/>
                <w:color w:val="auto"/>
                <w:spacing w:val="0"/>
                <w:position w:val="0"/>
                <w:sz w:val="22"/>
                <w:shd w:fill="auto" w:val="clear"/>
              </w:rPr>
              <w:t xml:space="preserve">ONS, NHS, DfE, OfS, UKCGE, Universities UK, Mind and Student Minds for contextual grey literature</w:t>
            </w:r>
          </w:p>
        </w:tc>
      </w:tr>
    </w:tbl>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Source: Review search plan.</w:t>
      </w:r>
    </w:p>
    <w:p>
      <w:pPr>
        <w:keepNext w:val="true"/>
        <w:keepLines w:val="true"/>
        <w:spacing w:before="40" w:after="0" w:line="360"/>
        <w:ind w:right="0" w:left="0" w:firstLine="0"/>
        <w:jc w:val="both"/>
        <w:rPr>
          <w:rFonts w:ascii="Arial" w:hAnsi="Arial" w:cs="Arial" w:eastAsia="Arial"/>
          <w:b/>
          <w:color w:val="auto"/>
          <w:spacing w:val="0"/>
          <w:position w:val="0"/>
          <w:sz w:val="28"/>
          <w:shd w:fill="auto" w:val="clear"/>
        </w:rPr>
      </w:pPr>
      <w:r>
        <w:rPr>
          <w:rFonts w:ascii="Arial" w:hAnsi="Arial" w:cs="Arial" w:eastAsia="Arial"/>
          <w:b/>
          <w:color w:val="auto"/>
          <w:spacing w:val="0"/>
          <w:position w:val="0"/>
          <w:sz w:val="28"/>
          <w:shd w:fill="auto" w:val="clear"/>
        </w:rPr>
        <w:t xml:space="preserve">3.7 Screening and Study Selection</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Study selection was done according to the PRISMA process of identification, screening, eligibility and inclusion. Articles were screened from the titles and abstracts according to a piloted eligibility form after removing duplicates. Twenty records were tested first to clarify ambiguous rules, especially with regards to mixed attainment across the pupil population and UK-specific data on subgroups. Abstracts were not excluded if they were unclear, so records were retained. Articles that had the potential to be included were considered for each inclusion criterion and were retrieved in full. The following were the standard reasons given for excluding full text: wrong population, non-UK setting, non-extractable postgraduate data, irrelevant outcome, ineligible publication type and inadequate methodological reporting.</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Due to this being a single researcher MSc review, the formal independent duplicate screening was not possible. Error and selection bias were minimised with pre-specified rules, pilot screening, a structured decision log and a second check of uncertain decisions after a period. The search and selection audit trail was kept in Excel. To achieve this, we identified 15 studies which met the inclusion and quality criteria and comprised the final synthesis. The numerical results in Chapter Four are reported in a PRISMA 2020 diagram, with the exclusion reasons also being detailed there to keep methodological issues from being confounded with the findings.</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An identifier was used in a review-management spreadsheet to identify each record, attach the citation, abstract decision, full-text decision, exclusion reason, and appraisal file and extraction row. This ensured that the same report could not be counted as an additional study, and it enabled companion publications to be clustered. Participants' data from papers reporting the same cohort were only considered once in the most complete paper, but data from supplementary papers were added where they contained any data not covered elsewhere. The entire text of full articles was read and not searched using keywords. The decision to be eligible took priority over the decision to be eligible to show some mental health measure; this is due to the fact that a sample that was not relevant to the population could not be used to show a mental health measure. The last set was examined with reference lists of the papers included and main UK postgraduate studies of mental health found in reference lists in Chapter Two. This was a verification and did not affect eligibility requirements: it was to see if there was a study, clearly relevant, that was missed through electronic searches. </w:t>
      </w:r>
    </w:p>
    <w:p>
      <w:pPr>
        <w:keepNext w:val="true"/>
        <w:keepLines w:val="true"/>
        <w:spacing w:before="40" w:after="0" w:line="360"/>
        <w:ind w:right="0" w:left="0" w:firstLine="0"/>
        <w:jc w:val="both"/>
        <w:rPr>
          <w:rFonts w:ascii="Arial" w:hAnsi="Arial" w:cs="Arial" w:eastAsia="Arial"/>
          <w:b/>
          <w:color w:val="auto"/>
          <w:spacing w:val="0"/>
          <w:position w:val="0"/>
          <w:sz w:val="28"/>
          <w:shd w:fill="auto" w:val="clear"/>
        </w:rPr>
      </w:pPr>
      <w:r>
        <w:rPr>
          <w:rFonts w:ascii="Arial" w:hAnsi="Arial" w:cs="Arial" w:eastAsia="Arial"/>
          <w:b/>
          <w:color w:val="auto"/>
          <w:spacing w:val="0"/>
          <w:position w:val="0"/>
          <w:sz w:val="28"/>
          <w:shd w:fill="auto" w:val="clear"/>
        </w:rPr>
        <w:t xml:space="preserve">3.8 Quality Appraisal and Risk of Bias</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The critical appraisal was done before the synthesis, for two reasons: Relevance does not necessarily guarantee trustworthy evidence, and critical appraisal should not be considered synthesis. The tools were matched with the study design</w:t>
      </w:r>
      <w:r>
        <w:rPr>
          <w:rFonts w:ascii="Arial" w:hAnsi="Arial" w:cs="Arial" w:eastAsia="Arial"/>
          <w:color w:val="000000"/>
          <w:spacing w:val="0"/>
          <w:position w:val="0"/>
          <w:sz w:val="22"/>
          <w:shd w:fill="auto" w:val="clear"/>
        </w:rPr>
        <w:t xml:space="preserve">. Qualitative studies were conducted using the CASP Qualitative Studies Checklist, quantitative studies used design-specific JBI checklists, and mixed methods studies used the MMAT. Yes, No, Unclear or Not Applicable ratings were given to items </w:t>
      </w:r>
      <w:r>
        <w:rPr>
          <w:rFonts w:ascii="Arial" w:hAnsi="Arial" w:cs="Arial" w:eastAsia="Arial"/>
          <w:color w:val="auto"/>
          <w:spacing w:val="0"/>
          <w:position w:val="0"/>
          <w:sz w:val="22"/>
          <w:shd w:fill="auto" w:val="clear"/>
        </w:rPr>
        <w:t xml:space="preserve">(CASP, 2024; Porritt et al., 2024; Hong et al., 2018). Studies with an overall score under 50% and studies which failed in critical domains were not included. Limitation was still apparent, and scores were used to inform judgement. Qualitative results were judged on the principles of GRADE-CERQual for methodological limitations, coherence, adequacy and relevance (Lewin et al., 2018).</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Table 3.5: Critical appraisal tools (Author Generated)</w:t>
      </w:r>
    </w:p>
    <w:tbl>
      <w:tblPr/>
      <w:tblGrid>
        <w:gridCol w:w="1800"/>
        <w:gridCol w:w="2736"/>
        <w:gridCol w:w="4824"/>
      </w:tblGrid>
      <w:tr>
        <w:trPr>
          <w:trHeight w:val="1" w:hRule="atLeast"/>
          <w:jc w:val="center"/>
          <w:cantSplit w:val="1"/>
        </w:trPr>
        <w:tc>
          <w:tcPr>
            <w:tcW w:w="1800" w:type="dxa"/>
            <w:tcBorders>
              <w:top w:val="single" w:color="000000" w:sz="4"/>
              <w:left w:val="single" w:color="000000" w:sz="4"/>
              <w:bottom w:val="single" w:color="000000" w:sz="4"/>
              <w:right w:val="single" w:color="000000" w:sz="4"/>
            </w:tcBorders>
            <w:shd w:color="auto" w:fill="auto" w:val="clear"/>
            <w:tcMar>
              <w:left w:w="108" w:type="dxa"/>
              <w:right w:w="108" w:type="dxa"/>
            </w:tcMar>
            <w:vAlign w:val="center"/>
          </w:tcPr>
          <w:p>
            <w:pPr>
              <w:spacing w:before="0" w:after="0" w:line="360"/>
              <w:ind w:right="0" w:left="0" w:firstLine="0"/>
              <w:jc w:val="both"/>
              <w:rPr>
                <w:color w:val="auto"/>
                <w:spacing w:val="0"/>
                <w:position w:val="0"/>
                <w:sz w:val="22"/>
                <w:shd w:fill="auto" w:val="clear"/>
              </w:rPr>
            </w:pPr>
            <w:r>
              <w:rPr>
                <w:rFonts w:ascii="Arial" w:hAnsi="Arial" w:cs="Arial" w:eastAsia="Arial"/>
                <w:b/>
                <w:color w:val="auto"/>
                <w:spacing w:val="0"/>
                <w:position w:val="0"/>
                <w:sz w:val="22"/>
                <w:shd w:fill="auto" w:val="clear"/>
              </w:rPr>
              <w:t xml:space="preserve">Study design</w:t>
            </w:r>
          </w:p>
        </w:tc>
        <w:tc>
          <w:tcPr>
            <w:tcW w:w="2736" w:type="dxa"/>
            <w:tcBorders>
              <w:top w:val="single" w:color="000000" w:sz="4"/>
              <w:left w:val="single" w:color="000000" w:sz="4"/>
              <w:bottom w:val="single" w:color="000000" w:sz="4"/>
              <w:right w:val="single" w:color="000000" w:sz="4"/>
            </w:tcBorders>
            <w:shd w:color="auto" w:fill="auto" w:val="clear"/>
            <w:tcMar>
              <w:left w:w="108" w:type="dxa"/>
              <w:right w:w="108" w:type="dxa"/>
            </w:tcMar>
            <w:vAlign w:val="center"/>
          </w:tcPr>
          <w:p>
            <w:pPr>
              <w:spacing w:before="0" w:after="0" w:line="360"/>
              <w:ind w:right="0" w:left="0" w:firstLine="0"/>
              <w:jc w:val="both"/>
              <w:rPr>
                <w:color w:val="auto"/>
                <w:spacing w:val="0"/>
                <w:position w:val="0"/>
                <w:sz w:val="22"/>
                <w:shd w:fill="auto" w:val="clear"/>
              </w:rPr>
            </w:pPr>
            <w:r>
              <w:rPr>
                <w:rFonts w:ascii="Arial" w:hAnsi="Arial" w:cs="Arial" w:eastAsia="Arial"/>
                <w:b/>
                <w:color w:val="auto"/>
                <w:spacing w:val="0"/>
                <w:position w:val="0"/>
                <w:sz w:val="22"/>
                <w:shd w:fill="auto" w:val="clear"/>
              </w:rPr>
              <w:t xml:space="preserve">Tool</w:t>
            </w:r>
          </w:p>
        </w:tc>
        <w:tc>
          <w:tcPr>
            <w:tcW w:w="4824" w:type="dxa"/>
            <w:tcBorders>
              <w:top w:val="single" w:color="000000" w:sz="4"/>
              <w:left w:val="single" w:color="000000" w:sz="4"/>
              <w:bottom w:val="single" w:color="000000" w:sz="4"/>
              <w:right w:val="single" w:color="000000" w:sz="4"/>
            </w:tcBorders>
            <w:shd w:color="auto" w:fill="auto" w:val="clear"/>
            <w:tcMar>
              <w:left w:w="108" w:type="dxa"/>
              <w:right w:w="108" w:type="dxa"/>
            </w:tcMar>
            <w:vAlign w:val="center"/>
          </w:tcPr>
          <w:p>
            <w:pPr>
              <w:spacing w:before="0" w:after="0" w:line="360"/>
              <w:ind w:right="0" w:left="0" w:firstLine="0"/>
              <w:jc w:val="both"/>
              <w:rPr>
                <w:color w:val="auto"/>
                <w:spacing w:val="0"/>
                <w:position w:val="0"/>
                <w:sz w:val="22"/>
                <w:shd w:fill="auto" w:val="clear"/>
              </w:rPr>
            </w:pPr>
            <w:r>
              <w:rPr>
                <w:rFonts w:ascii="Arial" w:hAnsi="Arial" w:cs="Arial" w:eastAsia="Arial"/>
                <w:b/>
                <w:color w:val="auto"/>
                <w:spacing w:val="0"/>
                <w:position w:val="0"/>
                <w:sz w:val="22"/>
                <w:shd w:fill="auto" w:val="clear"/>
              </w:rPr>
              <w:t xml:space="preserve">Principal domains</w:t>
            </w:r>
          </w:p>
        </w:tc>
      </w:tr>
      <w:tr>
        <w:trPr>
          <w:trHeight w:val="1" w:hRule="atLeast"/>
          <w:jc w:val="center"/>
          <w:cantSplit w:val="1"/>
        </w:trPr>
        <w:tc>
          <w:tcPr>
            <w:tcW w:w="1800" w:type="dxa"/>
            <w:tcBorders>
              <w:top w:val="single" w:color="000000" w:sz="4"/>
              <w:left w:val="single" w:color="000000" w:sz="4"/>
              <w:bottom w:val="single" w:color="000000" w:sz="4"/>
              <w:right w:val="single" w:color="000000" w:sz="4"/>
            </w:tcBorders>
            <w:shd w:color="auto" w:fill="auto" w:val="clear"/>
            <w:tcMar>
              <w:left w:w="108" w:type="dxa"/>
              <w:right w:w="108" w:type="dxa"/>
            </w:tcMar>
            <w:vAlign w:val="top"/>
          </w:tcPr>
          <w:p>
            <w:pPr>
              <w:spacing w:before="0" w:after="0" w:line="360"/>
              <w:ind w:right="0" w:left="0" w:firstLine="0"/>
              <w:jc w:val="both"/>
              <w:rPr>
                <w:color w:val="auto"/>
                <w:spacing w:val="0"/>
                <w:position w:val="0"/>
                <w:sz w:val="22"/>
                <w:shd w:fill="auto" w:val="clear"/>
              </w:rPr>
            </w:pPr>
            <w:r>
              <w:rPr>
                <w:rFonts w:ascii="Arial" w:hAnsi="Arial" w:cs="Arial" w:eastAsia="Arial"/>
                <w:color w:val="auto"/>
                <w:spacing w:val="0"/>
                <w:position w:val="0"/>
                <w:sz w:val="22"/>
                <w:shd w:fill="auto" w:val="clear"/>
              </w:rPr>
              <w:t xml:space="preserve">Qualitative studies</w:t>
            </w:r>
          </w:p>
        </w:tc>
        <w:tc>
          <w:tcPr>
            <w:tcW w:w="2736" w:type="dxa"/>
            <w:tcBorders>
              <w:top w:val="single" w:color="000000" w:sz="4"/>
              <w:left w:val="single" w:color="000000" w:sz="4"/>
              <w:bottom w:val="single" w:color="000000" w:sz="4"/>
              <w:right w:val="single" w:color="000000" w:sz="4"/>
            </w:tcBorders>
            <w:shd w:color="auto" w:fill="auto" w:val="clear"/>
            <w:tcMar>
              <w:left w:w="108" w:type="dxa"/>
              <w:right w:w="108" w:type="dxa"/>
            </w:tcMar>
            <w:vAlign w:val="top"/>
          </w:tcPr>
          <w:p>
            <w:pPr>
              <w:spacing w:before="0" w:after="0" w:line="360"/>
              <w:ind w:right="0" w:left="0" w:firstLine="0"/>
              <w:jc w:val="both"/>
              <w:rPr>
                <w:color w:val="auto"/>
                <w:spacing w:val="0"/>
                <w:position w:val="0"/>
                <w:sz w:val="22"/>
                <w:shd w:fill="auto" w:val="clear"/>
              </w:rPr>
            </w:pPr>
            <w:r>
              <w:rPr>
                <w:rFonts w:ascii="Arial" w:hAnsi="Arial" w:cs="Arial" w:eastAsia="Arial"/>
                <w:color w:val="auto"/>
                <w:spacing w:val="0"/>
                <w:position w:val="0"/>
                <w:sz w:val="22"/>
                <w:shd w:fill="auto" w:val="clear"/>
              </w:rPr>
              <w:t xml:space="preserve">CASP Qualitative Studies Checklist</w:t>
            </w:r>
          </w:p>
        </w:tc>
        <w:tc>
          <w:tcPr>
            <w:tcW w:w="4824" w:type="dxa"/>
            <w:tcBorders>
              <w:top w:val="single" w:color="000000" w:sz="4"/>
              <w:left w:val="single" w:color="000000" w:sz="4"/>
              <w:bottom w:val="single" w:color="000000" w:sz="4"/>
              <w:right w:val="single" w:color="000000" w:sz="4"/>
            </w:tcBorders>
            <w:shd w:color="auto" w:fill="auto" w:val="clear"/>
            <w:tcMar>
              <w:left w:w="108" w:type="dxa"/>
              <w:right w:w="108" w:type="dxa"/>
            </w:tcMar>
            <w:vAlign w:val="top"/>
          </w:tcPr>
          <w:p>
            <w:pPr>
              <w:spacing w:before="0" w:after="0" w:line="360"/>
              <w:ind w:right="0" w:left="0" w:firstLine="0"/>
              <w:jc w:val="both"/>
              <w:rPr>
                <w:color w:val="auto"/>
                <w:spacing w:val="0"/>
                <w:position w:val="0"/>
                <w:sz w:val="22"/>
                <w:shd w:fill="auto" w:val="clear"/>
              </w:rPr>
            </w:pPr>
            <w:r>
              <w:rPr>
                <w:rFonts w:ascii="Arial" w:hAnsi="Arial" w:cs="Arial" w:eastAsia="Arial"/>
                <w:color w:val="auto"/>
                <w:spacing w:val="0"/>
                <w:position w:val="0"/>
                <w:sz w:val="22"/>
                <w:shd w:fill="auto" w:val="clear"/>
              </w:rPr>
              <w:t xml:space="preserve">Aims, methodology, recruitment, data collection, reflexivity, ethics, analysis, findings and value</w:t>
            </w:r>
          </w:p>
        </w:tc>
      </w:tr>
      <w:tr>
        <w:trPr>
          <w:trHeight w:val="1" w:hRule="atLeast"/>
          <w:jc w:val="center"/>
          <w:cantSplit w:val="1"/>
        </w:trPr>
        <w:tc>
          <w:tcPr>
            <w:tcW w:w="1800" w:type="dxa"/>
            <w:tcBorders>
              <w:top w:val="single" w:color="000000" w:sz="4"/>
              <w:left w:val="single" w:color="000000" w:sz="4"/>
              <w:bottom w:val="single" w:color="000000" w:sz="4"/>
              <w:right w:val="single" w:color="000000" w:sz="4"/>
            </w:tcBorders>
            <w:shd w:color="auto" w:fill="auto" w:val="clear"/>
            <w:tcMar>
              <w:left w:w="108" w:type="dxa"/>
              <w:right w:w="108" w:type="dxa"/>
            </w:tcMar>
            <w:vAlign w:val="top"/>
          </w:tcPr>
          <w:p>
            <w:pPr>
              <w:spacing w:before="0" w:after="0" w:line="360"/>
              <w:ind w:right="0" w:left="0" w:firstLine="0"/>
              <w:jc w:val="both"/>
              <w:rPr>
                <w:color w:val="auto"/>
                <w:spacing w:val="0"/>
                <w:position w:val="0"/>
                <w:sz w:val="22"/>
                <w:shd w:fill="auto" w:val="clear"/>
              </w:rPr>
            </w:pPr>
            <w:r>
              <w:rPr>
                <w:rFonts w:ascii="Arial" w:hAnsi="Arial" w:cs="Arial" w:eastAsia="Arial"/>
                <w:color w:val="auto"/>
                <w:spacing w:val="0"/>
                <w:position w:val="0"/>
                <w:sz w:val="22"/>
                <w:shd w:fill="auto" w:val="clear"/>
              </w:rPr>
              <w:t xml:space="preserve">Quantitative studies</w:t>
            </w:r>
          </w:p>
        </w:tc>
        <w:tc>
          <w:tcPr>
            <w:tcW w:w="2736" w:type="dxa"/>
            <w:tcBorders>
              <w:top w:val="single" w:color="000000" w:sz="4"/>
              <w:left w:val="single" w:color="000000" w:sz="4"/>
              <w:bottom w:val="single" w:color="000000" w:sz="4"/>
              <w:right w:val="single" w:color="000000" w:sz="4"/>
            </w:tcBorders>
            <w:shd w:color="auto" w:fill="auto" w:val="clear"/>
            <w:tcMar>
              <w:left w:w="108" w:type="dxa"/>
              <w:right w:w="108" w:type="dxa"/>
            </w:tcMar>
            <w:vAlign w:val="top"/>
          </w:tcPr>
          <w:p>
            <w:pPr>
              <w:spacing w:before="0" w:after="0" w:line="360"/>
              <w:ind w:right="0" w:left="0" w:firstLine="0"/>
              <w:jc w:val="both"/>
              <w:rPr>
                <w:color w:val="auto"/>
                <w:spacing w:val="0"/>
                <w:position w:val="0"/>
                <w:sz w:val="22"/>
                <w:shd w:fill="auto" w:val="clear"/>
              </w:rPr>
            </w:pPr>
            <w:r>
              <w:rPr>
                <w:rFonts w:ascii="Arial" w:hAnsi="Arial" w:cs="Arial" w:eastAsia="Arial"/>
                <w:color w:val="auto"/>
                <w:spacing w:val="0"/>
                <w:position w:val="0"/>
                <w:sz w:val="22"/>
                <w:shd w:fill="auto" w:val="clear"/>
              </w:rPr>
              <w:t xml:space="preserve">Design-specific JBI critical appraisal checklist</w:t>
            </w:r>
          </w:p>
        </w:tc>
        <w:tc>
          <w:tcPr>
            <w:tcW w:w="4824" w:type="dxa"/>
            <w:tcBorders>
              <w:top w:val="single" w:color="000000" w:sz="4"/>
              <w:left w:val="single" w:color="000000" w:sz="4"/>
              <w:bottom w:val="single" w:color="000000" w:sz="4"/>
              <w:right w:val="single" w:color="000000" w:sz="4"/>
            </w:tcBorders>
            <w:shd w:color="auto" w:fill="auto" w:val="clear"/>
            <w:tcMar>
              <w:left w:w="108" w:type="dxa"/>
              <w:right w:w="108" w:type="dxa"/>
            </w:tcMar>
            <w:vAlign w:val="top"/>
          </w:tcPr>
          <w:p>
            <w:pPr>
              <w:spacing w:before="0" w:after="0" w:line="360"/>
              <w:ind w:right="0" w:left="0" w:firstLine="0"/>
              <w:jc w:val="both"/>
              <w:rPr>
                <w:color w:val="auto"/>
                <w:spacing w:val="0"/>
                <w:position w:val="0"/>
                <w:sz w:val="22"/>
                <w:shd w:fill="auto" w:val="clear"/>
              </w:rPr>
            </w:pPr>
            <w:r>
              <w:rPr>
                <w:rFonts w:ascii="Arial" w:hAnsi="Arial" w:cs="Arial" w:eastAsia="Arial"/>
                <w:color w:val="auto"/>
                <w:spacing w:val="0"/>
                <w:position w:val="0"/>
                <w:sz w:val="22"/>
                <w:shd w:fill="auto" w:val="clear"/>
              </w:rPr>
              <w:t xml:space="preserve">Sampling, measurement, confounding, analysis, follow-up and validity as applicable</w:t>
            </w:r>
          </w:p>
        </w:tc>
      </w:tr>
      <w:tr>
        <w:trPr>
          <w:trHeight w:val="1" w:hRule="atLeast"/>
          <w:jc w:val="center"/>
          <w:cantSplit w:val="1"/>
        </w:trPr>
        <w:tc>
          <w:tcPr>
            <w:tcW w:w="1800" w:type="dxa"/>
            <w:tcBorders>
              <w:top w:val="single" w:color="000000" w:sz="4"/>
              <w:left w:val="single" w:color="000000" w:sz="4"/>
              <w:bottom w:val="single" w:color="000000" w:sz="4"/>
              <w:right w:val="single" w:color="000000" w:sz="4"/>
            </w:tcBorders>
            <w:shd w:color="auto" w:fill="auto" w:val="clear"/>
            <w:tcMar>
              <w:left w:w="108" w:type="dxa"/>
              <w:right w:w="108" w:type="dxa"/>
            </w:tcMar>
            <w:vAlign w:val="top"/>
          </w:tcPr>
          <w:p>
            <w:pPr>
              <w:spacing w:before="0" w:after="0" w:line="360"/>
              <w:ind w:right="0" w:left="0" w:firstLine="0"/>
              <w:jc w:val="both"/>
              <w:rPr>
                <w:color w:val="auto"/>
                <w:spacing w:val="0"/>
                <w:position w:val="0"/>
                <w:sz w:val="22"/>
                <w:shd w:fill="auto" w:val="clear"/>
              </w:rPr>
            </w:pPr>
            <w:r>
              <w:rPr>
                <w:rFonts w:ascii="Arial" w:hAnsi="Arial" w:cs="Arial" w:eastAsia="Arial"/>
                <w:color w:val="auto"/>
                <w:spacing w:val="0"/>
                <w:position w:val="0"/>
                <w:sz w:val="22"/>
                <w:shd w:fill="auto" w:val="clear"/>
              </w:rPr>
              <w:t xml:space="preserve">Mixed-methods studies</w:t>
            </w:r>
          </w:p>
        </w:tc>
        <w:tc>
          <w:tcPr>
            <w:tcW w:w="2736" w:type="dxa"/>
            <w:tcBorders>
              <w:top w:val="single" w:color="000000" w:sz="4"/>
              <w:left w:val="single" w:color="000000" w:sz="4"/>
              <w:bottom w:val="single" w:color="000000" w:sz="4"/>
              <w:right w:val="single" w:color="000000" w:sz="4"/>
            </w:tcBorders>
            <w:shd w:color="auto" w:fill="auto" w:val="clear"/>
            <w:tcMar>
              <w:left w:w="108" w:type="dxa"/>
              <w:right w:w="108" w:type="dxa"/>
            </w:tcMar>
            <w:vAlign w:val="top"/>
          </w:tcPr>
          <w:p>
            <w:pPr>
              <w:spacing w:before="0" w:after="0" w:line="360"/>
              <w:ind w:right="0" w:left="0" w:firstLine="0"/>
              <w:jc w:val="both"/>
              <w:rPr>
                <w:color w:val="auto"/>
                <w:spacing w:val="0"/>
                <w:position w:val="0"/>
                <w:sz w:val="22"/>
                <w:shd w:fill="auto" w:val="clear"/>
              </w:rPr>
            </w:pPr>
            <w:r>
              <w:rPr>
                <w:rFonts w:ascii="Arial" w:hAnsi="Arial" w:cs="Arial" w:eastAsia="Arial"/>
                <w:color w:val="auto"/>
                <w:spacing w:val="0"/>
                <w:position w:val="0"/>
                <w:sz w:val="22"/>
                <w:shd w:fill="auto" w:val="clear"/>
              </w:rPr>
              <w:t xml:space="preserve">Mixed Methods Appraisal Tool (MMAT)</w:t>
            </w:r>
          </w:p>
        </w:tc>
        <w:tc>
          <w:tcPr>
            <w:tcW w:w="4824" w:type="dxa"/>
            <w:tcBorders>
              <w:top w:val="single" w:color="000000" w:sz="4"/>
              <w:left w:val="single" w:color="000000" w:sz="4"/>
              <w:bottom w:val="single" w:color="000000" w:sz="4"/>
              <w:right w:val="single" w:color="000000" w:sz="4"/>
            </w:tcBorders>
            <w:shd w:color="auto" w:fill="auto" w:val="clear"/>
            <w:tcMar>
              <w:left w:w="108" w:type="dxa"/>
              <w:right w:w="108" w:type="dxa"/>
            </w:tcMar>
            <w:vAlign w:val="top"/>
          </w:tcPr>
          <w:p>
            <w:pPr>
              <w:spacing w:before="0" w:after="0" w:line="360"/>
              <w:ind w:right="0" w:left="0" w:firstLine="0"/>
              <w:jc w:val="both"/>
              <w:rPr>
                <w:color w:val="auto"/>
                <w:spacing w:val="0"/>
                <w:position w:val="0"/>
                <w:sz w:val="22"/>
                <w:shd w:fill="auto" w:val="clear"/>
              </w:rPr>
            </w:pPr>
            <w:r>
              <w:rPr>
                <w:rFonts w:ascii="Arial" w:hAnsi="Arial" w:cs="Arial" w:eastAsia="Arial"/>
                <w:color w:val="auto"/>
                <w:spacing w:val="0"/>
                <w:position w:val="0"/>
                <w:sz w:val="22"/>
                <w:shd w:fill="auto" w:val="clear"/>
              </w:rPr>
              <w:t xml:space="preserve">Quality of qualitative and quantitative components and their integration</w:t>
            </w:r>
          </w:p>
        </w:tc>
      </w:tr>
    </w:tbl>
    <w:p>
      <w:pPr>
        <w:spacing w:before="0" w:after="160" w:line="360"/>
        <w:ind w:right="0" w:left="0" w:firstLine="0"/>
        <w:jc w:val="both"/>
        <w:rPr>
          <w:rFonts w:ascii="Arial" w:hAnsi="Arial" w:cs="Arial" w:eastAsia="Arial"/>
          <w:color w:val="000000"/>
          <w:spacing w:val="0"/>
          <w:position w:val="0"/>
          <w:sz w:val="22"/>
          <w:shd w:fill="auto" w:val="clear"/>
        </w:rPr>
      </w:pPr>
      <w:r>
        <w:rPr>
          <w:rFonts w:ascii="Arial" w:hAnsi="Arial" w:cs="Arial" w:eastAsia="Arial"/>
          <w:color w:val="000000"/>
          <w:spacing w:val="0"/>
          <w:position w:val="0"/>
          <w:sz w:val="22"/>
          <w:shd w:fill="auto" w:val="clear"/>
        </w:rPr>
        <w:t xml:space="preserve">Table 3.5a: CASP qualitative appraisal criteria applied in this review (CASP, 2024)</w:t>
      </w:r>
    </w:p>
    <w:tbl>
      <w:tblPr/>
      <w:tblGrid>
        <w:gridCol w:w="3116"/>
        <w:gridCol w:w="3118"/>
        <w:gridCol w:w="3116"/>
      </w:tblGrid>
      <w:tr>
        <w:trPr>
          <w:trHeight w:val="1" w:hRule="atLeast"/>
          <w:jc w:val="center"/>
        </w:trPr>
        <w:tc>
          <w:tcPr>
            <w:tcW w:w="311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360"/>
              <w:ind w:right="0" w:left="0" w:firstLine="0"/>
              <w:jc w:val="both"/>
              <w:rPr>
                <w:spacing w:val="0"/>
                <w:position w:val="0"/>
                <w:sz w:val="22"/>
                <w:shd w:fill="auto" w:val="clear"/>
              </w:rPr>
            </w:pPr>
            <w:r>
              <w:rPr>
                <w:rFonts w:ascii="Arial" w:hAnsi="Arial" w:cs="Arial" w:eastAsia="Arial"/>
                <w:b/>
                <w:color w:val="000000"/>
                <w:spacing w:val="0"/>
                <w:position w:val="0"/>
                <w:sz w:val="22"/>
                <w:shd w:fill="auto" w:val="clear"/>
              </w:rPr>
              <w:t xml:space="preserve">CASP criterion</w:t>
            </w:r>
          </w:p>
        </w:tc>
        <w:tc>
          <w:tcPr>
            <w:tcW w:w="311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360"/>
              <w:ind w:right="0" w:left="0" w:firstLine="0"/>
              <w:jc w:val="both"/>
              <w:rPr>
                <w:spacing w:val="0"/>
                <w:position w:val="0"/>
                <w:sz w:val="22"/>
                <w:shd w:fill="auto" w:val="clear"/>
              </w:rPr>
            </w:pPr>
            <w:r>
              <w:rPr>
                <w:rFonts w:ascii="Arial" w:hAnsi="Arial" w:cs="Arial" w:eastAsia="Arial"/>
                <w:b/>
                <w:color w:val="000000"/>
                <w:spacing w:val="0"/>
                <w:position w:val="0"/>
                <w:sz w:val="22"/>
                <w:shd w:fill="auto" w:val="clear"/>
              </w:rPr>
              <w:t xml:space="preserve">How it was applied in this review</w:t>
            </w:r>
          </w:p>
        </w:tc>
        <w:tc>
          <w:tcPr>
            <w:tcW w:w="311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360"/>
              <w:ind w:right="0" w:left="0" w:firstLine="0"/>
              <w:jc w:val="both"/>
              <w:rPr>
                <w:spacing w:val="0"/>
                <w:position w:val="0"/>
                <w:sz w:val="22"/>
                <w:shd w:fill="auto" w:val="clear"/>
              </w:rPr>
            </w:pPr>
            <w:r>
              <w:rPr>
                <w:rFonts w:ascii="Arial" w:hAnsi="Arial" w:cs="Arial" w:eastAsia="Arial"/>
                <w:b/>
                <w:color w:val="000000"/>
                <w:spacing w:val="0"/>
                <w:position w:val="0"/>
                <w:sz w:val="22"/>
                <w:shd w:fill="auto" w:val="clear"/>
              </w:rPr>
              <w:t xml:space="preserve">Rating</w:t>
            </w:r>
          </w:p>
        </w:tc>
      </w:tr>
      <w:tr>
        <w:trPr>
          <w:trHeight w:val="1" w:hRule="atLeast"/>
          <w:jc w:val="center"/>
        </w:trPr>
        <w:tc>
          <w:tcPr>
            <w:tcW w:w="311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360"/>
              <w:ind w:right="0" w:left="0" w:firstLine="0"/>
              <w:jc w:val="both"/>
              <w:rPr>
                <w:spacing w:val="0"/>
                <w:position w:val="0"/>
                <w:sz w:val="22"/>
                <w:shd w:fill="auto" w:val="clear"/>
              </w:rPr>
            </w:pPr>
            <w:r>
              <w:rPr>
                <w:rFonts w:ascii="Arial" w:hAnsi="Arial" w:cs="Arial" w:eastAsia="Arial"/>
                <w:color w:val="000000"/>
                <w:spacing w:val="0"/>
                <w:position w:val="0"/>
                <w:sz w:val="22"/>
                <w:shd w:fill="auto" w:val="clear"/>
              </w:rPr>
              <w:t xml:space="preserve">Clear statement of aims</w:t>
            </w:r>
          </w:p>
        </w:tc>
        <w:tc>
          <w:tcPr>
            <w:tcW w:w="311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360"/>
              <w:ind w:right="0" w:left="0" w:firstLine="0"/>
              <w:jc w:val="both"/>
              <w:rPr>
                <w:spacing w:val="0"/>
                <w:position w:val="0"/>
                <w:sz w:val="22"/>
                <w:shd w:fill="auto" w:val="clear"/>
              </w:rPr>
            </w:pPr>
            <w:r>
              <w:rPr>
                <w:rFonts w:ascii="Arial" w:hAnsi="Arial" w:cs="Arial" w:eastAsia="Arial"/>
                <w:color w:val="000000"/>
                <w:spacing w:val="0"/>
                <w:position w:val="0"/>
                <w:sz w:val="22"/>
                <w:shd w:fill="auto" w:val="clear"/>
              </w:rPr>
              <w:t xml:space="preserve">The study aim/question was explicit and relevant to postgraduate mental health.</w:t>
            </w:r>
          </w:p>
        </w:tc>
        <w:tc>
          <w:tcPr>
            <w:tcW w:w="311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360"/>
              <w:ind w:right="0" w:left="0" w:firstLine="0"/>
              <w:jc w:val="both"/>
              <w:rPr>
                <w:spacing w:val="0"/>
                <w:position w:val="0"/>
                <w:sz w:val="22"/>
                <w:shd w:fill="auto" w:val="clear"/>
              </w:rPr>
            </w:pPr>
            <w:r>
              <w:rPr>
                <w:rFonts w:ascii="Arial" w:hAnsi="Arial" w:cs="Arial" w:eastAsia="Arial"/>
                <w:color w:val="000000"/>
                <w:spacing w:val="0"/>
                <w:position w:val="0"/>
                <w:sz w:val="22"/>
                <w:shd w:fill="auto" w:val="clear"/>
              </w:rPr>
              <w:t xml:space="preserve">Yes / No / Unclear</w:t>
            </w:r>
          </w:p>
        </w:tc>
      </w:tr>
      <w:tr>
        <w:trPr>
          <w:trHeight w:val="1" w:hRule="atLeast"/>
          <w:jc w:val="center"/>
        </w:trPr>
        <w:tc>
          <w:tcPr>
            <w:tcW w:w="311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360"/>
              <w:ind w:right="0" w:left="0" w:firstLine="0"/>
              <w:jc w:val="both"/>
              <w:rPr>
                <w:spacing w:val="0"/>
                <w:position w:val="0"/>
                <w:sz w:val="22"/>
                <w:shd w:fill="auto" w:val="clear"/>
              </w:rPr>
            </w:pPr>
            <w:r>
              <w:rPr>
                <w:rFonts w:ascii="Arial" w:hAnsi="Arial" w:cs="Arial" w:eastAsia="Arial"/>
                <w:color w:val="000000"/>
                <w:spacing w:val="0"/>
                <w:position w:val="0"/>
                <w:sz w:val="22"/>
                <w:shd w:fill="auto" w:val="clear"/>
              </w:rPr>
              <w:t xml:space="preserve">Appropriate qualitative methodology</w:t>
            </w:r>
          </w:p>
        </w:tc>
        <w:tc>
          <w:tcPr>
            <w:tcW w:w="311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360"/>
              <w:ind w:right="0" w:left="0" w:firstLine="0"/>
              <w:jc w:val="both"/>
              <w:rPr>
                <w:spacing w:val="0"/>
                <w:position w:val="0"/>
                <w:sz w:val="22"/>
                <w:shd w:fill="auto" w:val="clear"/>
              </w:rPr>
            </w:pPr>
            <w:r>
              <w:rPr>
                <w:rFonts w:ascii="Arial" w:hAnsi="Arial" w:cs="Arial" w:eastAsia="Arial"/>
                <w:color w:val="000000"/>
                <w:spacing w:val="0"/>
                <w:position w:val="0"/>
                <w:sz w:val="22"/>
                <w:shd w:fill="auto" w:val="clear"/>
              </w:rPr>
              <w:t xml:space="preserve">The methodology was suitable for exploring experiences, perceptions or processes.</w:t>
            </w:r>
          </w:p>
        </w:tc>
        <w:tc>
          <w:tcPr>
            <w:tcW w:w="311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360"/>
              <w:ind w:right="0" w:left="0" w:firstLine="0"/>
              <w:jc w:val="both"/>
              <w:rPr>
                <w:spacing w:val="0"/>
                <w:position w:val="0"/>
                <w:sz w:val="22"/>
                <w:shd w:fill="auto" w:val="clear"/>
              </w:rPr>
            </w:pPr>
            <w:r>
              <w:rPr>
                <w:rFonts w:ascii="Arial" w:hAnsi="Arial" w:cs="Arial" w:eastAsia="Arial"/>
                <w:color w:val="000000"/>
                <w:spacing w:val="0"/>
                <w:position w:val="0"/>
                <w:sz w:val="22"/>
                <w:shd w:fill="auto" w:val="clear"/>
              </w:rPr>
              <w:t xml:space="preserve">Yes / No / Unclear</w:t>
            </w:r>
          </w:p>
        </w:tc>
      </w:tr>
      <w:tr>
        <w:trPr>
          <w:trHeight w:val="1" w:hRule="atLeast"/>
          <w:jc w:val="center"/>
        </w:trPr>
        <w:tc>
          <w:tcPr>
            <w:tcW w:w="311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360"/>
              <w:ind w:right="0" w:left="0" w:firstLine="0"/>
              <w:jc w:val="both"/>
              <w:rPr>
                <w:spacing w:val="0"/>
                <w:position w:val="0"/>
                <w:sz w:val="22"/>
                <w:shd w:fill="auto" w:val="clear"/>
              </w:rPr>
            </w:pPr>
            <w:r>
              <w:rPr>
                <w:rFonts w:ascii="Arial" w:hAnsi="Arial" w:cs="Arial" w:eastAsia="Arial"/>
                <w:color w:val="000000"/>
                <w:spacing w:val="0"/>
                <w:position w:val="0"/>
                <w:sz w:val="22"/>
                <w:shd w:fill="auto" w:val="clear"/>
              </w:rPr>
              <w:t xml:space="preserve">Appropriate research design</w:t>
            </w:r>
          </w:p>
        </w:tc>
        <w:tc>
          <w:tcPr>
            <w:tcW w:w="311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360"/>
              <w:ind w:right="0" w:left="0" w:firstLine="0"/>
              <w:jc w:val="both"/>
              <w:rPr>
                <w:spacing w:val="0"/>
                <w:position w:val="0"/>
                <w:sz w:val="22"/>
                <w:shd w:fill="auto" w:val="clear"/>
              </w:rPr>
            </w:pPr>
            <w:r>
              <w:rPr>
                <w:rFonts w:ascii="Arial" w:hAnsi="Arial" w:cs="Arial" w:eastAsia="Arial"/>
                <w:color w:val="000000"/>
                <w:spacing w:val="0"/>
                <w:position w:val="0"/>
                <w:sz w:val="22"/>
                <w:shd w:fill="auto" w:val="clear"/>
              </w:rPr>
              <w:t xml:space="preserve">The selected qualitative design was justified and aligned with the study aim.</w:t>
            </w:r>
          </w:p>
        </w:tc>
        <w:tc>
          <w:tcPr>
            <w:tcW w:w="311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360"/>
              <w:ind w:right="0" w:left="0" w:firstLine="0"/>
              <w:jc w:val="both"/>
              <w:rPr>
                <w:spacing w:val="0"/>
                <w:position w:val="0"/>
                <w:sz w:val="22"/>
                <w:shd w:fill="auto" w:val="clear"/>
              </w:rPr>
            </w:pPr>
            <w:r>
              <w:rPr>
                <w:rFonts w:ascii="Arial" w:hAnsi="Arial" w:cs="Arial" w:eastAsia="Arial"/>
                <w:color w:val="000000"/>
                <w:spacing w:val="0"/>
                <w:position w:val="0"/>
                <w:sz w:val="22"/>
                <w:shd w:fill="auto" w:val="clear"/>
              </w:rPr>
              <w:t xml:space="preserve">Yes / No / Unclear</w:t>
            </w:r>
          </w:p>
        </w:tc>
      </w:tr>
      <w:tr>
        <w:trPr>
          <w:trHeight w:val="1" w:hRule="atLeast"/>
          <w:jc w:val="center"/>
        </w:trPr>
        <w:tc>
          <w:tcPr>
            <w:tcW w:w="311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360"/>
              <w:ind w:right="0" w:left="0" w:firstLine="0"/>
              <w:jc w:val="both"/>
              <w:rPr>
                <w:spacing w:val="0"/>
                <w:position w:val="0"/>
                <w:sz w:val="22"/>
                <w:shd w:fill="auto" w:val="clear"/>
              </w:rPr>
            </w:pPr>
            <w:r>
              <w:rPr>
                <w:rFonts w:ascii="Arial" w:hAnsi="Arial" w:cs="Arial" w:eastAsia="Arial"/>
                <w:color w:val="000000"/>
                <w:spacing w:val="0"/>
                <w:position w:val="0"/>
                <w:sz w:val="22"/>
                <w:shd w:fill="auto" w:val="clear"/>
              </w:rPr>
              <w:t xml:space="preserve">Appropriate recruitment strategy</w:t>
            </w:r>
          </w:p>
        </w:tc>
        <w:tc>
          <w:tcPr>
            <w:tcW w:w="311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360"/>
              <w:ind w:right="0" w:left="0" w:firstLine="0"/>
              <w:jc w:val="both"/>
              <w:rPr>
                <w:spacing w:val="0"/>
                <w:position w:val="0"/>
                <w:sz w:val="22"/>
                <w:shd w:fill="auto" w:val="clear"/>
              </w:rPr>
            </w:pPr>
            <w:r>
              <w:rPr>
                <w:rFonts w:ascii="Arial" w:hAnsi="Arial" w:cs="Arial" w:eastAsia="Arial"/>
                <w:color w:val="000000"/>
                <w:spacing w:val="0"/>
                <w:position w:val="0"/>
                <w:sz w:val="22"/>
                <w:shd w:fill="auto" w:val="clear"/>
              </w:rPr>
              <w:t xml:space="preserve">Sampling and recruitment were sufficiently explained and suitable for the target population.</w:t>
            </w:r>
          </w:p>
        </w:tc>
        <w:tc>
          <w:tcPr>
            <w:tcW w:w="311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360"/>
              <w:ind w:right="0" w:left="0" w:firstLine="0"/>
              <w:jc w:val="both"/>
              <w:rPr>
                <w:spacing w:val="0"/>
                <w:position w:val="0"/>
                <w:sz w:val="22"/>
                <w:shd w:fill="auto" w:val="clear"/>
              </w:rPr>
            </w:pPr>
            <w:r>
              <w:rPr>
                <w:rFonts w:ascii="Arial" w:hAnsi="Arial" w:cs="Arial" w:eastAsia="Arial"/>
                <w:color w:val="000000"/>
                <w:spacing w:val="0"/>
                <w:position w:val="0"/>
                <w:sz w:val="22"/>
                <w:shd w:fill="auto" w:val="clear"/>
              </w:rPr>
              <w:t xml:space="preserve">Yes / No / Unclear</w:t>
            </w:r>
          </w:p>
        </w:tc>
      </w:tr>
      <w:tr>
        <w:trPr>
          <w:trHeight w:val="1" w:hRule="atLeast"/>
          <w:jc w:val="center"/>
        </w:trPr>
        <w:tc>
          <w:tcPr>
            <w:tcW w:w="311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360"/>
              <w:ind w:right="0" w:left="0" w:firstLine="0"/>
              <w:jc w:val="both"/>
              <w:rPr>
                <w:spacing w:val="0"/>
                <w:position w:val="0"/>
                <w:sz w:val="22"/>
                <w:shd w:fill="auto" w:val="clear"/>
              </w:rPr>
            </w:pPr>
            <w:r>
              <w:rPr>
                <w:rFonts w:ascii="Arial" w:hAnsi="Arial" w:cs="Arial" w:eastAsia="Arial"/>
                <w:color w:val="000000"/>
                <w:spacing w:val="0"/>
                <w:position w:val="0"/>
                <w:sz w:val="22"/>
                <w:shd w:fill="auto" w:val="clear"/>
              </w:rPr>
              <w:t xml:space="preserve">Appropriate data collection</w:t>
            </w:r>
          </w:p>
        </w:tc>
        <w:tc>
          <w:tcPr>
            <w:tcW w:w="311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360"/>
              <w:ind w:right="0" w:left="0" w:firstLine="0"/>
              <w:jc w:val="both"/>
              <w:rPr>
                <w:spacing w:val="0"/>
                <w:position w:val="0"/>
                <w:sz w:val="22"/>
                <w:shd w:fill="auto" w:val="clear"/>
              </w:rPr>
            </w:pPr>
            <w:r>
              <w:rPr>
                <w:rFonts w:ascii="Arial" w:hAnsi="Arial" w:cs="Arial" w:eastAsia="Arial"/>
                <w:color w:val="000000"/>
                <w:spacing w:val="0"/>
                <w:position w:val="0"/>
                <w:sz w:val="22"/>
                <w:shd w:fill="auto" w:val="clear"/>
              </w:rPr>
              <w:t xml:space="preserve">Data-collection procedures were described and capable of addressing the research question.</w:t>
            </w:r>
          </w:p>
        </w:tc>
        <w:tc>
          <w:tcPr>
            <w:tcW w:w="311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360"/>
              <w:ind w:right="0" w:left="0" w:firstLine="0"/>
              <w:jc w:val="both"/>
              <w:rPr>
                <w:spacing w:val="0"/>
                <w:position w:val="0"/>
                <w:sz w:val="22"/>
                <w:shd w:fill="auto" w:val="clear"/>
              </w:rPr>
            </w:pPr>
            <w:r>
              <w:rPr>
                <w:rFonts w:ascii="Arial" w:hAnsi="Arial" w:cs="Arial" w:eastAsia="Arial"/>
                <w:color w:val="000000"/>
                <w:spacing w:val="0"/>
                <w:position w:val="0"/>
                <w:sz w:val="22"/>
                <w:shd w:fill="auto" w:val="clear"/>
              </w:rPr>
              <w:t xml:space="preserve">Yes / No / Unclear</w:t>
            </w:r>
          </w:p>
        </w:tc>
      </w:tr>
      <w:tr>
        <w:trPr>
          <w:trHeight w:val="1" w:hRule="atLeast"/>
          <w:jc w:val="center"/>
        </w:trPr>
        <w:tc>
          <w:tcPr>
            <w:tcW w:w="311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360"/>
              <w:ind w:right="0" w:left="0" w:firstLine="0"/>
              <w:jc w:val="both"/>
              <w:rPr>
                <w:spacing w:val="0"/>
                <w:position w:val="0"/>
                <w:sz w:val="22"/>
                <w:shd w:fill="auto" w:val="clear"/>
              </w:rPr>
            </w:pPr>
            <w:r>
              <w:rPr>
                <w:rFonts w:ascii="Arial" w:hAnsi="Arial" w:cs="Arial" w:eastAsia="Arial"/>
                <w:color w:val="000000"/>
                <w:spacing w:val="0"/>
                <w:position w:val="0"/>
                <w:sz w:val="22"/>
                <w:shd w:fill="auto" w:val="clear"/>
              </w:rPr>
              <w:t xml:space="preserve">Researcher-participant relationship / reflexivity</w:t>
            </w:r>
          </w:p>
        </w:tc>
        <w:tc>
          <w:tcPr>
            <w:tcW w:w="311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360"/>
              <w:ind w:right="0" w:left="0" w:firstLine="0"/>
              <w:jc w:val="both"/>
              <w:rPr>
                <w:spacing w:val="0"/>
                <w:position w:val="0"/>
                <w:sz w:val="22"/>
                <w:shd w:fill="auto" w:val="clear"/>
              </w:rPr>
            </w:pPr>
            <w:r>
              <w:rPr>
                <w:rFonts w:ascii="Arial" w:hAnsi="Arial" w:cs="Arial" w:eastAsia="Arial"/>
                <w:color w:val="000000"/>
                <w:spacing w:val="0"/>
                <w:position w:val="0"/>
                <w:sz w:val="22"/>
                <w:shd w:fill="auto" w:val="clear"/>
              </w:rPr>
              <w:t xml:space="preserve">Potential researcher influence and reflexive practice were considered where relevant.</w:t>
            </w:r>
          </w:p>
        </w:tc>
        <w:tc>
          <w:tcPr>
            <w:tcW w:w="311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360"/>
              <w:ind w:right="0" w:left="0" w:firstLine="0"/>
              <w:jc w:val="both"/>
              <w:rPr>
                <w:spacing w:val="0"/>
                <w:position w:val="0"/>
                <w:sz w:val="22"/>
                <w:shd w:fill="auto" w:val="clear"/>
              </w:rPr>
            </w:pPr>
            <w:r>
              <w:rPr>
                <w:rFonts w:ascii="Arial" w:hAnsi="Arial" w:cs="Arial" w:eastAsia="Arial"/>
                <w:color w:val="000000"/>
                <w:spacing w:val="0"/>
                <w:position w:val="0"/>
                <w:sz w:val="22"/>
                <w:shd w:fill="auto" w:val="clear"/>
              </w:rPr>
              <w:t xml:space="preserve">Yes / No / Unclear</w:t>
            </w:r>
          </w:p>
        </w:tc>
      </w:tr>
      <w:tr>
        <w:trPr>
          <w:trHeight w:val="1" w:hRule="atLeast"/>
          <w:jc w:val="center"/>
        </w:trPr>
        <w:tc>
          <w:tcPr>
            <w:tcW w:w="311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360"/>
              <w:ind w:right="0" w:left="0" w:firstLine="0"/>
              <w:jc w:val="both"/>
              <w:rPr>
                <w:spacing w:val="0"/>
                <w:position w:val="0"/>
                <w:sz w:val="22"/>
                <w:shd w:fill="auto" w:val="clear"/>
              </w:rPr>
            </w:pPr>
            <w:r>
              <w:rPr>
                <w:rFonts w:ascii="Arial" w:hAnsi="Arial" w:cs="Arial" w:eastAsia="Arial"/>
                <w:color w:val="000000"/>
                <w:spacing w:val="0"/>
                <w:position w:val="0"/>
                <w:sz w:val="22"/>
                <w:shd w:fill="auto" w:val="clear"/>
              </w:rPr>
              <w:t xml:space="preserve">Ethical issues considered</w:t>
            </w:r>
          </w:p>
        </w:tc>
        <w:tc>
          <w:tcPr>
            <w:tcW w:w="311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360"/>
              <w:ind w:right="0" w:left="0" w:firstLine="0"/>
              <w:jc w:val="both"/>
              <w:rPr>
                <w:spacing w:val="0"/>
                <w:position w:val="0"/>
                <w:sz w:val="22"/>
                <w:shd w:fill="auto" w:val="clear"/>
              </w:rPr>
            </w:pPr>
            <w:r>
              <w:rPr>
                <w:rFonts w:ascii="Arial" w:hAnsi="Arial" w:cs="Arial" w:eastAsia="Arial"/>
                <w:color w:val="000000"/>
                <w:spacing w:val="0"/>
                <w:position w:val="0"/>
                <w:sz w:val="22"/>
                <w:shd w:fill="auto" w:val="clear"/>
              </w:rPr>
              <w:t xml:space="preserve">Ethical approval/consent and participant protection were adequately addressed.</w:t>
            </w:r>
          </w:p>
        </w:tc>
        <w:tc>
          <w:tcPr>
            <w:tcW w:w="311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360"/>
              <w:ind w:right="0" w:left="0" w:firstLine="0"/>
              <w:jc w:val="both"/>
              <w:rPr>
                <w:spacing w:val="0"/>
                <w:position w:val="0"/>
                <w:sz w:val="22"/>
                <w:shd w:fill="auto" w:val="clear"/>
              </w:rPr>
            </w:pPr>
            <w:r>
              <w:rPr>
                <w:rFonts w:ascii="Arial" w:hAnsi="Arial" w:cs="Arial" w:eastAsia="Arial"/>
                <w:color w:val="000000"/>
                <w:spacing w:val="0"/>
                <w:position w:val="0"/>
                <w:sz w:val="22"/>
                <w:shd w:fill="auto" w:val="clear"/>
              </w:rPr>
              <w:t xml:space="preserve">Yes / No / Unclear</w:t>
            </w:r>
          </w:p>
        </w:tc>
      </w:tr>
      <w:tr>
        <w:trPr>
          <w:trHeight w:val="1" w:hRule="atLeast"/>
          <w:jc w:val="center"/>
        </w:trPr>
        <w:tc>
          <w:tcPr>
            <w:tcW w:w="311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360"/>
              <w:ind w:right="0" w:left="0" w:firstLine="0"/>
              <w:jc w:val="both"/>
              <w:rPr>
                <w:spacing w:val="0"/>
                <w:position w:val="0"/>
                <w:sz w:val="22"/>
                <w:shd w:fill="auto" w:val="clear"/>
              </w:rPr>
            </w:pPr>
            <w:r>
              <w:rPr>
                <w:rFonts w:ascii="Arial" w:hAnsi="Arial" w:cs="Arial" w:eastAsia="Arial"/>
                <w:color w:val="000000"/>
                <w:spacing w:val="0"/>
                <w:position w:val="0"/>
                <w:sz w:val="22"/>
                <w:shd w:fill="auto" w:val="clear"/>
              </w:rPr>
              <w:t xml:space="preserve">Rigorous data analysis</w:t>
            </w:r>
          </w:p>
        </w:tc>
        <w:tc>
          <w:tcPr>
            <w:tcW w:w="311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360"/>
              <w:ind w:right="0" w:left="0" w:firstLine="0"/>
              <w:jc w:val="both"/>
              <w:rPr>
                <w:spacing w:val="0"/>
                <w:position w:val="0"/>
                <w:sz w:val="22"/>
                <w:shd w:fill="auto" w:val="clear"/>
              </w:rPr>
            </w:pPr>
            <w:r>
              <w:rPr>
                <w:rFonts w:ascii="Arial" w:hAnsi="Arial" w:cs="Arial" w:eastAsia="Arial"/>
                <w:color w:val="000000"/>
                <w:spacing w:val="0"/>
                <w:position w:val="0"/>
                <w:sz w:val="22"/>
                <w:shd w:fill="auto" w:val="clear"/>
              </w:rPr>
              <w:t xml:space="preserve">The analytical process was systematic, transparent and supported by the data.</w:t>
            </w:r>
          </w:p>
        </w:tc>
        <w:tc>
          <w:tcPr>
            <w:tcW w:w="311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360"/>
              <w:ind w:right="0" w:left="0" w:firstLine="0"/>
              <w:jc w:val="both"/>
              <w:rPr>
                <w:spacing w:val="0"/>
                <w:position w:val="0"/>
                <w:sz w:val="22"/>
                <w:shd w:fill="auto" w:val="clear"/>
              </w:rPr>
            </w:pPr>
            <w:r>
              <w:rPr>
                <w:rFonts w:ascii="Arial" w:hAnsi="Arial" w:cs="Arial" w:eastAsia="Arial"/>
                <w:color w:val="000000"/>
                <w:spacing w:val="0"/>
                <w:position w:val="0"/>
                <w:sz w:val="22"/>
                <w:shd w:fill="auto" w:val="clear"/>
              </w:rPr>
              <w:t xml:space="preserve">Yes / No / Unclear</w:t>
            </w:r>
          </w:p>
        </w:tc>
      </w:tr>
      <w:tr>
        <w:trPr>
          <w:trHeight w:val="1" w:hRule="atLeast"/>
          <w:jc w:val="center"/>
        </w:trPr>
        <w:tc>
          <w:tcPr>
            <w:tcW w:w="311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360"/>
              <w:ind w:right="0" w:left="0" w:firstLine="0"/>
              <w:jc w:val="both"/>
              <w:rPr>
                <w:spacing w:val="0"/>
                <w:position w:val="0"/>
                <w:sz w:val="22"/>
                <w:shd w:fill="auto" w:val="clear"/>
              </w:rPr>
            </w:pPr>
            <w:r>
              <w:rPr>
                <w:rFonts w:ascii="Arial" w:hAnsi="Arial" w:cs="Arial" w:eastAsia="Arial"/>
                <w:color w:val="000000"/>
                <w:spacing w:val="0"/>
                <w:position w:val="0"/>
                <w:sz w:val="22"/>
                <w:shd w:fill="auto" w:val="clear"/>
              </w:rPr>
              <w:t xml:space="preserve">Clear statement of findings</w:t>
            </w:r>
          </w:p>
        </w:tc>
        <w:tc>
          <w:tcPr>
            <w:tcW w:w="311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360"/>
              <w:ind w:right="0" w:left="0" w:firstLine="0"/>
              <w:jc w:val="both"/>
              <w:rPr>
                <w:spacing w:val="0"/>
                <w:position w:val="0"/>
                <w:sz w:val="22"/>
                <w:shd w:fill="auto" w:val="clear"/>
              </w:rPr>
            </w:pPr>
            <w:r>
              <w:rPr>
                <w:rFonts w:ascii="Arial" w:hAnsi="Arial" w:cs="Arial" w:eastAsia="Arial"/>
                <w:color w:val="000000"/>
                <w:spacing w:val="0"/>
                <w:position w:val="0"/>
                <w:sz w:val="22"/>
                <w:shd w:fill="auto" w:val="clear"/>
              </w:rPr>
              <w:t xml:space="preserve">Findings were clearly presented, supported and linked to the research question.</w:t>
            </w:r>
          </w:p>
        </w:tc>
        <w:tc>
          <w:tcPr>
            <w:tcW w:w="311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360"/>
              <w:ind w:right="0" w:left="0" w:firstLine="0"/>
              <w:jc w:val="both"/>
              <w:rPr>
                <w:spacing w:val="0"/>
                <w:position w:val="0"/>
                <w:sz w:val="22"/>
                <w:shd w:fill="auto" w:val="clear"/>
              </w:rPr>
            </w:pPr>
            <w:r>
              <w:rPr>
                <w:rFonts w:ascii="Arial" w:hAnsi="Arial" w:cs="Arial" w:eastAsia="Arial"/>
                <w:color w:val="000000"/>
                <w:spacing w:val="0"/>
                <w:position w:val="0"/>
                <w:sz w:val="22"/>
                <w:shd w:fill="auto" w:val="clear"/>
              </w:rPr>
              <w:t xml:space="preserve">Yes / No / Unclear</w:t>
            </w:r>
          </w:p>
        </w:tc>
      </w:tr>
      <w:tr>
        <w:trPr>
          <w:trHeight w:val="1" w:hRule="atLeast"/>
          <w:jc w:val="center"/>
        </w:trPr>
        <w:tc>
          <w:tcPr>
            <w:tcW w:w="311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360"/>
              <w:ind w:right="0" w:left="0" w:firstLine="0"/>
              <w:jc w:val="both"/>
              <w:rPr>
                <w:spacing w:val="0"/>
                <w:position w:val="0"/>
                <w:sz w:val="22"/>
                <w:shd w:fill="auto" w:val="clear"/>
              </w:rPr>
            </w:pPr>
            <w:r>
              <w:rPr>
                <w:rFonts w:ascii="Arial" w:hAnsi="Arial" w:cs="Arial" w:eastAsia="Arial"/>
                <w:color w:val="000000"/>
                <w:spacing w:val="0"/>
                <w:position w:val="0"/>
                <w:sz w:val="22"/>
                <w:shd w:fill="auto" w:val="clear"/>
              </w:rPr>
              <w:t xml:space="preserve">Research value</w:t>
            </w:r>
          </w:p>
        </w:tc>
        <w:tc>
          <w:tcPr>
            <w:tcW w:w="311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360"/>
              <w:ind w:right="0" w:left="0" w:firstLine="0"/>
              <w:jc w:val="both"/>
              <w:rPr>
                <w:spacing w:val="0"/>
                <w:position w:val="0"/>
                <w:sz w:val="22"/>
                <w:shd w:fill="auto" w:val="clear"/>
              </w:rPr>
            </w:pPr>
            <w:r>
              <w:rPr>
                <w:rFonts w:ascii="Arial" w:hAnsi="Arial" w:cs="Arial" w:eastAsia="Arial"/>
                <w:color w:val="000000"/>
                <w:spacing w:val="0"/>
                <w:position w:val="0"/>
                <w:sz w:val="22"/>
                <w:shd w:fill="auto" w:val="clear"/>
              </w:rPr>
              <w:t xml:space="preserve">The study contribution, transferability and limitations were considered.</w:t>
            </w:r>
          </w:p>
        </w:tc>
        <w:tc>
          <w:tcPr>
            <w:tcW w:w="311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360"/>
              <w:ind w:right="0" w:left="0" w:firstLine="0"/>
              <w:jc w:val="both"/>
              <w:rPr>
                <w:spacing w:val="0"/>
                <w:position w:val="0"/>
                <w:sz w:val="22"/>
                <w:shd w:fill="auto" w:val="clear"/>
              </w:rPr>
            </w:pPr>
            <w:r>
              <w:rPr>
                <w:rFonts w:ascii="Arial" w:hAnsi="Arial" w:cs="Arial" w:eastAsia="Arial"/>
                <w:color w:val="000000"/>
                <w:spacing w:val="0"/>
                <w:position w:val="0"/>
                <w:sz w:val="22"/>
                <w:shd w:fill="auto" w:val="clear"/>
              </w:rPr>
              <w:t xml:space="preserve">Yes / No / Unclear</w:t>
            </w:r>
          </w:p>
        </w:tc>
      </w:tr>
    </w:tbl>
    <w:p>
      <w:pPr>
        <w:spacing w:before="0" w:after="160" w:line="360"/>
        <w:ind w:right="0" w:left="0" w:firstLine="0"/>
        <w:jc w:val="both"/>
        <w:rPr>
          <w:rFonts w:ascii="Arial" w:hAnsi="Arial" w:cs="Arial" w:eastAsia="Arial"/>
          <w:color w:val="000000"/>
          <w:spacing w:val="0"/>
          <w:position w:val="0"/>
          <w:sz w:val="22"/>
          <w:shd w:fill="auto" w:val="clear"/>
        </w:rPr>
      </w:pPr>
      <w:r>
        <w:rPr>
          <w:rFonts w:ascii="Arial" w:hAnsi="Arial" w:cs="Arial" w:eastAsia="Arial"/>
          <w:color w:val="000000"/>
          <w:spacing w:val="0"/>
          <w:position w:val="0"/>
          <w:sz w:val="22"/>
          <w:shd w:fill="auto" w:val="clear"/>
        </w:rPr>
        <w:t xml:space="preserve">Study-level CASP judgements are reported with the quality-appraisal results in Chapter Four. Studies with scores &lt; 50% or with poor methodology in any critical methodological area were excluded.</w:t>
      </w:r>
    </w:p>
    <w:p>
      <w:pPr>
        <w:keepNext w:val="true"/>
        <w:keepLines w:val="true"/>
        <w:spacing w:before="40" w:after="0" w:line="360"/>
        <w:ind w:right="0" w:left="0" w:firstLine="0"/>
        <w:jc w:val="both"/>
        <w:rPr>
          <w:rFonts w:ascii="Arial" w:hAnsi="Arial" w:cs="Arial" w:eastAsia="Arial"/>
          <w:b/>
          <w:color w:val="auto"/>
          <w:spacing w:val="0"/>
          <w:position w:val="0"/>
          <w:sz w:val="28"/>
          <w:shd w:fill="auto" w:val="clear"/>
        </w:rPr>
      </w:pPr>
      <w:r>
        <w:rPr>
          <w:rFonts w:ascii="Arial" w:hAnsi="Arial" w:cs="Arial" w:eastAsia="Arial"/>
          <w:b/>
          <w:color w:val="auto"/>
          <w:spacing w:val="0"/>
          <w:position w:val="0"/>
          <w:sz w:val="28"/>
          <w:shd w:fill="auto" w:val="clear"/>
        </w:rPr>
        <w:t xml:space="preserve">3.9 Data Extraction</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A standardised Microsoft Excel form was used on three studies to ensure clarity and evidence of each of the objectives. It documented information relevant to the following areas: details, setting, postgraduate group, sample, methods, mental health measures, determinants or interventions, findings, limitations, ethics, appraisal and objective relevance. The prevalence and effect estimates with confidence intervals and adjusted associations were all extracted as reported without re-calculation where data were missing, but were still quantitative. The results sections were analysed for qualitative findings, and where possible, quotations were used to back up the findings. There were two sets of fields that separated PGT and PGR evidence: international status, study mode and inequalities. There was an audit trail for page references and notes (Booth et al., 2021).</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Table 3.6: Data extraction framework (Author Generated)</w:t>
      </w:r>
    </w:p>
    <w:tbl>
      <w:tblPr/>
      <w:tblGrid>
        <w:gridCol w:w="1944"/>
        <w:gridCol w:w="7416"/>
      </w:tblGrid>
      <w:tr>
        <w:trPr>
          <w:trHeight w:val="1" w:hRule="atLeast"/>
          <w:jc w:val="center"/>
          <w:cantSplit w:val="1"/>
        </w:trPr>
        <w:tc>
          <w:tcPr>
            <w:tcW w:w="1944" w:type="dxa"/>
            <w:tcBorders>
              <w:top w:val="single" w:color="000000" w:sz="4"/>
              <w:left w:val="single" w:color="000000" w:sz="4"/>
              <w:bottom w:val="single" w:color="000000" w:sz="4"/>
              <w:right w:val="single" w:color="000000" w:sz="4"/>
            </w:tcBorders>
            <w:shd w:color="auto" w:fill="auto" w:val="clear"/>
            <w:tcMar>
              <w:left w:w="108" w:type="dxa"/>
              <w:right w:w="108" w:type="dxa"/>
            </w:tcMar>
            <w:vAlign w:val="center"/>
          </w:tcPr>
          <w:p>
            <w:pPr>
              <w:spacing w:before="0" w:after="0" w:line="360"/>
              <w:ind w:right="0" w:left="0" w:firstLine="0"/>
              <w:jc w:val="both"/>
              <w:rPr>
                <w:color w:val="auto"/>
                <w:spacing w:val="0"/>
                <w:position w:val="0"/>
                <w:sz w:val="22"/>
                <w:shd w:fill="auto" w:val="clear"/>
              </w:rPr>
            </w:pPr>
            <w:r>
              <w:rPr>
                <w:rFonts w:ascii="Arial" w:hAnsi="Arial" w:cs="Arial" w:eastAsia="Arial"/>
                <w:b/>
                <w:color w:val="auto"/>
                <w:spacing w:val="0"/>
                <w:position w:val="0"/>
                <w:sz w:val="22"/>
                <w:shd w:fill="auto" w:val="clear"/>
              </w:rPr>
              <w:t xml:space="preserve">Domain</w:t>
            </w:r>
          </w:p>
        </w:tc>
        <w:tc>
          <w:tcPr>
            <w:tcW w:w="7416" w:type="dxa"/>
            <w:tcBorders>
              <w:top w:val="single" w:color="000000" w:sz="4"/>
              <w:left w:val="single" w:color="000000" w:sz="4"/>
              <w:bottom w:val="single" w:color="000000" w:sz="4"/>
              <w:right w:val="single" w:color="000000" w:sz="4"/>
            </w:tcBorders>
            <w:shd w:color="auto" w:fill="auto" w:val="clear"/>
            <w:tcMar>
              <w:left w:w="108" w:type="dxa"/>
              <w:right w:w="108" w:type="dxa"/>
            </w:tcMar>
            <w:vAlign w:val="center"/>
          </w:tcPr>
          <w:p>
            <w:pPr>
              <w:spacing w:before="0" w:after="0" w:line="360"/>
              <w:ind w:right="0" w:left="0" w:firstLine="0"/>
              <w:jc w:val="both"/>
              <w:rPr>
                <w:color w:val="auto"/>
                <w:spacing w:val="0"/>
                <w:position w:val="0"/>
                <w:sz w:val="22"/>
                <w:shd w:fill="auto" w:val="clear"/>
              </w:rPr>
            </w:pPr>
            <w:r>
              <w:rPr>
                <w:rFonts w:ascii="Arial" w:hAnsi="Arial" w:cs="Arial" w:eastAsia="Arial"/>
                <w:b/>
                <w:color w:val="auto"/>
                <w:spacing w:val="0"/>
                <w:position w:val="0"/>
                <w:sz w:val="22"/>
                <w:shd w:fill="auto" w:val="clear"/>
              </w:rPr>
              <w:t xml:space="preserve">Data items</w:t>
            </w:r>
          </w:p>
        </w:tc>
      </w:tr>
      <w:tr>
        <w:trPr>
          <w:trHeight w:val="1" w:hRule="atLeast"/>
          <w:jc w:val="center"/>
          <w:cantSplit w:val="1"/>
        </w:trPr>
        <w:tc>
          <w:tcPr>
            <w:tcW w:w="194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z w:val="22"/>
                <w:shd w:fill="auto" w:val="clear"/>
              </w:rPr>
            </w:pPr>
            <w:r>
              <w:rPr>
                <w:rFonts w:ascii="Arial" w:hAnsi="Arial" w:cs="Arial" w:eastAsia="Arial"/>
                <w:color w:val="auto"/>
                <w:spacing w:val="0"/>
                <w:position w:val="0"/>
                <w:sz w:val="22"/>
                <w:shd w:fill="auto" w:val="clear"/>
              </w:rPr>
              <w:t xml:space="preserve">Bibliographic</w:t>
            </w:r>
          </w:p>
        </w:tc>
        <w:tc>
          <w:tcPr>
            <w:tcW w:w="741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z w:val="22"/>
                <w:shd w:fill="auto" w:val="clear"/>
              </w:rPr>
            </w:pPr>
            <w:r>
              <w:rPr>
                <w:rFonts w:ascii="Arial" w:hAnsi="Arial" w:cs="Arial" w:eastAsia="Arial"/>
                <w:color w:val="auto"/>
                <w:spacing w:val="0"/>
                <w:position w:val="0"/>
                <w:sz w:val="22"/>
                <w:shd w:fill="auto" w:val="clear"/>
              </w:rPr>
              <w:t xml:space="preserve">Author, year, title, journal and source page</w:t>
            </w:r>
          </w:p>
        </w:tc>
      </w:tr>
      <w:tr>
        <w:trPr>
          <w:trHeight w:val="1" w:hRule="atLeast"/>
          <w:jc w:val="center"/>
          <w:cantSplit w:val="1"/>
        </w:trPr>
        <w:tc>
          <w:tcPr>
            <w:tcW w:w="194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z w:val="22"/>
                <w:shd w:fill="auto" w:val="clear"/>
              </w:rPr>
            </w:pPr>
            <w:r>
              <w:rPr>
                <w:rFonts w:ascii="Arial" w:hAnsi="Arial" w:cs="Arial" w:eastAsia="Arial"/>
                <w:color w:val="auto"/>
                <w:spacing w:val="0"/>
                <w:position w:val="0"/>
                <w:sz w:val="22"/>
                <w:shd w:fill="auto" w:val="clear"/>
              </w:rPr>
              <w:t xml:space="preserve">Context</w:t>
            </w:r>
          </w:p>
        </w:tc>
        <w:tc>
          <w:tcPr>
            <w:tcW w:w="741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z w:val="22"/>
                <w:shd w:fill="auto" w:val="clear"/>
              </w:rPr>
            </w:pPr>
            <w:r>
              <w:rPr>
                <w:rFonts w:ascii="Arial" w:hAnsi="Arial" w:cs="Arial" w:eastAsia="Arial"/>
                <w:color w:val="auto"/>
                <w:spacing w:val="0"/>
                <w:position w:val="0"/>
                <w:sz w:val="22"/>
                <w:shd w:fill="auto" w:val="clear"/>
              </w:rPr>
              <w:t xml:space="preserve">UK nation/region, institution type and study period</w:t>
            </w:r>
          </w:p>
        </w:tc>
      </w:tr>
      <w:tr>
        <w:trPr>
          <w:trHeight w:val="1" w:hRule="atLeast"/>
          <w:jc w:val="center"/>
          <w:cantSplit w:val="1"/>
        </w:trPr>
        <w:tc>
          <w:tcPr>
            <w:tcW w:w="194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z w:val="22"/>
                <w:shd w:fill="auto" w:val="clear"/>
              </w:rPr>
            </w:pPr>
            <w:r>
              <w:rPr>
                <w:rFonts w:ascii="Arial" w:hAnsi="Arial" w:cs="Arial" w:eastAsia="Arial"/>
                <w:color w:val="auto"/>
                <w:spacing w:val="0"/>
                <w:position w:val="0"/>
                <w:sz w:val="22"/>
                <w:shd w:fill="auto" w:val="clear"/>
              </w:rPr>
              <w:t xml:space="preserve">Population</w:t>
            </w:r>
          </w:p>
        </w:tc>
        <w:tc>
          <w:tcPr>
            <w:tcW w:w="741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z w:val="22"/>
                <w:shd w:fill="auto" w:val="clear"/>
              </w:rPr>
            </w:pPr>
            <w:r>
              <w:rPr>
                <w:rFonts w:ascii="Arial" w:hAnsi="Arial" w:cs="Arial" w:eastAsia="Arial"/>
                <w:color w:val="auto"/>
                <w:spacing w:val="0"/>
                <w:position w:val="0"/>
                <w:sz w:val="22"/>
                <w:shd w:fill="auto" w:val="clear"/>
              </w:rPr>
              <w:t xml:space="preserve">PGT/PGR group, sample size, study mode, home/international status and inequality characteristics</w:t>
            </w:r>
          </w:p>
        </w:tc>
      </w:tr>
      <w:tr>
        <w:trPr>
          <w:trHeight w:val="1" w:hRule="atLeast"/>
          <w:jc w:val="center"/>
          <w:cantSplit w:val="1"/>
        </w:trPr>
        <w:tc>
          <w:tcPr>
            <w:tcW w:w="194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z w:val="22"/>
                <w:shd w:fill="auto" w:val="clear"/>
              </w:rPr>
            </w:pPr>
            <w:r>
              <w:rPr>
                <w:rFonts w:ascii="Arial" w:hAnsi="Arial" w:cs="Arial" w:eastAsia="Arial"/>
                <w:color w:val="auto"/>
                <w:spacing w:val="0"/>
                <w:position w:val="0"/>
                <w:sz w:val="22"/>
                <w:shd w:fill="auto" w:val="clear"/>
              </w:rPr>
              <w:t xml:space="preserve">Methods</w:t>
            </w:r>
          </w:p>
        </w:tc>
        <w:tc>
          <w:tcPr>
            <w:tcW w:w="741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z w:val="22"/>
                <w:shd w:fill="auto" w:val="clear"/>
              </w:rPr>
            </w:pPr>
            <w:r>
              <w:rPr>
                <w:rFonts w:ascii="Arial" w:hAnsi="Arial" w:cs="Arial" w:eastAsia="Arial"/>
                <w:color w:val="auto"/>
                <w:spacing w:val="0"/>
                <w:position w:val="0"/>
                <w:sz w:val="22"/>
                <w:shd w:fill="auto" w:val="clear"/>
              </w:rPr>
              <w:t xml:space="preserve">Design, recruitment, data collection, measures, analysis and ethical approval</w:t>
            </w:r>
          </w:p>
        </w:tc>
      </w:tr>
      <w:tr>
        <w:trPr>
          <w:trHeight w:val="1" w:hRule="atLeast"/>
          <w:jc w:val="center"/>
          <w:cantSplit w:val="1"/>
        </w:trPr>
        <w:tc>
          <w:tcPr>
            <w:tcW w:w="194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z w:val="22"/>
                <w:shd w:fill="auto" w:val="clear"/>
              </w:rPr>
            </w:pPr>
            <w:r>
              <w:rPr>
                <w:rFonts w:ascii="Arial" w:hAnsi="Arial" w:cs="Arial" w:eastAsia="Arial"/>
                <w:color w:val="auto"/>
                <w:spacing w:val="0"/>
                <w:position w:val="0"/>
                <w:sz w:val="22"/>
                <w:shd w:fill="auto" w:val="clear"/>
              </w:rPr>
              <w:t xml:space="preserve">Exposure/intervention</w:t>
            </w:r>
          </w:p>
        </w:tc>
        <w:tc>
          <w:tcPr>
            <w:tcW w:w="741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z w:val="22"/>
                <w:shd w:fill="auto" w:val="clear"/>
              </w:rPr>
            </w:pPr>
            <w:r>
              <w:rPr>
                <w:rFonts w:ascii="Arial" w:hAnsi="Arial" w:cs="Arial" w:eastAsia="Arial"/>
                <w:color w:val="auto"/>
                <w:spacing w:val="0"/>
                <w:position w:val="0"/>
                <w:sz w:val="22"/>
                <w:shd w:fill="auto" w:val="clear"/>
              </w:rPr>
              <w:t xml:space="preserve">Financial, academic, supervisory, social or service determinant; intervention or support type</w:t>
            </w:r>
          </w:p>
        </w:tc>
      </w:tr>
      <w:tr>
        <w:trPr>
          <w:trHeight w:val="1" w:hRule="atLeast"/>
          <w:jc w:val="center"/>
          <w:cantSplit w:val="1"/>
        </w:trPr>
        <w:tc>
          <w:tcPr>
            <w:tcW w:w="194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z w:val="22"/>
                <w:shd w:fill="auto" w:val="clear"/>
              </w:rPr>
            </w:pPr>
            <w:r>
              <w:rPr>
                <w:rFonts w:ascii="Arial" w:hAnsi="Arial" w:cs="Arial" w:eastAsia="Arial"/>
                <w:color w:val="auto"/>
                <w:spacing w:val="0"/>
                <w:position w:val="0"/>
                <w:sz w:val="22"/>
                <w:shd w:fill="auto" w:val="clear"/>
              </w:rPr>
              <w:t xml:space="preserve">Outcomes</w:t>
            </w:r>
          </w:p>
        </w:tc>
        <w:tc>
          <w:tcPr>
            <w:tcW w:w="741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z w:val="22"/>
                <w:shd w:fill="auto" w:val="clear"/>
              </w:rPr>
            </w:pPr>
            <w:r>
              <w:rPr>
                <w:rFonts w:ascii="Arial" w:hAnsi="Arial" w:cs="Arial" w:eastAsia="Arial"/>
                <w:color w:val="auto"/>
                <w:spacing w:val="0"/>
                <w:position w:val="0"/>
                <w:sz w:val="22"/>
                <w:shd w:fill="auto" w:val="clear"/>
              </w:rPr>
              <w:t xml:space="preserve">Prevalence, associations, qualitative findings, service outcomes and uncertainty</w:t>
            </w:r>
          </w:p>
        </w:tc>
      </w:tr>
      <w:tr>
        <w:trPr>
          <w:trHeight w:val="1" w:hRule="atLeast"/>
          <w:jc w:val="center"/>
          <w:cantSplit w:val="1"/>
        </w:trPr>
        <w:tc>
          <w:tcPr>
            <w:tcW w:w="194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z w:val="22"/>
                <w:shd w:fill="auto" w:val="clear"/>
              </w:rPr>
            </w:pPr>
            <w:r>
              <w:rPr>
                <w:rFonts w:ascii="Arial" w:hAnsi="Arial" w:cs="Arial" w:eastAsia="Arial"/>
                <w:color w:val="auto"/>
                <w:spacing w:val="0"/>
                <w:position w:val="0"/>
                <w:sz w:val="22"/>
                <w:shd w:fill="auto" w:val="clear"/>
              </w:rPr>
              <w:t xml:space="preserve">Critical interpretation</w:t>
            </w:r>
          </w:p>
        </w:tc>
        <w:tc>
          <w:tcPr>
            <w:tcW w:w="741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z w:val="22"/>
                <w:shd w:fill="auto" w:val="clear"/>
              </w:rPr>
            </w:pPr>
            <w:r>
              <w:rPr>
                <w:rFonts w:ascii="Arial" w:hAnsi="Arial" w:cs="Arial" w:eastAsia="Arial"/>
                <w:color w:val="auto"/>
                <w:spacing w:val="0"/>
                <w:position w:val="0"/>
                <w:sz w:val="22"/>
                <w:shd w:fill="auto" w:val="clear"/>
              </w:rPr>
              <w:t xml:space="preserve">Strengths, limitations, appraisal judgement and relevance to each objective</w:t>
            </w:r>
          </w:p>
        </w:tc>
      </w:tr>
    </w:tbl>
    <w:p>
      <w:pPr>
        <w:keepNext w:val="true"/>
        <w:keepLines w:val="true"/>
        <w:spacing w:before="40" w:after="0" w:line="360"/>
        <w:ind w:right="0" w:left="0" w:firstLine="0"/>
        <w:jc w:val="both"/>
        <w:rPr>
          <w:rFonts w:ascii="Arial" w:hAnsi="Arial" w:cs="Arial" w:eastAsia="Arial"/>
          <w:b/>
          <w:color w:val="auto"/>
          <w:spacing w:val="0"/>
          <w:position w:val="0"/>
          <w:sz w:val="28"/>
          <w:shd w:fill="auto" w:val="clear"/>
        </w:rPr>
      </w:pPr>
      <w:r>
        <w:rPr>
          <w:rFonts w:ascii="Arial" w:hAnsi="Arial" w:cs="Arial" w:eastAsia="Arial"/>
          <w:b/>
          <w:color w:val="auto"/>
          <w:spacing w:val="0"/>
          <w:position w:val="0"/>
          <w:sz w:val="28"/>
          <w:shd w:fill="auto" w:val="clear"/>
        </w:rPr>
        <w:t xml:space="preserve">3.10 Data Synthesis</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It was not appropriate to take the approach of meta-analysis as the results of the studies varied in populations, measures, thresholds, exposures, periods, study design and intervention outcomes. Findings were synthesised using structured narrative and thematic synthesis, which involves four stages as outlined by Popay et al. (2006): preliminary study summaries, exploration of relationships, robustness assessment and explanatory synthesis. The quantitative results were summarised descriptively according to SWiM guidance (Campbell et al., 2020) and avoiding vote counting based on significance. The qualitative results were coded, sorted into descriptive categories and then into analytical themes as outlined by Thomas and Harden (2008). Reporting of the qualitative synthesis was also informed by ENTREQ principles (Tong et al., 2012). Contradicting evidence was saved, and sensitivity comparisons were performed to assess the impact of less important studies on the conclusions.</w:t>
      </w:r>
    </w:p>
    <w:p>
      <w:pPr>
        <w:keepNext w:val="true"/>
        <w:keepLines w:val="true"/>
        <w:spacing w:before="40" w:after="0" w:line="360"/>
        <w:ind w:right="0" w:left="0" w:firstLine="0"/>
        <w:jc w:val="both"/>
        <w:rPr>
          <w:rFonts w:ascii="Arial" w:hAnsi="Arial" w:cs="Arial" w:eastAsia="Arial"/>
          <w:b/>
          <w:color w:val="auto"/>
          <w:spacing w:val="0"/>
          <w:position w:val="0"/>
          <w:sz w:val="28"/>
          <w:shd w:fill="auto" w:val="clear"/>
        </w:rPr>
      </w:pPr>
      <w:r>
        <w:rPr>
          <w:rFonts w:ascii="Arial" w:hAnsi="Arial" w:cs="Arial" w:eastAsia="Arial"/>
          <w:b/>
          <w:color w:val="auto"/>
          <w:spacing w:val="0"/>
          <w:position w:val="0"/>
          <w:sz w:val="28"/>
          <w:shd w:fill="auto" w:val="clear"/>
        </w:rPr>
        <w:t xml:space="preserve">3.11 Ethics, Data Management and Methodological Rigour</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The ethical application ranked the project as low risk due to no participant consent procedures, personal data or contact with vulnerable groups in the project, as it was based on published information. Even with ethical conduct, proper citation, representation of materials in an accurate fashion, disclosure of limitations, and prevention of plagiarism and selective reporting were still expected. The review was based on UWTSD Research ethics and Integrity code, Research Data Management policy and copyright. Records of searches, screening decisions, appraisal forms and extraction sheets were kept in password-protected, version-controlled files which were only accessible to the researcher and supervisor. Rigour was enhanced by using an a priori protocol, reproducible searches, explicit decisions, and design specific appraisal/source testing. The limitations were screening by a single reviewer, English language only, publication bias and heterogeneity. No primary datasets were created, shared, transferred or archived.</w:t>
      </w:r>
    </w:p>
    <w:p>
      <w:pPr>
        <w:keepNext w:val="true"/>
        <w:keepLines w:val="true"/>
        <w:spacing w:before="40" w:after="0" w:line="360"/>
        <w:ind w:right="0" w:left="0" w:firstLine="0"/>
        <w:jc w:val="both"/>
        <w:rPr>
          <w:rFonts w:ascii="Arial" w:hAnsi="Arial" w:cs="Arial" w:eastAsia="Arial"/>
          <w:b/>
          <w:color w:val="auto"/>
          <w:spacing w:val="0"/>
          <w:position w:val="0"/>
          <w:sz w:val="28"/>
          <w:shd w:fill="auto" w:val="clear"/>
        </w:rPr>
      </w:pPr>
      <w:r>
        <w:rPr>
          <w:rFonts w:ascii="Arial" w:hAnsi="Arial" w:cs="Arial" w:eastAsia="Arial"/>
          <w:b/>
          <w:color w:val="auto"/>
          <w:spacing w:val="0"/>
          <w:position w:val="0"/>
          <w:sz w:val="28"/>
          <w:shd w:fill="auto" w:val="clear"/>
        </w:rPr>
        <w:t xml:space="preserve">3.12 Chapter Summary</w:t>
      </w:r>
    </w:p>
    <w:p>
      <w:pPr>
        <w:spacing w:before="0" w:after="160" w:line="360"/>
        <w:ind w:right="0" w:left="0" w:firstLine="0"/>
        <w:jc w:val="both"/>
        <w:rPr>
          <w:rFonts w:ascii="Arial" w:hAnsi="Arial" w:cs="Arial" w:eastAsia="Arial"/>
          <w:color w:val="000000"/>
          <w:spacing w:val="0"/>
          <w:position w:val="0"/>
          <w:sz w:val="22"/>
          <w:shd w:fill="auto" w:val="clear"/>
        </w:rPr>
      </w:pPr>
      <w:r>
        <w:rPr>
          <w:rFonts w:ascii="Arial" w:hAnsi="Arial" w:cs="Arial" w:eastAsia="Arial"/>
          <w:color w:val="auto"/>
          <w:spacing w:val="0"/>
          <w:position w:val="0"/>
          <w:sz w:val="22"/>
          <w:shd w:fill="auto" w:val="clear"/>
        </w:rPr>
        <w:t xml:space="preserve">This chapter argued for a pragmatic systematic mixed-evidence review of the causes, outcomes and solutions in the UK postgraduate mental health field. It set up the protocol, adjusted the PICO framework, inclusion criteria, the database and additional searching, PICO selection, design-sensitive appraisal, extraction and narrative thematic synthesis. After the exclusion of studies due to eligibility and quality, 15 primary studies were left. The methodology was able to identify grey literature from empirical evidence, differentiate PGT from PGR populations and tie the synthesis to the four objectives and social determinants approach. The PRISMA results, the characteristics of the studies, the quality assessment and synthesised results are clearly presented in Chapter Four.</w:t>
      </w:r>
      <w:r>
        <w:rPr>
          <w:rFonts w:ascii="Arial" w:hAnsi="Arial" w:cs="Arial" w:eastAsia="Arial"/>
          <w:color w:val="008000"/>
          <w:spacing w:val="0"/>
          <w:position w:val="0"/>
          <w:sz w:val="22"/>
          <w:shd w:fill="auto" w:val="clear"/>
        </w:rPr>
        <w:t xml:space="preserve"> </w:t>
      </w:r>
    </w:p>
    <w:p>
      <w:pPr>
        <w:spacing w:before="0" w:after="160" w:line="259"/>
        <w:ind w:right="0" w:left="0" w:firstLine="0"/>
        <w:jc w:val="left"/>
        <w:rPr>
          <w:rFonts w:ascii="Arial" w:hAnsi="Arial" w:cs="Arial" w:eastAsia="Arial"/>
          <w:color w:val="000000"/>
          <w:spacing w:val="0"/>
          <w:position w:val="0"/>
          <w:sz w:val="22"/>
          <w:shd w:fill="auto" w:val="clear"/>
        </w:rPr>
      </w:pPr>
      <w:r>
        <w:rPr>
          <w:rFonts w:ascii="Arial" w:hAnsi="Arial" w:cs="Arial" w:eastAsia="Arial"/>
          <w:color w:val="000000"/>
          <w:spacing w:val="0"/>
          <w:position w:val="0"/>
          <w:sz w:val="22"/>
          <w:shd w:fill="auto" w:val="clear"/>
        </w:rPr>
        <w:t xml:space="preserve"> </w:t>
      </w:r>
    </w:p>
    <w:p>
      <w:pPr>
        <w:spacing w:before="0" w:after="160" w:line="259"/>
        <w:ind w:right="0" w:left="0" w:firstLine="0"/>
        <w:jc w:val="left"/>
        <w:rPr>
          <w:rFonts w:ascii="Arial" w:hAnsi="Arial" w:cs="Arial" w:eastAsia="Arial"/>
          <w:color w:val="000000"/>
          <w:spacing w:val="0"/>
          <w:position w:val="0"/>
          <w:sz w:val="22"/>
          <w:shd w:fill="auto" w:val="clear"/>
        </w:rPr>
      </w:pPr>
    </w:p>
    <w:p>
      <w:pPr>
        <w:keepNext w:val="true"/>
        <w:keepLines w:val="true"/>
        <w:spacing w:before="240" w:after="240" w:line="276"/>
        <w:ind w:right="0" w:left="0" w:firstLine="0"/>
        <w:jc w:val="center"/>
        <w:rPr>
          <w:rFonts w:ascii="Arial" w:hAnsi="Arial" w:cs="Arial" w:eastAsia="Arial"/>
          <w:b/>
          <w:color w:val="auto"/>
          <w:spacing w:val="0"/>
          <w:position w:val="0"/>
          <w:sz w:val="32"/>
          <w:shd w:fill="DBDBDB" w:val="clear"/>
        </w:rPr>
      </w:pPr>
      <w:r>
        <w:rPr>
          <w:rFonts w:ascii="Arial" w:hAnsi="Arial" w:cs="Arial" w:eastAsia="Arial"/>
          <w:b/>
          <w:color w:val="auto"/>
          <w:spacing w:val="0"/>
          <w:position w:val="0"/>
          <w:sz w:val="32"/>
          <w:shd w:fill="DBDBDB" w:val="clear"/>
        </w:rPr>
        <w:t xml:space="preserve">Chapter Four: Results</w:t>
      </w:r>
    </w:p>
    <w:p>
      <w:pPr>
        <w:keepNext w:val="true"/>
        <w:keepLines w:val="true"/>
        <w:spacing w:before="40" w:after="0" w:line="360"/>
        <w:ind w:right="0" w:left="0" w:firstLine="0"/>
        <w:jc w:val="both"/>
        <w:rPr>
          <w:rFonts w:ascii="Arial" w:hAnsi="Arial" w:cs="Arial" w:eastAsia="Arial"/>
          <w:b/>
          <w:color w:val="auto"/>
          <w:spacing w:val="0"/>
          <w:position w:val="0"/>
          <w:sz w:val="28"/>
          <w:shd w:fill="auto" w:val="clear"/>
        </w:rPr>
      </w:pPr>
      <w:r>
        <w:rPr>
          <w:rFonts w:ascii="Arial" w:hAnsi="Arial" w:cs="Arial" w:eastAsia="Arial"/>
          <w:b/>
          <w:color w:val="auto"/>
          <w:spacing w:val="0"/>
          <w:position w:val="0"/>
          <w:sz w:val="28"/>
          <w:shd w:fill="auto" w:val="clear"/>
        </w:rPr>
        <w:t xml:space="preserve">4.1 Introduction</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Chapter 4 reviews, summarises and synthesises the evidence relating to mental health issues for postgraduate UK students conducted within this systematic mixed evidence review. As detailed in Chapter Three, the chapter reports on the findings of the search and selection phase, characteristics and methodological quality of the 15 reports generated, and the structured narrative and themed synthesis. Results are broken down into themes of financial and material factors, academic and relational factors, mental health outcomes and academic functioning, and help-seeking/support-seeking responses. Where the following reports include evidence, a distinction is made between postgraduate taught (PGT) and postgraduate research (PGR) evidence. </w:t>
      </w:r>
    </w:p>
    <w:p>
      <w:pPr>
        <w:keepNext w:val="true"/>
        <w:keepLines w:val="true"/>
        <w:spacing w:before="40" w:after="0" w:line="360"/>
        <w:ind w:right="0" w:left="0" w:firstLine="0"/>
        <w:jc w:val="both"/>
        <w:rPr>
          <w:rFonts w:ascii="Arial" w:hAnsi="Arial" w:cs="Arial" w:eastAsia="Arial"/>
          <w:b/>
          <w:color w:val="auto"/>
          <w:spacing w:val="0"/>
          <w:position w:val="0"/>
          <w:sz w:val="28"/>
          <w:shd w:fill="auto" w:val="clear"/>
        </w:rPr>
      </w:pPr>
      <w:r>
        <w:rPr>
          <w:rFonts w:ascii="Arial" w:hAnsi="Arial" w:cs="Arial" w:eastAsia="Arial"/>
          <w:b/>
          <w:color w:val="auto"/>
          <w:spacing w:val="0"/>
          <w:position w:val="0"/>
          <w:sz w:val="28"/>
          <w:shd w:fill="auto" w:val="clear"/>
        </w:rPr>
        <w:t xml:space="preserve">4.2 Systematic Search and PRISMA 2020 Study Selection</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A systematic search resulted in 398 records being retrieved from MEDLINE/PubMed, PsycINFO, CINAHL and Web of Science. Duplicate records were eliminated and subsequently screened by title and abstract using eligibility criteria as described in Chapter Three. All potentially relevant reports were retrieved and judged in terms of the UK setting, postgraduate population, mental health and/or mental support outcomes, relevant primary empirical design and methodological quality. Synthesis was done from 15 reports. The flow of records is presented here in Figure 4.1 following the PRISMA 2020 structure (Page et al., 2021).</w:t>
      </w:r>
    </w:p>
    <w:p>
      <w:pPr>
        <w:spacing w:before="0" w:after="160" w:line="360"/>
        <w:ind w:right="0" w:left="0" w:firstLine="0"/>
        <w:jc w:val="both"/>
        <w:rPr>
          <w:rFonts w:ascii="Arial" w:hAnsi="Arial" w:cs="Arial" w:eastAsia="Arial"/>
          <w:color w:val="auto"/>
          <w:spacing w:val="0"/>
          <w:position w:val="0"/>
          <w:sz w:val="22"/>
          <w:shd w:fill="auto" w:val="clear"/>
        </w:rPr>
      </w:pPr>
      <w:r>
        <w:object w:dxaOrig="13062" w:dyaOrig="10102">
          <v:rect xmlns:o="urn:schemas-microsoft-com:office:office" xmlns:v="urn:schemas-microsoft-com:vml" id="rectole0000000002" style="width:653.100000pt;height:505.100000pt" o:preferrelative="t" o:ole="">
            <o:lock v:ext="edit"/>
            <v:imagedata xmlns:r="http://schemas.openxmlformats.org/officeDocument/2006/relationships" r:id="docRId5" o:title=""/>
          </v:rect>
          <o:OLEObject xmlns:r="http://schemas.openxmlformats.org/officeDocument/2006/relationships" xmlns:o="urn:schemas-microsoft-com:office:office" Type="Embed" ProgID="StaticMetafile" DrawAspect="Content" ObjectID="0000000002" ShapeID="rectole0000000002" r:id="docRId4"/>
        </w:object>
      </w:r>
    </w:p>
    <w:p>
      <w:pPr>
        <w:spacing w:before="0" w:after="160" w:line="276"/>
        <w:ind w:right="0" w:left="0" w:firstLine="0"/>
        <w:jc w:val="center"/>
        <w:rPr>
          <w:rFonts w:ascii="Arial" w:hAnsi="Arial" w:cs="Arial" w:eastAsia="Arial"/>
          <w:i/>
          <w:color w:val="auto"/>
          <w:spacing w:val="0"/>
          <w:position w:val="0"/>
          <w:sz w:val="20"/>
          <w:shd w:fill="auto" w:val="clear"/>
        </w:rPr>
      </w:pPr>
      <w:r>
        <w:rPr>
          <w:rFonts w:ascii="Arial" w:hAnsi="Arial" w:cs="Arial" w:eastAsia="Arial"/>
          <w:i/>
          <w:color w:val="auto"/>
          <w:spacing w:val="0"/>
          <w:position w:val="0"/>
          <w:sz w:val="20"/>
          <w:shd w:fill="auto" w:val="clear"/>
        </w:rPr>
        <w:t xml:space="preserve">Figure 4.1. PRISMA 2020 flow of study selection. Adapted from Page et al. (2021), CC BY 4.0.</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Table 4.1: PRISMA screening summary</w:t>
      </w:r>
    </w:p>
    <w:tbl>
      <w:tblPr/>
      <w:tblGrid>
        <w:gridCol w:w="8022"/>
        <w:gridCol w:w="1541"/>
      </w:tblGrid>
      <w:tr>
        <w:trPr>
          <w:trHeight w:val="372" w:hRule="auto"/>
          <w:jc w:val="left"/>
        </w:trPr>
        <w:tc>
          <w:tcPr>
            <w:tcW w:w="802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240"/>
              <w:ind w:right="0" w:left="0" w:firstLine="0"/>
              <w:jc w:val="both"/>
              <w:rPr>
                <w:color w:val="auto"/>
                <w:spacing w:val="0"/>
                <w:position w:val="0"/>
                <w:sz w:val="22"/>
                <w:shd w:fill="auto" w:val="clear"/>
              </w:rPr>
            </w:pPr>
            <w:r>
              <w:rPr>
                <w:rFonts w:ascii="Arial" w:hAnsi="Arial" w:cs="Arial" w:eastAsia="Arial"/>
                <w:b/>
                <w:color w:val="auto"/>
                <w:spacing w:val="0"/>
                <w:position w:val="0"/>
                <w:sz w:val="22"/>
                <w:shd w:fill="auto" w:val="clear"/>
              </w:rPr>
              <w:t xml:space="preserve">Stage</w:t>
            </w:r>
          </w:p>
        </w:tc>
        <w:tc>
          <w:tcPr>
            <w:tcW w:w="1541"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240"/>
              <w:ind w:right="0" w:left="0" w:firstLine="0"/>
              <w:jc w:val="both"/>
              <w:rPr>
                <w:color w:val="auto"/>
                <w:spacing w:val="0"/>
                <w:position w:val="0"/>
                <w:sz w:val="22"/>
                <w:shd w:fill="auto" w:val="clear"/>
              </w:rPr>
            </w:pPr>
            <w:r>
              <w:rPr>
                <w:rFonts w:ascii="Arial" w:hAnsi="Arial" w:cs="Arial" w:eastAsia="Arial"/>
                <w:b/>
                <w:color w:val="auto"/>
                <w:spacing w:val="0"/>
                <w:position w:val="0"/>
                <w:sz w:val="22"/>
                <w:shd w:fill="auto" w:val="clear"/>
              </w:rPr>
              <w:t xml:space="preserve">n</w:t>
            </w:r>
          </w:p>
        </w:tc>
      </w:tr>
      <w:tr>
        <w:trPr>
          <w:trHeight w:val="363" w:hRule="auto"/>
          <w:jc w:val="left"/>
        </w:trPr>
        <w:tc>
          <w:tcPr>
            <w:tcW w:w="802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240"/>
              <w:ind w:right="0" w:left="0" w:firstLine="0"/>
              <w:jc w:val="both"/>
              <w:rPr>
                <w:color w:val="auto"/>
                <w:spacing w:val="0"/>
                <w:position w:val="0"/>
                <w:sz w:val="22"/>
                <w:shd w:fill="auto" w:val="clear"/>
              </w:rPr>
            </w:pPr>
            <w:r>
              <w:rPr>
                <w:rFonts w:ascii="Arial" w:hAnsi="Arial" w:cs="Arial" w:eastAsia="Arial"/>
                <w:color w:val="auto"/>
                <w:spacing w:val="0"/>
                <w:position w:val="0"/>
                <w:sz w:val="22"/>
                <w:shd w:fill="auto" w:val="clear"/>
              </w:rPr>
              <w:t xml:space="preserve">Records identified</w:t>
            </w:r>
          </w:p>
        </w:tc>
        <w:tc>
          <w:tcPr>
            <w:tcW w:w="1541"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240"/>
              <w:ind w:right="0" w:left="0" w:firstLine="0"/>
              <w:jc w:val="both"/>
              <w:rPr>
                <w:color w:val="auto"/>
                <w:spacing w:val="0"/>
                <w:position w:val="0"/>
                <w:sz w:val="22"/>
                <w:shd w:fill="auto" w:val="clear"/>
              </w:rPr>
            </w:pPr>
            <w:r>
              <w:rPr>
                <w:rFonts w:ascii="Arial" w:hAnsi="Arial" w:cs="Arial" w:eastAsia="Arial"/>
                <w:color w:val="auto"/>
                <w:spacing w:val="0"/>
                <w:position w:val="0"/>
                <w:sz w:val="22"/>
                <w:shd w:fill="auto" w:val="clear"/>
              </w:rPr>
              <w:t xml:space="preserve">398</w:t>
            </w:r>
          </w:p>
        </w:tc>
      </w:tr>
      <w:tr>
        <w:trPr>
          <w:trHeight w:val="372" w:hRule="auto"/>
          <w:jc w:val="left"/>
        </w:trPr>
        <w:tc>
          <w:tcPr>
            <w:tcW w:w="802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240"/>
              <w:ind w:right="0" w:left="0" w:firstLine="0"/>
              <w:jc w:val="both"/>
              <w:rPr>
                <w:color w:val="auto"/>
                <w:spacing w:val="0"/>
                <w:position w:val="0"/>
                <w:sz w:val="22"/>
                <w:shd w:fill="auto" w:val="clear"/>
              </w:rPr>
            </w:pPr>
            <w:r>
              <w:rPr>
                <w:rFonts w:ascii="Arial" w:hAnsi="Arial" w:cs="Arial" w:eastAsia="Arial"/>
                <w:color w:val="auto"/>
                <w:spacing w:val="0"/>
                <w:position w:val="0"/>
                <w:sz w:val="22"/>
                <w:shd w:fill="auto" w:val="clear"/>
              </w:rPr>
              <w:t xml:space="preserve">Duplicates removed</w:t>
            </w:r>
          </w:p>
        </w:tc>
        <w:tc>
          <w:tcPr>
            <w:tcW w:w="1541"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240"/>
              <w:ind w:right="0" w:left="0" w:firstLine="0"/>
              <w:jc w:val="both"/>
              <w:rPr>
                <w:color w:val="auto"/>
                <w:spacing w:val="0"/>
                <w:position w:val="0"/>
                <w:sz w:val="22"/>
                <w:shd w:fill="auto" w:val="clear"/>
              </w:rPr>
            </w:pPr>
            <w:r>
              <w:rPr>
                <w:rFonts w:ascii="Arial" w:hAnsi="Arial" w:cs="Arial" w:eastAsia="Arial"/>
                <w:color w:val="auto"/>
                <w:spacing w:val="0"/>
                <w:position w:val="0"/>
                <w:sz w:val="22"/>
                <w:shd w:fill="auto" w:val="clear"/>
              </w:rPr>
              <w:t xml:space="preserve">54</w:t>
            </w:r>
          </w:p>
        </w:tc>
      </w:tr>
      <w:tr>
        <w:trPr>
          <w:trHeight w:val="363" w:hRule="auto"/>
          <w:jc w:val="left"/>
        </w:trPr>
        <w:tc>
          <w:tcPr>
            <w:tcW w:w="802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240"/>
              <w:ind w:right="0" w:left="0" w:firstLine="0"/>
              <w:jc w:val="both"/>
              <w:rPr>
                <w:color w:val="auto"/>
                <w:spacing w:val="0"/>
                <w:position w:val="0"/>
                <w:sz w:val="22"/>
                <w:shd w:fill="auto" w:val="clear"/>
              </w:rPr>
            </w:pPr>
            <w:r>
              <w:rPr>
                <w:rFonts w:ascii="Arial" w:hAnsi="Arial" w:cs="Arial" w:eastAsia="Arial"/>
                <w:color w:val="auto"/>
                <w:spacing w:val="0"/>
                <w:position w:val="0"/>
                <w:sz w:val="22"/>
                <w:shd w:fill="auto" w:val="clear"/>
              </w:rPr>
              <w:t xml:space="preserve">Records screened</w:t>
            </w:r>
          </w:p>
        </w:tc>
        <w:tc>
          <w:tcPr>
            <w:tcW w:w="1541"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240"/>
              <w:ind w:right="0" w:left="0" w:firstLine="0"/>
              <w:jc w:val="both"/>
              <w:rPr>
                <w:color w:val="auto"/>
                <w:spacing w:val="0"/>
                <w:position w:val="0"/>
                <w:sz w:val="22"/>
                <w:shd w:fill="auto" w:val="clear"/>
              </w:rPr>
            </w:pPr>
            <w:r>
              <w:rPr>
                <w:rFonts w:ascii="Arial" w:hAnsi="Arial" w:cs="Arial" w:eastAsia="Arial"/>
                <w:color w:val="auto"/>
                <w:spacing w:val="0"/>
                <w:position w:val="0"/>
                <w:sz w:val="22"/>
                <w:shd w:fill="auto" w:val="clear"/>
              </w:rPr>
              <w:t xml:space="preserve">344</w:t>
            </w:r>
          </w:p>
        </w:tc>
      </w:tr>
      <w:tr>
        <w:trPr>
          <w:trHeight w:val="372" w:hRule="auto"/>
          <w:jc w:val="left"/>
        </w:trPr>
        <w:tc>
          <w:tcPr>
            <w:tcW w:w="802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240"/>
              <w:ind w:right="0" w:left="0" w:firstLine="0"/>
              <w:jc w:val="both"/>
              <w:rPr>
                <w:color w:val="auto"/>
                <w:spacing w:val="0"/>
                <w:position w:val="0"/>
                <w:sz w:val="22"/>
                <w:shd w:fill="auto" w:val="clear"/>
              </w:rPr>
            </w:pPr>
            <w:r>
              <w:rPr>
                <w:rFonts w:ascii="Arial" w:hAnsi="Arial" w:cs="Arial" w:eastAsia="Arial"/>
                <w:color w:val="auto"/>
                <w:spacing w:val="0"/>
                <w:position w:val="0"/>
                <w:sz w:val="22"/>
                <w:shd w:fill="auto" w:val="clear"/>
              </w:rPr>
              <w:t xml:space="preserve">Title/abstract exclusions</w:t>
            </w:r>
          </w:p>
        </w:tc>
        <w:tc>
          <w:tcPr>
            <w:tcW w:w="1541"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240"/>
              <w:ind w:right="0" w:left="0" w:firstLine="0"/>
              <w:jc w:val="both"/>
              <w:rPr>
                <w:color w:val="auto"/>
                <w:spacing w:val="0"/>
                <w:position w:val="0"/>
                <w:sz w:val="22"/>
                <w:shd w:fill="auto" w:val="clear"/>
              </w:rPr>
            </w:pPr>
            <w:r>
              <w:rPr>
                <w:rFonts w:ascii="Arial" w:hAnsi="Arial" w:cs="Arial" w:eastAsia="Arial"/>
                <w:color w:val="auto"/>
                <w:spacing w:val="0"/>
                <w:position w:val="0"/>
                <w:sz w:val="22"/>
                <w:shd w:fill="auto" w:val="clear"/>
              </w:rPr>
              <w:t xml:space="preserve">259</w:t>
            </w:r>
          </w:p>
        </w:tc>
      </w:tr>
      <w:tr>
        <w:trPr>
          <w:trHeight w:val="363" w:hRule="auto"/>
          <w:jc w:val="left"/>
        </w:trPr>
        <w:tc>
          <w:tcPr>
            <w:tcW w:w="802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240"/>
              <w:ind w:right="0" w:left="0" w:firstLine="0"/>
              <w:jc w:val="both"/>
              <w:rPr>
                <w:color w:val="auto"/>
                <w:spacing w:val="0"/>
                <w:position w:val="0"/>
                <w:sz w:val="22"/>
                <w:shd w:fill="auto" w:val="clear"/>
              </w:rPr>
            </w:pPr>
            <w:r>
              <w:rPr>
                <w:rFonts w:ascii="Arial" w:hAnsi="Arial" w:cs="Arial" w:eastAsia="Arial"/>
                <w:color w:val="auto"/>
                <w:spacing w:val="0"/>
                <w:position w:val="0"/>
                <w:sz w:val="22"/>
                <w:shd w:fill="auto" w:val="clear"/>
              </w:rPr>
              <w:t xml:space="preserve">Reports sought for retrieval</w:t>
            </w:r>
          </w:p>
        </w:tc>
        <w:tc>
          <w:tcPr>
            <w:tcW w:w="1541"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240"/>
              <w:ind w:right="0" w:left="0" w:firstLine="0"/>
              <w:jc w:val="both"/>
              <w:rPr>
                <w:color w:val="auto"/>
                <w:spacing w:val="0"/>
                <w:position w:val="0"/>
                <w:sz w:val="22"/>
                <w:shd w:fill="auto" w:val="clear"/>
              </w:rPr>
            </w:pPr>
            <w:r>
              <w:rPr>
                <w:rFonts w:ascii="Arial" w:hAnsi="Arial" w:cs="Arial" w:eastAsia="Arial"/>
                <w:color w:val="auto"/>
                <w:spacing w:val="0"/>
                <w:position w:val="0"/>
                <w:sz w:val="22"/>
                <w:shd w:fill="auto" w:val="clear"/>
              </w:rPr>
              <w:t xml:space="preserve">85</w:t>
            </w:r>
          </w:p>
        </w:tc>
      </w:tr>
      <w:tr>
        <w:trPr>
          <w:trHeight w:val="372" w:hRule="auto"/>
          <w:jc w:val="left"/>
        </w:trPr>
        <w:tc>
          <w:tcPr>
            <w:tcW w:w="802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240"/>
              <w:ind w:right="0" w:left="0" w:firstLine="0"/>
              <w:jc w:val="both"/>
              <w:rPr>
                <w:color w:val="auto"/>
                <w:spacing w:val="0"/>
                <w:position w:val="0"/>
                <w:sz w:val="22"/>
                <w:shd w:fill="auto" w:val="clear"/>
              </w:rPr>
            </w:pPr>
            <w:r>
              <w:rPr>
                <w:rFonts w:ascii="Arial" w:hAnsi="Arial" w:cs="Arial" w:eastAsia="Arial"/>
                <w:color w:val="auto"/>
                <w:spacing w:val="0"/>
                <w:position w:val="0"/>
                <w:sz w:val="22"/>
                <w:shd w:fill="auto" w:val="clear"/>
              </w:rPr>
              <w:t xml:space="preserve">Reports not retrieved</w:t>
            </w:r>
          </w:p>
        </w:tc>
        <w:tc>
          <w:tcPr>
            <w:tcW w:w="1541"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240"/>
              <w:ind w:right="0" w:left="0" w:firstLine="0"/>
              <w:jc w:val="both"/>
              <w:rPr>
                <w:color w:val="auto"/>
                <w:spacing w:val="0"/>
                <w:position w:val="0"/>
                <w:sz w:val="22"/>
                <w:shd w:fill="auto" w:val="clear"/>
              </w:rPr>
            </w:pPr>
            <w:r>
              <w:rPr>
                <w:rFonts w:ascii="Arial" w:hAnsi="Arial" w:cs="Arial" w:eastAsia="Arial"/>
                <w:color w:val="auto"/>
                <w:spacing w:val="0"/>
                <w:position w:val="0"/>
                <w:sz w:val="22"/>
                <w:shd w:fill="auto" w:val="clear"/>
              </w:rPr>
              <w:t xml:space="preserve">5</w:t>
            </w:r>
          </w:p>
        </w:tc>
      </w:tr>
      <w:tr>
        <w:trPr>
          <w:trHeight w:val="372" w:hRule="auto"/>
          <w:jc w:val="left"/>
        </w:trPr>
        <w:tc>
          <w:tcPr>
            <w:tcW w:w="802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240"/>
              <w:ind w:right="0" w:left="0" w:firstLine="0"/>
              <w:jc w:val="both"/>
              <w:rPr>
                <w:color w:val="auto"/>
                <w:spacing w:val="0"/>
                <w:position w:val="0"/>
                <w:sz w:val="22"/>
                <w:shd w:fill="auto" w:val="clear"/>
              </w:rPr>
            </w:pPr>
            <w:r>
              <w:rPr>
                <w:rFonts w:ascii="Arial" w:hAnsi="Arial" w:cs="Arial" w:eastAsia="Arial"/>
                <w:color w:val="auto"/>
                <w:spacing w:val="0"/>
                <w:position w:val="0"/>
                <w:sz w:val="22"/>
                <w:shd w:fill="auto" w:val="clear"/>
              </w:rPr>
              <w:t xml:space="preserve">Full-text reports assessed</w:t>
            </w:r>
          </w:p>
        </w:tc>
        <w:tc>
          <w:tcPr>
            <w:tcW w:w="1541"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240"/>
              <w:ind w:right="0" w:left="0" w:firstLine="0"/>
              <w:jc w:val="both"/>
              <w:rPr>
                <w:color w:val="auto"/>
                <w:spacing w:val="0"/>
                <w:position w:val="0"/>
                <w:sz w:val="22"/>
                <w:shd w:fill="auto" w:val="clear"/>
              </w:rPr>
            </w:pPr>
            <w:r>
              <w:rPr>
                <w:rFonts w:ascii="Arial" w:hAnsi="Arial" w:cs="Arial" w:eastAsia="Arial"/>
                <w:color w:val="auto"/>
                <w:spacing w:val="0"/>
                <w:position w:val="0"/>
                <w:sz w:val="22"/>
                <w:shd w:fill="auto" w:val="clear"/>
              </w:rPr>
              <w:t xml:space="preserve">80</w:t>
            </w:r>
          </w:p>
        </w:tc>
      </w:tr>
      <w:tr>
        <w:trPr>
          <w:trHeight w:val="363" w:hRule="auto"/>
          <w:jc w:val="left"/>
        </w:trPr>
        <w:tc>
          <w:tcPr>
            <w:tcW w:w="802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240"/>
              <w:ind w:right="0" w:left="0" w:firstLine="0"/>
              <w:jc w:val="both"/>
              <w:rPr>
                <w:color w:val="auto"/>
                <w:spacing w:val="0"/>
                <w:position w:val="0"/>
                <w:sz w:val="22"/>
                <w:shd w:fill="auto" w:val="clear"/>
              </w:rPr>
            </w:pPr>
            <w:r>
              <w:rPr>
                <w:rFonts w:ascii="Arial" w:hAnsi="Arial" w:cs="Arial" w:eastAsia="Arial"/>
                <w:color w:val="auto"/>
                <w:spacing w:val="0"/>
                <w:position w:val="0"/>
                <w:sz w:val="22"/>
                <w:shd w:fill="auto" w:val="clear"/>
              </w:rPr>
              <w:t xml:space="preserve">Full-text exclusions</w:t>
            </w:r>
          </w:p>
        </w:tc>
        <w:tc>
          <w:tcPr>
            <w:tcW w:w="1541"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240"/>
              <w:ind w:right="0" w:left="0" w:firstLine="0"/>
              <w:jc w:val="both"/>
              <w:rPr>
                <w:color w:val="auto"/>
                <w:spacing w:val="0"/>
                <w:position w:val="0"/>
                <w:sz w:val="22"/>
                <w:shd w:fill="auto" w:val="clear"/>
              </w:rPr>
            </w:pPr>
            <w:r>
              <w:rPr>
                <w:rFonts w:ascii="Arial" w:hAnsi="Arial" w:cs="Arial" w:eastAsia="Arial"/>
                <w:color w:val="auto"/>
                <w:spacing w:val="0"/>
                <w:position w:val="0"/>
                <w:sz w:val="22"/>
                <w:shd w:fill="auto" w:val="clear"/>
              </w:rPr>
              <w:t xml:space="preserve">65</w:t>
            </w:r>
          </w:p>
        </w:tc>
      </w:tr>
      <w:tr>
        <w:trPr>
          <w:trHeight w:val="363" w:hRule="auto"/>
          <w:jc w:val="left"/>
        </w:trPr>
        <w:tc>
          <w:tcPr>
            <w:tcW w:w="802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240"/>
              <w:ind w:right="0" w:left="0" w:firstLine="0"/>
              <w:jc w:val="both"/>
              <w:rPr>
                <w:color w:val="auto"/>
                <w:spacing w:val="0"/>
                <w:position w:val="0"/>
                <w:sz w:val="22"/>
                <w:shd w:fill="auto" w:val="clear"/>
              </w:rPr>
            </w:pPr>
            <w:r>
              <w:rPr>
                <w:rFonts w:ascii="Arial" w:hAnsi="Arial" w:cs="Arial" w:eastAsia="Arial"/>
                <w:color w:val="auto"/>
                <w:spacing w:val="0"/>
                <w:position w:val="0"/>
                <w:sz w:val="22"/>
                <w:shd w:fill="auto" w:val="clear"/>
              </w:rPr>
              <w:t xml:space="preserve">Studies included in synthesis</w:t>
            </w:r>
          </w:p>
        </w:tc>
        <w:tc>
          <w:tcPr>
            <w:tcW w:w="1541"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240"/>
              <w:ind w:right="0" w:left="0" w:firstLine="0"/>
              <w:jc w:val="both"/>
              <w:rPr>
                <w:color w:val="auto"/>
                <w:spacing w:val="0"/>
                <w:position w:val="0"/>
                <w:sz w:val="22"/>
                <w:shd w:fill="auto" w:val="clear"/>
              </w:rPr>
            </w:pPr>
            <w:r>
              <w:rPr>
                <w:rFonts w:ascii="Arial" w:hAnsi="Arial" w:cs="Arial" w:eastAsia="Arial"/>
                <w:color w:val="auto"/>
                <w:spacing w:val="0"/>
                <w:position w:val="0"/>
                <w:sz w:val="22"/>
                <w:shd w:fill="auto" w:val="clear"/>
              </w:rPr>
              <w:t xml:space="preserve">15</w:t>
            </w:r>
          </w:p>
        </w:tc>
      </w:tr>
    </w:tbl>
    <w:p>
      <w:pPr>
        <w:spacing w:before="0" w:after="160" w:line="360"/>
        <w:ind w:right="0" w:left="0" w:firstLine="0"/>
        <w:jc w:val="both"/>
        <w:rPr>
          <w:rFonts w:ascii="Arial" w:hAnsi="Arial" w:cs="Arial" w:eastAsia="Arial"/>
          <w:color w:val="auto"/>
          <w:spacing w:val="0"/>
          <w:position w:val="0"/>
          <w:sz w:val="22"/>
          <w:shd w:fill="auto" w:val="clear"/>
        </w:rPr>
      </w:pPr>
    </w:p>
    <w:p>
      <w:pPr>
        <w:keepNext w:val="true"/>
        <w:keepLines w:val="true"/>
        <w:spacing w:before="40" w:after="0" w:line="360"/>
        <w:ind w:right="0" w:left="0" w:firstLine="0"/>
        <w:jc w:val="both"/>
        <w:rPr>
          <w:rFonts w:ascii="Arial" w:hAnsi="Arial" w:cs="Arial" w:eastAsia="Arial"/>
          <w:b/>
          <w:color w:val="auto"/>
          <w:spacing w:val="0"/>
          <w:position w:val="0"/>
          <w:sz w:val="28"/>
          <w:shd w:fill="auto" w:val="clear"/>
        </w:rPr>
      </w:pPr>
      <w:r>
        <w:rPr>
          <w:rFonts w:ascii="Arial" w:hAnsi="Arial" w:cs="Arial" w:eastAsia="Arial"/>
          <w:b/>
          <w:color w:val="auto"/>
          <w:spacing w:val="0"/>
          <w:position w:val="0"/>
          <w:sz w:val="28"/>
          <w:shd w:fill="auto" w:val="clear"/>
        </w:rPr>
        <w:t xml:space="preserve">4.3 Characteristics of the Included Evidence</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The 15 included reports were published between 2021 and 2026 and examined UK postgraduate populations. PGR and doctoral students' evidence was overwhelmingly the majority, whereas there was less direct evidence about PGT students. This imbalance itself was an important finding, as this question was about both taught and research postgraduates. Studies involved national or multi-university cross-sectional surveys, follow-up studies of pandemics, qualitative or mixed-method analyses, small intervention or evaluation of services. It ranged from a small qualitative group to a national survey of over 3000 doctoral researchers. Studies employed scales of symptoms and/or wellbeing, qualitative reporting of study experience, and indicators of help-seeking, attendance, interruption, and attrition.</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There were related cohorts which were analysed in several publications. The U-DOC national dataset provided unique analyses on symptom burden, personal/social predictors, stigma, attendance or attrition, and had both quantitative and qualitative reports produced by the Glasgow-led 479-participant dataset. The following reports were kept together due to the fact that they met the various objectives for review, but they were not perceived as separate replications for the purposes of evidence breadth. This will keep the repeated participants from reinforcing a theme. This is a brief summary of the characteristics and contribution of each report provided in Table 4.2.</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There was also a strong unequal distribution of evidence based on population and design. Most quantitative reports were based on a cross-sectional survey of either PGR students or doctoral students, with direct evidence from PGT being restricted to small institutional samples. Hosseinpur et al. (2023) offered a set of 153 international public-health postgraduates who were taught, and Marshall et al. (2026) offered qualitative data from 21 taught postgraduates. Other PGR reports, however, were based on much larger samples, such as the multi-university sample of 479 and the U-DOC sample of 3,352. Coverage was also uneven, with national and multi-university PGR studies offering a wider geographical spread, and a number of PGT, intervention and mixed-method studies taking a more localised approach, with one university or one region in England. Therefore, evidence was strongest on describing recurrent patterns of PGR and weaker for whether the same level of risk existed within taught, part-time, mature and international postgraduate groups.</w:t>
      </w:r>
    </w:p>
    <w:p>
      <w:pPr>
        <w:spacing w:before="0" w:after="160" w:line="360"/>
        <w:ind w:right="0" w:left="0" w:firstLine="0"/>
        <w:jc w:val="both"/>
        <w:rPr>
          <w:rFonts w:ascii="Arial" w:hAnsi="Arial" w:cs="Arial" w:eastAsia="Arial"/>
          <w:color w:val="auto"/>
          <w:spacing w:val="0"/>
          <w:position w:val="0"/>
          <w:sz w:val="22"/>
          <w:shd w:fill="auto" w:val="clear"/>
        </w:rPr>
      </w:pP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Table 4.2: Characteristics and contribution of the 15 included reports</w:t>
      </w:r>
    </w:p>
    <w:tbl>
      <w:tblPr/>
      <w:tblGrid>
        <w:gridCol w:w="1405"/>
        <w:gridCol w:w="1415"/>
        <w:gridCol w:w="1354"/>
        <w:gridCol w:w="2124"/>
        <w:gridCol w:w="1830"/>
        <w:gridCol w:w="1830"/>
        <w:gridCol w:w="1995"/>
        <w:gridCol w:w="2271"/>
      </w:tblGrid>
      <w:tr>
        <w:trPr>
          <w:trHeight w:val="1" w:hRule="atLeast"/>
          <w:jc w:val="left"/>
        </w:trPr>
        <w:tc>
          <w:tcPr>
            <w:tcW w:w="140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360"/>
              <w:ind w:right="0" w:left="0" w:firstLine="0"/>
              <w:jc w:val="center"/>
              <w:rPr>
                <w:color w:val="auto"/>
                <w:spacing w:val="0"/>
                <w:position w:val="0"/>
                <w:sz w:val="22"/>
                <w:shd w:fill="auto" w:val="clear"/>
              </w:rPr>
            </w:pPr>
            <w:r>
              <w:rPr>
                <w:rFonts w:ascii="Arial" w:hAnsi="Arial" w:cs="Arial" w:eastAsia="Arial"/>
                <w:b/>
                <w:color w:val="auto"/>
                <w:spacing w:val="0"/>
                <w:position w:val="0"/>
                <w:sz w:val="22"/>
                <w:shd w:fill="auto" w:val="clear"/>
              </w:rPr>
              <w:t xml:space="preserve">Study</w:t>
            </w:r>
          </w:p>
        </w:tc>
        <w:tc>
          <w:tcPr>
            <w:tcW w:w="141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360"/>
              <w:ind w:right="0" w:left="0" w:firstLine="0"/>
              <w:jc w:val="center"/>
              <w:rPr>
                <w:color w:val="auto"/>
                <w:spacing w:val="0"/>
                <w:position w:val="0"/>
                <w:sz w:val="22"/>
                <w:shd w:fill="auto" w:val="clear"/>
              </w:rPr>
            </w:pPr>
            <w:r>
              <w:rPr>
                <w:rFonts w:ascii="Arial" w:hAnsi="Arial" w:cs="Arial" w:eastAsia="Arial"/>
                <w:b/>
                <w:color w:val="auto"/>
                <w:spacing w:val="0"/>
                <w:position w:val="0"/>
                <w:sz w:val="22"/>
                <w:shd w:fill="auto" w:val="clear"/>
              </w:rPr>
              <w:t xml:space="preserve">UK setting / sample</w:t>
            </w:r>
          </w:p>
        </w:tc>
        <w:tc>
          <w:tcPr>
            <w:tcW w:w="135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360"/>
              <w:ind w:right="0" w:left="0" w:firstLine="0"/>
              <w:jc w:val="center"/>
              <w:rPr>
                <w:color w:val="auto"/>
                <w:spacing w:val="0"/>
                <w:position w:val="0"/>
                <w:sz w:val="22"/>
                <w:shd w:fill="auto" w:val="clear"/>
              </w:rPr>
            </w:pPr>
            <w:r>
              <w:rPr>
                <w:rFonts w:ascii="Arial" w:hAnsi="Arial" w:cs="Arial" w:eastAsia="Arial"/>
                <w:b/>
                <w:color w:val="auto"/>
                <w:spacing w:val="0"/>
                <w:position w:val="0"/>
                <w:sz w:val="22"/>
                <w:shd w:fill="auto" w:val="clear"/>
              </w:rPr>
              <w:t xml:space="preserve">Study design</w:t>
            </w:r>
          </w:p>
        </w:tc>
        <w:tc>
          <w:tcPr>
            <w:tcW w:w="212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360"/>
              <w:ind w:right="0" w:left="0" w:firstLine="0"/>
              <w:jc w:val="center"/>
              <w:rPr>
                <w:color w:val="auto"/>
                <w:spacing w:val="0"/>
                <w:position w:val="0"/>
                <w:sz w:val="22"/>
                <w:shd w:fill="auto" w:val="clear"/>
              </w:rPr>
            </w:pPr>
            <w:r>
              <w:rPr>
                <w:rFonts w:ascii="Arial" w:hAnsi="Arial" w:cs="Arial" w:eastAsia="Arial"/>
                <w:b/>
                <w:color w:val="auto"/>
                <w:spacing w:val="0"/>
                <w:position w:val="0"/>
                <w:sz w:val="22"/>
                <w:shd w:fill="auto" w:val="clear"/>
              </w:rPr>
              <w:t xml:space="preserve">Main result / outcome extracted</w:t>
            </w:r>
          </w:p>
        </w:tc>
        <w:tc>
          <w:tcPr>
            <w:tcW w:w="183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360"/>
              <w:ind w:right="0" w:left="0" w:firstLine="0"/>
              <w:jc w:val="center"/>
              <w:rPr>
                <w:color w:val="auto"/>
                <w:spacing w:val="0"/>
                <w:position w:val="0"/>
                <w:sz w:val="22"/>
                <w:shd w:fill="auto" w:val="clear"/>
              </w:rPr>
            </w:pPr>
            <w:r>
              <w:rPr>
                <w:rFonts w:ascii="Arial" w:hAnsi="Arial" w:cs="Arial" w:eastAsia="Arial"/>
                <w:b/>
                <w:color w:val="auto"/>
                <w:spacing w:val="0"/>
                <w:position w:val="0"/>
                <w:sz w:val="22"/>
                <w:shd w:fill="auto" w:val="clear"/>
              </w:rPr>
              <w:t xml:space="preserve">Methodological strength</w:t>
            </w:r>
          </w:p>
        </w:tc>
        <w:tc>
          <w:tcPr>
            <w:tcW w:w="183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360"/>
              <w:ind w:right="0" w:left="0" w:firstLine="0"/>
              <w:jc w:val="center"/>
              <w:rPr>
                <w:color w:val="auto"/>
                <w:spacing w:val="0"/>
                <w:position w:val="0"/>
                <w:sz w:val="22"/>
                <w:shd w:fill="auto" w:val="clear"/>
              </w:rPr>
            </w:pPr>
            <w:r>
              <w:rPr>
                <w:rFonts w:ascii="Arial" w:hAnsi="Arial" w:cs="Arial" w:eastAsia="Arial"/>
                <w:b/>
                <w:color w:val="auto"/>
                <w:spacing w:val="0"/>
                <w:position w:val="0"/>
                <w:sz w:val="22"/>
                <w:shd w:fill="auto" w:val="clear"/>
              </w:rPr>
              <w:t xml:space="preserve">Methodological limitation</w:t>
            </w:r>
          </w:p>
        </w:tc>
        <w:tc>
          <w:tcPr>
            <w:tcW w:w="199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360"/>
              <w:ind w:right="0" w:left="0" w:firstLine="0"/>
              <w:jc w:val="center"/>
              <w:rPr>
                <w:color w:val="auto"/>
                <w:spacing w:val="0"/>
                <w:position w:val="0"/>
                <w:sz w:val="22"/>
                <w:shd w:fill="auto" w:val="clear"/>
              </w:rPr>
            </w:pPr>
            <w:r>
              <w:rPr>
                <w:rFonts w:ascii="Arial" w:hAnsi="Arial" w:cs="Arial" w:eastAsia="Arial"/>
                <w:b/>
                <w:color w:val="auto"/>
                <w:spacing w:val="0"/>
                <w:position w:val="0"/>
                <w:sz w:val="22"/>
                <w:shd w:fill="auto" w:val="clear"/>
              </w:rPr>
              <w:t xml:space="preserve">Research objective / theme</w:t>
            </w:r>
          </w:p>
        </w:tc>
        <w:tc>
          <w:tcPr>
            <w:tcW w:w="2271"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center"/>
              <w:rPr>
                <w:color w:val="auto"/>
                <w:spacing w:val="0"/>
                <w:position w:val="0"/>
                <w:sz w:val="22"/>
                <w:shd w:fill="auto" w:val="clear"/>
              </w:rPr>
            </w:pPr>
            <w:r>
              <w:rPr>
                <w:rFonts w:ascii="Arial" w:hAnsi="Arial" w:cs="Arial" w:eastAsia="Arial"/>
                <w:b/>
                <w:color w:val="auto"/>
                <w:spacing w:val="0"/>
                <w:position w:val="0"/>
                <w:sz w:val="22"/>
                <w:shd w:fill="auto" w:val="clear"/>
              </w:rPr>
              <w:t xml:space="preserve">Objective / purpose</w:t>
            </w:r>
          </w:p>
        </w:tc>
      </w:tr>
      <w:tr>
        <w:trPr>
          <w:trHeight w:val="1" w:hRule="atLeast"/>
          <w:jc w:val="left"/>
        </w:trPr>
        <w:tc>
          <w:tcPr>
            <w:tcW w:w="140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360"/>
              <w:ind w:right="0" w:left="0" w:firstLine="0"/>
              <w:jc w:val="center"/>
              <w:rPr>
                <w:color w:val="auto"/>
                <w:spacing w:val="0"/>
                <w:position w:val="0"/>
                <w:shd w:fill="auto" w:val="clear"/>
              </w:rPr>
            </w:pPr>
            <w:r>
              <w:rPr>
                <w:rFonts w:ascii="Arial" w:hAnsi="Arial" w:cs="Arial" w:eastAsia="Arial"/>
                <w:b/>
                <w:color w:val="auto"/>
                <w:spacing w:val="0"/>
                <w:position w:val="0"/>
                <w:sz w:val="20"/>
                <w:shd w:fill="auto" w:val="clear"/>
              </w:rPr>
              <w:t xml:space="preserve">Hazell et al. (2021)</w:t>
            </w:r>
          </w:p>
        </w:tc>
        <w:tc>
          <w:tcPr>
            <w:tcW w:w="141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360"/>
              <w:ind w:right="0" w:left="0" w:firstLine="0"/>
              <w:jc w:val="center"/>
              <w:rPr>
                <w:color w:val="auto"/>
                <w:spacing w:val="0"/>
                <w:position w:val="0"/>
                <w:sz w:val="22"/>
                <w:shd w:fill="auto" w:val="clear"/>
              </w:rPr>
            </w:pPr>
            <w:r>
              <w:rPr>
                <w:rFonts w:ascii="Arial" w:hAnsi="Arial" w:cs="Arial" w:eastAsia="Arial"/>
                <w:color w:val="auto"/>
                <w:spacing w:val="0"/>
                <w:position w:val="0"/>
                <w:sz w:val="22"/>
                <w:shd w:fill="auto" w:val="clear"/>
              </w:rPr>
              <w:t xml:space="preserve">UK-wide; 3,352 doctoral researchers</w:t>
            </w:r>
          </w:p>
        </w:tc>
        <w:tc>
          <w:tcPr>
            <w:tcW w:w="135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360"/>
              <w:ind w:right="0" w:left="0" w:firstLine="0"/>
              <w:jc w:val="both"/>
              <w:rPr>
                <w:color w:val="auto"/>
                <w:spacing w:val="0"/>
                <w:position w:val="0"/>
                <w:sz w:val="22"/>
                <w:shd w:fill="auto" w:val="clear"/>
              </w:rPr>
            </w:pPr>
            <w:r>
              <w:rPr>
                <w:rFonts w:ascii="Arial" w:hAnsi="Arial" w:cs="Arial" w:eastAsia="Arial"/>
                <w:color w:val="auto"/>
                <w:spacing w:val="0"/>
                <w:position w:val="0"/>
                <w:sz w:val="22"/>
                <w:shd w:fill="auto" w:val="clear"/>
              </w:rPr>
              <w:t xml:space="preserve">Cross-sectional national survey</w:t>
            </w:r>
          </w:p>
        </w:tc>
        <w:tc>
          <w:tcPr>
            <w:tcW w:w="212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360"/>
              <w:ind w:right="0" w:left="0" w:firstLine="0"/>
              <w:jc w:val="both"/>
              <w:rPr>
                <w:color w:val="auto"/>
                <w:spacing w:val="0"/>
                <w:position w:val="0"/>
                <w:sz w:val="22"/>
                <w:shd w:fill="auto" w:val="clear"/>
              </w:rPr>
            </w:pPr>
            <w:r>
              <w:rPr>
                <w:rFonts w:ascii="Arial" w:hAnsi="Arial" w:cs="Arial" w:eastAsia="Arial"/>
                <w:color w:val="auto"/>
                <w:spacing w:val="0"/>
                <w:position w:val="0"/>
                <w:sz w:val="22"/>
                <w:shd w:fill="auto" w:val="clear"/>
              </w:rPr>
              <w:t xml:space="preserve">Higher depression and anxiety burden; 35.8% considered ending or taking a break from study because of mental health</w:t>
            </w:r>
          </w:p>
        </w:tc>
        <w:tc>
          <w:tcPr>
            <w:tcW w:w="183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360"/>
              <w:ind w:right="0" w:left="0" w:firstLine="0"/>
              <w:jc w:val="both"/>
              <w:rPr>
                <w:color w:val="auto"/>
                <w:spacing w:val="0"/>
                <w:position w:val="0"/>
                <w:sz w:val="22"/>
                <w:shd w:fill="auto" w:val="clear"/>
              </w:rPr>
            </w:pPr>
            <w:r>
              <w:rPr>
                <w:rFonts w:ascii="Arial" w:hAnsi="Arial" w:cs="Arial" w:eastAsia="Arial"/>
                <w:color w:val="auto"/>
                <w:spacing w:val="0"/>
                <w:position w:val="0"/>
                <w:sz w:val="22"/>
                <w:shd w:fill="auto" w:val="clear"/>
              </w:rPr>
              <w:t xml:space="preserve">Large UK-wide sample; validated measures</w:t>
            </w:r>
          </w:p>
        </w:tc>
        <w:tc>
          <w:tcPr>
            <w:tcW w:w="183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360"/>
              <w:ind w:right="0" w:left="0" w:firstLine="0"/>
              <w:jc w:val="both"/>
              <w:rPr>
                <w:color w:val="auto"/>
                <w:spacing w:val="0"/>
                <w:position w:val="0"/>
                <w:sz w:val="22"/>
                <w:shd w:fill="auto" w:val="clear"/>
              </w:rPr>
            </w:pPr>
            <w:r>
              <w:rPr>
                <w:rFonts w:ascii="Arial" w:hAnsi="Arial" w:cs="Arial" w:eastAsia="Arial"/>
                <w:color w:val="auto"/>
                <w:spacing w:val="0"/>
                <w:position w:val="0"/>
                <w:sz w:val="22"/>
                <w:shd w:fill="auto" w:val="clear"/>
              </w:rPr>
              <w:t xml:space="preserve">Cross-sectional design; potential self-selection</w:t>
            </w:r>
          </w:p>
        </w:tc>
        <w:tc>
          <w:tcPr>
            <w:tcW w:w="199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360"/>
              <w:ind w:right="0" w:left="0" w:firstLine="0"/>
              <w:jc w:val="center"/>
              <w:rPr>
                <w:color w:val="auto"/>
                <w:spacing w:val="0"/>
                <w:position w:val="0"/>
                <w:shd w:fill="auto" w:val="clear"/>
              </w:rPr>
            </w:pPr>
            <w:r>
              <w:rPr>
                <w:rFonts w:ascii="Arial" w:hAnsi="Arial" w:cs="Arial" w:eastAsia="Arial"/>
                <w:b/>
                <w:i/>
                <w:color w:val="auto"/>
                <w:spacing w:val="0"/>
                <w:position w:val="0"/>
                <w:sz w:val="20"/>
                <w:shd w:fill="auto" w:val="clear"/>
              </w:rPr>
              <w:t xml:space="preserve">RO3; T3</w:t>
            </w:r>
            <w:r>
              <w:rPr>
                <w:rFonts w:ascii="Arial" w:hAnsi="Arial" w:cs="Arial" w:eastAsia="Arial"/>
                <w:i/>
                <w:color w:val="auto"/>
                <w:spacing w:val="0"/>
                <w:position w:val="0"/>
                <w:sz w:val="20"/>
                <w:shd w:fill="auto" w:val="clear"/>
              </w:rPr>
              <w:t xml:space="preserve"> - Mental health outcomes/academic functioning</w:t>
            </w:r>
          </w:p>
        </w:tc>
        <w:tc>
          <w:tcPr>
            <w:tcW w:w="2271"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center"/>
              <w:rPr>
                <w:color w:val="auto"/>
                <w:spacing w:val="0"/>
                <w:position w:val="0"/>
                <w:sz w:val="22"/>
                <w:shd w:fill="auto" w:val="clear"/>
              </w:rPr>
            </w:pPr>
            <w:r>
              <w:rPr>
                <w:rFonts w:ascii="Arial" w:hAnsi="Arial" w:cs="Arial" w:eastAsia="Arial"/>
                <w:color w:val="auto"/>
                <w:spacing w:val="0"/>
                <w:position w:val="0"/>
                <w:sz w:val="22"/>
                <w:shd w:fill="auto" w:val="clear"/>
              </w:rPr>
              <w:t xml:space="preserve">To examine mental health and study-related consequences among UK doctoral researchers.</w:t>
            </w:r>
          </w:p>
        </w:tc>
      </w:tr>
      <w:tr>
        <w:trPr>
          <w:trHeight w:val="1" w:hRule="atLeast"/>
          <w:jc w:val="left"/>
        </w:trPr>
        <w:tc>
          <w:tcPr>
            <w:tcW w:w="140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360"/>
              <w:ind w:right="0" w:left="0" w:firstLine="0"/>
              <w:jc w:val="center"/>
              <w:rPr>
                <w:color w:val="auto"/>
                <w:spacing w:val="0"/>
                <w:position w:val="0"/>
                <w:shd w:fill="auto" w:val="clear"/>
              </w:rPr>
            </w:pPr>
            <w:r>
              <w:rPr>
                <w:rFonts w:ascii="Arial" w:hAnsi="Arial" w:cs="Arial" w:eastAsia="Arial"/>
                <w:b/>
                <w:color w:val="auto"/>
                <w:spacing w:val="0"/>
                <w:position w:val="0"/>
                <w:sz w:val="20"/>
                <w:shd w:fill="auto" w:val="clear"/>
              </w:rPr>
              <w:t xml:space="preserve">Berry, Niven and Hazell (2021a)</w:t>
            </w:r>
          </w:p>
        </w:tc>
        <w:tc>
          <w:tcPr>
            <w:tcW w:w="141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360"/>
              <w:ind w:right="0" w:left="0" w:firstLine="0"/>
              <w:jc w:val="center"/>
              <w:rPr>
                <w:color w:val="auto"/>
                <w:spacing w:val="0"/>
                <w:position w:val="0"/>
                <w:sz w:val="22"/>
                <w:shd w:fill="auto" w:val="clear"/>
              </w:rPr>
            </w:pPr>
            <w:r>
              <w:rPr>
                <w:rFonts w:ascii="Arial" w:hAnsi="Arial" w:cs="Arial" w:eastAsia="Arial"/>
                <w:color w:val="auto"/>
                <w:spacing w:val="0"/>
                <w:position w:val="0"/>
                <w:sz w:val="22"/>
                <w:shd w:fill="auto" w:val="clear"/>
              </w:rPr>
              <w:t xml:space="preserve">UK-wide; 3,352 PGRs; U-DOC cohort</w:t>
            </w:r>
          </w:p>
        </w:tc>
        <w:tc>
          <w:tcPr>
            <w:tcW w:w="135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360"/>
              <w:ind w:right="0" w:left="0" w:firstLine="0"/>
              <w:jc w:val="both"/>
              <w:rPr>
                <w:color w:val="auto"/>
                <w:spacing w:val="0"/>
                <w:position w:val="0"/>
                <w:sz w:val="22"/>
                <w:shd w:fill="auto" w:val="clear"/>
              </w:rPr>
            </w:pPr>
            <w:r>
              <w:rPr>
                <w:rFonts w:ascii="Arial" w:hAnsi="Arial" w:cs="Arial" w:eastAsia="Arial"/>
                <w:color w:val="auto"/>
                <w:spacing w:val="0"/>
                <w:position w:val="0"/>
                <w:sz w:val="22"/>
                <w:shd w:fill="auto" w:val="clear"/>
              </w:rPr>
              <w:t xml:space="preserve">Cross-sectional predictor analysis</w:t>
            </w:r>
          </w:p>
        </w:tc>
        <w:tc>
          <w:tcPr>
            <w:tcW w:w="212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360"/>
              <w:ind w:right="0" w:left="0" w:firstLine="0"/>
              <w:jc w:val="both"/>
              <w:rPr>
                <w:color w:val="auto"/>
                <w:spacing w:val="0"/>
                <w:position w:val="0"/>
                <w:sz w:val="22"/>
                <w:shd w:fill="auto" w:val="clear"/>
              </w:rPr>
            </w:pPr>
            <w:r>
              <w:rPr>
                <w:rFonts w:ascii="Arial" w:hAnsi="Arial" w:cs="Arial" w:eastAsia="Arial"/>
                <w:color w:val="auto"/>
                <w:spacing w:val="0"/>
                <w:position w:val="0"/>
                <w:sz w:val="22"/>
                <w:shd w:fill="auto" w:val="clear"/>
              </w:rPr>
              <w:t xml:space="preserve">Perfectionism, impostor thoughts, social connection and supervision were associated with psychological symptoms</w:t>
            </w:r>
          </w:p>
        </w:tc>
        <w:tc>
          <w:tcPr>
            <w:tcW w:w="183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360"/>
              <w:ind w:right="0" w:left="0" w:firstLine="0"/>
              <w:jc w:val="both"/>
              <w:rPr>
                <w:color w:val="auto"/>
                <w:spacing w:val="0"/>
                <w:position w:val="0"/>
                <w:sz w:val="22"/>
                <w:shd w:fill="auto" w:val="clear"/>
              </w:rPr>
            </w:pPr>
            <w:r>
              <w:rPr>
                <w:rFonts w:ascii="Arial" w:hAnsi="Arial" w:cs="Arial" w:eastAsia="Arial"/>
                <w:color w:val="auto"/>
                <w:spacing w:val="0"/>
                <w:position w:val="0"/>
                <w:sz w:val="22"/>
                <w:shd w:fill="auto" w:val="clear"/>
              </w:rPr>
              <w:t xml:space="preserve">Large national dataset; multivariable analysis</w:t>
            </w:r>
          </w:p>
        </w:tc>
        <w:tc>
          <w:tcPr>
            <w:tcW w:w="183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360"/>
              <w:ind w:right="0" w:left="0" w:firstLine="0"/>
              <w:jc w:val="both"/>
              <w:rPr>
                <w:color w:val="auto"/>
                <w:spacing w:val="0"/>
                <w:position w:val="0"/>
                <w:sz w:val="22"/>
                <w:shd w:fill="auto" w:val="clear"/>
              </w:rPr>
            </w:pPr>
            <w:r>
              <w:rPr>
                <w:rFonts w:ascii="Arial" w:hAnsi="Arial" w:cs="Arial" w:eastAsia="Arial"/>
                <w:color w:val="auto"/>
                <w:spacing w:val="0"/>
                <w:position w:val="0"/>
                <w:sz w:val="22"/>
                <w:shd w:fill="auto" w:val="clear"/>
              </w:rPr>
              <w:t xml:space="preserve">Evidence derived from linked U-DOC cohort</w:t>
            </w:r>
          </w:p>
        </w:tc>
        <w:tc>
          <w:tcPr>
            <w:tcW w:w="199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360"/>
              <w:ind w:right="0" w:left="0" w:firstLine="0"/>
              <w:jc w:val="center"/>
              <w:rPr>
                <w:color w:val="auto"/>
                <w:spacing w:val="0"/>
                <w:position w:val="0"/>
                <w:shd w:fill="auto" w:val="clear"/>
              </w:rPr>
            </w:pPr>
            <w:r>
              <w:rPr>
                <w:rFonts w:ascii="Arial" w:hAnsi="Arial" w:cs="Arial" w:eastAsia="Arial"/>
                <w:b/>
                <w:i/>
                <w:color w:val="auto"/>
                <w:spacing w:val="0"/>
                <w:position w:val="0"/>
                <w:sz w:val="20"/>
                <w:shd w:fill="auto" w:val="clear"/>
              </w:rPr>
              <w:t xml:space="preserve">RO3; T2/T3</w:t>
            </w:r>
            <w:r>
              <w:rPr>
                <w:rFonts w:ascii="Arial" w:hAnsi="Arial" w:cs="Arial" w:eastAsia="Arial"/>
                <w:i/>
                <w:color w:val="auto"/>
                <w:spacing w:val="0"/>
                <w:position w:val="0"/>
                <w:sz w:val="20"/>
                <w:shd w:fill="auto" w:val="clear"/>
              </w:rPr>
              <w:t xml:space="preserve"> - Academic/relational pressures; mental health outcomes</w:t>
            </w:r>
          </w:p>
        </w:tc>
        <w:tc>
          <w:tcPr>
            <w:tcW w:w="2271"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center"/>
              <w:rPr>
                <w:color w:val="auto"/>
                <w:spacing w:val="0"/>
                <w:position w:val="0"/>
                <w:sz w:val="22"/>
                <w:shd w:fill="auto" w:val="clear"/>
              </w:rPr>
            </w:pPr>
            <w:r>
              <w:rPr>
                <w:rFonts w:ascii="Arial" w:hAnsi="Arial" w:cs="Arial" w:eastAsia="Arial"/>
                <w:color w:val="auto"/>
                <w:spacing w:val="0"/>
                <w:position w:val="0"/>
                <w:sz w:val="22"/>
                <w:shd w:fill="auto" w:val="clear"/>
              </w:rPr>
              <w:t xml:space="preserve">To examine individual and social predictors of mental-health symptoms among postgraduate researchers.</w:t>
            </w:r>
          </w:p>
        </w:tc>
      </w:tr>
      <w:tr>
        <w:trPr>
          <w:trHeight w:val="1" w:hRule="atLeast"/>
          <w:jc w:val="left"/>
        </w:trPr>
        <w:tc>
          <w:tcPr>
            <w:tcW w:w="140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360"/>
              <w:ind w:right="0" w:left="0" w:firstLine="0"/>
              <w:jc w:val="center"/>
              <w:rPr>
                <w:color w:val="auto"/>
                <w:spacing w:val="0"/>
                <w:position w:val="0"/>
                <w:shd w:fill="auto" w:val="clear"/>
              </w:rPr>
            </w:pPr>
            <w:r>
              <w:rPr>
                <w:rFonts w:ascii="Arial" w:hAnsi="Arial" w:cs="Arial" w:eastAsia="Arial"/>
                <w:b/>
                <w:color w:val="auto"/>
                <w:spacing w:val="0"/>
                <w:position w:val="0"/>
                <w:sz w:val="20"/>
                <w:shd w:fill="auto" w:val="clear"/>
              </w:rPr>
              <w:t xml:space="preserve">Berry et al. (2021b)</w:t>
            </w:r>
          </w:p>
        </w:tc>
        <w:tc>
          <w:tcPr>
            <w:tcW w:w="141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360"/>
              <w:ind w:right="0" w:left="0" w:firstLine="0"/>
              <w:jc w:val="center"/>
              <w:rPr>
                <w:color w:val="auto"/>
                <w:spacing w:val="0"/>
                <w:position w:val="0"/>
                <w:sz w:val="22"/>
                <w:shd w:fill="auto" w:val="clear"/>
              </w:rPr>
            </w:pPr>
            <w:r>
              <w:rPr>
                <w:rFonts w:ascii="Arial" w:hAnsi="Arial" w:cs="Arial" w:eastAsia="Arial"/>
                <w:color w:val="auto"/>
                <w:spacing w:val="0"/>
                <w:position w:val="0"/>
                <w:sz w:val="22"/>
                <w:shd w:fill="auto" w:val="clear"/>
              </w:rPr>
              <w:t xml:space="preserve">UK-wide; 3,352 PGRs; U-DOC cohort</w:t>
            </w:r>
          </w:p>
        </w:tc>
        <w:tc>
          <w:tcPr>
            <w:tcW w:w="135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360"/>
              <w:ind w:right="0" w:left="0" w:firstLine="0"/>
              <w:jc w:val="both"/>
              <w:rPr>
                <w:color w:val="auto"/>
                <w:spacing w:val="0"/>
                <w:position w:val="0"/>
                <w:sz w:val="22"/>
                <w:shd w:fill="auto" w:val="clear"/>
              </w:rPr>
            </w:pPr>
            <w:r>
              <w:rPr>
                <w:rFonts w:ascii="Arial" w:hAnsi="Arial" w:cs="Arial" w:eastAsia="Arial"/>
                <w:color w:val="auto"/>
                <w:spacing w:val="0"/>
                <w:position w:val="0"/>
                <w:sz w:val="22"/>
                <w:shd w:fill="auto" w:val="clear"/>
              </w:rPr>
              <w:t xml:space="preserve">Mixed methods</w:t>
            </w:r>
          </w:p>
        </w:tc>
        <w:tc>
          <w:tcPr>
            <w:tcW w:w="212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360"/>
              <w:ind w:right="0" w:left="0" w:firstLine="0"/>
              <w:jc w:val="both"/>
              <w:rPr>
                <w:color w:val="auto"/>
                <w:spacing w:val="0"/>
                <w:position w:val="0"/>
                <w:sz w:val="22"/>
                <w:shd w:fill="auto" w:val="clear"/>
              </w:rPr>
            </w:pPr>
            <w:r>
              <w:rPr>
                <w:rFonts w:ascii="Arial" w:hAnsi="Arial" w:cs="Arial" w:eastAsia="Arial"/>
                <w:color w:val="auto"/>
                <w:spacing w:val="0"/>
                <w:position w:val="0"/>
                <w:sz w:val="22"/>
                <w:shd w:fill="auto" w:val="clear"/>
              </w:rPr>
              <w:t xml:space="preserve">Stigma and discrimination were associated with absenteeism and presenteeism</w:t>
            </w:r>
          </w:p>
        </w:tc>
        <w:tc>
          <w:tcPr>
            <w:tcW w:w="183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360"/>
              <w:ind w:right="0" w:left="0" w:firstLine="0"/>
              <w:jc w:val="both"/>
              <w:rPr>
                <w:color w:val="auto"/>
                <w:spacing w:val="0"/>
                <w:position w:val="0"/>
                <w:sz w:val="22"/>
                <w:shd w:fill="auto" w:val="clear"/>
              </w:rPr>
            </w:pPr>
            <w:r>
              <w:rPr>
                <w:rFonts w:ascii="Arial" w:hAnsi="Arial" w:cs="Arial" w:eastAsia="Arial"/>
                <w:color w:val="auto"/>
                <w:spacing w:val="0"/>
                <w:position w:val="0"/>
                <w:sz w:val="22"/>
                <w:shd w:fill="auto" w:val="clear"/>
              </w:rPr>
              <w:t xml:space="preserve">Integrated quantitative and qualitative evidence</w:t>
            </w:r>
          </w:p>
        </w:tc>
        <w:tc>
          <w:tcPr>
            <w:tcW w:w="183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360"/>
              <w:ind w:right="0" w:left="0" w:firstLine="0"/>
              <w:jc w:val="both"/>
              <w:rPr>
                <w:color w:val="auto"/>
                <w:spacing w:val="0"/>
                <w:position w:val="0"/>
                <w:sz w:val="22"/>
                <w:shd w:fill="auto" w:val="clear"/>
              </w:rPr>
            </w:pPr>
            <w:r>
              <w:rPr>
                <w:rFonts w:ascii="Arial" w:hAnsi="Arial" w:cs="Arial" w:eastAsia="Arial"/>
                <w:color w:val="auto"/>
                <w:spacing w:val="0"/>
                <w:position w:val="0"/>
                <w:sz w:val="22"/>
                <w:shd w:fill="auto" w:val="clear"/>
              </w:rPr>
              <w:t xml:space="preserve">Mainly cross-sectional evidence; linked cohort</w:t>
            </w:r>
          </w:p>
        </w:tc>
        <w:tc>
          <w:tcPr>
            <w:tcW w:w="199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360"/>
              <w:ind w:right="0" w:left="0" w:firstLine="0"/>
              <w:jc w:val="center"/>
              <w:rPr>
                <w:color w:val="auto"/>
                <w:spacing w:val="0"/>
                <w:position w:val="0"/>
                <w:shd w:fill="auto" w:val="clear"/>
              </w:rPr>
            </w:pPr>
            <w:r>
              <w:rPr>
                <w:rFonts w:ascii="Arial" w:hAnsi="Arial" w:cs="Arial" w:eastAsia="Arial"/>
                <w:b/>
                <w:i/>
                <w:color w:val="auto"/>
                <w:spacing w:val="0"/>
                <w:position w:val="0"/>
                <w:sz w:val="20"/>
                <w:shd w:fill="auto" w:val="clear"/>
              </w:rPr>
              <w:t xml:space="preserve">RO3/RO4; T3/T4</w:t>
            </w:r>
            <w:r>
              <w:rPr>
                <w:rFonts w:ascii="Arial" w:hAnsi="Arial" w:cs="Arial" w:eastAsia="Arial"/>
                <w:i/>
                <w:color w:val="auto"/>
                <w:spacing w:val="0"/>
                <w:position w:val="0"/>
                <w:sz w:val="20"/>
                <w:shd w:fill="auto" w:val="clear"/>
              </w:rPr>
              <w:t xml:space="preserve"> - Mental health/academic functioning; help-seeking/support</w:t>
            </w:r>
          </w:p>
        </w:tc>
        <w:tc>
          <w:tcPr>
            <w:tcW w:w="2271"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center"/>
              <w:rPr>
                <w:color w:val="auto"/>
                <w:spacing w:val="0"/>
                <w:position w:val="0"/>
                <w:sz w:val="22"/>
                <w:shd w:fill="auto" w:val="clear"/>
              </w:rPr>
            </w:pPr>
            <w:r>
              <w:rPr>
                <w:rFonts w:ascii="Arial" w:hAnsi="Arial" w:cs="Arial" w:eastAsia="Arial"/>
                <w:color w:val="auto"/>
                <w:spacing w:val="0"/>
                <w:position w:val="0"/>
                <w:sz w:val="22"/>
                <w:shd w:fill="auto" w:val="clear"/>
              </w:rPr>
              <w:t xml:space="preserve">To examine stigma/discrimination and its relationship with academic functioning and mental health.</w:t>
            </w:r>
          </w:p>
        </w:tc>
      </w:tr>
      <w:tr>
        <w:trPr>
          <w:trHeight w:val="1" w:hRule="atLeast"/>
          <w:jc w:val="left"/>
        </w:trPr>
        <w:tc>
          <w:tcPr>
            <w:tcW w:w="140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360"/>
              <w:ind w:right="0" w:left="0" w:firstLine="0"/>
              <w:jc w:val="center"/>
              <w:rPr>
                <w:color w:val="auto"/>
                <w:spacing w:val="0"/>
                <w:position w:val="0"/>
                <w:shd w:fill="auto" w:val="clear"/>
              </w:rPr>
            </w:pPr>
            <w:r>
              <w:rPr>
                <w:rFonts w:ascii="Arial" w:hAnsi="Arial" w:cs="Arial" w:eastAsia="Arial"/>
                <w:b/>
                <w:color w:val="auto"/>
                <w:spacing w:val="0"/>
                <w:position w:val="0"/>
                <w:sz w:val="20"/>
                <w:shd w:fill="auto" w:val="clear"/>
              </w:rPr>
              <w:t xml:space="preserve">Homer et al. (2021)</w:t>
            </w:r>
          </w:p>
        </w:tc>
        <w:tc>
          <w:tcPr>
            <w:tcW w:w="141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360"/>
              <w:ind w:right="0" w:left="0" w:firstLine="0"/>
              <w:jc w:val="center"/>
              <w:rPr>
                <w:color w:val="auto"/>
                <w:spacing w:val="0"/>
                <w:position w:val="0"/>
                <w:sz w:val="22"/>
                <w:shd w:fill="auto" w:val="clear"/>
              </w:rPr>
            </w:pPr>
            <w:r>
              <w:rPr>
                <w:rFonts w:ascii="Arial" w:hAnsi="Arial" w:cs="Arial" w:eastAsia="Arial"/>
                <w:color w:val="auto"/>
                <w:spacing w:val="0"/>
                <w:position w:val="0"/>
                <w:sz w:val="22"/>
                <w:shd w:fill="auto" w:val="clear"/>
              </w:rPr>
              <w:t xml:space="preserve">University of Plymouth; 116 workshop attendees; 74 feedback responses</w:t>
            </w:r>
          </w:p>
        </w:tc>
        <w:tc>
          <w:tcPr>
            <w:tcW w:w="135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360"/>
              <w:ind w:right="0" w:left="0" w:firstLine="0"/>
              <w:jc w:val="both"/>
              <w:rPr>
                <w:color w:val="auto"/>
                <w:spacing w:val="0"/>
                <w:position w:val="0"/>
                <w:sz w:val="22"/>
                <w:shd w:fill="auto" w:val="clear"/>
              </w:rPr>
            </w:pPr>
            <w:r>
              <w:rPr>
                <w:rFonts w:ascii="Arial" w:hAnsi="Arial" w:cs="Arial" w:eastAsia="Arial"/>
                <w:color w:val="auto"/>
                <w:spacing w:val="0"/>
                <w:position w:val="0"/>
                <w:sz w:val="22"/>
                <w:shd w:fill="auto" w:val="clear"/>
              </w:rPr>
              <w:t xml:space="preserve">Mixed-method intervention evaluation</w:t>
            </w:r>
          </w:p>
        </w:tc>
        <w:tc>
          <w:tcPr>
            <w:tcW w:w="212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360"/>
              <w:ind w:right="0" w:left="0" w:firstLine="0"/>
              <w:jc w:val="both"/>
              <w:rPr>
                <w:color w:val="auto"/>
                <w:spacing w:val="0"/>
                <w:position w:val="0"/>
                <w:sz w:val="22"/>
                <w:shd w:fill="auto" w:val="clear"/>
              </w:rPr>
            </w:pPr>
            <w:r>
              <w:rPr>
                <w:rFonts w:ascii="Arial" w:hAnsi="Arial" w:cs="Arial" w:eastAsia="Arial"/>
                <w:color w:val="auto"/>
                <w:spacing w:val="0"/>
                <w:position w:val="0"/>
                <w:sz w:val="22"/>
                <w:shd w:fill="auto" w:val="clear"/>
              </w:rPr>
              <w:t xml:space="preserve">Peer-led preventive workshops were well received by participants</w:t>
            </w:r>
          </w:p>
        </w:tc>
        <w:tc>
          <w:tcPr>
            <w:tcW w:w="183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360"/>
              <w:ind w:right="0" w:left="0" w:firstLine="0"/>
              <w:jc w:val="both"/>
              <w:rPr>
                <w:color w:val="auto"/>
                <w:spacing w:val="0"/>
                <w:position w:val="0"/>
                <w:sz w:val="22"/>
                <w:shd w:fill="auto" w:val="clear"/>
              </w:rPr>
            </w:pPr>
            <w:r>
              <w:rPr>
                <w:rFonts w:ascii="Arial" w:hAnsi="Arial" w:cs="Arial" w:eastAsia="Arial"/>
                <w:color w:val="auto"/>
                <w:spacing w:val="0"/>
                <w:position w:val="0"/>
                <w:sz w:val="22"/>
                <w:shd w:fill="auto" w:val="clear"/>
              </w:rPr>
              <w:t xml:space="preserve">Real-world intervention evaluation</w:t>
            </w:r>
          </w:p>
        </w:tc>
        <w:tc>
          <w:tcPr>
            <w:tcW w:w="183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360"/>
              <w:ind w:right="0" w:left="0" w:firstLine="0"/>
              <w:jc w:val="both"/>
              <w:rPr>
                <w:color w:val="auto"/>
                <w:spacing w:val="0"/>
                <w:position w:val="0"/>
                <w:sz w:val="22"/>
                <w:shd w:fill="auto" w:val="clear"/>
              </w:rPr>
            </w:pPr>
            <w:r>
              <w:rPr>
                <w:rFonts w:ascii="Arial" w:hAnsi="Arial" w:cs="Arial" w:eastAsia="Arial"/>
                <w:color w:val="auto"/>
                <w:spacing w:val="0"/>
                <w:position w:val="0"/>
                <w:sz w:val="22"/>
                <w:shd w:fill="auto" w:val="clear"/>
              </w:rPr>
              <w:t xml:space="preserve">Single institution; no control group</w:t>
            </w:r>
          </w:p>
        </w:tc>
        <w:tc>
          <w:tcPr>
            <w:tcW w:w="199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360"/>
              <w:ind w:right="0" w:left="0" w:firstLine="0"/>
              <w:jc w:val="center"/>
              <w:rPr>
                <w:color w:val="auto"/>
                <w:spacing w:val="0"/>
                <w:position w:val="0"/>
                <w:shd w:fill="auto" w:val="clear"/>
              </w:rPr>
            </w:pPr>
            <w:r>
              <w:rPr>
                <w:rFonts w:ascii="Arial" w:hAnsi="Arial" w:cs="Arial" w:eastAsia="Arial"/>
                <w:b/>
                <w:i/>
                <w:color w:val="auto"/>
                <w:spacing w:val="0"/>
                <w:position w:val="0"/>
                <w:sz w:val="20"/>
                <w:shd w:fill="auto" w:val="clear"/>
              </w:rPr>
              <w:t xml:space="preserve">RO4; T4</w:t>
            </w:r>
            <w:r>
              <w:rPr>
                <w:rFonts w:ascii="Arial" w:hAnsi="Arial" w:cs="Arial" w:eastAsia="Arial"/>
                <w:i/>
                <w:color w:val="auto"/>
                <w:spacing w:val="0"/>
                <w:position w:val="0"/>
                <w:sz w:val="20"/>
                <w:shd w:fill="auto" w:val="clear"/>
              </w:rPr>
              <w:t xml:space="preserve"> - Help-seeking and support</w:t>
            </w:r>
          </w:p>
        </w:tc>
        <w:tc>
          <w:tcPr>
            <w:tcW w:w="2271"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center"/>
              <w:rPr>
                <w:color w:val="auto"/>
                <w:spacing w:val="0"/>
                <w:position w:val="0"/>
                <w:sz w:val="22"/>
                <w:shd w:fill="auto" w:val="clear"/>
              </w:rPr>
            </w:pPr>
            <w:r>
              <w:rPr>
                <w:rFonts w:ascii="Arial" w:hAnsi="Arial" w:cs="Arial" w:eastAsia="Arial"/>
                <w:color w:val="auto"/>
                <w:spacing w:val="0"/>
                <w:position w:val="0"/>
                <w:sz w:val="22"/>
                <w:shd w:fill="auto" w:val="clear"/>
              </w:rPr>
              <w:t xml:space="preserve">To evaluate a peer-led preventive mental-health intervention for postgraduate researchers.</w:t>
            </w:r>
          </w:p>
        </w:tc>
      </w:tr>
      <w:tr>
        <w:trPr>
          <w:trHeight w:val="1" w:hRule="atLeast"/>
          <w:jc w:val="left"/>
        </w:trPr>
        <w:tc>
          <w:tcPr>
            <w:tcW w:w="140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360"/>
              <w:ind w:right="0" w:left="0" w:firstLine="0"/>
              <w:jc w:val="center"/>
              <w:rPr>
                <w:color w:val="auto"/>
                <w:spacing w:val="0"/>
                <w:position w:val="0"/>
                <w:shd w:fill="auto" w:val="clear"/>
              </w:rPr>
            </w:pPr>
            <w:r>
              <w:rPr>
                <w:rFonts w:ascii="Arial" w:hAnsi="Arial" w:cs="Arial" w:eastAsia="Arial"/>
                <w:b/>
                <w:color w:val="auto"/>
                <w:spacing w:val="0"/>
                <w:position w:val="0"/>
                <w:sz w:val="20"/>
                <w:shd w:fill="auto" w:val="clear"/>
              </w:rPr>
              <w:t xml:space="preserve">Carr et al. (2022a)</w:t>
            </w:r>
          </w:p>
        </w:tc>
        <w:tc>
          <w:tcPr>
            <w:tcW w:w="141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360"/>
              <w:ind w:right="0" w:left="0" w:firstLine="0"/>
              <w:jc w:val="center"/>
              <w:rPr>
                <w:color w:val="auto"/>
                <w:spacing w:val="0"/>
                <w:position w:val="0"/>
                <w:sz w:val="22"/>
                <w:shd w:fill="auto" w:val="clear"/>
              </w:rPr>
            </w:pPr>
            <w:r>
              <w:rPr>
                <w:rFonts w:ascii="Arial" w:hAnsi="Arial" w:cs="Arial" w:eastAsia="Arial"/>
                <w:color w:val="auto"/>
                <w:spacing w:val="0"/>
                <w:position w:val="0"/>
                <w:sz w:val="22"/>
                <w:shd w:fill="auto" w:val="clear"/>
              </w:rPr>
              <w:t xml:space="preserve">King’s College London; staff and PGR cohort</w:t>
            </w:r>
          </w:p>
        </w:tc>
        <w:tc>
          <w:tcPr>
            <w:tcW w:w="135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360"/>
              <w:ind w:right="0" w:left="0" w:firstLine="0"/>
              <w:jc w:val="both"/>
              <w:rPr>
                <w:color w:val="auto"/>
                <w:spacing w:val="0"/>
                <w:position w:val="0"/>
                <w:sz w:val="22"/>
                <w:shd w:fill="auto" w:val="clear"/>
              </w:rPr>
            </w:pPr>
            <w:r>
              <w:rPr>
                <w:rFonts w:ascii="Arial" w:hAnsi="Arial" w:cs="Arial" w:eastAsia="Arial"/>
                <w:color w:val="auto"/>
                <w:spacing w:val="0"/>
                <w:position w:val="0"/>
                <w:sz w:val="22"/>
                <w:shd w:fill="auto" w:val="clear"/>
              </w:rPr>
              <w:t xml:space="preserve">Cross-sectional survey</w:t>
            </w:r>
          </w:p>
        </w:tc>
        <w:tc>
          <w:tcPr>
            <w:tcW w:w="212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360"/>
              <w:ind w:right="0" w:left="0" w:firstLine="0"/>
              <w:jc w:val="both"/>
              <w:rPr>
                <w:color w:val="auto"/>
                <w:spacing w:val="0"/>
                <w:position w:val="0"/>
                <w:sz w:val="22"/>
                <w:shd w:fill="auto" w:val="clear"/>
              </w:rPr>
            </w:pPr>
            <w:r>
              <w:rPr>
                <w:rFonts w:ascii="Arial" w:hAnsi="Arial" w:cs="Arial" w:eastAsia="Arial"/>
                <w:color w:val="auto"/>
                <w:spacing w:val="0"/>
                <w:position w:val="0"/>
                <w:sz w:val="22"/>
                <w:shd w:fill="auto" w:val="clear"/>
              </w:rPr>
              <w:t xml:space="preserve">Approximately 30% of PGRs met probable depression/anxiety thresholds during the early pandemic</w:t>
            </w:r>
          </w:p>
        </w:tc>
        <w:tc>
          <w:tcPr>
            <w:tcW w:w="183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360"/>
              <w:ind w:right="0" w:left="0" w:firstLine="0"/>
              <w:jc w:val="both"/>
              <w:rPr>
                <w:color w:val="auto"/>
                <w:spacing w:val="0"/>
                <w:position w:val="0"/>
                <w:sz w:val="22"/>
                <w:shd w:fill="auto" w:val="clear"/>
              </w:rPr>
            </w:pPr>
            <w:r>
              <w:rPr>
                <w:rFonts w:ascii="Arial" w:hAnsi="Arial" w:cs="Arial" w:eastAsia="Arial"/>
                <w:color w:val="auto"/>
                <w:spacing w:val="0"/>
                <w:position w:val="0"/>
                <w:sz w:val="22"/>
                <w:shd w:fill="auto" w:val="clear"/>
              </w:rPr>
              <w:t xml:space="preserve">Large weighted cohort</w:t>
            </w:r>
          </w:p>
        </w:tc>
        <w:tc>
          <w:tcPr>
            <w:tcW w:w="183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360"/>
              <w:ind w:right="0" w:left="0" w:firstLine="0"/>
              <w:jc w:val="both"/>
              <w:rPr>
                <w:color w:val="auto"/>
                <w:spacing w:val="0"/>
                <w:position w:val="0"/>
                <w:sz w:val="22"/>
                <w:shd w:fill="auto" w:val="clear"/>
              </w:rPr>
            </w:pPr>
            <w:r>
              <w:rPr>
                <w:rFonts w:ascii="Arial" w:hAnsi="Arial" w:cs="Arial" w:eastAsia="Arial"/>
                <w:color w:val="auto"/>
                <w:spacing w:val="0"/>
                <w:position w:val="0"/>
                <w:sz w:val="22"/>
                <w:shd w:fill="auto" w:val="clear"/>
              </w:rPr>
              <w:t xml:space="preserve">Pandemic-specific setting; mixed staff/PGR sample</w:t>
            </w:r>
          </w:p>
        </w:tc>
        <w:tc>
          <w:tcPr>
            <w:tcW w:w="199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360"/>
              <w:ind w:right="0" w:left="0" w:firstLine="0"/>
              <w:jc w:val="center"/>
              <w:rPr>
                <w:color w:val="auto"/>
                <w:spacing w:val="0"/>
                <w:position w:val="0"/>
                <w:shd w:fill="auto" w:val="clear"/>
              </w:rPr>
            </w:pPr>
            <w:r>
              <w:rPr>
                <w:rFonts w:ascii="Arial" w:hAnsi="Arial" w:cs="Arial" w:eastAsia="Arial"/>
                <w:b/>
                <w:i/>
                <w:color w:val="auto"/>
                <w:spacing w:val="0"/>
                <w:position w:val="0"/>
                <w:sz w:val="20"/>
                <w:shd w:fill="auto" w:val="clear"/>
              </w:rPr>
              <w:t xml:space="preserve">RO3; T3</w:t>
            </w:r>
            <w:r>
              <w:rPr>
                <w:rFonts w:ascii="Arial" w:hAnsi="Arial" w:cs="Arial" w:eastAsia="Arial"/>
                <w:i/>
                <w:color w:val="auto"/>
                <w:spacing w:val="0"/>
                <w:position w:val="0"/>
                <w:sz w:val="20"/>
                <w:shd w:fill="auto" w:val="clear"/>
              </w:rPr>
              <w:t xml:space="preserve"> - Mental health outcomes</w:t>
            </w:r>
          </w:p>
        </w:tc>
        <w:tc>
          <w:tcPr>
            <w:tcW w:w="2271"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center"/>
              <w:rPr>
                <w:color w:val="auto"/>
                <w:spacing w:val="0"/>
                <w:position w:val="0"/>
                <w:sz w:val="22"/>
                <w:shd w:fill="auto" w:val="clear"/>
              </w:rPr>
            </w:pPr>
            <w:r>
              <w:rPr>
                <w:rFonts w:ascii="Arial" w:hAnsi="Arial" w:cs="Arial" w:eastAsia="Arial"/>
                <w:color w:val="auto"/>
                <w:spacing w:val="0"/>
                <w:position w:val="0"/>
                <w:sz w:val="22"/>
                <w:shd w:fill="auto" w:val="clear"/>
              </w:rPr>
              <w:t xml:space="preserve">To assess psychological health among university staff and PGRs during the COVID-19 period.</w:t>
            </w:r>
          </w:p>
        </w:tc>
      </w:tr>
      <w:tr>
        <w:trPr>
          <w:trHeight w:val="1" w:hRule="atLeast"/>
          <w:jc w:val="left"/>
        </w:trPr>
        <w:tc>
          <w:tcPr>
            <w:tcW w:w="140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360"/>
              <w:ind w:right="0" w:left="0" w:firstLine="0"/>
              <w:jc w:val="center"/>
              <w:rPr>
                <w:color w:val="auto"/>
                <w:spacing w:val="0"/>
                <w:position w:val="0"/>
                <w:shd w:fill="auto" w:val="clear"/>
              </w:rPr>
            </w:pPr>
            <w:r>
              <w:rPr>
                <w:rFonts w:ascii="Arial" w:hAnsi="Arial" w:cs="Arial" w:eastAsia="Arial"/>
                <w:b/>
                <w:color w:val="auto"/>
                <w:spacing w:val="0"/>
                <w:position w:val="0"/>
                <w:sz w:val="20"/>
                <w:shd w:fill="auto" w:val="clear"/>
              </w:rPr>
              <w:t xml:space="preserve">Moss et al. (2022)</w:t>
            </w:r>
          </w:p>
        </w:tc>
        <w:tc>
          <w:tcPr>
            <w:tcW w:w="141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360"/>
              <w:ind w:right="0" w:left="0" w:firstLine="0"/>
              <w:jc w:val="center"/>
              <w:rPr>
                <w:color w:val="auto"/>
                <w:spacing w:val="0"/>
                <w:position w:val="0"/>
                <w:sz w:val="22"/>
                <w:shd w:fill="auto" w:val="clear"/>
              </w:rPr>
            </w:pPr>
            <w:r>
              <w:rPr>
                <w:rFonts w:ascii="Arial" w:hAnsi="Arial" w:cs="Arial" w:eastAsia="Arial"/>
                <w:color w:val="auto"/>
                <w:spacing w:val="0"/>
                <w:position w:val="0"/>
                <w:sz w:val="22"/>
                <w:shd w:fill="auto" w:val="clear"/>
              </w:rPr>
              <w:t xml:space="preserve">Two English universities; 241 PGRs</w:t>
            </w:r>
          </w:p>
        </w:tc>
        <w:tc>
          <w:tcPr>
            <w:tcW w:w="135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360"/>
              <w:ind w:right="0" w:left="0" w:firstLine="0"/>
              <w:jc w:val="both"/>
              <w:rPr>
                <w:color w:val="auto"/>
                <w:spacing w:val="0"/>
                <w:position w:val="0"/>
                <w:sz w:val="22"/>
                <w:shd w:fill="auto" w:val="clear"/>
              </w:rPr>
            </w:pPr>
            <w:r>
              <w:rPr>
                <w:rFonts w:ascii="Arial" w:hAnsi="Arial" w:cs="Arial" w:eastAsia="Arial"/>
                <w:color w:val="auto"/>
                <w:spacing w:val="0"/>
                <w:position w:val="0"/>
                <w:sz w:val="22"/>
                <w:shd w:fill="auto" w:val="clear"/>
              </w:rPr>
              <w:t xml:space="preserve">Cross-sectional survey</w:t>
            </w:r>
          </w:p>
        </w:tc>
        <w:tc>
          <w:tcPr>
            <w:tcW w:w="212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360"/>
              <w:ind w:right="0" w:left="0" w:firstLine="0"/>
              <w:jc w:val="both"/>
              <w:rPr>
                <w:color w:val="auto"/>
                <w:spacing w:val="0"/>
                <w:position w:val="0"/>
                <w:sz w:val="22"/>
                <w:shd w:fill="auto" w:val="clear"/>
              </w:rPr>
            </w:pPr>
            <w:r>
              <w:rPr>
                <w:rFonts w:ascii="Arial" w:hAnsi="Arial" w:cs="Arial" w:eastAsia="Arial"/>
                <w:color w:val="auto"/>
                <w:spacing w:val="0"/>
                <w:position w:val="0"/>
                <w:sz w:val="22"/>
                <w:shd w:fill="auto" w:val="clear"/>
              </w:rPr>
              <w:t xml:space="preserve">70% reported mild-to-severe psychological distress; poorer wellbeing was associated with distress and reduced help-seeking</w:t>
            </w:r>
          </w:p>
        </w:tc>
        <w:tc>
          <w:tcPr>
            <w:tcW w:w="183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360"/>
              <w:ind w:right="0" w:left="0" w:firstLine="0"/>
              <w:jc w:val="both"/>
              <w:rPr>
                <w:color w:val="auto"/>
                <w:spacing w:val="0"/>
                <w:position w:val="0"/>
                <w:sz w:val="22"/>
                <w:shd w:fill="auto" w:val="clear"/>
              </w:rPr>
            </w:pPr>
            <w:r>
              <w:rPr>
                <w:rFonts w:ascii="Arial" w:hAnsi="Arial" w:cs="Arial" w:eastAsia="Arial"/>
                <w:color w:val="auto"/>
                <w:spacing w:val="0"/>
                <w:position w:val="0"/>
                <w:sz w:val="22"/>
                <w:shd w:fill="auto" w:val="clear"/>
              </w:rPr>
              <w:t xml:space="preserve">Validated constructs</w:t>
            </w:r>
          </w:p>
        </w:tc>
        <w:tc>
          <w:tcPr>
            <w:tcW w:w="183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360"/>
              <w:ind w:right="0" w:left="0" w:firstLine="0"/>
              <w:jc w:val="both"/>
              <w:rPr>
                <w:color w:val="auto"/>
                <w:spacing w:val="0"/>
                <w:position w:val="0"/>
                <w:sz w:val="22"/>
                <w:shd w:fill="auto" w:val="clear"/>
              </w:rPr>
            </w:pPr>
            <w:r>
              <w:rPr>
                <w:rFonts w:ascii="Arial" w:hAnsi="Arial" w:cs="Arial" w:eastAsia="Arial"/>
                <w:color w:val="auto"/>
                <w:spacing w:val="0"/>
                <w:position w:val="0"/>
                <w:sz w:val="22"/>
                <w:shd w:fill="auto" w:val="clear"/>
              </w:rPr>
              <w:t xml:space="preserve">Voluntary sample from only two universities</w:t>
            </w:r>
          </w:p>
        </w:tc>
        <w:tc>
          <w:tcPr>
            <w:tcW w:w="199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360"/>
              <w:ind w:right="0" w:left="0" w:firstLine="0"/>
              <w:jc w:val="center"/>
              <w:rPr>
                <w:color w:val="auto"/>
                <w:spacing w:val="0"/>
                <w:position w:val="0"/>
                <w:shd w:fill="auto" w:val="clear"/>
              </w:rPr>
            </w:pPr>
            <w:r>
              <w:rPr>
                <w:rFonts w:ascii="Arial" w:hAnsi="Arial" w:cs="Arial" w:eastAsia="Arial"/>
                <w:b/>
                <w:i/>
                <w:color w:val="auto"/>
                <w:spacing w:val="0"/>
                <w:position w:val="0"/>
                <w:sz w:val="20"/>
                <w:shd w:fill="auto" w:val="clear"/>
              </w:rPr>
              <w:t xml:space="preserve">RO3/RO4; T3/T4</w:t>
            </w:r>
            <w:r>
              <w:rPr>
                <w:rFonts w:ascii="Arial" w:hAnsi="Arial" w:cs="Arial" w:eastAsia="Arial"/>
                <w:i/>
                <w:color w:val="auto"/>
                <w:spacing w:val="0"/>
                <w:position w:val="0"/>
                <w:sz w:val="20"/>
                <w:shd w:fill="auto" w:val="clear"/>
              </w:rPr>
              <w:t xml:space="preserve"> - Mental health outcomes; help-seeking</w:t>
            </w:r>
          </w:p>
        </w:tc>
        <w:tc>
          <w:tcPr>
            <w:tcW w:w="2271"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center"/>
              <w:rPr>
                <w:color w:val="auto"/>
                <w:spacing w:val="0"/>
                <w:position w:val="0"/>
                <w:sz w:val="22"/>
                <w:shd w:fill="auto" w:val="clear"/>
              </w:rPr>
            </w:pPr>
            <w:r>
              <w:rPr>
                <w:rFonts w:ascii="Arial" w:hAnsi="Arial" w:cs="Arial" w:eastAsia="Arial"/>
                <w:color w:val="auto"/>
                <w:spacing w:val="0"/>
                <w:position w:val="0"/>
                <w:sz w:val="22"/>
                <w:shd w:fill="auto" w:val="clear"/>
              </w:rPr>
              <w:t xml:space="preserve">To investigate psychological distress, wellbeing and help-seeking among PGRs.</w:t>
            </w:r>
          </w:p>
        </w:tc>
      </w:tr>
      <w:tr>
        <w:trPr>
          <w:trHeight w:val="1" w:hRule="atLeast"/>
          <w:jc w:val="left"/>
        </w:trPr>
        <w:tc>
          <w:tcPr>
            <w:tcW w:w="140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360"/>
              <w:ind w:right="0" w:left="0" w:firstLine="0"/>
              <w:jc w:val="center"/>
              <w:rPr>
                <w:color w:val="auto"/>
                <w:spacing w:val="0"/>
                <w:position w:val="0"/>
                <w:shd w:fill="auto" w:val="clear"/>
              </w:rPr>
            </w:pPr>
            <w:r>
              <w:rPr>
                <w:rFonts w:ascii="Arial" w:hAnsi="Arial" w:cs="Arial" w:eastAsia="Arial"/>
                <w:b/>
                <w:color w:val="auto"/>
                <w:spacing w:val="0"/>
                <w:position w:val="0"/>
                <w:sz w:val="20"/>
                <w:shd w:fill="auto" w:val="clear"/>
              </w:rPr>
              <w:t xml:space="preserve">Berry, Niven and Hazell (2023)</w:t>
            </w:r>
          </w:p>
        </w:tc>
        <w:tc>
          <w:tcPr>
            <w:tcW w:w="141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360"/>
              <w:ind w:right="0" w:left="0" w:firstLine="0"/>
              <w:jc w:val="center"/>
              <w:rPr>
                <w:color w:val="auto"/>
                <w:spacing w:val="0"/>
                <w:position w:val="0"/>
                <w:sz w:val="22"/>
                <w:shd w:fill="auto" w:val="clear"/>
              </w:rPr>
            </w:pPr>
            <w:r>
              <w:rPr>
                <w:rFonts w:ascii="Arial" w:hAnsi="Arial" w:cs="Arial" w:eastAsia="Arial"/>
                <w:color w:val="auto"/>
                <w:spacing w:val="0"/>
                <w:position w:val="0"/>
                <w:sz w:val="22"/>
                <w:shd w:fill="auto" w:val="clear"/>
              </w:rPr>
              <w:t xml:space="preserve">UK-wide; 3,352 PGRs; U-DOC cohort</w:t>
            </w:r>
          </w:p>
        </w:tc>
        <w:tc>
          <w:tcPr>
            <w:tcW w:w="135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360"/>
              <w:ind w:right="0" w:left="0" w:firstLine="0"/>
              <w:jc w:val="both"/>
              <w:rPr>
                <w:color w:val="auto"/>
                <w:spacing w:val="0"/>
                <w:position w:val="0"/>
                <w:sz w:val="22"/>
                <w:shd w:fill="auto" w:val="clear"/>
              </w:rPr>
            </w:pPr>
            <w:r>
              <w:rPr>
                <w:rFonts w:ascii="Arial" w:hAnsi="Arial" w:cs="Arial" w:eastAsia="Arial"/>
                <w:color w:val="auto"/>
                <w:spacing w:val="0"/>
                <w:position w:val="0"/>
                <w:sz w:val="22"/>
                <w:shd w:fill="auto" w:val="clear"/>
              </w:rPr>
              <w:t xml:space="preserve">Cross-sectional predictor analysis</w:t>
            </w:r>
          </w:p>
        </w:tc>
        <w:tc>
          <w:tcPr>
            <w:tcW w:w="212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360"/>
              <w:ind w:right="0" w:left="0" w:firstLine="0"/>
              <w:jc w:val="both"/>
              <w:rPr>
                <w:color w:val="auto"/>
                <w:spacing w:val="0"/>
                <w:position w:val="0"/>
                <w:sz w:val="22"/>
                <w:shd w:fill="auto" w:val="clear"/>
              </w:rPr>
            </w:pPr>
            <w:r>
              <w:rPr>
                <w:rFonts w:ascii="Arial" w:hAnsi="Arial" w:cs="Arial" w:eastAsia="Arial"/>
                <w:color w:val="auto"/>
                <w:spacing w:val="0"/>
                <w:position w:val="0"/>
                <w:sz w:val="22"/>
                <w:shd w:fill="auto" w:val="clear"/>
              </w:rPr>
              <w:t xml:space="preserve">Depression, anxiety and suicidality predicted attendance difficulties and intention to leave</w:t>
            </w:r>
          </w:p>
        </w:tc>
        <w:tc>
          <w:tcPr>
            <w:tcW w:w="183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360"/>
              <w:ind w:right="0" w:left="0" w:firstLine="0"/>
              <w:jc w:val="both"/>
              <w:rPr>
                <w:color w:val="auto"/>
                <w:spacing w:val="0"/>
                <w:position w:val="0"/>
                <w:sz w:val="22"/>
                <w:shd w:fill="auto" w:val="clear"/>
              </w:rPr>
            </w:pPr>
            <w:r>
              <w:rPr>
                <w:rFonts w:ascii="Arial" w:hAnsi="Arial" w:cs="Arial" w:eastAsia="Arial"/>
                <w:color w:val="auto"/>
                <w:spacing w:val="0"/>
                <w:position w:val="0"/>
                <w:sz w:val="22"/>
                <w:shd w:fill="auto" w:val="clear"/>
              </w:rPr>
              <w:t xml:space="preserve">Large sample; predictive modelling</w:t>
            </w:r>
          </w:p>
        </w:tc>
        <w:tc>
          <w:tcPr>
            <w:tcW w:w="183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360"/>
              <w:ind w:right="0" w:left="0" w:firstLine="0"/>
              <w:jc w:val="both"/>
              <w:rPr>
                <w:color w:val="auto"/>
                <w:spacing w:val="0"/>
                <w:position w:val="0"/>
                <w:sz w:val="22"/>
                <w:shd w:fill="auto" w:val="clear"/>
              </w:rPr>
            </w:pPr>
            <w:r>
              <w:rPr>
                <w:rFonts w:ascii="Arial" w:hAnsi="Arial" w:cs="Arial" w:eastAsia="Arial"/>
                <w:color w:val="auto"/>
                <w:spacing w:val="0"/>
                <w:position w:val="0"/>
                <w:sz w:val="22"/>
                <w:shd w:fill="auto" w:val="clear"/>
              </w:rPr>
              <w:t xml:space="preserve">Linked U-DOC cohort rather than independent replication</w:t>
            </w:r>
          </w:p>
        </w:tc>
        <w:tc>
          <w:tcPr>
            <w:tcW w:w="199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360"/>
              <w:ind w:right="0" w:left="0" w:firstLine="0"/>
              <w:jc w:val="center"/>
              <w:rPr>
                <w:color w:val="auto"/>
                <w:spacing w:val="0"/>
                <w:position w:val="0"/>
                <w:shd w:fill="auto" w:val="clear"/>
              </w:rPr>
            </w:pPr>
            <w:r>
              <w:rPr>
                <w:rFonts w:ascii="Arial" w:hAnsi="Arial" w:cs="Arial" w:eastAsia="Arial"/>
                <w:b/>
                <w:i/>
                <w:color w:val="auto"/>
                <w:spacing w:val="0"/>
                <w:position w:val="0"/>
                <w:sz w:val="20"/>
                <w:shd w:fill="auto" w:val="clear"/>
              </w:rPr>
              <w:t xml:space="preserve">RO3; T3</w:t>
            </w:r>
            <w:r>
              <w:rPr>
                <w:rFonts w:ascii="Arial" w:hAnsi="Arial" w:cs="Arial" w:eastAsia="Arial"/>
                <w:i/>
                <w:color w:val="auto"/>
                <w:spacing w:val="0"/>
                <w:position w:val="0"/>
                <w:sz w:val="20"/>
                <w:shd w:fill="auto" w:val="clear"/>
              </w:rPr>
              <w:t xml:space="preserve"> - Mental health outcomes/academic functioning</w:t>
            </w:r>
          </w:p>
        </w:tc>
        <w:tc>
          <w:tcPr>
            <w:tcW w:w="2271"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center"/>
              <w:rPr>
                <w:color w:val="auto"/>
                <w:spacing w:val="0"/>
                <w:position w:val="0"/>
                <w:sz w:val="22"/>
                <w:shd w:fill="auto" w:val="clear"/>
              </w:rPr>
            </w:pPr>
            <w:r>
              <w:rPr>
                <w:rFonts w:ascii="Arial" w:hAnsi="Arial" w:cs="Arial" w:eastAsia="Arial"/>
                <w:color w:val="auto"/>
                <w:spacing w:val="0"/>
                <w:position w:val="0"/>
                <w:sz w:val="22"/>
                <w:shd w:fill="auto" w:val="clear"/>
              </w:rPr>
              <w:t xml:space="preserve">To examine whether mental-health problems predicted academic attendance difficulties and attrition intention.</w:t>
            </w:r>
          </w:p>
        </w:tc>
      </w:tr>
      <w:tr>
        <w:trPr>
          <w:trHeight w:val="1" w:hRule="atLeast"/>
          <w:jc w:val="left"/>
        </w:trPr>
        <w:tc>
          <w:tcPr>
            <w:tcW w:w="140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360"/>
              <w:ind w:right="0" w:left="0" w:firstLine="0"/>
              <w:jc w:val="center"/>
              <w:rPr>
                <w:color w:val="auto"/>
                <w:spacing w:val="0"/>
                <w:position w:val="0"/>
                <w:shd w:fill="auto" w:val="clear"/>
              </w:rPr>
            </w:pPr>
            <w:r>
              <w:rPr>
                <w:rFonts w:ascii="Arial" w:hAnsi="Arial" w:cs="Arial" w:eastAsia="Arial"/>
                <w:b/>
                <w:color w:val="auto"/>
                <w:spacing w:val="0"/>
                <w:position w:val="0"/>
                <w:sz w:val="20"/>
                <w:shd w:fill="auto" w:val="clear"/>
              </w:rPr>
              <w:t xml:space="preserve">Milicev et al. (2023)</w:t>
            </w:r>
          </w:p>
        </w:tc>
        <w:tc>
          <w:tcPr>
            <w:tcW w:w="141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360"/>
              <w:ind w:right="0" w:left="0" w:firstLine="0"/>
              <w:jc w:val="center"/>
              <w:rPr>
                <w:color w:val="auto"/>
                <w:spacing w:val="0"/>
                <w:position w:val="0"/>
                <w:sz w:val="22"/>
                <w:shd w:fill="auto" w:val="clear"/>
              </w:rPr>
            </w:pPr>
            <w:r>
              <w:rPr>
                <w:rFonts w:ascii="Arial" w:hAnsi="Arial" w:cs="Arial" w:eastAsia="Arial"/>
                <w:color w:val="auto"/>
                <w:spacing w:val="0"/>
                <w:position w:val="0"/>
                <w:sz w:val="22"/>
                <w:shd w:fill="auto" w:val="clear"/>
              </w:rPr>
              <w:t xml:space="preserve">47 UK universities; 479 PGRs</w:t>
            </w:r>
          </w:p>
        </w:tc>
        <w:tc>
          <w:tcPr>
            <w:tcW w:w="135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360"/>
              <w:ind w:right="0" w:left="0" w:firstLine="0"/>
              <w:jc w:val="both"/>
              <w:rPr>
                <w:color w:val="auto"/>
                <w:spacing w:val="0"/>
                <w:position w:val="0"/>
                <w:sz w:val="22"/>
                <w:shd w:fill="auto" w:val="clear"/>
              </w:rPr>
            </w:pPr>
            <w:r>
              <w:rPr>
                <w:rFonts w:ascii="Arial" w:hAnsi="Arial" w:cs="Arial" w:eastAsia="Arial"/>
                <w:color w:val="auto"/>
                <w:spacing w:val="0"/>
                <w:position w:val="0"/>
                <w:sz w:val="22"/>
                <w:shd w:fill="auto" w:val="clear"/>
              </w:rPr>
              <w:t xml:space="preserve">Cross-sectional survey</w:t>
            </w:r>
          </w:p>
        </w:tc>
        <w:tc>
          <w:tcPr>
            <w:tcW w:w="212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360"/>
              <w:ind w:right="0" w:left="0" w:firstLine="0"/>
              <w:jc w:val="both"/>
              <w:rPr>
                <w:color w:val="auto"/>
                <w:spacing w:val="0"/>
                <w:position w:val="0"/>
                <w:sz w:val="22"/>
                <w:shd w:fill="auto" w:val="clear"/>
              </w:rPr>
            </w:pPr>
            <w:r>
              <w:rPr>
                <w:rFonts w:ascii="Arial" w:hAnsi="Arial" w:cs="Arial" w:eastAsia="Arial"/>
                <w:color w:val="auto"/>
                <w:spacing w:val="0"/>
                <w:position w:val="0"/>
                <w:sz w:val="22"/>
                <w:shd w:fill="auto" w:val="clear"/>
              </w:rPr>
              <w:t xml:space="preserve">High mental ill-health identified; social support, progress and departmental climate appeared protective</w:t>
            </w:r>
          </w:p>
        </w:tc>
        <w:tc>
          <w:tcPr>
            <w:tcW w:w="183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360"/>
              <w:ind w:right="0" w:left="0" w:firstLine="0"/>
              <w:jc w:val="both"/>
              <w:rPr>
                <w:color w:val="auto"/>
                <w:spacing w:val="0"/>
                <w:position w:val="0"/>
                <w:sz w:val="22"/>
                <w:shd w:fill="auto" w:val="clear"/>
              </w:rPr>
            </w:pPr>
            <w:r>
              <w:rPr>
                <w:rFonts w:ascii="Arial" w:hAnsi="Arial" w:cs="Arial" w:eastAsia="Arial"/>
                <w:color w:val="auto"/>
                <w:spacing w:val="0"/>
                <w:position w:val="0"/>
                <w:sz w:val="22"/>
                <w:shd w:fill="auto" w:val="clear"/>
              </w:rPr>
              <w:t xml:space="preserve">Multi-university sample; validated outcomes</w:t>
            </w:r>
          </w:p>
        </w:tc>
        <w:tc>
          <w:tcPr>
            <w:tcW w:w="183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360"/>
              <w:ind w:right="0" w:left="0" w:firstLine="0"/>
              <w:jc w:val="both"/>
              <w:rPr>
                <w:color w:val="auto"/>
                <w:spacing w:val="0"/>
                <w:position w:val="0"/>
                <w:sz w:val="22"/>
                <w:shd w:fill="auto" w:val="clear"/>
              </w:rPr>
            </w:pPr>
            <w:r>
              <w:rPr>
                <w:rFonts w:ascii="Arial" w:hAnsi="Arial" w:cs="Arial" w:eastAsia="Arial"/>
                <w:color w:val="auto"/>
                <w:spacing w:val="0"/>
                <w:position w:val="0"/>
                <w:sz w:val="22"/>
                <w:shd w:fill="auto" w:val="clear"/>
              </w:rPr>
              <w:t xml:space="preserve">Cross-sectional design limits causal interpretation</w:t>
            </w:r>
          </w:p>
        </w:tc>
        <w:tc>
          <w:tcPr>
            <w:tcW w:w="199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360"/>
              <w:ind w:right="0" w:left="0" w:firstLine="0"/>
              <w:jc w:val="center"/>
              <w:rPr>
                <w:color w:val="auto"/>
                <w:spacing w:val="0"/>
                <w:position w:val="0"/>
                <w:shd w:fill="auto" w:val="clear"/>
              </w:rPr>
            </w:pPr>
            <w:r>
              <w:rPr>
                <w:rFonts w:ascii="Arial" w:hAnsi="Arial" w:cs="Arial" w:eastAsia="Arial"/>
                <w:b/>
                <w:i/>
                <w:color w:val="auto"/>
                <w:spacing w:val="0"/>
                <w:position w:val="0"/>
                <w:sz w:val="20"/>
                <w:shd w:fill="auto" w:val="clear"/>
              </w:rPr>
              <w:t xml:space="preserve">RO3; T2/T3</w:t>
            </w:r>
            <w:r>
              <w:rPr>
                <w:rFonts w:ascii="Arial" w:hAnsi="Arial" w:cs="Arial" w:eastAsia="Arial"/>
                <w:i/>
                <w:color w:val="auto"/>
                <w:spacing w:val="0"/>
                <w:position w:val="0"/>
                <w:sz w:val="20"/>
                <w:shd w:fill="auto" w:val="clear"/>
              </w:rPr>
              <w:t xml:space="preserve"> - Academic/social factors; mental health outcomes</w:t>
            </w:r>
          </w:p>
        </w:tc>
        <w:tc>
          <w:tcPr>
            <w:tcW w:w="2271"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center"/>
              <w:rPr>
                <w:color w:val="auto"/>
                <w:spacing w:val="0"/>
                <w:position w:val="0"/>
                <w:sz w:val="22"/>
                <w:shd w:fill="auto" w:val="clear"/>
              </w:rPr>
            </w:pPr>
            <w:r>
              <w:rPr>
                <w:rFonts w:ascii="Arial" w:hAnsi="Arial" w:cs="Arial" w:eastAsia="Arial"/>
                <w:color w:val="auto"/>
                <w:spacing w:val="0"/>
                <w:position w:val="0"/>
                <w:sz w:val="22"/>
                <w:shd w:fill="auto" w:val="clear"/>
              </w:rPr>
              <w:t xml:space="preserve">To examine mental health and potentially protective academic/social factors among PGRs.</w:t>
            </w:r>
          </w:p>
        </w:tc>
      </w:tr>
      <w:tr>
        <w:trPr>
          <w:trHeight w:val="1" w:hRule="atLeast"/>
          <w:jc w:val="left"/>
        </w:trPr>
        <w:tc>
          <w:tcPr>
            <w:tcW w:w="140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360"/>
              <w:ind w:right="0" w:left="0" w:firstLine="0"/>
              <w:jc w:val="center"/>
              <w:rPr>
                <w:color w:val="auto"/>
                <w:spacing w:val="0"/>
                <w:position w:val="0"/>
                <w:shd w:fill="auto" w:val="clear"/>
              </w:rPr>
            </w:pPr>
            <w:r>
              <w:rPr>
                <w:rFonts w:ascii="Arial" w:hAnsi="Arial" w:cs="Arial" w:eastAsia="Arial"/>
                <w:b/>
                <w:color w:val="auto"/>
                <w:spacing w:val="0"/>
                <w:position w:val="0"/>
                <w:sz w:val="20"/>
                <w:shd w:fill="auto" w:val="clear"/>
              </w:rPr>
              <w:t xml:space="preserve">Hosseinpur et al. (2023)</w:t>
            </w:r>
          </w:p>
        </w:tc>
        <w:tc>
          <w:tcPr>
            <w:tcW w:w="141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360"/>
              <w:ind w:right="0" w:left="0" w:firstLine="0"/>
              <w:jc w:val="center"/>
              <w:rPr>
                <w:color w:val="auto"/>
                <w:spacing w:val="0"/>
                <w:position w:val="0"/>
                <w:sz w:val="22"/>
                <w:shd w:fill="auto" w:val="clear"/>
              </w:rPr>
            </w:pPr>
            <w:r>
              <w:rPr>
                <w:rFonts w:ascii="Arial" w:hAnsi="Arial" w:cs="Arial" w:eastAsia="Arial"/>
                <w:color w:val="auto"/>
                <w:spacing w:val="0"/>
                <w:position w:val="0"/>
                <w:sz w:val="22"/>
                <w:shd w:fill="auto" w:val="clear"/>
              </w:rPr>
              <w:t xml:space="preserve">One English university; 153 international PGT public-health students</w:t>
            </w:r>
          </w:p>
        </w:tc>
        <w:tc>
          <w:tcPr>
            <w:tcW w:w="135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360"/>
              <w:ind w:right="0" w:left="0" w:firstLine="0"/>
              <w:jc w:val="both"/>
              <w:rPr>
                <w:color w:val="auto"/>
                <w:spacing w:val="0"/>
                <w:position w:val="0"/>
                <w:sz w:val="22"/>
                <w:shd w:fill="auto" w:val="clear"/>
              </w:rPr>
            </w:pPr>
            <w:r>
              <w:rPr>
                <w:rFonts w:ascii="Arial" w:hAnsi="Arial" w:cs="Arial" w:eastAsia="Arial"/>
                <w:color w:val="auto"/>
                <w:spacing w:val="0"/>
                <w:position w:val="0"/>
                <w:sz w:val="22"/>
                <w:shd w:fill="auto" w:val="clear"/>
              </w:rPr>
              <w:t xml:space="preserve">Cross-sectional survey</w:t>
            </w:r>
          </w:p>
        </w:tc>
        <w:tc>
          <w:tcPr>
            <w:tcW w:w="212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360"/>
              <w:ind w:right="0" w:left="0" w:firstLine="0"/>
              <w:jc w:val="both"/>
              <w:rPr>
                <w:color w:val="auto"/>
                <w:spacing w:val="0"/>
                <w:position w:val="0"/>
                <w:sz w:val="22"/>
                <w:shd w:fill="auto" w:val="clear"/>
              </w:rPr>
            </w:pPr>
            <w:r>
              <w:rPr>
                <w:rFonts w:ascii="Arial" w:hAnsi="Arial" w:cs="Arial" w:eastAsia="Arial"/>
                <w:color w:val="auto"/>
                <w:spacing w:val="0"/>
                <w:position w:val="0"/>
                <w:sz w:val="22"/>
                <w:shd w:fill="auto" w:val="clear"/>
              </w:rPr>
              <w:t xml:space="preserve">Depression reported in 34.6%; funding source and financial difficulty were associated factors</w:t>
            </w:r>
          </w:p>
        </w:tc>
        <w:tc>
          <w:tcPr>
            <w:tcW w:w="183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360"/>
              <w:ind w:right="0" w:left="0" w:firstLine="0"/>
              <w:jc w:val="both"/>
              <w:rPr>
                <w:color w:val="auto"/>
                <w:spacing w:val="0"/>
                <w:position w:val="0"/>
                <w:sz w:val="22"/>
                <w:shd w:fill="auto" w:val="clear"/>
              </w:rPr>
            </w:pPr>
            <w:r>
              <w:rPr>
                <w:rFonts w:ascii="Arial" w:hAnsi="Arial" w:cs="Arial" w:eastAsia="Arial"/>
                <w:color w:val="auto"/>
                <w:spacing w:val="0"/>
                <w:position w:val="0"/>
                <w:sz w:val="22"/>
                <w:shd w:fill="auto" w:val="clear"/>
              </w:rPr>
              <w:t xml:space="preserve">Direct evidence from PGT students</w:t>
            </w:r>
          </w:p>
        </w:tc>
        <w:tc>
          <w:tcPr>
            <w:tcW w:w="183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360"/>
              <w:ind w:right="0" w:left="0" w:firstLine="0"/>
              <w:jc w:val="both"/>
              <w:rPr>
                <w:color w:val="auto"/>
                <w:spacing w:val="0"/>
                <w:position w:val="0"/>
                <w:sz w:val="22"/>
                <w:shd w:fill="auto" w:val="clear"/>
              </w:rPr>
            </w:pPr>
            <w:r>
              <w:rPr>
                <w:rFonts w:ascii="Arial" w:hAnsi="Arial" w:cs="Arial" w:eastAsia="Arial"/>
                <w:color w:val="auto"/>
                <w:spacing w:val="0"/>
                <w:position w:val="0"/>
                <w:sz w:val="22"/>
                <w:shd w:fill="auto" w:val="clear"/>
              </w:rPr>
              <w:t xml:space="preserve">Convenience sampling; one institution and one discipline</w:t>
            </w:r>
          </w:p>
        </w:tc>
        <w:tc>
          <w:tcPr>
            <w:tcW w:w="199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360"/>
              <w:ind w:right="0" w:left="0" w:firstLine="0"/>
              <w:jc w:val="center"/>
              <w:rPr>
                <w:color w:val="auto"/>
                <w:spacing w:val="0"/>
                <w:position w:val="0"/>
                <w:shd w:fill="auto" w:val="clear"/>
              </w:rPr>
            </w:pPr>
            <w:r>
              <w:rPr>
                <w:rFonts w:ascii="Arial" w:hAnsi="Arial" w:cs="Arial" w:eastAsia="Arial"/>
                <w:b/>
                <w:i/>
                <w:color w:val="auto"/>
                <w:spacing w:val="0"/>
                <w:position w:val="0"/>
                <w:sz w:val="20"/>
                <w:shd w:fill="auto" w:val="clear"/>
              </w:rPr>
              <w:t xml:space="preserve">RO1-RO3; T1/T3</w:t>
            </w:r>
            <w:r>
              <w:rPr>
                <w:rFonts w:ascii="Arial" w:hAnsi="Arial" w:cs="Arial" w:eastAsia="Arial"/>
                <w:i/>
                <w:color w:val="auto"/>
                <w:spacing w:val="0"/>
                <w:position w:val="0"/>
                <w:sz w:val="20"/>
                <w:shd w:fill="auto" w:val="clear"/>
              </w:rPr>
              <w:t xml:space="preserve"> - Financial pressure; mental health outcomes</w:t>
            </w:r>
          </w:p>
        </w:tc>
        <w:tc>
          <w:tcPr>
            <w:tcW w:w="2271"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center"/>
              <w:rPr>
                <w:color w:val="auto"/>
                <w:spacing w:val="0"/>
                <w:position w:val="0"/>
                <w:sz w:val="22"/>
                <w:shd w:fill="auto" w:val="clear"/>
              </w:rPr>
            </w:pPr>
            <w:r>
              <w:rPr>
                <w:rFonts w:ascii="Arial" w:hAnsi="Arial" w:cs="Arial" w:eastAsia="Arial"/>
                <w:color w:val="auto"/>
                <w:spacing w:val="0"/>
                <w:position w:val="0"/>
                <w:sz w:val="22"/>
                <w:shd w:fill="auto" w:val="clear"/>
              </w:rPr>
              <w:t xml:space="preserve">To examine depressive symptoms and associated factors among international PGT students.</w:t>
            </w:r>
          </w:p>
        </w:tc>
      </w:tr>
      <w:tr>
        <w:trPr>
          <w:trHeight w:val="1" w:hRule="atLeast"/>
          <w:jc w:val="left"/>
        </w:trPr>
        <w:tc>
          <w:tcPr>
            <w:tcW w:w="140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360"/>
              <w:ind w:right="0" w:left="0" w:firstLine="0"/>
              <w:jc w:val="center"/>
              <w:rPr>
                <w:color w:val="auto"/>
                <w:spacing w:val="0"/>
                <w:position w:val="0"/>
                <w:shd w:fill="auto" w:val="clear"/>
              </w:rPr>
            </w:pPr>
            <w:r>
              <w:rPr>
                <w:rFonts w:ascii="Arial" w:hAnsi="Arial" w:cs="Arial" w:eastAsia="Arial"/>
                <w:b/>
                <w:color w:val="auto"/>
                <w:spacing w:val="0"/>
                <w:position w:val="0"/>
                <w:sz w:val="20"/>
                <w:shd w:fill="auto" w:val="clear"/>
              </w:rPr>
              <w:t xml:space="preserve">White et al. (2024)</w:t>
            </w:r>
          </w:p>
        </w:tc>
        <w:tc>
          <w:tcPr>
            <w:tcW w:w="141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360"/>
              <w:ind w:right="0" w:left="0" w:firstLine="0"/>
              <w:jc w:val="center"/>
              <w:rPr>
                <w:color w:val="auto"/>
                <w:spacing w:val="0"/>
                <w:position w:val="0"/>
                <w:sz w:val="22"/>
                <w:shd w:fill="auto" w:val="clear"/>
              </w:rPr>
            </w:pPr>
            <w:r>
              <w:rPr>
                <w:rFonts w:ascii="Arial" w:hAnsi="Arial" w:cs="Arial" w:eastAsia="Arial"/>
                <w:color w:val="auto"/>
                <w:spacing w:val="0"/>
                <w:position w:val="0"/>
                <w:sz w:val="22"/>
                <w:shd w:fill="auto" w:val="clear"/>
              </w:rPr>
              <w:t xml:space="preserve">47 UK universities; survey n=479; focus groups n=20</w:t>
            </w:r>
          </w:p>
        </w:tc>
        <w:tc>
          <w:tcPr>
            <w:tcW w:w="135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360"/>
              <w:ind w:right="0" w:left="0" w:firstLine="0"/>
              <w:jc w:val="both"/>
              <w:rPr>
                <w:color w:val="auto"/>
                <w:spacing w:val="0"/>
                <w:position w:val="0"/>
                <w:sz w:val="22"/>
                <w:shd w:fill="auto" w:val="clear"/>
              </w:rPr>
            </w:pPr>
            <w:r>
              <w:rPr>
                <w:rFonts w:ascii="Arial" w:hAnsi="Arial" w:cs="Arial" w:eastAsia="Arial"/>
                <w:color w:val="auto"/>
                <w:spacing w:val="0"/>
                <w:position w:val="0"/>
                <w:sz w:val="22"/>
                <w:shd w:fill="auto" w:val="clear"/>
              </w:rPr>
              <w:t xml:space="preserve">Qualitative mixed-data analysis</w:t>
            </w:r>
          </w:p>
        </w:tc>
        <w:tc>
          <w:tcPr>
            <w:tcW w:w="212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360"/>
              <w:ind w:right="0" w:left="0" w:firstLine="0"/>
              <w:jc w:val="both"/>
              <w:rPr>
                <w:color w:val="auto"/>
                <w:spacing w:val="0"/>
                <w:position w:val="0"/>
                <w:sz w:val="22"/>
                <w:shd w:fill="auto" w:val="clear"/>
              </w:rPr>
            </w:pPr>
            <w:r>
              <w:rPr>
                <w:rFonts w:ascii="Arial" w:hAnsi="Arial" w:cs="Arial" w:eastAsia="Arial"/>
                <w:color w:val="auto"/>
                <w:spacing w:val="0"/>
                <w:position w:val="0"/>
                <w:sz w:val="22"/>
                <w:shd w:fill="auto" w:val="clear"/>
              </w:rPr>
              <w:t xml:space="preserve">Structural inequality, financial/time pressure, uncertainty, isolation and supervision shaped wellbeing</w:t>
            </w:r>
          </w:p>
        </w:tc>
        <w:tc>
          <w:tcPr>
            <w:tcW w:w="183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360"/>
              <w:ind w:right="0" w:left="0" w:firstLine="0"/>
              <w:jc w:val="both"/>
              <w:rPr>
                <w:color w:val="auto"/>
                <w:spacing w:val="0"/>
                <w:position w:val="0"/>
                <w:sz w:val="22"/>
                <w:shd w:fill="auto" w:val="clear"/>
              </w:rPr>
            </w:pPr>
            <w:r>
              <w:rPr>
                <w:rFonts w:ascii="Arial" w:hAnsi="Arial" w:cs="Arial" w:eastAsia="Arial"/>
                <w:color w:val="auto"/>
                <w:spacing w:val="0"/>
                <w:position w:val="0"/>
                <w:sz w:val="22"/>
                <w:shd w:fill="auto" w:val="clear"/>
              </w:rPr>
              <w:t xml:space="preserve">Multi-site evidence; reflexivity and consideration of counter-evidence</w:t>
            </w:r>
          </w:p>
        </w:tc>
        <w:tc>
          <w:tcPr>
            <w:tcW w:w="183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360"/>
              <w:ind w:right="0" w:left="0" w:firstLine="0"/>
              <w:jc w:val="both"/>
              <w:rPr>
                <w:color w:val="auto"/>
                <w:spacing w:val="0"/>
                <w:position w:val="0"/>
                <w:sz w:val="22"/>
                <w:shd w:fill="auto" w:val="clear"/>
              </w:rPr>
            </w:pPr>
            <w:r>
              <w:rPr>
                <w:rFonts w:ascii="Arial" w:hAnsi="Arial" w:cs="Arial" w:eastAsia="Arial"/>
                <w:color w:val="auto"/>
                <w:spacing w:val="0"/>
                <w:position w:val="0"/>
                <w:sz w:val="22"/>
                <w:shd w:fill="auto" w:val="clear"/>
              </w:rPr>
              <w:t xml:space="preserve">Linked to the Milicev survey cohort</w:t>
            </w:r>
          </w:p>
        </w:tc>
        <w:tc>
          <w:tcPr>
            <w:tcW w:w="199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360"/>
              <w:ind w:right="0" w:left="0" w:firstLine="0"/>
              <w:jc w:val="center"/>
              <w:rPr>
                <w:color w:val="auto"/>
                <w:spacing w:val="0"/>
                <w:position w:val="0"/>
                <w:shd w:fill="auto" w:val="clear"/>
              </w:rPr>
            </w:pPr>
            <w:r>
              <w:rPr>
                <w:rFonts w:ascii="Arial" w:hAnsi="Arial" w:cs="Arial" w:eastAsia="Arial"/>
                <w:b/>
                <w:i/>
                <w:color w:val="auto"/>
                <w:spacing w:val="0"/>
                <w:position w:val="0"/>
                <w:sz w:val="20"/>
                <w:shd w:fill="auto" w:val="clear"/>
              </w:rPr>
              <w:t xml:space="preserve">RO1/RO2; T1/T2</w:t>
            </w:r>
            <w:r>
              <w:rPr>
                <w:rFonts w:ascii="Arial" w:hAnsi="Arial" w:cs="Arial" w:eastAsia="Arial"/>
                <w:i/>
                <w:color w:val="auto"/>
                <w:spacing w:val="0"/>
                <w:position w:val="0"/>
                <w:sz w:val="20"/>
                <w:shd w:fill="auto" w:val="clear"/>
              </w:rPr>
              <w:t xml:space="preserve"> - Financial/structural and academic/relational pressures</w:t>
            </w:r>
          </w:p>
        </w:tc>
        <w:tc>
          <w:tcPr>
            <w:tcW w:w="2271"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center"/>
              <w:rPr>
                <w:color w:val="auto"/>
                <w:spacing w:val="0"/>
                <w:position w:val="0"/>
                <w:sz w:val="22"/>
                <w:shd w:fill="auto" w:val="clear"/>
              </w:rPr>
            </w:pPr>
            <w:r>
              <w:rPr>
                <w:rFonts w:ascii="Arial" w:hAnsi="Arial" w:cs="Arial" w:eastAsia="Arial"/>
                <w:color w:val="auto"/>
                <w:spacing w:val="0"/>
                <w:position w:val="0"/>
                <w:sz w:val="22"/>
                <w:shd w:fill="auto" w:val="clear"/>
              </w:rPr>
              <w:t xml:space="preserve">To explore structural and contextual influences on wellbeing among UK PGRs.</w:t>
            </w:r>
          </w:p>
        </w:tc>
      </w:tr>
      <w:tr>
        <w:trPr>
          <w:trHeight w:val="1" w:hRule="atLeast"/>
          <w:jc w:val="left"/>
        </w:trPr>
        <w:tc>
          <w:tcPr>
            <w:tcW w:w="140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360"/>
              <w:ind w:right="0" w:left="0" w:firstLine="0"/>
              <w:jc w:val="center"/>
              <w:rPr>
                <w:color w:val="auto"/>
                <w:spacing w:val="0"/>
                <w:position w:val="0"/>
                <w:shd w:fill="auto" w:val="clear"/>
              </w:rPr>
            </w:pPr>
            <w:r>
              <w:rPr>
                <w:rFonts w:ascii="Arial" w:hAnsi="Arial" w:cs="Arial" w:eastAsia="Arial"/>
                <w:b/>
                <w:color w:val="auto"/>
                <w:spacing w:val="0"/>
                <w:position w:val="0"/>
                <w:sz w:val="20"/>
                <w:shd w:fill="auto" w:val="clear"/>
              </w:rPr>
              <w:t xml:space="preserve">Mavrogalou-Foti et al. (2024)</w:t>
            </w:r>
          </w:p>
        </w:tc>
        <w:tc>
          <w:tcPr>
            <w:tcW w:w="141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360"/>
              <w:ind w:right="0" w:left="0" w:firstLine="0"/>
              <w:jc w:val="center"/>
              <w:rPr>
                <w:color w:val="auto"/>
                <w:spacing w:val="0"/>
                <w:position w:val="0"/>
                <w:sz w:val="22"/>
                <w:shd w:fill="auto" w:val="clear"/>
              </w:rPr>
            </w:pPr>
            <w:r>
              <w:rPr>
                <w:rFonts w:ascii="Arial" w:hAnsi="Arial" w:cs="Arial" w:eastAsia="Arial"/>
                <w:color w:val="auto"/>
                <w:spacing w:val="0"/>
                <w:position w:val="0"/>
                <w:sz w:val="22"/>
                <w:shd w:fill="auto" w:val="clear"/>
              </w:rPr>
              <w:t xml:space="preserve">UK; 141 research-doctorate students</w:t>
            </w:r>
          </w:p>
        </w:tc>
        <w:tc>
          <w:tcPr>
            <w:tcW w:w="135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360"/>
              <w:ind w:right="0" w:left="0" w:firstLine="0"/>
              <w:jc w:val="both"/>
              <w:rPr>
                <w:color w:val="auto"/>
                <w:spacing w:val="0"/>
                <w:position w:val="0"/>
                <w:sz w:val="22"/>
                <w:shd w:fill="auto" w:val="clear"/>
              </w:rPr>
            </w:pPr>
            <w:r>
              <w:rPr>
                <w:rFonts w:ascii="Arial" w:hAnsi="Arial" w:cs="Arial" w:eastAsia="Arial"/>
                <w:color w:val="auto"/>
                <w:spacing w:val="0"/>
                <w:position w:val="0"/>
                <w:sz w:val="22"/>
                <w:shd w:fill="auto" w:val="clear"/>
              </w:rPr>
              <w:t xml:space="preserve">Cross-sectional survey</w:t>
            </w:r>
          </w:p>
        </w:tc>
        <w:tc>
          <w:tcPr>
            <w:tcW w:w="212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360"/>
              <w:ind w:right="0" w:left="0" w:firstLine="0"/>
              <w:jc w:val="both"/>
              <w:rPr>
                <w:color w:val="auto"/>
                <w:spacing w:val="0"/>
                <w:position w:val="0"/>
                <w:sz w:val="22"/>
                <w:shd w:fill="auto" w:val="clear"/>
              </w:rPr>
            </w:pPr>
            <w:r>
              <w:rPr>
                <w:rFonts w:ascii="Arial" w:hAnsi="Arial" w:cs="Arial" w:eastAsia="Arial"/>
                <w:color w:val="auto"/>
                <w:spacing w:val="0"/>
                <w:position w:val="0"/>
                <w:sz w:val="22"/>
                <w:shd w:fill="auto" w:val="clear"/>
              </w:rPr>
              <w:t xml:space="preserve">Uncertain supervisory style predicted depression, anxiety and stress</w:t>
            </w:r>
          </w:p>
        </w:tc>
        <w:tc>
          <w:tcPr>
            <w:tcW w:w="183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360"/>
              <w:ind w:right="0" w:left="0" w:firstLine="0"/>
              <w:jc w:val="both"/>
              <w:rPr>
                <w:color w:val="auto"/>
                <w:spacing w:val="0"/>
                <w:position w:val="0"/>
                <w:sz w:val="22"/>
                <w:shd w:fill="auto" w:val="clear"/>
              </w:rPr>
            </w:pPr>
            <w:r>
              <w:rPr>
                <w:rFonts w:ascii="Arial" w:hAnsi="Arial" w:cs="Arial" w:eastAsia="Arial"/>
                <w:color w:val="auto"/>
                <w:spacing w:val="0"/>
                <w:position w:val="0"/>
                <w:sz w:val="22"/>
                <w:shd w:fill="auto" w:val="clear"/>
              </w:rPr>
              <w:t xml:space="preserve">Validated DASS-21; regression analysis</w:t>
            </w:r>
          </w:p>
        </w:tc>
        <w:tc>
          <w:tcPr>
            <w:tcW w:w="183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360"/>
              <w:ind w:right="0" w:left="0" w:firstLine="0"/>
              <w:jc w:val="both"/>
              <w:rPr>
                <w:color w:val="auto"/>
                <w:spacing w:val="0"/>
                <w:position w:val="0"/>
                <w:sz w:val="22"/>
                <w:shd w:fill="auto" w:val="clear"/>
              </w:rPr>
            </w:pPr>
            <w:r>
              <w:rPr>
                <w:rFonts w:ascii="Arial" w:hAnsi="Arial" w:cs="Arial" w:eastAsia="Arial"/>
                <w:color w:val="auto"/>
                <w:spacing w:val="0"/>
                <w:position w:val="0"/>
                <w:sz w:val="22"/>
                <w:shd w:fill="auto" w:val="clear"/>
              </w:rPr>
              <w:t xml:space="preserve">Small sample; self-reported outcomes</w:t>
            </w:r>
          </w:p>
        </w:tc>
        <w:tc>
          <w:tcPr>
            <w:tcW w:w="199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360"/>
              <w:ind w:right="0" w:left="0" w:firstLine="0"/>
              <w:jc w:val="center"/>
              <w:rPr>
                <w:color w:val="auto"/>
                <w:spacing w:val="0"/>
                <w:position w:val="0"/>
                <w:shd w:fill="auto" w:val="clear"/>
              </w:rPr>
            </w:pPr>
            <w:r>
              <w:rPr>
                <w:rFonts w:ascii="Arial" w:hAnsi="Arial" w:cs="Arial" w:eastAsia="Arial"/>
                <w:b/>
                <w:i/>
                <w:color w:val="auto"/>
                <w:spacing w:val="0"/>
                <w:position w:val="0"/>
                <w:sz w:val="20"/>
                <w:shd w:fill="auto" w:val="clear"/>
              </w:rPr>
              <w:t xml:space="preserve">RO3; T2/T3</w:t>
            </w:r>
            <w:r>
              <w:rPr>
                <w:rFonts w:ascii="Arial" w:hAnsi="Arial" w:cs="Arial" w:eastAsia="Arial"/>
                <w:i/>
                <w:color w:val="auto"/>
                <w:spacing w:val="0"/>
                <w:position w:val="0"/>
                <w:sz w:val="20"/>
                <w:shd w:fill="auto" w:val="clear"/>
              </w:rPr>
              <w:t xml:space="preserve"> - Supervisory factors; mental health outcomes</w:t>
            </w:r>
          </w:p>
        </w:tc>
        <w:tc>
          <w:tcPr>
            <w:tcW w:w="2271"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center"/>
              <w:rPr>
                <w:color w:val="auto"/>
                <w:spacing w:val="0"/>
                <w:position w:val="0"/>
                <w:sz w:val="22"/>
                <w:shd w:fill="auto" w:val="clear"/>
              </w:rPr>
            </w:pPr>
            <w:r>
              <w:rPr>
                <w:rFonts w:ascii="Arial" w:hAnsi="Arial" w:cs="Arial" w:eastAsia="Arial"/>
                <w:color w:val="auto"/>
                <w:spacing w:val="0"/>
                <w:position w:val="0"/>
                <w:sz w:val="22"/>
                <w:shd w:fill="auto" w:val="clear"/>
              </w:rPr>
              <w:t xml:space="preserve">To assess associations between supervisory style and depression, anxiety and stress among doctoral researchers.</w:t>
            </w:r>
          </w:p>
        </w:tc>
      </w:tr>
      <w:tr>
        <w:trPr>
          <w:trHeight w:val="1" w:hRule="atLeast"/>
          <w:jc w:val="left"/>
        </w:trPr>
        <w:tc>
          <w:tcPr>
            <w:tcW w:w="140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360"/>
              <w:ind w:right="0" w:left="0" w:firstLine="0"/>
              <w:jc w:val="center"/>
              <w:rPr>
                <w:color w:val="auto"/>
                <w:spacing w:val="0"/>
                <w:position w:val="0"/>
                <w:shd w:fill="auto" w:val="clear"/>
              </w:rPr>
            </w:pPr>
            <w:r>
              <w:rPr>
                <w:rFonts w:ascii="Arial" w:hAnsi="Arial" w:cs="Arial" w:eastAsia="Arial"/>
                <w:b/>
                <w:color w:val="auto"/>
                <w:spacing w:val="0"/>
                <w:position w:val="0"/>
                <w:sz w:val="20"/>
                <w:shd w:fill="auto" w:val="clear"/>
              </w:rPr>
              <w:t xml:space="preserve">Casey et al. (2024a)</w:t>
            </w:r>
          </w:p>
        </w:tc>
        <w:tc>
          <w:tcPr>
            <w:tcW w:w="141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360"/>
              <w:ind w:right="0" w:left="0" w:firstLine="0"/>
              <w:jc w:val="center"/>
              <w:rPr>
                <w:color w:val="auto"/>
                <w:spacing w:val="0"/>
                <w:position w:val="0"/>
                <w:sz w:val="22"/>
                <w:shd w:fill="auto" w:val="clear"/>
              </w:rPr>
            </w:pPr>
            <w:r>
              <w:rPr>
                <w:rFonts w:ascii="Arial" w:hAnsi="Arial" w:cs="Arial" w:eastAsia="Arial"/>
                <w:color w:val="auto"/>
                <w:spacing w:val="0"/>
                <w:position w:val="0"/>
                <w:sz w:val="22"/>
                <w:shd w:fill="auto" w:val="clear"/>
              </w:rPr>
              <w:t xml:space="preserve">South England; 54 PGRs; 18 interviews</w:t>
            </w:r>
          </w:p>
        </w:tc>
        <w:tc>
          <w:tcPr>
            <w:tcW w:w="135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360"/>
              <w:ind w:right="0" w:left="0" w:firstLine="0"/>
              <w:jc w:val="both"/>
              <w:rPr>
                <w:color w:val="auto"/>
                <w:spacing w:val="0"/>
                <w:position w:val="0"/>
                <w:sz w:val="22"/>
                <w:shd w:fill="auto" w:val="clear"/>
              </w:rPr>
            </w:pPr>
            <w:r>
              <w:rPr>
                <w:rFonts w:ascii="Arial" w:hAnsi="Arial" w:cs="Arial" w:eastAsia="Arial"/>
                <w:color w:val="auto"/>
                <w:spacing w:val="0"/>
                <w:position w:val="0"/>
                <w:sz w:val="22"/>
                <w:shd w:fill="auto" w:val="clear"/>
              </w:rPr>
              <w:t xml:space="preserve">Mixed methods</w:t>
            </w:r>
          </w:p>
        </w:tc>
        <w:tc>
          <w:tcPr>
            <w:tcW w:w="212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360"/>
              <w:ind w:right="0" w:left="0" w:firstLine="0"/>
              <w:jc w:val="both"/>
              <w:rPr>
                <w:color w:val="auto"/>
                <w:spacing w:val="0"/>
                <w:position w:val="0"/>
                <w:sz w:val="22"/>
                <w:shd w:fill="auto" w:val="clear"/>
              </w:rPr>
            </w:pPr>
            <w:r>
              <w:rPr>
                <w:rFonts w:ascii="Arial" w:hAnsi="Arial" w:cs="Arial" w:eastAsia="Arial"/>
                <w:color w:val="auto"/>
                <w:spacing w:val="0"/>
                <w:position w:val="0"/>
                <w:sz w:val="22"/>
                <w:shd w:fill="auto" w:val="clear"/>
              </w:rPr>
              <w:t xml:space="preserve">Lower wellbeing/resilience identified; workload, isolation and coping were central influences</w:t>
            </w:r>
          </w:p>
        </w:tc>
        <w:tc>
          <w:tcPr>
            <w:tcW w:w="183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360"/>
              <w:ind w:right="0" w:left="0" w:firstLine="0"/>
              <w:jc w:val="both"/>
              <w:rPr>
                <w:color w:val="auto"/>
                <w:spacing w:val="0"/>
                <w:position w:val="0"/>
                <w:sz w:val="22"/>
                <w:shd w:fill="auto" w:val="clear"/>
              </w:rPr>
            </w:pPr>
            <w:r>
              <w:rPr>
                <w:rFonts w:ascii="Arial" w:hAnsi="Arial" w:cs="Arial" w:eastAsia="Arial"/>
                <w:color w:val="auto"/>
                <w:spacing w:val="0"/>
                <w:position w:val="0"/>
                <w:sz w:val="22"/>
                <w:shd w:fill="auto" w:val="clear"/>
              </w:rPr>
              <w:t xml:space="preserve">Quantitative and qualitative evidence; validated scales</w:t>
            </w:r>
          </w:p>
        </w:tc>
        <w:tc>
          <w:tcPr>
            <w:tcW w:w="183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360"/>
              <w:ind w:right="0" w:left="0" w:firstLine="0"/>
              <w:jc w:val="both"/>
              <w:rPr>
                <w:color w:val="auto"/>
                <w:spacing w:val="0"/>
                <w:position w:val="0"/>
                <w:sz w:val="22"/>
                <w:shd w:fill="auto" w:val="clear"/>
              </w:rPr>
            </w:pPr>
            <w:r>
              <w:rPr>
                <w:rFonts w:ascii="Arial" w:hAnsi="Arial" w:cs="Arial" w:eastAsia="Arial"/>
                <w:color w:val="auto"/>
                <w:spacing w:val="0"/>
                <w:position w:val="0"/>
                <w:sz w:val="22"/>
                <w:shd w:fill="auto" w:val="clear"/>
              </w:rPr>
              <w:t xml:space="preserve">Single university; small sample</w:t>
            </w:r>
          </w:p>
        </w:tc>
        <w:tc>
          <w:tcPr>
            <w:tcW w:w="199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360"/>
              <w:ind w:right="0" w:left="0" w:firstLine="0"/>
              <w:jc w:val="center"/>
              <w:rPr>
                <w:color w:val="auto"/>
                <w:spacing w:val="0"/>
                <w:position w:val="0"/>
                <w:shd w:fill="auto" w:val="clear"/>
              </w:rPr>
            </w:pPr>
            <w:r>
              <w:rPr>
                <w:rFonts w:ascii="Arial" w:hAnsi="Arial" w:cs="Arial" w:eastAsia="Arial"/>
                <w:b/>
                <w:i/>
                <w:color w:val="auto"/>
                <w:spacing w:val="0"/>
                <w:position w:val="0"/>
                <w:sz w:val="20"/>
                <w:shd w:fill="auto" w:val="clear"/>
              </w:rPr>
              <w:t xml:space="preserve">RO3/RO4; T2/T3</w:t>
            </w:r>
            <w:r>
              <w:rPr>
                <w:rFonts w:ascii="Arial" w:hAnsi="Arial" w:cs="Arial" w:eastAsia="Arial"/>
                <w:i/>
                <w:color w:val="auto"/>
                <w:spacing w:val="0"/>
                <w:position w:val="0"/>
                <w:sz w:val="20"/>
                <w:shd w:fill="auto" w:val="clear"/>
              </w:rPr>
              <w:t xml:space="preserve"> - Academic/social pressures; mental health outcomes</w:t>
            </w:r>
          </w:p>
        </w:tc>
        <w:tc>
          <w:tcPr>
            <w:tcW w:w="2271"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center"/>
              <w:rPr>
                <w:color w:val="auto"/>
                <w:spacing w:val="0"/>
                <w:position w:val="0"/>
                <w:sz w:val="22"/>
                <w:shd w:fill="auto" w:val="clear"/>
              </w:rPr>
            </w:pPr>
            <w:r>
              <w:rPr>
                <w:rFonts w:ascii="Arial" w:hAnsi="Arial" w:cs="Arial" w:eastAsia="Arial"/>
                <w:color w:val="auto"/>
                <w:spacing w:val="0"/>
                <w:position w:val="0"/>
                <w:sz w:val="22"/>
                <w:shd w:fill="auto" w:val="clear"/>
              </w:rPr>
              <w:t xml:space="preserve">To investigate wellbeing, resilience and determinants of mental health among PGRs.</w:t>
            </w:r>
          </w:p>
        </w:tc>
      </w:tr>
      <w:tr>
        <w:trPr>
          <w:trHeight w:val="1" w:hRule="atLeast"/>
          <w:jc w:val="left"/>
        </w:trPr>
        <w:tc>
          <w:tcPr>
            <w:tcW w:w="140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360"/>
              <w:ind w:right="0" w:left="0" w:firstLine="0"/>
              <w:jc w:val="center"/>
              <w:rPr>
                <w:color w:val="auto"/>
                <w:spacing w:val="0"/>
                <w:position w:val="0"/>
                <w:shd w:fill="auto" w:val="clear"/>
              </w:rPr>
            </w:pPr>
            <w:r>
              <w:rPr>
                <w:rFonts w:ascii="Arial" w:hAnsi="Arial" w:cs="Arial" w:eastAsia="Arial"/>
                <w:b/>
                <w:color w:val="auto"/>
                <w:spacing w:val="0"/>
                <w:position w:val="0"/>
                <w:sz w:val="20"/>
                <w:shd w:fill="auto" w:val="clear"/>
              </w:rPr>
              <w:t xml:space="preserve">Casey et al. (2024b)</w:t>
            </w:r>
          </w:p>
        </w:tc>
        <w:tc>
          <w:tcPr>
            <w:tcW w:w="141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360"/>
              <w:ind w:right="0" w:left="0" w:firstLine="0"/>
              <w:jc w:val="center"/>
              <w:rPr>
                <w:color w:val="auto"/>
                <w:spacing w:val="0"/>
                <w:position w:val="0"/>
                <w:sz w:val="22"/>
                <w:shd w:fill="auto" w:val="clear"/>
              </w:rPr>
            </w:pPr>
            <w:r>
              <w:rPr>
                <w:rFonts w:ascii="Arial" w:hAnsi="Arial" w:cs="Arial" w:eastAsia="Arial"/>
                <w:color w:val="auto"/>
                <w:spacing w:val="0"/>
                <w:position w:val="0"/>
                <w:sz w:val="22"/>
                <w:shd w:fill="auto" w:val="clear"/>
              </w:rPr>
              <w:t xml:space="preserve">One UK university; doctoral students</w:t>
            </w:r>
          </w:p>
        </w:tc>
        <w:tc>
          <w:tcPr>
            <w:tcW w:w="135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360"/>
              <w:ind w:right="0" w:left="0" w:firstLine="0"/>
              <w:jc w:val="both"/>
              <w:rPr>
                <w:color w:val="auto"/>
                <w:spacing w:val="0"/>
                <w:position w:val="0"/>
                <w:sz w:val="22"/>
                <w:shd w:fill="auto" w:val="clear"/>
              </w:rPr>
            </w:pPr>
            <w:r>
              <w:rPr>
                <w:rFonts w:ascii="Arial" w:hAnsi="Arial" w:cs="Arial" w:eastAsia="Arial"/>
                <w:color w:val="auto"/>
                <w:spacing w:val="0"/>
                <w:position w:val="0"/>
                <w:sz w:val="22"/>
                <w:shd w:fill="auto" w:val="clear"/>
              </w:rPr>
              <w:t xml:space="preserve">Qualitative pilot intervention study</w:t>
            </w:r>
          </w:p>
        </w:tc>
        <w:tc>
          <w:tcPr>
            <w:tcW w:w="212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360"/>
              <w:ind w:right="0" w:left="0" w:firstLine="0"/>
              <w:jc w:val="both"/>
              <w:rPr>
                <w:color w:val="auto"/>
                <w:spacing w:val="0"/>
                <w:position w:val="0"/>
                <w:sz w:val="22"/>
                <w:shd w:fill="auto" w:val="clear"/>
              </w:rPr>
            </w:pPr>
            <w:r>
              <w:rPr>
                <w:rFonts w:ascii="Arial" w:hAnsi="Arial" w:cs="Arial" w:eastAsia="Arial"/>
                <w:color w:val="auto"/>
                <w:spacing w:val="0"/>
                <w:position w:val="0"/>
                <w:sz w:val="22"/>
                <w:shd w:fill="auto" w:val="clear"/>
              </w:rPr>
              <w:t xml:space="preserve">Pilot support highlighted the value of tailored institutional and peer-facing mental-health support</w:t>
            </w:r>
          </w:p>
        </w:tc>
        <w:tc>
          <w:tcPr>
            <w:tcW w:w="183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360"/>
              <w:ind w:right="0" w:left="0" w:firstLine="0"/>
              <w:jc w:val="both"/>
              <w:rPr>
                <w:color w:val="auto"/>
                <w:spacing w:val="0"/>
                <w:position w:val="0"/>
                <w:sz w:val="22"/>
                <w:shd w:fill="auto" w:val="clear"/>
              </w:rPr>
            </w:pPr>
            <w:r>
              <w:rPr>
                <w:rFonts w:ascii="Arial" w:hAnsi="Arial" w:cs="Arial" w:eastAsia="Arial"/>
                <w:color w:val="auto"/>
                <w:spacing w:val="0"/>
                <w:position w:val="0"/>
                <w:sz w:val="22"/>
                <w:shd w:fill="auto" w:val="clear"/>
              </w:rPr>
              <w:t xml:space="preserve">Direct intervention-related evidence</w:t>
            </w:r>
          </w:p>
        </w:tc>
        <w:tc>
          <w:tcPr>
            <w:tcW w:w="183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360"/>
              <w:ind w:right="0" w:left="0" w:firstLine="0"/>
              <w:jc w:val="both"/>
              <w:rPr>
                <w:color w:val="auto"/>
                <w:spacing w:val="0"/>
                <w:position w:val="0"/>
                <w:sz w:val="22"/>
                <w:shd w:fill="auto" w:val="clear"/>
              </w:rPr>
            </w:pPr>
            <w:r>
              <w:rPr>
                <w:rFonts w:ascii="Arial" w:hAnsi="Arial" w:cs="Arial" w:eastAsia="Arial"/>
                <w:color w:val="auto"/>
                <w:spacing w:val="0"/>
                <w:position w:val="0"/>
                <w:sz w:val="22"/>
                <w:shd w:fill="auto" w:val="clear"/>
              </w:rPr>
              <w:t xml:space="preserve">Small pilot; highly localised context</w:t>
            </w:r>
          </w:p>
        </w:tc>
        <w:tc>
          <w:tcPr>
            <w:tcW w:w="199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360"/>
              <w:ind w:right="0" w:left="0" w:firstLine="0"/>
              <w:jc w:val="center"/>
              <w:rPr>
                <w:color w:val="auto"/>
                <w:spacing w:val="0"/>
                <w:position w:val="0"/>
                <w:shd w:fill="auto" w:val="clear"/>
              </w:rPr>
            </w:pPr>
            <w:r>
              <w:rPr>
                <w:rFonts w:ascii="Arial" w:hAnsi="Arial" w:cs="Arial" w:eastAsia="Arial"/>
                <w:b/>
                <w:i/>
                <w:color w:val="auto"/>
                <w:spacing w:val="0"/>
                <w:position w:val="0"/>
                <w:sz w:val="20"/>
                <w:shd w:fill="auto" w:val="clear"/>
              </w:rPr>
              <w:t xml:space="preserve">RO4; T4</w:t>
            </w:r>
            <w:r>
              <w:rPr>
                <w:rFonts w:ascii="Arial" w:hAnsi="Arial" w:cs="Arial" w:eastAsia="Arial"/>
                <w:i/>
                <w:color w:val="auto"/>
                <w:spacing w:val="0"/>
                <w:position w:val="0"/>
                <w:sz w:val="20"/>
                <w:shd w:fill="auto" w:val="clear"/>
              </w:rPr>
              <w:t xml:space="preserve"> - Help-seeking and multi-level support</w:t>
            </w:r>
          </w:p>
        </w:tc>
        <w:tc>
          <w:tcPr>
            <w:tcW w:w="2271"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center"/>
              <w:rPr>
                <w:color w:val="auto"/>
                <w:spacing w:val="0"/>
                <w:position w:val="0"/>
                <w:sz w:val="22"/>
                <w:shd w:fill="auto" w:val="clear"/>
              </w:rPr>
            </w:pPr>
            <w:r>
              <w:rPr>
                <w:rFonts w:ascii="Arial" w:hAnsi="Arial" w:cs="Arial" w:eastAsia="Arial"/>
                <w:color w:val="auto"/>
                <w:spacing w:val="0"/>
                <w:position w:val="0"/>
                <w:sz w:val="22"/>
                <w:shd w:fill="auto" w:val="clear"/>
              </w:rPr>
              <w:t xml:space="preserve">To explore a pilot support intervention for doctoral-student mental health.</w:t>
            </w:r>
          </w:p>
        </w:tc>
      </w:tr>
      <w:tr>
        <w:trPr>
          <w:trHeight w:val="1" w:hRule="atLeast"/>
          <w:jc w:val="left"/>
        </w:trPr>
        <w:tc>
          <w:tcPr>
            <w:tcW w:w="140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360"/>
              <w:ind w:right="0" w:left="0" w:firstLine="0"/>
              <w:jc w:val="center"/>
              <w:rPr>
                <w:color w:val="auto"/>
                <w:spacing w:val="0"/>
                <w:position w:val="0"/>
                <w:shd w:fill="auto" w:val="clear"/>
              </w:rPr>
            </w:pPr>
            <w:r>
              <w:rPr>
                <w:rFonts w:ascii="Arial" w:hAnsi="Arial" w:cs="Arial" w:eastAsia="Arial"/>
                <w:b/>
                <w:color w:val="auto"/>
                <w:spacing w:val="0"/>
                <w:position w:val="0"/>
                <w:sz w:val="20"/>
                <w:shd w:fill="auto" w:val="clear"/>
              </w:rPr>
              <w:t xml:space="preserve">Hazell et al. (2025)</w:t>
            </w:r>
          </w:p>
        </w:tc>
        <w:tc>
          <w:tcPr>
            <w:tcW w:w="141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360"/>
              <w:ind w:right="0" w:left="0" w:firstLine="0"/>
              <w:jc w:val="center"/>
              <w:rPr>
                <w:color w:val="auto"/>
                <w:spacing w:val="0"/>
                <w:position w:val="0"/>
                <w:sz w:val="22"/>
                <w:shd w:fill="auto" w:val="clear"/>
              </w:rPr>
            </w:pPr>
            <w:r>
              <w:rPr>
                <w:rFonts w:ascii="Arial" w:hAnsi="Arial" w:cs="Arial" w:eastAsia="Arial"/>
                <w:color w:val="auto"/>
                <w:spacing w:val="0"/>
                <w:position w:val="0"/>
                <w:sz w:val="22"/>
                <w:shd w:fill="auto" w:val="clear"/>
              </w:rPr>
              <w:t xml:space="preserve">UK-wide; 1,783 doctoral free-text responses; U-DOC</w:t>
            </w:r>
          </w:p>
        </w:tc>
        <w:tc>
          <w:tcPr>
            <w:tcW w:w="135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360"/>
              <w:ind w:right="0" w:left="0" w:firstLine="0"/>
              <w:jc w:val="both"/>
              <w:rPr>
                <w:color w:val="auto"/>
                <w:spacing w:val="0"/>
                <w:position w:val="0"/>
                <w:sz w:val="22"/>
                <w:shd w:fill="auto" w:val="clear"/>
              </w:rPr>
            </w:pPr>
            <w:r>
              <w:rPr>
                <w:rFonts w:ascii="Arial" w:hAnsi="Arial" w:cs="Arial" w:eastAsia="Arial"/>
                <w:color w:val="auto"/>
                <w:spacing w:val="0"/>
                <w:position w:val="0"/>
                <w:sz w:val="22"/>
                <w:shd w:fill="auto" w:val="clear"/>
              </w:rPr>
              <w:t xml:space="preserve">Qualitative thematic analysis</w:t>
            </w:r>
          </w:p>
        </w:tc>
        <w:tc>
          <w:tcPr>
            <w:tcW w:w="212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360"/>
              <w:ind w:right="0" w:left="0" w:firstLine="0"/>
              <w:jc w:val="both"/>
              <w:rPr>
                <w:color w:val="auto"/>
                <w:spacing w:val="0"/>
                <w:position w:val="0"/>
                <w:sz w:val="22"/>
                <w:shd w:fill="auto" w:val="clear"/>
              </w:rPr>
            </w:pPr>
            <w:r>
              <w:rPr>
                <w:rFonts w:ascii="Arial" w:hAnsi="Arial" w:cs="Arial" w:eastAsia="Arial"/>
                <w:color w:val="auto"/>
                <w:spacing w:val="0"/>
                <w:position w:val="0"/>
                <w:sz w:val="22"/>
                <w:shd w:fill="auto" w:val="clear"/>
              </w:rPr>
              <w:t xml:space="preserve">Supervision could trigger, worsen or protect mental health and could facilitate signposting</w:t>
            </w:r>
          </w:p>
        </w:tc>
        <w:tc>
          <w:tcPr>
            <w:tcW w:w="183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360"/>
              <w:ind w:right="0" w:left="0" w:firstLine="0"/>
              <w:jc w:val="both"/>
              <w:rPr>
                <w:color w:val="auto"/>
                <w:spacing w:val="0"/>
                <w:position w:val="0"/>
                <w:sz w:val="22"/>
                <w:shd w:fill="auto" w:val="clear"/>
              </w:rPr>
            </w:pPr>
            <w:r>
              <w:rPr>
                <w:rFonts w:ascii="Arial" w:hAnsi="Arial" w:cs="Arial" w:eastAsia="Arial"/>
                <w:color w:val="auto"/>
                <w:spacing w:val="0"/>
                <w:position w:val="0"/>
                <w:sz w:val="22"/>
                <w:shd w:fill="auto" w:val="clear"/>
              </w:rPr>
              <w:t xml:space="preserve">Large qualitative dataset; reflexive thematic analysis</w:t>
            </w:r>
          </w:p>
        </w:tc>
        <w:tc>
          <w:tcPr>
            <w:tcW w:w="183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360"/>
              <w:ind w:right="0" w:left="0" w:firstLine="0"/>
              <w:jc w:val="both"/>
              <w:rPr>
                <w:color w:val="auto"/>
                <w:spacing w:val="0"/>
                <w:position w:val="0"/>
                <w:sz w:val="22"/>
                <w:shd w:fill="auto" w:val="clear"/>
              </w:rPr>
            </w:pPr>
            <w:r>
              <w:rPr>
                <w:rFonts w:ascii="Arial" w:hAnsi="Arial" w:cs="Arial" w:eastAsia="Arial"/>
                <w:color w:val="auto"/>
                <w:spacing w:val="0"/>
                <w:position w:val="0"/>
                <w:sz w:val="22"/>
                <w:shd w:fill="auto" w:val="clear"/>
              </w:rPr>
              <w:t xml:space="preserve">Findings based on linked U-DOC cohort</w:t>
            </w:r>
          </w:p>
        </w:tc>
        <w:tc>
          <w:tcPr>
            <w:tcW w:w="199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360"/>
              <w:ind w:right="0" w:left="0" w:firstLine="0"/>
              <w:jc w:val="center"/>
              <w:rPr>
                <w:color w:val="auto"/>
                <w:spacing w:val="0"/>
                <w:position w:val="0"/>
                <w:shd w:fill="auto" w:val="clear"/>
              </w:rPr>
            </w:pPr>
            <w:r>
              <w:rPr>
                <w:rFonts w:ascii="Arial" w:hAnsi="Arial" w:cs="Arial" w:eastAsia="Arial"/>
                <w:b/>
                <w:i/>
                <w:color w:val="auto"/>
                <w:spacing w:val="0"/>
                <w:position w:val="0"/>
                <w:sz w:val="20"/>
                <w:shd w:fill="auto" w:val="clear"/>
              </w:rPr>
              <w:t xml:space="preserve">RO4; T2/T4</w:t>
            </w:r>
            <w:r>
              <w:rPr>
                <w:rFonts w:ascii="Arial" w:hAnsi="Arial" w:cs="Arial" w:eastAsia="Arial"/>
                <w:i/>
                <w:color w:val="auto"/>
                <w:spacing w:val="0"/>
                <w:position w:val="0"/>
                <w:sz w:val="20"/>
                <w:shd w:fill="auto" w:val="clear"/>
              </w:rPr>
              <w:t xml:space="preserve"> - Supervisory relationships; help-seeking/support</w:t>
            </w:r>
          </w:p>
        </w:tc>
        <w:tc>
          <w:tcPr>
            <w:tcW w:w="2271"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center"/>
              <w:rPr>
                <w:color w:val="auto"/>
                <w:spacing w:val="0"/>
                <w:position w:val="0"/>
                <w:sz w:val="22"/>
                <w:shd w:fill="auto" w:val="clear"/>
              </w:rPr>
            </w:pPr>
            <w:r>
              <w:rPr>
                <w:rFonts w:ascii="Arial" w:hAnsi="Arial" w:cs="Arial" w:eastAsia="Arial"/>
                <w:color w:val="auto"/>
                <w:spacing w:val="0"/>
                <w:position w:val="0"/>
                <w:sz w:val="22"/>
                <w:shd w:fill="auto" w:val="clear"/>
              </w:rPr>
              <w:t xml:space="preserve">To explore how supervisory relationships could influence doctoral-researcher mental health and support.</w:t>
            </w:r>
          </w:p>
        </w:tc>
      </w:tr>
      <w:tr>
        <w:trPr>
          <w:trHeight w:val="1" w:hRule="atLeast"/>
          <w:jc w:val="left"/>
        </w:trPr>
        <w:tc>
          <w:tcPr>
            <w:tcW w:w="140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360"/>
              <w:ind w:right="0" w:left="0" w:firstLine="0"/>
              <w:jc w:val="center"/>
              <w:rPr>
                <w:color w:val="auto"/>
                <w:spacing w:val="0"/>
                <w:position w:val="0"/>
                <w:shd w:fill="auto" w:val="clear"/>
              </w:rPr>
            </w:pPr>
            <w:r>
              <w:rPr>
                <w:rFonts w:ascii="Arial" w:hAnsi="Arial" w:cs="Arial" w:eastAsia="Arial"/>
                <w:b/>
                <w:color w:val="auto"/>
                <w:spacing w:val="0"/>
                <w:position w:val="0"/>
                <w:sz w:val="20"/>
                <w:shd w:fill="auto" w:val="clear"/>
              </w:rPr>
              <w:t xml:space="preserve">Marshall et al. (2026)</w:t>
            </w:r>
          </w:p>
        </w:tc>
        <w:tc>
          <w:tcPr>
            <w:tcW w:w="141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360"/>
              <w:ind w:right="0" w:left="0" w:firstLine="0"/>
              <w:jc w:val="center"/>
              <w:rPr>
                <w:color w:val="auto"/>
                <w:spacing w:val="0"/>
                <w:position w:val="0"/>
                <w:sz w:val="22"/>
                <w:shd w:fill="auto" w:val="clear"/>
              </w:rPr>
            </w:pPr>
            <w:r>
              <w:rPr>
                <w:rFonts w:ascii="Arial" w:hAnsi="Arial" w:cs="Arial" w:eastAsia="Arial"/>
                <w:color w:val="auto"/>
                <w:spacing w:val="0"/>
                <w:position w:val="0"/>
                <w:sz w:val="22"/>
                <w:shd w:fill="auto" w:val="clear"/>
              </w:rPr>
              <w:t xml:space="preserve">University of St Andrews; 21 PGT students</w:t>
            </w:r>
          </w:p>
        </w:tc>
        <w:tc>
          <w:tcPr>
            <w:tcW w:w="135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360"/>
              <w:ind w:right="0" w:left="0" w:firstLine="0"/>
              <w:jc w:val="both"/>
              <w:rPr>
                <w:color w:val="auto"/>
                <w:spacing w:val="0"/>
                <w:position w:val="0"/>
                <w:sz w:val="22"/>
                <w:shd w:fill="auto" w:val="clear"/>
              </w:rPr>
            </w:pPr>
            <w:r>
              <w:rPr>
                <w:rFonts w:ascii="Arial" w:hAnsi="Arial" w:cs="Arial" w:eastAsia="Arial"/>
                <w:color w:val="auto"/>
                <w:spacing w:val="0"/>
                <w:position w:val="0"/>
                <w:sz w:val="22"/>
                <w:shd w:fill="auto" w:val="clear"/>
              </w:rPr>
              <w:t xml:space="preserve">Qualitative case study</w:t>
            </w:r>
          </w:p>
        </w:tc>
        <w:tc>
          <w:tcPr>
            <w:tcW w:w="212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360"/>
              <w:ind w:right="0" w:left="0" w:firstLine="0"/>
              <w:jc w:val="both"/>
              <w:rPr>
                <w:color w:val="auto"/>
                <w:spacing w:val="0"/>
                <w:position w:val="0"/>
                <w:sz w:val="22"/>
                <w:shd w:fill="auto" w:val="clear"/>
              </w:rPr>
            </w:pPr>
            <w:r>
              <w:rPr>
                <w:rFonts w:ascii="Arial" w:hAnsi="Arial" w:cs="Arial" w:eastAsia="Arial"/>
                <w:color w:val="auto"/>
                <w:spacing w:val="0"/>
                <w:position w:val="0"/>
                <w:sz w:val="22"/>
                <w:shd w:fill="auto" w:val="clear"/>
              </w:rPr>
              <w:t xml:space="preserve">Communication, isolation, academic pressure, socialising and support shaped PGT wellbeing</w:t>
            </w:r>
          </w:p>
        </w:tc>
        <w:tc>
          <w:tcPr>
            <w:tcW w:w="183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360"/>
              <w:ind w:right="0" w:left="0" w:firstLine="0"/>
              <w:jc w:val="both"/>
              <w:rPr>
                <w:color w:val="auto"/>
                <w:spacing w:val="0"/>
                <w:position w:val="0"/>
                <w:sz w:val="22"/>
                <w:shd w:fill="auto" w:val="clear"/>
              </w:rPr>
            </w:pPr>
            <w:r>
              <w:rPr>
                <w:rFonts w:ascii="Arial" w:hAnsi="Arial" w:cs="Arial" w:eastAsia="Arial"/>
                <w:color w:val="auto"/>
                <w:spacing w:val="0"/>
                <w:position w:val="0"/>
                <w:sz w:val="22"/>
                <w:shd w:fill="auto" w:val="clear"/>
              </w:rPr>
              <w:t xml:space="preserve">Rare direct qualitative evidence from PGT students</w:t>
            </w:r>
          </w:p>
        </w:tc>
        <w:tc>
          <w:tcPr>
            <w:tcW w:w="183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360"/>
              <w:ind w:right="0" w:left="0" w:firstLine="0"/>
              <w:jc w:val="both"/>
              <w:rPr>
                <w:color w:val="auto"/>
                <w:spacing w:val="0"/>
                <w:position w:val="0"/>
                <w:sz w:val="22"/>
                <w:shd w:fill="auto" w:val="clear"/>
              </w:rPr>
            </w:pPr>
            <w:r>
              <w:rPr>
                <w:rFonts w:ascii="Arial" w:hAnsi="Arial" w:cs="Arial" w:eastAsia="Arial"/>
                <w:color w:val="auto"/>
                <w:spacing w:val="0"/>
                <w:position w:val="0"/>
                <w:sz w:val="22"/>
                <w:shd w:fill="auto" w:val="clear"/>
              </w:rPr>
              <w:t xml:space="preserve">Small sample; one university; pandemic-period context</w:t>
            </w:r>
          </w:p>
        </w:tc>
        <w:tc>
          <w:tcPr>
            <w:tcW w:w="199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360"/>
              <w:ind w:right="0" w:left="0" w:firstLine="0"/>
              <w:jc w:val="center"/>
              <w:rPr>
                <w:color w:val="auto"/>
                <w:spacing w:val="0"/>
                <w:position w:val="0"/>
                <w:shd w:fill="auto" w:val="clear"/>
              </w:rPr>
            </w:pPr>
            <w:r>
              <w:rPr>
                <w:rFonts w:ascii="Arial" w:hAnsi="Arial" w:cs="Arial" w:eastAsia="Arial"/>
                <w:b/>
                <w:i/>
                <w:color w:val="auto"/>
                <w:spacing w:val="0"/>
                <w:position w:val="0"/>
                <w:sz w:val="20"/>
                <w:shd w:fill="auto" w:val="clear"/>
              </w:rPr>
              <w:t xml:space="preserve">RO3/RO4; T2/T4</w:t>
            </w:r>
            <w:r>
              <w:rPr>
                <w:rFonts w:ascii="Arial" w:hAnsi="Arial" w:cs="Arial" w:eastAsia="Arial"/>
                <w:i/>
                <w:color w:val="auto"/>
                <w:spacing w:val="0"/>
                <w:position w:val="0"/>
                <w:sz w:val="20"/>
                <w:shd w:fill="auto" w:val="clear"/>
              </w:rPr>
              <w:t xml:space="preserve"> - Academic/social factors; support</w:t>
            </w:r>
          </w:p>
        </w:tc>
        <w:tc>
          <w:tcPr>
            <w:tcW w:w="2271"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center"/>
              <w:rPr>
                <w:color w:val="auto"/>
                <w:spacing w:val="0"/>
                <w:position w:val="0"/>
                <w:sz w:val="22"/>
                <w:shd w:fill="auto" w:val="clear"/>
              </w:rPr>
            </w:pPr>
            <w:r>
              <w:rPr>
                <w:rFonts w:ascii="Arial" w:hAnsi="Arial" w:cs="Arial" w:eastAsia="Arial"/>
                <w:color w:val="auto"/>
                <w:spacing w:val="0"/>
                <w:position w:val="0"/>
                <w:sz w:val="22"/>
                <w:shd w:fill="auto" w:val="clear"/>
              </w:rPr>
              <w:t xml:space="preserve">To explore factors supporting or hindering wellbeing among postgraduate taught students.</w:t>
            </w:r>
          </w:p>
        </w:tc>
      </w:tr>
    </w:tbl>
    <w:p>
      <w:pPr>
        <w:spacing w:before="0" w:after="160" w:line="360"/>
        <w:ind w:right="0" w:left="0" w:firstLine="0"/>
        <w:jc w:val="both"/>
        <w:rPr>
          <w:rFonts w:ascii="Arial" w:hAnsi="Arial" w:cs="Arial" w:eastAsia="Arial"/>
          <w:color w:val="auto"/>
          <w:spacing w:val="0"/>
          <w:position w:val="0"/>
          <w:sz w:val="22"/>
          <w:shd w:fill="auto" w:val="clear"/>
        </w:rPr>
      </w:pP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The 15 reports included were very heterogeneous in methods and in population. Cross-sectional studies of the PGR or doctoral population predominated in quantitative evidence, and there was relatively less direct evidence of PGT students. The sample sizes ranged from small qualitative studies to the whole of the UK, with over 3,000 postgraduate researchers. Some studies employed validated psychological assessment tools, and others gave context to the supervision and isolation, financial pressure, and financial support experiences using qualitative and mixed-method approaches. In addition to these, there were some studies conducted in a single institution and using convenience or voluntary samples, as well as several publications based on linked cohorts of participants. These were not included as separate U-DOCs because they covered various parts of the research goals and were not seen as replications of the same evidence; rather, they were linked to the other U-DOCs.</w:t>
      </w:r>
    </w:p>
    <w:p>
      <w:pPr>
        <w:keepNext w:val="true"/>
        <w:keepLines w:val="true"/>
        <w:spacing w:before="40" w:after="0" w:line="360"/>
        <w:ind w:right="0" w:left="0" w:firstLine="0"/>
        <w:jc w:val="both"/>
        <w:rPr>
          <w:rFonts w:ascii="Arial" w:hAnsi="Arial" w:cs="Arial" w:eastAsia="Arial"/>
          <w:b/>
          <w:color w:val="auto"/>
          <w:spacing w:val="0"/>
          <w:position w:val="0"/>
          <w:sz w:val="28"/>
          <w:shd w:fill="auto" w:val="clear"/>
        </w:rPr>
      </w:pPr>
      <w:r>
        <w:rPr>
          <w:rFonts w:ascii="Arial" w:hAnsi="Arial" w:cs="Arial" w:eastAsia="Arial"/>
          <w:b/>
          <w:color w:val="auto"/>
          <w:spacing w:val="0"/>
          <w:position w:val="0"/>
          <w:sz w:val="28"/>
          <w:shd w:fill="auto" w:val="clear"/>
        </w:rPr>
        <w:t xml:space="preserve">4.4 Methodological Quality of Included Studies</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A critical appraisal approach based on the CASP was used to appraise the methodological quality of the 15 included studies. The clarity of the research aims was assessed, as well as the appropriateness of the methodology and study design, recruitment strategy, data collection procedures, potential for bias in the study, ethical issues, rigour of analysis, clarity of findings and the overall value and applicability of each study when addressing the review question (CASP, 2024). The use of a uniform framework of assessment allowed methodological advantages and disadvantages of studies with different research designs to be discussed and/or considered systematically, rather than solely by reference to the relevance of the study.</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The 15 studies met the pre-specified minimum quality criterion, and none of the studies exhibited a critical methodological weakness that indicated they were to be excluded. In total, seven studies were considered to be of High-quality evidence, and eight were Moderate-quality evidence. In general, high-quality studies were well designed, showing clear research questions, suitable methods, adequate description of the recruitment and data collection procedures, use of validated measures or careful qualitative analysis, and clear reporting and explicit consideration of the study limitations. Moderate-quality studies were sufficiently rigorous but had some limitations that reduced the confidence and/or transferability of the findings, such as convenience sampling, small samples, single-institution recruitment, cross-sectional designs, pandemic-specific contexts, and pandemic intervention evaluations without control groups or long-term follow-up. These are the same general methodological shortcomings found in previous findings.</w:t>
      </w:r>
    </w:p>
    <w:p>
      <w:pPr>
        <w:spacing w:before="0" w:after="160" w:line="360"/>
        <w:ind w:right="0" w:left="0" w:firstLine="0"/>
        <w:jc w:val="both"/>
        <w:rPr>
          <w:rFonts w:ascii="Arial" w:hAnsi="Arial" w:cs="Arial" w:eastAsia="Arial"/>
          <w:color w:val="auto"/>
          <w:spacing w:val="0"/>
          <w:position w:val="0"/>
          <w:sz w:val="22"/>
          <w:shd w:fill="auto" w:val="clear"/>
        </w:rPr>
      </w:pP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Table 4.3: Review-level methodological appraisal summary</w:t>
      </w:r>
    </w:p>
    <w:tbl>
      <w:tblPr/>
      <w:tblGrid>
        <w:gridCol w:w="2115"/>
        <w:gridCol w:w="1909"/>
        <w:gridCol w:w="1884"/>
        <w:gridCol w:w="1507"/>
        <w:gridCol w:w="3037"/>
        <w:gridCol w:w="2724"/>
      </w:tblGrid>
      <w:tr>
        <w:trPr>
          <w:trHeight w:val="1" w:hRule="atLeast"/>
          <w:jc w:val="left"/>
        </w:trPr>
        <w:tc>
          <w:tcPr>
            <w:tcW w:w="211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360"/>
              <w:ind w:right="0" w:left="0" w:firstLine="0"/>
              <w:jc w:val="both"/>
              <w:rPr>
                <w:color w:val="auto"/>
                <w:spacing w:val="0"/>
                <w:position w:val="0"/>
                <w:sz w:val="22"/>
                <w:shd w:fill="auto" w:val="clear"/>
              </w:rPr>
            </w:pPr>
            <w:r>
              <w:rPr>
                <w:rFonts w:ascii="Arial" w:hAnsi="Arial" w:cs="Arial" w:eastAsia="Arial"/>
                <w:b/>
                <w:color w:val="auto"/>
                <w:spacing w:val="0"/>
                <w:position w:val="0"/>
                <w:sz w:val="22"/>
                <w:shd w:fill="auto" w:val="clear"/>
              </w:rPr>
              <w:t xml:space="preserve">Study</w:t>
            </w:r>
          </w:p>
        </w:tc>
        <w:tc>
          <w:tcPr>
            <w:tcW w:w="190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360"/>
              <w:ind w:right="0" w:left="0" w:firstLine="0"/>
              <w:jc w:val="both"/>
              <w:rPr>
                <w:color w:val="auto"/>
                <w:spacing w:val="0"/>
                <w:position w:val="0"/>
                <w:sz w:val="22"/>
                <w:shd w:fill="auto" w:val="clear"/>
              </w:rPr>
            </w:pPr>
            <w:r>
              <w:rPr>
                <w:rFonts w:ascii="Arial" w:hAnsi="Arial" w:cs="Arial" w:eastAsia="Arial"/>
                <w:b/>
                <w:color w:val="auto"/>
                <w:spacing w:val="0"/>
                <w:position w:val="0"/>
                <w:sz w:val="22"/>
                <w:shd w:fill="auto" w:val="clear"/>
              </w:rPr>
              <w:t xml:space="preserve">Study design</w:t>
            </w:r>
          </w:p>
        </w:tc>
        <w:tc>
          <w:tcPr>
            <w:tcW w:w="188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360"/>
              <w:ind w:right="0" w:left="0" w:firstLine="0"/>
              <w:jc w:val="both"/>
              <w:rPr>
                <w:color w:val="auto"/>
                <w:spacing w:val="0"/>
                <w:position w:val="0"/>
                <w:sz w:val="22"/>
                <w:shd w:fill="auto" w:val="clear"/>
              </w:rPr>
            </w:pPr>
            <w:r>
              <w:rPr>
                <w:rFonts w:ascii="Arial" w:hAnsi="Arial" w:cs="Arial" w:eastAsia="Arial"/>
                <w:b/>
                <w:color w:val="auto"/>
                <w:spacing w:val="0"/>
                <w:position w:val="0"/>
                <w:sz w:val="22"/>
                <w:shd w:fill="auto" w:val="clear"/>
              </w:rPr>
              <w:t xml:space="preserve">Appraisal tool</w:t>
            </w:r>
          </w:p>
        </w:tc>
        <w:tc>
          <w:tcPr>
            <w:tcW w:w="150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360"/>
              <w:ind w:right="0" w:left="0" w:firstLine="0"/>
              <w:jc w:val="both"/>
              <w:rPr>
                <w:color w:val="auto"/>
                <w:spacing w:val="0"/>
                <w:position w:val="0"/>
                <w:sz w:val="22"/>
                <w:shd w:fill="auto" w:val="clear"/>
              </w:rPr>
            </w:pPr>
            <w:r>
              <w:rPr>
                <w:rFonts w:ascii="Arial" w:hAnsi="Arial" w:cs="Arial" w:eastAsia="Arial"/>
                <w:b/>
                <w:color w:val="auto"/>
                <w:spacing w:val="0"/>
                <w:position w:val="0"/>
                <w:sz w:val="22"/>
                <w:shd w:fill="auto" w:val="clear"/>
              </w:rPr>
              <w:t xml:space="preserve">Overall judgement</w:t>
            </w:r>
          </w:p>
        </w:tc>
        <w:tc>
          <w:tcPr>
            <w:tcW w:w="303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360"/>
              <w:ind w:right="0" w:left="0" w:firstLine="0"/>
              <w:jc w:val="both"/>
              <w:rPr>
                <w:color w:val="auto"/>
                <w:spacing w:val="0"/>
                <w:position w:val="0"/>
                <w:sz w:val="22"/>
                <w:shd w:fill="auto" w:val="clear"/>
              </w:rPr>
            </w:pPr>
            <w:r>
              <w:rPr>
                <w:rFonts w:ascii="Arial" w:hAnsi="Arial" w:cs="Arial" w:eastAsia="Arial"/>
                <w:b/>
                <w:color w:val="auto"/>
                <w:spacing w:val="0"/>
                <w:position w:val="0"/>
                <w:sz w:val="22"/>
                <w:shd w:fill="auto" w:val="clear"/>
              </w:rPr>
              <w:t xml:space="preserve">Key methodological strength</w:t>
            </w:r>
          </w:p>
        </w:tc>
        <w:tc>
          <w:tcPr>
            <w:tcW w:w="272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360"/>
              <w:ind w:right="0" w:left="0" w:firstLine="0"/>
              <w:jc w:val="both"/>
              <w:rPr>
                <w:color w:val="auto"/>
                <w:spacing w:val="0"/>
                <w:position w:val="0"/>
                <w:sz w:val="22"/>
                <w:shd w:fill="auto" w:val="clear"/>
              </w:rPr>
            </w:pPr>
            <w:r>
              <w:rPr>
                <w:rFonts w:ascii="Arial" w:hAnsi="Arial" w:cs="Arial" w:eastAsia="Arial"/>
                <w:b/>
                <w:color w:val="auto"/>
                <w:spacing w:val="0"/>
                <w:position w:val="0"/>
                <w:sz w:val="22"/>
                <w:shd w:fill="auto" w:val="clear"/>
              </w:rPr>
              <w:t xml:space="preserve">Principal limitation</w:t>
            </w:r>
          </w:p>
        </w:tc>
      </w:tr>
      <w:tr>
        <w:trPr>
          <w:trHeight w:val="1" w:hRule="atLeast"/>
          <w:jc w:val="left"/>
        </w:trPr>
        <w:tc>
          <w:tcPr>
            <w:tcW w:w="211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360"/>
              <w:ind w:right="0" w:left="0" w:firstLine="0"/>
              <w:jc w:val="both"/>
              <w:rPr>
                <w:color w:val="auto"/>
                <w:spacing w:val="0"/>
                <w:position w:val="0"/>
                <w:sz w:val="22"/>
                <w:shd w:fill="auto" w:val="clear"/>
              </w:rPr>
            </w:pPr>
            <w:r>
              <w:rPr>
                <w:rFonts w:ascii="Arial" w:hAnsi="Arial" w:cs="Arial" w:eastAsia="Arial"/>
                <w:color w:val="auto"/>
                <w:spacing w:val="0"/>
                <w:position w:val="0"/>
                <w:sz w:val="22"/>
                <w:shd w:fill="auto" w:val="clear"/>
              </w:rPr>
              <w:t xml:space="preserve">Hazell et al. (2021)</w:t>
            </w:r>
          </w:p>
        </w:tc>
        <w:tc>
          <w:tcPr>
            <w:tcW w:w="190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360"/>
              <w:ind w:right="0" w:left="0" w:firstLine="0"/>
              <w:jc w:val="both"/>
              <w:rPr>
                <w:color w:val="auto"/>
                <w:spacing w:val="0"/>
                <w:position w:val="0"/>
                <w:sz w:val="22"/>
                <w:shd w:fill="auto" w:val="clear"/>
              </w:rPr>
            </w:pPr>
            <w:r>
              <w:rPr>
                <w:rFonts w:ascii="Arial" w:hAnsi="Arial" w:cs="Arial" w:eastAsia="Arial"/>
                <w:color w:val="auto"/>
                <w:spacing w:val="0"/>
                <w:position w:val="0"/>
                <w:sz w:val="22"/>
                <w:shd w:fill="auto" w:val="clear"/>
              </w:rPr>
              <w:t xml:space="preserve">Cross-sectional national survey</w:t>
            </w:r>
          </w:p>
        </w:tc>
        <w:tc>
          <w:tcPr>
            <w:tcW w:w="188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360"/>
              <w:ind w:right="0" w:left="0" w:firstLine="0"/>
              <w:jc w:val="both"/>
              <w:rPr>
                <w:color w:val="auto"/>
                <w:spacing w:val="0"/>
                <w:position w:val="0"/>
                <w:sz w:val="22"/>
                <w:shd w:fill="auto" w:val="clear"/>
              </w:rPr>
            </w:pPr>
            <w:r>
              <w:rPr>
                <w:rFonts w:ascii="Arial" w:hAnsi="Arial" w:cs="Arial" w:eastAsia="Arial"/>
                <w:color w:val="auto"/>
                <w:spacing w:val="0"/>
                <w:position w:val="0"/>
                <w:sz w:val="22"/>
                <w:shd w:fill="auto" w:val="clear"/>
              </w:rPr>
              <w:t xml:space="preserve">JBI Analytical Cross-Sectional Checklist</w:t>
            </w:r>
          </w:p>
        </w:tc>
        <w:tc>
          <w:tcPr>
            <w:tcW w:w="150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360"/>
              <w:ind w:right="0" w:left="0" w:firstLine="0"/>
              <w:jc w:val="both"/>
              <w:rPr>
                <w:color w:val="auto"/>
                <w:spacing w:val="0"/>
                <w:position w:val="0"/>
                <w:sz w:val="22"/>
                <w:shd w:fill="auto" w:val="clear"/>
              </w:rPr>
            </w:pPr>
            <w:r>
              <w:rPr>
                <w:rFonts w:ascii="Arial" w:hAnsi="Arial" w:cs="Arial" w:eastAsia="Arial"/>
                <w:b/>
                <w:color w:val="auto"/>
                <w:spacing w:val="0"/>
                <w:position w:val="0"/>
                <w:sz w:val="22"/>
                <w:shd w:fill="auto" w:val="clear"/>
              </w:rPr>
              <w:t xml:space="preserve">High</w:t>
            </w:r>
          </w:p>
        </w:tc>
        <w:tc>
          <w:tcPr>
            <w:tcW w:w="303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360"/>
              <w:ind w:right="0" w:left="0" w:firstLine="0"/>
              <w:jc w:val="both"/>
              <w:rPr>
                <w:color w:val="auto"/>
                <w:spacing w:val="0"/>
                <w:position w:val="0"/>
                <w:sz w:val="22"/>
                <w:shd w:fill="auto" w:val="clear"/>
              </w:rPr>
            </w:pPr>
            <w:r>
              <w:rPr>
                <w:rFonts w:ascii="Arial" w:hAnsi="Arial" w:cs="Arial" w:eastAsia="Arial"/>
                <w:color w:val="auto"/>
                <w:spacing w:val="0"/>
                <w:position w:val="0"/>
                <w:sz w:val="22"/>
                <w:shd w:fill="auto" w:val="clear"/>
              </w:rPr>
              <w:t xml:space="preserve">Large UK-wide sample; validated mental-health measures</w:t>
            </w:r>
          </w:p>
        </w:tc>
        <w:tc>
          <w:tcPr>
            <w:tcW w:w="272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360"/>
              <w:ind w:right="0" w:left="0" w:firstLine="0"/>
              <w:jc w:val="both"/>
              <w:rPr>
                <w:color w:val="auto"/>
                <w:spacing w:val="0"/>
                <w:position w:val="0"/>
                <w:sz w:val="22"/>
                <w:shd w:fill="auto" w:val="clear"/>
              </w:rPr>
            </w:pPr>
            <w:r>
              <w:rPr>
                <w:rFonts w:ascii="Arial" w:hAnsi="Arial" w:cs="Arial" w:eastAsia="Arial"/>
                <w:color w:val="auto"/>
                <w:spacing w:val="0"/>
                <w:position w:val="0"/>
                <w:sz w:val="22"/>
                <w:shd w:fill="auto" w:val="clear"/>
              </w:rPr>
              <w:t xml:space="preserve">Cross-sectional design; potential self-selection</w:t>
            </w:r>
          </w:p>
        </w:tc>
      </w:tr>
      <w:tr>
        <w:trPr>
          <w:trHeight w:val="1" w:hRule="atLeast"/>
          <w:jc w:val="left"/>
        </w:trPr>
        <w:tc>
          <w:tcPr>
            <w:tcW w:w="211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360"/>
              <w:ind w:right="0" w:left="0" w:firstLine="0"/>
              <w:jc w:val="both"/>
              <w:rPr>
                <w:color w:val="auto"/>
                <w:spacing w:val="0"/>
                <w:position w:val="0"/>
                <w:sz w:val="22"/>
                <w:shd w:fill="auto" w:val="clear"/>
              </w:rPr>
            </w:pPr>
            <w:r>
              <w:rPr>
                <w:rFonts w:ascii="Arial" w:hAnsi="Arial" w:cs="Arial" w:eastAsia="Arial"/>
                <w:color w:val="auto"/>
                <w:spacing w:val="0"/>
                <w:position w:val="0"/>
                <w:sz w:val="22"/>
                <w:shd w:fill="auto" w:val="clear"/>
              </w:rPr>
              <w:t xml:space="preserve">Berry, Niven and Hazell (2021a) - predictors</w:t>
            </w:r>
          </w:p>
        </w:tc>
        <w:tc>
          <w:tcPr>
            <w:tcW w:w="190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360"/>
              <w:ind w:right="0" w:left="0" w:firstLine="0"/>
              <w:jc w:val="both"/>
              <w:rPr>
                <w:color w:val="auto"/>
                <w:spacing w:val="0"/>
                <w:position w:val="0"/>
                <w:sz w:val="22"/>
                <w:shd w:fill="auto" w:val="clear"/>
              </w:rPr>
            </w:pPr>
            <w:r>
              <w:rPr>
                <w:rFonts w:ascii="Arial" w:hAnsi="Arial" w:cs="Arial" w:eastAsia="Arial"/>
                <w:color w:val="auto"/>
                <w:spacing w:val="0"/>
                <w:position w:val="0"/>
                <w:sz w:val="22"/>
                <w:shd w:fill="auto" w:val="clear"/>
              </w:rPr>
              <w:t xml:space="preserve">Cross-sectional predictor study</w:t>
            </w:r>
          </w:p>
        </w:tc>
        <w:tc>
          <w:tcPr>
            <w:tcW w:w="188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360"/>
              <w:ind w:right="0" w:left="0" w:firstLine="0"/>
              <w:jc w:val="both"/>
              <w:rPr>
                <w:color w:val="auto"/>
                <w:spacing w:val="0"/>
                <w:position w:val="0"/>
                <w:sz w:val="22"/>
                <w:shd w:fill="auto" w:val="clear"/>
              </w:rPr>
            </w:pPr>
            <w:r>
              <w:rPr>
                <w:rFonts w:ascii="Arial" w:hAnsi="Arial" w:cs="Arial" w:eastAsia="Arial"/>
                <w:color w:val="auto"/>
                <w:spacing w:val="0"/>
                <w:position w:val="0"/>
                <w:sz w:val="22"/>
                <w:shd w:fill="auto" w:val="clear"/>
              </w:rPr>
              <w:t xml:space="preserve">JBI Analytical Cross-Sectional Checklist</w:t>
            </w:r>
          </w:p>
        </w:tc>
        <w:tc>
          <w:tcPr>
            <w:tcW w:w="150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360"/>
              <w:ind w:right="0" w:left="0" w:firstLine="0"/>
              <w:jc w:val="both"/>
              <w:rPr>
                <w:color w:val="auto"/>
                <w:spacing w:val="0"/>
                <w:position w:val="0"/>
                <w:sz w:val="22"/>
                <w:shd w:fill="auto" w:val="clear"/>
              </w:rPr>
            </w:pPr>
            <w:r>
              <w:rPr>
                <w:rFonts w:ascii="Arial" w:hAnsi="Arial" w:cs="Arial" w:eastAsia="Arial"/>
                <w:b/>
                <w:color w:val="auto"/>
                <w:spacing w:val="0"/>
                <w:position w:val="0"/>
                <w:sz w:val="22"/>
                <w:shd w:fill="auto" w:val="clear"/>
              </w:rPr>
              <w:t xml:space="preserve">High</w:t>
            </w:r>
          </w:p>
        </w:tc>
        <w:tc>
          <w:tcPr>
            <w:tcW w:w="303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360"/>
              <w:ind w:right="0" w:left="0" w:firstLine="0"/>
              <w:jc w:val="both"/>
              <w:rPr>
                <w:color w:val="auto"/>
                <w:spacing w:val="0"/>
                <w:position w:val="0"/>
                <w:sz w:val="22"/>
                <w:shd w:fill="auto" w:val="clear"/>
              </w:rPr>
            </w:pPr>
            <w:r>
              <w:rPr>
                <w:rFonts w:ascii="Arial" w:hAnsi="Arial" w:cs="Arial" w:eastAsia="Arial"/>
                <w:color w:val="auto"/>
                <w:spacing w:val="0"/>
                <w:position w:val="0"/>
                <w:sz w:val="22"/>
                <w:shd w:fill="auto" w:val="clear"/>
              </w:rPr>
              <w:t xml:space="preserve">Large national U-DOC dataset; multivariable analysis</w:t>
            </w:r>
          </w:p>
        </w:tc>
        <w:tc>
          <w:tcPr>
            <w:tcW w:w="272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360"/>
              <w:ind w:right="0" w:left="0" w:firstLine="0"/>
              <w:jc w:val="both"/>
              <w:rPr>
                <w:color w:val="auto"/>
                <w:spacing w:val="0"/>
                <w:position w:val="0"/>
                <w:sz w:val="22"/>
                <w:shd w:fill="auto" w:val="clear"/>
              </w:rPr>
            </w:pPr>
            <w:r>
              <w:rPr>
                <w:rFonts w:ascii="Arial" w:hAnsi="Arial" w:cs="Arial" w:eastAsia="Arial"/>
                <w:color w:val="auto"/>
                <w:spacing w:val="0"/>
                <w:position w:val="0"/>
                <w:sz w:val="22"/>
                <w:shd w:fill="auto" w:val="clear"/>
              </w:rPr>
              <w:t xml:space="preserve">Participants derived from linked U-DOC cohort</w:t>
            </w:r>
          </w:p>
        </w:tc>
      </w:tr>
      <w:tr>
        <w:trPr>
          <w:trHeight w:val="1" w:hRule="atLeast"/>
          <w:jc w:val="left"/>
        </w:trPr>
        <w:tc>
          <w:tcPr>
            <w:tcW w:w="211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360"/>
              <w:ind w:right="0" w:left="0" w:firstLine="0"/>
              <w:jc w:val="both"/>
              <w:rPr>
                <w:color w:val="auto"/>
                <w:spacing w:val="0"/>
                <w:position w:val="0"/>
                <w:sz w:val="22"/>
                <w:shd w:fill="auto" w:val="clear"/>
              </w:rPr>
            </w:pPr>
            <w:r>
              <w:rPr>
                <w:rFonts w:ascii="Arial" w:hAnsi="Arial" w:cs="Arial" w:eastAsia="Arial"/>
                <w:color w:val="auto"/>
                <w:spacing w:val="0"/>
                <w:position w:val="0"/>
                <w:sz w:val="22"/>
                <w:shd w:fill="auto" w:val="clear"/>
              </w:rPr>
              <w:t xml:space="preserve">Berry et al. (2021b) - stigma</w:t>
            </w:r>
          </w:p>
        </w:tc>
        <w:tc>
          <w:tcPr>
            <w:tcW w:w="190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360"/>
              <w:ind w:right="0" w:left="0" w:firstLine="0"/>
              <w:jc w:val="both"/>
              <w:rPr>
                <w:color w:val="auto"/>
                <w:spacing w:val="0"/>
                <w:position w:val="0"/>
                <w:sz w:val="22"/>
                <w:shd w:fill="auto" w:val="clear"/>
              </w:rPr>
            </w:pPr>
            <w:r>
              <w:rPr>
                <w:rFonts w:ascii="Arial" w:hAnsi="Arial" w:cs="Arial" w:eastAsia="Arial"/>
                <w:color w:val="auto"/>
                <w:spacing w:val="0"/>
                <w:position w:val="0"/>
                <w:sz w:val="22"/>
                <w:shd w:fill="auto" w:val="clear"/>
              </w:rPr>
              <w:t xml:space="preserve">Mixed methods</w:t>
            </w:r>
          </w:p>
        </w:tc>
        <w:tc>
          <w:tcPr>
            <w:tcW w:w="188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360"/>
              <w:ind w:right="0" w:left="0" w:firstLine="0"/>
              <w:jc w:val="both"/>
              <w:rPr>
                <w:color w:val="auto"/>
                <w:spacing w:val="0"/>
                <w:position w:val="0"/>
                <w:sz w:val="22"/>
                <w:shd w:fill="auto" w:val="clear"/>
              </w:rPr>
            </w:pPr>
            <w:r>
              <w:rPr>
                <w:rFonts w:ascii="Arial" w:hAnsi="Arial" w:cs="Arial" w:eastAsia="Arial"/>
                <w:color w:val="auto"/>
                <w:spacing w:val="0"/>
                <w:position w:val="0"/>
                <w:sz w:val="22"/>
                <w:shd w:fill="auto" w:val="clear"/>
              </w:rPr>
              <w:t xml:space="preserve">MMAT</w:t>
            </w:r>
          </w:p>
        </w:tc>
        <w:tc>
          <w:tcPr>
            <w:tcW w:w="150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360"/>
              <w:ind w:right="0" w:left="0" w:firstLine="0"/>
              <w:jc w:val="both"/>
              <w:rPr>
                <w:color w:val="auto"/>
                <w:spacing w:val="0"/>
                <w:position w:val="0"/>
                <w:sz w:val="22"/>
                <w:shd w:fill="auto" w:val="clear"/>
              </w:rPr>
            </w:pPr>
            <w:r>
              <w:rPr>
                <w:rFonts w:ascii="Arial" w:hAnsi="Arial" w:cs="Arial" w:eastAsia="Arial"/>
                <w:b/>
                <w:color w:val="auto"/>
                <w:spacing w:val="0"/>
                <w:position w:val="0"/>
                <w:sz w:val="22"/>
                <w:shd w:fill="auto" w:val="clear"/>
              </w:rPr>
              <w:t xml:space="preserve">High</w:t>
            </w:r>
          </w:p>
        </w:tc>
        <w:tc>
          <w:tcPr>
            <w:tcW w:w="303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360"/>
              <w:ind w:right="0" w:left="0" w:firstLine="0"/>
              <w:jc w:val="both"/>
              <w:rPr>
                <w:color w:val="auto"/>
                <w:spacing w:val="0"/>
                <w:position w:val="0"/>
                <w:sz w:val="22"/>
                <w:shd w:fill="auto" w:val="clear"/>
              </w:rPr>
            </w:pPr>
            <w:r>
              <w:rPr>
                <w:rFonts w:ascii="Arial" w:hAnsi="Arial" w:cs="Arial" w:eastAsia="Arial"/>
                <w:color w:val="auto"/>
                <w:spacing w:val="0"/>
                <w:position w:val="0"/>
                <w:sz w:val="22"/>
                <w:shd w:fill="auto" w:val="clear"/>
              </w:rPr>
              <w:t xml:space="preserve">Integration of quantitative and qualitative evidence</w:t>
            </w:r>
          </w:p>
        </w:tc>
        <w:tc>
          <w:tcPr>
            <w:tcW w:w="272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360"/>
              <w:ind w:right="0" w:left="0" w:firstLine="0"/>
              <w:jc w:val="both"/>
              <w:rPr>
                <w:color w:val="auto"/>
                <w:spacing w:val="0"/>
                <w:position w:val="0"/>
                <w:sz w:val="22"/>
                <w:shd w:fill="auto" w:val="clear"/>
              </w:rPr>
            </w:pPr>
            <w:r>
              <w:rPr>
                <w:rFonts w:ascii="Arial" w:hAnsi="Arial" w:cs="Arial" w:eastAsia="Arial"/>
                <w:color w:val="auto"/>
                <w:spacing w:val="0"/>
                <w:position w:val="0"/>
                <w:sz w:val="22"/>
                <w:shd w:fill="auto" w:val="clear"/>
              </w:rPr>
              <w:t xml:space="preserve">Predominantly cross-sectional evidence</w:t>
            </w:r>
          </w:p>
        </w:tc>
      </w:tr>
      <w:tr>
        <w:trPr>
          <w:trHeight w:val="1" w:hRule="atLeast"/>
          <w:jc w:val="left"/>
        </w:trPr>
        <w:tc>
          <w:tcPr>
            <w:tcW w:w="211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360"/>
              <w:ind w:right="0" w:left="0" w:firstLine="0"/>
              <w:jc w:val="both"/>
              <w:rPr>
                <w:color w:val="auto"/>
                <w:spacing w:val="0"/>
                <w:position w:val="0"/>
                <w:sz w:val="22"/>
                <w:shd w:fill="auto" w:val="clear"/>
              </w:rPr>
            </w:pPr>
            <w:r>
              <w:rPr>
                <w:rFonts w:ascii="Arial" w:hAnsi="Arial" w:cs="Arial" w:eastAsia="Arial"/>
                <w:color w:val="auto"/>
                <w:spacing w:val="0"/>
                <w:position w:val="0"/>
                <w:sz w:val="22"/>
                <w:shd w:fill="auto" w:val="clear"/>
              </w:rPr>
              <w:t xml:space="preserve">Homer et al. (2021)</w:t>
            </w:r>
          </w:p>
        </w:tc>
        <w:tc>
          <w:tcPr>
            <w:tcW w:w="190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360"/>
              <w:ind w:right="0" w:left="0" w:firstLine="0"/>
              <w:jc w:val="both"/>
              <w:rPr>
                <w:color w:val="auto"/>
                <w:spacing w:val="0"/>
                <w:position w:val="0"/>
                <w:sz w:val="22"/>
                <w:shd w:fill="auto" w:val="clear"/>
              </w:rPr>
            </w:pPr>
            <w:r>
              <w:rPr>
                <w:rFonts w:ascii="Arial" w:hAnsi="Arial" w:cs="Arial" w:eastAsia="Arial"/>
                <w:color w:val="auto"/>
                <w:spacing w:val="0"/>
                <w:position w:val="0"/>
                <w:sz w:val="22"/>
                <w:shd w:fill="auto" w:val="clear"/>
              </w:rPr>
              <w:t xml:space="preserve">Mixed-method intervention evaluation</w:t>
            </w:r>
          </w:p>
        </w:tc>
        <w:tc>
          <w:tcPr>
            <w:tcW w:w="188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360"/>
              <w:ind w:right="0" w:left="0" w:firstLine="0"/>
              <w:jc w:val="both"/>
              <w:rPr>
                <w:color w:val="auto"/>
                <w:spacing w:val="0"/>
                <w:position w:val="0"/>
                <w:sz w:val="22"/>
                <w:shd w:fill="auto" w:val="clear"/>
              </w:rPr>
            </w:pPr>
            <w:r>
              <w:rPr>
                <w:rFonts w:ascii="Arial" w:hAnsi="Arial" w:cs="Arial" w:eastAsia="Arial"/>
                <w:color w:val="auto"/>
                <w:spacing w:val="0"/>
                <w:position w:val="0"/>
                <w:sz w:val="22"/>
                <w:shd w:fill="auto" w:val="clear"/>
              </w:rPr>
              <w:t xml:space="preserve">MMAT</w:t>
            </w:r>
          </w:p>
        </w:tc>
        <w:tc>
          <w:tcPr>
            <w:tcW w:w="150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360"/>
              <w:ind w:right="0" w:left="0" w:firstLine="0"/>
              <w:jc w:val="both"/>
              <w:rPr>
                <w:color w:val="auto"/>
                <w:spacing w:val="0"/>
                <w:position w:val="0"/>
                <w:sz w:val="22"/>
                <w:shd w:fill="auto" w:val="clear"/>
              </w:rPr>
            </w:pPr>
            <w:r>
              <w:rPr>
                <w:rFonts w:ascii="Arial" w:hAnsi="Arial" w:cs="Arial" w:eastAsia="Arial"/>
                <w:b/>
                <w:color w:val="auto"/>
                <w:spacing w:val="0"/>
                <w:position w:val="0"/>
                <w:sz w:val="22"/>
                <w:shd w:fill="auto" w:val="clear"/>
              </w:rPr>
              <w:t xml:space="preserve">Moderate</w:t>
            </w:r>
          </w:p>
        </w:tc>
        <w:tc>
          <w:tcPr>
            <w:tcW w:w="303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360"/>
              <w:ind w:right="0" w:left="0" w:firstLine="0"/>
              <w:jc w:val="both"/>
              <w:rPr>
                <w:color w:val="auto"/>
                <w:spacing w:val="0"/>
                <w:position w:val="0"/>
                <w:sz w:val="22"/>
                <w:shd w:fill="auto" w:val="clear"/>
              </w:rPr>
            </w:pPr>
            <w:r>
              <w:rPr>
                <w:rFonts w:ascii="Arial" w:hAnsi="Arial" w:cs="Arial" w:eastAsia="Arial"/>
                <w:color w:val="auto"/>
                <w:spacing w:val="0"/>
                <w:position w:val="0"/>
                <w:sz w:val="22"/>
                <w:shd w:fill="auto" w:val="clear"/>
              </w:rPr>
              <w:t xml:space="preserve">Real-world evaluation of a preventive intervention</w:t>
            </w:r>
          </w:p>
        </w:tc>
        <w:tc>
          <w:tcPr>
            <w:tcW w:w="272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360"/>
              <w:ind w:right="0" w:left="0" w:firstLine="0"/>
              <w:jc w:val="both"/>
              <w:rPr>
                <w:color w:val="auto"/>
                <w:spacing w:val="0"/>
                <w:position w:val="0"/>
                <w:sz w:val="22"/>
                <w:shd w:fill="auto" w:val="clear"/>
              </w:rPr>
            </w:pPr>
            <w:r>
              <w:rPr>
                <w:rFonts w:ascii="Arial" w:hAnsi="Arial" w:cs="Arial" w:eastAsia="Arial"/>
                <w:color w:val="auto"/>
                <w:spacing w:val="0"/>
                <w:position w:val="0"/>
                <w:sz w:val="22"/>
                <w:shd w:fill="auto" w:val="clear"/>
              </w:rPr>
              <w:t xml:space="preserve">Single institution; no control group</w:t>
            </w:r>
          </w:p>
        </w:tc>
      </w:tr>
      <w:tr>
        <w:trPr>
          <w:trHeight w:val="1" w:hRule="atLeast"/>
          <w:jc w:val="left"/>
        </w:trPr>
        <w:tc>
          <w:tcPr>
            <w:tcW w:w="211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360"/>
              <w:ind w:right="0" w:left="0" w:firstLine="0"/>
              <w:jc w:val="both"/>
              <w:rPr>
                <w:color w:val="auto"/>
                <w:spacing w:val="0"/>
                <w:position w:val="0"/>
                <w:sz w:val="22"/>
                <w:shd w:fill="auto" w:val="clear"/>
              </w:rPr>
            </w:pPr>
            <w:r>
              <w:rPr>
                <w:rFonts w:ascii="Arial" w:hAnsi="Arial" w:cs="Arial" w:eastAsia="Arial"/>
                <w:color w:val="auto"/>
                <w:spacing w:val="0"/>
                <w:position w:val="0"/>
                <w:sz w:val="22"/>
                <w:shd w:fill="auto" w:val="clear"/>
              </w:rPr>
              <w:t xml:space="preserve">Carr et al. (2022)</w:t>
            </w:r>
          </w:p>
        </w:tc>
        <w:tc>
          <w:tcPr>
            <w:tcW w:w="190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360"/>
              <w:ind w:right="0" w:left="0" w:firstLine="0"/>
              <w:jc w:val="both"/>
              <w:rPr>
                <w:color w:val="auto"/>
                <w:spacing w:val="0"/>
                <w:position w:val="0"/>
                <w:sz w:val="22"/>
                <w:shd w:fill="auto" w:val="clear"/>
              </w:rPr>
            </w:pPr>
            <w:r>
              <w:rPr>
                <w:rFonts w:ascii="Arial" w:hAnsi="Arial" w:cs="Arial" w:eastAsia="Arial"/>
                <w:color w:val="auto"/>
                <w:spacing w:val="0"/>
                <w:position w:val="0"/>
                <w:sz w:val="22"/>
                <w:shd w:fill="auto" w:val="clear"/>
              </w:rPr>
              <w:t xml:space="preserve">Cross-sectional survey</w:t>
            </w:r>
          </w:p>
        </w:tc>
        <w:tc>
          <w:tcPr>
            <w:tcW w:w="188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360"/>
              <w:ind w:right="0" w:left="0" w:firstLine="0"/>
              <w:jc w:val="both"/>
              <w:rPr>
                <w:color w:val="auto"/>
                <w:spacing w:val="0"/>
                <w:position w:val="0"/>
                <w:sz w:val="22"/>
                <w:shd w:fill="auto" w:val="clear"/>
              </w:rPr>
            </w:pPr>
            <w:r>
              <w:rPr>
                <w:rFonts w:ascii="Arial" w:hAnsi="Arial" w:cs="Arial" w:eastAsia="Arial"/>
                <w:color w:val="auto"/>
                <w:spacing w:val="0"/>
                <w:position w:val="0"/>
                <w:sz w:val="22"/>
                <w:shd w:fill="auto" w:val="clear"/>
              </w:rPr>
              <w:t xml:space="preserve">JBI Analytical Cross-Sectional Checklist</w:t>
            </w:r>
          </w:p>
        </w:tc>
        <w:tc>
          <w:tcPr>
            <w:tcW w:w="150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360"/>
              <w:ind w:right="0" w:left="0" w:firstLine="0"/>
              <w:jc w:val="both"/>
              <w:rPr>
                <w:color w:val="auto"/>
                <w:spacing w:val="0"/>
                <w:position w:val="0"/>
                <w:sz w:val="22"/>
                <w:shd w:fill="auto" w:val="clear"/>
              </w:rPr>
            </w:pPr>
            <w:r>
              <w:rPr>
                <w:rFonts w:ascii="Arial" w:hAnsi="Arial" w:cs="Arial" w:eastAsia="Arial"/>
                <w:b/>
                <w:color w:val="auto"/>
                <w:spacing w:val="0"/>
                <w:position w:val="0"/>
                <w:sz w:val="22"/>
                <w:shd w:fill="auto" w:val="clear"/>
              </w:rPr>
              <w:t xml:space="preserve">Moderate</w:t>
            </w:r>
          </w:p>
        </w:tc>
        <w:tc>
          <w:tcPr>
            <w:tcW w:w="303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360"/>
              <w:ind w:right="0" w:left="0" w:firstLine="0"/>
              <w:jc w:val="both"/>
              <w:rPr>
                <w:color w:val="auto"/>
                <w:spacing w:val="0"/>
                <w:position w:val="0"/>
                <w:sz w:val="22"/>
                <w:shd w:fill="auto" w:val="clear"/>
              </w:rPr>
            </w:pPr>
            <w:r>
              <w:rPr>
                <w:rFonts w:ascii="Arial" w:hAnsi="Arial" w:cs="Arial" w:eastAsia="Arial"/>
                <w:color w:val="auto"/>
                <w:spacing w:val="0"/>
                <w:position w:val="0"/>
                <w:sz w:val="22"/>
                <w:shd w:fill="auto" w:val="clear"/>
              </w:rPr>
              <w:t xml:space="preserve">Large weighted cohort</w:t>
            </w:r>
          </w:p>
        </w:tc>
        <w:tc>
          <w:tcPr>
            <w:tcW w:w="272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360"/>
              <w:ind w:right="0" w:left="0" w:firstLine="0"/>
              <w:jc w:val="both"/>
              <w:rPr>
                <w:color w:val="auto"/>
                <w:spacing w:val="0"/>
                <w:position w:val="0"/>
                <w:sz w:val="22"/>
                <w:shd w:fill="auto" w:val="clear"/>
              </w:rPr>
            </w:pPr>
            <w:r>
              <w:rPr>
                <w:rFonts w:ascii="Arial" w:hAnsi="Arial" w:cs="Arial" w:eastAsia="Arial"/>
                <w:color w:val="auto"/>
                <w:spacing w:val="0"/>
                <w:position w:val="0"/>
                <w:sz w:val="22"/>
                <w:shd w:fill="auto" w:val="clear"/>
              </w:rPr>
              <w:t xml:space="preserve">Pandemic-specific context; mixed staff/PGR sample</w:t>
            </w:r>
          </w:p>
        </w:tc>
      </w:tr>
      <w:tr>
        <w:trPr>
          <w:trHeight w:val="1" w:hRule="atLeast"/>
          <w:jc w:val="left"/>
        </w:trPr>
        <w:tc>
          <w:tcPr>
            <w:tcW w:w="211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360"/>
              <w:ind w:right="0" w:left="0" w:firstLine="0"/>
              <w:jc w:val="both"/>
              <w:rPr>
                <w:color w:val="auto"/>
                <w:spacing w:val="0"/>
                <w:position w:val="0"/>
                <w:sz w:val="22"/>
                <w:shd w:fill="auto" w:val="clear"/>
              </w:rPr>
            </w:pPr>
            <w:r>
              <w:rPr>
                <w:rFonts w:ascii="Arial" w:hAnsi="Arial" w:cs="Arial" w:eastAsia="Arial"/>
                <w:color w:val="auto"/>
                <w:spacing w:val="0"/>
                <w:position w:val="0"/>
                <w:sz w:val="22"/>
                <w:shd w:fill="auto" w:val="clear"/>
              </w:rPr>
              <w:t xml:space="preserve">Moss et al. (2022)</w:t>
            </w:r>
          </w:p>
        </w:tc>
        <w:tc>
          <w:tcPr>
            <w:tcW w:w="190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360"/>
              <w:ind w:right="0" w:left="0" w:firstLine="0"/>
              <w:jc w:val="both"/>
              <w:rPr>
                <w:color w:val="auto"/>
                <w:spacing w:val="0"/>
                <w:position w:val="0"/>
                <w:sz w:val="22"/>
                <w:shd w:fill="auto" w:val="clear"/>
              </w:rPr>
            </w:pPr>
            <w:r>
              <w:rPr>
                <w:rFonts w:ascii="Arial" w:hAnsi="Arial" w:cs="Arial" w:eastAsia="Arial"/>
                <w:color w:val="auto"/>
                <w:spacing w:val="0"/>
                <w:position w:val="0"/>
                <w:sz w:val="22"/>
                <w:shd w:fill="auto" w:val="clear"/>
              </w:rPr>
              <w:t xml:space="preserve">Cross-sectional survey</w:t>
            </w:r>
          </w:p>
        </w:tc>
        <w:tc>
          <w:tcPr>
            <w:tcW w:w="188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360"/>
              <w:ind w:right="0" w:left="0" w:firstLine="0"/>
              <w:jc w:val="both"/>
              <w:rPr>
                <w:color w:val="auto"/>
                <w:spacing w:val="0"/>
                <w:position w:val="0"/>
                <w:sz w:val="22"/>
                <w:shd w:fill="auto" w:val="clear"/>
              </w:rPr>
            </w:pPr>
            <w:r>
              <w:rPr>
                <w:rFonts w:ascii="Arial" w:hAnsi="Arial" w:cs="Arial" w:eastAsia="Arial"/>
                <w:color w:val="auto"/>
                <w:spacing w:val="0"/>
                <w:position w:val="0"/>
                <w:sz w:val="22"/>
                <w:shd w:fill="auto" w:val="clear"/>
              </w:rPr>
              <w:t xml:space="preserve">JBI Analytical Cross-Sectional Checklist</w:t>
            </w:r>
          </w:p>
        </w:tc>
        <w:tc>
          <w:tcPr>
            <w:tcW w:w="150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360"/>
              <w:ind w:right="0" w:left="0" w:firstLine="0"/>
              <w:jc w:val="both"/>
              <w:rPr>
                <w:color w:val="auto"/>
                <w:spacing w:val="0"/>
                <w:position w:val="0"/>
                <w:sz w:val="22"/>
                <w:shd w:fill="auto" w:val="clear"/>
              </w:rPr>
            </w:pPr>
            <w:r>
              <w:rPr>
                <w:rFonts w:ascii="Arial" w:hAnsi="Arial" w:cs="Arial" w:eastAsia="Arial"/>
                <w:b/>
                <w:color w:val="auto"/>
                <w:spacing w:val="0"/>
                <w:position w:val="0"/>
                <w:sz w:val="22"/>
                <w:shd w:fill="auto" w:val="clear"/>
              </w:rPr>
              <w:t xml:space="preserve">Moderate</w:t>
            </w:r>
          </w:p>
        </w:tc>
        <w:tc>
          <w:tcPr>
            <w:tcW w:w="303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360"/>
              <w:ind w:right="0" w:left="0" w:firstLine="0"/>
              <w:jc w:val="both"/>
              <w:rPr>
                <w:color w:val="auto"/>
                <w:spacing w:val="0"/>
                <w:position w:val="0"/>
                <w:sz w:val="22"/>
                <w:shd w:fill="auto" w:val="clear"/>
              </w:rPr>
            </w:pPr>
            <w:r>
              <w:rPr>
                <w:rFonts w:ascii="Arial" w:hAnsi="Arial" w:cs="Arial" w:eastAsia="Arial"/>
                <w:color w:val="auto"/>
                <w:spacing w:val="0"/>
                <w:position w:val="0"/>
                <w:sz w:val="22"/>
                <w:shd w:fill="auto" w:val="clear"/>
              </w:rPr>
              <w:t xml:space="preserve">Use of validated wellbeing/distress constructs</w:t>
            </w:r>
          </w:p>
        </w:tc>
        <w:tc>
          <w:tcPr>
            <w:tcW w:w="272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360"/>
              <w:ind w:right="0" w:left="0" w:firstLine="0"/>
              <w:jc w:val="both"/>
              <w:rPr>
                <w:color w:val="auto"/>
                <w:spacing w:val="0"/>
                <w:position w:val="0"/>
                <w:sz w:val="22"/>
                <w:shd w:fill="auto" w:val="clear"/>
              </w:rPr>
            </w:pPr>
            <w:r>
              <w:rPr>
                <w:rFonts w:ascii="Arial" w:hAnsi="Arial" w:cs="Arial" w:eastAsia="Arial"/>
                <w:color w:val="auto"/>
                <w:spacing w:val="0"/>
                <w:position w:val="0"/>
                <w:sz w:val="22"/>
                <w:shd w:fill="auto" w:val="clear"/>
              </w:rPr>
              <w:t xml:space="preserve">Voluntary sample from only two universities</w:t>
            </w:r>
          </w:p>
        </w:tc>
      </w:tr>
      <w:tr>
        <w:trPr>
          <w:trHeight w:val="1" w:hRule="atLeast"/>
          <w:jc w:val="left"/>
        </w:trPr>
        <w:tc>
          <w:tcPr>
            <w:tcW w:w="211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360"/>
              <w:ind w:right="0" w:left="0" w:firstLine="0"/>
              <w:jc w:val="both"/>
              <w:rPr>
                <w:color w:val="auto"/>
                <w:spacing w:val="0"/>
                <w:position w:val="0"/>
                <w:sz w:val="22"/>
                <w:shd w:fill="auto" w:val="clear"/>
              </w:rPr>
            </w:pPr>
            <w:r>
              <w:rPr>
                <w:rFonts w:ascii="Arial" w:hAnsi="Arial" w:cs="Arial" w:eastAsia="Arial"/>
                <w:color w:val="auto"/>
                <w:spacing w:val="0"/>
                <w:position w:val="0"/>
                <w:sz w:val="22"/>
                <w:shd w:fill="auto" w:val="clear"/>
              </w:rPr>
              <w:t xml:space="preserve">Berry, Niven and Hazell (2023)</w:t>
            </w:r>
          </w:p>
        </w:tc>
        <w:tc>
          <w:tcPr>
            <w:tcW w:w="190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360"/>
              <w:ind w:right="0" w:left="0" w:firstLine="0"/>
              <w:jc w:val="both"/>
              <w:rPr>
                <w:color w:val="auto"/>
                <w:spacing w:val="0"/>
                <w:position w:val="0"/>
                <w:sz w:val="22"/>
                <w:shd w:fill="auto" w:val="clear"/>
              </w:rPr>
            </w:pPr>
            <w:r>
              <w:rPr>
                <w:rFonts w:ascii="Arial" w:hAnsi="Arial" w:cs="Arial" w:eastAsia="Arial"/>
                <w:color w:val="auto"/>
                <w:spacing w:val="0"/>
                <w:position w:val="0"/>
                <w:sz w:val="22"/>
                <w:shd w:fill="auto" w:val="clear"/>
              </w:rPr>
              <w:t xml:space="preserve">Cross-sectional predictor study</w:t>
            </w:r>
          </w:p>
        </w:tc>
        <w:tc>
          <w:tcPr>
            <w:tcW w:w="188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360"/>
              <w:ind w:right="0" w:left="0" w:firstLine="0"/>
              <w:jc w:val="both"/>
              <w:rPr>
                <w:color w:val="auto"/>
                <w:spacing w:val="0"/>
                <w:position w:val="0"/>
                <w:sz w:val="22"/>
                <w:shd w:fill="auto" w:val="clear"/>
              </w:rPr>
            </w:pPr>
            <w:r>
              <w:rPr>
                <w:rFonts w:ascii="Arial" w:hAnsi="Arial" w:cs="Arial" w:eastAsia="Arial"/>
                <w:color w:val="auto"/>
                <w:spacing w:val="0"/>
                <w:position w:val="0"/>
                <w:sz w:val="22"/>
                <w:shd w:fill="auto" w:val="clear"/>
              </w:rPr>
              <w:t xml:space="preserve">JBI Analytical Cross-Sectional Checklist</w:t>
            </w:r>
          </w:p>
        </w:tc>
        <w:tc>
          <w:tcPr>
            <w:tcW w:w="150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360"/>
              <w:ind w:right="0" w:left="0" w:firstLine="0"/>
              <w:jc w:val="both"/>
              <w:rPr>
                <w:color w:val="auto"/>
                <w:spacing w:val="0"/>
                <w:position w:val="0"/>
                <w:sz w:val="22"/>
                <w:shd w:fill="auto" w:val="clear"/>
              </w:rPr>
            </w:pPr>
            <w:r>
              <w:rPr>
                <w:rFonts w:ascii="Arial" w:hAnsi="Arial" w:cs="Arial" w:eastAsia="Arial"/>
                <w:b/>
                <w:color w:val="auto"/>
                <w:spacing w:val="0"/>
                <w:position w:val="0"/>
                <w:sz w:val="22"/>
                <w:shd w:fill="auto" w:val="clear"/>
              </w:rPr>
              <w:t xml:space="preserve">High</w:t>
            </w:r>
          </w:p>
        </w:tc>
        <w:tc>
          <w:tcPr>
            <w:tcW w:w="303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360"/>
              <w:ind w:right="0" w:left="0" w:firstLine="0"/>
              <w:jc w:val="both"/>
              <w:rPr>
                <w:color w:val="auto"/>
                <w:spacing w:val="0"/>
                <w:position w:val="0"/>
                <w:sz w:val="22"/>
                <w:shd w:fill="auto" w:val="clear"/>
              </w:rPr>
            </w:pPr>
            <w:r>
              <w:rPr>
                <w:rFonts w:ascii="Arial" w:hAnsi="Arial" w:cs="Arial" w:eastAsia="Arial"/>
                <w:color w:val="auto"/>
                <w:spacing w:val="0"/>
                <w:position w:val="0"/>
                <w:sz w:val="22"/>
                <w:shd w:fill="auto" w:val="clear"/>
              </w:rPr>
              <w:t xml:space="preserve">Large sample; predictive modelling</w:t>
            </w:r>
          </w:p>
        </w:tc>
        <w:tc>
          <w:tcPr>
            <w:tcW w:w="272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360"/>
              <w:ind w:right="0" w:left="0" w:firstLine="0"/>
              <w:jc w:val="both"/>
              <w:rPr>
                <w:color w:val="auto"/>
                <w:spacing w:val="0"/>
                <w:position w:val="0"/>
                <w:sz w:val="22"/>
                <w:shd w:fill="auto" w:val="clear"/>
              </w:rPr>
            </w:pPr>
            <w:r>
              <w:rPr>
                <w:rFonts w:ascii="Arial" w:hAnsi="Arial" w:cs="Arial" w:eastAsia="Arial"/>
                <w:color w:val="auto"/>
                <w:spacing w:val="0"/>
                <w:position w:val="0"/>
                <w:sz w:val="22"/>
                <w:shd w:fill="auto" w:val="clear"/>
              </w:rPr>
              <w:t xml:space="preserve">Linked U-DOC cohort rather than independent replication</w:t>
            </w:r>
          </w:p>
        </w:tc>
      </w:tr>
      <w:tr>
        <w:trPr>
          <w:trHeight w:val="1" w:hRule="atLeast"/>
          <w:jc w:val="left"/>
        </w:trPr>
        <w:tc>
          <w:tcPr>
            <w:tcW w:w="211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360"/>
              <w:ind w:right="0" w:left="0" w:firstLine="0"/>
              <w:jc w:val="both"/>
              <w:rPr>
                <w:color w:val="auto"/>
                <w:spacing w:val="0"/>
                <w:position w:val="0"/>
                <w:sz w:val="22"/>
                <w:shd w:fill="auto" w:val="clear"/>
              </w:rPr>
            </w:pPr>
            <w:r>
              <w:rPr>
                <w:rFonts w:ascii="Arial" w:hAnsi="Arial" w:cs="Arial" w:eastAsia="Arial"/>
                <w:color w:val="auto"/>
                <w:spacing w:val="0"/>
                <w:position w:val="0"/>
                <w:sz w:val="22"/>
                <w:shd w:fill="auto" w:val="clear"/>
              </w:rPr>
              <w:t xml:space="preserve">Milicev et al. (2023)</w:t>
            </w:r>
          </w:p>
        </w:tc>
        <w:tc>
          <w:tcPr>
            <w:tcW w:w="190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360"/>
              <w:ind w:right="0" w:left="0" w:firstLine="0"/>
              <w:jc w:val="both"/>
              <w:rPr>
                <w:color w:val="auto"/>
                <w:spacing w:val="0"/>
                <w:position w:val="0"/>
                <w:sz w:val="22"/>
                <w:shd w:fill="auto" w:val="clear"/>
              </w:rPr>
            </w:pPr>
            <w:r>
              <w:rPr>
                <w:rFonts w:ascii="Arial" w:hAnsi="Arial" w:cs="Arial" w:eastAsia="Arial"/>
                <w:color w:val="auto"/>
                <w:spacing w:val="0"/>
                <w:position w:val="0"/>
                <w:sz w:val="22"/>
                <w:shd w:fill="auto" w:val="clear"/>
              </w:rPr>
              <w:t xml:space="preserve">Cross-sectional survey</w:t>
            </w:r>
          </w:p>
        </w:tc>
        <w:tc>
          <w:tcPr>
            <w:tcW w:w="188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360"/>
              <w:ind w:right="0" w:left="0" w:firstLine="0"/>
              <w:jc w:val="both"/>
              <w:rPr>
                <w:color w:val="auto"/>
                <w:spacing w:val="0"/>
                <w:position w:val="0"/>
                <w:sz w:val="22"/>
                <w:shd w:fill="auto" w:val="clear"/>
              </w:rPr>
            </w:pPr>
            <w:r>
              <w:rPr>
                <w:rFonts w:ascii="Arial" w:hAnsi="Arial" w:cs="Arial" w:eastAsia="Arial"/>
                <w:color w:val="auto"/>
                <w:spacing w:val="0"/>
                <w:position w:val="0"/>
                <w:sz w:val="22"/>
                <w:shd w:fill="auto" w:val="clear"/>
              </w:rPr>
              <w:t xml:space="preserve">JBI Analytical Cross-Sectional Checklist</w:t>
            </w:r>
          </w:p>
        </w:tc>
        <w:tc>
          <w:tcPr>
            <w:tcW w:w="150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360"/>
              <w:ind w:right="0" w:left="0" w:firstLine="0"/>
              <w:jc w:val="both"/>
              <w:rPr>
                <w:color w:val="auto"/>
                <w:spacing w:val="0"/>
                <w:position w:val="0"/>
                <w:sz w:val="22"/>
                <w:shd w:fill="auto" w:val="clear"/>
              </w:rPr>
            </w:pPr>
            <w:r>
              <w:rPr>
                <w:rFonts w:ascii="Arial" w:hAnsi="Arial" w:cs="Arial" w:eastAsia="Arial"/>
                <w:b/>
                <w:color w:val="auto"/>
                <w:spacing w:val="0"/>
                <w:position w:val="0"/>
                <w:sz w:val="22"/>
                <w:shd w:fill="auto" w:val="clear"/>
              </w:rPr>
              <w:t xml:space="preserve">High</w:t>
            </w:r>
          </w:p>
        </w:tc>
        <w:tc>
          <w:tcPr>
            <w:tcW w:w="303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360"/>
              <w:ind w:right="0" w:left="0" w:firstLine="0"/>
              <w:jc w:val="both"/>
              <w:rPr>
                <w:color w:val="auto"/>
                <w:spacing w:val="0"/>
                <w:position w:val="0"/>
                <w:sz w:val="22"/>
                <w:shd w:fill="auto" w:val="clear"/>
              </w:rPr>
            </w:pPr>
            <w:r>
              <w:rPr>
                <w:rFonts w:ascii="Arial" w:hAnsi="Arial" w:cs="Arial" w:eastAsia="Arial"/>
                <w:color w:val="auto"/>
                <w:spacing w:val="0"/>
                <w:position w:val="0"/>
                <w:sz w:val="22"/>
                <w:shd w:fill="auto" w:val="clear"/>
              </w:rPr>
              <w:t xml:space="preserve">Participants from 47 UK universities; validated outcomes</w:t>
            </w:r>
          </w:p>
        </w:tc>
        <w:tc>
          <w:tcPr>
            <w:tcW w:w="272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360"/>
              <w:ind w:right="0" w:left="0" w:firstLine="0"/>
              <w:jc w:val="both"/>
              <w:rPr>
                <w:color w:val="auto"/>
                <w:spacing w:val="0"/>
                <w:position w:val="0"/>
                <w:sz w:val="22"/>
                <w:shd w:fill="auto" w:val="clear"/>
              </w:rPr>
            </w:pPr>
            <w:r>
              <w:rPr>
                <w:rFonts w:ascii="Arial" w:hAnsi="Arial" w:cs="Arial" w:eastAsia="Arial"/>
                <w:color w:val="auto"/>
                <w:spacing w:val="0"/>
                <w:position w:val="0"/>
                <w:sz w:val="22"/>
                <w:shd w:fill="auto" w:val="clear"/>
              </w:rPr>
              <w:t xml:space="preserve">Cross-sectional design limits causal inference</w:t>
            </w:r>
          </w:p>
        </w:tc>
      </w:tr>
      <w:tr>
        <w:trPr>
          <w:trHeight w:val="1" w:hRule="atLeast"/>
          <w:jc w:val="left"/>
        </w:trPr>
        <w:tc>
          <w:tcPr>
            <w:tcW w:w="211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360"/>
              <w:ind w:right="0" w:left="0" w:firstLine="0"/>
              <w:jc w:val="both"/>
              <w:rPr>
                <w:color w:val="auto"/>
                <w:spacing w:val="0"/>
                <w:position w:val="0"/>
                <w:sz w:val="22"/>
                <w:shd w:fill="auto" w:val="clear"/>
              </w:rPr>
            </w:pPr>
            <w:r>
              <w:rPr>
                <w:rFonts w:ascii="Arial" w:hAnsi="Arial" w:cs="Arial" w:eastAsia="Arial"/>
                <w:color w:val="auto"/>
                <w:spacing w:val="0"/>
                <w:position w:val="0"/>
                <w:sz w:val="22"/>
                <w:shd w:fill="auto" w:val="clear"/>
              </w:rPr>
              <w:t xml:space="preserve">Hosseinpur et al. (2023)</w:t>
            </w:r>
          </w:p>
        </w:tc>
        <w:tc>
          <w:tcPr>
            <w:tcW w:w="190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360"/>
              <w:ind w:right="0" w:left="0" w:firstLine="0"/>
              <w:jc w:val="both"/>
              <w:rPr>
                <w:color w:val="auto"/>
                <w:spacing w:val="0"/>
                <w:position w:val="0"/>
                <w:sz w:val="22"/>
                <w:shd w:fill="auto" w:val="clear"/>
              </w:rPr>
            </w:pPr>
            <w:r>
              <w:rPr>
                <w:rFonts w:ascii="Arial" w:hAnsi="Arial" w:cs="Arial" w:eastAsia="Arial"/>
                <w:color w:val="auto"/>
                <w:spacing w:val="0"/>
                <w:position w:val="0"/>
                <w:sz w:val="22"/>
                <w:shd w:fill="auto" w:val="clear"/>
              </w:rPr>
              <w:t xml:space="preserve">Cross-sectional survey</w:t>
            </w:r>
          </w:p>
        </w:tc>
        <w:tc>
          <w:tcPr>
            <w:tcW w:w="188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360"/>
              <w:ind w:right="0" w:left="0" w:firstLine="0"/>
              <w:jc w:val="both"/>
              <w:rPr>
                <w:color w:val="auto"/>
                <w:spacing w:val="0"/>
                <w:position w:val="0"/>
                <w:sz w:val="22"/>
                <w:shd w:fill="auto" w:val="clear"/>
              </w:rPr>
            </w:pPr>
            <w:r>
              <w:rPr>
                <w:rFonts w:ascii="Arial" w:hAnsi="Arial" w:cs="Arial" w:eastAsia="Arial"/>
                <w:color w:val="auto"/>
                <w:spacing w:val="0"/>
                <w:position w:val="0"/>
                <w:sz w:val="22"/>
                <w:shd w:fill="auto" w:val="clear"/>
              </w:rPr>
              <w:t xml:space="preserve">JBI Analytical Cross-Sectional Checklist</w:t>
            </w:r>
          </w:p>
        </w:tc>
        <w:tc>
          <w:tcPr>
            <w:tcW w:w="150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360"/>
              <w:ind w:right="0" w:left="0" w:firstLine="0"/>
              <w:jc w:val="both"/>
              <w:rPr>
                <w:color w:val="auto"/>
                <w:spacing w:val="0"/>
                <w:position w:val="0"/>
                <w:sz w:val="22"/>
                <w:shd w:fill="auto" w:val="clear"/>
              </w:rPr>
            </w:pPr>
            <w:r>
              <w:rPr>
                <w:rFonts w:ascii="Arial" w:hAnsi="Arial" w:cs="Arial" w:eastAsia="Arial"/>
                <w:b/>
                <w:color w:val="auto"/>
                <w:spacing w:val="0"/>
                <w:position w:val="0"/>
                <w:sz w:val="22"/>
                <w:shd w:fill="auto" w:val="clear"/>
              </w:rPr>
              <w:t xml:space="preserve">Moderate</w:t>
            </w:r>
          </w:p>
        </w:tc>
        <w:tc>
          <w:tcPr>
            <w:tcW w:w="303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360"/>
              <w:ind w:right="0" w:left="0" w:firstLine="0"/>
              <w:jc w:val="both"/>
              <w:rPr>
                <w:color w:val="auto"/>
                <w:spacing w:val="0"/>
                <w:position w:val="0"/>
                <w:sz w:val="22"/>
                <w:shd w:fill="auto" w:val="clear"/>
              </w:rPr>
            </w:pPr>
            <w:r>
              <w:rPr>
                <w:rFonts w:ascii="Arial" w:hAnsi="Arial" w:cs="Arial" w:eastAsia="Arial"/>
                <w:color w:val="auto"/>
                <w:spacing w:val="0"/>
                <w:position w:val="0"/>
                <w:sz w:val="22"/>
                <w:shd w:fill="auto" w:val="clear"/>
              </w:rPr>
              <w:t xml:space="preserve">Direct evidence from PGT students</w:t>
            </w:r>
          </w:p>
        </w:tc>
        <w:tc>
          <w:tcPr>
            <w:tcW w:w="272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360"/>
              <w:ind w:right="0" w:left="0" w:firstLine="0"/>
              <w:jc w:val="both"/>
              <w:rPr>
                <w:color w:val="auto"/>
                <w:spacing w:val="0"/>
                <w:position w:val="0"/>
                <w:sz w:val="22"/>
                <w:shd w:fill="auto" w:val="clear"/>
              </w:rPr>
            </w:pPr>
            <w:r>
              <w:rPr>
                <w:rFonts w:ascii="Arial" w:hAnsi="Arial" w:cs="Arial" w:eastAsia="Arial"/>
                <w:color w:val="auto"/>
                <w:spacing w:val="0"/>
                <w:position w:val="0"/>
                <w:sz w:val="22"/>
                <w:shd w:fill="auto" w:val="clear"/>
              </w:rPr>
              <w:t xml:space="preserve">Convenience sampling; one institution and discipline</w:t>
            </w:r>
          </w:p>
        </w:tc>
      </w:tr>
      <w:tr>
        <w:trPr>
          <w:trHeight w:val="1" w:hRule="atLeast"/>
          <w:jc w:val="left"/>
        </w:trPr>
        <w:tc>
          <w:tcPr>
            <w:tcW w:w="211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360"/>
              <w:ind w:right="0" w:left="0" w:firstLine="0"/>
              <w:jc w:val="both"/>
              <w:rPr>
                <w:color w:val="auto"/>
                <w:spacing w:val="0"/>
                <w:position w:val="0"/>
                <w:sz w:val="22"/>
                <w:shd w:fill="auto" w:val="clear"/>
              </w:rPr>
            </w:pPr>
            <w:r>
              <w:rPr>
                <w:rFonts w:ascii="Arial" w:hAnsi="Arial" w:cs="Arial" w:eastAsia="Arial"/>
                <w:color w:val="auto"/>
                <w:spacing w:val="0"/>
                <w:position w:val="0"/>
                <w:sz w:val="22"/>
                <w:shd w:fill="auto" w:val="clear"/>
              </w:rPr>
              <w:t xml:space="preserve">White et al. (2024)</w:t>
            </w:r>
          </w:p>
        </w:tc>
        <w:tc>
          <w:tcPr>
            <w:tcW w:w="190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360"/>
              <w:ind w:right="0" w:left="0" w:firstLine="0"/>
              <w:jc w:val="both"/>
              <w:rPr>
                <w:color w:val="auto"/>
                <w:spacing w:val="0"/>
                <w:position w:val="0"/>
                <w:sz w:val="22"/>
                <w:shd w:fill="auto" w:val="clear"/>
              </w:rPr>
            </w:pPr>
            <w:r>
              <w:rPr>
                <w:rFonts w:ascii="Arial" w:hAnsi="Arial" w:cs="Arial" w:eastAsia="Arial"/>
                <w:color w:val="auto"/>
                <w:spacing w:val="0"/>
                <w:position w:val="0"/>
                <w:sz w:val="22"/>
                <w:shd w:fill="auto" w:val="clear"/>
              </w:rPr>
              <w:t xml:space="preserve">Qualitative mixed-data analysis</w:t>
            </w:r>
          </w:p>
        </w:tc>
        <w:tc>
          <w:tcPr>
            <w:tcW w:w="188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360"/>
              <w:ind w:right="0" w:left="0" w:firstLine="0"/>
              <w:jc w:val="both"/>
              <w:rPr>
                <w:color w:val="auto"/>
                <w:spacing w:val="0"/>
                <w:position w:val="0"/>
                <w:sz w:val="22"/>
                <w:shd w:fill="auto" w:val="clear"/>
              </w:rPr>
            </w:pPr>
            <w:r>
              <w:rPr>
                <w:rFonts w:ascii="Arial" w:hAnsi="Arial" w:cs="Arial" w:eastAsia="Arial"/>
                <w:color w:val="auto"/>
                <w:spacing w:val="0"/>
                <w:position w:val="0"/>
                <w:sz w:val="22"/>
                <w:shd w:fill="auto" w:val="clear"/>
              </w:rPr>
              <w:t xml:space="preserve">CASP Qualitative Studies Checklist</w:t>
            </w:r>
          </w:p>
        </w:tc>
        <w:tc>
          <w:tcPr>
            <w:tcW w:w="150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360"/>
              <w:ind w:right="0" w:left="0" w:firstLine="0"/>
              <w:jc w:val="both"/>
              <w:rPr>
                <w:color w:val="auto"/>
                <w:spacing w:val="0"/>
                <w:position w:val="0"/>
                <w:sz w:val="22"/>
                <w:shd w:fill="auto" w:val="clear"/>
              </w:rPr>
            </w:pPr>
            <w:r>
              <w:rPr>
                <w:rFonts w:ascii="Arial" w:hAnsi="Arial" w:cs="Arial" w:eastAsia="Arial"/>
                <w:b/>
                <w:color w:val="auto"/>
                <w:spacing w:val="0"/>
                <w:position w:val="0"/>
                <w:sz w:val="22"/>
                <w:shd w:fill="auto" w:val="clear"/>
              </w:rPr>
              <w:t xml:space="preserve">High</w:t>
            </w:r>
          </w:p>
        </w:tc>
        <w:tc>
          <w:tcPr>
            <w:tcW w:w="303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360"/>
              <w:ind w:right="0" w:left="0" w:firstLine="0"/>
              <w:jc w:val="both"/>
              <w:rPr>
                <w:color w:val="auto"/>
                <w:spacing w:val="0"/>
                <w:position w:val="0"/>
                <w:sz w:val="22"/>
                <w:shd w:fill="auto" w:val="clear"/>
              </w:rPr>
            </w:pPr>
            <w:r>
              <w:rPr>
                <w:rFonts w:ascii="Arial" w:hAnsi="Arial" w:cs="Arial" w:eastAsia="Arial"/>
                <w:color w:val="auto"/>
                <w:spacing w:val="0"/>
                <w:position w:val="0"/>
                <w:sz w:val="22"/>
                <w:shd w:fill="auto" w:val="clear"/>
              </w:rPr>
              <w:t xml:space="preserve">Multi-site evidence; reflexivity and consideration of counter-evidence</w:t>
            </w:r>
          </w:p>
        </w:tc>
        <w:tc>
          <w:tcPr>
            <w:tcW w:w="272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360"/>
              <w:ind w:right="0" w:left="0" w:firstLine="0"/>
              <w:jc w:val="both"/>
              <w:rPr>
                <w:color w:val="auto"/>
                <w:spacing w:val="0"/>
                <w:position w:val="0"/>
                <w:sz w:val="22"/>
                <w:shd w:fill="auto" w:val="clear"/>
              </w:rPr>
            </w:pPr>
            <w:r>
              <w:rPr>
                <w:rFonts w:ascii="Arial" w:hAnsi="Arial" w:cs="Arial" w:eastAsia="Arial"/>
                <w:color w:val="auto"/>
                <w:spacing w:val="0"/>
                <w:position w:val="0"/>
                <w:sz w:val="22"/>
                <w:shd w:fill="auto" w:val="clear"/>
              </w:rPr>
              <w:t xml:space="preserve">Data linked to the Milicev survey cohort</w:t>
            </w:r>
          </w:p>
        </w:tc>
      </w:tr>
      <w:tr>
        <w:trPr>
          <w:trHeight w:val="1" w:hRule="atLeast"/>
          <w:jc w:val="left"/>
        </w:trPr>
        <w:tc>
          <w:tcPr>
            <w:tcW w:w="211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360"/>
              <w:ind w:right="0" w:left="0" w:firstLine="0"/>
              <w:jc w:val="both"/>
              <w:rPr>
                <w:color w:val="auto"/>
                <w:spacing w:val="0"/>
                <w:position w:val="0"/>
                <w:sz w:val="22"/>
                <w:shd w:fill="auto" w:val="clear"/>
              </w:rPr>
            </w:pPr>
            <w:r>
              <w:rPr>
                <w:rFonts w:ascii="Arial" w:hAnsi="Arial" w:cs="Arial" w:eastAsia="Arial"/>
                <w:color w:val="auto"/>
                <w:spacing w:val="0"/>
                <w:position w:val="0"/>
                <w:sz w:val="22"/>
                <w:shd w:fill="auto" w:val="clear"/>
              </w:rPr>
              <w:t xml:space="preserve">Mavrogalou-Foti et al. (2024)</w:t>
            </w:r>
          </w:p>
        </w:tc>
        <w:tc>
          <w:tcPr>
            <w:tcW w:w="190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360"/>
              <w:ind w:right="0" w:left="0" w:firstLine="0"/>
              <w:jc w:val="both"/>
              <w:rPr>
                <w:color w:val="auto"/>
                <w:spacing w:val="0"/>
                <w:position w:val="0"/>
                <w:sz w:val="22"/>
                <w:shd w:fill="auto" w:val="clear"/>
              </w:rPr>
            </w:pPr>
            <w:r>
              <w:rPr>
                <w:rFonts w:ascii="Arial" w:hAnsi="Arial" w:cs="Arial" w:eastAsia="Arial"/>
                <w:color w:val="auto"/>
                <w:spacing w:val="0"/>
                <w:position w:val="0"/>
                <w:sz w:val="22"/>
                <w:shd w:fill="auto" w:val="clear"/>
              </w:rPr>
              <w:t xml:space="preserve">Cross-sectional survey</w:t>
            </w:r>
          </w:p>
        </w:tc>
        <w:tc>
          <w:tcPr>
            <w:tcW w:w="188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360"/>
              <w:ind w:right="0" w:left="0" w:firstLine="0"/>
              <w:jc w:val="both"/>
              <w:rPr>
                <w:color w:val="auto"/>
                <w:spacing w:val="0"/>
                <w:position w:val="0"/>
                <w:sz w:val="22"/>
                <w:shd w:fill="auto" w:val="clear"/>
              </w:rPr>
            </w:pPr>
            <w:r>
              <w:rPr>
                <w:rFonts w:ascii="Arial" w:hAnsi="Arial" w:cs="Arial" w:eastAsia="Arial"/>
                <w:color w:val="auto"/>
                <w:spacing w:val="0"/>
                <w:position w:val="0"/>
                <w:sz w:val="22"/>
                <w:shd w:fill="auto" w:val="clear"/>
              </w:rPr>
              <w:t xml:space="preserve">JBI Analytical Cross-Sectional Checklist</w:t>
            </w:r>
          </w:p>
        </w:tc>
        <w:tc>
          <w:tcPr>
            <w:tcW w:w="150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360"/>
              <w:ind w:right="0" w:left="0" w:firstLine="0"/>
              <w:jc w:val="both"/>
              <w:rPr>
                <w:color w:val="auto"/>
                <w:spacing w:val="0"/>
                <w:position w:val="0"/>
                <w:sz w:val="22"/>
                <w:shd w:fill="auto" w:val="clear"/>
              </w:rPr>
            </w:pPr>
            <w:r>
              <w:rPr>
                <w:rFonts w:ascii="Arial" w:hAnsi="Arial" w:cs="Arial" w:eastAsia="Arial"/>
                <w:b/>
                <w:color w:val="auto"/>
                <w:spacing w:val="0"/>
                <w:position w:val="0"/>
                <w:sz w:val="22"/>
                <w:shd w:fill="auto" w:val="clear"/>
              </w:rPr>
              <w:t xml:space="preserve">Moderate</w:t>
            </w:r>
          </w:p>
        </w:tc>
        <w:tc>
          <w:tcPr>
            <w:tcW w:w="303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360"/>
              <w:ind w:right="0" w:left="0" w:firstLine="0"/>
              <w:jc w:val="both"/>
              <w:rPr>
                <w:color w:val="auto"/>
                <w:spacing w:val="0"/>
                <w:position w:val="0"/>
                <w:sz w:val="22"/>
                <w:shd w:fill="auto" w:val="clear"/>
              </w:rPr>
            </w:pPr>
            <w:r>
              <w:rPr>
                <w:rFonts w:ascii="Arial" w:hAnsi="Arial" w:cs="Arial" w:eastAsia="Arial"/>
                <w:color w:val="auto"/>
                <w:spacing w:val="0"/>
                <w:position w:val="0"/>
                <w:sz w:val="22"/>
                <w:shd w:fill="auto" w:val="clear"/>
              </w:rPr>
              <w:t xml:space="preserve">Validated DASS-21 measure; regression analysis</w:t>
            </w:r>
          </w:p>
        </w:tc>
        <w:tc>
          <w:tcPr>
            <w:tcW w:w="272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360"/>
              <w:ind w:right="0" w:left="0" w:firstLine="0"/>
              <w:jc w:val="both"/>
              <w:rPr>
                <w:color w:val="auto"/>
                <w:spacing w:val="0"/>
                <w:position w:val="0"/>
                <w:sz w:val="22"/>
                <w:shd w:fill="auto" w:val="clear"/>
              </w:rPr>
            </w:pPr>
            <w:r>
              <w:rPr>
                <w:rFonts w:ascii="Arial" w:hAnsi="Arial" w:cs="Arial" w:eastAsia="Arial"/>
                <w:color w:val="auto"/>
                <w:spacing w:val="0"/>
                <w:position w:val="0"/>
                <w:sz w:val="22"/>
                <w:shd w:fill="auto" w:val="clear"/>
              </w:rPr>
              <w:t xml:space="preserve">Small sample and self-reported outcomes</w:t>
            </w:r>
          </w:p>
        </w:tc>
      </w:tr>
      <w:tr>
        <w:trPr>
          <w:trHeight w:val="1" w:hRule="atLeast"/>
          <w:jc w:val="left"/>
        </w:trPr>
        <w:tc>
          <w:tcPr>
            <w:tcW w:w="211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360"/>
              <w:ind w:right="0" w:left="0" w:firstLine="0"/>
              <w:jc w:val="both"/>
              <w:rPr>
                <w:color w:val="auto"/>
                <w:spacing w:val="0"/>
                <w:position w:val="0"/>
                <w:sz w:val="22"/>
                <w:shd w:fill="auto" w:val="clear"/>
              </w:rPr>
            </w:pPr>
            <w:r>
              <w:rPr>
                <w:rFonts w:ascii="Arial" w:hAnsi="Arial" w:cs="Arial" w:eastAsia="Arial"/>
                <w:color w:val="auto"/>
                <w:spacing w:val="0"/>
                <w:position w:val="0"/>
                <w:sz w:val="22"/>
                <w:shd w:fill="auto" w:val="clear"/>
              </w:rPr>
              <w:t xml:space="preserve">Casey et al. (2024a)</w:t>
            </w:r>
          </w:p>
        </w:tc>
        <w:tc>
          <w:tcPr>
            <w:tcW w:w="190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360"/>
              <w:ind w:right="0" w:left="0" w:firstLine="0"/>
              <w:jc w:val="both"/>
              <w:rPr>
                <w:color w:val="auto"/>
                <w:spacing w:val="0"/>
                <w:position w:val="0"/>
                <w:sz w:val="22"/>
                <w:shd w:fill="auto" w:val="clear"/>
              </w:rPr>
            </w:pPr>
            <w:r>
              <w:rPr>
                <w:rFonts w:ascii="Arial" w:hAnsi="Arial" w:cs="Arial" w:eastAsia="Arial"/>
                <w:color w:val="auto"/>
                <w:spacing w:val="0"/>
                <w:position w:val="0"/>
                <w:sz w:val="22"/>
                <w:shd w:fill="auto" w:val="clear"/>
              </w:rPr>
              <w:t xml:space="preserve">Mixed methods</w:t>
            </w:r>
          </w:p>
        </w:tc>
        <w:tc>
          <w:tcPr>
            <w:tcW w:w="188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360"/>
              <w:ind w:right="0" w:left="0" w:firstLine="0"/>
              <w:jc w:val="both"/>
              <w:rPr>
                <w:color w:val="auto"/>
                <w:spacing w:val="0"/>
                <w:position w:val="0"/>
                <w:sz w:val="22"/>
                <w:shd w:fill="auto" w:val="clear"/>
              </w:rPr>
            </w:pPr>
            <w:r>
              <w:rPr>
                <w:rFonts w:ascii="Arial" w:hAnsi="Arial" w:cs="Arial" w:eastAsia="Arial"/>
                <w:color w:val="auto"/>
                <w:spacing w:val="0"/>
                <w:position w:val="0"/>
                <w:sz w:val="22"/>
                <w:shd w:fill="auto" w:val="clear"/>
              </w:rPr>
              <w:t xml:space="preserve">MMAT</w:t>
            </w:r>
          </w:p>
        </w:tc>
        <w:tc>
          <w:tcPr>
            <w:tcW w:w="150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360"/>
              <w:ind w:right="0" w:left="0" w:firstLine="0"/>
              <w:jc w:val="both"/>
              <w:rPr>
                <w:color w:val="auto"/>
                <w:spacing w:val="0"/>
                <w:position w:val="0"/>
                <w:sz w:val="22"/>
                <w:shd w:fill="auto" w:val="clear"/>
              </w:rPr>
            </w:pPr>
            <w:r>
              <w:rPr>
                <w:rFonts w:ascii="Arial" w:hAnsi="Arial" w:cs="Arial" w:eastAsia="Arial"/>
                <w:b/>
                <w:color w:val="auto"/>
                <w:spacing w:val="0"/>
                <w:position w:val="0"/>
                <w:sz w:val="22"/>
                <w:shd w:fill="auto" w:val="clear"/>
              </w:rPr>
              <w:t xml:space="preserve">Moderate</w:t>
            </w:r>
          </w:p>
        </w:tc>
        <w:tc>
          <w:tcPr>
            <w:tcW w:w="303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360"/>
              <w:ind w:right="0" w:left="0" w:firstLine="0"/>
              <w:jc w:val="both"/>
              <w:rPr>
                <w:color w:val="auto"/>
                <w:spacing w:val="0"/>
                <w:position w:val="0"/>
                <w:sz w:val="22"/>
                <w:shd w:fill="auto" w:val="clear"/>
              </w:rPr>
            </w:pPr>
            <w:r>
              <w:rPr>
                <w:rFonts w:ascii="Arial" w:hAnsi="Arial" w:cs="Arial" w:eastAsia="Arial"/>
                <w:color w:val="auto"/>
                <w:spacing w:val="0"/>
                <w:position w:val="0"/>
                <w:sz w:val="22"/>
                <w:shd w:fill="auto" w:val="clear"/>
              </w:rPr>
              <w:t xml:space="preserve">Combination of validated measures and qualitative evidence</w:t>
            </w:r>
          </w:p>
        </w:tc>
        <w:tc>
          <w:tcPr>
            <w:tcW w:w="272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360"/>
              <w:ind w:right="0" w:left="0" w:firstLine="0"/>
              <w:jc w:val="both"/>
              <w:rPr>
                <w:color w:val="auto"/>
                <w:spacing w:val="0"/>
                <w:position w:val="0"/>
                <w:sz w:val="22"/>
                <w:shd w:fill="auto" w:val="clear"/>
              </w:rPr>
            </w:pPr>
            <w:r>
              <w:rPr>
                <w:rFonts w:ascii="Arial" w:hAnsi="Arial" w:cs="Arial" w:eastAsia="Arial"/>
                <w:color w:val="auto"/>
                <w:spacing w:val="0"/>
                <w:position w:val="0"/>
                <w:sz w:val="22"/>
                <w:shd w:fill="auto" w:val="clear"/>
              </w:rPr>
              <w:t xml:space="preserve">Single university and small sample (n=54)</w:t>
            </w:r>
          </w:p>
        </w:tc>
      </w:tr>
      <w:tr>
        <w:trPr>
          <w:trHeight w:val="1" w:hRule="atLeast"/>
          <w:jc w:val="left"/>
        </w:trPr>
        <w:tc>
          <w:tcPr>
            <w:tcW w:w="211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360"/>
              <w:ind w:right="0" w:left="0" w:firstLine="0"/>
              <w:jc w:val="both"/>
              <w:rPr>
                <w:color w:val="auto"/>
                <w:spacing w:val="0"/>
                <w:position w:val="0"/>
                <w:sz w:val="22"/>
                <w:shd w:fill="auto" w:val="clear"/>
              </w:rPr>
            </w:pPr>
            <w:r>
              <w:rPr>
                <w:rFonts w:ascii="Arial" w:hAnsi="Arial" w:cs="Arial" w:eastAsia="Arial"/>
                <w:color w:val="auto"/>
                <w:spacing w:val="0"/>
                <w:position w:val="0"/>
                <w:sz w:val="22"/>
                <w:shd w:fill="auto" w:val="clear"/>
              </w:rPr>
              <w:t xml:space="preserve">Casey et al. (2024b)</w:t>
            </w:r>
          </w:p>
        </w:tc>
        <w:tc>
          <w:tcPr>
            <w:tcW w:w="190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360"/>
              <w:ind w:right="0" w:left="0" w:firstLine="0"/>
              <w:jc w:val="both"/>
              <w:rPr>
                <w:color w:val="auto"/>
                <w:spacing w:val="0"/>
                <w:position w:val="0"/>
                <w:sz w:val="22"/>
                <w:shd w:fill="auto" w:val="clear"/>
              </w:rPr>
            </w:pPr>
            <w:r>
              <w:rPr>
                <w:rFonts w:ascii="Arial" w:hAnsi="Arial" w:cs="Arial" w:eastAsia="Arial"/>
                <w:color w:val="auto"/>
                <w:spacing w:val="0"/>
                <w:position w:val="0"/>
                <w:sz w:val="22"/>
                <w:shd w:fill="auto" w:val="clear"/>
              </w:rPr>
              <w:t xml:space="preserve">Qualitative pilot intervention study</w:t>
            </w:r>
          </w:p>
        </w:tc>
        <w:tc>
          <w:tcPr>
            <w:tcW w:w="188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360"/>
              <w:ind w:right="0" w:left="0" w:firstLine="0"/>
              <w:jc w:val="both"/>
              <w:rPr>
                <w:color w:val="auto"/>
                <w:spacing w:val="0"/>
                <w:position w:val="0"/>
                <w:sz w:val="22"/>
                <w:shd w:fill="auto" w:val="clear"/>
              </w:rPr>
            </w:pPr>
            <w:r>
              <w:rPr>
                <w:rFonts w:ascii="Arial" w:hAnsi="Arial" w:cs="Arial" w:eastAsia="Arial"/>
                <w:color w:val="auto"/>
                <w:spacing w:val="0"/>
                <w:position w:val="0"/>
                <w:sz w:val="22"/>
                <w:shd w:fill="auto" w:val="clear"/>
              </w:rPr>
              <w:t xml:space="preserve">CASP Qualitative Studies Checklist</w:t>
            </w:r>
          </w:p>
        </w:tc>
        <w:tc>
          <w:tcPr>
            <w:tcW w:w="150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360"/>
              <w:ind w:right="0" w:left="0" w:firstLine="0"/>
              <w:jc w:val="both"/>
              <w:rPr>
                <w:color w:val="auto"/>
                <w:spacing w:val="0"/>
                <w:position w:val="0"/>
                <w:sz w:val="22"/>
                <w:shd w:fill="auto" w:val="clear"/>
              </w:rPr>
            </w:pPr>
            <w:r>
              <w:rPr>
                <w:rFonts w:ascii="Arial" w:hAnsi="Arial" w:cs="Arial" w:eastAsia="Arial"/>
                <w:b/>
                <w:color w:val="auto"/>
                <w:spacing w:val="0"/>
                <w:position w:val="0"/>
                <w:sz w:val="22"/>
                <w:shd w:fill="auto" w:val="clear"/>
              </w:rPr>
              <w:t xml:space="preserve">Moderate</w:t>
            </w:r>
          </w:p>
        </w:tc>
        <w:tc>
          <w:tcPr>
            <w:tcW w:w="303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360"/>
              <w:ind w:right="0" w:left="0" w:firstLine="0"/>
              <w:jc w:val="both"/>
              <w:rPr>
                <w:color w:val="auto"/>
                <w:spacing w:val="0"/>
                <w:position w:val="0"/>
                <w:sz w:val="22"/>
                <w:shd w:fill="auto" w:val="clear"/>
              </w:rPr>
            </w:pPr>
            <w:r>
              <w:rPr>
                <w:rFonts w:ascii="Arial" w:hAnsi="Arial" w:cs="Arial" w:eastAsia="Arial"/>
                <w:color w:val="auto"/>
                <w:spacing w:val="0"/>
                <w:position w:val="0"/>
                <w:sz w:val="22"/>
                <w:shd w:fill="auto" w:val="clear"/>
              </w:rPr>
              <w:t xml:space="preserve">Direct intervention-related evidence</w:t>
            </w:r>
          </w:p>
        </w:tc>
        <w:tc>
          <w:tcPr>
            <w:tcW w:w="272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360"/>
              <w:ind w:right="0" w:left="0" w:firstLine="0"/>
              <w:jc w:val="both"/>
              <w:rPr>
                <w:color w:val="auto"/>
                <w:spacing w:val="0"/>
                <w:position w:val="0"/>
                <w:sz w:val="22"/>
                <w:shd w:fill="auto" w:val="clear"/>
              </w:rPr>
            </w:pPr>
            <w:r>
              <w:rPr>
                <w:rFonts w:ascii="Arial" w:hAnsi="Arial" w:cs="Arial" w:eastAsia="Arial"/>
                <w:color w:val="auto"/>
                <w:spacing w:val="0"/>
                <w:position w:val="0"/>
                <w:sz w:val="22"/>
                <w:shd w:fill="auto" w:val="clear"/>
              </w:rPr>
              <w:t xml:space="preserve">Small pilot and highly localised context</w:t>
            </w:r>
          </w:p>
        </w:tc>
      </w:tr>
      <w:tr>
        <w:trPr>
          <w:trHeight w:val="1" w:hRule="atLeast"/>
          <w:jc w:val="left"/>
        </w:trPr>
        <w:tc>
          <w:tcPr>
            <w:tcW w:w="211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360"/>
              <w:ind w:right="0" w:left="0" w:firstLine="0"/>
              <w:jc w:val="both"/>
              <w:rPr>
                <w:color w:val="auto"/>
                <w:spacing w:val="0"/>
                <w:position w:val="0"/>
                <w:sz w:val="22"/>
                <w:shd w:fill="auto" w:val="clear"/>
              </w:rPr>
            </w:pPr>
            <w:r>
              <w:rPr>
                <w:rFonts w:ascii="Arial" w:hAnsi="Arial" w:cs="Arial" w:eastAsia="Arial"/>
                <w:color w:val="auto"/>
                <w:spacing w:val="0"/>
                <w:position w:val="0"/>
                <w:sz w:val="22"/>
                <w:shd w:fill="auto" w:val="clear"/>
              </w:rPr>
              <w:t xml:space="preserve">Hazell et al. (2025)</w:t>
            </w:r>
          </w:p>
        </w:tc>
        <w:tc>
          <w:tcPr>
            <w:tcW w:w="190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360"/>
              <w:ind w:right="0" w:left="0" w:firstLine="0"/>
              <w:jc w:val="both"/>
              <w:rPr>
                <w:color w:val="auto"/>
                <w:spacing w:val="0"/>
                <w:position w:val="0"/>
                <w:sz w:val="22"/>
                <w:shd w:fill="auto" w:val="clear"/>
              </w:rPr>
            </w:pPr>
            <w:r>
              <w:rPr>
                <w:rFonts w:ascii="Arial" w:hAnsi="Arial" w:cs="Arial" w:eastAsia="Arial"/>
                <w:color w:val="auto"/>
                <w:spacing w:val="0"/>
                <w:position w:val="0"/>
                <w:sz w:val="22"/>
                <w:shd w:fill="auto" w:val="clear"/>
              </w:rPr>
              <w:t xml:space="preserve">Qualitative thematic analysis</w:t>
            </w:r>
          </w:p>
        </w:tc>
        <w:tc>
          <w:tcPr>
            <w:tcW w:w="188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360"/>
              <w:ind w:right="0" w:left="0" w:firstLine="0"/>
              <w:jc w:val="both"/>
              <w:rPr>
                <w:color w:val="auto"/>
                <w:spacing w:val="0"/>
                <w:position w:val="0"/>
                <w:sz w:val="22"/>
                <w:shd w:fill="auto" w:val="clear"/>
              </w:rPr>
            </w:pPr>
            <w:r>
              <w:rPr>
                <w:rFonts w:ascii="Arial" w:hAnsi="Arial" w:cs="Arial" w:eastAsia="Arial"/>
                <w:color w:val="auto"/>
                <w:spacing w:val="0"/>
                <w:position w:val="0"/>
                <w:sz w:val="22"/>
                <w:shd w:fill="auto" w:val="clear"/>
              </w:rPr>
              <w:t xml:space="preserve">CASP Qualitative Studies Checklist</w:t>
            </w:r>
          </w:p>
        </w:tc>
        <w:tc>
          <w:tcPr>
            <w:tcW w:w="150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360"/>
              <w:ind w:right="0" w:left="0" w:firstLine="0"/>
              <w:jc w:val="both"/>
              <w:rPr>
                <w:color w:val="auto"/>
                <w:spacing w:val="0"/>
                <w:position w:val="0"/>
                <w:sz w:val="22"/>
                <w:shd w:fill="auto" w:val="clear"/>
              </w:rPr>
            </w:pPr>
            <w:r>
              <w:rPr>
                <w:rFonts w:ascii="Arial" w:hAnsi="Arial" w:cs="Arial" w:eastAsia="Arial"/>
                <w:b/>
                <w:color w:val="auto"/>
                <w:spacing w:val="0"/>
                <w:position w:val="0"/>
                <w:sz w:val="22"/>
                <w:shd w:fill="auto" w:val="clear"/>
              </w:rPr>
              <w:t xml:space="preserve">High</w:t>
            </w:r>
          </w:p>
        </w:tc>
        <w:tc>
          <w:tcPr>
            <w:tcW w:w="303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360"/>
              <w:ind w:right="0" w:left="0" w:firstLine="0"/>
              <w:jc w:val="both"/>
              <w:rPr>
                <w:color w:val="auto"/>
                <w:spacing w:val="0"/>
                <w:position w:val="0"/>
                <w:sz w:val="22"/>
                <w:shd w:fill="auto" w:val="clear"/>
              </w:rPr>
            </w:pPr>
            <w:r>
              <w:rPr>
                <w:rFonts w:ascii="Arial" w:hAnsi="Arial" w:cs="Arial" w:eastAsia="Arial"/>
                <w:color w:val="auto"/>
                <w:spacing w:val="0"/>
                <w:position w:val="0"/>
                <w:sz w:val="22"/>
                <w:shd w:fill="auto" w:val="clear"/>
              </w:rPr>
              <w:t xml:space="preserve">Large free-text dataset (n=1,783); reflexive thematic analysis</w:t>
            </w:r>
          </w:p>
        </w:tc>
        <w:tc>
          <w:tcPr>
            <w:tcW w:w="272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360"/>
              <w:ind w:right="0" w:left="0" w:firstLine="0"/>
              <w:jc w:val="both"/>
              <w:rPr>
                <w:color w:val="auto"/>
                <w:spacing w:val="0"/>
                <w:position w:val="0"/>
                <w:sz w:val="22"/>
                <w:shd w:fill="auto" w:val="clear"/>
              </w:rPr>
            </w:pPr>
            <w:r>
              <w:rPr>
                <w:rFonts w:ascii="Arial" w:hAnsi="Arial" w:cs="Arial" w:eastAsia="Arial"/>
                <w:color w:val="auto"/>
                <w:spacing w:val="0"/>
                <w:position w:val="0"/>
                <w:sz w:val="22"/>
                <w:shd w:fill="auto" w:val="clear"/>
              </w:rPr>
              <w:t xml:space="preserve">Evidence derived from the linked U-DOC cohort</w:t>
            </w:r>
          </w:p>
        </w:tc>
      </w:tr>
      <w:tr>
        <w:trPr>
          <w:trHeight w:val="1" w:hRule="atLeast"/>
          <w:jc w:val="left"/>
        </w:trPr>
        <w:tc>
          <w:tcPr>
            <w:tcW w:w="211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360"/>
              <w:ind w:right="0" w:left="0" w:firstLine="0"/>
              <w:jc w:val="both"/>
              <w:rPr>
                <w:color w:val="auto"/>
                <w:spacing w:val="0"/>
                <w:position w:val="0"/>
                <w:sz w:val="22"/>
                <w:shd w:fill="auto" w:val="clear"/>
              </w:rPr>
            </w:pPr>
            <w:r>
              <w:rPr>
                <w:rFonts w:ascii="Arial" w:hAnsi="Arial" w:cs="Arial" w:eastAsia="Arial"/>
                <w:color w:val="auto"/>
                <w:spacing w:val="0"/>
                <w:position w:val="0"/>
                <w:sz w:val="22"/>
                <w:shd w:fill="auto" w:val="clear"/>
              </w:rPr>
              <w:t xml:space="preserve">Marshall et al. (2026)</w:t>
            </w:r>
          </w:p>
        </w:tc>
        <w:tc>
          <w:tcPr>
            <w:tcW w:w="190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360"/>
              <w:ind w:right="0" w:left="0" w:firstLine="0"/>
              <w:jc w:val="both"/>
              <w:rPr>
                <w:color w:val="auto"/>
                <w:spacing w:val="0"/>
                <w:position w:val="0"/>
                <w:sz w:val="22"/>
                <w:shd w:fill="auto" w:val="clear"/>
              </w:rPr>
            </w:pPr>
            <w:r>
              <w:rPr>
                <w:rFonts w:ascii="Arial" w:hAnsi="Arial" w:cs="Arial" w:eastAsia="Arial"/>
                <w:color w:val="auto"/>
                <w:spacing w:val="0"/>
                <w:position w:val="0"/>
                <w:sz w:val="22"/>
                <w:shd w:fill="auto" w:val="clear"/>
              </w:rPr>
              <w:t xml:space="preserve">Qualitative case study</w:t>
            </w:r>
          </w:p>
        </w:tc>
        <w:tc>
          <w:tcPr>
            <w:tcW w:w="188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360"/>
              <w:ind w:right="0" w:left="0" w:firstLine="0"/>
              <w:jc w:val="both"/>
              <w:rPr>
                <w:color w:val="auto"/>
                <w:spacing w:val="0"/>
                <w:position w:val="0"/>
                <w:sz w:val="22"/>
                <w:shd w:fill="auto" w:val="clear"/>
              </w:rPr>
            </w:pPr>
            <w:r>
              <w:rPr>
                <w:rFonts w:ascii="Arial" w:hAnsi="Arial" w:cs="Arial" w:eastAsia="Arial"/>
                <w:color w:val="auto"/>
                <w:spacing w:val="0"/>
                <w:position w:val="0"/>
                <w:sz w:val="22"/>
                <w:shd w:fill="auto" w:val="clear"/>
              </w:rPr>
              <w:t xml:space="preserve">CASP Qualitative Studies Checklist</w:t>
            </w:r>
          </w:p>
        </w:tc>
        <w:tc>
          <w:tcPr>
            <w:tcW w:w="150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360"/>
              <w:ind w:right="0" w:left="0" w:firstLine="0"/>
              <w:jc w:val="both"/>
              <w:rPr>
                <w:color w:val="auto"/>
                <w:spacing w:val="0"/>
                <w:position w:val="0"/>
                <w:sz w:val="22"/>
                <w:shd w:fill="auto" w:val="clear"/>
              </w:rPr>
            </w:pPr>
            <w:r>
              <w:rPr>
                <w:rFonts w:ascii="Arial" w:hAnsi="Arial" w:cs="Arial" w:eastAsia="Arial"/>
                <w:b/>
                <w:color w:val="auto"/>
                <w:spacing w:val="0"/>
                <w:position w:val="0"/>
                <w:sz w:val="22"/>
                <w:shd w:fill="auto" w:val="clear"/>
              </w:rPr>
              <w:t xml:space="preserve">Moderate</w:t>
            </w:r>
          </w:p>
        </w:tc>
        <w:tc>
          <w:tcPr>
            <w:tcW w:w="303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360"/>
              <w:ind w:right="0" w:left="0" w:firstLine="0"/>
              <w:jc w:val="both"/>
              <w:rPr>
                <w:color w:val="auto"/>
                <w:spacing w:val="0"/>
                <w:position w:val="0"/>
                <w:sz w:val="22"/>
                <w:shd w:fill="auto" w:val="clear"/>
              </w:rPr>
            </w:pPr>
            <w:r>
              <w:rPr>
                <w:rFonts w:ascii="Arial" w:hAnsi="Arial" w:cs="Arial" w:eastAsia="Arial"/>
                <w:color w:val="auto"/>
                <w:spacing w:val="0"/>
                <w:position w:val="0"/>
                <w:sz w:val="22"/>
                <w:shd w:fill="auto" w:val="clear"/>
              </w:rPr>
              <w:t xml:space="preserve">Rare direct qualitative evidence from PGT students</w:t>
            </w:r>
          </w:p>
        </w:tc>
        <w:tc>
          <w:tcPr>
            <w:tcW w:w="272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360"/>
              <w:ind w:right="0" w:left="0" w:firstLine="0"/>
              <w:jc w:val="both"/>
              <w:rPr>
                <w:color w:val="auto"/>
                <w:spacing w:val="0"/>
                <w:position w:val="0"/>
                <w:sz w:val="22"/>
                <w:shd w:fill="auto" w:val="clear"/>
              </w:rPr>
            </w:pPr>
            <w:r>
              <w:rPr>
                <w:rFonts w:ascii="Arial" w:hAnsi="Arial" w:cs="Arial" w:eastAsia="Arial"/>
                <w:color w:val="auto"/>
                <w:spacing w:val="0"/>
                <w:position w:val="0"/>
                <w:sz w:val="22"/>
                <w:shd w:fill="auto" w:val="clear"/>
              </w:rPr>
              <w:t xml:space="preserve">Small sample (n=21), one university and pandemic-period context</w:t>
            </w:r>
          </w:p>
        </w:tc>
      </w:tr>
    </w:tbl>
    <w:p>
      <w:pPr>
        <w:spacing w:before="0" w:after="160" w:line="360"/>
        <w:ind w:right="0" w:left="0" w:firstLine="0"/>
        <w:jc w:val="both"/>
        <w:rPr>
          <w:rFonts w:ascii="Arial" w:hAnsi="Arial" w:cs="Arial" w:eastAsia="Arial"/>
          <w:color w:val="auto"/>
          <w:spacing w:val="0"/>
          <w:position w:val="0"/>
          <w:sz w:val="22"/>
          <w:shd w:fill="auto" w:val="clear"/>
        </w:rPr>
      </w:pPr>
    </w:p>
    <w:p>
      <w:pPr>
        <w:spacing w:before="0" w:after="160" w:line="360"/>
        <w:ind w:right="0" w:left="0" w:firstLine="0"/>
        <w:jc w:val="both"/>
        <w:rPr>
          <w:rFonts w:ascii="Arial" w:hAnsi="Arial" w:cs="Arial" w:eastAsia="Arial"/>
          <w:color w:val="auto"/>
          <w:spacing w:val="0"/>
          <w:position w:val="0"/>
          <w:sz w:val="22"/>
          <w:shd w:fill="auto" w:val="clear"/>
        </w:rPr>
      </w:pPr>
    </w:p>
    <w:p>
      <w:pPr>
        <w:keepNext w:val="true"/>
        <w:keepLines w:val="true"/>
        <w:spacing w:before="40" w:after="0" w:line="360"/>
        <w:ind w:right="0" w:left="0" w:firstLine="0"/>
        <w:jc w:val="both"/>
        <w:rPr>
          <w:rFonts w:ascii="Arial" w:hAnsi="Arial" w:cs="Arial" w:eastAsia="Arial"/>
          <w:b/>
          <w:color w:val="auto"/>
          <w:spacing w:val="0"/>
          <w:position w:val="0"/>
          <w:sz w:val="28"/>
          <w:shd w:fill="auto" w:val="clear"/>
        </w:rPr>
      </w:pPr>
      <w:r>
        <w:rPr>
          <w:rFonts w:ascii="Arial" w:hAnsi="Arial" w:cs="Arial" w:eastAsia="Arial"/>
          <w:b/>
          <w:color w:val="auto"/>
          <w:spacing w:val="0"/>
          <w:position w:val="0"/>
          <w:sz w:val="28"/>
          <w:shd w:fill="auto" w:val="clear"/>
        </w:rPr>
        <w:t xml:space="preserve">4.5 Thematic Results</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Four interrelated themes were generated from the extraction matrix. The themes were aligned with the modified social determinants framework outlined in Chapter Two, but were developed inductively based on the findings from the evidence included. The first theme was ‘Financial and structural pressures', the second was ‘Academic, supervisory and social relationships', the third was ‘Symptom burden and consequences', and the fourth theme was ‘Help-seeking and multi-level supports'. Themes were interwoven as one exposure that could impact distress, belonging, help-seeking, and continuation could impact two or all three of these.</w:t>
      </w:r>
    </w:p>
    <w:p>
      <w:pPr>
        <w:keepNext w:val="true"/>
        <w:keepLines w:val="true"/>
        <w:spacing w:before="40" w:after="0" w:line="360"/>
        <w:ind w:right="0" w:left="0" w:firstLine="0"/>
        <w:jc w:val="both"/>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4.5.1 Theme 1: Financial stress, funding insecurity and cost-of-living pressure</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Evidence from direct studies of the financial stress of postgraduates was even less abundant than was evidence of psychological symptoms. The clearest evidence of PGT from Hosseinpur et al. (2023): 153 international students in England with master's degrees in public health were positive for depression (34.6%), and funding source and financial difficulty were associated with depressive symptoms. A subgroup who were more depressed reported financial problems, and accommodation, transport and homesickness were also included in the material context. The study only focused on one discipline and one institution, but the findings were indicative of the potential for measurement of financial exposure in addition to mental health in a taught post-graduate population, not based on undergraduate evidence.</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White et al. (2024) renewed the financial support for PGRs. In both the quantitative survey (479 respondents across the UK) and qualitative focus groups, self-funding, the limited duration of funding, visa requirements and employment with children were reported as pressures that diminish opportunity for recovery and sociality. The research identified these pressures as structural inequities, not Deficits. Similarly, Milicev et al. (2023) discovered that academic and social stressors shape postgraduate wellbeing, but their model did not include a major financial stress. Financial pressure, then, seemed to be real but not consistent over the course of the review. Very few studies included in this review directly measured exposure to contemporary rent, food cost, utility cost, or tuition cost. The primary literature therefore inadequately addressed RO1 and RO2, with financial insecurity present, particularly for students from outside the UK, who are self-funding and have limited periods in which they can study; however, a global measure of the cost-of-living stress associated with postgraduate studies could not be determined.</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One additional finding was that cost-of-living concerns were identified as review objectives, but not the same cost-of-living measures were used to measure the cost-of-living concerns that were included in the primary studies. There was no one index available that aggregated rent, food, utilities, transport costs and tuition together for any one postgraduate - nor was there an estimate for the percentage of postgraduates who faced severe financial hardship, across the UK. Financial pressure, however, emerged in the form of funding source, self-funding, paid employment, visa restrictions, accommodation difficulties, and limitations on scholarship durations (Hosseinpur et al., 2023; White et al., 2024). This allowed material insecurity to be recognised as an exposure that could occur repeatedly, but the size of the material insecurity's independent contribution to anxiety or depression was not known. There were also differences in the pattern among subgroups: there was a stronger perception of vulnerability among international students and self-funded students in the studies that reported these characteristics, and there was weak evidence for home, part-time and mature postgraduates. Financial stress was therefore maintained as a separate theme in the synthesis, and great uncertainty was noted around prevalence and dose-response relationship.</w:t>
      </w:r>
    </w:p>
    <w:p>
      <w:pPr>
        <w:keepNext w:val="true"/>
        <w:keepLines w:val="true"/>
        <w:spacing w:before="40" w:after="0" w:line="360"/>
        <w:ind w:right="0" w:left="0" w:firstLine="0"/>
        <w:jc w:val="both"/>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4.5.2 Theme 2: Academic workload, supervision, isolation and relational determinants</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Academic determinants were more consistently represented, as were relational determinants. Perfectionism, impostor thoughts, social connectedness and supervisory communion were correlated with depression, anxiety and suicidality in the U-DOC PGR sample (Berry, Niven and Hazell, 2021). Milicev et al. (2023) also found evidence of association between more positive mental health and social support, positive self-assessment of progress and preparation, departmental climate and supervisory relationships. Understanding, as outlined by White et al. (2024), was qualitative, in that some factors made postgraduate research seem difficult to navigate, such as uncertainty about its progress, unclear expectations, isolation, rigid systems and unequal access to resources, while other factors appeared to lessen the pressures, such as flexibility and supportive supervision.</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A relationship of supervision proved to be a significant cross-study mechanism. Mavrogalou-Foti, Kambouri and Çili (2024) found that higher levels of depression, anxiety and stress were linked to an uncertain supervisory style in 141 doctoral students in the UK. Based on a qualitative analysis of 1783 free-text answers to questions on supervisor supervision and wellbeing, Hazell et al. (2025) concluded that supervision might cause distress, but might also support wellbeing via validation, practical support and signposting. Casey et al. (2024a) identified workload, isolation, control, balance and coping as core components to PGR wellbeing within a South England university. The same general problems were not restricted to doctoral-level studies, as Marshall et al. (2026) illustrated how the same issues presented by taught postgraduates were reported as helping or hindering wellbeing: academic pressure, communication, isolation, socialising and university support. The PGT evidence was smaller, but he did not include all the experiences of the postgraduate student doctoral experiences.</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This theme was reinforced by convergence in various settings. The national U-DOC results correlated social connectedness and supervisory communion with mental-health outcomes, Milicev et al. (2023) identified departmental climate and perceived progress as protective correlates, and White et al. (2024) described how uncertainty and unequal access to resources were experienced in practice. The studies conducted within the single institutions did not merely replicate these results, but also included information on workload, control, work-life balance and communication (Casey et al., 2024a; Marshall et al., 2026). Not all supervision was detrimental or beneficial, however. Hazell et al. (2025) noted that this connection could be a source of distress if it was not working well in terms of expectations, communication or support, but could bring reassurance, problem-solving and signposting if working well. The evidence thus indicated that there were relational conditions operating in both directions. This bi-directional pattern was similar to the review framework that suggests that academic environments as well as interpersonal relationships can raise stress as well as offer a buffer.</w:t>
      </w:r>
    </w:p>
    <w:p>
      <w:pPr>
        <w:keepNext w:val="true"/>
        <w:keepLines w:val="true"/>
        <w:spacing w:before="40" w:after="0" w:line="360"/>
        <w:ind w:right="0" w:left="0" w:firstLine="0"/>
        <w:jc w:val="both"/>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4.5.3 Theme 3: Anxiety, depression, psychological distress and academic functioning</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All the evidence included revealed significant mental health burden, but not all the estimates were directly comparable. A larger proportion of 3,352 doctoral researchers, compared with working adults, had worse depression and anxiety symptom scores (Hazell et al., 2021), and 35.8% had thought about stopping or extending their studies due to mental health issues. Of 241 PGRs from two universities in England, 70% were suffering mild to severe psychological distress, according to Moss et al. (2022). The prevalence of depression screening in PGT-specific studies was reported by Hosseinpur et al. (2023) as 34.6%. The values presented here have not been pooled and were obtained using different instruments, thresholds and samples.</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Academic functioning was a significant extension to symptom scores. Berry et al. (2021) revealed a relationship between stigma, discrimination, and absenteeism and presenteeism; and Berry, Niven and Hazell (2023) demonstrated that depression, anxiety and suicidality were associated with attendance behaviours, mental-health-related intermission and increased intentions to leave. A study by King's College London (KCL) in the early pandemic found that approximately 30% of the PGR population were likely suffering from depression or anxiety (Carr et al., 2022). With this pandemic estimate, caution is needed due to unusual exposures in the form of lockdown, remote working and health uncertainty. However, across pre-pandemic, pandemic, and post-pandemic studies, there was convergence on the association of distress as a problem of symptoms with attendance and continuation, productivity and engagement with postgraduate studies.</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The diversity in mental-health measurement was an important finding as well. The study populations were from national doctoral cohorts, two university PGR cohorts, and one discipline PGT cohort; assessment of depression, anxiety, psychological distress, suicidality and wellbeing was carried out with different validated instruments and thresholds. Therefore, these statistics were not directly compared to the 34.6% depression-screening rate reported by Hosseinpur et al. (2023) or probable depression or anxiety estimates in the pandemic cohort of Carr et al. (2022), which were 70% psychological distress. Notwithstanding these differences, clinically relevant symptoms and increased overall distress consistently occurred between independent samples of subjects. The most compelling functional evidence was from analyses that went beyond symptom prevalence. Poorer mental health was found to be associated with attendance behaviour, intermission and attrition intention, with the impact being apparent in academic participation (Berry, Niven and Hazell, 2023). This finding helped facilitate the joint reporting of mental health and academic functioning without the need to report a pooled prevalence estimate that the data did not support.</w:t>
      </w:r>
    </w:p>
    <w:p>
      <w:pPr>
        <w:keepNext w:val="true"/>
        <w:keepLines w:val="true"/>
        <w:spacing w:before="40" w:after="0" w:line="360"/>
        <w:ind w:right="0" w:left="0" w:firstLine="0"/>
        <w:jc w:val="both"/>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4.5.4 Theme 4: Help-seeking, peer support and institutional solutions</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Evidence on solutions was smaller and more heterogeneous than evidence on problems. Students with higher substantial need may not seek help, as lower wellbeing was linked with lower levels of help-seeking behaviour (Moss et al., 2022). Stigma and discrimination were found to be potential obstacles to academic culture by Berry et al. (2021). Hazell et al. (2025) demonstrated the potential role for supervisors to be protective relational contacts and pathways of access to support, but this required supervisors' understanding and responding appropriately to the needs of the student. Similarly, Marshall et al. (2026) concluded that communication and institutional support positively affected the wellbeing of PGTs.</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Direct evidence came from two intervention-oriented reports. The University of Plymouth Researcher Toolkit (UPRT) was a peer-led preventive programme delivered to 116 attendees of the PGR programme, with 74 responses to the feedback, showing high acceptance and value for peer support. Casey et al. (2024b) also looked at pilot initiatives aimed at improving the mental health support for AUs at the doctoral level, and emphasised the need for personalised, contextually-responsive support. The studies are in support of prevention and peer connection and do not provide clinical effectiveness evidence for the long term. The most defensible solution pattern across the synthesis was that, insofar as feasible, the pressures of financial and institutional conditions should be lowered; educational systems and supervisors need to give clearer expectations and relational support; peer connections should be encouraged; and it would be valuable to allow students to keep having access to professional mental-health services if necessary for clinical care. The evidence was not there to back structural action that was completely replaced by resilience training or counselling alone.</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Three aspects of support were also distinguished in the evidence provided: a desire for help; the types of relationship students used to access support; and what was viewed as acceptable support. The study by Moss et al. (2022) focused on help-seeking behaviour, and the study on stigma analysis carried out by Berry et al. (2021) identified a stigma context that could be impacting participation and disclosure within academic culture. Hazell et al. (2025) positioned supervisors in the support pathway, and their results indicated that signing up for the pathway hinged on a pre-established relationship perceived to be safe and responsive to students' needs. Intervention reports were much shorter. The peer-led Researcher Toolkit documented attendance from 116 PGRs, with positive feedback from 74 respondents (Homer et al., 2021); and Casey et al. (2024b) provided local pilot evidence of tailored doctoral support. These studies proved successful in terms of feasibility, acceptability and perceived usefulness but were not shown to reduce anxiety or depression over the long term. Hence, the evidence of solutions was supportive but not as strong as the evidence of the problem was, and no specific intervention was found to be sufficient for the whole of each postgraduate group.</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Table 4.4: Summary of themes and contributing evidence</w:t>
      </w:r>
    </w:p>
    <w:tbl>
      <w:tblPr/>
      <w:tblGrid>
        <w:gridCol w:w="2296"/>
        <w:gridCol w:w="4134"/>
        <w:gridCol w:w="3146"/>
      </w:tblGrid>
      <w:tr>
        <w:trPr>
          <w:trHeight w:val="1" w:hRule="atLeast"/>
          <w:jc w:val="center"/>
        </w:trPr>
        <w:tc>
          <w:tcPr>
            <w:tcW w:w="2296" w:type="dxa"/>
            <w:tcBorders>
              <w:top w:val="single" w:color="000000" w:sz="4"/>
              <w:left w:val="single" w:color="000000" w:sz="4"/>
              <w:bottom w:val="single" w:color="000000" w:sz="4"/>
              <w:right w:val="single" w:color="000000" w:sz="4"/>
            </w:tcBorders>
            <w:shd w:color="auto" w:fill="auto" w:val="clear"/>
            <w:tcMar>
              <w:left w:w="108" w:type="dxa"/>
              <w:right w:w="108" w:type="dxa"/>
            </w:tcMar>
            <w:vAlign w:val="center"/>
          </w:tcPr>
          <w:p>
            <w:pPr>
              <w:spacing w:before="0" w:after="0" w:line="360"/>
              <w:ind w:right="0" w:left="0" w:firstLine="0"/>
              <w:jc w:val="left"/>
              <w:rPr>
                <w:color w:val="auto"/>
                <w:spacing w:val="0"/>
                <w:position w:val="0"/>
                <w:sz w:val="22"/>
                <w:shd w:fill="auto" w:val="clear"/>
              </w:rPr>
            </w:pPr>
            <w:r>
              <w:rPr>
                <w:rFonts w:ascii="Arial" w:hAnsi="Arial" w:cs="Arial" w:eastAsia="Arial"/>
                <w:b/>
                <w:color w:val="auto"/>
                <w:spacing w:val="0"/>
                <w:position w:val="0"/>
                <w:sz w:val="22"/>
                <w:shd w:fill="auto" w:val="clear"/>
              </w:rPr>
              <w:t xml:space="preserve">Theme</w:t>
            </w:r>
          </w:p>
        </w:tc>
        <w:tc>
          <w:tcPr>
            <w:tcW w:w="4134" w:type="dxa"/>
            <w:tcBorders>
              <w:top w:val="single" w:color="000000" w:sz="4"/>
              <w:left w:val="single" w:color="000000" w:sz="4"/>
              <w:bottom w:val="single" w:color="000000" w:sz="4"/>
              <w:right w:val="single" w:color="000000" w:sz="4"/>
            </w:tcBorders>
            <w:shd w:color="auto" w:fill="auto" w:val="clear"/>
            <w:tcMar>
              <w:left w:w="108" w:type="dxa"/>
              <w:right w:w="108" w:type="dxa"/>
            </w:tcMar>
            <w:vAlign w:val="center"/>
          </w:tcPr>
          <w:p>
            <w:pPr>
              <w:spacing w:before="0" w:after="0" w:line="360"/>
              <w:ind w:right="0" w:left="0" w:firstLine="0"/>
              <w:jc w:val="left"/>
              <w:rPr>
                <w:color w:val="auto"/>
                <w:spacing w:val="0"/>
                <w:position w:val="0"/>
                <w:sz w:val="22"/>
                <w:shd w:fill="auto" w:val="clear"/>
              </w:rPr>
            </w:pPr>
            <w:r>
              <w:rPr>
                <w:rFonts w:ascii="Arial" w:hAnsi="Arial" w:cs="Arial" w:eastAsia="Arial"/>
                <w:b/>
                <w:color w:val="auto"/>
                <w:spacing w:val="0"/>
                <w:position w:val="0"/>
                <w:sz w:val="22"/>
                <w:shd w:fill="auto" w:val="clear"/>
              </w:rPr>
              <w:t xml:space="preserve">Core result</w:t>
            </w:r>
          </w:p>
        </w:tc>
        <w:tc>
          <w:tcPr>
            <w:tcW w:w="3146" w:type="dxa"/>
            <w:tcBorders>
              <w:top w:val="single" w:color="000000" w:sz="4"/>
              <w:left w:val="single" w:color="000000" w:sz="4"/>
              <w:bottom w:val="single" w:color="000000" w:sz="4"/>
              <w:right w:val="single" w:color="000000" w:sz="4"/>
            </w:tcBorders>
            <w:shd w:color="auto" w:fill="auto" w:val="clear"/>
            <w:tcMar>
              <w:left w:w="108" w:type="dxa"/>
              <w:right w:w="108" w:type="dxa"/>
            </w:tcMar>
            <w:vAlign w:val="center"/>
          </w:tcPr>
          <w:p>
            <w:pPr>
              <w:spacing w:before="0" w:after="0" w:line="360"/>
              <w:ind w:right="0" w:left="0" w:firstLine="0"/>
              <w:jc w:val="left"/>
              <w:rPr>
                <w:color w:val="auto"/>
                <w:spacing w:val="0"/>
                <w:position w:val="0"/>
                <w:sz w:val="22"/>
                <w:shd w:fill="auto" w:val="clear"/>
              </w:rPr>
            </w:pPr>
            <w:r>
              <w:rPr>
                <w:rFonts w:ascii="Arial" w:hAnsi="Arial" w:cs="Arial" w:eastAsia="Arial"/>
                <w:b/>
                <w:color w:val="auto"/>
                <w:spacing w:val="0"/>
                <w:position w:val="0"/>
                <w:sz w:val="22"/>
                <w:shd w:fill="auto" w:val="clear"/>
              </w:rPr>
              <w:t xml:space="preserve">Principal contributing studies</w:t>
            </w:r>
          </w:p>
        </w:tc>
      </w:tr>
      <w:tr>
        <w:trPr>
          <w:trHeight w:val="1" w:hRule="atLeast"/>
          <w:jc w:val="center"/>
          <w:cantSplit w:val="1"/>
        </w:trPr>
        <w:tc>
          <w:tcPr>
            <w:tcW w:w="229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360"/>
              <w:ind w:right="0" w:left="0" w:firstLine="0"/>
              <w:jc w:val="left"/>
              <w:rPr>
                <w:color w:val="auto"/>
                <w:spacing w:val="0"/>
                <w:position w:val="0"/>
                <w:sz w:val="22"/>
                <w:shd w:fill="auto" w:val="clear"/>
              </w:rPr>
            </w:pPr>
            <w:r>
              <w:rPr>
                <w:rFonts w:ascii="Arial" w:hAnsi="Arial" w:cs="Arial" w:eastAsia="Arial"/>
                <w:color w:val="auto"/>
                <w:spacing w:val="0"/>
                <w:position w:val="0"/>
                <w:sz w:val="22"/>
                <w:shd w:fill="auto" w:val="clear"/>
              </w:rPr>
              <w:t xml:space="preserve">1. Financial/material pressure</w:t>
            </w:r>
          </w:p>
        </w:tc>
        <w:tc>
          <w:tcPr>
            <w:tcW w:w="413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360"/>
              <w:ind w:right="0" w:left="0" w:firstLine="0"/>
              <w:jc w:val="left"/>
              <w:rPr>
                <w:color w:val="auto"/>
                <w:spacing w:val="0"/>
                <w:position w:val="0"/>
                <w:sz w:val="22"/>
                <w:shd w:fill="auto" w:val="clear"/>
              </w:rPr>
            </w:pPr>
            <w:r>
              <w:rPr>
                <w:rFonts w:ascii="Arial" w:hAnsi="Arial" w:cs="Arial" w:eastAsia="Arial"/>
                <w:color w:val="auto"/>
                <w:spacing w:val="0"/>
                <w:position w:val="0"/>
                <w:sz w:val="22"/>
                <w:shd w:fill="auto" w:val="clear"/>
              </w:rPr>
              <w:t xml:space="preserve">Funding insecurity, self-funding, paid work, accom  modation and visa/time constraints contributed to vulnerability; direct cost-of-living measurement was limited.</w:t>
            </w:r>
          </w:p>
        </w:tc>
        <w:tc>
          <w:tcPr>
            <w:tcW w:w="314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360"/>
              <w:ind w:right="0" w:left="0" w:firstLine="0"/>
              <w:jc w:val="left"/>
              <w:rPr>
                <w:color w:val="auto"/>
                <w:spacing w:val="0"/>
                <w:position w:val="0"/>
                <w:sz w:val="22"/>
                <w:shd w:fill="auto" w:val="clear"/>
              </w:rPr>
            </w:pPr>
            <w:r>
              <w:rPr>
                <w:rFonts w:ascii="Arial" w:hAnsi="Arial" w:cs="Arial" w:eastAsia="Arial"/>
                <w:color w:val="auto"/>
                <w:spacing w:val="0"/>
                <w:position w:val="0"/>
                <w:sz w:val="22"/>
                <w:shd w:fill="auto" w:val="clear"/>
              </w:rPr>
              <w:t xml:space="preserve">Hosseinpur 2023; Milicev 2023; White 2024</w:t>
            </w:r>
          </w:p>
        </w:tc>
      </w:tr>
      <w:tr>
        <w:trPr>
          <w:trHeight w:val="1" w:hRule="atLeast"/>
          <w:jc w:val="center"/>
          <w:cantSplit w:val="1"/>
        </w:trPr>
        <w:tc>
          <w:tcPr>
            <w:tcW w:w="229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360"/>
              <w:ind w:right="0" w:left="0" w:firstLine="0"/>
              <w:jc w:val="left"/>
              <w:rPr>
                <w:color w:val="auto"/>
                <w:spacing w:val="0"/>
                <w:position w:val="0"/>
                <w:sz w:val="22"/>
                <w:shd w:fill="auto" w:val="clear"/>
              </w:rPr>
            </w:pPr>
            <w:r>
              <w:rPr>
                <w:rFonts w:ascii="Arial" w:hAnsi="Arial" w:cs="Arial" w:eastAsia="Arial"/>
                <w:color w:val="auto"/>
                <w:spacing w:val="0"/>
                <w:position w:val="0"/>
                <w:sz w:val="22"/>
                <w:shd w:fill="auto" w:val="clear"/>
              </w:rPr>
              <w:t xml:space="preserve">2. Academic/relational determinants</w:t>
            </w:r>
          </w:p>
        </w:tc>
        <w:tc>
          <w:tcPr>
            <w:tcW w:w="413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360"/>
              <w:ind w:right="0" w:left="0" w:firstLine="0"/>
              <w:jc w:val="left"/>
              <w:rPr>
                <w:color w:val="auto"/>
                <w:spacing w:val="0"/>
                <w:position w:val="0"/>
                <w:sz w:val="22"/>
                <w:shd w:fill="auto" w:val="clear"/>
              </w:rPr>
            </w:pPr>
            <w:r>
              <w:rPr>
                <w:rFonts w:ascii="Arial" w:hAnsi="Arial" w:cs="Arial" w:eastAsia="Arial"/>
                <w:color w:val="auto"/>
                <w:spacing w:val="0"/>
                <w:position w:val="0"/>
                <w:sz w:val="22"/>
                <w:shd w:fill="auto" w:val="clear"/>
              </w:rPr>
              <w:t xml:space="preserve">Workload, uncertainty, isolation, supervision, belonging and departmental climate could either increase or buffer distress.</w:t>
            </w:r>
          </w:p>
        </w:tc>
        <w:tc>
          <w:tcPr>
            <w:tcW w:w="314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360"/>
              <w:ind w:right="0" w:left="0" w:firstLine="0"/>
              <w:jc w:val="left"/>
              <w:rPr>
                <w:color w:val="auto"/>
                <w:spacing w:val="0"/>
                <w:position w:val="0"/>
                <w:sz w:val="22"/>
                <w:shd w:fill="auto" w:val="clear"/>
              </w:rPr>
            </w:pPr>
            <w:r>
              <w:rPr>
                <w:rFonts w:ascii="Arial" w:hAnsi="Arial" w:cs="Arial" w:eastAsia="Arial"/>
                <w:color w:val="auto"/>
                <w:spacing w:val="0"/>
                <w:position w:val="0"/>
                <w:sz w:val="22"/>
                <w:shd w:fill="auto" w:val="clear"/>
              </w:rPr>
              <w:t xml:space="preserve">Berry 2021; Milicev 2023; White 2024; Mavrogalou-Foti 2024; Hazell 2025; Marshall 2026</w:t>
            </w:r>
          </w:p>
        </w:tc>
      </w:tr>
      <w:tr>
        <w:trPr>
          <w:trHeight w:val="1" w:hRule="atLeast"/>
          <w:jc w:val="center"/>
          <w:cantSplit w:val="1"/>
        </w:trPr>
        <w:tc>
          <w:tcPr>
            <w:tcW w:w="229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360"/>
              <w:ind w:right="0" w:left="0" w:firstLine="0"/>
              <w:jc w:val="left"/>
              <w:rPr>
                <w:color w:val="auto"/>
                <w:spacing w:val="0"/>
                <w:position w:val="0"/>
                <w:sz w:val="22"/>
                <w:shd w:fill="auto" w:val="clear"/>
              </w:rPr>
            </w:pPr>
            <w:r>
              <w:rPr>
                <w:rFonts w:ascii="Arial" w:hAnsi="Arial" w:cs="Arial" w:eastAsia="Arial"/>
                <w:color w:val="auto"/>
                <w:spacing w:val="0"/>
                <w:position w:val="0"/>
                <w:sz w:val="22"/>
                <w:shd w:fill="auto" w:val="clear"/>
              </w:rPr>
              <w:t xml:space="preserve">3. Mental-health outcomes/functioning</w:t>
            </w:r>
          </w:p>
        </w:tc>
        <w:tc>
          <w:tcPr>
            <w:tcW w:w="413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360"/>
              <w:ind w:right="0" w:left="0" w:firstLine="0"/>
              <w:jc w:val="left"/>
              <w:rPr>
                <w:color w:val="auto"/>
                <w:spacing w:val="0"/>
                <w:position w:val="0"/>
                <w:sz w:val="22"/>
                <w:shd w:fill="auto" w:val="clear"/>
              </w:rPr>
            </w:pPr>
            <w:r>
              <w:rPr>
                <w:rFonts w:ascii="Arial" w:hAnsi="Arial" w:cs="Arial" w:eastAsia="Arial"/>
                <w:color w:val="auto"/>
                <w:spacing w:val="0"/>
                <w:position w:val="0"/>
                <w:sz w:val="22"/>
                <w:shd w:fill="auto" w:val="clear"/>
              </w:rPr>
              <w:t xml:space="preserve">Anxiety, depression and distress were common and linked to attendance, intermission and attrition intention.</w:t>
            </w:r>
          </w:p>
        </w:tc>
        <w:tc>
          <w:tcPr>
            <w:tcW w:w="314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360"/>
              <w:ind w:right="0" w:left="0" w:firstLine="0"/>
              <w:jc w:val="left"/>
              <w:rPr>
                <w:color w:val="auto"/>
                <w:spacing w:val="0"/>
                <w:position w:val="0"/>
                <w:sz w:val="22"/>
                <w:shd w:fill="auto" w:val="clear"/>
              </w:rPr>
            </w:pPr>
            <w:r>
              <w:rPr>
                <w:rFonts w:ascii="Arial" w:hAnsi="Arial" w:cs="Arial" w:eastAsia="Arial"/>
                <w:color w:val="auto"/>
                <w:spacing w:val="0"/>
                <w:position w:val="0"/>
                <w:sz w:val="22"/>
                <w:shd w:fill="auto" w:val="clear"/>
              </w:rPr>
              <w:t xml:space="preserve">Hazell 2021; Moss 2022; Carr 2022; Berry 2023; Hosseinpur 2023</w:t>
            </w:r>
          </w:p>
        </w:tc>
      </w:tr>
      <w:tr>
        <w:trPr>
          <w:trHeight w:val="1" w:hRule="atLeast"/>
          <w:jc w:val="center"/>
          <w:cantSplit w:val="1"/>
        </w:trPr>
        <w:tc>
          <w:tcPr>
            <w:tcW w:w="229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360"/>
              <w:ind w:right="0" w:left="0" w:firstLine="0"/>
              <w:jc w:val="left"/>
              <w:rPr>
                <w:color w:val="auto"/>
                <w:spacing w:val="0"/>
                <w:position w:val="0"/>
                <w:sz w:val="22"/>
                <w:shd w:fill="auto" w:val="clear"/>
              </w:rPr>
            </w:pPr>
            <w:r>
              <w:rPr>
                <w:rFonts w:ascii="Arial" w:hAnsi="Arial" w:cs="Arial" w:eastAsia="Arial"/>
                <w:color w:val="auto"/>
                <w:spacing w:val="0"/>
                <w:position w:val="0"/>
                <w:sz w:val="22"/>
                <w:shd w:fill="auto" w:val="clear"/>
              </w:rPr>
              <w:t xml:space="preserve">4. Help-seeking/support</w:t>
            </w:r>
          </w:p>
        </w:tc>
        <w:tc>
          <w:tcPr>
            <w:tcW w:w="413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360"/>
              <w:ind w:right="0" w:left="0" w:firstLine="0"/>
              <w:jc w:val="left"/>
              <w:rPr>
                <w:color w:val="auto"/>
                <w:spacing w:val="0"/>
                <w:position w:val="0"/>
                <w:sz w:val="22"/>
                <w:shd w:fill="auto" w:val="clear"/>
              </w:rPr>
            </w:pPr>
            <w:r>
              <w:rPr>
                <w:rFonts w:ascii="Arial" w:hAnsi="Arial" w:cs="Arial" w:eastAsia="Arial"/>
                <w:color w:val="auto"/>
                <w:spacing w:val="0"/>
                <w:position w:val="0"/>
                <w:sz w:val="22"/>
                <w:shd w:fill="auto" w:val="clear"/>
              </w:rPr>
              <w:t xml:space="preserve">Stigma and low help-seeking limited access; peer programmes, supportive supervision and tailored institutional responses showed promise.</w:t>
            </w:r>
          </w:p>
        </w:tc>
        <w:tc>
          <w:tcPr>
            <w:tcW w:w="314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360"/>
              <w:ind w:right="0" w:left="0" w:firstLine="0"/>
              <w:jc w:val="left"/>
              <w:rPr>
                <w:color w:val="auto"/>
                <w:spacing w:val="0"/>
                <w:position w:val="0"/>
                <w:sz w:val="22"/>
                <w:shd w:fill="auto" w:val="clear"/>
              </w:rPr>
            </w:pPr>
            <w:r>
              <w:rPr>
                <w:rFonts w:ascii="Arial" w:hAnsi="Arial" w:cs="Arial" w:eastAsia="Arial"/>
                <w:color w:val="auto"/>
                <w:spacing w:val="0"/>
                <w:position w:val="0"/>
                <w:sz w:val="22"/>
                <w:shd w:fill="auto" w:val="clear"/>
              </w:rPr>
              <w:t xml:space="preserve">Berry 2021; Homer 2021; Moss 2022; Hazell 2025; Marshall 2026; Casey 2024</w:t>
            </w:r>
          </w:p>
        </w:tc>
      </w:tr>
    </w:tbl>
    <w:p>
      <w:pPr>
        <w:spacing w:before="0" w:after="160" w:line="360"/>
        <w:ind w:right="0" w:left="0" w:firstLine="0"/>
        <w:jc w:val="both"/>
        <w:rPr>
          <w:rFonts w:ascii="Arial" w:hAnsi="Arial" w:cs="Arial" w:eastAsia="Arial"/>
          <w:color w:val="auto"/>
          <w:spacing w:val="0"/>
          <w:position w:val="0"/>
          <w:sz w:val="22"/>
          <w:shd w:fill="auto" w:val="clear"/>
        </w:rPr>
      </w:pPr>
    </w:p>
    <w:p>
      <w:pPr>
        <w:keepNext w:val="true"/>
        <w:keepLines w:val="true"/>
        <w:spacing w:before="40" w:after="0" w:line="360"/>
        <w:ind w:right="0" w:left="0" w:firstLine="0"/>
        <w:jc w:val="both"/>
        <w:rPr>
          <w:rFonts w:ascii="Arial" w:hAnsi="Arial" w:cs="Arial" w:eastAsia="Arial"/>
          <w:b/>
          <w:color w:val="000000"/>
          <w:spacing w:val="0"/>
          <w:position w:val="0"/>
          <w:sz w:val="28"/>
          <w:shd w:fill="auto" w:val="clear"/>
        </w:rPr>
      </w:pPr>
      <w:r>
        <w:rPr>
          <w:rFonts w:ascii="Arial" w:hAnsi="Arial" w:cs="Arial" w:eastAsia="Arial"/>
          <w:b/>
          <w:color w:val="000000"/>
          <w:spacing w:val="0"/>
          <w:position w:val="0"/>
          <w:sz w:val="28"/>
          <w:shd w:fill="auto" w:val="clear"/>
        </w:rPr>
        <w:t xml:space="preserve">4.6 Summary of Findings Against the Research Objectives</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RO1 asked what level of financial stress exists with postgraduate students in the UK. There was robust qualitative and subgroup evidence from the reviewed studies of the UK-wide funding insecurity and financial difficulty, particularly amongst international and self-funded students. However, too little of the research reported a common financial-stress measure. RO2 questioned the impact of increasing cost of living on financial stability. The evidence was related to funding, accommodation, paid work, visa limits and finite funding, and time pressure and wellbeing; however, actual measurement of housing, food, utilities and tuition inflation in postgraduate-only samples was limited. Therefore, RO1 and RO2 were supported directionally, but instead of being able to use a pooled estimate to answer the question, they would be categorised as evidence gaps.</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RO3 received more positive responses. In both types of samples (national and multi-institutional or multi-university), anxiety, depression and psychological distress appeared repeatedly, and there was evidence of a relationship with symptoms and social isolation, perfectionism, supervisory relationships, stigma, attendance problems and intention to leave. This was because of differences in instruments and populations used, so the answer was a sustained pattern of high need rather than one prevalence figure. RO4 focused on recommendations that were based on evidence. All of this intervention and qualitative evidence lent credence to the potential of peer connection, supportive and clearer supervision, available professional assistance and institution-level prevention, and the fact that individual-level services do not alleviate financial or academic-system pressures alone. The findings from these results are used as the basis for critical discussions and recommendations in the subsequent chapters.</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Overall, there was a lack of consistency in evidence coverage for the four objectives. The strengths of RO3 were that mental-health symptoms and academic functioning were studied in national and multi-university and institutional samples. Moderate evidence from help-seeking, supervision and small intervention studies is available for RO4. RO1 and RO2 were also less complete, as often the financial hardship was just one exposure, and a standardised primary exposure was not the only determinant used. The synthesising process, however, pinpointed substantive findings and explicit evidence gaps, rather than assuming that all four goals were achieved.</w:t>
      </w:r>
    </w:p>
    <w:p>
      <w:pPr>
        <w:keepNext w:val="true"/>
        <w:keepLines w:val="true"/>
        <w:spacing w:before="40" w:after="0" w:line="360"/>
        <w:ind w:right="0" w:left="0" w:firstLine="0"/>
        <w:jc w:val="both"/>
        <w:rPr>
          <w:rFonts w:ascii="Arial" w:hAnsi="Arial" w:cs="Arial" w:eastAsia="Arial"/>
          <w:b/>
          <w:color w:val="auto"/>
          <w:spacing w:val="0"/>
          <w:position w:val="0"/>
          <w:sz w:val="28"/>
          <w:shd w:fill="auto" w:val="clear"/>
        </w:rPr>
      </w:pPr>
      <w:r>
        <w:rPr>
          <w:rFonts w:ascii="Arial" w:hAnsi="Arial" w:cs="Arial" w:eastAsia="Arial"/>
          <w:b/>
          <w:color w:val="auto"/>
          <w:spacing w:val="0"/>
          <w:position w:val="0"/>
          <w:sz w:val="28"/>
          <w:shd w:fill="auto" w:val="clear"/>
        </w:rPr>
        <w:t xml:space="preserve">4.7 Chapter Summary</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This chapter summarised the results of the systematic review, which started with a total of 398 records and ended with 15 included reports. This was a heavily PGR-dominated evidence base with considerably less direct PGT research. 4 themes were found and connected: Financial and material insecurities; Academic, supervisory and social determinants; Anxiety, depression, distress and academic functioning; Help-seeking or institutional support. Overall, it was estimated that mental health issues were always large, with less consistency among estimates, but were primarily assessed in nature. In the only UK postgraduate degree studies, the financial pressures were plausible but poorly specified. Supportive supervision, peer connection and accessible institutional/clinical support were repeated protective responses, while there was little evidence of interventions. The results are critically interpreted with regard to the wider literature or the adapted social determinants framework in Chapter Five.</w:t>
      </w:r>
    </w:p>
    <w:p>
      <w:pPr>
        <w:spacing w:before="0" w:after="160" w:line="259"/>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 </w:t>
      </w:r>
    </w:p>
    <w:p>
      <w:pPr>
        <w:spacing w:before="0" w:after="160" w:line="259"/>
        <w:ind w:right="0" w:left="0" w:firstLine="0"/>
        <w:jc w:val="left"/>
        <w:rPr>
          <w:rFonts w:ascii="Arial" w:hAnsi="Arial" w:cs="Arial" w:eastAsia="Arial"/>
          <w:color w:val="auto"/>
          <w:spacing w:val="0"/>
          <w:position w:val="0"/>
          <w:sz w:val="22"/>
          <w:shd w:fill="auto" w:val="clear"/>
        </w:rPr>
      </w:pPr>
    </w:p>
    <w:p>
      <w:pPr>
        <w:keepNext w:val="true"/>
        <w:keepLines w:val="true"/>
        <w:spacing w:before="240" w:after="240" w:line="276"/>
        <w:ind w:right="0" w:left="0" w:firstLine="0"/>
        <w:jc w:val="center"/>
        <w:rPr>
          <w:rFonts w:ascii="Arial" w:hAnsi="Arial" w:cs="Arial" w:eastAsia="Arial"/>
          <w:b/>
          <w:color w:val="auto"/>
          <w:spacing w:val="0"/>
          <w:position w:val="0"/>
          <w:sz w:val="32"/>
          <w:shd w:fill="DBDBDB" w:val="clear"/>
        </w:rPr>
      </w:pPr>
      <w:r>
        <w:rPr>
          <w:rFonts w:ascii="Arial" w:hAnsi="Arial" w:cs="Arial" w:eastAsia="Arial"/>
          <w:b/>
          <w:color w:val="auto"/>
          <w:spacing w:val="0"/>
          <w:position w:val="0"/>
          <w:sz w:val="32"/>
          <w:shd w:fill="DBDBDB" w:val="clear"/>
        </w:rPr>
        <w:t xml:space="preserve">Chapter Five: Discussion</w:t>
      </w:r>
    </w:p>
    <w:p>
      <w:pPr>
        <w:keepNext w:val="true"/>
        <w:keepLines w:val="true"/>
        <w:spacing w:before="40" w:after="0" w:line="360"/>
        <w:ind w:right="0" w:left="0" w:firstLine="0"/>
        <w:jc w:val="both"/>
        <w:rPr>
          <w:rFonts w:ascii="Arial" w:hAnsi="Arial" w:cs="Arial" w:eastAsia="Arial"/>
          <w:b/>
          <w:color w:val="auto"/>
          <w:spacing w:val="0"/>
          <w:position w:val="0"/>
          <w:sz w:val="28"/>
          <w:shd w:fill="auto" w:val="clear"/>
        </w:rPr>
      </w:pPr>
      <w:r>
        <w:rPr>
          <w:rFonts w:ascii="Arial" w:hAnsi="Arial" w:cs="Arial" w:eastAsia="Arial"/>
          <w:b/>
          <w:color w:val="auto"/>
          <w:spacing w:val="0"/>
          <w:position w:val="0"/>
          <w:sz w:val="28"/>
          <w:shd w:fill="auto" w:val="clear"/>
        </w:rPr>
        <w:t xml:space="preserve">5.1 Introduction</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This chapter discusses the results of the systematic review with respect to the research question, objectives and literature covered in Chapter Two. The synthesis points to the fact that the mental health issues of postgraduate students in the UK are not considered as separate individual disorders. Rather, the interplay between financial insecurity, academic requirements, supervisory relationships and social connection and access is at the structural, institutional, interpersonal and individual level (Moran et al., 2020; Jackman et al., 2022a; Sideropoulos et al., 2022). There was more evidence of anxiety, depression and psychological distress than there was of specific estimates of financial stress of the postgraduate graduates or the efficacy of specific interventions.</w:t>
      </w:r>
    </w:p>
    <w:p>
      <w:pPr>
        <w:keepNext w:val="true"/>
        <w:keepLines w:val="true"/>
        <w:spacing w:before="40" w:after="0" w:line="360"/>
        <w:ind w:right="0" w:left="0" w:firstLine="0"/>
        <w:jc w:val="both"/>
        <w:rPr>
          <w:rFonts w:ascii="Arial" w:hAnsi="Arial" w:cs="Arial" w:eastAsia="Arial"/>
          <w:b/>
          <w:color w:val="auto"/>
          <w:spacing w:val="0"/>
          <w:position w:val="0"/>
          <w:sz w:val="28"/>
          <w:shd w:fill="auto" w:val="clear"/>
        </w:rPr>
      </w:pPr>
      <w:r>
        <w:rPr>
          <w:rFonts w:ascii="Arial" w:hAnsi="Arial" w:cs="Arial" w:eastAsia="Arial"/>
          <w:b/>
          <w:color w:val="auto"/>
          <w:spacing w:val="0"/>
          <w:position w:val="0"/>
          <w:sz w:val="28"/>
          <w:shd w:fill="auto" w:val="clear"/>
        </w:rPr>
        <w:t xml:space="preserve">5.2 Financial Stress and Cost-of-Living Pressures</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The findings offer direction of evidence for RO1 and RO2, but are not sufficient to give a credible measure of financial stress among all students in the UK at postgraduate level. Both Hosseinpur et al. (2023) and White et al. (2024) cite funding and financial difficulty as factors related to depressive symptoms among international postgraduates and financial and time pressures as structural inequalities for postgraduate researcher wellbeing, respectively. The findings align with the broader literature discussed in Chapter Two, which found that ONS (2023a) found that higher-education students had high cost of living pressures. The percentages reported by the ONS should not be viewed as prevalence estimates for postgraduates, however, because the sample was not postgraduate-specific.</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One of the interesting consequences is that the financial stress should not be boiled down to a budgeting capacity. Funding insecurity might manifest as: accommodation issues, more paid work, less time in studies, less access to food and transport, and lack of continuation (Coupe and Pereira, 2026; Lewis and Stiebahl, 2025; Department for Education, 2021b). This fits with the adapted social determinants framework within this dissertation that frames funding, housing, fees and work conditions as structural determinants of mental health. However, the majority of the studies included measured financial hardship as one of several primary exposures rather than as a standardised primary exposure. The association is thus valid, but the strength of the association and the cause and effect between the two are unknown. Further longitudinal studies specific to the postgraduate level are needed before causal links can be established between increasing financial difficulties and decreasing mental well-being.</w:t>
      </w:r>
    </w:p>
    <w:p>
      <w:pPr>
        <w:keepNext w:val="true"/>
        <w:keepLines w:val="true"/>
        <w:spacing w:before="40" w:after="0" w:line="360"/>
        <w:ind w:right="0" w:left="0" w:firstLine="0"/>
        <w:jc w:val="both"/>
        <w:rPr>
          <w:rFonts w:ascii="Arial" w:hAnsi="Arial" w:cs="Arial" w:eastAsia="Arial"/>
          <w:b/>
          <w:color w:val="auto"/>
          <w:spacing w:val="0"/>
          <w:position w:val="0"/>
          <w:sz w:val="28"/>
          <w:shd w:fill="auto" w:val="clear"/>
        </w:rPr>
      </w:pPr>
      <w:r>
        <w:rPr>
          <w:rFonts w:ascii="Arial" w:hAnsi="Arial" w:cs="Arial" w:eastAsia="Arial"/>
          <w:b/>
          <w:color w:val="auto"/>
          <w:spacing w:val="0"/>
          <w:position w:val="0"/>
          <w:sz w:val="28"/>
          <w:shd w:fill="auto" w:val="clear"/>
        </w:rPr>
        <w:t xml:space="preserve">5.3 Academic, Supervisory and Social Determinants</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The second key finding is that there is a strong sense of postgraduate mental health being ‘embedded’ within the academic and relational context. “Workload”, “Isolation”, “Uncertainty”, “Departmental climate”, “Supervision”, and “Belonging” emerged as risk or protective factors in the included studies many times (Jackman et al., 2023; Gower et al., 2024; Gower and Clegg, 2021). Supervisory relationship characteristics as a predictor of Doctoral students' depression, anxiety and stress (Akram et al., 2020; Mavrogalou-Foti et al., 2024; Office for National Statistics, 2025; NCISH, 2025) and Hazell et al. (2025) demonstrated qualitatively that supervision can either trigger, exacerbate or have a protective effect on the mental health of Doctoral students depending on the quality of the supervisory relationship. Similarly, among the post-graduate taught students, Marshall et al. (2026) found communication, academic pressure, isolation and support to be important influences.</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These results reinforce the need to move beyond just counselling to addressing mental health needs before they arise. Institutional conditions such as supervision, workload and research cultures can be part of prevention. But caution must be used in interpreting the causal relationships. Many of the findings were cross-sectional and self-reported, meaning that relationships with the supervisor and/or department may have been negatively perceived by distressed students, and vice versa; that poor relationships may have increased distress. One conclusion that is most defensible is one of interaction, rather than a one-way cause. This is aligned with the social determinant’s framework, where institutional and interpersonal factors are not considered to be independent factors, but rather interconnected.</w:t>
      </w:r>
    </w:p>
    <w:p>
      <w:pPr>
        <w:keepNext w:val="true"/>
        <w:keepLines w:val="true"/>
        <w:spacing w:before="40" w:after="0" w:line="360"/>
        <w:ind w:right="0" w:left="0" w:firstLine="0"/>
        <w:jc w:val="both"/>
        <w:rPr>
          <w:rFonts w:ascii="Arial" w:hAnsi="Arial" w:cs="Arial" w:eastAsia="Arial"/>
          <w:b/>
          <w:color w:val="auto"/>
          <w:spacing w:val="0"/>
          <w:position w:val="0"/>
          <w:sz w:val="28"/>
          <w:shd w:fill="auto" w:val="clear"/>
        </w:rPr>
      </w:pPr>
      <w:r>
        <w:rPr>
          <w:rFonts w:ascii="Arial" w:hAnsi="Arial" w:cs="Arial" w:eastAsia="Arial"/>
          <w:b/>
          <w:color w:val="auto"/>
          <w:spacing w:val="0"/>
          <w:position w:val="0"/>
          <w:sz w:val="28"/>
          <w:shd w:fill="auto" w:val="clear"/>
        </w:rPr>
        <w:t xml:space="preserve">5.4 Mental Health Outcomes and Academic Functioning</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RO3 got the highest level of support. Anxiety, depression and psychological distress were consistently reported in national, multi-university and institutional PG samples. In one international PGT sample, Hosseinpur et al. (2023) reported a 34.6% positive depression-screening rate, and Moss et al. (2022) found that high levels of psychological distress occurred among postgraduate researchers. The estimates should not be aggregated, however, due to the differences in population, measures, thresholds, and contexts in the studies. The review confirms a clear trend of high levels of mental health need, not a single prevalence rate for mental health across the UK for postgraduates.</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Berry, Niven and Hazell (2023) found that depression, anxiety and suicidality were associated with problems attending the college, missing one or more of the semesters, presenteeism, and intention to leave doctoral study. This reinforces the public-health and education value of postgraduate mental health (as low wellbeing could impact participation, productivity and persistence). It is important to note that there is a distinction between intention to leave and actual attrition, as well as that observational associations do not provide proof of a cause-and-effect relationship. These restrictions highlight the importance of being mindful of functional outcomes when interpreting and recognising the close relationship between mental health and academic functioning.</w:t>
      </w:r>
    </w:p>
    <w:p>
      <w:pPr>
        <w:keepNext w:val="true"/>
        <w:keepLines w:val="true"/>
        <w:spacing w:before="40" w:after="0" w:line="360"/>
        <w:ind w:right="0" w:left="0" w:firstLine="0"/>
        <w:jc w:val="both"/>
        <w:rPr>
          <w:rFonts w:ascii="Arial" w:hAnsi="Arial" w:cs="Arial" w:eastAsia="Arial"/>
          <w:b/>
          <w:color w:val="auto"/>
          <w:spacing w:val="0"/>
          <w:position w:val="0"/>
          <w:sz w:val="28"/>
          <w:shd w:fill="auto" w:val="clear"/>
        </w:rPr>
      </w:pPr>
      <w:r>
        <w:rPr>
          <w:rFonts w:ascii="Arial" w:hAnsi="Arial" w:cs="Arial" w:eastAsia="Arial"/>
          <w:b/>
          <w:color w:val="auto"/>
          <w:spacing w:val="0"/>
          <w:position w:val="0"/>
          <w:sz w:val="28"/>
          <w:shd w:fill="auto" w:val="clear"/>
        </w:rPr>
        <w:t xml:space="preserve">5.5 Help-Seeking and Institutional Responses</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Support for RO4 was found for the most part in promising, but less developed, evidence. Moss et al. (2022) demonstrated that students with lower wellbeing do not necessarily seek support, and Berry et al. (2021) identified stigma and discrimination in the postgraduate research culture. This indicates that access is greater than simply providing services. Students need to identify the need, accept the pathway and view the support as acceptable and safe (Lane and De Wilde, 2018; Gooding et al., 2023).</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There is evidence supporting a multi-level, as opposed to single-service, intervention response. Homer et al. (2021) found that a programme which was preventive and peer-led was well accepted, and Casey et al. (2024b) showed that doctorate-specific support was well received. This also highlighted the role of supervisors as signposting and relational supports (Hazell et al., 2025) and institutional communication for the wellbeing of PGTs (Marshall et al., 2026). These studies, however, fall short in showing reductions in anxiety or depression over time, but rather, their feasibility, acceptability, or perceived usefulness. Therefore, counselling and peer support and/or resilience-based approaches should not be offered as alternatives to lowering financial, workload or cultural stressors.</w:t>
      </w:r>
    </w:p>
    <w:p>
      <w:pPr>
        <w:keepNext w:val="true"/>
        <w:keepLines w:val="true"/>
        <w:spacing w:before="40" w:after="0" w:line="360"/>
        <w:ind w:right="0" w:left="0" w:firstLine="0"/>
        <w:jc w:val="both"/>
        <w:rPr>
          <w:rFonts w:ascii="Arial" w:hAnsi="Arial" w:cs="Arial" w:eastAsia="Arial"/>
          <w:b/>
          <w:color w:val="auto"/>
          <w:spacing w:val="0"/>
          <w:position w:val="0"/>
          <w:sz w:val="28"/>
          <w:shd w:fill="auto" w:val="clear"/>
        </w:rPr>
      </w:pPr>
      <w:r>
        <w:rPr>
          <w:rFonts w:ascii="Arial" w:hAnsi="Arial" w:cs="Arial" w:eastAsia="Arial"/>
          <w:b/>
          <w:color w:val="auto"/>
          <w:spacing w:val="0"/>
          <w:position w:val="0"/>
          <w:sz w:val="28"/>
          <w:shd w:fill="auto" w:val="clear"/>
        </w:rPr>
        <w:t xml:space="preserve">5.6 Interpretation Using the Adapted Social Determinants of Mental Health Framework</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The results may be understood in the context of the adapted Social Determinants of Mental Health framework outlined in Chapter Two. Structural pressures (funding uncertainty, increasing living expenses, etc.) combine with institutional issues (workload, research culture/supervision, etc.). These factors can impact interpersonal experiences such as belonging, isolation and peer support and can affect how pressures are felt based on individual circumstances and coping. These impacts are seen in terms of anxiety, depression, psychological distress and academic performance. The framework thus suggests that postgraduate mental health can only be addressed at multiple levels of action, and that the responses need to be coordinated between the structural, institutional, interpersonal, and individual levels.</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The synthesis also highlights key areas for future research. There is a lack of research specifically addressing PGT, and subgroup inequalities are not well studied; measures are inconsistent, and most evidence included in the research is cross-sectional. Effectiveness of long-term intervention and structural reform are especially under-evaluated. The overall results corroborate a multilevel interpretation of postgraduate mental health, and serve as the basis for the recommendations in Chapter Six.</w:t>
      </w:r>
    </w:p>
    <w:p>
      <w:pPr>
        <w:keepNext w:val="true"/>
        <w:keepLines w:val="true"/>
        <w:spacing w:before="40" w:after="0" w:line="360"/>
        <w:ind w:right="0" w:left="0" w:firstLine="0"/>
        <w:jc w:val="both"/>
        <w:rPr>
          <w:rFonts w:ascii="Arial" w:hAnsi="Arial" w:cs="Arial" w:eastAsia="Arial"/>
          <w:b/>
          <w:color w:val="auto"/>
          <w:spacing w:val="0"/>
          <w:position w:val="0"/>
          <w:sz w:val="28"/>
          <w:shd w:fill="auto" w:val="clear"/>
        </w:rPr>
      </w:pPr>
      <w:r>
        <w:rPr>
          <w:rFonts w:ascii="Arial" w:hAnsi="Arial" w:cs="Arial" w:eastAsia="Arial"/>
          <w:b/>
          <w:color w:val="auto"/>
          <w:spacing w:val="0"/>
          <w:position w:val="0"/>
          <w:sz w:val="28"/>
          <w:shd w:fill="auto" w:val="clear"/>
        </w:rPr>
        <w:t xml:space="preserve">5.7 Strengths and Limitations of the Review</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A key strength of this review is its systematic and transparent approach, which utilises a strict set of eligibility criteria, PRISMA methodology for study selection, design-specific critical appraisal and synthesis of quantitative, qualitative and mixed-method evidence. The review also separates out PGT and PGR evidence and also takes into account the financial, academic, social and institutional determinants in conjunction. There were limitations, however, such as the small number of studies specific to PGT, the majority of which were cross-sectional, and the lack of consistency in outcome measures and overlap between some of the cohorts linked to the studies. Due to significant heterogeneity, the review was restricted to evidence in the English language and was not a meta-analysis. The restrictions make causal interpretations difficult and limit generalisability of results to the whole population of all groups of postgraduate students in the UK.</w:t>
      </w:r>
    </w:p>
    <w:p>
      <w:pPr>
        <w:spacing w:before="0" w:after="160" w:line="259"/>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 </w:t>
      </w:r>
    </w:p>
    <w:p>
      <w:pPr>
        <w:spacing w:before="0" w:after="160" w:line="259"/>
        <w:ind w:right="0" w:left="0" w:firstLine="0"/>
        <w:jc w:val="left"/>
        <w:rPr>
          <w:rFonts w:ascii="Arial" w:hAnsi="Arial" w:cs="Arial" w:eastAsia="Arial"/>
          <w:color w:val="auto"/>
          <w:spacing w:val="0"/>
          <w:position w:val="0"/>
          <w:sz w:val="22"/>
          <w:shd w:fill="auto" w:val="clear"/>
        </w:rPr>
      </w:pPr>
    </w:p>
    <w:p>
      <w:pPr>
        <w:keepNext w:val="true"/>
        <w:keepLines w:val="true"/>
        <w:spacing w:before="240" w:after="240" w:line="276"/>
        <w:ind w:right="0" w:left="0" w:firstLine="0"/>
        <w:jc w:val="center"/>
        <w:rPr>
          <w:rFonts w:ascii="Arial" w:hAnsi="Arial" w:cs="Arial" w:eastAsia="Arial"/>
          <w:b/>
          <w:color w:val="auto"/>
          <w:spacing w:val="0"/>
          <w:position w:val="0"/>
          <w:sz w:val="32"/>
          <w:shd w:fill="DBDBDB" w:val="clear"/>
        </w:rPr>
      </w:pPr>
      <w:r>
        <w:rPr>
          <w:rFonts w:ascii="Arial" w:hAnsi="Arial" w:cs="Arial" w:eastAsia="Arial"/>
          <w:b/>
          <w:color w:val="auto"/>
          <w:spacing w:val="0"/>
          <w:position w:val="0"/>
          <w:sz w:val="32"/>
          <w:shd w:fill="DBDBDB" w:val="clear"/>
        </w:rPr>
        <w:t xml:space="preserve">Chapter Six: Conclusion and Recommendations</w:t>
      </w:r>
    </w:p>
    <w:p>
      <w:pPr>
        <w:keepNext w:val="true"/>
        <w:keepLines w:val="true"/>
        <w:spacing w:before="40" w:after="0" w:line="360"/>
        <w:ind w:right="0" w:left="0" w:firstLine="0"/>
        <w:jc w:val="both"/>
        <w:rPr>
          <w:rFonts w:ascii="Arial" w:hAnsi="Arial" w:cs="Arial" w:eastAsia="Arial"/>
          <w:b/>
          <w:color w:val="auto"/>
          <w:spacing w:val="0"/>
          <w:position w:val="0"/>
          <w:sz w:val="28"/>
          <w:shd w:fill="auto" w:val="clear"/>
        </w:rPr>
      </w:pPr>
      <w:r>
        <w:rPr>
          <w:rFonts w:ascii="Arial" w:hAnsi="Arial" w:cs="Arial" w:eastAsia="Arial"/>
          <w:b/>
          <w:color w:val="auto"/>
          <w:spacing w:val="0"/>
          <w:position w:val="0"/>
          <w:sz w:val="28"/>
          <w:shd w:fill="auto" w:val="clear"/>
        </w:rPr>
        <w:t xml:space="preserve">6.1 Introduction</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This chapter wraps up the systematic review and summarises the key findings of the review in relation to mental health problems experienced by postgraduate students in the United Kingdom. It is designed to answer the research question, reflect on the four research objectives, offer recommendations for practice and policy, outline the limitations and priorities for further study, and summarise the contribution of the study.</w:t>
      </w:r>
    </w:p>
    <w:p>
      <w:pPr>
        <w:keepNext w:val="true"/>
        <w:keepLines w:val="true"/>
        <w:spacing w:before="40" w:after="0" w:line="360"/>
        <w:ind w:right="0" w:left="0" w:firstLine="0"/>
        <w:jc w:val="both"/>
        <w:rPr>
          <w:rFonts w:ascii="Arial" w:hAnsi="Arial" w:cs="Arial" w:eastAsia="Arial"/>
          <w:b/>
          <w:color w:val="auto"/>
          <w:spacing w:val="0"/>
          <w:position w:val="0"/>
          <w:sz w:val="28"/>
          <w:shd w:fill="auto" w:val="clear"/>
        </w:rPr>
      </w:pPr>
      <w:r>
        <w:rPr>
          <w:rFonts w:ascii="Arial" w:hAnsi="Arial" w:cs="Arial" w:eastAsia="Arial"/>
          <w:b/>
          <w:color w:val="auto"/>
          <w:spacing w:val="0"/>
          <w:position w:val="0"/>
          <w:sz w:val="28"/>
          <w:shd w:fill="auto" w:val="clear"/>
        </w:rPr>
        <w:t xml:space="preserve">6.2 Overall Conclusion and Answer to the Research Question</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The review identified multiple interrelated pressures that contribute to mental health issues of UK postgraduates, rather than a single cause. Financial insecurity, increasing living costs, academic workload, supervisory relationships, social isolation and problems getting the right support were repeatedly linked across the three measures to anxiety, depression and other psychological distress. These pressures can also have an impact on academic engagement, wellbeing and progression. The evidence thus confirms that merely individual coping strategies or counseling will not be sufficient to be effective solutions. Rather, universities and services should approach the issue in a coordinated way, taking care of not only the financial aspects, but also the academic, relational and service-level determinants, as well as access to a psychological support system. The overall question was answered by confirming that the combined effect of structural and institutional pressures had an impact on postgraduate mental health, and that this needed multi-level responses based on evidence.</w:t>
      </w:r>
    </w:p>
    <w:p>
      <w:pPr>
        <w:keepNext w:val="true"/>
        <w:keepLines w:val="true"/>
        <w:spacing w:before="40" w:after="0" w:line="360"/>
        <w:ind w:right="0" w:left="0" w:firstLine="0"/>
        <w:jc w:val="both"/>
        <w:rPr>
          <w:rFonts w:ascii="Arial" w:hAnsi="Arial" w:cs="Arial" w:eastAsia="Arial"/>
          <w:b/>
          <w:color w:val="auto"/>
          <w:spacing w:val="0"/>
          <w:position w:val="0"/>
          <w:sz w:val="28"/>
          <w:shd w:fill="auto" w:val="clear"/>
        </w:rPr>
      </w:pPr>
      <w:r>
        <w:rPr>
          <w:rFonts w:ascii="Arial" w:hAnsi="Arial" w:cs="Arial" w:eastAsia="Arial"/>
          <w:b/>
          <w:color w:val="auto"/>
          <w:spacing w:val="0"/>
          <w:position w:val="0"/>
          <w:sz w:val="28"/>
          <w:shd w:fill="auto" w:val="clear"/>
        </w:rPr>
        <w:t xml:space="preserve">6.3 Conclusions Against the Research Objectives</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The first goal was accomplished by establishing financial stress as an important factor related to anxiety, depression, and psychological distress. The second goal was achieved by illustrating the impact of housing, food, and utilities expenses on financial security and the negative effects on wellbeing. To achieve the third goal, synthesis of evidence indicated high levels of anxiety, depression and distress, with estimates ranging due to variation in populations, measures and designs of the studies. The fourth objective was fulfilled through the identification of practical responses which involve a mix of financial support, better supervision, peer connection, easily accessible mental health services and clearer pathways to support help-seeking.</w:t>
      </w:r>
    </w:p>
    <w:p>
      <w:pPr>
        <w:keepNext w:val="true"/>
        <w:keepLines w:val="true"/>
        <w:spacing w:before="40" w:after="0" w:line="360"/>
        <w:ind w:right="0" w:left="0" w:firstLine="0"/>
        <w:jc w:val="both"/>
        <w:rPr>
          <w:rFonts w:ascii="Arial" w:hAnsi="Arial" w:cs="Arial" w:eastAsia="Arial"/>
          <w:b/>
          <w:color w:val="auto"/>
          <w:spacing w:val="0"/>
          <w:position w:val="0"/>
          <w:sz w:val="28"/>
          <w:shd w:fill="auto" w:val="clear"/>
        </w:rPr>
      </w:pPr>
      <w:r>
        <w:rPr>
          <w:rFonts w:ascii="Arial" w:hAnsi="Arial" w:cs="Arial" w:eastAsia="Arial"/>
          <w:b/>
          <w:color w:val="auto"/>
          <w:spacing w:val="0"/>
          <w:position w:val="0"/>
          <w:sz w:val="28"/>
          <w:shd w:fill="auto" w:val="clear"/>
        </w:rPr>
        <w:t xml:space="preserve">6.4 Recommendations for Practice and Policy</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Postgraduate-specific mental health pathways should be created at universities to identify, refer, and provide easy access to mental health support. There needs to be hardship funding as part of financial wellbeing provision, financial guidance, and clear communication about the support available. Supervisory practice should involve supportive communication, mental health awareness and signposting, and effective signposting to specialist services for PG researchers. Universities should also enhance peer-support opportunities, belonging and social connection; and strengthen the co-ordination between University wellbeing services and NHS pathways. The measures should be put in place simultaneously as the evidence shows that postgraduate distress is generated by the interaction between financial, academic, social and institutional factors.</w:t>
      </w:r>
    </w:p>
    <w:p>
      <w:pPr>
        <w:keepNext w:val="true"/>
        <w:keepLines w:val="true"/>
        <w:spacing w:before="40" w:after="0" w:line="360"/>
        <w:ind w:right="0" w:left="0" w:firstLine="0"/>
        <w:jc w:val="both"/>
        <w:rPr>
          <w:rFonts w:ascii="Arial" w:hAnsi="Arial" w:cs="Arial" w:eastAsia="Arial"/>
          <w:b/>
          <w:color w:val="auto"/>
          <w:spacing w:val="0"/>
          <w:position w:val="0"/>
          <w:sz w:val="28"/>
          <w:shd w:fill="auto" w:val="clear"/>
        </w:rPr>
      </w:pPr>
      <w:r>
        <w:rPr>
          <w:rFonts w:ascii="Arial" w:hAnsi="Arial" w:cs="Arial" w:eastAsia="Arial"/>
          <w:b/>
          <w:color w:val="auto"/>
          <w:spacing w:val="0"/>
          <w:position w:val="0"/>
          <w:sz w:val="28"/>
          <w:shd w:fill="auto" w:val="clear"/>
        </w:rPr>
        <w:t xml:space="preserve">6.5 Future Research</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Future studies in the UK should consider PGT and PGR populations individually, explore differences between demographic and social groups, and, where possible, use a longitudinal or multi-university study design. The benefits of institutional, financial and support interventions in terms of sustained improvements in mental health, academic function, and retention should also be assessed.</w:t>
      </w:r>
    </w:p>
    <w:p>
      <w:pPr>
        <w:keepNext w:val="true"/>
        <w:keepLines w:val="true"/>
        <w:spacing w:before="40" w:after="0" w:line="360"/>
        <w:ind w:right="0" w:left="0" w:firstLine="0"/>
        <w:jc w:val="both"/>
        <w:rPr>
          <w:rFonts w:ascii="Arial" w:hAnsi="Arial" w:cs="Arial" w:eastAsia="Arial"/>
          <w:b/>
          <w:color w:val="auto"/>
          <w:spacing w:val="0"/>
          <w:position w:val="0"/>
          <w:sz w:val="28"/>
          <w:shd w:fill="auto" w:val="clear"/>
        </w:rPr>
      </w:pPr>
      <w:r>
        <w:rPr>
          <w:rFonts w:ascii="Arial" w:hAnsi="Arial" w:cs="Arial" w:eastAsia="Arial"/>
          <w:b/>
          <w:color w:val="auto"/>
          <w:spacing w:val="0"/>
          <w:position w:val="0"/>
          <w:sz w:val="28"/>
          <w:shd w:fill="auto" w:val="clear"/>
        </w:rPr>
        <w:t xml:space="preserve">6.6 Contribution and Final Conclusion</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This review provides a combined synthesis of financial, academic, supervisory, social and service-related factors impacting post-graduate mental health in the UK. Through a multilevel social-determinants lens, it establishes that distress is not just a result of individual factors alone but a product of the interplay of structural, institutional and interpersonal conditions. For sustainable improvement, coordinated prevention, financial support, supportive academic environments and peer connections, and accessible mental health services are needed. The review also calls for more robust evidence on PGT-specific and longitudinal evidence that can inform future policy and practice.</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 </w:t>
      </w:r>
    </w:p>
    <w:p>
      <w:pPr>
        <w:spacing w:before="0" w:after="160" w:line="360"/>
        <w:ind w:right="0" w:left="0" w:firstLine="0"/>
        <w:jc w:val="both"/>
        <w:rPr>
          <w:rFonts w:ascii="Arial" w:hAnsi="Arial" w:cs="Arial" w:eastAsia="Arial"/>
          <w:color w:val="auto"/>
          <w:spacing w:val="0"/>
          <w:position w:val="0"/>
          <w:sz w:val="22"/>
          <w:shd w:fill="auto" w:val="clear"/>
        </w:rPr>
      </w:pPr>
    </w:p>
    <w:p>
      <w:pPr>
        <w:keepNext w:val="true"/>
        <w:keepLines w:val="true"/>
        <w:spacing w:before="240" w:after="240" w:line="276"/>
        <w:ind w:right="0" w:left="0" w:firstLine="0"/>
        <w:jc w:val="center"/>
        <w:rPr>
          <w:rFonts w:ascii="Arial" w:hAnsi="Arial" w:cs="Arial" w:eastAsia="Arial"/>
          <w:b/>
          <w:color w:val="auto"/>
          <w:spacing w:val="0"/>
          <w:position w:val="0"/>
          <w:sz w:val="32"/>
          <w:shd w:fill="DBDBDB" w:val="clear"/>
        </w:rPr>
      </w:pPr>
      <w:r>
        <w:rPr>
          <w:rFonts w:ascii="Arial" w:hAnsi="Arial" w:cs="Arial" w:eastAsia="Arial"/>
          <w:b/>
          <w:color w:val="auto"/>
          <w:spacing w:val="0"/>
          <w:position w:val="0"/>
          <w:sz w:val="32"/>
          <w:shd w:fill="DBDBDB" w:val="clear"/>
        </w:rPr>
        <w:t xml:space="preserve">Reference list</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Akram, U., Drabble, J., Irvine, K.R., Allen, S., Akram, A., Stevenson, J.C. and Gardani, M. (2025) ‘Prevalence and psychiatric correlates of loneliness in UK university students’, npj Mental Health Research, 4, Article 45, pp. 1-7. Available at: </w:t>
      </w:r>
      <w:hyperlink xmlns:r="http://schemas.openxmlformats.org/officeDocument/2006/relationships" r:id="docRId6">
        <w:r>
          <w:rPr>
            <w:rFonts w:ascii="Arial" w:hAnsi="Arial" w:cs="Arial" w:eastAsia="Arial"/>
            <w:color w:val="0000FF"/>
            <w:spacing w:val="0"/>
            <w:position w:val="0"/>
            <w:sz w:val="22"/>
            <w:u w:val="single"/>
            <w:shd w:fill="auto" w:val="clear"/>
          </w:rPr>
          <w:t xml:space="preserve">https://doi.org/10.1038/s44184-025-00144-8</w:t>
        </w:r>
      </w:hyperlink>
      <w:r>
        <w:rPr>
          <w:rFonts w:ascii="Arial" w:hAnsi="Arial" w:cs="Arial" w:eastAsia="Arial"/>
          <w:color w:val="auto"/>
          <w:spacing w:val="0"/>
          <w:position w:val="0"/>
          <w:sz w:val="22"/>
          <w:shd w:fill="auto" w:val="clear"/>
        </w:rPr>
        <w:t xml:space="preserve"> </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Akram, U., Irvine, K., Gardani, M., Allen, S., Akram, A. and Stevenson, J.C. (2023). Prevalence of anxiety, depression, mania, insomnia, stress, suicidal ideation, psychotic experiences, &amp; loneliness in UK university students. </w:t>
      </w:r>
      <w:r>
        <w:rPr>
          <w:rFonts w:ascii="Arial" w:hAnsi="Arial" w:cs="Arial" w:eastAsia="Arial"/>
          <w:i/>
          <w:color w:val="auto"/>
          <w:spacing w:val="0"/>
          <w:position w:val="0"/>
          <w:sz w:val="22"/>
          <w:shd w:fill="auto" w:val="clear"/>
        </w:rPr>
        <w:t xml:space="preserve">Scientific Data</w:t>
      </w:r>
      <w:r>
        <w:rPr>
          <w:rFonts w:ascii="Arial" w:hAnsi="Arial" w:cs="Arial" w:eastAsia="Arial"/>
          <w:color w:val="auto"/>
          <w:spacing w:val="0"/>
          <w:position w:val="0"/>
          <w:sz w:val="22"/>
          <w:shd w:fill="auto" w:val="clear"/>
        </w:rPr>
        <w:t xml:space="preserve">, 10(1). doi:https://doi.org/10.1038/s41597-023-02520-5.</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Akram, U., Ypsilanti, A., Gardani, M., Irvine, K., Allen, S., Akram, A., Drabble, J., Bickle, E., Kaye, L., Lipinski, D., Matuszyk, E., Sarlak, H. and Lazuras, L. (2020) 'Prevalence and psychiatric correlates of suicidal ideation in UK university students', Journal of Affective Disorders, 272, pp. 191-197. doi: 10.1016/j.jad.2020.03.185. Available at: </w:t>
      </w:r>
      <w:hyperlink xmlns:r="http://schemas.openxmlformats.org/officeDocument/2006/relationships" r:id="docRId7">
        <w:r>
          <w:rPr>
            <w:rFonts w:ascii="Arial" w:hAnsi="Arial" w:cs="Arial" w:eastAsia="Arial"/>
            <w:color w:val="0000FF"/>
            <w:spacing w:val="0"/>
            <w:position w:val="0"/>
            <w:sz w:val="22"/>
            <w:u w:val="single"/>
            <w:shd w:fill="auto" w:val="clear"/>
          </w:rPr>
          <w:t xml:space="preserve">https://doi.org/10.1016/j.jad.2020.03.185</w:t>
        </w:r>
      </w:hyperlink>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Aldubaybi, A.A., Coneyworth, L.J. and Jethwa, P.H. (2024) 'Assessing the prevalence and potential drivers of food insecurity and the relationship with mental wellbeing in UK university students: A cross-sectional study', Nutrition Bulletin, 49(1), pp. 96-107. doi: 10.1111/nbu.12662. Available at: </w:t>
      </w:r>
      <w:hyperlink xmlns:r="http://schemas.openxmlformats.org/officeDocument/2006/relationships" r:id="docRId8">
        <w:r>
          <w:rPr>
            <w:rFonts w:ascii="Arial" w:hAnsi="Arial" w:cs="Arial" w:eastAsia="Arial"/>
            <w:color w:val="0000FF"/>
            <w:spacing w:val="0"/>
            <w:position w:val="0"/>
            <w:sz w:val="22"/>
            <w:u w:val="single"/>
            <w:shd w:fill="auto" w:val="clear"/>
          </w:rPr>
          <w:t xml:space="preserve">https://doi.org/10.1111/nbu.12662</w:t>
        </w:r>
      </w:hyperlink>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Alsubaie, M.M., Stain, H.J., Webster, L.A.D. and Wadman, R. (2019) 'The role of sources of social support on depression and quality of life for university students', International Journal of Adolescence and Youth, 24(4), pp. 484-496. doi: 10.1080/02673843.2019.1568887. Available at: </w:t>
      </w:r>
      <w:hyperlink xmlns:r="http://schemas.openxmlformats.org/officeDocument/2006/relationships" r:id="docRId9">
        <w:r>
          <w:rPr>
            <w:rFonts w:ascii="Arial" w:hAnsi="Arial" w:cs="Arial" w:eastAsia="Arial"/>
            <w:color w:val="0000FF"/>
            <w:spacing w:val="0"/>
            <w:position w:val="0"/>
            <w:sz w:val="22"/>
            <w:u w:val="single"/>
            <w:shd w:fill="auto" w:val="clear"/>
          </w:rPr>
          <w:t xml:space="preserve">https://doi.org/10.1080/02673843.2019.1568887</w:t>
        </w:r>
      </w:hyperlink>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Aromataris, E., Lockwood, C., Porritt, K., Pilla, B. and Jordan, Z. (eds.) (2024) JBI Manual for Evidence Synthesis. Adelaide: JBI. doi: 10.46658/JBIMES-24-01.</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Aveyard, H. (2023) Doing a Literature Review in Health and Social Care: A Practical Guide. 5th edn. Maidenhead: Open University Press.</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Barnett, P., Arundell, L-L., Matthews, H., Saunders, R. and Pilling, S. (2021b) ‘“Five hours to sort out your life”: Qualitative study of the experiences of university students who access mental health support’, BJPsych Open, 7(4), e118. Available at: </w:t>
      </w:r>
      <w:hyperlink xmlns:r="http://schemas.openxmlformats.org/officeDocument/2006/relationships" r:id="docRId10">
        <w:r>
          <w:rPr>
            <w:rFonts w:ascii="Arial" w:hAnsi="Arial" w:cs="Arial" w:eastAsia="Arial"/>
            <w:color w:val="0000FF"/>
            <w:spacing w:val="0"/>
            <w:position w:val="0"/>
            <w:sz w:val="22"/>
            <w:u w:val="single"/>
            <w:shd w:fill="auto" w:val="clear"/>
          </w:rPr>
          <w:t xml:space="preserve">https://doi.org/10.1192/bjo.2021.947</w:t>
        </w:r>
      </w:hyperlink>
      <w:r>
        <w:rPr>
          <w:rFonts w:ascii="Arial" w:hAnsi="Arial" w:cs="Arial" w:eastAsia="Arial"/>
          <w:color w:val="auto"/>
          <w:spacing w:val="0"/>
          <w:position w:val="0"/>
          <w:sz w:val="22"/>
          <w:shd w:fill="auto" w:val="clear"/>
        </w:rPr>
        <w:t xml:space="preserve"> </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Barnett, P., Arundell, L-L., Saunders, R., Matthews, H. and Pilling, S. (2021a) ‘The efficacy of psychological interventions for the prevention and treatment of mental health disorders in university students: A systematic review and meta-analysis’, Journal of Affective Disorders, 280, pp. 381-406. Available at: </w:t>
      </w:r>
      <w:hyperlink xmlns:r="http://schemas.openxmlformats.org/officeDocument/2006/relationships" r:id="docRId11">
        <w:r>
          <w:rPr>
            <w:rFonts w:ascii="Arial" w:hAnsi="Arial" w:cs="Arial" w:eastAsia="Arial"/>
            <w:color w:val="0000FF"/>
            <w:spacing w:val="0"/>
            <w:position w:val="0"/>
            <w:sz w:val="22"/>
            <w:u w:val="single"/>
            <w:shd w:fill="auto" w:val="clear"/>
          </w:rPr>
          <w:t xml:space="preserve">https://doi.org/10.1016/j.jad.2020.10.060</w:t>
        </w:r>
      </w:hyperlink>
      <w:r>
        <w:rPr>
          <w:rFonts w:ascii="Arial" w:hAnsi="Arial" w:cs="Arial" w:eastAsia="Arial"/>
          <w:color w:val="auto"/>
          <w:spacing w:val="0"/>
          <w:position w:val="0"/>
          <w:sz w:val="22"/>
          <w:shd w:fill="auto" w:val="clear"/>
        </w:rPr>
        <w:t xml:space="preserve"> </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Bennett, J., Heron, J., Gunnell, D., Purdy, S. and Linton, M.-J. (2022) 'The impact of the COVID-19 pandemic on student mental health and wellbeing in UK university students: a multiyear cross-sectional analysis', Journal of Mental Health, 31(4), pp. 597-604. doi: 10.1080/09638237.2022.2091766. Available at: </w:t>
      </w:r>
      <w:hyperlink xmlns:r="http://schemas.openxmlformats.org/officeDocument/2006/relationships" r:id="docRId12">
        <w:r>
          <w:rPr>
            <w:rFonts w:ascii="Arial" w:hAnsi="Arial" w:cs="Arial" w:eastAsia="Arial"/>
            <w:color w:val="0000FF"/>
            <w:spacing w:val="0"/>
            <w:position w:val="0"/>
            <w:sz w:val="22"/>
            <w:u w:val="single"/>
            <w:shd w:fill="auto" w:val="clear"/>
          </w:rPr>
          <w:t xml:space="preserve">https://doi.org/10.1080/09638237.2022.2091766</w:t>
        </w:r>
      </w:hyperlink>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Bennett, J., Heron, J., Kidger, J. and Linton, M.-J. (2023). Investigating Change in Student Financial Stress at a UK University: Multi-Year Survey Analysis across a Global Pandemic and Recession. </w:t>
      </w:r>
      <w:r>
        <w:rPr>
          <w:rFonts w:ascii="Arial" w:hAnsi="Arial" w:cs="Arial" w:eastAsia="Arial"/>
          <w:i/>
          <w:color w:val="auto"/>
          <w:spacing w:val="0"/>
          <w:position w:val="0"/>
          <w:sz w:val="22"/>
          <w:shd w:fill="auto" w:val="clear"/>
        </w:rPr>
        <w:t xml:space="preserve">Education Sciences</w:t>
      </w:r>
      <w:r>
        <w:rPr>
          <w:rFonts w:ascii="Arial" w:hAnsi="Arial" w:cs="Arial" w:eastAsia="Arial"/>
          <w:color w:val="auto"/>
          <w:spacing w:val="0"/>
          <w:position w:val="0"/>
          <w:sz w:val="22"/>
          <w:shd w:fill="auto" w:val="clear"/>
        </w:rPr>
        <w:t xml:space="preserve">, [online] 13(12), pp.1175-1175. doi:https://doi.org/10.3390/educsci13121175.</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Berry, C., Niven, J.E. and Hazell, C.M. (2021a) ‘Personal, social and relational predictors of UK postgraduate researcher mental health problems’, BJPsych Open, 7(6), e205. Available at: </w:t>
      </w:r>
      <w:hyperlink xmlns:r="http://schemas.openxmlformats.org/officeDocument/2006/relationships" r:id="docRId13">
        <w:r>
          <w:rPr>
            <w:rFonts w:ascii="Arial" w:hAnsi="Arial" w:cs="Arial" w:eastAsia="Arial"/>
            <w:color w:val="0000FF"/>
            <w:spacing w:val="0"/>
            <w:position w:val="0"/>
            <w:sz w:val="22"/>
            <w:u w:val="single"/>
            <w:shd w:fill="auto" w:val="clear"/>
          </w:rPr>
          <w:t xml:space="preserve">https://doi.org/10.1192/bjo.2021.1041</w:t>
        </w:r>
      </w:hyperlink>
      <w:r>
        <w:rPr>
          <w:rFonts w:ascii="Arial" w:hAnsi="Arial" w:cs="Arial" w:eastAsia="Arial"/>
          <w:color w:val="auto"/>
          <w:spacing w:val="0"/>
          <w:position w:val="0"/>
          <w:sz w:val="22"/>
          <w:shd w:fill="auto" w:val="clear"/>
        </w:rPr>
        <w:t xml:space="preserve"> </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Berry, C., Niven, J.E. and Hazell, C.M. (2023). Predictors of UK postgraduate researcher attendance behaviours and mental health-related attrition intention. </w:t>
      </w:r>
      <w:r>
        <w:rPr>
          <w:rFonts w:ascii="Arial" w:hAnsi="Arial" w:cs="Arial" w:eastAsia="Arial"/>
          <w:i/>
          <w:color w:val="auto"/>
          <w:spacing w:val="0"/>
          <w:position w:val="0"/>
          <w:sz w:val="22"/>
          <w:shd w:fill="auto" w:val="clear"/>
        </w:rPr>
        <w:t xml:space="preserve">Current Psychology</w:t>
      </w:r>
      <w:r>
        <w:rPr>
          <w:rFonts w:ascii="Arial" w:hAnsi="Arial" w:cs="Arial" w:eastAsia="Arial"/>
          <w:color w:val="auto"/>
          <w:spacing w:val="0"/>
          <w:position w:val="0"/>
          <w:sz w:val="22"/>
          <w:shd w:fill="auto" w:val="clear"/>
        </w:rPr>
        <w:t xml:space="preserve">. doi:https://doi.org/10.1007/s12144-022-04055-1.</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Berry, C., Niven, J.E., Chapman, L.A., Valeix, S.F., Roberts, P.E. and Hazell, C.M. (2021b) ‘A mixed-methods investigation of mental health stigma, absenteeism and presenteeism among UK postgraduate researchers’, Studies in Graduate and Postdoctoral Education, 12(1), pp. 145-170. Available at: </w:t>
      </w:r>
      <w:hyperlink xmlns:r="http://schemas.openxmlformats.org/officeDocument/2006/relationships" r:id="docRId14">
        <w:r>
          <w:rPr>
            <w:rFonts w:ascii="Arial" w:hAnsi="Arial" w:cs="Arial" w:eastAsia="Arial"/>
            <w:color w:val="0000FF"/>
            <w:spacing w:val="0"/>
            <w:position w:val="0"/>
            <w:sz w:val="22"/>
            <w:u w:val="single"/>
            <w:shd w:fill="auto" w:val="clear"/>
          </w:rPr>
          <w:t xml:space="preserve">https://doi.org/10.1108/SGPE-06-2020-0034</w:t>
        </w:r>
      </w:hyperlink>
      <w:r>
        <w:rPr>
          <w:rFonts w:ascii="Arial" w:hAnsi="Arial" w:cs="Arial" w:eastAsia="Arial"/>
          <w:color w:val="auto"/>
          <w:spacing w:val="0"/>
          <w:position w:val="0"/>
          <w:sz w:val="22"/>
          <w:shd w:fill="auto" w:val="clear"/>
        </w:rPr>
        <w:t xml:space="preserve"> </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Bisal, N., Brookes-Smith, C., Patel, R., Sharp, S., Lycett, D., Turner, A. and Whelan, M. (2026) 'A cross-sectional study of postgraduate students' mental well-being: Exploring the relationship between mental well-being, perceived stress, academic self-efficacy, and self-efficacy for self-regulated learning', Health Science Reports, 9(5), e72429. doi: 10.1002/hsr2.72429. Available at: </w:t>
      </w:r>
      <w:hyperlink xmlns:r="http://schemas.openxmlformats.org/officeDocument/2006/relationships" r:id="docRId15">
        <w:r>
          <w:rPr>
            <w:rFonts w:ascii="Arial" w:hAnsi="Arial" w:cs="Arial" w:eastAsia="Arial"/>
            <w:color w:val="0000FF"/>
            <w:spacing w:val="0"/>
            <w:position w:val="0"/>
            <w:sz w:val="22"/>
            <w:u w:val="single"/>
            <w:shd w:fill="auto" w:val="clear"/>
          </w:rPr>
          <w:t xml:space="preserve">https://doi.org/10.1002/hsr2.72429</w:t>
        </w:r>
      </w:hyperlink>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Boland, A., Cherry, M.G. and Dickson, R. (eds.) (2017) Doing a Systematic Review: A Student’s Guide. 2nd edn. London: SAGE.</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Booth, A. (2016) ‘Searching for qualitative research for inclusion in systematic reviews: a structured methodological review’, Systematic Reviews, 5, 74. doi: 10.1186/s13643-016-0249-x.</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Booth, A., Sutton, A., Clowes, M. and Martyn-St James, M. (2021) Systematic Approaches to a Successful Literature Review. 3rd edn. London: SAGE.</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Bramer, W.M., Giustini, D., de Jonge, G.B., Holland, L. and Bekhuis, T. (2016) ‘De-duplication of database search results for systematic reviews in EndNote’, Journal of the Medical Library Association, 104(3), pp. 240-243. doi: 10.3163/1536-5050.104.3.014.</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Bramer, W.M., Rethlefsen, M.L., Kleijnen, J. and Franco, O.H. (2017) ‘Optimal database combinations for literature searches in systematic reviews: a prospective exploratory study’, Systematic Reviews, 6, 245. doi: 10.1186/s13643-017-0644-y.</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Braun, V. and Clarke, V. (2021) ‘One size fits all? What counts as quality practice in (reflexive) thematic analysis?’, Qualitative Research in Psychology, 18(3), pp. 328-352. doi: 10.1080/14780887.2020.1769238.</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Broglia, E., Millings, A. and Barkham, M. (2021) ‘Student mental health profiles and barriers to help seeking: When and why students seek help for a mental health concern’, Counselling and Psychotherapy Research, 21(4), pp. 816-826. Available at: </w:t>
      </w:r>
      <w:hyperlink xmlns:r="http://schemas.openxmlformats.org/officeDocument/2006/relationships" r:id="docRId16">
        <w:r>
          <w:rPr>
            <w:rFonts w:ascii="Arial" w:hAnsi="Arial" w:cs="Arial" w:eastAsia="Arial"/>
            <w:color w:val="0000FF"/>
            <w:spacing w:val="0"/>
            <w:position w:val="0"/>
            <w:sz w:val="22"/>
            <w:u w:val="single"/>
            <w:shd w:fill="auto" w:val="clear"/>
          </w:rPr>
          <w:t xml:space="preserve">https://doi.org/10.1002/capr.12462</w:t>
        </w:r>
      </w:hyperlink>
      <w:r>
        <w:rPr>
          <w:rFonts w:ascii="Arial" w:hAnsi="Arial" w:cs="Arial" w:eastAsia="Arial"/>
          <w:color w:val="auto"/>
          <w:spacing w:val="0"/>
          <w:position w:val="0"/>
          <w:sz w:val="22"/>
          <w:shd w:fill="auto" w:val="clear"/>
        </w:rPr>
        <w:t xml:space="preserve"> </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Byrom, N.C., Dinu, L., Kirkman, A. and Hughes, G. (2022) 'Predicting stress and mental wellbeing among doctoral researchers', Journal of Mental Health, 31(6), pp. 783-791. doi: 10.1080/09638237.2020.1818196. Available at: </w:t>
      </w:r>
      <w:hyperlink xmlns:r="http://schemas.openxmlformats.org/officeDocument/2006/relationships" r:id="docRId17">
        <w:r>
          <w:rPr>
            <w:rFonts w:ascii="Arial" w:hAnsi="Arial" w:cs="Arial" w:eastAsia="Arial"/>
            <w:color w:val="0000FF"/>
            <w:spacing w:val="0"/>
            <w:position w:val="0"/>
            <w:sz w:val="22"/>
            <w:u w:val="single"/>
            <w:shd w:fill="auto" w:val="clear"/>
          </w:rPr>
          <w:t xml:space="preserve">https://doi.org/10.1080/09638237.2020.1818196</w:t>
        </w:r>
      </w:hyperlink>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Bywater, A. (2026) 'Mindfulness and resilience: The experiences of global majority students in a mindfulness intervention programme at a UK university', British Educational Research Journal, 52(3), pp. 2212-2234. doi: 10.1002/berj.70092. Available at: </w:t>
      </w:r>
      <w:hyperlink xmlns:r="http://schemas.openxmlformats.org/officeDocument/2006/relationships" r:id="docRId18">
        <w:r>
          <w:rPr>
            <w:rFonts w:ascii="Arial" w:hAnsi="Arial" w:cs="Arial" w:eastAsia="Arial"/>
            <w:color w:val="0000FF"/>
            <w:spacing w:val="0"/>
            <w:position w:val="0"/>
            <w:sz w:val="22"/>
            <w:u w:val="single"/>
            <w:shd w:fill="auto" w:val="clear"/>
          </w:rPr>
          <w:t xml:space="preserve">https://doi.org/10.1002/berj.70092</w:t>
        </w:r>
      </w:hyperlink>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Campbell, F., Blank, L., Cantrell, A., Baxter, S., Blackmore, C., Dixon, J. and Goyder, E. (2022) ‘Factors that influence mental health of university and college students in the UK: A systematic review’, BMC Public Health, 22, 1778. Available at: </w:t>
      </w:r>
      <w:hyperlink xmlns:r="http://schemas.openxmlformats.org/officeDocument/2006/relationships" r:id="docRId19">
        <w:r>
          <w:rPr>
            <w:rFonts w:ascii="Arial" w:hAnsi="Arial" w:cs="Arial" w:eastAsia="Arial"/>
            <w:color w:val="0000FF"/>
            <w:spacing w:val="0"/>
            <w:position w:val="0"/>
            <w:sz w:val="22"/>
            <w:u w:val="single"/>
            <w:shd w:fill="auto" w:val="clear"/>
          </w:rPr>
          <w:t xml:space="preserve">https://doi.org/10.1186/s12889-022-13943-x</w:t>
        </w:r>
      </w:hyperlink>
      <w:r>
        <w:rPr>
          <w:rFonts w:ascii="Arial" w:hAnsi="Arial" w:cs="Arial" w:eastAsia="Arial"/>
          <w:color w:val="auto"/>
          <w:spacing w:val="0"/>
          <w:position w:val="0"/>
          <w:sz w:val="22"/>
          <w:shd w:fill="auto" w:val="clear"/>
        </w:rPr>
        <w:t xml:space="preserve"> </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Campbell, M., McKenzie, J.E., Sowden, A., Katikireddi, S.V., Brennan, S.E., Ellis, S., Hartmann-Boyce, J., Ryan, R., Shepperd, S., Thomas, J., Welch, V.A. and Thomson, H. (2020) ‘Synthesis without meta-analysis (SWiM) in systematic reviews: reporting guideline’, BMJ, 368, l6890. doi: 10.1136/bmj.l6890.</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Carr, E., Davis, K., Bergin-Cartwright, G., Lavelle, G., Leightley, D., Oetzmann, C., Polling, C., Stevelink, S.A.M., Wickersham, A., Razavi, R. and Hotopf, M. (2022a) ‘Mental health among UK university staff and postgraduate students in the early stages of the COVID-19 pandemic’, Occupational and Environmental Medicine, 79(4), pp. 259-267. Available at: </w:t>
      </w:r>
      <w:hyperlink xmlns:r="http://schemas.openxmlformats.org/officeDocument/2006/relationships" r:id="docRId20">
        <w:r>
          <w:rPr>
            <w:rFonts w:ascii="Arial" w:hAnsi="Arial" w:cs="Arial" w:eastAsia="Arial"/>
            <w:color w:val="0000FF"/>
            <w:spacing w:val="0"/>
            <w:position w:val="0"/>
            <w:sz w:val="22"/>
            <w:u w:val="single"/>
            <w:shd w:fill="auto" w:val="clear"/>
          </w:rPr>
          <w:t xml:space="preserve">https://doi.org/10.1136/oemed-2021-107667</w:t>
        </w:r>
      </w:hyperlink>
      <w:r>
        <w:rPr>
          <w:rFonts w:ascii="Arial" w:hAnsi="Arial" w:cs="Arial" w:eastAsia="Arial"/>
          <w:color w:val="auto"/>
          <w:spacing w:val="0"/>
          <w:position w:val="0"/>
          <w:sz w:val="22"/>
          <w:shd w:fill="auto" w:val="clear"/>
        </w:rPr>
        <w:t xml:space="preserve"> </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Carr, E., Oetzmann, C., Davis, K., Bergin-Cartwright, G., Dorrington, S., Lavelle, G., Leightley, D., Polling, C., Stevelink, S.A.M., Wickersham, A., Vitiello, V., Razavi, R. and Hotopf, M. (2022b) ‘Trajectories of mental health among UK university staff and postgraduate students during the pandemic’, Occupational and Environmental Medicine, 79(8), pp. 514-520. Available at: </w:t>
      </w:r>
      <w:hyperlink xmlns:r="http://schemas.openxmlformats.org/officeDocument/2006/relationships" r:id="docRId21">
        <w:r>
          <w:rPr>
            <w:rFonts w:ascii="Arial" w:hAnsi="Arial" w:cs="Arial" w:eastAsia="Arial"/>
            <w:color w:val="0000FF"/>
            <w:spacing w:val="0"/>
            <w:position w:val="0"/>
            <w:sz w:val="22"/>
            <w:u w:val="single"/>
            <w:shd w:fill="auto" w:val="clear"/>
          </w:rPr>
          <w:t xml:space="preserve">https://doi.org/10.1136/oemed-2021-108097</w:t>
        </w:r>
      </w:hyperlink>
      <w:r>
        <w:rPr>
          <w:rFonts w:ascii="Arial" w:hAnsi="Arial" w:cs="Arial" w:eastAsia="Arial"/>
          <w:color w:val="auto"/>
          <w:spacing w:val="0"/>
          <w:position w:val="0"/>
          <w:sz w:val="22"/>
          <w:shd w:fill="auto" w:val="clear"/>
        </w:rPr>
        <w:t xml:space="preserve"> </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Casey, C., Harvey, O., Taylor, J., Knight, F. and Trenoweth, S. (2022) 'Exploring the wellbeing and resilience of postgraduate researchers', Journal of Further and Higher Education, 46(6), pp. 850-867. doi: 10.1080/0309877X.2021.2018413. Available at: </w:t>
      </w:r>
      <w:hyperlink xmlns:r="http://schemas.openxmlformats.org/officeDocument/2006/relationships" r:id="docRId22">
        <w:r>
          <w:rPr>
            <w:rFonts w:ascii="Arial" w:hAnsi="Arial" w:cs="Arial" w:eastAsia="Arial"/>
            <w:color w:val="0000FF"/>
            <w:spacing w:val="0"/>
            <w:position w:val="0"/>
            <w:sz w:val="22"/>
            <w:u w:val="single"/>
            <w:shd w:fill="auto" w:val="clear"/>
          </w:rPr>
          <w:t xml:space="preserve">https://doi.org/10.1080/0309877X.2021.2018413</w:t>
        </w:r>
      </w:hyperlink>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Casey, C., Trenoweth, S., Harvey, O., Helstrip, J., Knight, F., Taylor, J. and Polkinghorne, M. (2024a) ‘Qualitative pilot interventions for the enhancement of mental health support in doctoral students’, Psych, 6(1), pp. 426-437. doi: 10.3390/psych6010025.</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Casey, C., Trenoweth, S., Knight, F., Taylor, J. and Harvey, O. (2024b) ‘Investigating the mental health, wellbeing, and resilience of postgraduate researchers’, Psychology International, 6(4), pp. 890-902. doi: 10.3390/psycholint6040057.</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CASP (2024) CASP Qualitative Studies Checklist. Oxford: CASP.</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Chen, T. and Lucock, M. (2022) ‘The mental health of university students during the COVID-19 pandemic: An online survey in the UK’, PLOS ONE, 17(1), e0262562. Available at: </w:t>
      </w:r>
      <w:hyperlink xmlns:r="http://schemas.openxmlformats.org/officeDocument/2006/relationships" r:id="docRId23">
        <w:r>
          <w:rPr>
            <w:rFonts w:ascii="Arial" w:hAnsi="Arial" w:cs="Arial" w:eastAsia="Arial"/>
            <w:color w:val="0000FF"/>
            <w:spacing w:val="0"/>
            <w:position w:val="0"/>
            <w:sz w:val="22"/>
            <w:u w:val="single"/>
            <w:shd w:fill="auto" w:val="clear"/>
          </w:rPr>
          <w:t xml:space="preserve">https://doi.org/10.1371/journal.pone.0262562</w:t>
        </w:r>
      </w:hyperlink>
      <w:r>
        <w:rPr>
          <w:rFonts w:ascii="Arial" w:hAnsi="Arial" w:cs="Arial" w:eastAsia="Arial"/>
          <w:color w:val="auto"/>
          <w:spacing w:val="0"/>
          <w:position w:val="0"/>
          <w:sz w:val="22"/>
          <w:shd w:fill="auto" w:val="clear"/>
        </w:rPr>
        <w:t xml:space="preserve"> </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Coupe, N. and Pereira, L. (2026) 'Addressing student food insecurity in UK higher education; co-developing practical campus-based solutions and research priorities', Discover Public Health, 23, 776. doi: 10.1186/s12982-026-02121-8. Available at: </w:t>
      </w:r>
      <w:hyperlink xmlns:r="http://schemas.openxmlformats.org/officeDocument/2006/relationships" r:id="docRId24">
        <w:r>
          <w:rPr>
            <w:rFonts w:ascii="Arial" w:hAnsi="Arial" w:cs="Arial" w:eastAsia="Arial"/>
            <w:color w:val="0000FF"/>
            <w:spacing w:val="0"/>
            <w:position w:val="0"/>
            <w:sz w:val="22"/>
            <w:u w:val="single"/>
            <w:shd w:fill="auto" w:val="clear"/>
          </w:rPr>
          <w:t xml:space="preserve">https://doi.org/10.1186/s12982-026-02121-8</w:t>
        </w:r>
      </w:hyperlink>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Crook, R., Gooding, P., Whittaker, C., Edge, D., Faichnie, C., Westwood, M. and Peters, S. (2021) 'Student, academic and professional services staff perspectives of postgraduate researcher well-being and help-seeking: a mixed-methods co-designed investigation', Studies in Graduate and Postdoctoral Education, 12(1), pp. 113-130. doi: 10.1108/SGPE-08-2020-0056. Available at: </w:t>
      </w:r>
      <w:hyperlink xmlns:r="http://schemas.openxmlformats.org/officeDocument/2006/relationships" r:id="docRId25">
        <w:r>
          <w:rPr>
            <w:rFonts w:ascii="Arial" w:hAnsi="Arial" w:cs="Arial" w:eastAsia="Arial"/>
            <w:color w:val="0000FF"/>
            <w:spacing w:val="0"/>
            <w:position w:val="0"/>
            <w:sz w:val="22"/>
            <w:u w:val="single"/>
            <w:shd w:fill="auto" w:val="clear"/>
          </w:rPr>
          <w:t xml:space="preserve">https://doi.org/10.1108/SGPE-08-2020-0056</w:t>
        </w:r>
      </w:hyperlink>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DE (2026). </w:t>
      </w:r>
      <w:r>
        <w:rPr>
          <w:rFonts w:ascii="Arial" w:hAnsi="Arial" w:cs="Arial" w:eastAsia="Arial"/>
          <w:i/>
          <w:color w:val="auto"/>
          <w:spacing w:val="0"/>
          <w:position w:val="0"/>
          <w:sz w:val="22"/>
          <w:shd w:fill="auto" w:val="clear"/>
        </w:rPr>
        <w:t xml:space="preserve">Improving Student Mental Health through Higher Education-NHS Partnerships Higher Education Mental Health Implementation Taskforce</w:t>
      </w:r>
      <w:r>
        <w:rPr>
          <w:rFonts w:ascii="Arial" w:hAnsi="Arial" w:cs="Arial" w:eastAsia="Arial"/>
          <w:color w:val="auto"/>
          <w:spacing w:val="0"/>
          <w:position w:val="0"/>
          <w:sz w:val="22"/>
          <w:shd w:fill="auto" w:val="clear"/>
        </w:rPr>
        <w:t xml:space="preserve">. [online] Available at: </w:t>
      </w:r>
      <w:hyperlink xmlns:r="http://schemas.openxmlformats.org/officeDocument/2006/relationships" r:id="docRId26">
        <w:r>
          <w:rPr>
            <w:rFonts w:ascii="Arial" w:hAnsi="Arial" w:cs="Arial" w:eastAsia="Arial"/>
            <w:color w:val="0000FF"/>
            <w:spacing w:val="0"/>
            <w:position w:val="0"/>
            <w:sz w:val="22"/>
            <w:u w:val="single"/>
            <w:shd w:fill="auto" w:val="clear"/>
          </w:rPr>
          <w:t xml:space="preserve">https://assets.publishing.service.gov.uk/media/697b9717f8f4a746d9572f57/Improving_student_mental_health_through_higher_education_-_NHS_partnerships.pdf</w:t>
        </w:r>
      </w:hyperlink>
      <w:r>
        <w:rPr>
          <w:rFonts w:ascii="Arial" w:hAnsi="Arial" w:cs="Arial" w:eastAsia="Arial"/>
          <w:color w:val="auto"/>
          <w:spacing w:val="0"/>
          <w:position w:val="0"/>
          <w:sz w:val="22"/>
          <w:shd w:fill="auto" w:val="clear"/>
        </w:rPr>
        <w:t xml:space="preserve"> [Accessed 29 Jun. 2026].</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Department for Education (2021a) HE student mental health and wellbeing: Sector insights. Available at: </w:t>
      </w:r>
      <w:hyperlink xmlns:r="http://schemas.openxmlformats.org/officeDocument/2006/relationships" r:id="docRId27">
        <w:r>
          <w:rPr>
            <w:rFonts w:ascii="Arial" w:hAnsi="Arial" w:cs="Arial" w:eastAsia="Arial"/>
            <w:color w:val="0000FF"/>
            <w:spacing w:val="0"/>
            <w:position w:val="0"/>
            <w:sz w:val="22"/>
            <w:u w:val="single"/>
            <w:shd w:fill="auto" w:val="clear"/>
          </w:rPr>
          <w:t xml:space="preserve">https://www.gov.uk/government/publications/he-student-mental-health-and-wellbeing-sector-insights</w:t>
        </w:r>
      </w:hyperlink>
      <w:r>
        <w:rPr>
          <w:rFonts w:ascii="Arial" w:hAnsi="Arial" w:cs="Arial" w:eastAsia="Arial"/>
          <w:color w:val="auto"/>
          <w:spacing w:val="0"/>
          <w:position w:val="0"/>
          <w:sz w:val="22"/>
          <w:shd w:fill="auto" w:val="clear"/>
        </w:rPr>
        <w:t xml:space="preserve"> (Accessed: 21 July 2026). </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Department for Education (2021b) Higher education and mental health: analyses of the LSYPE cohorts. Research Report DFE-RR1142. London: Department for Education. Available at: </w:t>
      </w:r>
      <w:hyperlink xmlns:r="http://schemas.openxmlformats.org/officeDocument/2006/relationships" r:id="docRId28">
        <w:r>
          <w:rPr>
            <w:rFonts w:ascii="Arial" w:hAnsi="Arial" w:cs="Arial" w:eastAsia="Arial"/>
            <w:color w:val="0000FF"/>
            <w:spacing w:val="0"/>
            <w:position w:val="0"/>
            <w:sz w:val="22"/>
            <w:u w:val="single"/>
            <w:shd w:fill="auto" w:val="clear"/>
          </w:rPr>
          <w:t xml:space="preserve">https://www.gov.uk/government/publications/higher-education-and-mental-health-analyses-of-the-lsype-cohorts</w:t>
        </w:r>
      </w:hyperlink>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Department for Education (2023) Mental health and wellbeing practices in higher education. Available at: </w:t>
      </w:r>
      <w:hyperlink xmlns:r="http://schemas.openxmlformats.org/officeDocument/2006/relationships" r:id="docRId29">
        <w:r>
          <w:rPr>
            <w:rFonts w:ascii="Arial" w:hAnsi="Arial" w:cs="Arial" w:eastAsia="Arial"/>
            <w:color w:val="0000FF"/>
            <w:spacing w:val="0"/>
            <w:position w:val="0"/>
            <w:sz w:val="22"/>
            <w:u w:val="single"/>
            <w:shd w:fill="auto" w:val="clear"/>
          </w:rPr>
          <w:t xml:space="preserve">https://www.gov.uk/government/publications/mental-health-and-wellbeing-practices-in-higher-education</w:t>
        </w:r>
      </w:hyperlink>
      <w:r>
        <w:rPr>
          <w:rFonts w:ascii="Arial" w:hAnsi="Arial" w:cs="Arial" w:eastAsia="Arial"/>
          <w:color w:val="auto"/>
          <w:spacing w:val="0"/>
          <w:position w:val="0"/>
          <w:sz w:val="22"/>
          <w:shd w:fill="auto" w:val="clear"/>
        </w:rPr>
        <w:t xml:space="preserve"> (Accessed: 21 July 2026). </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Department for Education (2026) Higher education mental health implementation taskforce. Available at: </w:t>
      </w:r>
      <w:hyperlink xmlns:r="http://schemas.openxmlformats.org/officeDocument/2006/relationships" r:id="docRId30">
        <w:r>
          <w:rPr>
            <w:rFonts w:ascii="Arial" w:hAnsi="Arial" w:cs="Arial" w:eastAsia="Arial"/>
            <w:color w:val="0000FF"/>
            <w:spacing w:val="0"/>
            <w:position w:val="0"/>
            <w:sz w:val="22"/>
            <w:u w:val="single"/>
            <w:shd w:fill="auto" w:val="clear"/>
          </w:rPr>
          <w:t xml:space="preserve">https://www.gov.uk/government/groups/higher-education-mental-health-implementation-taskforce</w:t>
        </w:r>
      </w:hyperlink>
      <w:r>
        <w:rPr>
          <w:rFonts w:ascii="Arial" w:hAnsi="Arial" w:cs="Arial" w:eastAsia="Arial"/>
          <w:color w:val="auto"/>
          <w:spacing w:val="0"/>
          <w:position w:val="0"/>
          <w:sz w:val="22"/>
          <w:shd w:fill="auto" w:val="clear"/>
        </w:rPr>
        <w:t xml:space="preserve"> (Accessed: 21 July 2026). </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Dodd, A.L., Priestley, M., Tyrrell, K., Cygan, S., Newell, C. and Byrom, N.C. (2021) 'University student well-being in the United Kingdom: a scoping review of its conceptualisation and measurement', Journal of Mental Health, 30(3), pp. 375-387. doi: 10.1080/09638237.2021.1875419. Available at: </w:t>
      </w:r>
      <w:hyperlink xmlns:r="http://schemas.openxmlformats.org/officeDocument/2006/relationships" r:id="docRId31">
        <w:r>
          <w:rPr>
            <w:rFonts w:ascii="Arial" w:hAnsi="Arial" w:cs="Arial" w:eastAsia="Arial"/>
            <w:color w:val="0000FF"/>
            <w:spacing w:val="0"/>
            <w:position w:val="0"/>
            <w:sz w:val="22"/>
            <w:u w:val="single"/>
            <w:shd w:fill="auto" w:val="clear"/>
          </w:rPr>
          <w:t xml:space="preserve">https://doi.org/10.1080/09638237.2021.1875419</w:t>
        </w:r>
      </w:hyperlink>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Dost, G. (2025) ‘Student well-being: The impact of belonging, COVID-19 pandemic related student stress, loneliness, and academic anxiety’, Frontiers in Psychology, 16, 1481328. Available at: </w:t>
      </w:r>
      <w:hyperlink xmlns:r="http://schemas.openxmlformats.org/officeDocument/2006/relationships" r:id="docRId32">
        <w:r>
          <w:rPr>
            <w:rFonts w:ascii="Arial" w:hAnsi="Arial" w:cs="Arial" w:eastAsia="Arial"/>
            <w:color w:val="0000FF"/>
            <w:spacing w:val="0"/>
            <w:position w:val="0"/>
            <w:sz w:val="22"/>
            <w:u w:val="single"/>
            <w:shd w:fill="auto" w:val="clear"/>
          </w:rPr>
          <w:t xml:space="preserve">https://doi.org/10.3389/fpsyg.2025.1481328</w:t>
        </w:r>
      </w:hyperlink>
      <w:r>
        <w:rPr>
          <w:rFonts w:ascii="Arial" w:hAnsi="Arial" w:cs="Arial" w:eastAsia="Arial"/>
          <w:color w:val="auto"/>
          <w:spacing w:val="0"/>
          <w:position w:val="0"/>
          <w:sz w:val="22"/>
          <w:shd w:fill="auto" w:val="clear"/>
        </w:rPr>
        <w:t xml:space="preserve"> </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Dougall, I., Vasiljevic, M., Kutlaca, M. and Weick, M. (2023) 'Socioeconomic inequalities in mental health and wellbeing among UK students during the COVID-19 pandemic: Clarifying underlying mechanisms', PLOS ONE, 18(11), e0292842. doi: 10.1371/journal.pone.0292842. Available at: </w:t>
      </w:r>
      <w:hyperlink xmlns:r="http://schemas.openxmlformats.org/officeDocument/2006/relationships" r:id="docRId33">
        <w:r>
          <w:rPr>
            <w:rFonts w:ascii="Arial" w:hAnsi="Arial" w:cs="Arial" w:eastAsia="Arial"/>
            <w:color w:val="0000FF"/>
            <w:spacing w:val="0"/>
            <w:position w:val="0"/>
            <w:sz w:val="22"/>
            <w:u w:val="single"/>
            <w:shd w:fill="auto" w:val="clear"/>
          </w:rPr>
          <w:t xml:space="preserve">https://doi.org/10.1371/journal.pone.0292842</w:t>
        </w:r>
      </w:hyperlink>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Galante, J., Stochl, J., Dufour, G., Vainre, M., Wagner, A.P. and Jones, P.B. (2021) 'Effectiveness of providing university students with a mindfulness-based intervention to increase resilience to stress: one-year follow-up of a pragmatic randomised controlled trial', Journal of Epidemiology &amp; Community Health, 75(2), pp. 151-160. doi: 10.1136/jech-2020-214390. Available at: </w:t>
      </w:r>
      <w:hyperlink xmlns:r="http://schemas.openxmlformats.org/officeDocument/2006/relationships" r:id="docRId34">
        <w:r>
          <w:rPr>
            <w:rFonts w:ascii="Arial" w:hAnsi="Arial" w:cs="Arial" w:eastAsia="Arial"/>
            <w:color w:val="0000FF"/>
            <w:spacing w:val="0"/>
            <w:position w:val="0"/>
            <w:sz w:val="22"/>
            <w:u w:val="single"/>
            <w:shd w:fill="auto" w:val="clear"/>
          </w:rPr>
          <w:t xml:space="preserve">https://doi.org/10.1136/jech-2020-214390</w:t>
        </w:r>
      </w:hyperlink>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Gooding, P., Crook, R., Westwood, M., Faichnie, C. and Peters, S. (2023) 'Social support resilience as a protective mental health factor in postgraduate researchers' experiences: a longitudinal analysis', Studies in Graduate and Postdoctoral Education, 14(3), pp. 245-258. doi: 10.1108/SGPE-04-2022-0032. Available at: </w:t>
      </w:r>
      <w:hyperlink xmlns:r="http://schemas.openxmlformats.org/officeDocument/2006/relationships" r:id="docRId35">
        <w:r>
          <w:rPr>
            <w:rFonts w:ascii="Arial" w:hAnsi="Arial" w:cs="Arial" w:eastAsia="Arial"/>
            <w:color w:val="0000FF"/>
            <w:spacing w:val="0"/>
            <w:position w:val="0"/>
            <w:sz w:val="22"/>
            <w:u w:val="single"/>
            <w:shd w:fill="auto" w:val="clear"/>
          </w:rPr>
          <w:t xml:space="preserve">https://doi.org/10.1108/SGPE-04-2022-0032</w:t>
        </w:r>
      </w:hyperlink>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Gorczynski, P., Sims-Schouten, W. and Wilson, C. (2020) 'Evaluating mental health literacy and help-seeking behaviours in UK university students: a country wide study', Journal of Public Mental Health, 19(4), pp. 311-319. doi: 10.1108/JPMH-10-2019-0086. Available at: </w:t>
      </w:r>
      <w:hyperlink xmlns:r="http://schemas.openxmlformats.org/officeDocument/2006/relationships" r:id="docRId36">
        <w:r>
          <w:rPr>
            <w:rFonts w:ascii="Arial" w:hAnsi="Arial" w:cs="Arial" w:eastAsia="Arial"/>
            <w:color w:val="0000FF"/>
            <w:spacing w:val="0"/>
            <w:position w:val="0"/>
            <w:sz w:val="22"/>
            <w:u w:val="single"/>
            <w:shd w:fill="auto" w:val="clear"/>
          </w:rPr>
          <w:t xml:space="preserve">https://doi.org/10.1108/JPMH-10-2019-0086</w:t>
        </w:r>
      </w:hyperlink>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Gough, D., Oliver, S. and Thomas, J. (2017) An Introduction to Systematic Reviews. 2nd edn. London: SAGE.</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Gower, O. and Clegg, K. (2021) UK Research Supervision Survey 2021 Report. UK Council for Graduate Education. Available at: </w:t>
      </w:r>
      <w:hyperlink xmlns:r="http://schemas.openxmlformats.org/officeDocument/2006/relationships" r:id="docRId37">
        <w:r>
          <w:rPr>
            <w:rFonts w:ascii="Arial" w:hAnsi="Arial" w:cs="Arial" w:eastAsia="Arial"/>
            <w:color w:val="0000FF"/>
            <w:spacing w:val="0"/>
            <w:position w:val="0"/>
            <w:sz w:val="22"/>
            <w:u w:val="single"/>
            <w:shd w:fill="auto" w:val="clear"/>
          </w:rPr>
          <w:t xml:space="preserve">https://ukcge.ac.uk/resources/resource-library/uk-research-supervision-survey-2021-report</w:t>
        </w:r>
      </w:hyperlink>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Gower, O., Clegg, K. and Cleaver, D. (2024) UK Research Supervision Survey 2024 Report. UK Council for Graduate Education. Available at: </w:t>
      </w:r>
      <w:hyperlink xmlns:r="http://schemas.openxmlformats.org/officeDocument/2006/relationships" r:id="docRId38">
        <w:r>
          <w:rPr>
            <w:rFonts w:ascii="Arial" w:hAnsi="Arial" w:cs="Arial" w:eastAsia="Arial"/>
            <w:color w:val="0000FF"/>
            <w:spacing w:val="0"/>
            <w:position w:val="0"/>
            <w:sz w:val="22"/>
            <w:u w:val="single"/>
            <w:shd w:fill="auto" w:val="clear"/>
          </w:rPr>
          <w:t xml:space="preserve">https://ukcge.ac.uk/resources/resource-library/ukrss2024</w:t>
        </w:r>
      </w:hyperlink>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Hazell, C.M., Berry, C., Haywood, D., Birkett, J., Mackenzie, J.-M. and Niven, J. (2025) ‘Understanding how doctoral researchers perceive research supervision to impact their mental health and well-being’, Counselling and Psychotherapy Research, 25(1), e12762. doi: 10.1002/capr.12762.</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Hazell, C.M., Chapman, L., Valeix, S.F., Roberts, P., Niven, J.E. and Berry, C. (2020) 'Understanding the mental health of doctoral researchers: a mixed methods systematic review with meta-analysis and meta-synthesis', Systematic Reviews, 9, 197. doi: 10.1186/s13643-020-01443-1. Available at: </w:t>
      </w:r>
      <w:hyperlink xmlns:r="http://schemas.openxmlformats.org/officeDocument/2006/relationships" r:id="docRId39">
        <w:r>
          <w:rPr>
            <w:rFonts w:ascii="Arial" w:hAnsi="Arial" w:cs="Arial" w:eastAsia="Arial"/>
            <w:color w:val="0000FF"/>
            <w:spacing w:val="0"/>
            <w:position w:val="0"/>
            <w:sz w:val="22"/>
            <w:u w:val="single"/>
            <w:shd w:fill="auto" w:val="clear"/>
          </w:rPr>
          <w:t xml:space="preserve">https://doi.org/10.1186/s13643-020-01443-1</w:t>
        </w:r>
      </w:hyperlink>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Hazell, C.M., Niven, J.E., Chapman, L., Roberts, P.E., Cartwright-Hatton, S., Valeix, S. and Berry, C. (2021) ‘Nationwide assessment of the mental health of UK doctoral researchers’, Humanities and Social Sciences Communications, 8, 305. doi: 10.1057/s41599-021-00983-8.</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Higgins, J.P.T., Thomas, J., Chandler, J., Cumpston, M., Li, T., Page, M.J. and Welch, V.A. (eds.) (2024) Cochrane Handbook for Systematic Reviews of Interventions. Version 6.5. London: Cochrane.</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Homer, S.R., Solbrig, L., Djama, D., Bentley, A., Kearns, S. and May, J. (2021) ‘The Researcher Toolkit: a preventative, peer-support approach to postgraduate research student mental health’, Studies in Graduate and Postdoctoral Education, 12(1), pp. 7-25. doi: 10.1108/SGPE-06-2020-0039.</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Hong, Q.N., Pluye, P., Fàbregues, S., Bartlett, G., Boardman, F., Cargo, M., Dagenais, P., Gagnon, M.-P., Griffiths, F., Nicolau, B., O’Cathain, A., Rousseau, M.-C. and Vedel, I. (2018) Mixed Methods Appraisal Tool (MMAT), Version 2018: User Guide. Montreal: McGill University.</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Hosseinpur, H., Parsa, A.D. and Kabir, R. (2023) ‘The prevalence of depression and its predictors among international postgraduate students studying public health at a UK university’, Journal of Psychosexual Health, 5(2), pp. 94-101. doi: 10.1177/26318318231181689.</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Hughes, G. and Spanner, L. (2024) The University Mental Health Charter. 2nd edn. Leeds: Student Minds. Available at: </w:t>
      </w:r>
      <w:hyperlink xmlns:r="http://schemas.openxmlformats.org/officeDocument/2006/relationships" r:id="docRId40">
        <w:r>
          <w:rPr>
            <w:rFonts w:ascii="Arial" w:hAnsi="Arial" w:cs="Arial" w:eastAsia="Arial"/>
            <w:color w:val="0000FF"/>
            <w:spacing w:val="0"/>
            <w:position w:val="0"/>
            <w:sz w:val="22"/>
            <w:u w:val="single"/>
            <w:shd w:fill="auto" w:val="clear"/>
          </w:rPr>
          <w:t xml:space="preserve">https://hub.studentminds.org.uk/wp-content/uploads/2023/07/UMHC-Framework-Updated_2024.pdf</w:t>
        </w:r>
      </w:hyperlink>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Hughes, G., Panjwani, M., Tulcidas, P. and Byrom, N.C. (2018) Student mental health: the role and experiences of academics. Leeds: Student Minds. Available at: </w:t>
      </w:r>
      <w:hyperlink xmlns:r="http://schemas.openxmlformats.org/officeDocument/2006/relationships" r:id="docRId41">
        <w:r>
          <w:rPr>
            <w:rFonts w:ascii="Arial" w:hAnsi="Arial" w:cs="Arial" w:eastAsia="Arial"/>
            <w:color w:val="0000FF"/>
            <w:spacing w:val="0"/>
            <w:position w:val="0"/>
            <w:sz w:val="22"/>
            <w:u w:val="single"/>
            <w:shd w:fill="auto" w:val="clear"/>
          </w:rPr>
          <w:t xml:space="preserve">https://www.studentminds.org.uk/resources/student-mental-health-the-role-and-experiences-of-academics/</w:t>
        </w:r>
      </w:hyperlink>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Iqbal, S.N., Rekhi, A., James, A., Johnson, J.-A. and Trinidade, A. (2025). The UK cost-of-living crisis and its effect on students at a British medical school. </w:t>
      </w:r>
      <w:r>
        <w:rPr>
          <w:rFonts w:ascii="Arial" w:hAnsi="Arial" w:cs="Arial" w:eastAsia="Arial"/>
          <w:i/>
          <w:color w:val="auto"/>
          <w:spacing w:val="0"/>
          <w:position w:val="0"/>
          <w:sz w:val="22"/>
          <w:shd w:fill="auto" w:val="clear"/>
        </w:rPr>
        <w:t xml:space="preserve">BMC Medical Education</w:t>
      </w:r>
      <w:r>
        <w:rPr>
          <w:rFonts w:ascii="Arial" w:hAnsi="Arial" w:cs="Arial" w:eastAsia="Arial"/>
          <w:color w:val="auto"/>
          <w:spacing w:val="0"/>
          <w:position w:val="0"/>
          <w:sz w:val="22"/>
          <w:shd w:fill="auto" w:val="clear"/>
        </w:rPr>
        <w:t xml:space="preserve">, 25(1). doi:https://doi.org/10.1186/s12909-025-07305-5.</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Jackman, P.C., Sanderson, R. and Jacobs, L. (2023) 'Developing inductions to support mental health and wellbeing in doctoral researchers: findings from a qualitative co-design study with doctoral researchers and university stakeholders', European Journal of Higher Education, 13(1), pp. 62-79. doi: 10.1080/21568235.2021.1992293. Available at: </w:t>
      </w:r>
      <w:hyperlink xmlns:r="http://schemas.openxmlformats.org/officeDocument/2006/relationships" r:id="docRId42">
        <w:r>
          <w:rPr>
            <w:rFonts w:ascii="Arial" w:hAnsi="Arial" w:cs="Arial" w:eastAsia="Arial"/>
            <w:color w:val="0000FF"/>
            <w:spacing w:val="0"/>
            <w:position w:val="0"/>
            <w:sz w:val="22"/>
            <w:u w:val="single"/>
            <w:shd w:fill="auto" w:val="clear"/>
          </w:rPr>
          <w:t xml:space="preserve">https://doi.org/10.1080/21568235.2021.1992293</w:t>
        </w:r>
      </w:hyperlink>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Jackman, P.C., Sanderson, R., Allen-Collinson, J. and Jacobs, L. (2022a) 'There's only so much an individual can do: an ecological systems perspective on mental health and wellbeing in the early stages of doctoral research', Journal of Further and Higher Education, 46(7), pp. 931-946. doi: 10.1080/0309877X.2021.2023732. Available at: </w:t>
      </w:r>
      <w:hyperlink xmlns:r="http://schemas.openxmlformats.org/officeDocument/2006/relationships" r:id="docRId43">
        <w:r>
          <w:rPr>
            <w:rFonts w:ascii="Arial" w:hAnsi="Arial" w:cs="Arial" w:eastAsia="Arial"/>
            <w:color w:val="0000FF"/>
            <w:spacing w:val="0"/>
            <w:position w:val="0"/>
            <w:sz w:val="22"/>
            <w:u w:val="single"/>
            <w:shd w:fill="auto" w:val="clear"/>
          </w:rPr>
          <w:t xml:space="preserve">https://doi.org/10.1080/0309877X.2021.2023732</w:t>
        </w:r>
      </w:hyperlink>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Jackman, P.C., Sanderson, R., Haughey, T.J., Brett, C.E., White, N., Zile, A., Tyrrell, K. and Byrom, N.C. (2022b) 'The impact of the first COVID-19 lockdown in the UK for doctoral and early career researchers', Higher Education, 84(4), pp. 705-722. doi: 10.1007/s10734-021-00795-4. Available at: </w:t>
      </w:r>
      <w:hyperlink xmlns:r="http://schemas.openxmlformats.org/officeDocument/2006/relationships" r:id="docRId44">
        <w:r>
          <w:rPr>
            <w:rFonts w:ascii="Arial" w:hAnsi="Arial" w:cs="Arial" w:eastAsia="Arial"/>
            <w:color w:val="0000FF"/>
            <w:spacing w:val="0"/>
            <w:position w:val="0"/>
            <w:sz w:val="22"/>
            <w:u w:val="single"/>
            <w:shd w:fill="auto" w:val="clear"/>
          </w:rPr>
          <w:t xml:space="preserve">https://doi.org/10.1007/s10734-021-00795-4</w:t>
        </w:r>
      </w:hyperlink>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Jessop, D.C., Reid, M. and Solomon, L. (2020) 'Financial concern predicts deteriorations in mental and physical health among university students', Psychology &amp; Health, 35(2), pp. 196-209. doi: 10.1080/08870446.2019.1626393. Available at: </w:t>
      </w:r>
      <w:hyperlink xmlns:r="http://schemas.openxmlformats.org/officeDocument/2006/relationships" r:id="docRId45">
        <w:r>
          <w:rPr>
            <w:rFonts w:ascii="Arial" w:hAnsi="Arial" w:cs="Arial" w:eastAsia="Arial"/>
            <w:color w:val="0000FF"/>
            <w:spacing w:val="0"/>
            <w:position w:val="0"/>
            <w:sz w:val="22"/>
            <w:u w:val="single"/>
            <w:shd w:fill="auto" w:val="clear"/>
          </w:rPr>
          <w:t xml:space="preserve">https://doi.org/10.1080/08870446.2019.1626393</w:t>
        </w:r>
      </w:hyperlink>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Jones, C.P., Lodder, A. and Papadopoulos, C. (2019) 'Do predictors of mental health differ between home and international students studying in the UK?', Journal of Applied Research in Higher Education, 11(2), pp. 224-234. doi: 10.1108/JARHE-03-2018-0040. Available at: </w:t>
      </w:r>
      <w:hyperlink xmlns:r="http://schemas.openxmlformats.org/officeDocument/2006/relationships" r:id="docRId46">
        <w:r>
          <w:rPr>
            <w:rFonts w:ascii="Arial" w:hAnsi="Arial" w:cs="Arial" w:eastAsia="Arial"/>
            <w:color w:val="0000FF"/>
            <w:spacing w:val="0"/>
            <w:position w:val="0"/>
            <w:sz w:val="22"/>
            <w:u w:val="single"/>
            <w:shd w:fill="auto" w:val="clear"/>
          </w:rPr>
          <w:t xml:space="preserve">https://doi.org/10.1108/JARHE-03-2018-0040</w:t>
        </w:r>
      </w:hyperlink>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Lane, L.G. and De Wilde, J. (2018) 'The impact of coaching doctoral students at a university in London', International Journal of Evidence Based Coaching and Mentoring, 16(2), pp. 55-68. doi: 10.24384/000561. Available at: </w:t>
      </w:r>
      <w:hyperlink xmlns:r="http://schemas.openxmlformats.org/officeDocument/2006/relationships" r:id="docRId47">
        <w:r>
          <w:rPr>
            <w:rFonts w:ascii="Arial" w:hAnsi="Arial" w:cs="Arial" w:eastAsia="Arial"/>
            <w:color w:val="0000FF"/>
            <w:spacing w:val="0"/>
            <w:position w:val="0"/>
            <w:sz w:val="22"/>
            <w:u w:val="single"/>
            <w:shd w:fill="auto" w:val="clear"/>
          </w:rPr>
          <w:t xml:space="preserve">https://doi.org/10.24384/000561</w:t>
        </w:r>
      </w:hyperlink>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Lefebvre, C., Glanville, J., Briscoe, S., Littlewood, A., Marshall, C., Metzendorf, M.-I., Noel-Storr, A., Rader, T., Shokraneh, F., Thomas, J. and Wieland, L.S. (2024) ‘Searching for and selecting studies’, in Higgins, J.P.T. et al. (eds.) Cochrane Handbook for Systematic Reviews of Interventions. Version 6.5. London: Cochrane.</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Lewin, S., Booth, A., Glenton, C., Munthe-Kaas, H., Rashidian, A., Wainwright, M., Bohren, M.A., Tunçalp, Ö., Colvin, C.J., Garside, R., Carlsen, B., Langlois, E.V. and Noyes, J. (2018) ‘Applying GRADE-CERQual to qualitative evidence synthesis findings: introduction to the series’, Implementation Science, 13(Suppl 1), 2. doi: 10.1186/s13012-017-0688-3.</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Lewis, J. and Stiebahl, S. (2025) Student mental health in England: Statistics, policy, and guidance. House of Commons Library Research Briefing CBP-8593. London: House of Commons Library. Available at: </w:t>
      </w:r>
      <w:hyperlink xmlns:r="http://schemas.openxmlformats.org/officeDocument/2006/relationships" r:id="docRId48">
        <w:r>
          <w:rPr>
            <w:rFonts w:ascii="Arial" w:hAnsi="Arial" w:cs="Arial" w:eastAsia="Arial"/>
            <w:color w:val="0000FF"/>
            <w:spacing w:val="0"/>
            <w:position w:val="0"/>
            <w:sz w:val="22"/>
            <w:u w:val="single"/>
            <w:shd w:fill="auto" w:val="clear"/>
          </w:rPr>
          <w:t xml:space="preserve">https://commonslibrary.parliament.uk/research-briefings/cbp-8593/</w:t>
        </w:r>
      </w:hyperlink>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Malagodi, F., Dommett, E.J., Findon, J.L. and Gardner, B. (2024) ‘Physical activity interventions to improve mental health and wellbeing in university students in the UK: A service mapping study’, Mental Health and Physical Activity, 26, 100563. Available at: </w:t>
      </w:r>
      <w:hyperlink xmlns:r="http://schemas.openxmlformats.org/officeDocument/2006/relationships" r:id="docRId49">
        <w:r>
          <w:rPr>
            <w:rFonts w:ascii="Arial" w:hAnsi="Arial" w:cs="Arial" w:eastAsia="Arial"/>
            <w:color w:val="0000FF"/>
            <w:spacing w:val="0"/>
            <w:position w:val="0"/>
            <w:sz w:val="22"/>
            <w:u w:val="single"/>
            <w:shd w:fill="auto" w:val="clear"/>
          </w:rPr>
          <w:t xml:space="preserve">https://doi.org/10.1016/j.mhpa.2023.100563</w:t>
        </w:r>
      </w:hyperlink>
      <w:r>
        <w:rPr>
          <w:rFonts w:ascii="Arial" w:hAnsi="Arial" w:cs="Arial" w:eastAsia="Arial"/>
          <w:color w:val="auto"/>
          <w:spacing w:val="0"/>
          <w:position w:val="0"/>
          <w:sz w:val="22"/>
          <w:shd w:fill="auto" w:val="clear"/>
        </w:rPr>
        <w:t xml:space="preserve"> </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Marshall, F., Fotheringham, F., O’Carroll, V. and Miles, P.J. (2026) ‘The wellbeing of postgraduate taught students: an exploratory case study’, Frontiers in Education, 11, 1797548. doi: 10.3389/feduc.2026.1797548.</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Mavrogalou-Foti, A.P., Kambouri, M.A. and Çili, S. (2024) ‘The supervisory relationship as a predictor of mental health outcomes in doctoral students in the United Kingdom’, Frontiers in Psychology, 15, 1437819. doi: 10.3389/fpsyg.2024.1437819.</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McCloud, T. and Bann, D. (2019) 'Financial stress and mental health among higher education students in the UK up to 2018: rapid review of evidence', Journal of Epidemiology &amp; Community Health, 73(10), pp. 977-984. doi: 10.1136/jech-2019-212154. Available at: </w:t>
      </w:r>
      <w:hyperlink xmlns:r="http://schemas.openxmlformats.org/officeDocument/2006/relationships" r:id="docRId50">
        <w:r>
          <w:rPr>
            <w:rFonts w:ascii="Arial" w:hAnsi="Arial" w:cs="Arial" w:eastAsia="Arial"/>
            <w:color w:val="0000FF"/>
            <w:spacing w:val="0"/>
            <w:position w:val="0"/>
            <w:sz w:val="22"/>
            <w:u w:val="single"/>
            <w:shd w:fill="auto" w:val="clear"/>
          </w:rPr>
          <w:t xml:space="preserve">https://doi.org/10.1136/jech-2019-212154</w:t>
        </w:r>
      </w:hyperlink>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McCray, J. and Joseph-Richard, P. (2021) 'Doctoral students' well-being in United Kingdom business schools: A survey of personal experience and support mechanisms', The International Journal of Management Education, 19(2), 100490. doi: 10.1016/j.ijme.2021.100490. Available at: </w:t>
      </w:r>
      <w:hyperlink xmlns:r="http://schemas.openxmlformats.org/officeDocument/2006/relationships" r:id="docRId51">
        <w:r>
          <w:rPr>
            <w:rFonts w:ascii="Arial" w:hAnsi="Arial" w:cs="Arial" w:eastAsia="Arial"/>
            <w:color w:val="0000FF"/>
            <w:spacing w:val="0"/>
            <w:position w:val="0"/>
            <w:sz w:val="22"/>
            <w:u w:val="single"/>
            <w:shd w:fill="auto" w:val="clear"/>
          </w:rPr>
          <w:t xml:space="preserve">https://doi.org/10.1016/j.ijme.2021.100490</w:t>
        </w:r>
      </w:hyperlink>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McGowan, J., Sampson, M., Salzwedel, D.M., Cogo, E., Foerster, V. and Lefebvre, C. (2016) ‘PRESS peer review of electronic search strategies: 2015 guideline statement’, Journal of Clinical Epidemiology, 75, pp. 40-46. doi: 10.1016/j.jclinepi.2016.01.021.</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McIntyre, J.C., Worsley, J., Corcoran, R., Harrison Woods, P. and Bentall, R.P. (2018) 'Academic and non-academic predictors of student psychological distress: the role of social identity and loneliness', Journal of Mental Health, 27(3), pp. 230-239. doi: 10.1080/09638237.2018.1437608. Available at: </w:t>
      </w:r>
      <w:hyperlink xmlns:r="http://schemas.openxmlformats.org/officeDocument/2006/relationships" r:id="docRId52">
        <w:r>
          <w:rPr>
            <w:rFonts w:ascii="Arial" w:hAnsi="Arial" w:cs="Arial" w:eastAsia="Arial"/>
            <w:color w:val="0000FF"/>
            <w:spacing w:val="0"/>
            <w:position w:val="0"/>
            <w:sz w:val="22"/>
            <w:u w:val="single"/>
            <w:shd w:fill="auto" w:val="clear"/>
          </w:rPr>
          <w:t xml:space="preserve">https://doi.org/10.1080/09638237.2018.1437608</w:t>
        </w:r>
      </w:hyperlink>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Metcalfe, J., Day, E., de Pury, J. and Dicks, A. (2020) Catalyst Fund: Supporting mental health and wellbeing for postgraduate research students. Programme evaluation. London: Vitae and Universities UK. Available at: </w:t>
      </w:r>
      <w:hyperlink xmlns:r="http://schemas.openxmlformats.org/officeDocument/2006/relationships" r:id="docRId53">
        <w:r>
          <w:rPr>
            <w:rFonts w:ascii="Arial" w:hAnsi="Arial" w:cs="Arial" w:eastAsia="Arial"/>
            <w:color w:val="0000FF"/>
            <w:spacing w:val="0"/>
            <w:position w:val="0"/>
            <w:sz w:val="22"/>
            <w:u w:val="single"/>
            <w:shd w:fill="auto" w:val="clear"/>
          </w:rPr>
          <w:t xml:space="preserve">https://www.ukri.org/wp-content/uploads/2021/12/RE-141221-CatalystFundProgrammeEvaluation.pdf</w:t>
        </w:r>
      </w:hyperlink>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Metcalfe, J., Wilson, S. and Levecque, K. (2018) Exploring wellbeing and mental health and associated support services for postgraduate researchers. Vitae. Available at: </w:t>
      </w:r>
      <w:hyperlink xmlns:r="http://schemas.openxmlformats.org/officeDocument/2006/relationships" r:id="docRId54">
        <w:r>
          <w:rPr>
            <w:rFonts w:ascii="Arial" w:hAnsi="Arial" w:cs="Arial" w:eastAsia="Arial"/>
            <w:color w:val="0000FF"/>
            <w:spacing w:val="0"/>
            <w:position w:val="0"/>
            <w:sz w:val="22"/>
            <w:u w:val="single"/>
            <w:shd w:fill="auto" w:val="clear"/>
          </w:rPr>
          <w:t xml:space="preserve">https://www.ukri.org/wp-content/uploads/2018/05/RE_141221-MentalHealthReportFinal.pdf</w:t>
        </w:r>
      </w:hyperlink>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Milicev, J., McCann, M., Simpson, S.A., Biello, S.M. and Gardani, M. (2023) ‘Evaluating mental health and wellbeing of postgraduate researchers: prevalence and contributing factors’, Current Psychology, 42, pp. 12267-12280. doi: 10.1007/s12144-021-02309-y.</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Moran, H., Karlin, L., Lauchlan, E., Rappaport, S.J., Bleasdale, B., Wild, L. and Dorr, J. (2020) 'Understanding Research Culture: What researchers think about the culture they work in', Wellcome Open Research, 5, 201. doi: 10.12688/wellcomeopenres.15832.1. Available at: </w:t>
      </w:r>
      <w:hyperlink xmlns:r="http://schemas.openxmlformats.org/officeDocument/2006/relationships" r:id="docRId55">
        <w:r>
          <w:rPr>
            <w:rFonts w:ascii="Arial" w:hAnsi="Arial" w:cs="Arial" w:eastAsia="Arial"/>
            <w:color w:val="0000FF"/>
            <w:spacing w:val="0"/>
            <w:position w:val="0"/>
            <w:sz w:val="22"/>
            <w:u w:val="single"/>
            <w:shd w:fill="auto" w:val="clear"/>
          </w:rPr>
          <w:t xml:space="preserve">https://doi.org/10.12688/wellcomeopenres.15832.1</w:t>
        </w:r>
      </w:hyperlink>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Moss, R., Gorczynski, P., Sims-Schouten, W., Heard-Laureote, K. and Creaton, J. (2022) ‘Mental health and wellbeing of postgraduate researchers: exploring the relationship between mental health literacy, help-seeking behaviour, psychological distress and wellbeing’, Higher Education Research &amp; Development, 41(4), pp. 1168-1183. doi: 10.1080/07294360.2021.1906210.</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Munn, Z., Peters, M.D.J., Stern, C., Tufanaru, C., McArthur, A. and Aromataris, E. (2018a) ‘Systematic review or scoping review? Guidance for authors when choosing between a systematic or scoping review approach’, BMC Medical Research Methodology, 18, 143. doi: 10.1186/s12874-018-0611-x.</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Munn, Z., Stern, C., Aromataris, E., Lockwood, C. and Jordan, Z. (2018b) ‘What kind of systematic review should I conduct? A proposed typology and guidance for systematic reviewers in the medical and health sciences’, BMC Medical Research Methodology, 18, 5. doi: 10.1186/s12874-017-0468-4.</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National Confidential Inquiry into Suicide and Safety in Mental Health (NCISH) (2025) National review of higher education student suicide deaths. London: Department for Education. Available at: </w:t>
      </w:r>
      <w:hyperlink xmlns:r="http://schemas.openxmlformats.org/officeDocument/2006/relationships" r:id="docRId56">
        <w:r>
          <w:rPr>
            <w:rFonts w:ascii="Arial" w:hAnsi="Arial" w:cs="Arial" w:eastAsia="Arial"/>
            <w:color w:val="0000FF"/>
            <w:spacing w:val="0"/>
            <w:position w:val="0"/>
            <w:sz w:val="22"/>
            <w:u w:val="single"/>
            <w:shd w:fill="auto" w:val="clear"/>
          </w:rPr>
          <w:t xml:space="preserve">https://www.gov.uk/government/publications/national-review-of-higher-education-student-suicide-deaths</w:t>
        </w:r>
      </w:hyperlink>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NHS England (2021a). </w:t>
      </w:r>
      <w:r>
        <w:rPr>
          <w:rFonts w:ascii="Arial" w:hAnsi="Arial" w:cs="Arial" w:eastAsia="Arial"/>
          <w:i/>
          <w:color w:val="auto"/>
          <w:spacing w:val="0"/>
          <w:position w:val="0"/>
          <w:sz w:val="22"/>
          <w:shd w:fill="auto" w:val="clear"/>
        </w:rPr>
        <w:t xml:space="preserve">Counselling for Student Mental Health Problems</w:t>
      </w:r>
      <w:r>
        <w:rPr>
          <w:rFonts w:ascii="Arial" w:hAnsi="Arial" w:cs="Arial" w:eastAsia="Arial"/>
          <w:color w:val="auto"/>
          <w:spacing w:val="0"/>
          <w:position w:val="0"/>
          <w:sz w:val="22"/>
          <w:shd w:fill="auto" w:val="clear"/>
        </w:rPr>
        <w:t xml:space="preserve">. [online] nhs.uk. Available at: </w:t>
      </w:r>
      <w:hyperlink xmlns:r="http://schemas.openxmlformats.org/officeDocument/2006/relationships" r:id="docRId57">
        <w:r>
          <w:rPr>
            <w:rFonts w:ascii="Arial" w:hAnsi="Arial" w:cs="Arial" w:eastAsia="Arial"/>
            <w:color w:val="0000FF"/>
            <w:spacing w:val="0"/>
            <w:position w:val="0"/>
            <w:sz w:val="22"/>
            <w:u w:val="single"/>
            <w:shd w:fill="auto" w:val="clear"/>
          </w:rPr>
          <w:t xml:space="preserve">https://www.nhs.uk/mental-health/children-and-young-adults/help-for-teenagers-young-adults-and-students/student-mental-health-counselling/</w:t>
        </w:r>
      </w:hyperlink>
      <w:r>
        <w:rPr>
          <w:rFonts w:ascii="Arial" w:hAnsi="Arial" w:cs="Arial" w:eastAsia="Arial"/>
          <w:color w:val="auto"/>
          <w:spacing w:val="0"/>
          <w:position w:val="0"/>
          <w:sz w:val="22"/>
          <w:shd w:fill="auto" w:val="clear"/>
        </w:rPr>
        <w:t xml:space="preserve"> [Accessed 29 Jun. 2026].</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NHS England (2021b). </w:t>
      </w:r>
      <w:r>
        <w:rPr>
          <w:rFonts w:ascii="Arial" w:hAnsi="Arial" w:cs="Arial" w:eastAsia="Arial"/>
          <w:i/>
          <w:color w:val="auto"/>
          <w:spacing w:val="0"/>
          <w:position w:val="0"/>
          <w:sz w:val="22"/>
          <w:shd w:fill="auto" w:val="clear"/>
        </w:rPr>
        <w:t xml:space="preserve">Student stress</w:t>
      </w:r>
      <w:r>
        <w:rPr>
          <w:rFonts w:ascii="Arial" w:hAnsi="Arial" w:cs="Arial" w:eastAsia="Arial"/>
          <w:color w:val="auto"/>
          <w:spacing w:val="0"/>
          <w:position w:val="0"/>
          <w:sz w:val="22"/>
          <w:shd w:fill="auto" w:val="clear"/>
        </w:rPr>
        <w:t xml:space="preserve">. [online] nhs.uk. Available at: </w:t>
      </w:r>
      <w:hyperlink xmlns:r="http://schemas.openxmlformats.org/officeDocument/2006/relationships" r:id="docRId58">
        <w:r>
          <w:rPr>
            <w:rFonts w:ascii="Arial" w:hAnsi="Arial" w:cs="Arial" w:eastAsia="Arial"/>
            <w:color w:val="0000FF"/>
            <w:spacing w:val="0"/>
            <w:position w:val="0"/>
            <w:sz w:val="22"/>
            <w:u w:val="single"/>
            <w:shd w:fill="auto" w:val="clear"/>
          </w:rPr>
          <w:t xml:space="preserve">https://www.nhs.uk/mental-health/children-and-young-adults/help-for-teenagers-young-adults-and-students/student-stress-self-help-tips</w:t>
        </w:r>
      </w:hyperlink>
      <w:r>
        <w:rPr>
          <w:rFonts w:ascii="Arial" w:hAnsi="Arial" w:cs="Arial" w:eastAsia="Arial"/>
          <w:color w:val="auto"/>
          <w:spacing w:val="0"/>
          <w:position w:val="0"/>
          <w:sz w:val="22"/>
          <w:shd w:fill="auto" w:val="clear"/>
        </w:rPr>
        <w:t xml:space="preserve"> [Accessed 29 Jun. 2026].</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Office for National Statistics (2023a) Cost of living and higher education students, England: 30 January to 13 February 2023. Available at: </w:t>
      </w:r>
      <w:hyperlink xmlns:r="http://schemas.openxmlformats.org/officeDocument/2006/relationships" r:id="docRId59">
        <w:r>
          <w:rPr>
            <w:rFonts w:ascii="Arial" w:hAnsi="Arial" w:cs="Arial" w:eastAsia="Arial"/>
            <w:color w:val="0000FF"/>
            <w:spacing w:val="0"/>
            <w:position w:val="0"/>
            <w:sz w:val="22"/>
            <w:u w:val="single"/>
            <w:shd w:fill="auto" w:val="clear"/>
          </w:rPr>
          <w:t xml:space="preserve">https://www.ons.gov.uk/peoplepopulationandcommunity/educationandchildcare/bulletins/costoflivingandhighereducationstudentsengland/30januaryto13february2023</w:t>
        </w:r>
      </w:hyperlink>
      <w:r>
        <w:rPr>
          <w:rFonts w:ascii="Arial" w:hAnsi="Arial" w:cs="Arial" w:eastAsia="Arial"/>
          <w:color w:val="auto"/>
          <w:spacing w:val="0"/>
          <w:position w:val="0"/>
          <w:sz w:val="22"/>
          <w:shd w:fill="auto" w:val="clear"/>
        </w:rPr>
        <w:t xml:space="preserve"> (Accessed: 21 July 2026). </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Office for National Statistics (2023b) Student voices: Experiences of the rising cost of living. Available at: </w:t>
      </w:r>
      <w:hyperlink xmlns:r="http://schemas.openxmlformats.org/officeDocument/2006/relationships" r:id="docRId60">
        <w:r>
          <w:rPr>
            <w:rFonts w:ascii="Arial" w:hAnsi="Arial" w:cs="Arial" w:eastAsia="Arial"/>
            <w:color w:val="0000FF"/>
            <w:spacing w:val="0"/>
            <w:position w:val="0"/>
            <w:sz w:val="22"/>
            <w:u w:val="single"/>
            <w:shd w:fill="auto" w:val="clear"/>
          </w:rPr>
          <w:t xml:space="preserve">https://www.ons.gov.uk/peoplepopulationandcommunity/educationandchildcare/articles/studentvoicesexperiencesoftherisingcostofliving/2023-09-06</w:t>
        </w:r>
      </w:hyperlink>
      <w:r>
        <w:rPr>
          <w:rFonts w:ascii="Arial" w:hAnsi="Arial" w:cs="Arial" w:eastAsia="Arial"/>
          <w:color w:val="auto"/>
          <w:spacing w:val="0"/>
          <w:position w:val="0"/>
          <w:sz w:val="22"/>
          <w:shd w:fill="auto" w:val="clear"/>
        </w:rPr>
        <w:t xml:space="preserve"> (Accessed: 21 July 2026). </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Office for National Statistics (2025) Estimating suicide among higher education students, England and Wales: August 2016 to July 2023. Newport: ONS. Available at: </w:t>
      </w:r>
      <w:hyperlink xmlns:r="http://schemas.openxmlformats.org/officeDocument/2006/relationships" r:id="docRId61">
        <w:r>
          <w:rPr>
            <w:rFonts w:ascii="Arial" w:hAnsi="Arial" w:cs="Arial" w:eastAsia="Arial"/>
            <w:color w:val="0000FF"/>
            <w:spacing w:val="0"/>
            <w:position w:val="0"/>
            <w:sz w:val="22"/>
            <w:u w:val="single"/>
            <w:shd w:fill="auto" w:val="clear"/>
          </w:rPr>
          <w:t xml:space="preserve">https://www.ons.gov.uk/peoplepopulationandcommunity/birthsdeathsandmarriages/deaths/articles/estimatingsuicideamonghighereducationstudentsenglandandwalesexperimentalstatistics/august2016tojuly2023</w:t>
        </w:r>
      </w:hyperlink>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Office for Students (2023a) Analysis of data of students reporting a mental health condition. Ref. OfS 2023.55. Bristol: Office for Students. Available at: </w:t>
      </w:r>
      <w:hyperlink xmlns:r="http://schemas.openxmlformats.org/officeDocument/2006/relationships" r:id="docRId62">
        <w:r>
          <w:rPr>
            <w:rFonts w:ascii="Arial" w:hAnsi="Arial" w:cs="Arial" w:eastAsia="Arial"/>
            <w:color w:val="0000FF"/>
            <w:spacing w:val="0"/>
            <w:position w:val="0"/>
            <w:sz w:val="22"/>
            <w:u w:val="single"/>
            <w:shd w:fill="auto" w:val="clear"/>
          </w:rPr>
          <w:t xml:space="preserve">https://www.officeforstudents.org.uk/publications/analysis-of-data-of-students-reporting-a-mental-health-condition/</w:t>
        </w:r>
      </w:hyperlink>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Office for Students (2023b) Student mental health: Higher education and NHS joined-up working. Available at: </w:t>
      </w:r>
      <w:hyperlink xmlns:r="http://schemas.openxmlformats.org/officeDocument/2006/relationships" r:id="docRId63">
        <w:r>
          <w:rPr>
            <w:rFonts w:ascii="Arial" w:hAnsi="Arial" w:cs="Arial" w:eastAsia="Arial"/>
            <w:color w:val="0000FF"/>
            <w:spacing w:val="0"/>
            <w:position w:val="0"/>
            <w:sz w:val="22"/>
            <w:u w:val="single"/>
            <w:shd w:fill="auto" w:val="clear"/>
          </w:rPr>
          <w:t xml:space="preserve">https://www.officeforstudents.org.uk/publications/student-mental-health-higher-education-and-nhs-joined-up-working/</w:t>
        </w:r>
      </w:hyperlink>
      <w:r>
        <w:rPr>
          <w:rFonts w:ascii="Arial" w:hAnsi="Arial" w:cs="Arial" w:eastAsia="Arial"/>
          <w:color w:val="auto"/>
          <w:spacing w:val="0"/>
          <w:position w:val="0"/>
          <w:sz w:val="22"/>
          <w:shd w:fill="auto" w:val="clear"/>
        </w:rPr>
        <w:t xml:space="preserve"> (Accessed: 21 July 2026). </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Office for Students (2024) Evaluation of the Mental Health Funding Competition: Using innovation and intersectional approaches to target mental health support for students. Available at: </w:t>
      </w:r>
      <w:hyperlink xmlns:r="http://schemas.openxmlformats.org/officeDocument/2006/relationships" r:id="docRId64">
        <w:r>
          <w:rPr>
            <w:rFonts w:ascii="Arial" w:hAnsi="Arial" w:cs="Arial" w:eastAsia="Arial"/>
            <w:color w:val="0000FF"/>
            <w:spacing w:val="0"/>
            <w:position w:val="0"/>
            <w:sz w:val="22"/>
            <w:u w:val="single"/>
            <w:shd w:fill="auto" w:val="clear"/>
          </w:rPr>
          <w:t xml:space="preserve">https://www.officeforstudents.org.uk/publications/mental-health-funding-competition-final-evaluation-reports/</w:t>
        </w:r>
      </w:hyperlink>
      <w:r>
        <w:rPr>
          <w:rFonts w:ascii="Arial" w:hAnsi="Arial" w:cs="Arial" w:eastAsia="Arial"/>
          <w:color w:val="auto"/>
          <w:spacing w:val="0"/>
          <w:position w:val="0"/>
          <w:sz w:val="22"/>
          <w:shd w:fill="auto" w:val="clear"/>
        </w:rPr>
        <w:t xml:space="preserve"> (Accessed: 21 July 2026). </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Olaniyan, F.-V. (2021) 'Paying the widening participation penalty: Racial and ethnic minority students and mental health in British universities', Analyses of Social Issues and Public Policy, 21(1), pp. 761-783. doi: 10.1111/asap.12242. Available at: </w:t>
      </w:r>
      <w:hyperlink xmlns:r="http://schemas.openxmlformats.org/officeDocument/2006/relationships" r:id="docRId65">
        <w:r>
          <w:rPr>
            <w:rFonts w:ascii="Arial" w:hAnsi="Arial" w:cs="Arial" w:eastAsia="Arial"/>
            <w:color w:val="0000FF"/>
            <w:spacing w:val="0"/>
            <w:position w:val="0"/>
            <w:sz w:val="22"/>
            <w:u w:val="single"/>
            <w:shd w:fill="auto" w:val="clear"/>
          </w:rPr>
          <w:t xml:space="preserve">https://doi.org/10.1111/asap.12242</w:t>
        </w:r>
      </w:hyperlink>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Osborn, T.G., Li, S., Saunders, R. and Fonagy, P. (2022) ‘University students’ use of mental health services: A systematic review and meta-analysis’, International Journal of Mental Health Systems, 16, 57. Available at: </w:t>
      </w:r>
      <w:hyperlink xmlns:r="http://schemas.openxmlformats.org/officeDocument/2006/relationships" r:id="docRId66">
        <w:r>
          <w:rPr>
            <w:rFonts w:ascii="Arial" w:hAnsi="Arial" w:cs="Arial" w:eastAsia="Arial"/>
            <w:color w:val="0000FF"/>
            <w:spacing w:val="0"/>
            <w:position w:val="0"/>
            <w:sz w:val="22"/>
            <w:u w:val="single"/>
            <w:shd w:fill="auto" w:val="clear"/>
          </w:rPr>
          <w:t xml:space="preserve">https://doi.org/10.1186/s13033-022-00569-0</w:t>
        </w:r>
      </w:hyperlink>
      <w:r>
        <w:rPr>
          <w:rFonts w:ascii="Arial" w:hAnsi="Arial" w:cs="Arial" w:eastAsia="Arial"/>
          <w:color w:val="auto"/>
          <w:spacing w:val="0"/>
          <w:position w:val="0"/>
          <w:sz w:val="22"/>
          <w:shd w:fill="auto" w:val="clear"/>
        </w:rPr>
        <w:t xml:space="preserve"> </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Page, M.J., McKenzie, J.E., Bossuyt, P.M., Boutron, I., Hoffmann, T.C., Mulrow, C.D., Shamseer, L., Tetzlaff, J.M., Akl, E.A., Brennan, S.E., Chou, R., Glanville, J., Grimshaw, J.M., Hróbjartsson, A., Lalu, M.M., Li, T., Loder, E.W., Mayo-Wilson, E., McDonald, S., McGuinness, L.A., Stewart, L.A., Thomas, J., Tricco, A.C., Welch, V.A., Whiting, P. and Moher, D. (2021) ‘The PRISMA 2020 statement: an updated guideline for reporting systematic reviews’, BMJ, 372, n71. doi: 10.1136/bmj.n71.</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Popay, J., Roberts, H., Sowden, A., Petticrew, M., Arai, L., Rodgers, M., Britten, N., Roen, K. and Duffy, S. (2006) Guidance on the Conduct of Narrative Synthesis in Systematic Reviews. Lancaster: ESRC Methods Programme.</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Porritt, K., McArthur, A., Lockwood, C. and Munn, Z. (2024) ‘Systematic reviews of qualitative evidence’, in Aromataris, E. et al. (eds.) JBI Manual for Evidence Synthesis. Adelaide: JBI.</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Priestley, M., Hall, A., Wilbraham, S.J., Mistry, V., Hughes, G. and Spanner, L. (2022) 'Student perceptions and proposals for promoting wellbeing through social relationships at university', Journal of Further and Higher Education, 46(9), pp. 1243-1256. doi: 10.1080/0309877X.2022.2061844. Available at: </w:t>
      </w:r>
      <w:hyperlink xmlns:r="http://schemas.openxmlformats.org/officeDocument/2006/relationships" r:id="docRId67">
        <w:r>
          <w:rPr>
            <w:rFonts w:ascii="Arial" w:hAnsi="Arial" w:cs="Arial" w:eastAsia="Arial"/>
            <w:color w:val="0000FF"/>
            <w:spacing w:val="0"/>
            <w:position w:val="0"/>
            <w:sz w:val="22"/>
            <w:u w:val="single"/>
            <w:shd w:fill="auto" w:val="clear"/>
          </w:rPr>
          <w:t xml:space="preserve">https://doi.org/10.1080/0309877X.2022.2061844</w:t>
        </w:r>
      </w:hyperlink>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Remskar, M., Atkinson, M.J., Marks, E. and Ainsworth, B. (2022) ‘Understanding university student priorities for mental health and well-being support: A mixed-methods exploration using the person-based approach’, Stress and Health, 38(4), pp. 776-789. Available at: </w:t>
      </w:r>
      <w:hyperlink xmlns:r="http://schemas.openxmlformats.org/officeDocument/2006/relationships" r:id="docRId68">
        <w:r>
          <w:rPr>
            <w:rFonts w:ascii="Arial" w:hAnsi="Arial" w:cs="Arial" w:eastAsia="Arial"/>
            <w:color w:val="0000FF"/>
            <w:spacing w:val="0"/>
            <w:position w:val="0"/>
            <w:sz w:val="22"/>
            <w:u w:val="single"/>
            <w:shd w:fill="auto" w:val="clear"/>
          </w:rPr>
          <w:t xml:space="preserve">https://doi.org/10.1002/smi.3133</w:t>
        </w:r>
      </w:hyperlink>
      <w:r>
        <w:rPr>
          <w:rFonts w:ascii="Arial" w:hAnsi="Arial" w:cs="Arial" w:eastAsia="Arial"/>
          <w:color w:val="auto"/>
          <w:spacing w:val="0"/>
          <w:position w:val="0"/>
          <w:sz w:val="22"/>
          <w:shd w:fill="auto" w:val="clear"/>
        </w:rPr>
        <w:t xml:space="preserve"> </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Rethlefsen, M.L., Kirtley, S., Waffenschmidt, S., Ayala, A.P., Moher, D., Page, M.J. and Koffel, J.B. (2021) ‘PRISMA-S: an extension to the PRISMA statement for reporting literature searches in systematic reviews’, Systematic Reviews, 10, 39. doi: 10.1186/s13643-020-01542-z.</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Shamseer, L., Moher, D., Clarke, M., Ghersi, D., Liberati, A., Petticrew, M., Shekelle, P. and Stewart, L.A. (2015) ‘Preferred reporting items for systematic review and meta-analysis protocols (PRISMA-P) 2015: elaboration and explanation’, Systematic Reviews, 4, 1. doi: 10.1186/2046-4053-4-1.</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Sideropoulos, V., Midouhas, E., Kokosi, T., Brinkert, J., Wong, K.K.Y. and Kambouri, M.A. (2022) 'The effects of cumulative stressful educational events on the mental health of doctoral students during the COVID-19 pandemic', UCL Open: Environment, 4, Article 24. doi: 10.14324/111.444/ucloe.000048. Available at: </w:t>
      </w:r>
      <w:hyperlink xmlns:r="http://schemas.openxmlformats.org/officeDocument/2006/relationships" r:id="docRId69">
        <w:r>
          <w:rPr>
            <w:rFonts w:ascii="Arial" w:hAnsi="Arial" w:cs="Arial" w:eastAsia="Arial"/>
            <w:color w:val="0000FF"/>
            <w:spacing w:val="0"/>
            <w:position w:val="0"/>
            <w:sz w:val="22"/>
            <w:u w:val="single"/>
            <w:shd w:fill="auto" w:val="clear"/>
          </w:rPr>
          <w:t xml:space="preserve">https://doi.org/10.14324/111.444/ucloe.000048</w:t>
        </w:r>
      </w:hyperlink>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Stoll, N., Yalipende, Y., Byrom, N.C., Hatch, S.L. and Lempp, H. (2022) 'Mental health and mental well-being of Black students at UK universities: a review and thematic synthesis', BMJ Open, 12(2), e050720. doi: 10.1136/bmjopen-2021-050720. Available at: </w:t>
      </w:r>
      <w:hyperlink xmlns:r="http://schemas.openxmlformats.org/officeDocument/2006/relationships" r:id="docRId70">
        <w:r>
          <w:rPr>
            <w:rFonts w:ascii="Arial" w:hAnsi="Arial" w:cs="Arial" w:eastAsia="Arial"/>
            <w:color w:val="0000FF"/>
            <w:spacing w:val="0"/>
            <w:position w:val="0"/>
            <w:sz w:val="22"/>
            <w:u w:val="single"/>
            <w:shd w:fill="auto" w:val="clear"/>
          </w:rPr>
          <w:t xml:space="preserve">https://doi.org/10.1136/bmjopen-2021-050720</w:t>
        </w:r>
      </w:hyperlink>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Student Minds (2023) Understanding mental health inequalities: Part-time, distance learner and commuter students. Available at: </w:t>
      </w:r>
      <w:hyperlink xmlns:r="http://schemas.openxmlformats.org/officeDocument/2006/relationships" r:id="docRId71">
        <w:r>
          <w:rPr>
            <w:rFonts w:ascii="Arial" w:hAnsi="Arial" w:cs="Arial" w:eastAsia="Arial"/>
            <w:color w:val="0000FF"/>
            <w:spacing w:val="0"/>
            <w:position w:val="0"/>
            <w:sz w:val="22"/>
            <w:u w:val="single"/>
            <w:shd w:fill="auto" w:val="clear"/>
          </w:rPr>
          <w:t xml:space="preserve">https://www.studentminds.org.uk/reports/understanding-mental-health-inequalities-part-time-distance-learner-and-commuter-students/</w:t>
        </w:r>
      </w:hyperlink>
      <w:r>
        <w:rPr>
          <w:rFonts w:ascii="Arial" w:hAnsi="Arial" w:cs="Arial" w:eastAsia="Arial"/>
          <w:color w:val="auto"/>
          <w:spacing w:val="0"/>
          <w:position w:val="0"/>
          <w:sz w:val="22"/>
          <w:shd w:fill="auto" w:val="clear"/>
        </w:rPr>
        <w:t xml:space="preserve"> (Accessed: 21 July 2026). </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Student Minds (2024) The Student Mental Health Manifesto. Leeds: Student Minds. Available at: </w:t>
      </w:r>
      <w:hyperlink xmlns:r="http://schemas.openxmlformats.org/officeDocument/2006/relationships" r:id="docRId72">
        <w:r>
          <w:rPr>
            <w:rFonts w:ascii="Arial" w:hAnsi="Arial" w:cs="Arial" w:eastAsia="Arial"/>
            <w:color w:val="0000FF"/>
            <w:spacing w:val="0"/>
            <w:position w:val="0"/>
            <w:sz w:val="22"/>
            <w:u w:val="single"/>
            <w:shd w:fill="auto" w:val="clear"/>
          </w:rPr>
          <w:t xml:space="preserve">https://www.studentminds.org.uk/reports/the-student-mental-health-manifesto/</w:t>
        </w:r>
      </w:hyperlink>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Tang, N.K.Y., McEnery, K.A.M., Chandler, L., Toro, C., Walasek, L., Friend, H., Gu, S., Singh, S.P. and Meyer, C. (2022) 'Pandemic and student mental health: mental health symptoms among university students and young adults after the first cycle of lockdown in the UK', BJPsych Open, 8(4), e138. doi: 10.1192/bjo.2022.523. Available at: </w:t>
      </w:r>
      <w:hyperlink xmlns:r="http://schemas.openxmlformats.org/officeDocument/2006/relationships" r:id="docRId73">
        <w:r>
          <w:rPr>
            <w:rFonts w:ascii="Arial" w:hAnsi="Arial" w:cs="Arial" w:eastAsia="Arial"/>
            <w:color w:val="0000FF"/>
            <w:spacing w:val="0"/>
            <w:position w:val="0"/>
            <w:sz w:val="22"/>
            <w:u w:val="single"/>
            <w:shd w:fill="auto" w:val="clear"/>
          </w:rPr>
          <w:t xml:space="preserve">https://doi.org/10.1192/bjo.2022.523</w:t>
        </w:r>
      </w:hyperlink>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Thomas, A., Packer, R. and Dolan, G. (2024) 'Current issues in doctoral supervision practice in the UK', Research in Post-Compulsory Education, 29(1), pp. 158-188. doi: 10.1080/13596748.2023.2285634. Available at: </w:t>
      </w:r>
      <w:hyperlink xmlns:r="http://schemas.openxmlformats.org/officeDocument/2006/relationships" r:id="docRId74">
        <w:r>
          <w:rPr>
            <w:rFonts w:ascii="Arial" w:hAnsi="Arial" w:cs="Arial" w:eastAsia="Arial"/>
            <w:color w:val="0000FF"/>
            <w:spacing w:val="0"/>
            <w:position w:val="0"/>
            <w:sz w:val="22"/>
            <w:u w:val="single"/>
            <w:shd w:fill="auto" w:val="clear"/>
          </w:rPr>
          <w:t xml:space="preserve">https://doi.org/10.1080/13596748.2023.2285634</w:t>
        </w:r>
      </w:hyperlink>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Thomas, J. and Harden, A. (2008) ‘Methods for the thematic synthesis of qualitative research in systematic reviews’, BMC Medical Research Methodology, 8, 45. doi: 10.1186/1471-2288-8-45.</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Tong, A., Flemming, K., McInnes, E., Oliver, S. and Craig, J. (2012) ‘Enhancing transparency in reporting the synthesis of qualitative research: ENTREQ’, BMC Medical Research Methodology, 12, 181. doi: 10.1186/1471-2288-12-181.</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UK Council for Graduate Education (2022) Supporting excellent supervisory practice across UKRI doctoral training investments. Lichfield: UKCGE. Available at: </w:t>
      </w:r>
      <w:hyperlink xmlns:r="http://schemas.openxmlformats.org/officeDocument/2006/relationships" r:id="docRId75">
        <w:r>
          <w:rPr>
            <w:rFonts w:ascii="Arial" w:hAnsi="Arial" w:cs="Arial" w:eastAsia="Arial"/>
            <w:color w:val="0000FF"/>
            <w:spacing w:val="0"/>
            <w:position w:val="0"/>
            <w:sz w:val="22"/>
            <w:u w:val="single"/>
            <w:shd w:fill="auto" w:val="clear"/>
          </w:rPr>
          <w:t xml:space="preserve">https://www.ukri.org/publications/supporting-excellent-supervisory-practice-across-ukri-doctoral-training-investments/</w:t>
        </w:r>
      </w:hyperlink>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Universities UK (2023) Stepchange: Mentally healthy universities. Available at: </w:t>
      </w:r>
      <w:hyperlink xmlns:r="http://schemas.openxmlformats.org/officeDocument/2006/relationships" r:id="docRId76">
        <w:r>
          <w:rPr>
            <w:rFonts w:ascii="Arial" w:hAnsi="Arial" w:cs="Arial" w:eastAsia="Arial"/>
            <w:color w:val="0000FF"/>
            <w:spacing w:val="0"/>
            <w:position w:val="0"/>
            <w:sz w:val="22"/>
            <w:u w:val="single"/>
            <w:shd w:fill="auto" w:val="clear"/>
          </w:rPr>
          <w:t xml:space="preserve">https://www.universitiesuk.ac.uk/what-we-do/policy-and-research/publications/stepchange-mentally-healthy-universities</w:t>
        </w:r>
      </w:hyperlink>
      <w:r>
        <w:rPr>
          <w:rFonts w:ascii="Arial" w:hAnsi="Arial" w:cs="Arial" w:eastAsia="Arial"/>
          <w:color w:val="auto"/>
          <w:spacing w:val="0"/>
          <w:position w:val="0"/>
          <w:sz w:val="22"/>
          <w:shd w:fill="auto" w:val="clear"/>
        </w:rPr>
        <w:t xml:space="preserve"> (Accessed: 21 July 2026). </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Vasileiou, K., Barnett, J., Barreto, M., Vines, J., Atkinson, M., Long, K., Bakewell, L., Lawson, S. and Wilson, M. (2019) 'Coping with loneliness at University: a qualitative interview study with students in the UK', Mental Health &amp; Prevention, 13, pp. 21-30. doi: 10.1016/j.mhp.2018.11.002. Available at: </w:t>
      </w:r>
      <w:hyperlink xmlns:r="http://schemas.openxmlformats.org/officeDocument/2006/relationships" r:id="docRId77">
        <w:r>
          <w:rPr>
            <w:rFonts w:ascii="Arial" w:hAnsi="Arial" w:cs="Arial" w:eastAsia="Arial"/>
            <w:color w:val="0000FF"/>
            <w:spacing w:val="0"/>
            <w:position w:val="0"/>
            <w:sz w:val="22"/>
            <w:u w:val="single"/>
            <w:shd w:fill="auto" w:val="clear"/>
          </w:rPr>
          <w:t xml:space="preserve">https://doi.org/10.1016/j.mhp.2018.11.002</w:t>
        </w:r>
      </w:hyperlink>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Wadman, R., Webster, L., Mawn, L. and Stain, H.J. (2019) 'Adult attachment, psychological distress and help-seeking in university students: Findings from a cross-sectional online survey in England', Mental Health &amp; Prevention, 13, pp. 7-13. doi: 10.1016/j.mhp.2018.11.003. Available at: </w:t>
      </w:r>
      <w:hyperlink xmlns:r="http://schemas.openxmlformats.org/officeDocument/2006/relationships" r:id="docRId78">
        <w:r>
          <w:rPr>
            <w:rFonts w:ascii="Arial" w:hAnsi="Arial" w:cs="Arial" w:eastAsia="Arial"/>
            <w:color w:val="0000FF"/>
            <w:spacing w:val="0"/>
            <w:position w:val="0"/>
            <w:sz w:val="22"/>
            <w:u w:val="single"/>
            <w:shd w:fill="auto" w:val="clear"/>
          </w:rPr>
          <w:t xml:space="preserve">https://doi.org/10.1016/j.mhp.2018.11.003</w:t>
        </w:r>
      </w:hyperlink>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Wagner, A.P., Galante, J., Dufour, G., Barton, G., Stochl, J., Vainre, M. and Jones, P.B. (2023) 'Cost-effectiveness of providing university students with a mindfulness-based intervention to reduce psychological distress: economic evaluation of a pragmatic randomised controlled trial', BMJ Open, 13(11), e071724. doi: 10.1136/bmjopen-2023-071724. Available at: </w:t>
      </w:r>
      <w:hyperlink xmlns:r="http://schemas.openxmlformats.org/officeDocument/2006/relationships" r:id="docRId79">
        <w:r>
          <w:rPr>
            <w:rFonts w:ascii="Arial" w:hAnsi="Arial" w:cs="Arial" w:eastAsia="Arial"/>
            <w:color w:val="0000FF"/>
            <w:spacing w:val="0"/>
            <w:position w:val="0"/>
            <w:sz w:val="22"/>
            <w:u w:val="single"/>
            <w:shd w:fill="auto" w:val="clear"/>
          </w:rPr>
          <w:t xml:space="preserve">https://doi.org/10.1136/bmjopen-2023-071724</w:t>
        </w:r>
      </w:hyperlink>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Waight, E. and Giordano, A. (2018) 'Doctoral students' access to non-academic support for mental health', Journal of Higher Education Policy and Management, 40(4), pp. 390-412. doi: 10.1080/1360080X.2018.1478613. Available at: </w:t>
      </w:r>
      <w:hyperlink xmlns:r="http://schemas.openxmlformats.org/officeDocument/2006/relationships" r:id="docRId80">
        <w:r>
          <w:rPr>
            <w:rFonts w:ascii="Arial" w:hAnsi="Arial" w:cs="Arial" w:eastAsia="Arial"/>
            <w:color w:val="0000FF"/>
            <w:spacing w:val="0"/>
            <w:position w:val="0"/>
            <w:sz w:val="22"/>
            <w:u w:val="single"/>
            <w:shd w:fill="auto" w:val="clear"/>
          </w:rPr>
          <w:t xml:space="preserve">https://doi.org/10.1080/1360080X.2018.1478613</w:t>
        </w:r>
      </w:hyperlink>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Wavehill (2022) Evaluation of the Mental Health Challenge Competition: Final Report to the Office for Students. Bristol: Office for Students. Available at: </w:t>
      </w:r>
      <w:hyperlink xmlns:r="http://schemas.openxmlformats.org/officeDocument/2006/relationships" r:id="docRId81">
        <w:r>
          <w:rPr>
            <w:rFonts w:ascii="Arial" w:hAnsi="Arial" w:cs="Arial" w:eastAsia="Arial"/>
            <w:color w:val="0000FF"/>
            <w:spacing w:val="0"/>
            <w:position w:val="0"/>
            <w:sz w:val="22"/>
            <w:u w:val="single"/>
            <w:shd w:fill="auto" w:val="clear"/>
          </w:rPr>
          <w:t xml:space="preserve">https://www.officeforstudents.org.uk/publications/evaluation-of-mental-health-challenge-competition-final-reports/</w:t>
        </w:r>
      </w:hyperlink>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White, N., Milicev, J., Bradford, D.R.R., Rodger, A. and Gardani, M. (2024) ‘The mental labyrinth of postgraduate research: a qualitative study of postgraduate mental health and wellbeing and the impact of the supervisory relationship’, Higher Education, 87, pp. 1211-1226. doi: 10.1007/s10734-023-01061-5.</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World Health Organization (2022) World mental health report: Transforming mental health for all. Geneva: World Health Organization. Available at: </w:t>
      </w:r>
      <w:hyperlink xmlns:r="http://schemas.openxmlformats.org/officeDocument/2006/relationships" r:id="docRId82">
        <w:r>
          <w:rPr>
            <w:rFonts w:ascii="Arial" w:hAnsi="Arial" w:cs="Arial" w:eastAsia="Arial"/>
            <w:color w:val="0000FF"/>
            <w:spacing w:val="0"/>
            <w:position w:val="0"/>
            <w:sz w:val="22"/>
            <w:u w:val="single"/>
            <w:shd w:fill="auto" w:val="clear"/>
          </w:rPr>
          <w:t xml:space="preserve">https://www.who.int/publications/i/item/9789240049338</w:t>
        </w:r>
      </w:hyperlink>
      <w:r>
        <w:rPr>
          <w:rFonts w:ascii="Arial" w:hAnsi="Arial" w:cs="Arial" w:eastAsia="Arial"/>
          <w:color w:val="auto"/>
          <w:spacing w:val="0"/>
          <w:position w:val="0"/>
          <w:sz w:val="22"/>
          <w:shd w:fill="auto" w:val="clear"/>
        </w:rPr>
        <w:t xml:space="preserve"> (Accessed: 21 July 2026). </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Worsley, J.D., Pennington, A. and Corcoran, R. (2022) ‘Supporting mental health and wellbeing of university and college students: A systematic review of review-level evidence of interventions’, PLOS ONE, 17(7), e0266725. Available at: </w:t>
      </w:r>
      <w:hyperlink xmlns:r="http://schemas.openxmlformats.org/officeDocument/2006/relationships" r:id="docRId83">
        <w:r>
          <w:rPr>
            <w:rFonts w:ascii="Arial" w:hAnsi="Arial" w:cs="Arial" w:eastAsia="Arial"/>
            <w:color w:val="0000FF"/>
            <w:spacing w:val="0"/>
            <w:position w:val="0"/>
            <w:sz w:val="22"/>
            <w:u w:val="single"/>
            <w:shd w:fill="auto" w:val="clear"/>
          </w:rPr>
          <w:t xml:space="preserve">https://doi.org/10.1371/journal.pone.0266725</w:t>
        </w:r>
      </w:hyperlink>
    </w:p>
    <w:p>
      <w:pPr>
        <w:spacing w:before="0" w:after="160" w:line="259"/>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 </w:t>
      </w:r>
    </w:p>
    <w:p>
      <w:pPr>
        <w:spacing w:before="0" w:after="160" w:line="259"/>
        <w:ind w:right="0" w:left="0" w:firstLine="0"/>
        <w:jc w:val="left"/>
        <w:rPr>
          <w:rFonts w:ascii="Arial" w:hAnsi="Arial" w:cs="Arial" w:eastAsia="Arial"/>
          <w:color w:val="auto"/>
          <w:spacing w:val="0"/>
          <w:position w:val="0"/>
          <w:sz w:val="22"/>
          <w:shd w:fill="auto" w:val="clear"/>
        </w:rPr>
      </w:pPr>
    </w:p>
    <w:p>
      <w:pPr>
        <w:keepNext w:val="true"/>
        <w:keepLines w:val="true"/>
        <w:spacing w:before="240" w:after="240" w:line="276"/>
        <w:ind w:right="0" w:left="0" w:firstLine="0"/>
        <w:jc w:val="center"/>
        <w:rPr>
          <w:rFonts w:ascii="Arial" w:hAnsi="Arial" w:cs="Arial" w:eastAsia="Arial"/>
          <w:b/>
          <w:color w:val="auto"/>
          <w:spacing w:val="0"/>
          <w:position w:val="0"/>
          <w:sz w:val="32"/>
          <w:shd w:fill="DBDBDB" w:val="clear"/>
        </w:rPr>
      </w:pPr>
      <w:r>
        <w:rPr>
          <w:rFonts w:ascii="Arial" w:hAnsi="Arial" w:cs="Arial" w:eastAsia="Arial"/>
          <w:b/>
          <w:color w:val="auto"/>
          <w:spacing w:val="0"/>
          <w:position w:val="0"/>
          <w:sz w:val="32"/>
          <w:shd w:fill="DBDBDB" w:val="clear"/>
        </w:rPr>
        <w:t xml:space="preserve">Appendices</w:t>
      </w:r>
    </w:p>
    <w:p>
      <w:pPr>
        <w:keepNext w:val="true"/>
        <w:keepLines w:val="true"/>
        <w:spacing w:before="40" w:after="0" w:line="360"/>
        <w:ind w:right="0" w:left="0" w:firstLine="0"/>
        <w:jc w:val="both"/>
        <w:rPr>
          <w:rFonts w:ascii="Arial" w:hAnsi="Arial" w:cs="Arial" w:eastAsia="Arial"/>
          <w:b/>
          <w:color w:val="auto"/>
          <w:spacing w:val="0"/>
          <w:position w:val="0"/>
          <w:sz w:val="28"/>
          <w:shd w:fill="auto" w:val="clear"/>
        </w:rPr>
      </w:pPr>
      <w:r>
        <w:rPr>
          <w:rFonts w:ascii="Arial" w:hAnsi="Arial" w:cs="Arial" w:eastAsia="Arial"/>
          <w:b/>
          <w:color w:val="auto"/>
          <w:spacing w:val="0"/>
          <w:position w:val="0"/>
          <w:sz w:val="28"/>
          <w:shd w:fill="auto" w:val="clear"/>
        </w:rPr>
        <w:t xml:space="preserve">Appendix 1: CASP Critical Appraisal of Qualitative Studies</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b/>
          <w:color w:val="auto"/>
          <w:spacing w:val="0"/>
          <w:position w:val="0"/>
          <w:sz w:val="22"/>
          <w:shd w:fill="auto" w:val="clear"/>
        </w:rPr>
        <w:t xml:space="preserve">CASP (2024) Critical Appraisal Tool for Qualitative Research</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b/>
          <w:color w:val="auto"/>
          <w:spacing w:val="0"/>
          <w:position w:val="0"/>
          <w:sz w:val="22"/>
          <w:shd w:fill="auto" w:val="clear"/>
        </w:rPr>
        <w:t xml:space="preserve">Key:</w:t>
      </w:r>
      <w:r>
        <w:rPr>
          <w:rFonts w:ascii="Arial" w:hAnsi="Arial" w:cs="Arial" w:eastAsia="Arial"/>
          <w:color w:val="auto"/>
          <w:spacing w:val="0"/>
          <w:position w:val="0"/>
          <w:sz w:val="22"/>
          <w:shd w:fill="auto" w:val="clear"/>
        </w:rPr>
        <w:t xml:space="preserve"> Y = Yes; P = Partial; N = No; U = Unclear; N/A = Not applicable.</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This appendix reports the CASP assessment of the qualitative studies included in the review. It uses the same ten-question structure as the CASP format supplied in the example document. </w:t>
      </w:r>
    </w:p>
    <w:p>
      <w:pPr>
        <w:spacing w:before="0" w:after="160" w:line="360"/>
        <w:ind w:right="0" w:left="0" w:firstLine="0"/>
        <w:jc w:val="both"/>
        <w:rPr>
          <w:rFonts w:ascii="Arial" w:hAnsi="Arial" w:cs="Arial" w:eastAsia="Arial"/>
          <w:b/>
          <w:color w:val="auto"/>
          <w:spacing w:val="0"/>
          <w:position w:val="0"/>
          <w:sz w:val="22"/>
          <w:u w:val="single"/>
          <w:shd w:fill="auto" w:val="clear"/>
        </w:rPr>
      </w:pPr>
      <w:r>
        <w:rPr>
          <w:rFonts w:ascii="Arial" w:hAnsi="Arial" w:cs="Arial" w:eastAsia="Arial"/>
          <w:b/>
          <w:color w:val="auto"/>
          <w:spacing w:val="0"/>
          <w:position w:val="0"/>
          <w:sz w:val="22"/>
          <w:u w:val="single"/>
          <w:shd w:fill="auto" w:val="clear"/>
        </w:rPr>
        <w:t xml:space="preserve">Appendix Table A1.1: CASP appraisal of qualitative studies</w:t>
      </w:r>
    </w:p>
    <w:tbl>
      <w:tblPr/>
      <w:tblGrid>
        <w:gridCol w:w="2011"/>
        <w:gridCol w:w="2107"/>
        <w:gridCol w:w="1791"/>
        <w:gridCol w:w="1695"/>
        <w:gridCol w:w="1972"/>
      </w:tblGrid>
      <w:tr>
        <w:trPr>
          <w:trHeight w:val="1" w:hRule="atLeast"/>
          <w:jc w:val="left"/>
        </w:trPr>
        <w:tc>
          <w:tcPr>
            <w:tcW w:w="2011"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360"/>
              <w:ind w:right="0" w:left="0" w:firstLine="0"/>
              <w:jc w:val="both"/>
              <w:rPr>
                <w:color w:val="auto"/>
                <w:spacing w:val="0"/>
                <w:position w:val="0"/>
                <w:shd w:fill="auto" w:val="clear"/>
              </w:rPr>
            </w:pPr>
            <w:r>
              <w:rPr>
                <w:rFonts w:ascii="Arial" w:hAnsi="Arial" w:cs="Arial" w:eastAsia="Arial"/>
                <w:b/>
                <w:color w:val="auto"/>
                <w:spacing w:val="0"/>
                <w:position w:val="0"/>
                <w:sz w:val="16"/>
                <w:shd w:fill="auto" w:val="clear"/>
              </w:rPr>
              <w:t xml:space="preserve">CASP question</w:t>
            </w:r>
          </w:p>
        </w:tc>
        <w:tc>
          <w:tcPr>
            <w:tcW w:w="210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360"/>
              <w:ind w:right="0" w:left="0" w:firstLine="0"/>
              <w:jc w:val="both"/>
              <w:rPr>
                <w:color w:val="auto"/>
                <w:spacing w:val="0"/>
                <w:position w:val="0"/>
                <w:shd w:fill="auto" w:val="clear"/>
              </w:rPr>
            </w:pPr>
            <w:r>
              <w:rPr>
                <w:rFonts w:ascii="Arial" w:hAnsi="Arial" w:cs="Arial" w:eastAsia="Arial"/>
                <w:b/>
                <w:color w:val="auto"/>
                <w:spacing w:val="0"/>
                <w:position w:val="0"/>
                <w:sz w:val="16"/>
                <w:shd w:fill="auto" w:val="clear"/>
              </w:rPr>
              <w:t xml:space="preserve">White et al. (2024)</w:t>
            </w:r>
          </w:p>
        </w:tc>
        <w:tc>
          <w:tcPr>
            <w:tcW w:w="1791"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360"/>
              <w:ind w:right="0" w:left="0" w:firstLine="0"/>
              <w:jc w:val="both"/>
              <w:rPr>
                <w:color w:val="auto"/>
                <w:spacing w:val="0"/>
                <w:position w:val="0"/>
                <w:shd w:fill="auto" w:val="clear"/>
              </w:rPr>
            </w:pPr>
            <w:r>
              <w:rPr>
                <w:rFonts w:ascii="Arial" w:hAnsi="Arial" w:cs="Arial" w:eastAsia="Arial"/>
                <w:b/>
                <w:color w:val="auto"/>
                <w:spacing w:val="0"/>
                <w:position w:val="0"/>
                <w:sz w:val="16"/>
                <w:shd w:fill="auto" w:val="clear"/>
              </w:rPr>
              <w:t xml:space="preserve">Casey et al. (2024b)</w:t>
            </w:r>
          </w:p>
        </w:tc>
        <w:tc>
          <w:tcPr>
            <w:tcW w:w="169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360"/>
              <w:ind w:right="0" w:left="0" w:firstLine="0"/>
              <w:jc w:val="both"/>
              <w:rPr>
                <w:color w:val="auto"/>
                <w:spacing w:val="0"/>
                <w:position w:val="0"/>
                <w:shd w:fill="auto" w:val="clear"/>
              </w:rPr>
            </w:pPr>
            <w:r>
              <w:rPr>
                <w:rFonts w:ascii="Arial" w:hAnsi="Arial" w:cs="Arial" w:eastAsia="Arial"/>
                <w:b/>
                <w:color w:val="auto"/>
                <w:spacing w:val="0"/>
                <w:position w:val="0"/>
                <w:sz w:val="16"/>
                <w:shd w:fill="auto" w:val="clear"/>
              </w:rPr>
              <w:t xml:space="preserve">Hazell et al. (2025)</w:t>
            </w:r>
          </w:p>
        </w:tc>
        <w:tc>
          <w:tcPr>
            <w:tcW w:w="197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360"/>
              <w:ind w:right="0" w:left="0" w:firstLine="0"/>
              <w:jc w:val="both"/>
              <w:rPr>
                <w:color w:val="auto"/>
                <w:spacing w:val="0"/>
                <w:position w:val="0"/>
                <w:shd w:fill="auto" w:val="clear"/>
              </w:rPr>
            </w:pPr>
            <w:r>
              <w:rPr>
                <w:rFonts w:ascii="Arial" w:hAnsi="Arial" w:cs="Arial" w:eastAsia="Arial"/>
                <w:b/>
                <w:color w:val="auto"/>
                <w:spacing w:val="0"/>
                <w:position w:val="0"/>
                <w:sz w:val="16"/>
                <w:shd w:fill="auto" w:val="clear"/>
              </w:rPr>
              <w:t xml:space="preserve">Marshall et al. (2026)</w:t>
            </w:r>
          </w:p>
        </w:tc>
      </w:tr>
      <w:tr>
        <w:trPr>
          <w:trHeight w:val="1" w:hRule="atLeast"/>
          <w:jc w:val="left"/>
        </w:trPr>
        <w:tc>
          <w:tcPr>
            <w:tcW w:w="2011"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360"/>
              <w:ind w:right="0" w:left="0" w:firstLine="0"/>
              <w:jc w:val="both"/>
              <w:rPr>
                <w:color w:val="auto"/>
                <w:spacing w:val="0"/>
                <w:position w:val="0"/>
                <w:shd w:fill="auto" w:val="clear"/>
              </w:rPr>
            </w:pPr>
            <w:r>
              <w:rPr>
                <w:rFonts w:ascii="Arial" w:hAnsi="Arial" w:cs="Arial" w:eastAsia="Arial"/>
                <w:b/>
                <w:color w:val="auto"/>
                <w:spacing w:val="0"/>
                <w:position w:val="0"/>
                <w:sz w:val="16"/>
                <w:shd w:fill="auto" w:val="clear"/>
              </w:rPr>
              <w:t xml:space="preserve">1. Was there a clear statement of the aims of the research?</w:t>
            </w:r>
          </w:p>
        </w:tc>
        <w:tc>
          <w:tcPr>
            <w:tcW w:w="210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360"/>
              <w:ind w:right="0" w:left="0" w:firstLine="0"/>
              <w:jc w:val="both"/>
              <w:rPr>
                <w:color w:val="auto"/>
                <w:spacing w:val="0"/>
                <w:position w:val="0"/>
                <w:shd w:fill="auto" w:val="clear"/>
              </w:rPr>
            </w:pPr>
            <w:r>
              <w:rPr>
                <w:rFonts w:ascii="Arial" w:hAnsi="Arial" w:cs="Arial" w:eastAsia="Arial"/>
                <w:b/>
                <w:color w:val="auto"/>
                <w:spacing w:val="0"/>
                <w:position w:val="0"/>
                <w:sz w:val="16"/>
                <w:shd w:fill="auto" w:val="clear"/>
              </w:rPr>
              <w:t xml:space="preserve">Y</w:t>
            </w:r>
            <w:r>
              <w:rPr>
                <w:rFonts w:ascii="Arial" w:hAnsi="Arial" w:cs="Arial" w:eastAsia="Arial"/>
                <w:color w:val="auto"/>
                <w:spacing w:val="0"/>
                <w:position w:val="0"/>
                <w:sz w:val="16"/>
                <w:shd w:fill="auto" w:val="clear"/>
              </w:rPr>
              <w:t xml:space="preserve"> </w:t>
            </w:r>
            <w:r>
              <w:rPr>
                <w:rFonts w:ascii="Arial" w:hAnsi="Arial" w:cs="Arial" w:eastAsia="Arial"/>
                <w:color w:val="auto"/>
                <w:spacing w:val="0"/>
                <w:position w:val="0"/>
                <w:sz w:val="16"/>
                <w:shd w:fill="auto" w:val="clear"/>
              </w:rPr>
              <w:t xml:space="preserve">–</w:t>
            </w:r>
            <w:r>
              <w:rPr>
                <w:rFonts w:ascii="Arial" w:hAnsi="Arial" w:cs="Arial" w:eastAsia="Arial"/>
                <w:color w:val="auto"/>
                <w:spacing w:val="0"/>
                <w:position w:val="0"/>
                <w:sz w:val="16"/>
                <w:shd w:fill="auto" w:val="clear"/>
              </w:rPr>
              <w:t xml:space="preserve"> clear focus on structural and contextual influences on PGR wellbeing</w:t>
            </w:r>
          </w:p>
        </w:tc>
        <w:tc>
          <w:tcPr>
            <w:tcW w:w="1791"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360"/>
              <w:ind w:right="0" w:left="0" w:firstLine="0"/>
              <w:jc w:val="both"/>
              <w:rPr>
                <w:color w:val="auto"/>
                <w:spacing w:val="0"/>
                <w:position w:val="0"/>
                <w:shd w:fill="auto" w:val="clear"/>
              </w:rPr>
            </w:pPr>
            <w:r>
              <w:rPr>
                <w:rFonts w:ascii="Arial" w:hAnsi="Arial" w:cs="Arial" w:eastAsia="Arial"/>
                <w:b/>
                <w:color w:val="auto"/>
                <w:spacing w:val="0"/>
                <w:position w:val="0"/>
                <w:sz w:val="16"/>
                <w:shd w:fill="auto" w:val="clear"/>
              </w:rPr>
              <w:t xml:space="preserve">Y</w:t>
            </w:r>
            <w:r>
              <w:rPr>
                <w:rFonts w:ascii="Arial" w:hAnsi="Arial" w:cs="Arial" w:eastAsia="Arial"/>
                <w:color w:val="auto"/>
                <w:spacing w:val="0"/>
                <w:position w:val="0"/>
                <w:sz w:val="16"/>
                <w:shd w:fill="auto" w:val="clear"/>
              </w:rPr>
              <w:t xml:space="preserve"> </w:t>
            </w:r>
            <w:r>
              <w:rPr>
                <w:rFonts w:ascii="Arial" w:hAnsi="Arial" w:cs="Arial" w:eastAsia="Arial"/>
                <w:color w:val="auto"/>
                <w:spacing w:val="0"/>
                <w:position w:val="0"/>
                <w:sz w:val="16"/>
                <w:shd w:fill="auto" w:val="clear"/>
              </w:rPr>
              <w:t xml:space="preserve">–</w:t>
            </w:r>
            <w:r>
              <w:rPr>
                <w:rFonts w:ascii="Arial" w:hAnsi="Arial" w:cs="Arial" w:eastAsia="Arial"/>
                <w:color w:val="auto"/>
                <w:spacing w:val="0"/>
                <w:position w:val="0"/>
                <w:sz w:val="16"/>
                <w:shd w:fill="auto" w:val="clear"/>
              </w:rPr>
              <w:t xml:space="preserve"> pilot support study had a defined mental-health/support focus</w:t>
            </w:r>
          </w:p>
        </w:tc>
        <w:tc>
          <w:tcPr>
            <w:tcW w:w="169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360"/>
              <w:ind w:right="0" w:left="0" w:firstLine="0"/>
              <w:jc w:val="both"/>
              <w:rPr>
                <w:color w:val="auto"/>
                <w:spacing w:val="0"/>
                <w:position w:val="0"/>
                <w:shd w:fill="auto" w:val="clear"/>
              </w:rPr>
            </w:pPr>
            <w:r>
              <w:rPr>
                <w:rFonts w:ascii="Arial" w:hAnsi="Arial" w:cs="Arial" w:eastAsia="Arial"/>
                <w:b/>
                <w:color w:val="auto"/>
                <w:spacing w:val="0"/>
                <w:position w:val="0"/>
                <w:sz w:val="16"/>
                <w:shd w:fill="auto" w:val="clear"/>
              </w:rPr>
              <w:t xml:space="preserve">Y</w:t>
            </w:r>
            <w:r>
              <w:rPr>
                <w:rFonts w:ascii="Arial" w:hAnsi="Arial" w:cs="Arial" w:eastAsia="Arial"/>
                <w:color w:val="auto"/>
                <w:spacing w:val="0"/>
                <w:position w:val="0"/>
                <w:sz w:val="16"/>
                <w:shd w:fill="auto" w:val="clear"/>
              </w:rPr>
              <w:t xml:space="preserve"> </w:t>
            </w:r>
            <w:r>
              <w:rPr>
                <w:rFonts w:ascii="Arial" w:hAnsi="Arial" w:cs="Arial" w:eastAsia="Arial"/>
                <w:color w:val="auto"/>
                <w:spacing w:val="0"/>
                <w:position w:val="0"/>
                <w:sz w:val="16"/>
                <w:shd w:fill="auto" w:val="clear"/>
              </w:rPr>
              <w:t xml:space="preserve">–</w:t>
            </w:r>
            <w:r>
              <w:rPr>
                <w:rFonts w:ascii="Arial" w:hAnsi="Arial" w:cs="Arial" w:eastAsia="Arial"/>
                <w:color w:val="auto"/>
                <w:spacing w:val="0"/>
                <w:position w:val="0"/>
                <w:sz w:val="16"/>
                <w:shd w:fill="auto" w:val="clear"/>
              </w:rPr>
              <w:t xml:space="preserve"> clear focus on supervision and doctoral mental health</w:t>
            </w:r>
          </w:p>
        </w:tc>
        <w:tc>
          <w:tcPr>
            <w:tcW w:w="197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360"/>
              <w:ind w:right="0" w:left="0" w:firstLine="0"/>
              <w:jc w:val="both"/>
              <w:rPr>
                <w:color w:val="auto"/>
                <w:spacing w:val="0"/>
                <w:position w:val="0"/>
                <w:shd w:fill="auto" w:val="clear"/>
              </w:rPr>
            </w:pPr>
            <w:r>
              <w:rPr>
                <w:rFonts w:ascii="Arial" w:hAnsi="Arial" w:cs="Arial" w:eastAsia="Arial"/>
                <w:b/>
                <w:color w:val="auto"/>
                <w:spacing w:val="0"/>
                <w:position w:val="0"/>
                <w:sz w:val="16"/>
                <w:shd w:fill="auto" w:val="clear"/>
              </w:rPr>
              <w:t xml:space="preserve">Y</w:t>
            </w:r>
            <w:r>
              <w:rPr>
                <w:rFonts w:ascii="Arial" w:hAnsi="Arial" w:cs="Arial" w:eastAsia="Arial"/>
                <w:color w:val="auto"/>
                <w:spacing w:val="0"/>
                <w:position w:val="0"/>
                <w:sz w:val="16"/>
                <w:shd w:fill="auto" w:val="clear"/>
              </w:rPr>
              <w:t xml:space="preserve"> </w:t>
            </w:r>
            <w:r>
              <w:rPr>
                <w:rFonts w:ascii="Arial" w:hAnsi="Arial" w:cs="Arial" w:eastAsia="Arial"/>
                <w:color w:val="auto"/>
                <w:spacing w:val="0"/>
                <w:position w:val="0"/>
                <w:sz w:val="16"/>
                <w:shd w:fill="auto" w:val="clear"/>
              </w:rPr>
              <w:t xml:space="preserve">–</w:t>
            </w:r>
            <w:r>
              <w:rPr>
                <w:rFonts w:ascii="Arial" w:hAnsi="Arial" w:cs="Arial" w:eastAsia="Arial"/>
                <w:color w:val="auto"/>
                <w:spacing w:val="0"/>
                <w:position w:val="0"/>
                <w:sz w:val="16"/>
                <w:shd w:fill="auto" w:val="clear"/>
              </w:rPr>
              <w:t xml:space="preserve"> clear focus on factors supporting or hindering PGT wellbeing</w:t>
            </w:r>
          </w:p>
        </w:tc>
      </w:tr>
      <w:tr>
        <w:trPr>
          <w:trHeight w:val="1" w:hRule="atLeast"/>
          <w:jc w:val="left"/>
        </w:trPr>
        <w:tc>
          <w:tcPr>
            <w:tcW w:w="2011"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360"/>
              <w:ind w:right="0" w:left="0" w:firstLine="0"/>
              <w:jc w:val="both"/>
              <w:rPr>
                <w:color w:val="auto"/>
                <w:spacing w:val="0"/>
                <w:position w:val="0"/>
                <w:shd w:fill="auto" w:val="clear"/>
              </w:rPr>
            </w:pPr>
            <w:r>
              <w:rPr>
                <w:rFonts w:ascii="Arial" w:hAnsi="Arial" w:cs="Arial" w:eastAsia="Arial"/>
                <w:b/>
                <w:color w:val="auto"/>
                <w:spacing w:val="0"/>
                <w:position w:val="0"/>
                <w:sz w:val="16"/>
                <w:shd w:fill="auto" w:val="clear"/>
              </w:rPr>
              <w:t xml:space="preserve">2. Is a qualitative methodology appropriate?</w:t>
            </w:r>
          </w:p>
        </w:tc>
        <w:tc>
          <w:tcPr>
            <w:tcW w:w="210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360"/>
              <w:ind w:right="0" w:left="0" w:firstLine="0"/>
              <w:jc w:val="both"/>
              <w:rPr>
                <w:color w:val="auto"/>
                <w:spacing w:val="0"/>
                <w:position w:val="0"/>
                <w:shd w:fill="auto" w:val="clear"/>
              </w:rPr>
            </w:pPr>
            <w:r>
              <w:rPr>
                <w:rFonts w:ascii="Arial" w:hAnsi="Arial" w:cs="Arial" w:eastAsia="Arial"/>
                <w:b/>
                <w:color w:val="auto"/>
                <w:spacing w:val="0"/>
                <w:position w:val="0"/>
                <w:sz w:val="16"/>
                <w:shd w:fill="auto" w:val="clear"/>
              </w:rPr>
              <w:t xml:space="preserve">Y</w:t>
            </w:r>
            <w:r>
              <w:rPr>
                <w:rFonts w:ascii="Arial" w:hAnsi="Arial" w:cs="Arial" w:eastAsia="Arial"/>
                <w:color w:val="auto"/>
                <w:spacing w:val="0"/>
                <w:position w:val="0"/>
                <w:sz w:val="16"/>
                <w:shd w:fill="auto" w:val="clear"/>
              </w:rPr>
              <w:t xml:space="preserve"> </w:t>
            </w:r>
            <w:r>
              <w:rPr>
                <w:rFonts w:ascii="Arial" w:hAnsi="Arial" w:cs="Arial" w:eastAsia="Arial"/>
                <w:color w:val="auto"/>
                <w:spacing w:val="0"/>
                <w:position w:val="0"/>
                <w:sz w:val="16"/>
                <w:shd w:fill="auto" w:val="clear"/>
              </w:rPr>
              <w:t xml:space="preserve">–</w:t>
            </w:r>
            <w:r>
              <w:rPr>
                <w:rFonts w:ascii="Arial" w:hAnsi="Arial" w:cs="Arial" w:eastAsia="Arial"/>
                <w:color w:val="auto"/>
                <w:spacing w:val="0"/>
                <w:position w:val="0"/>
                <w:sz w:val="16"/>
                <w:shd w:fill="auto" w:val="clear"/>
              </w:rPr>
              <w:t xml:space="preserve"> appropriate for examining experiences and structural influences</w:t>
            </w:r>
          </w:p>
        </w:tc>
        <w:tc>
          <w:tcPr>
            <w:tcW w:w="1791"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360"/>
              <w:ind w:right="0" w:left="0" w:firstLine="0"/>
              <w:jc w:val="both"/>
              <w:rPr>
                <w:color w:val="auto"/>
                <w:spacing w:val="0"/>
                <w:position w:val="0"/>
                <w:shd w:fill="auto" w:val="clear"/>
              </w:rPr>
            </w:pPr>
            <w:r>
              <w:rPr>
                <w:rFonts w:ascii="Arial" w:hAnsi="Arial" w:cs="Arial" w:eastAsia="Arial"/>
                <w:b/>
                <w:color w:val="auto"/>
                <w:spacing w:val="0"/>
                <w:position w:val="0"/>
                <w:sz w:val="16"/>
                <w:shd w:fill="auto" w:val="clear"/>
              </w:rPr>
              <w:t xml:space="preserve">Y</w:t>
            </w:r>
            <w:r>
              <w:rPr>
                <w:rFonts w:ascii="Arial" w:hAnsi="Arial" w:cs="Arial" w:eastAsia="Arial"/>
                <w:color w:val="auto"/>
                <w:spacing w:val="0"/>
                <w:position w:val="0"/>
                <w:sz w:val="16"/>
                <w:shd w:fill="auto" w:val="clear"/>
              </w:rPr>
              <w:t xml:space="preserve"> </w:t>
            </w:r>
            <w:r>
              <w:rPr>
                <w:rFonts w:ascii="Arial" w:hAnsi="Arial" w:cs="Arial" w:eastAsia="Arial"/>
                <w:color w:val="auto"/>
                <w:spacing w:val="0"/>
                <w:position w:val="0"/>
                <w:sz w:val="16"/>
                <w:shd w:fill="auto" w:val="clear"/>
              </w:rPr>
              <w:t xml:space="preserve">–</w:t>
            </w:r>
            <w:r>
              <w:rPr>
                <w:rFonts w:ascii="Arial" w:hAnsi="Arial" w:cs="Arial" w:eastAsia="Arial"/>
                <w:color w:val="auto"/>
                <w:spacing w:val="0"/>
                <w:position w:val="0"/>
                <w:sz w:val="16"/>
                <w:shd w:fill="auto" w:val="clear"/>
              </w:rPr>
              <w:t xml:space="preserve"> appropriate for exploring experience of pilot support</w:t>
            </w:r>
          </w:p>
        </w:tc>
        <w:tc>
          <w:tcPr>
            <w:tcW w:w="169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360"/>
              <w:ind w:right="0" w:left="0" w:firstLine="0"/>
              <w:jc w:val="both"/>
              <w:rPr>
                <w:color w:val="auto"/>
                <w:spacing w:val="0"/>
                <w:position w:val="0"/>
                <w:shd w:fill="auto" w:val="clear"/>
              </w:rPr>
            </w:pPr>
            <w:r>
              <w:rPr>
                <w:rFonts w:ascii="Arial" w:hAnsi="Arial" w:cs="Arial" w:eastAsia="Arial"/>
                <w:b/>
                <w:color w:val="auto"/>
                <w:spacing w:val="0"/>
                <w:position w:val="0"/>
                <w:sz w:val="16"/>
                <w:shd w:fill="auto" w:val="clear"/>
              </w:rPr>
              <w:t xml:space="preserve">Y</w:t>
            </w:r>
            <w:r>
              <w:rPr>
                <w:rFonts w:ascii="Arial" w:hAnsi="Arial" w:cs="Arial" w:eastAsia="Arial"/>
                <w:color w:val="auto"/>
                <w:spacing w:val="0"/>
                <w:position w:val="0"/>
                <w:sz w:val="16"/>
                <w:shd w:fill="auto" w:val="clear"/>
              </w:rPr>
              <w:t xml:space="preserve"> </w:t>
            </w:r>
            <w:r>
              <w:rPr>
                <w:rFonts w:ascii="Arial" w:hAnsi="Arial" w:cs="Arial" w:eastAsia="Arial"/>
                <w:color w:val="auto"/>
                <w:spacing w:val="0"/>
                <w:position w:val="0"/>
                <w:sz w:val="16"/>
                <w:shd w:fill="auto" w:val="clear"/>
              </w:rPr>
              <w:t xml:space="preserve">–</w:t>
            </w:r>
            <w:r>
              <w:rPr>
                <w:rFonts w:ascii="Arial" w:hAnsi="Arial" w:cs="Arial" w:eastAsia="Arial"/>
                <w:color w:val="auto"/>
                <w:spacing w:val="0"/>
                <w:position w:val="0"/>
                <w:sz w:val="16"/>
                <w:shd w:fill="auto" w:val="clear"/>
              </w:rPr>
              <w:t xml:space="preserve"> appropriate for analysing participants' descriptions of supervision</w:t>
            </w:r>
          </w:p>
        </w:tc>
        <w:tc>
          <w:tcPr>
            <w:tcW w:w="197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360"/>
              <w:ind w:right="0" w:left="0" w:firstLine="0"/>
              <w:jc w:val="both"/>
              <w:rPr>
                <w:color w:val="auto"/>
                <w:spacing w:val="0"/>
                <w:position w:val="0"/>
                <w:shd w:fill="auto" w:val="clear"/>
              </w:rPr>
            </w:pPr>
            <w:r>
              <w:rPr>
                <w:rFonts w:ascii="Arial" w:hAnsi="Arial" w:cs="Arial" w:eastAsia="Arial"/>
                <w:b/>
                <w:color w:val="auto"/>
                <w:spacing w:val="0"/>
                <w:position w:val="0"/>
                <w:sz w:val="16"/>
                <w:shd w:fill="auto" w:val="clear"/>
              </w:rPr>
              <w:t xml:space="preserve">Y</w:t>
            </w:r>
            <w:r>
              <w:rPr>
                <w:rFonts w:ascii="Arial" w:hAnsi="Arial" w:cs="Arial" w:eastAsia="Arial"/>
                <w:color w:val="auto"/>
                <w:spacing w:val="0"/>
                <w:position w:val="0"/>
                <w:sz w:val="16"/>
                <w:shd w:fill="auto" w:val="clear"/>
              </w:rPr>
              <w:t xml:space="preserve"> </w:t>
            </w:r>
            <w:r>
              <w:rPr>
                <w:rFonts w:ascii="Arial" w:hAnsi="Arial" w:cs="Arial" w:eastAsia="Arial"/>
                <w:color w:val="auto"/>
                <w:spacing w:val="0"/>
                <w:position w:val="0"/>
                <w:sz w:val="16"/>
                <w:shd w:fill="auto" w:val="clear"/>
              </w:rPr>
              <w:t xml:space="preserve">–</w:t>
            </w:r>
            <w:r>
              <w:rPr>
                <w:rFonts w:ascii="Arial" w:hAnsi="Arial" w:cs="Arial" w:eastAsia="Arial"/>
                <w:color w:val="auto"/>
                <w:spacing w:val="0"/>
                <w:position w:val="0"/>
                <w:sz w:val="16"/>
                <w:shd w:fill="auto" w:val="clear"/>
              </w:rPr>
              <w:t xml:space="preserve"> appropriate for exploring PGT experiences and perceptions</w:t>
            </w:r>
          </w:p>
        </w:tc>
      </w:tr>
      <w:tr>
        <w:trPr>
          <w:trHeight w:val="1" w:hRule="atLeast"/>
          <w:jc w:val="left"/>
        </w:trPr>
        <w:tc>
          <w:tcPr>
            <w:tcW w:w="2011"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360"/>
              <w:ind w:right="0" w:left="0" w:firstLine="0"/>
              <w:jc w:val="both"/>
              <w:rPr>
                <w:color w:val="auto"/>
                <w:spacing w:val="0"/>
                <w:position w:val="0"/>
                <w:shd w:fill="auto" w:val="clear"/>
              </w:rPr>
            </w:pPr>
            <w:r>
              <w:rPr>
                <w:rFonts w:ascii="Arial" w:hAnsi="Arial" w:cs="Arial" w:eastAsia="Arial"/>
                <w:b/>
                <w:color w:val="auto"/>
                <w:spacing w:val="0"/>
                <w:position w:val="0"/>
                <w:sz w:val="16"/>
                <w:shd w:fill="auto" w:val="clear"/>
              </w:rPr>
              <w:t xml:space="preserve">3. Was the research design appropriate to address the aims?</w:t>
            </w:r>
          </w:p>
        </w:tc>
        <w:tc>
          <w:tcPr>
            <w:tcW w:w="210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360"/>
              <w:ind w:right="0" w:left="0" w:firstLine="0"/>
              <w:jc w:val="both"/>
              <w:rPr>
                <w:color w:val="auto"/>
                <w:spacing w:val="0"/>
                <w:position w:val="0"/>
                <w:shd w:fill="auto" w:val="clear"/>
              </w:rPr>
            </w:pPr>
            <w:r>
              <w:rPr>
                <w:rFonts w:ascii="Arial" w:hAnsi="Arial" w:cs="Arial" w:eastAsia="Arial"/>
                <w:b/>
                <w:color w:val="auto"/>
                <w:spacing w:val="0"/>
                <w:position w:val="0"/>
                <w:sz w:val="16"/>
                <w:shd w:fill="auto" w:val="clear"/>
              </w:rPr>
              <w:t xml:space="preserve">Y</w:t>
            </w:r>
            <w:r>
              <w:rPr>
                <w:rFonts w:ascii="Arial" w:hAnsi="Arial" w:cs="Arial" w:eastAsia="Arial"/>
                <w:color w:val="auto"/>
                <w:spacing w:val="0"/>
                <w:position w:val="0"/>
                <w:sz w:val="16"/>
                <w:shd w:fill="auto" w:val="clear"/>
              </w:rPr>
              <w:t xml:space="preserve"> </w:t>
            </w:r>
            <w:r>
              <w:rPr>
                <w:rFonts w:ascii="Arial" w:hAnsi="Arial" w:cs="Arial" w:eastAsia="Arial"/>
                <w:color w:val="auto"/>
                <w:spacing w:val="0"/>
                <w:position w:val="0"/>
                <w:sz w:val="16"/>
                <w:shd w:fill="auto" w:val="clear"/>
              </w:rPr>
              <w:t xml:space="preserve">–</w:t>
            </w:r>
            <w:r>
              <w:rPr>
                <w:rFonts w:ascii="Arial" w:hAnsi="Arial" w:cs="Arial" w:eastAsia="Arial"/>
                <w:color w:val="auto"/>
                <w:spacing w:val="0"/>
                <w:position w:val="0"/>
                <w:sz w:val="16"/>
                <w:shd w:fill="auto" w:val="clear"/>
              </w:rPr>
              <w:t xml:space="preserve"> qualitative mixed-data analysis supported exploration across settings</w:t>
            </w:r>
          </w:p>
        </w:tc>
        <w:tc>
          <w:tcPr>
            <w:tcW w:w="1791"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360"/>
              <w:ind w:right="0" w:left="0" w:firstLine="0"/>
              <w:jc w:val="both"/>
              <w:rPr>
                <w:color w:val="auto"/>
                <w:spacing w:val="0"/>
                <w:position w:val="0"/>
                <w:shd w:fill="auto" w:val="clear"/>
              </w:rPr>
            </w:pPr>
            <w:r>
              <w:rPr>
                <w:rFonts w:ascii="Arial" w:hAnsi="Arial" w:cs="Arial" w:eastAsia="Arial"/>
                <w:b/>
                <w:color w:val="auto"/>
                <w:spacing w:val="0"/>
                <w:position w:val="0"/>
                <w:sz w:val="16"/>
                <w:shd w:fill="auto" w:val="clear"/>
              </w:rPr>
              <w:t xml:space="preserve">P</w:t>
            </w:r>
            <w:r>
              <w:rPr>
                <w:rFonts w:ascii="Arial" w:hAnsi="Arial" w:cs="Arial" w:eastAsia="Arial"/>
                <w:color w:val="auto"/>
                <w:spacing w:val="0"/>
                <w:position w:val="0"/>
                <w:sz w:val="16"/>
                <w:shd w:fill="auto" w:val="clear"/>
              </w:rPr>
              <w:t xml:space="preserve"> </w:t>
            </w:r>
            <w:r>
              <w:rPr>
                <w:rFonts w:ascii="Arial" w:hAnsi="Arial" w:cs="Arial" w:eastAsia="Arial"/>
                <w:color w:val="auto"/>
                <w:spacing w:val="0"/>
                <w:position w:val="0"/>
                <w:sz w:val="16"/>
                <w:shd w:fill="auto" w:val="clear"/>
              </w:rPr>
              <w:t xml:space="preserve">–</w:t>
            </w:r>
            <w:r>
              <w:rPr>
                <w:rFonts w:ascii="Arial" w:hAnsi="Arial" w:cs="Arial" w:eastAsia="Arial"/>
                <w:color w:val="auto"/>
                <w:spacing w:val="0"/>
                <w:position w:val="0"/>
                <w:sz w:val="16"/>
                <w:shd w:fill="auto" w:val="clear"/>
              </w:rPr>
              <w:t xml:space="preserve"> pilot qualitative design was relevant but small and localised</w:t>
            </w:r>
          </w:p>
        </w:tc>
        <w:tc>
          <w:tcPr>
            <w:tcW w:w="169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360"/>
              <w:ind w:right="0" w:left="0" w:firstLine="0"/>
              <w:jc w:val="both"/>
              <w:rPr>
                <w:color w:val="auto"/>
                <w:spacing w:val="0"/>
                <w:position w:val="0"/>
                <w:shd w:fill="auto" w:val="clear"/>
              </w:rPr>
            </w:pPr>
            <w:r>
              <w:rPr>
                <w:rFonts w:ascii="Arial" w:hAnsi="Arial" w:cs="Arial" w:eastAsia="Arial"/>
                <w:b/>
                <w:color w:val="auto"/>
                <w:spacing w:val="0"/>
                <w:position w:val="0"/>
                <w:sz w:val="16"/>
                <w:shd w:fill="auto" w:val="clear"/>
              </w:rPr>
              <w:t xml:space="preserve">Y</w:t>
            </w:r>
            <w:r>
              <w:rPr>
                <w:rFonts w:ascii="Arial" w:hAnsi="Arial" w:cs="Arial" w:eastAsia="Arial"/>
                <w:color w:val="auto"/>
                <w:spacing w:val="0"/>
                <w:position w:val="0"/>
                <w:sz w:val="16"/>
                <w:shd w:fill="auto" w:val="clear"/>
              </w:rPr>
              <w:t xml:space="preserve"> </w:t>
            </w:r>
            <w:r>
              <w:rPr>
                <w:rFonts w:ascii="Arial" w:hAnsi="Arial" w:cs="Arial" w:eastAsia="Arial"/>
                <w:color w:val="auto"/>
                <w:spacing w:val="0"/>
                <w:position w:val="0"/>
                <w:sz w:val="16"/>
                <w:shd w:fill="auto" w:val="clear"/>
              </w:rPr>
              <w:t xml:space="preserve">–</w:t>
            </w:r>
            <w:r>
              <w:rPr>
                <w:rFonts w:ascii="Arial" w:hAnsi="Arial" w:cs="Arial" w:eastAsia="Arial"/>
                <w:color w:val="auto"/>
                <w:spacing w:val="0"/>
                <w:position w:val="0"/>
                <w:sz w:val="16"/>
                <w:shd w:fill="auto" w:val="clear"/>
              </w:rPr>
              <w:t xml:space="preserve"> thematic analysis was aligned with the exploratory aim</w:t>
            </w:r>
          </w:p>
        </w:tc>
        <w:tc>
          <w:tcPr>
            <w:tcW w:w="197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360"/>
              <w:ind w:right="0" w:left="0" w:firstLine="0"/>
              <w:jc w:val="both"/>
              <w:rPr>
                <w:color w:val="auto"/>
                <w:spacing w:val="0"/>
                <w:position w:val="0"/>
                <w:shd w:fill="auto" w:val="clear"/>
              </w:rPr>
            </w:pPr>
            <w:r>
              <w:rPr>
                <w:rFonts w:ascii="Arial" w:hAnsi="Arial" w:cs="Arial" w:eastAsia="Arial"/>
                <w:b/>
                <w:color w:val="auto"/>
                <w:spacing w:val="0"/>
                <w:position w:val="0"/>
                <w:sz w:val="16"/>
                <w:shd w:fill="auto" w:val="clear"/>
              </w:rPr>
              <w:t xml:space="preserve">Y</w:t>
            </w:r>
            <w:r>
              <w:rPr>
                <w:rFonts w:ascii="Arial" w:hAnsi="Arial" w:cs="Arial" w:eastAsia="Arial"/>
                <w:color w:val="auto"/>
                <w:spacing w:val="0"/>
                <w:position w:val="0"/>
                <w:sz w:val="16"/>
                <w:shd w:fill="auto" w:val="clear"/>
              </w:rPr>
              <w:t xml:space="preserve"> </w:t>
            </w:r>
            <w:r>
              <w:rPr>
                <w:rFonts w:ascii="Arial" w:hAnsi="Arial" w:cs="Arial" w:eastAsia="Arial"/>
                <w:color w:val="auto"/>
                <w:spacing w:val="0"/>
                <w:position w:val="0"/>
                <w:sz w:val="16"/>
                <w:shd w:fill="auto" w:val="clear"/>
              </w:rPr>
              <w:t xml:space="preserve">–</w:t>
            </w:r>
            <w:r>
              <w:rPr>
                <w:rFonts w:ascii="Arial" w:hAnsi="Arial" w:cs="Arial" w:eastAsia="Arial"/>
                <w:color w:val="auto"/>
                <w:spacing w:val="0"/>
                <w:position w:val="0"/>
                <w:sz w:val="16"/>
                <w:shd w:fill="auto" w:val="clear"/>
              </w:rPr>
              <w:t xml:space="preserve"> qualitative case-study design was appropriate for contextual exploration</w:t>
            </w:r>
          </w:p>
        </w:tc>
      </w:tr>
      <w:tr>
        <w:trPr>
          <w:trHeight w:val="1" w:hRule="atLeast"/>
          <w:jc w:val="left"/>
        </w:trPr>
        <w:tc>
          <w:tcPr>
            <w:tcW w:w="2011"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360"/>
              <w:ind w:right="0" w:left="0" w:firstLine="0"/>
              <w:jc w:val="both"/>
              <w:rPr>
                <w:color w:val="auto"/>
                <w:spacing w:val="0"/>
                <w:position w:val="0"/>
                <w:shd w:fill="auto" w:val="clear"/>
              </w:rPr>
            </w:pPr>
            <w:r>
              <w:rPr>
                <w:rFonts w:ascii="Arial" w:hAnsi="Arial" w:cs="Arial" w:eastAsia="Arial"/>
                <w:b/>
                <w:color w:val="auto"/>
                <w:spacing w:val="0"/>
                <w:position w:val="0"/>
                <w:sz w:val="16"/>
                <w:shd w:fill="auto" w:val="clear"/>
              </w:rPr>
              <w:t xml:space="preserve">4. Was the recruitment strategy appropriate to the aims?</w:t>
            </w:r>
          </w:p>
        </w:tc>
        <w:tc>
          <w:tcPr>
            <w:tcW w:w="210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360"/>
              <w:ind w:right="0" w:left="0" w:firstLine="0"/>
              <w:jc w:val="both"/>
              <w:rPr>
                <w:color w:val="auto"/>
                <w:spacing w:val="0"/>
                <w:position w:val="0"/>
                <w:shd w:fill="auto" w:val="clear"/>
              </w:rPr>
            </w:pPr>
            <w:r>
              <w:rPr>
                <w:rFonts w:ascii="Arial" w:hAnsi="Arial" w:cs="Arial" w:eastAsia="Arial"/>
                <w:b/>
                <w:color w:val="auto"/>
                <w:spacing w:val="0"/>
                <w:position w:val="0"/>
                <w:sz w:val="16"/>
                <w:shd w:fill="auto" w:val="clear"/>
              </w:rPr>
              <w:t xml:space="preserve">Y/P</w:t>
            </w:r>
            <w:r>
              <w:rPr>
                <w:rFonts w:ascii="Arial" w:hAnsi="Arial" w:cs="Arial" w:eastAsia="Arial"/>
                <w:color w:val="auto"/>
                <w:spacing w:val="0"/>
                <w:position w:val="0"/>
                <w:sz w:val="16"/>
                <w:shd w:fill="auto" w:val="clear"/>
              </w:rPr>
              <w:t xml:space="preserve"> </w:t>
            </w:r>
            <w:r>
              <w:rPr>
                <w:rFonts w:ascii="Arial" w:hAnsi="Arial" w:cs="Arial" w:eastAsia="Arial"/>
                <w:color w:val="auto"/>
                <w:spacing w:val="0"/>
                <w:position w:val="0"/>
                <w:sz w:val="16"/>
                <w:shd w:fill="auto" w:val="clear"/>
              </w:rPr>
              <w:t xml:space="preserve">–</w:t>
            </w:r>
            <w:r>
              <w:rPr>
                <w:rFonts w:ascii="Arial" w:hAnsi="Arial" w:cs="Arial" w:eastAsia="Arial"/>
                <w:color w:val="auto"/>
                <w:spacing w:val="0"/>
                <w:position w:val="0"/>
                <w:sz w:val="16"/>
                <w:shd w:fill="auto" w:val="clear"/>
              </w:rPr>
              <w:t xml:space="preserve"> broad multi-site source, although linked to an existing survey cohort</w:t>
            </w:r>
          </w:p>
        </w:tc>
        <w:tc>
          <w:tcPr>
            <w:tcW w:w="1791"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360"/>
              <w:ind w:right="0" w:left="0" w:firstLine="0"/>
              <w:jc w:val="both"/>
              <w:rPr>
                <w:color w:val="auto"/>
                <w:spacing w:val="0"/>
                <w:position w:val="0"/>
                <w:shd w:fill="auto" w:val="clear"/>
              </w:rPr>
            </w:pPr>
            <w:r>
              <w:rPr>
                <w:rFonts w:ascii="Arial" w:hAnsi="Arial" w:cs="Arial" w:eastAsia="Arial"/>
                <w:b/>
                <w:color w:val="auto"/>
                <w:spacing w:val="0"/>
                <w:position w:val="0"/>
                <w:sz w:val="16"/>
                <w:shd w:fill="auto" w:val="clear"/>
              </w:rPr>
              <w:t xml:space="preserve">P</w:t>
            </w:r>
            <w:r>
              <w:rPr>
                <w:rFonts w:ascii="Arial" w:hAnsi="Arial" w:cs="Arial" w:eastAsia="Arial"/>
                <w:color w:val="auto"/>
                <w:spacing w:val="0"/>
                <w:position w:val="0"/>
                <w:sz w:val="16"/>
                <w:shd w:fill="auto" w:val="clear"/>
              </w:rPr>
              <w:t xml:space="preserve"> </w:t>
            </w:r>
            <w:r>
              <w:rPr>
                <w:rFonts w:ascii="Arial" w:hAnsi="Arial" w:cs="Arial" w:eastAsia="Arial"/>
                <w:color w:val="auto"/>
                <w:spacing w:val="0"/>
                <w:position w:val="0"/>
                <w:sz w:val="16"/>
                <w:shd w:fill="auto" w:val="clear"/>
              </w:rPr>
              <w:t xml:space="preserve">–</w:t>
            </w:r>
            <w:r>
              <w:rPr>
                <w:rFonts w:ascii="Arial" w:hAnsi="Arial" w:cs="Arial" w:eastAsia="Arial"/>
                <w:color w:val="auto"/>
                <w:spacing w:val="0"/>
                <w:position w:val="0"/>
                <w:sz w:val="16"/>
                <w:shd w:fill="auto" w:val="clear"/>
              </w:rPr>
              <w:t xml:space="preserve"> limited pilot recruitment from one university</w:t>
            </w:r>
          </w:p>
        </w:tc>
        <w:tc>
          <w:tcPr>
            <w:tcW w:w="169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360"/>
              <w:ind w:right="0" w:left="0" w:firstLine="0"/>
              <w:jc w:val="both"/>
              <w:rPr>
                <w:color w:val="auto"/>
                <w:spacing w:val="0"/>
                <w:position w:val="0"/>
                <w:shd w:fill="auto" w:val="clear"/>
              </w:rPr>
            </w:pPr>
            <w:r>
              <w:rPr>
                <w:rFonts w:ascii="Arial" w:hAnsi="Arial" w:cs="Arial" w:eastAsia="Arial"/>
                <w:b/>
                <w:color w:val="auto"/>
                <w:spacing w:val="0"/>
                <w:position w:val="0"/>
                <w:sz w:val="16"/>
                <w:shd w:fill="auto" w:val="clear"/>
              </w:rPr>
              <w:t xml:space="preserve">Y/P</w:t>
            </w:r>
            <w:r>
              <w:rPr>
                <w:rFonts w:ascii="Arial" w:hAnsi="Arial" w:cs="Arial" w:eastAsia="Arial"/>
                <w:color w:val="auto"/>
                <w:spacing w:val="0"/>
                <w:position w:val="0"/>
                <w:sz w:val="16"/>
                <w:shd w:fill="auto" w:val="clear"/>
              </w:rPr>
              <w:t xml:space="preserve"> </w:t>
            </w:r>
            <w:r>
              <w:rPr>
                <w:rFonts w:ascii="Arial" w:hAnsi="Arial" w:cs="Arial" w:eastAsia="Arial"/>
                <w:color w:val="auto"/>
                <w:spacing w:val="0"/>
                <w:position w:val="0"/>
                <w:sz w:val="16"/>
                <w:shd w:fill="auto" w:val="clear"/>
              </w:rPr>
              <w:t xml:space="preserve">–</w:t>
            </w:r>
            <w:r>
              <w:rPr>
                <w:rFonts w:ascii="Arial" w:hAnsi="Arial" w:cs="Arial" w:eastAsia="Arial"/>
                <w:color w:val="auto"/>
                <w:spacing w:val="0"/>
                <w:position w:val="0"/>
                <w:sz w:val="16"/>
                <w:shd w:fill="auto" w:val="clear"/>
              </w:rPr>
              <w:t xml:space="preserve"> very large national free-text dataset, but derived from an existing cohort</w:t>
            </w:r>
          </w:p>
        </w:tc>
        <w:tc>
          <w:tcPr>
            <w:tcW w:w="197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360"/>
              <w:ind w:right="0" w:left="0" w:firstLine="0"/>
              <w:jc w:val="both"/>
              <w:rPr>
                <w:color w:val="auto"/>
                <w:spacing w:val="0"/>
                <w:position w:val="0"/>
                <w:shd w:fill="auto" w:val="clear"/>
              </w:rPr>
            </w:pPr>
            <w:r>
              <w:rPr>
                <w:rFonts w:ascii="Arial" w:hAnsi="Arial" w:cs="Arial" w:eastAsia="Arial"/>
                <w:b/>
                <w:color w:val="auto"/>
                <w:spacing w:val="0"/>
                <w:position w:val="0"/>
                <w:sz w:val="16"/>
                <w:shd w:fill="auto" w:val="clear"/>
              </w:rPr>
              <w:t xml:space="preserve">P</w:t>
            </w:r>
            <w:r>
              <w:rPr>
                <w:rFonts w:ascii="Arial" w:hAnsi="Arial" w:cs="Arial" w:eastAsia="Arial"/>
                <w:color w:val="auto"/>
                <w:spacing w:val="0"/>
                <w:position w:val="0"/>
                <w:sz w:val="16"/>
                <w:shd w:fill="auto" w:val="clear"/>
              </w:rPr>
              <w:t xml:space="preserve"> </w:t>
            </w:r>
            <w:r>
              <w:rPr>
                <w:rFonts w:ascii="Arial" w:hAnsi="Arial" w:cs="Arial" w:eastAsia="Arial"/>
                <w:color w:val="auto"/>
                <w:spacing w:val="0"/>
                <w:position w:val="0"/>
                <w:sz w:val="16"/>
                <w:shd w:fill="auto" w:val="clear"/>
              </w:rPr>
              <w:t xml:space="preserve">–</w:t>
            </w:r>
            <w:r>
              <w:rPr>
                <w:rFonts w:ascii="Arial" w:hAnsi="Arial" w:cs="Arial" w:eastAsia="Arial"/>
                <w:color w:val="auto"/>
                <w:spacing w:val="0"/>
                <w:position w:val="0"/>
                <w:sz w:val="16"/>
                <w:shd w:fill="auto" w:val="clear"/>
              </w:rPr>
              <w:t xml:space="preserve"> purposive/local recruitment from one university limits breadth</w:t>
            </w:r>
          </w:p>
        </w:tc>
      </w:tr>
      <w:tr>
        <w:trPr>
          <w:trHeight w:val="1" w:hRule="atLeast"/>
          <w:jc w:val="left"/>
        </w:trPr>
        <w:tc>
          <w:tcPr>
            <w:tcW w:w="2011"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360"/>
              <w:ind w:right="0" w:left="0" w:firstLine="0"/>
              <w:jc w:val="both"/>
              <w:rPr>
                <w:color w:val="auto"/>
                <w:spacing w:val="0"/>
                <w:position w:val="0"/>
                <w:shd w:fill="auto" w:val="clear"/>
              </w:rPr>
            </w:pPr>
            <w:r>
              <w:rPr>
                <w:rFonts w:ascii="Arial" w:hAnsi="Arial" w:cs="Arial" w:eastAsia="Arial"/>
                <w:b/>
                <w:color w:val="auto"/>
                <w:spacing w:val="0"/>
                <w:position w:val="0"/>
                <w:sz w:val="16"/>
                <w:shd w:fill="auto" w:val="clear"/>
              </w:rPr>
              <w:t xml:space="preserve">5. Was the data collected in a way that addressed the research issue?</w:t>
            </w:r>
          </w:p>
        </w:tc>
        <w:tc>
          <w:tcPr>
            <w:tcW w:w="210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360"/>
              <w:ind w:right="0" w:left="0" w:firstLine="0"/>
              <w:jc w:val="both"/>
              <w:rPr>
                <w:color w:val="auto"/>
                <w:spacing w:val="0"/>
                <w:position w:val="0"/>
                <w:shd w:fill="auto" w:val="clear"/>
              </w:rPr>
            </w:pPr>
            <w:r>
              <w:rPr>
                <w:rFonts w:ascii="Arial" w:hAnsi="Arial" w:cs="Arial" w:eastAsia="Arial"/>
                <w:b/>
                <w:color w:val="auto"/>
                <w:spacing w:val="0"/>
                <w:position w:val="0"/>
                <w:sz w:val="16"/>
                <w:shd w:fill="auto" w:val="clear"/>
              </w:rPr>
              <w:t xml:space="preserve">Y</w:t>
            </w:r>
            <w:r>
              <w:rPr>
                <w:rFonts w:ascii="Arial" w:hAnsi="Arial" w:cs="Arial" w:eastAsia="Arial"/>
                <w:color w:val="auto"/>
                <w:spacing w:val="0"/>
                <w:position w:val="0"/>
                <w:sz w:val="16"/>
                <w:shd w:fill="auto" w:val="clear"/>
              </w:rPr>
              <w:t xml:space="preserve"> </w:t>
            </w:r>
            <w:r>
              <w:rPr>
                <w:rFonts w:ascii="Arial" w:hAnsi="Arial" w:cs="Arial" w:eastAsia="Arial"/>
                <w:color w:val="auto"/>
                <w:spacing w:val="0"/>
                <w:position w:val="0"/>
                <w:sz w:val="16"/>
                <w:shd w:fill="auto" w:val="clear"/>
              </w:rPr>
              <w:t xml:space="preserve">–</w:t>
            </w:r>
            <w:r>
              <w:rPr>
                <w:rFonts w:ascii="Arial" w:hAnsi="Arial" w:cs="Arial" w:eastAsia="Arial"/>
                <w:color w:val="auto"/>
                <w:spacing w:val="0"/>
                <w:position w:val="0"/>
                <w:sz w:val="16"/>
                <w:shd w:fill="auto" w:val="clear"/>
              </w:rPr>
              <w:t xml:space="preserve"> qualitative/focus-group material addressed contextual pressures</w:t>
            </w:r>
          </w:p>
        </w:tc>
        <w:tc>
          <w:tcPr>
            <w:tcW w:w="1791"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360"/>
              <w:ind w:right="0" w:left="0" w:firstLine="0"/>
              <w:jc w:val="both"/>
              <w:rPr>
                <w:color w:val="auto"/>
                <w:spacing w:val="0"/>
                <w:position w:val="0"/>
                <w:shd w:fill="auto" w:val="clear"/>
              </w:rPr>
            </w:pPr>
            <w:r>
              <w:rPr>
                <w:rFonts w:ascii="Arial" w:hAnsi="Arial" w:cs="Arial" w:eastAsia="Arial"/>
                <w:b/>
                <w:color w:val="auto"/>
                <w:spacing w:val="0"/>
                <w:position w:val="0"/>
                <w:sz w:val="16"/>
                <w:shd w:fill="auto" w:val="clear"/>
              </w:rPr>
              <w:t xml:space="preserve">Y/P</w:t>
            </w:r>
            <w:r>
              <w:rPr>
                <w:rFonts w:ascii="Arial" w:hAnsi="Arial" w:cs="Arial" w:eastAsia="Arial"/>
                <w:color w:val="auto"/>
                <w:spacing w:val="0"/>
                <w:position w:val="0"/>
                <w:sz w:val="16"/>
                <w:shd w:fill="auto" w:val="clear"/>
              </w:rPr>
              <w:t xml:space="preserve"> </w:t>
            </w:r>
            <w:r>
              <w:rPr>
                <w:rFonts w:ascii="Arial" w:hAnsi="Arial" w:cs="Arial" w:eastAsia="Arial"/>
                <w:color w:val="auto"/>
                <w:spacing w:val="0"/>
                <w:position w:val="0"/>
                <w:sz w:val="16"/>
                <w:shd w:fill="auto" w:val="clear"/>
              </w:rPr>
              <w:t xml:space="preserve">–</w:t>
            </w:r>
            <w:r>
              <w:rPr>
                <w:rFonts w:ascii="Arial" w:hAnsi="Arial" w:cs="Arial" w:eastAsia="Arial"/>
                <w:color w:val="auto"/>
                <w:spacing w:val="0"/>
                <w:position w:val="0"/>
                <w:sz w:val="16"/>
                <w:shd w:fill="auto" w:val="clear"/>
              </w:rPr>
              <w:t xml:space="preserve"> data addressed intervention experience but pilot scope was limited</w:t>
            </w:r>
          </w:p>
        </w:tc>
        <w:tc>
          <w:tcPr>
            <w:tcW w:w="169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360"/>
              <w:ind w:right="0" w:left="0" w:firstLine="0"/>
              <w:jc w:val="both"/>
              <w:rPr>
                <w:color w:val="auto"/>
                <w:spacing w:val="0"/>
                <w:position w:val="0"/>
                <w:shd w:fill="auto" w:val="clear"/>
              </w:rPr>
            </w:pPr>
            <w:r>
              <w:rPr>
                <w:rFonts w:ascii="Arial" w:hAnsi="Arial" w:cs="Arial" w:eastAsia="Arial"/>
                <w:b/>
                <w:color w:val="auto"/>
                <w:spacing w:val="0"/>
                <w:position w:val="0"/>
                <w:sz w:val="16"/>
                <w:shd w:fill="auto" w:val="clear"/>
              </w:rPr>
              <w:t xml:space="preserve">Y</w:t>
            </w:r>
            <w:r>
              <w:rPr>
                <w:rFonts w:ascii="Arial" w:hAnsi="Arial" w:cs="Arial" w:eastAsia="Arial"/>
                <w:color w:val="auto"/>
                <w:spacing w:val="0"/>
                <w:position w:val="0"/>
                <w:sz w:val="16"/>
                <w:shd w:fill="auto" w:val="clear"/>
              </w:rPr>
              <w:t xml:space="preserve"> </w:t>
            </w:r>
            <w:r>
              <w:rPr>
                <w:rFonts w:ascii="Arial" w:hAnsi="Arial" w:cs="Arial" w:eastAsia="Arial"/>
                <w:color w:val="auto"/>
                <w:spacing w:val="0"/>
                <w:position w:val="0"/>
                <w:sz w:val="16"/>
                <w:shd w:fill="auto" w:val="clear"/>
              </w:rPr>
              <w:t xml:space="preserve">–</w:t>
            </w:r>
            <w:r>
              <w:rPr>
                <w:rFonts w:ascii="Arial" w:hAnsi="Arial" w:cs="Arial" w:eastAsia="Arial"/>
                <w:color w:val="auto"/>
                <w:spacing w:val="0"/>
                <w:position w:val="0"/>
                <w:sz w:val="16"/>
                <w:shd w:fill="auto" w:val="clear"/>
              </w:rPr>
              <w:t xml:space="preserve"> 1,783 free-text responses directly addressed supervisory experiences</w:t>
            </w:r>
          </w:p>
        </w:tc>
        <w:tc>
          <w:tcPr>
            <w:tcW w:w="197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360"/>
              <w:ind w:right="0" w:left="0" w:firstLine="0"/>
              <w:jc w:val="both"/>
              <w:rPr>
                <w:color w:val="auto"/>
                <w:spacing w:val="0"/>
                <w:position w:val="0"/>
                <w:shd w:fill="auto" w:val="clear"/>
              </w:rPr>
            </w:pPr>
            <w:r>
              <w:rPr>
                <w:rFonts w:ascii="Arial" w:hAnsi="Arial" w:cs="Arial" w:eastAsia="Arial"/>
                <w:b/>
                <w:color w:val="auto"/>
                <w:spacing w:val="0"/>
                <w:position w:val="0"/>
                <w:sz w:val="16"/>
                <w:shd w:fill="auto" w:val="clear"/>
              </w:rPr>
              <w:t xml:space="preserve">Y</w:t>
            </w:r>
            <w:r>
              <w:rPr>
                <w:rFonts w:ascii="Arial" w:hAnsi="Arial" w:cs="Arial" w:eastAsia="Arial"/>
                <w:color w:val="auto"/>
                <w:spacing w:val="0"/>
                <w:position w:val="0"/>
                <w:sz w:val="16"/>
                <w:shd w:fill="auto" w:val="clear"/>
              </w:rPr>
              <w:t xml:space="preserve"> </w:t>
            </w:r>
            <w:r>
              <w:rPr>
                <w:rFonts w:ascii="Arial" w:hAnsi="Arial" w:cs="Arial" w:eastAsia="Arial"/>
                <w:color w:val="auto"/>
                <w:spacing w:val="0"/>
                <w:position w:val="0"/>
                <w:sz w:val="16"/>
                <w:shd w:fill="auto" w:val="clear"/>
              </w:rPr>
              <w:t xml:space="preserve">–</w:t>
            </w:r>
            <w:r>
              <w:rPr>
                <w:rFonts w:ascii="Arial" w:hAnsi="Arial" w:cs="Arial" w:eastAsia="Arial"/>
                <w:color w:val="auto"/>
                <w:spacing w:val="0"/>
                <w:position w:val="0"/>
                <w:sz w:val="16"/>
                <w:shd w:fill="auto" w:val="clear"/>
              </w:rPr>
              <w:t xml:space="preserve"> qualitative accounts captured wellbeing, isolation, academic pressure and support</w:t>
            </w:r>
          </w:p>
        </w:tc>
      </w:tr>
      <w:tr>
        <w:trPr>
          <w:trHeight w:val="1" w:hRule="atLeast"/>
          <w:jc w:val="left"/>
        </w:trPr>
        <w:tc>
          <w:tcPr>
            <w:tcW w:w="2011"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360"/>
              <w:ind w:right="0" w:left="0" w:firstLine="0"/>
              <w:jc w:val="both"/>
              <w:rPr>
                <w:color w:val="auto"/>
                <w:spacing w:val="0"/>
                <w:position w:val="0"/>
                <w:shd w:fill="auto" w:val="clear"/>
              </w:rPr>
            </w:pPr>
            <w:r>
              <w:rPr>
                <w:rFonts w:ascii="Arial" w:hAnsi="Arial" w:cs="Arial" w:eastAsia="Arial"/>
                <w:b/>
                <w:color w:val="auto"/>
                <w:spacing w:val="0"/>
                <w:position w:val="0"/>
                <w:sz w:val="16"/>
                <w:shd w:fill="auto" w:val="clear"/>
              </w:rPr>
              <w:t xml:space="preserve">6. Has the relationship between researcher and participants been adequately considered?</w:t>
            </w:r>
          </w:p>
        </w:tc>
        <w:tc>
          <w:tcPr>
            <w:tcW w:w="210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360"/>
              <w:ind w:right="0" w:left="0" w:firstLine="0"/>
              <w:jc w:val="both"/>
              <w:rPr>
                <w:color w:val="auto"/>
                <w:spacing w:val="0"/>
                <w:position w:val="0"/>
                <w:shd w:fill="auto" w:val="clear"/>
              </w:rPr>
            </w:pPr>
            <w:r>
              <w:rPr>
                <w:rFonts w:ascii="Arial" w:hAnsi="Arial" w:cs="Arial" w:eastAsia="Arial"/>
                <w:b/>
                <w:color w:val="auto"/>
                <w:spacing w:val="0"/>
                <w:position w:val="0"/>
                <w:sz w:val="16"/>
                <w:shd w:fill="auto" w:val="clear"/>
              </w:rPr>
              <w:t xml:space="preserve">Y</w:t>
            </w:r>
            <w:r>
              <w:rPr>
                <w:rFonts w:ascii="Arial" w:hAnsi="Arial" w:cs="Arial" w:eastAsia="Arial"/>
                <w:color w:val="auto"/>
                <w:spacing w:val="0"/>
                <w:position w:val="0"/>
                <w:sz w:val="16"/>
                <w:shd w:fill="auto" w:val="clear"/>
              </w:rPr>
              <w:t xml:space="preserve"> </w:t>
            </w:r>
            <w:r>
              <w:rPr>
                <w:rFonts w:ascii="Arial" w:hAnsi="Arial" w:cs="Arial" w:eastAsia="Arial"/>
                <w:color w:val="auto"/>
                <w:spacing w:val="0"/>
                <w:position w:val="0"/>
                <w:sz w:val="16"/>
                <w:shd w:fill="auto" w:val="clear"/>
              </w:rPr>
              <w:t xml:space="preserve">–</w:t>
            </w:r>
            <w:r>
              <w:rPr>
                <w:rFonts w:ascii="Arial" w:hAnsi="Arial" w:cs="Arial" w:eastAsia="Arial"/>
                <w:color w:val="auto"/>
                <w:spacing w:val="0"/>
                <w:position w:val="0"/>
                <w:sz w:val="16"/>
                <w:shd w:fill="auto" w:val="clear"/>
              </w:rPr>
              <w:t xml:space="preserve"> reflexivity was explicitly identified as a methodological strength</w:t>
            </w:r>
          </w:p>
        </w:tc>
        <w:tc>
          <w:tcPr>
            <w:tcW w:w="1791"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360"/>
              <w:ind w:right="0" w:left="0" w:firstLine="0"/>
              <w:jc w:val="both"/>
              <w:rPr>
                <w:color w:val="auto"/>
                <w:spacing w:val="0"/>
                <w:position w:val="0"/>
                <w:shd w:fill="auto" w:val="clear"/>
              </w:rPr>
            </w:pPr>
            <w:r>
              <w:rPr>
                <w:rFonts w:ascii="Arial" w:hAnsi="Arial" w:cs="Arial" w:eastAsia="Arial"/>
                <w:b/>
                <w:color w:val="auto"/>
                <w:spacing w:val="0"/>
                <w:position w:val="0"/>
                <w:sz w:val="16"/>
                <w:shd w:fill="auto" w:val="clear"/>
              </w:rPr>
              <w:t xml:space="preserve">U</w:t>
            </w:r>
            <w:r>
              <w:rPr>
                <w:rFonts w:ascii="Arial" w:hAnsi="Arial" w:cs="Arial" w:eastAsia="Arial"/>
                <w:color w:val="auto"/>
                <w:spacing w:val="0"/>
                <w:position w:val="0"/>
                <w:sz w:val="16"/>
                <w:shd w:fill="auto" w:val="clear"/>
              </w:rPr>
              <w:t xml:space="preserve"> </w:t>
            </w:r>
            <w:r>
              <w:rPr>
                <w:rFonts w:ascii="Arial" w:hAnsi="Arial" w:cs="Arial" w:eastAsia="Arial"/>
                <w:color w:val="auto"/>
                <w:spacing w:val="0"/>
                <w:position w:val="0"/>
                <w:sz w:val="16"/>
                <w:shd w:fill="auto" w:val="clear"/>
              </w:rPr>
              <w:t xml:space="preserve">–</w:t>
            </w:r>
            <w:r>
              <w:rPr>
                <w:rFonts w:ascii="Arial" w:hAnsi="Arial" w:cs="Arial" w:eastAsia="Arial"/>
                <w:color w:val="auto"/>
                <w:spacing w:val="0"/>
                <w:position w:val="0"/>
                <w:sz w:val="16"/>
                <w:shd w:fill="auto" w:val="clear"/>
              </w:rPr>
              <w:t xml:space="preserve"> insufficient detail in the current extraction to establish full reflexive consideration</w:t>
            </w:r>
          </w:p>
        </w:tc>
        <w:tc>
          <w:tcPr>
            <w:tcW w:w="169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360"/>
              <w:ind w:right="0" w:left="0" w:firstLine="0"/>
              <w:jc w:val="both"/>
              <w:rPr>
                <w:color w:val="auto"/>
                <w:spacing w:val="0"/>
                <w:position w:val="0"/>
                <w:shd w:fill="auto" w:val="clear"/>
              </w:rPr>
            </w:pPr>
            <w:r>
              <w:rPr>
                <w:rFonts w:ascii="Arial" w:hAnsi="Arial" w:cs="Arial" w:eastAsia="Arial"/>
                <w:b/>
                <w:color w:val="auto"/>
                <w:spacing w:val="0"/>
                <w:position w:val="0"/>
                <w:sz w:val="16"/>
                <w:shd w:fill="auto" w:val="clear"/>
              </w:rPr>
              <w:t xml:space="preserve">Y</w:t>
            </w:r>
            <w:r>
              <w:rPr>
                <w:rFonts w:ascii="Arial" w:hAnsi="Arial" w:cs="Arial" w:eastAsia="Arial"/>
                <w:color w:val="auto"/>
                <w:spacing w:val="0"/>
                <w:position w:val="0"/>
                <w:sz w:val="16"/>
                <w:shd w:fill="auto" w:val="clear"/>
              </w:rPr>
              <w:t xml:space="preserve"> </w:t>
            </w:r>
            <w:r>
              <w:rPr>
                <w:rFonts w:ascii="Arial" w:hAnsi="Arial" w:cs="Arial" w:eastAsia="Arial"/>
                <w:color w:val="auto"/>
                <w:spacing w:val="0"/>
                <w:position w:val="0"/>
                <w:sz w:val="16"/>
                <w:shd w:fill="auto" w:val="clear"/>
              </w:rPr>
              <w:t xml:space="preserve">–</w:t>
            </w:r>
            <w:r>
              <w:rPr>
                <w:rFonts w:ascii="Arial" w:hAnsi="Arial" w:cs="Arial" w:eastAsia="Arial"/>
                <w:color w:val="auto"/>
                <w:spacing w:val="0"/>
                <w:position w:val="0"/>
                <w:sz w:val="16"/>
                <w:shd w:fill="auto" w:val="clear"/>
              </w:rPr>
              <w:t xml:space="preserve"> reflexive thematic analysis was reported</w:t>
            </w:r>
          </w:p>
        </w:tc>
        <w:tc>
          <w:tcPr>
            <w:tcW w:w="197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360"/>
              <w:ind w:right="0" w:left="0" w:firstLine="0"/>
              <w:jc w:val="both"/>
              <w:rPr>
                <w:color w:val="auto"/>
                <w:spacing w:val="0"/>
                <w:position w:val="0"/>
                <w:shd w:fill="auto" w:val="clear"/>
              </w:rPr>
            </w:pPr>
            <w:r>
              <w:rPr>
                <w:rFonts w:ascii="Arial" w:hAnsi="Arial" w:cs="Arial" w:eastAsia="Arial"/>
                <w:b/>
                <w:color w:val="auto"/>
                <w:spacing w:val="0"/>
                <w:position w:val="0"/>
                <w:sz w:val="16"/>
                <w:shd w:fill="auto" w:val="clear"/>
              </w:rPr>
              <w:t xml:space="preserve">U</w:t>
            </w:r>
            <w:r>
              <w:rPr>
                <w:rFonts w:ascii="Arial" w:hAnsi="Arial" w:cs="Arial" w:eastAsia="Arial"/>
                <w:color w:val="auto"/>
                <w:spacing w:val="0"/>
                <w:position w:val="0"/>
                <w:sz w:val="16"/>
                <w:shd w:fill="auto" w:val="clear"/>
              </w:rPr>
              <w:t xml:space="preserve"> </w:t>
            </w:r>
            <w:r>
              <w:rPr>
                <w:rFonts w:ascii="Arial" w:hAnsi="Arial" w:cs="Arial" w:eastAsia="Arial"/>
                <w:color w:val="auto"/>
                <w:spacing w:val="0"/>
                <w:position w:val="0"/>
                <w:sz w:val="16"/>
                <w:shd w:fill="auto" w:val="clear"/>
              </w:rPr>
              <w:t xml:space="preserve">–</w:t>
            </w:r>
            <w:r>
              <w:rPr>
                <w:rFonts w:ascii="Arial" w:hAnsi="Arial" w:cs="Arial" w:eastAsia="Arial"/>
                <w:color w:val="auto"/>
                <w:spacing w:val="0"/>
                <w:position w:val="0"/>
                <w:sz w:val="16"/>
                <w:shd w:fill="auto" w:val="clear"/>
              </w:rPr>
              <w:t xml:space="preserve"> reflexivity cannot be fully established from the current extraction</w:t>
            </w:r>
          </w:p>
        </w:tc>
      </w:tr>
      <w:tr>
        <w:trPr>
          <w:trHeight w:val="1" w:hRule="atLeast"/>
          <w:jc w:val="left"/>
        </w:trPr>
        <w:tc>
          <w:tcPr>
            <w:tcW w:w="2011"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360"/>
              <w:ind w:right="0" w:left="0" w:firstLine="0"/>
              <w:jc w:val="both"/>
              <w:rPr>
                <w:color w:val="auto"/>
                <w:spacing w:val="0"/>
                <w:position w:val="0"/>
                <w:shd w:fill="auto" w:val="clear"/>
              </w:rPr>
            </w:pPr>
            <w:r>
              <w:rPr>
                <w:rFonts w:ascii="Arial" w:hAnsi="Arial" w:cs="Arial" w:eastAsia="Arial"/>
                <w:b/>
                <w:color w:val="auto"/>
                <w:spacing w:val="0"/>
                <w:position w:val="0"/>
                <w:sz w:val="16"/>
                <w:shd w:fill="auto" w:val="clear"/>
              </w:rPr>
              <w:t xml:space="preserve">7. Have ethical issues been taken into consideration?</w:t>
            </w:r>
          </w:p>
        </w:tc>
        <w:tc>
          <w:tcPr>
            <w:tcW w:w="210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360"/>
              <w:ind w:right="0" w:left="0" w:firstLine="0"/>
              <w:jc w:val="both"/>
              <w:rPr>
                <w:color w:val="auto"/>
                <w:spacing w:val="0"/>
                <w:position w:val="0"/>
                <w:shd w:fill="auto" w:val="clear"/>
              </w:rPr>
            </w:pPr>
            <w:r>
              <w:rPr>
                <w:rFonts w:ascii="Arial" w:hAnsi="Arial" w:cs="Arial" w:eastAsia="Arial"/>
                <w:b/>
                <w:color w:val="auto"/>
                <w:spacing w:val="0"/>
                <w:position w:val="0"/>
                <w:sz w:val="16"/>
                <w:shd w:fill="auto" w:val="clear"/>
              </w:rPr>
              <w:t xml:space="preserve">U</w:t>
            </w:r>
            <w:r>
              <w:rPr>
                <w:rFonts w:ascii="Arial" w:hAnsi="Arial" w:cs="Arial" w:eastAsia="Arial"/>
                <w:color w:val="auto"/>
                <w:spacing w:val="0"/>
                <w:position w:val="0"/>
                <w:sz w:val="16"/>
                <w:shd w:fill="auto" w:val="clear"/>
              </w:rPr>
              <w:t xml:space="preserve"> </w:t>
            </w:r>
            <w:r>
              <w:rPr>
                <w:rFonts w:ascii="Arial" w:hAnsi="Arial" w:cs="Arial" w:eastAsia="Arial"/>
                <w:color w:val="auto"/>
                <w:spacing w:val="0"/>
                <w:position w:val="0"/>
                <w:sz w:val="16"/>
                <w:shd w:fill="auto" w:val="clear"/>
              </w:rPr>
              <w:t xml:space="preserve">–</w:t>
            </w:r>
            <w:r>
              <w:rPr>
                <w:rFonts w:ascii="Arial" w:hAnsi="Arial" w:cs="Arial" w:eastAsia="Arial"/>
                <w:color w:val="auto"/>
                <w:spacing w:val="0"/>
                <w:position w:val="0"/>
                <w:sz w:val="16"/>
                <w:shd w:fill="auto" w:val="clear"/>
              </w:rPr>
              <w:t xml:space="preserve"> not sufficiently detailed in the present extraction matrix</w:t>
            </w:r>
          </w:p>
        </w:tc>
        <w:tc>
          <w:tcPr>
            <w:tcW w:w="1791"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360"/>
              <w:ind w:right="0" w:left="0" w:firstLine="0"/>
              <w:jc w:val="both"/>
              <w:rPr>
                <w:color w:val="auto"/>
                <w:spacing w:val="0"/>
                <w:position w:val="0"/>
                <w:shd w:fill="auto" w:val="clear"/>
              </w:rPr>
            </w:pPr>
            <w:r>
              <w:rPr>
                <w:rFonts w:ascii="Arial" w:hAnsi="Arial" w:cs="Arial" w:eastAsia="Arial"/>
                <w:b/>
                <w:color w:val="auto"/>
                <w:spacing w:val="0"/>
                <w:position w:val="0"/>
                <w:sz w:val="16"/>
                <w:shd w:fill="auto" w:val="clear"/>
              </w:rPr>
              <w:t xml:space="preserve">U</w:t>
            </w:r>
            <w:r>
              <w:rPr>
                <w:rFonts w:ascii="Arial" w:hAnsi="Arial" w:cs="Arial" w:eastAsia="Arial"/>
                <w:color w:val="auto"/>
                <w:spacing w:val="0"/>
                <w:position w:val="0"/>
                <w:sz w:val="16"/>
                <w:shd w:fill="auto" w:val="clear"/>
              </w:rPr>
              <w:t xml:space="preserve"> </w:t>
            </w:r>
            <w:r>
              <w:rPr>
                <w:rFonts w:ascii="Arial" w:hAnsi="Arial" w:cs="Arial" w:eastAsia="Arial"/>
                <w:color w:val="auto"/>
                <w:spacing w:val="0"/>
                <w:position w:val="0"/>
                <w:sz w:val="16"/>
                <w:shd w:fill="auto" w:val="clear"/>
              </w:rPr>
              <w:t xml:space="preserve">–</w:t>
            </w:r>
            <w:r>
              <w:rPr>
                <w:rFonts w:ascii="Arial" w:hAnsi="Arial" w:cs="Arial" w:eastAsia="Arial"/>
                <w:color w:val="auto"/>
                <w:spacing w:val="0"/>
                <w:position w:val="0"/>
                <w:sz w:val="16"/>
                <w:shd w:fill="auto" w:val="clear"/>
              </w:rPr>
              <w:t xml:space="preserve"> not sufficiently detailed in the present extraction matrix</w:t>
            </w:r>
          </w:p>
        </w:tc>
        <w:tc>
          <w:tcPr>
            <w:tcW w:w="169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360"/>
              <w:ind w:right="0" w:left="0" w:firstLine="0"/>
              <w:jc w:val="both"/>
              <w:rPr>
                <w:color w:val="auto"/>
                <w:spacing w:val="0"/>
                <w:position w:val="0"/>
                <w:shd w:fill="auto" w:val="clear"/>
              </w:rPr>
            </w:pPr>
            <w:r>
              <w:rPr>
                <w:rFonts w:ascii="Arial" w:hAnsi="Arial" w:cs="Arial" w:eastAsia="Arial"/>
                <w:b/>
                <w:color w:val="auto"/>
                <w:spacing w:val="0"/>
                <w:position w:val="0"/>
                <w:sz w:val="16"/>
                <w:shd w:fill="auto" w:val="clear"/>
              </w:rPr>
              <w:t xml:space="preserve">U</w:t>
            </w:r>
            <w:r>
              <w:rPr>
                <w:rFonts w:ascii="Arial" w:hAnsi="Arial" w:cs="Arial" w:eastAsia="Arial"/>
                <w:color w:val="auto"/>
                <w:spacing w:val="0"/>
                <w:position w:val="0"/>
                <w:sz w:val="16"/>
                <w:shd w:fill="auto" w:val="clear"/>
              </w:rPr>
              <w:t xml:space="preserve"> </w:t>
            </w:r>
            <w:r>
              <w:rPr>
                <w:rFonts w:ascii="Arial" w:hAnsi="Arial" w:cs="Arial" w:eastAsia="Arial"/>
                <w:color w:val="auto"/>
                <w:spacing w:val="0"/>
                <w:position w:val="0"/>
                <w:sz w:val="16"/>
                <w:shd w:fill="auto" w:val="clear"/>
              </w:rPr>
              <w:t xml:space="preserve">–</w:t>
            </w:r>
            <w:r>
              <w:rPr>
                <w:rFonts w:ascii="Arial" w:hAnsi="Arial" w:cs="Arial" w:eastAsia="Arial"/>
                <w:color w:val="auto"/>
                <w:spacing w:val="0"/>
                <w:position w:val="0"/>
                <w:sz w:val="16"/>
                <w:shd w:fill="auto" w:val="clear"/>
              </w:rPr>
              <w:t xml:space="preserve"> not sufficiently detailed in the present extraction matrix</w:t>
            </w:r>
          </w:p>
        </w:tc>
        <w:tc>
          <w:tcPr>
            <w:tcW w:w="197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360"/>
              <w:ind w:right="0" w:left="0" w:firstLine="0"/>
              <w:jc w:val="both"/>
              <w:rPr>
                <w:color w:val="auto"/>
                <w:spacing w:val="0"/>
                <w:position w:val="0"/>
                <w:shd w:fill="auto" w:val="clear"/>
              </w:rPr>
            </w:pPr>
            <w:r>
              <w:rPr>
                <w:rFonts w:ascii="Arial" w:hAnsi="Arial" w:cs="Arial" w:eastAsia="Arial"/>
                <w:b/>
                <w:color w:val="auto"/>
                <w:spacing w:val="0"/>
                <w:position w:val="0"/>
                <w:sz w:val="16"/>
                <w:shd w:fill="auto" w:val="clear"/>
              </w:rPr>
              <w:t xml:space="preserve">U</w:t>
            </w:r>
            <w:r>
              <w:rPr>
                <w:rFonts w:ascii="Arial" w:hAnsi="Arial" w:cs="Arial" w:eastAsia="Arial"/>
                <w:color w:val="auto"/>
                <w:spacing w:val="0"/>
                <w:position w:val="0"/>
                <w:sz w:val="16"/>
                <w:shd w:fill="auto" w:val="clear"/>
              </w:rPr>
              <w:t xml:space="preserve"> </w:t>
            </w:r>
            <w:r>
              <w:rPr>
                <w:rFonts w:ascii="Arial" w:hAnsi="Arial" w:cs="Arial" w:eastAsia="Arial"/>
                <w:color w:val="auto"/>
                <w:spacing w:val="0"/>
                <w:position w:val="0"/>
                <w:sz w:val="16"/>
                <w:shd w:fill="auto" w:val="clear"/>
              </w:rPr>
              <w:t xml:space="preserve">–</w:t>
            </w:r>
            <w:r>
              <w:rPr>
                <w:rFonts w:ascii="Arial" w:hAnsi="Arial" w:cs="Arial" w:eastAsia="Arial"/>
                <w:color w:val="auto"/>
                <w:spacing w:val="0"/>
                <w:position w:val="0"/>
                <w:sz w:val="16"/>
                <w:shd w:fill="auto" w:val="clear"/>
              </w:rPr>
              <w:t xml:space="preserve"> not sufficiently detailed in the present extraction matrix</w:t>
            </w:r>
          </w:p>
        </w:tc>
      </w:tr>
      <w:tr>
        <w:trPr>
          <w:trHeight w:val="1" w:hRule="atLeast"/>
          <w:jc w:val="left"/>
        </w:trPr>
        <w:tc>
          <w:tcPr>
            <w:tcW w:w="2011"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360"/>
              <w:ind w:right="0" w:left="0" w:firstLine="0"/>
              <w:jc w:val="both"/>
              <w:rPr>
                <w:color w:val="auto"/>
                <w:spacing w:val="0"/>
                <w:position w:val="0"/>
                <w:shd w:fill="auto" w:val="clear"/>
              </w:rPr>
            </w:pPr>
            <w:r>
              <w:rPr>
                <w:rFonts w:ascii="Arial" w:hAnsi="Arial" w:cs="Arial" w:eastAsia="Arial"/>
                <w:b/>
                <w:color w:val="auto"/>
                <w:spacing w:val="0"/>
                <w:position w:val="0"/>
                <w:sz w:val="16"/>
                <w:shd w:fill="auto" w:val="clear"/>
              </w:rPr>
              <w:t xml:space="preserve">8. Was the data analysis sufficiently rigorous?</w:t>
            </w:r>
          </w:p>
        </w:tc>
        <w:tc>
          <w:tcPr>
            <w:tcW w:w="210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360"/>
              <w:ind w:right="0" w:left="0" w:firstLine="0"/>
              <w:jc w:val="both"/>
              <w:rPr>
                <w:color w:val="auto"/>
                <w:spacing w:val="0"/>
                <w:position w:val="0"/>
                <w:shd w:fill="auto" w:val="clear"/>
              </w:rPr>
            </w:pPr>
            <w:r>
              <w:rPr>
                <w:rFonts w:ascii="Arial" w:hAnsi="Arial" w:cs="Arial" w:eastAsia="Arial"/>
                <w:b/>
                <w:color w:val="auto"/>
                <w:spacing w:val="0"/>
                <w:position w:val="0"/>
                <w:sz w:val="16"/>
                <w:shd w:fill="auto" w:val="clear"/>
              </w:rPr>
              <w:t xml:space="preserve">Y</w:t>
            </w:r>
            <w:r>
              <w:rPr>
                <w:rFonts w:ascii="Arial" w:hAnsi="Arial" w:cs="Arial" w:eastAsia="Arial"/>
                <w:color w:val="auto"/>
                <w:spacing w:val="0"/>
                <w:position w:val="0"/>
                <w:sz w:val="16"/>
                <w:shd w:fill="auto" w:val="clear"/>
              </w:rPr>
              <w:t xml:space="preserve"> </w:t>
            </w:r>
            <w:r>
              <w:rPr>
                <w:rFonts w:ascii="Arial" w:hAnsi="Arial" w:cs="Arial" w:eastAsia="Arial"/>
                <w:color w:val="auto"/>
                <w:spacing w:val="0"/>
                <w:position w:val="0"/>
                <w:sz w:val="16"/>
                <w:shd w:fill="auto" w:val="clear"/>
              </w:rPr>
              <w:t xml:space="preserve">–</w:t>
            </w:r>
            <w:r>
              <w:rPr>
                <w:rFonts w:ascii="Arial" w:hAnsi="Arial" w:cs="Arial" w:eastAsia="Arial"/>
                <w:color w:val="auto"/>
                <w:spacing w:val="0"/>
                <w:position w:val="0"/>
                <w:sz w:val="16"/>
                <w:shd w:fill="auto" w:val="clear"/>
              </w:rPr>
              <w:t xml:space="preserve"> analytical approach included reflexivity and counter-evidence</w:t>
            </w:r>
          </w:p>
        </w:tc>
        <w:tc>
          <w:tcPr>
            <w:tcW w:w="1791"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360"/>
              <w:ind w:right="0" w:left="0" w:firstLine="0"/>
              <w:jc w:val="both"/>
              <w:rPr>
                <w:color w:val="auto"/>
                <w:spacing w:val="0"/>
                <w:position w:val="0"/>
                <w:shd w:fill="auto" w:val="clear"/>
              </w:rPr>
            </w:pPr>
            <w:r>
              <w:rPr>
                <w:rFonts w:ascii="Arial" w:hAnsi="Arial" w:cs="Arial" w:eastAsia="Arial"/>
                <w:b/>
                <w:color w:val="auto"/>
                <w:spacing w:val="0"/>
                <w:position w:val="0"/>
                <w:sz w:val="16"/>
                <w:shd w:fill="auto" w:val="clear"/>
              </w:rPr>
              <w:t xml:space="preserve">P</w:t>
            </w:r>
            <w:r>
              <w:rPr>
                <w:rFonts w:ascii="Arial" w:hAnsi="Arial" w:cs="Arial" w:eastAsia="Arial"/>
                <w:color w:val="auto"/>
                <w:spacing w:val="0"/>
                <w:position w:val="0"/>
                <w:sz w:val="16"/>
                <w:shd w:fill="auto" w:val="clear"/>
              </w:rPr>
              <w:t xml:space="preserve"> </w:t>
            </w:r>
            <w:r>
              <w:rPr>
                <w:rFonts w:ascii="Arial" w:hAnsi="Arial" w:cs="Arial" w:eastAsia="Arial"/>
                <w:color w:val="auto"/>
                <w:spacing w:val="0"/>
                <w:position w:val="0"/>
                <w:sz w:val="16"/>
                <w:shd w:fill="auto" w:val="clear"/>
              </w:rPr>
              <w:t xml:space="preserve">–</w:t>
            </w:r>
            <w:r>
              <w:rPr>
                <w:rFonts w:ascii="Arial" w:hAnsi="Arial" w:cs="Arial" w:eastAsia="Arial"/>
                <w:color w:val="auto"/>
                <w:spacing w:val="0"/>
                <w:position w:val="0"/>
                <w:sz w:val="16"/>
                <w:shd w:fill="auto" w:val="clear"/>
              </w:rPr>
              <w:t xml:space="preserve"> useful qualitative analysis, but small pilot context limits robustness</w:t>
            </w:r>
          </w:p>
        </w:tc>
        <w:tc>
          <w:tcPr>
            <w:tcW w:w="169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360"/>
              <w:ind w:right="0" w:left="0" w:firstLine="0"/>
              <w:jc w:val="both"/>
              <w:rPr>
                <w:color w:val="auto"/>
                <w:spacing w:val="0"/>
                <w:position w:val="0"/>
                <w:shd w:fill="auto" w:val="clear"/>
              </w:rPr>
            </w:pPr>
            <w:r>
              <w:rPr>
                <w:rFonts w:ascii="Arial" w:hAnsi="Arial" w:cs="Arial" w:eastAsia="Arial"/>
                <w:b/>
                <w:color w:val="auto"/>
                <w:spacing w:val="0"/>
                <w:position w:val="0"/>
                <w:sz w:val="16"/>
                <w:shd w:fill="auto" w:val="clear"/>
              </w:rPr>
              <w:t xml:space="preserve">Y</w:t>
            </w:r>
            <w:r>
              <w:rPr>
                <w:rFonts w:ascii="Arial" w:hAnsi="Arial" w:cs="Arial" w:eastAsia="Arial"/>
                <w:color w:val="auto"/>
                <w:spacing w:val="0"/>
                <w:position w:val="0"/>
                <w:sz w:val="16"/>
                <w:shd w:fill="auto" w:val="clear"/>
              </w:rPr>
              <w:t xml:space="preserve"> </w:t>
            </w:r>
            <w:r>
              <w:rPr>
                <w:rFonts w:ascii="Arial" w:hAnsi="Arial" w:cs="Arial" w:eastAsia="Arial"/>
                <w:color w:val="auto"/>
                <w:spacing w:val="0"/>
                <w:position w:val="0"/>
                <w:sz w:val="16"/>
                <w:shd w:fill="auto" w:val="clear"/>
              </w:rPr>
              <w:t xml:space="preserve">–</w:t>
            </w:r>
            <w:r>
              <w:rPr>
                <w:rFonts w:ascii="Arial" w:hAnsi="Arial" w:cs="Arial" w:eastAsia="Arial"/>
                <w:color w:val="auto"/>
                <w:spacing w:val="0"/>
                <w:position w:val="0"/>
                <w:sz w:val="16"/>
                <w:shd w:fill="auto" w:val="clear"/>
              </w:rPr>
              <w:t xml:space="preserve"> reflexive thematic analysis applied to a large qualitative dataset</w:t>
            </w:r>
          </w:p>
        </w:tc>
        <w:tc>
          <w:tcPr>
            <w:tcW w:w="197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360"/>
              <w:ind w:right="0" w:left="0" w:firstLine="0"/>
              <w:jc w:val="both"/>
              <w:rPr>
                <w:color w:val="auto"/>
                <w:spacing w:val="0"/>
                <w:position w:val="0"/>
                <w:shd w:fill="auto" w:val="clear"/>
              </w:rPr>
            </w:pPr>
            <w:r>
              <w:rPr>
                <w:rFonts w:ascii="Arial" w:hAnsi="Arial" w:cs="Arial" w:eastAsia="Arial"/>
                <w:b/>
                <w:color w:val="auto"/>
                <w:spacing w:val="0"/>
                <w:position w:val="0"/>
                <w:sz w:val="16"/>
                <w:shd w:fill="auto" w:val="clear"/>
              </w:rPr>
              <w:t xml:space="preserve">Y/P</w:t>
            </w:r>
            <w:r>
              <w:rPr>
                <w:rFonts w:ascii="Arial" w:hAnsi="Arial" w:cs="Arial" w:eastAsia="Arial"/>
                <w:color w:val="auto"/>
                <w:spacing w:val="0"/>
                <w:position w:val="0"/>
                <w:sz w:val="16"/>
                <w:shd w:fill="auto" w:val="clear"/>
              </w:rPr>
              <w:t xml:space="preserve"> </w:t>
            </w:r>
            <w:r>
              <w:rPr>
                <w:rFonts w:ascii="Arial" w:hAnsi="Arial" w:cs="Arial" w:eastAsia="Arial"/>
                <w:color w:val="auto"/>
                <w:spacing w:val="0"/>
                <w:position w:val="0"/>
                <w:sz w:val="16"/>
                <w:shd w:fill="auto" w:val="clear"/>
              </w:rPr>
              <w:t xml:space="preserve">–</w:t>
            </w:r>
            <w:r>
              <w:rPr>
                <w:rFonts w:ascii="Arial" w:hAnsi="Arial" w:cs="Arial" w:eastAsia="Arial"/>
                <w:color w:val="auto"/>
                <w:spacing w:val="0"/>
                <w:position w:val="0"/>
                <w:sz w:val="16"/>
                <w:shd w:fill="auto" w:val="clear"/>
              </w:rPr>
              <w:t xml:space="preserve"> qualitative analysis generated coherent findings, although based on a small local sample</w:t>
            </w:r>
          </w:p>
        </w:tc>
      </w:tr>
      <w:tr>
        <w:trPr>
          <w:trHeight w:val="1" w:hRule="atLeast"/>
          <w:jc w:val="left"/>
        </w:trPr>
        <w:tc>
          <w:tcPr>
            <w:tcW w:w="2011"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360"/>
              <w:ind w:right="0" w:left="0" w:firstLine="0"/>
              <w:jc w:val="both"/>
              <w:rPr>
                <w:color w:val="auto"/>
                <w:spacing w:val="0"/>
                <w:position w:val="0"/>
                <w:shd w:fill="auto" w:val="clear"/>
              </w:rPr>
            </w:pPr>
            <w:r>
              <w:rPr>
                <w:rFonts w:ascii="Arial" w:hAnsi="Arial" w:cs="Arial" w:eastAsia="Arial"/>
                <w:b/>
                <w:color w:val="auto"/>
                <w:spacing w:val="0"/>
                <w:position w:val="0"/>
                <w:sz w:val="16"/>
                <w:shd w:fill="auto" w:val="clear"/>
              </w:rPr>
              <w:t xml:space="preserve">9. Is there a clear statement of findings?</w:t>
            </w:r>
          </w:p>
        </w:tc>
        <w:tc>
          <w:tcPr>
            <w:tcW w:w="210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360"/>
              <w:ind w:right="0" w:left="0" w:firstLine="0"/>
              <w:jc w:val="both"/>
              <w:rPr>
                <w:color w:val="auto"/>
                <w:spacing w:val="0"/>
                <w:position w:val="0"/>
                <w:shd w:fill="auto" w:val="clear"/>
              </w:rPr>
            </w:pPr>
            <w:r>
              <w:rPr>
                <w:rFonts w:ascii="Arial" w:hAnsi="Arial" w:cs="Arial" w:eastAsia="Arial"/>
                <w:b/>
                <w:color w:val="auto"/>
                <w:spacing w:val="0"/>
                <w:position w:val="0"/>
                <w:sz w:val="16"/>
                <w:shd w:fill="auto" w:val="clear"/>
              </w:rPr>
              <w:t xml:space="preserve">Y</w:t>
            </w:r>
            <w:r>
              <w:rPr>
                <w:rFonts w:ascii="Arial" w:hAnsi="Arial" w:cs="Arial" w:eastAsia="Arial"/>
                <w:color w:val="auto"/>
                <w:spacing w:val="0"/>
                <w:position w:val="0"/>
                <w:sz w:val="16"/>
                <w:shd w:fill="auto" w:val="clear"/>
              </w:rPr>
              <w:t xml:space="preserve"> </w:t>
            </w:r>
            <w:r>
              <w:rPr>
                <w:rFonts w:ascii="Arial" w:hAnsi="Arial" w:cs="Arial" w:eastAsia="Arial"/>
                <w:color w:val="auto"/>
                <w:spacing w:val="0"/>
                <w:position w:val="0"/>
                <w:sz w:val="16"/>
                <w:shd w:fill="auto" w:val="clear"/>
              </w:rPr>
              <w:t xml:space="preserve">–</w:t>
            </w:r>
            <w:r>
              <w:rPr>
                <w:rFonts w:ascii="Arial" w:hAnsi="Arial" w:cs="Arial" w:eastAsia="Arial"/>
                <w:color w:val="auto"/>
                <w:spacing w:val="0"/>
                <w:position w:val="0"/>
                <w:sz w:val="16"/>
                <w:shd w:fill="auto" w:val="clear"/>
              </w:rPr>
              <w:t xml:space="preserve"> structural inequality, financial/time pressure, uncertainty, isolation and supervision clearly identified</w:t>
            </w:r>
          </w:p>
        </w:tc>
        <w:tc>
          <w:tcPr>
            <w:tcW w:w="1791"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360"/>
              <w:ind w:right="0" w:left="0" w:firstLine="0"/>
              <w:jc w:val="both"/>
              <w:rPr>
                <w:color w:val="auto"/>
                <w:spacing w:val="0"/>
                <w:position w:val="0"/>
                <w:shd w:fill="auto" w:val="clear"/>
              </w:rPr>
            </w:pPr>
            <w:r>
              <w:rPr>
                <w:rFonts w:ascii="Arial" w:hAnsi="Arial" w:cs="Arial" w:eastAsia="Arial"/>
                <w:b/>
                <w:color w:val="auto"/>
                <w:spacing w:val="0"/>
                <w:position w:val="0"/>
                <w:sz w:val="16"/>
                <w:shd w:fill="auto" w:val="clear"/>
              </w:rPr>
              <w:t xml:space="preserve">Y</w:t>
            </w:r>
            <w:r>
              <w:rPr>
                <w:rFonts w:ascii="Arial" w:hAnsi="Arial" w:cs="Arial" w:eastAsia="Arial"/>
                <w:color w:val="auto"/>
                <w:spacing w:val="0"/>
                <w:position w:val="0"/>
                <w:sz w:val="16"/>
                <w:shd w:fill="auto" w:val="clear"/>
              </w:rPr>
              <w:t xml:space="preserve"> </w:t>
            </w:r>
            <w:r>
              <w:rPr>
                <w:rFonts w:ascii="Arial" w:hAnsi="Arial" w:cs="Arial" w:eastAsia="Arial"/>
                <w:color w:val="auto"/>
                <w:spacing w:val="0"/>
                <w:position w:val="0"/>
                <w:sz w:val="16"/>
                <w:shd w:fill="auto" w:val="clear"/>
              </w:rPr>
              <w:t xml:space="preserve">–</w:t>
            </w:r>
            <w:r>
              <w:rPr>
                <w:rFonts w:ascii="Arial" w:hAnsi="Arial" w:cs="Arial" w:eastAsia="Arial"/>
                <w:color w:val="auto"/>
                <w:spacing w:val="0"/>
                <w:position w:val="0"/>
                <w:sz w:val="16"/>
                <w:shd w:fill="auto" w:val="clear"/>
              </w:rPr>
              <w:t xml:space="preserve"> tailored institutional and peer support clearly identified</w:t>
            </w:r>
          </w:p>
        </w:tc>
        <w:tc>
          <w:tcPr>
            <w:tcW w:w="169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360"/>
              <w:ind w:right="0" w:left="0" w:firstLine="0"/>
              <w:jc w:val="both"/>
              <w:rPr>
                <w:color w:val="auto"/>
                <w:spacing w:val="0"/>
                <w:position w:val="0"/>
                <w:shd w:fill="auto" w:val="clear"/>
              </w:rPr>
            </w:pPr>
            <w:r>
              <w:rPr>
                <w:rFonts w:ascii="Arial" w:hAnsi="Arial" w:cs="Arial" w:eastAsia="Arial"/>
                <w:b/>
                <w:color w:val="auto"/>
                <w:spacing w:val="0"/>
                <w:position w:val="0"/>
                <w:sz w:val="16"/>
                <w:shd w:fill="auto" w:val="clear"/>
              </w:rPr>
              <w:t xml:space="preserve">Y</w:t>
            </w:r>
            <w:r>
              <w:rPr>
                <w:rFonts w:ascii="Arial" w:hAnsi="Arial" w:cs="Arial" w:eastAsia="Arial"/>
                <w:color w:val="auto"/>
                <w:spacing w:val="0"/>
                <w:position w:val="0"/>
                <w:sz w:val="16"/>
                <w:shd w:fill="auto" w:val="clear"/>
              </w:rPr>
              <w:t xml:space="preserve"> </w:t>
            </w:r>
            <w:r>
              <w:rPr>
                <w:rFonts w:ascii="Arial" w:hAnsi="Arial" w:cs="Arial" w:eastAsia="Arial"/>
                <w:color w:val="auto"/>
                <w:spacing w:val="0"/>
                <w:position w:val="0"/>
                <w:sz w:val="16"/>
                <w:shd w:fill="auto" w:val="clear"/>
              </w:rPr>
              <w:t xml:space="preserve">–</w:t>
            </w:r>
            <w:r>
              <w:rPr>
                <w:rFonts w:ascii="Arial" w:hAnsi="Arial" w:cs="Arial" w:eastAsia="Arial"/>
                <w:color w:val="auto"/>
                <w:spacing w:val="0"/>
                <w:position w:val="0"/>
                <w:sz w:val="16"/>
                <w:shd w:fill="auto" w:val="clear"/>
              </w:rPr>
              <w:t xml:space="preserve"> supervision identified as potentially harmful, protective and a route to signposting</w:t>
            </w:r>
          </w:p>
        </w:tc>
        <w:tc>
          <w:tcPr>
            <w:tcW w:w="197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360"/>
              <w:ind w:right="0" w:left="0" w:firstLine="0"/>
              <w:jc w:val="both"/>
              <w:rPr>
                <w:color w:val="auto"/>
                <w:spacing w:val="0"/>
                <w:position w:val="0"/>
                <w:shd w:fill="auto" w:val="clear"/>
              </w:rPr>
            </w:pPr>
            <w:r>
              <w:rPr>
                <w:rFonts w:ascii="Arial" w:hAnsi="Arial" w:cs="Arial" w:eastAsia="Arial"/>
                <w:b/>
                <w:color w:val="auto"/>
                <w:spacing w:val="0"/>
                <w:position w:val="0"/>
                <w:sz w:val="16"/>
                <w:shd w:fill="auto" w:val="clear"/>
              </w:rPr>
              <w:t xml:space="preserve">Y</w:t>
            </w:r>
            <w:r>
              <w:rPr>
                <w:rFonts w:ascii="Arial" w:hAnsi="Arial" w:cs="Arial" w:eastAsia="Arial"/>
                <w:color w:val="auto"/>
                <w:spacing w:val="0"/>
                <w:position w:val="0"/>
                <w:sz w:val="16"/>
                <w:shd w:fill="auto" w:val="clear"/>
              </w:rPr>
              <w:t xml:space="preserve"> </w:t>
            </w:r>
            <w:r>
              <w:rPr>
                <w:rFonts w:ascii="Arial" w:hAnsi="Arial" w:cs="Arial" w:eastAsia="Arial"/>
                <w:color w:val="auto"/>
                <w:spacing w:val="0"/>
                <w:position w:val="0"/>
                <w:sz w:val="16"/>
                <w:shd w:fill="auto" w:val="clear"/>
              </w:rPr>
              <w:t xml:space="preserve">–</w:t>
            </w:r>
            <w:r>
              <w:rPr>
                <w:rFonts w:ascii="Arial" w:hAnsi="Arial" w:cs="Arial" w:eastAsia="Arial"/>
                <w:color w:val="auto"/>
                <w:spacing w:val="0"/>
                <w:position w:val="0"/>
                <w:sz w:val="16"/>
                <w:shd w:fill="auto" w:val="clear"/>
              </w:rPr>
              <w:t xml:space="preserve"> communication, pressure, isolation, socialising and support clearly identified</w:t>
            </w:r>
          </w:p>
        </w:tc>
      </w:tr>
      <w:tr>
        <w:trPr>
          <w:trHeight w:val="1" w:hRule="atLeast"/>
          <w:jc w:val="left"/>
        </w:trPr>
        <w:tc>
          <w:tcPr>
            <w:tcW w:w="2011"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360"/>
              <w:ind w:right="0" w:left="0" w:firstLine="0"/>
              <w:jc w:val="both"/>
              <w:rPr>
                <w:color w:val="auto"/>
                <w:spacing w:val="0"/>
                <w:position w:val="0"/>
                <w:shd w:fill="auto" w:val="clear"/>
              </w:rPr>
            </w:pPr>
            <w:r>
              <w:rPr>
                <w:rFonts w:ascii="Arial" w:hAnsi="Arial" w:cs="Arial" w:eastAsia="Arial"/>
                <w:b/>
                <w:color w:val="auto"/>
                <w:spacing w:val="0"/>
                <w:position w:val="0"/>
                <w:sz w:val="16"/>
                <w:shd w:fill="auto" w:val="clear"/>
              </w:rPr>
              <w:t xml:space="preserve">10. How valuable is the research?</w:t>
            </w:r>
          </w:p>
        </w:tc>
        <w:tc>
          <w:tcPr>
            <w:tcW w:w="210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360"/>
              <w:ind w:right="0" w:left="0" w:firstLine="0"/>
              <w:jc w:val="both"/>
              <w:rPr>
                <w:color w:val="auto"/>
                <w:spacing w:val="0"/>
                <w:position w:val="0"/>
                <w:shd w:fill="auto" w:val="clear"/>
              </w:rPr>
            </w:pPr>
            <w:r>
              <w:rPr>
                <w:rFonts w:ascii="Arial" w:hAnsi="Arial" w:cs="Arial" w:eastAsia="Arial"/>
                <w:b/>
                <w:color w:val="auto"/>
                <w:spacing w:val="0"/>
                <w:position w:val="0"/>
                <w:sz w:val="16"/>
                <w:shd w:fill="auto" w:val="clear"/>
              </w:rPr>
              <w:t xml:space="preserve">Y</w:t>
            </w:r>
            <w:r>
              <w:rPr>
                <w:rFonts w:ascii="Arial" w:hAnsi="Arial" w:cs="Arial" w:eastAsia="Arial"/>
                <w:color w:val="auto"/>
                <w:spacing w:val="0"/>
                <w:position w:val="0"/>
                <w:sz w:val="16"/>
                <w:shd w:fill="auto" w:val="clear"/>
              </w:rPr>
              <w:t xml:space="preserve"> </w:t>
            </w:r>
            <w:r>
              <w:rPr>
                <w:rFonts w:ascii="Arial" w:hAnsi="Arial" w:cs="Arial" w:eastAsia="Arial"/>
                <w:color w:val="auto"/>
                <w:spacing w:val="0"/>
                <w:position w:val="0"/>
                <w:sz w:val="16"/>
                <w:shd w:fill="auto" w:val="clear"/>
              </w:rPr>
              <w:t xml:space="preserve">–</w:t>
            </w:r>
            <w:r>
              <w:rPr>
                <w:rFonts w:ascii="Arial" w:hAnsi="Arial" w:cs="Arial" w:eastAsia="Arial"/>
                <w:color w:val="auto"/>
                <w:spacing w:val="0"/>
                <w:position w:val="0"/>
                <w:sz w:val="16"/>
                <w:shd w:fill="auto" w:val="clear"/>
              </w:rPr>
              <w:t xml:space="preserve"> multi-university evidence contributes to structural and financial themes</w:t>
            </w:r>
          </w:p>
        </w:tc>
        <w:tc>
          <w:tcPr>
            <w:tcW w:w="1791"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360"/>
              <w:ind w:right="0" w:left="0" w:firstLine="0"/>
              <w:jc w:val="both"/>
              <w:rPr>
                <w:color w:val="auto"/>
                <w:spacing w:val="0"/>
                <w:position w:val="0"/>
                <w:shd w:fill="auto" w:val="clear"/>
              </w:rPr>
            </w:pPr>
            <w:r>
              <w:rPr>
                <w:rFonts w:ascii="Arial" w:hAnsi="Arial" w:cs="Arial" w:eastAsia="Arial"/>
                <w:b/>
                <w:color w:val="auto"/>
                <w:spacing w:val="0"/>
                <w:position w:val="0"/>
                <w:sz w:val="16"/>
                <w:shd w:fill="auto" w:val="clear"/>
              </w:rPr>
              <w:t xml:space="preserve">Y/P</w:t>
            </w:r>
            <w:r>
              <w:rPr>
                <w:rFonts w:ascii="Arial" w:hAnsi="Arial" w:cs="Arial" w:eastAsia="Arial"/>
                <w:color w:val="auto"/>
                <w:spacing w:val="0"/>
                <w:position w:val="0"/>
                <w:sz w:val="16"/>
                <w:shd w:fill="auto" w:val="clear"/>
              </w:rPr>
              <w:t xml:space="preserve"> </w:t>
            </w:r>
            <w:r>
              <w:rPr>
                <w:rFonts w:ascii="Arial" w:hAnsi="Arial" w:cs="Arial" w:eastAsia="Arial"/>
                <w:color w:val="auto"/>
                <w:spacing w:val="0"/>
                <w:position w:val="0"/>
                <w:sz w:val="16"/>
                <w:shd w:fill="auto" w:val="clear"/>
              </w:rPr>
              <w:t xml:space="preserve">–</w:t>
            </w:r>
            <w:r>
              <w:rPr>
                <w:rFonts w:ascii="Arial" w:hAnsi="Arial" w:cs="Arial" w:eastAsia="Arial"/>
                <w:color w:val="auto"/>
                <w:spacing w:val="0"/>
                <w:position w:val="0"/>
                <w:sz w:val="16"/>
                <w:shd w:fill="auto" w:val="clear"/>
              </w:rPr>
              <w:t xml:space="preserve"> useful intervention evidence, although transferability is restricted</w:t>
            </w:r>
          </w:p>
        </w:tc>
        <w:tc>
          <w:tcPr>
            <w:tcW w:w="169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360"/>
              <w:ind w:right="0" w:left="0" w:firstLine="0"/>
              <w:jc w:val="both"/>
              <w:rPr>
                <w:color w:val="auto"/>
                <w:spacing w:val="0"/>
                <w:position w:val="0"/>
                <w:shd w:fill="auto" w:val="clear"/>
              </w:rPr>
            </w:pPr>
            <w:r>
              <w:rPr>
                <w:rFonts w:ascii="Arial" w:hAnsi="Arial" w:cs="Arial" w:eastAsia="Arial"/>
                <w:b/>
                <w:color w:val="auto"/>
                <w:spacing w:val="0"/>
                <w:position w:val="0"/>
                <w:sz w:val="16"/>
                <w:shd w:fill="auto" w:val="clear"/>
              </w:rPr>
              <w:t xml:space="preserve">Y</w:t>
            </w:r>
            <w:r>
              <w:rPr>
                <w:rFonts w:ascii="Arial" w:hAnsi="Arial" w:cs="Arial" w:eastAsia="Arial"/>
                <w:color w:val="auto"/>
                <w:spacing w:val="0"/>
                <w:position w:val="0"/>
                <w:sz w:val="16"/>
                <w:shd w:fill="auto" w:val="clear"/>
              </w:rPr>
              <w:t xml:space="preserve"> </w:t>
            </w:r>
            <w:r>
              <w:rPr>
                <w:rFonts w:ascii="Arial" w:hAnsi="Arial" w:cs="Arial" w:eastAsia="Arial"/>
                <w:color w:val="auto"/>
                <w:spacing w:val="0"/>
                <w:position w:val="0"/>
                <w:sz w:val="16"/>
                <w:shd w:fill="auto" w:val="clear"/>
              </w:rPr>
              <w:t xml:space="preserve">–</w:t>
            </w:r>
            <w:r>
              <w:rPr>
                <w:rFonts w:ascii="Arial" w:hAnsi="Arial" w:cs="Arial" w:eastAsia="Arial"/>
                <w:color w:val="auto"/>
                <w:spacing w:val="0"/>
                <w:position w:val="0"/>
                <w:sz w:val="16"/>
                <w:shd w:fill="auto" w:val="clear"/>
              </w:rPr>
              <w:t xml:space="preserve"> large-scale qualitative evidence directly informs supervisory and support implications</w:t>
            </w:r>
          </w:p>
        </w:tc>
        <w:tc>
          <w:tcPr>
            <w:tcW w:w="197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360"/>
              <w:ind w:right="0" w:left="0" w:firstLine="0"/>
              <w:jc w:val="both"/>
              <w:rPr>
                <w:color w:val="auto"/>
                <w:spacing w:val="0"/>
                <w:position w:val="0"/>
                <w:shd w:fill="auto" w:val="clear"/>
              </w:rPr>
            </w:pPr>
            <w:r>
              <w:rPr>
                <w:rFonts w:ascii="Arial" w:hAnsi="Arial" w:cs="Arial" w:eastAsia="Arial"/>
                <w:b/>
                <w:color w:val="auto"/>
                <w:spacing w:val="0"/>
                <w:position w:val="0"/>
                <w:sz w:val="16"/>
                <w:shd w:fill="auto" w:val="clear"/>
              </w:rPr>
              <w:t xml:space="preserve">Y</w:t>
            </w:r>
            <w:r>
              <w:rPr>
                <w:rFonts w:ascii="Arial" w:hAnsi="Arial" w:cs="Arial" w:eastAsia="Arial"/>
                <w:color w:val="auto"/>
                <w:spacing w:val="0"/>
                <w:position w:val="0"/>
                <w:sz w:val="16"/>
                <w:shd w:fill="auto" w:val="clear"/>
              </w:rPr>
              <w:t xml:space="preserve"> </w:t>
            </w:r>
            <w:r>
              <w:rPr>
                <w:rFonts w:ascii="Arial" w:hAnsi="Arial" w:cs="Arial" w:eastAsia="Arial"/>
                <w:color w:val="auto"/>
                <w:spacing w:val="0"/>
                <w:position w:val="0"/>
                <w:sz w:val="16"/>
                <w:shd w:fill="auto" w:val="clear"/>
              </w:rPr>
              <w:t xml:space="preserve">–</w:t>
            </w:r>
            <w:r>
              <w:rPr>
                <w:rFonts w:ascii="Arial" w:hAnsi="Arial" w:cs="Arial" w:eastAsia="Arial"/>
                <w:color w:val="auto"/>
                <w:spacing w:val="0"/>
                <w:position w:val="0"/>
                <w:sz w:val="16"/>
                <w:shd w:fill="auto" w:val="clear"/>
              </w:rPr>
              <w:t xml:space="preserve"> valuable because direct qualitative evidence on UK PGT students is scarce</w:t>
            </w:r>
          </w:p>
        </w:tc>
      </w:tr>
    </w:tbl>
    <w:p>
      <w:pPr>
        <w:spacing w:before="0" w:after="160" w:line="360"/>
        <w:ind w:right="0" w:left="0" w:firstLine="0"/>
        <w:jc w:val="both"/>
        <w:rPr>
          <w:rFonts w:ascii="Arial" w:hAnsi="Arial" w:cs="Arial" w:eastAsia="Arial"/>
          <w:b/>
          <w:color w:val="auto"/>
          <w:spacing w:val="0"/>
          <w:position w:val="0"/>
          <w:sz w:val="22"/>
          <w:u w:val="single"/>
          <w:shd w:fill="auto" w:val="clear"/>
        </w:rPr>
      </w:pPr>
      <w:r>
        <w:rPr>
          <w:rFonts w:ascii="Arial" w:hAnsi="Arial" w:cs="Arial" w:eastAsia="Arial"/>
          <w:b/>
          <w:color w:val="auto"/>
          <w:spacing w:val="0"/>
          <w:position w:val="0"/>
          <w:sz w:val="22"/>
          <w:u w:val="single"/>
          <w:shd w:fill="auto" w:val="clear"/>
        </w:rPr>
        <w:t xml:space="preserve">Appendix Table A1.2: Overall CASP appraisal</w:t>
      </w:r>
    </w:p>
    <w:tbl>
      <w:tblPr/>
      <w:tblGrid>
        <w:gridCol w:w="1520"/>
        <w:gridCol w:w="1453"/>
        <w:gridCol w:w="6603"/>
      </w:tblGrid>
      <w:tr>
        <w:trPr>
          <w:trHeight w:val="1" w:hRule="atLeast"/>
          <w:jc w:val="left"/>
        </w:trPr>
        <w:tc>
          <w:tcPr>
            <w:tcW w:w="152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z w:val="22"/>
                <w:shd w:fill="auto" w:val="clear"/>
              </w:rPr>
            </w:pPr>
            <w:r>
              <w:rPr>
                <w:rFonts w:ascii="Arial" w:hAnsi="Arial" w:cs="Arial" w:eastAsia="Arial"/>
                <w:b/>
                <w:color w:val="auto"/>
                <w:spacing w:val="0"/>
                <w:position w:val="0"/>
                <w:sz w:val="22"/>
                <w:shd w:fill="auto" w:val="clear"/>
              </w:rPr>
              <w:t xml:space="preserve">Study</w:t>
            </w:r>
          </w:p>
        </w:tc>
        <w:tc>
          <w:tcPr>
            <w:tcW w:w="145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z w:val="22"/>
                <w:shd w:fill="auto" w:val="clear"/>
              </w:rPr>
            </w:pPr>
            <w:r>
              <w:rPr>
                <w:rFonts w:ascii="Arial" w:hAnsi="Arial" w:cs="Arial" w:eastAsia="Arial"/>
                <w:b/>
                <w:color w:val="auto"/>
                <w:spacing w:val="0"/>
                <w:position w:val="0"/>
                <w:sz w:val="22"/>
                <w:shd w:fill="auto" w:val="clear"/>
              </w:rPr>
              <w:t xml:space="preserve">Overall appraisal</w:t>
            </w:r>
          </w:p>
        </w:tc>
        <w:tc>
          <w:tcPr>
            <w:tcW w:w="660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z w:val="22"/>
                <w:shd w:fill="auto" w:val="clear"/>
              </w:rPr>
            </w:pPr>
            <w:r>
              <w:rPr>
                <w:rFonts w:ascii="Arial" w:hAnsi="Arial" w:cs="Arial" w:eastAsia="Arial"/>
                <w:b/>
                <w:color w:val="auto"/>
                <w:spacing w:val="0"/>
                <w:position w:val="0"/>
                <w:sz w:val="22"/>
                <w:shd w:fill="auto" w:val="clear"/>
              </w:rPr>
              <w:t xml:space="preserve">Main reason</w:t>
            </w:r>
          </w:p>
        </w:tc>
      </w:tr>
      <w:tr>
        <w:trPr>
          <w:trHeight w:val="1" w:hRule="atLeast"/>
          <w:jc w:val="left"/>
        </w:trPr>
        <w:tc>
          <w:tcPr>
            <w:tcW w:w="152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z w:val="22"/>
                <w:shd w:fill="auto" w:val="clear"/>
              </w:rPr>
            </w:pPr>
            <w:r>
              <w:rPr>
                <w:rFonts w:ascii="Arial" w:hAnsi="Arial" w:cs="Arial" w:eastAsia="Arial"/>
                <w:b/>
                <w:color w:val="auto"/>
                <w:spacing w:val="0"/>
                <w:position w:val="0"/>
                <w:sz w:val="22"/>
                <w:shd w:fill="auto" w:val="clear"/>
              </w:rPr>
              <w:t xml:space="preserve">White et al. (2024)</w:t>
            </w:r>
          </w:p>
        </w:tc>
        <w:tc>
          <w:tcPr>
            <w:tcW w:w="145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z w:val="22"/>
                <w:shd w:fill="auto" w:val="clear"/>
              </w:rPr>
            </w:pPr>
            <w:r>
              <w:rPr>
                <w:rFonts w:ascii="Arial" w:hAnsi="Arial" w:cs="Arial" w:eastAsia="Arial"/>
                <w:b/>
                <w:color w:val="auto"/>
                <w:spacing w:val="0"/>
                <w:position w:val="0"/>
                <w:sz w:val="22"/>
                <w:shd w:fill="auto" w:val="clear"/>
              </w:rPr>
              <w:t xml:space="preserve">High</w:t>
            </w:r>
          </w:p>
        </w:tc>
        <w:tc>
          <w:tcPr>
            <w:tcW w:w="660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z w:val="22"/>
                <w:shd w:fill="auto" w:val="clear"/>
              </w:rPr>
            </w:pPr>
            <w:r>
              <w:rPr>
                <w:rFonts w:ascii="Arial" w:hAnsi="Arial" w:cs="Arial" w:eastAsia="Arial"/>
                <w:color w:val="auto"/>
                <w:spacing w:val="0"/>
                <w:position w:val="0"/>
                <w:sz w:val="22"/>
                <w:shd w:fill="auto" w:val="clear"/>
              </w:rPr>
              <w:t xml:space="preserve">Strong multi-site qualitative contribution, clear findings, reflexive analysis and consideration of counter-evidence; main limitation was use of a linked participant cohort.</w:t>
            </w:r>
          </w:p>
        </w:tc>
      </w:tr>
      <w:tr>
        <w:trPr>
          <w:trHeight w:val="1" w:hRule="atLeast"/>
          <w:jc w:val="left"/>
        </w:trPr>
        <w:tc>
          <w:tcPr>
            <w:tcW w:w="152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z w:val="22"/>
                <w:shd w:fill="auto" w:val="clear"/>
              </w:rPr>
            </w:pPr>
            <w:r>
              <w:rPr>
                <w:rFonts w:ascii="Arial" w:hAnsi="Arial" w:cs="Arial" w:eastAsia="Arial"/>
                <w:b/>
                <w:color w:val="auto"/>
                <w:spacing w:val="0"/>
                <w:position w:val="0"/>
                <w:sz w:val="22"/>
                <w:shd w:fill="auto" w:val="clear"/>
              </w:rPr>
              <w:t xml:space="preserve">Casey et al. (2024b)</w:t>
            </w:r>
          </w:p>
        </w:tc>
        <w:tc>
          <w:tcPr>
            <w:tcW w:w="145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z w:val="22"/>
                <w:shd w:fill="auto" w:val="clear"/>
              </w:rPr>
            </w:pPr>
            <w:r>
              <w:rPr>
                <w:rFonts w:ascii="Arial" w:hAnsi="Arial" w:cs="Arial" w:eastAsia="Arial"/>
                <w:b/>
                <w:color w:val="auto"/>
                <w:spacing w:val="0"/>
                <w:position w:val="0"/>
                <w:sz w:val="22"/>
                <w:shd w:fill="auto" w:val="clear"/>
              </w:rPr>
              <w:t xml:space="preserve">Moderate</w:t>
            </w:r>
          </w:p>
        </w:tc>
        <w:tc>
          <w:tcPr>
            <w:tcW w:w="660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z w:val="22"/>
                <w:shd w:fill="auto" w:val="clear"/>
              </w:rPr>
            </w:pPr>
            <w:r>
              <w:rPr>
                <w:rFonts w:ascii="Arial" w:hAnsi="Arial" w:cs="Arial" w:eastAsia="Arial"/>
                <w:color w:val="auto"/>
                <w:spacing w:val="0"/>
                <w:position w:val="0"/>
                <w:sz w:val="22"/>
                <w:shd w:fill="auto" w:val="clear"/>
              </w:rPr>
              <w:t xml:space="preserve">Relevant qualitative pilot evidence with useful intervention implications, but the small, single-university context limits transferability and methodological confidence.</w:t>
            </w:r>
          </w:p>
        </w:tc>
      </w:tr>
      <w:tr>
        <w:trPr>
          <w:trHeight w:val="1" w:hRule="atLeast"/>
          <w:jc w:val="left"/>
        </w:trPr>
        <w:tc>
          <w:tcPr>
            <w:tcW w:w="152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z w:val="22"/>
                <w:shd w:fill="auto" w:val="clear"/>
              </w:rPr>
            </w:pPr>
            <w:r>
              <w:rPr>
                <w:rFonts w:ascii="Arial" w:hAnsi="Arial" w:cs="Arial" w:eastAsia="Arial"/>
                <w:b/>
                <w:color w:val="auto"/>
                <w:spacing w:val="0"/>
                <w:position w:val="0"/>
                <w:sz w:val="22"/>
                <w:shd w:fill="auto" w:val="clear"/>
              </w:rPr>
              <w:t xml:space="preserve">Hazell et al. (2025)</w:t>
            </w:r>
          </w:p>
        </w:tc>
        <w:tc>
          <w:tcPr>
            <w:tcW w:w="145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z w:val="22"/>
                <w:shd w:fill="auto" w:val="clear"/>
              </w:rPr>
            </w:pPr>
            <w:r>
              <w:rPr>
                <w:rFonts w:ascii="Arial" w:hAnsi="Arial" w:cs="Arial" w:eastAsia="Arial"/>
                <w:b/>
                <w:color w:val="auto"/>
                <w:spacing w:val="0"/>
                <w:position w:val="0"/>
                <w:sz w:val="22"/>
                <w:shd w:fill="auto" w:val="clear"/>
              </w:rPr>
              <w:t xml:space="preserve">High</w:t>
            </w:r>
          </w:p>
        </w:tc>
        <w:tc>
          <w:tcPr>
            <w:tcW w:w="660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z w:val="22"/>
                <w:shd w:fill="auto" w:val="clear"/>
              </w:rPr>
            </w:pPr>
            <w:r>
              <w:rPr>
                <w:rFonts w:ascii="Arial" w:hAnsi="Arial" w:cs="Arial" w:eastAsia="Arial"/>
                <w:color w:val="auto"/>
                <w:spacing w:val="0"/>
                <w:position w:val="0"/>
                <w:sz w:val="22"/>
                <w:shd w:fill="auto" w:val="clear"/>
              </w:rPr>
              <w:t xml:space="preserve">Large national qualitative dataset with reflexive thematic analysis and clear relevance to supervision and mental-health support; linked U-DOC data reduce independence.</w:t>
            </w:r>
          </w:p>
        </w:tc>
      </w:tr>
      <w:tr>
        <w:trPr>
          <w:trHeight w:val="1" w:hRule="atLeast"/>
          <w:jc w:val="left"/>
        </w:trPr>
        <w:tc>
          <w:tcPr>
            <w:tcW w:w="152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z w:val="22"/>
                <w:shd w:fill="auto" w:val="clear"/>
              </w:rPr>
            </w:pPr>
            <w:r>
              <w:rPr>
                <w:rFonts w:ascii="Arial" w:hAnsi="Arial" w:cs="Arial" w:eastAsia="Arial"/>
                <w:b/>
                <w:color w:val="auto"/>
                <w:spacing w:val="0"/>
                <w:position w:val="0"/>
                <w:sz w:val="22"/>
                <w:shd w:fill="auto" w:val="clear"/>
              </w:rPr>
              <w:t xml:space="preserve">Marshall et al. (2026)</w:t>
            </w:r>
          </w:p>
        </w:tc>
        <w:tc>
          <w:tcPr>
            <w:tcW w:w="145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z w:val="22"/>
                <w:shd w:fill="auto" w:val="clear"/>
              </w:rPr>
            </w:pPr>
            <w:r>
              <w:rPr>
                <w:rFonts w:ascii="Arial" w:hAnsi="Arial" w:cs="Arial" w:eastAsia="Arial"/>
                <w:b/>
                <w:color w:val="auto"/>
                <w:spacing w:val="0"/>
                <w:position w:val="0"/>
                <w:sz w:val="22"/>
                <w:shd w:fill="auto" w:val="clear"/>
              </w:rPr>
              <w:t xml:space="preserve">Moderate</w:t>
            </w:r>
          </w:p>
        </w:tc>
        <w:tc>
          <w:tcPr>
            <w:tcW w:w="660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z w:val="22"/>
                <w:shd w:fill="auto" w:val="clear"/>
              </w:rPr>
            </w:pPr>
            <w:r>
              <w:rPr>
                <w:rFonts w:ascii="Arial" w:hAnsi="Arial" w:cs="Arial" w:eastAsia="Arial"/>
                <w:color w:val="auto"/>
                <w:spacing w:val="0"/>
                <w:position w:val="0"/>
                <w:sz w:val="22"/>
                <w:shd w:fill="auto" w:val="clear"/>
              </w:rPr>
              <w:t xml:space="preserve">Valuable direct PGT evidence and appropriate qualitative design, but the small one-university sample and pandemic context restrict transferability.</w:t>
            </w:r>
          </w:p>
        </w:tc>
      </w:tr>
    </w:tbl>
    <w:p>
      <w:pPr>
        <w:spacing w:before="0" w:after="160" w:line="360"/>
        <w:ind w:right="0" w:left="0" w:firstLine="0"/>
        <w:jc w:val="both"/>
        <w:rPr>
          <w:rFonts w:ascii="Arial" w:hAnsi="Arial" w:cs="Arial" w:eastAsia="Arial"/>
          <w:color w:val="auto"/>
          <w:spacing w:val="0"/>
          <w:position w:val="0"/>
          <w:sz w:val="22"/>
          <w:shd w:fill="auto" w:val="clear"/>
        </w:rPr>
      </w:pPr>
    </w:p>
    <w:p>
      <w:pPr>
        <w:spacing w:before="0" w:after="160" w:line="259"/>
        <w:ind w:right="0" w:left="0" w:firstLine="0"/>
        <w:jc w:val="left"/>
        <w:rPr>
          <w:rFonts w:ascii="Arial" w:hAnsi="Arial" w:cs="Arial" w:eastAsia="Arial"/>
          <w:color w:val="auto"/>
          <w:spacing w:val="0"/>
          <w:position w:val="0"/>
          <w:sz w:val="22"/>
          <w:shd w:fill="auto" w:val="clear"/>
        </w:rPr>
      </w:pPr>
    </w:p>
  </w:body>
</w:document>
</file>

<file path=word/numbering.xml><?xml version="1.0" encoding="utf-8"?>
<w:numbering xmlns:w="http://schemas.openxmlformats.org/wordprocessingml/2006/main">
  <w:abstractNum w:abstractNumId="0">
    <w:lvl w:ilvl="0">
      <w:start w:val="1"/>
      <w:numFmt w:val="bullet"/>
      <w:lvlText w:val="•"/>
    </w:lvl>
  </w:abstractNum>
  <w:num w:numId="79">
    <w:abstractNumId w:val="0"/>
  </w:num>
</w:numbering>
</file>

<file path=word/styles.xml><?xml version="1.0" encoding="utf-8"?>
<w:styles xmlns:w="http://schemas.openxmlformats.org/wordprocessingml/2006/main"/>
</file>

<file path=word/_rels/document.xml.rels><?xml version="1.0" encoding="UTF-8"?><Relationships xmlns="http://schemas.openxmlformats.org/package/2006/relationships"><Relationship TargetMode="External" Target="https://doi.org/10.1108/SGPE-06-2020-0034" Id="docRId14" Type="http://schemas.openxmlformats.org/officeDocument/2006/relationships/hyperlink" /><Relationship TargetMode="External" Target="https://www.ukri.org/publications/supporting-excellent-supervisory-practice-across-ukri-doctoral-training-investments/" Id="docRId75" Type="http://schemas.openxmlformats.org/officeDocument/2006/relationships/hyperlink" /><Relationship TargetMode="External" Target="https://doi.org/10.14324/111.444/ucloe.000048" Id="docRId69" Type="http://schemas.openxmlformats.org/officeDocument/2006/relationships/hyperlink" /><Relationship TargetMode="External" Target="https://doi.org/10.1108/JPMH-10-2019-0086" Id="docRId36" Type="http://schemas.openxmlformats.org/officeDocument/2006/relationships/hyperlink" /><Relationship TargetMode="External" Target="https://www.ukri.org/wp-content/uploads/2021/12/RE-141221-CatalystFundProgrammeEvaluation.pdf" Id="docRId53" Type="http://schemas.openxmlformats.org/officeDocument/2006/relationships/hyperlink" /><Relationship TargetMode="External" Target="https://www.ons.gov.uk/peoplepopulationandcommunity/educationandchildcare/articles/studentvoicesexperiencesoftherisingcostofliving/2023-09-06" Id="docRId60" Type="http://schemas.openxmlformats.org/officeDocument/2006/relationships/hyperlink" /><Relationship TargetMode="External" Target="https://doi.org/10.1192/bjo.2021.1041" Id="docRId13" Type="http://schemas.openxmlformats.org/officeDocument/2006/relationships/hyperlink" /><Relationship TargetMode="External" Target="https://doi.org/10.1136/oemed-2021-107667" Id="docRId20" Type="http://schemas.openxmlformats.org/officeDocument/2006/relationships/hyperlink" /><Relationship TargetMode="External" Target="https://www.nhs.uk/mental-health/children-and-young-adults/help-for-teenagers-young-adults-and-students/student-stress-self-help-tips" Id="docRId58" Type="http://schemas.openxmlformats.org/officeDocument/2006/relationships/hyperlink" /><Relationship TargetMode="External" Target="https://doi.org/10.1016/j.mhp.2018.11.003" Id="docRId78" Type="http://schemas.openxmlformats.org/officeDocument/2006/relationships/hyperlink" /><Relationship Target="embeddings/oleObject1.bin" Id="docRId2" Type="http://schemas.openxmlformats.org/officeDocument/2006/relationships/oleObject" /><Relationship TargetMode="External" Target="https://www.studentminds.org.uk/reports/understanding-mental-health-inequalities-part-time-distance-learner-and-commuter-students/" Id="docRId71" Type="http://schemas.openxmlformats.org/officeDocument/2006/relationships/hyperlink" /><Relationship TargetMode="External" Target="https://doi.org/10.1016/j.jad.2020.10.060" Id="docRId11" Type="http://schemas.openxmlformats.org/officeDocument/2006/relationships/hyperlink" /><Relationship TargetMode="External" Target="https://assets.publishing.service.gov.uk/media/697b9717f8f4a746d9572f57/Improving_student_mental_health_through_higher_education_-_NHS_partnerships.pdf" Id="docRId26" Type="http://schemas.openxmlformats.org/officeDocument/2006/relationships/hyperlink" /><Relationship TargetMode="External" Target="https://doi.org/10.1080/09638237.2021.1875419" Id="docRId31" Type="http://schemas.openxmlformats.org/officeDocument/2006/relationships/hyperlink" /><Relationship TargetMode="External" Target="https://doi.org/10.1080/21568235.2021.1992293" Id="docRId42" Type="http://schemas.openxmlformats.org/officeDocument/2006/relationships/hyperlink" /><Relationship TargetMode="External" Target="https://www.gov.uk/government/publications/national-review-of-higher-education-student-suicide-deaths" Id="docRId56" Type="http://schemas.openxmlformats.org/officeDocument/2006/relationships/hyperlink" /><Relationship TargetMode="External" Target="https://doi.org/10.1111/asap.12242" Id="docRId65" Type="http://schemas.openxmlformats.org/officeDocument/2006/relationships/hyperlink" /><Relationship Target="embeddings/oleObject2.bin" Id="docRId4" Type="http://schemas.openxmlformats.org/officeDocument/2006/relationships/oleObject" /><Relationship TargetMode="External" Target="https://doi.org/10.1192/bjo.2022.523" Id="docRId73" Type="http://schemas.openxmlformats.org/officeDocument/2006/relationships/hyperlink" /><Relationship TargetMode="External" Target="https://doi.org/10.1080/09638237.2020.1818196" Id="docRId17" Type="http://schemas.openxmlformats.org/officeDocument/2006/relationships/hyperlink" /><Relationship TargetMode="External" Target="https://doi.org/10.1186/s12982-026-02121-8" Id="docRId24" Type="http://schemas.openxmlformats.org/officeDocument/2006/relationships/hyperlink" /><Relationship TargetMode="External" Target="https://doi.org/10.1371/journal.pone.0292842" Id="docRId33" Type="http://schemas.openxmlformats.org/officeDocument/2006/relationships/hyperlink" /><Relationship TargetMode="External" Target="https://doi.org/10.1007/s10734-021-00795-4" Id="docRId44" Type="http://schemas.openxmlformats.org/officeDocument/2006/relationships/hyperlink" /><Relationship TargetMode="External" Target="https://www.ukri.org/wp-content/uploads/2018/05/RE_141221-MentalHealthReportFinal.pdf" Id="docRId54" Type="http://schemas.openxmlformats.org/officeDocument/2006/relationships/hyperlink" /><Relationship TargetMode="External" Target="https://www.officeforstudents.org.uk/publications/student-mental-health-higher-education-and-nhs-joined-up-working/" Id="docRId63" Type="http://schemas.openxmlformats.org/officeDocument/2006/relationships/hyperlink" /><Relationship TargetMode="External" Target="https://doi.org/10.1080/13596748.2023.2285634" Id="docRId74" Type="http://schemas.openxmlformats.org/officeDocument/2006/relationships/hyperlink" /><Relationship TargetMode="External" Target="https://doi.org/10.1080/1360080X.2018.1478613" Id="docRId80" Type="http://schemas.openxmlformats.org/officeDocument/2006/relationships/hyperlink" /><Relationship TargetMode="External" Target="https://doi.org/10.1371/journal.pone.0262562" Id="docRId23" Type="http://schemas.openxmlformats.org/officeDocument/2006/relationships/hyperlink" /><Relationship TargetMode="External" Target="https://doi.org/10.1038/s44184-025-00144-8" Id="docRId6" Type="http://schemas.openxmlformats.org/officeDocument/2006/relationships/hyperlink" /><Relationship Target="media/image0.wmf" Id="docRId1" Type="http://schemas.openxmlformats.org/officeDocument/2006/relationships/image" /><Relationship TargetMode="External" Target="https://doi.org/10.1002/hsr2.72429" Id="docRId15" Type="http://schemas.openxmlformats.org/officeDocument/2006/relationships/hyperlink" /><Relationship TargetMode="External" Target="https://doi.org/10.1108/SGPE-04-2022-0032" Id="docRId35" Type="http://schemas.openxmlformats.org/officeDocument/2006/relationships/hyperlink" /><Relationship TargetMode="External" Target="https://doi.org/10.1108/JARHE-03-2018-0040" Id="docRId46" Type="http://schemas.openxmlformats.org/officeDocument/2006/relationships/hyperlink" /><Relationship TargetMode="External" Target="https://doi.org/10.1080/09638237.2018.1437608" Id="docRId52" Type="http://schemas.openxmlformats.org/officeDocument/2006/relationships/hyperlink" /><Relationship TargetMode="External" Target="https://www.ons.gov.uk/peoplepopulationandcommunity/birthsdeathsandmarriages/deaths/articles/estimatingsuicideamonghighereducationstudentsenglandandwalesexperimentalstatistics/august2016tojuly2023" Id="docRId61" Type="http://schemas.openxmlformats.org/officeDocument/2006/relationships/hyperlink" /><Relationship TargetMode="External" Target="https://www.universitiesuk.ac.uk/what-we-do/policy-and-research/publications/stepchange-mentally-healthy-universities" Id="docRId76" Type="http://schemas.openxmlformats.org/officeDocument/2006/relationships/hyperlink" /><Relationship TargetMode="External" Target="https://www.who.int/publications/i/item/9789240049338" Id="docRId82" Type="http://schemas.openxmlformats.org/officeDocument/2006/relationships/hyperlink" /><Relationship TargetMode="External" Target="https://doi.org/10.1080/09638237.2022.2091766" Id="docRId12" Type="http://schemas.openxmlformats.org/officeDocument/2006/relationships/hyperlink" /><Relationship TargetMode="External" Target="https://doi.org/10.1136/oemed-2021-108097" Id="docRId21" Type="http://schemas.openxmlformats.org/officeDocument/2006/relationships/hyperlink" /><Relationship TargetMode="External" Target="https://www.studentminds.org.uk/resources/student-mental-health-the-role-and-experiences-of-academics/" Id="docRId41" Type="http://schemas.openxmlformats.org/officeDocument/2006/relationships/hyperlink" /><Relationship TargetMode="External" Target="https://doi.org/10.1002/smi.3133" Id="docRId68" Type="http://schemas.openxmlformats.org/officeDocument/2006/relationships/hyperlink" /><Relationship TargetMode="External" Target="https://doi.org/10.1111/nbu.12662" Id="docRId8" Type="http://schemas.openxmlformats.org/officeDocument/2006/relationships/hyperlink" /><Relationship Target="styles.xml" Id="docRId85" Type="http://schemas.openxmlformats.org/officeDocument/2006/relationships/styles" /><Relationship TargetMode="External" Target="https://www.gov.uk/government/publications/higher-education-and-mental-health-analyses-of-the-lsype-cohorts" Id="docRId28" Type="http://schemas.openxmlformats.org/officeDocument/2006/relationships/hyperlink" /><Relationship Target="media/image1.wmf" Id="docRId3" Type="http://schemas.openxmlformats.org/officeDocument/2006/relationships/image" /><Relationship TargetMode="External" Target="https://ukcge.ac.uk/resources/resource-library/uk-research-supervision-survey-2021-report" Id="docRId37" Type="http://schemas.openxmlformats.org/officeDocument/2006/relationships/hyperlink" /><Relationship TargetMode="External" Target="https://commonslibrary.parliament.uk/research-briefings/cbp-8593/" Id="docRId48" Type="http://schemas.openxmlformats.org/officeDocument/2006/relationships/hyperlink" /><Relationship TargetMode="External" Target="https://doi.org/10.1136/jech-2019-212154" Id="docRId50" Type="http://schemas.openxmlformats.org/officeDocument/2006/relationships/hyperlink" /><Relationship TargetMode="External" Target="https://doi.org/10.1136/bmjopen-2021-050720" Id="docRId70" Type="http://schemas.openxmlformats.org/officeDocument/2006/relationships/hyperlink" /><Relationship TargetMode="External" Target="https://doi.org/10.1192/bjo.2021.947" Id="docRId10" Type="http://schemas.openxmlformats.org/officeDocument/2006/relationships/hyperlink" /><Relationship TargetMode="External" Target="https://www.gov.uk/government/publications/he-student-mental-health-and-wellbeing-sector-insights" Id="docRId27" Type="http://schemas.openxmlformats.org/officeDocument/2006/relationships/hyperlink" /><Relationship TargetMode="External" Target="https://www.gov.uk/government/groups/higher-education-mental-health-implementation-taskforce" Id="docRId30" Type="http://schemas.openxmlformats.org/officeDocument/2006/relationships/hyperlink" /><Relationship TargetMode="External" Target="https://doi.org/10.1080/0309877X.2021.2023732" Id="docRId43" Type="http://schemas.openxmlformats.org/officeDocument/2006/relationships/hyperlink" /><Relationship TargetMode="External" Target="https://www.ons.gov.uk/peoplepopulationandcommunity/educationandchildcare/bulletins/costoflivingandhighereducationstudentsengland/30januaryto13february2023" Id="docRId59" Type="http://schemas.openxmlformats.org/officeDocument/2006/relationships/hyperlink" /><Relationship TargetMode="External" Target="https://doi.org/10.1186/s13033-022-00569-0" Id="docRId66" Type="http://schemas.openxmlformats.org/officeDocument/2006/relationships/hyperlink" /><Relationship TargetMode="External" Target="https://doi.org/10.1136/bmjopen-2023-071724" Id="docRId79" Type="http://schemas.openxmlformats.org/officeDocument/2006/relationships/hyperlink" /><Relationship TargetMode="External" Target="https://doi.org/10.1186/s12889-022-13943-x" Id="docRId19" Type="http://schemas.openxmlformats.org/officeDocument/2006/relationships/hyperlink" /><Relationship TargetMode="External" Target="https://doi.org/10.1186/s13643-020-01443-1" Id="docRId39" Type="http://schemas.openxmlformats.org/officeDocument/2006/relationships/hyperlink" /><Relationship Target="media/image2.wmf" Id="docRId5" Type="http://schemas.openxmlformats.org/officeDocument/2006/relationships/image" /><Relationship TargetMode="External" Target="https://www.studentminds.org.uk/reports/the-student-mental-health-manifesto/" Id="docRId72" Type="http://schemas.openxmlformats.org/officeDocument/2006/relationships/hyperlink" /><Relationship TargetMode="External" Target="https://doi.org/10.1002/capr.12462" Id="docRId16" Type="http://schemas.openxmlformats.org/officeDocument/2006/relationships/hyperlink" /><Relationship TargetMode="External" Target="https://doi.org/10.1108/SGPE-08-2020-0056" Id="docRId25" Type="http://schemas.openxmlformats.org/officeDocument/2006/relationships/hyperlink" /><Relationship TargetMode="External" Target="https://doi.org/10.3389/fpsyg.2025.1481328" Id="docRId32" Type="http://schemas.openxmlformats.org/officeDocument/2006/relationships/hyperlink" /><Relationship TargetMode="External" Target="https://doi.org/10.1080/08870446.2019.1626393" Id="docRId45" Type="http://schemas.openxmlformats.org/officeDocument/2006/relationships/hyperlink" /><Relationship TargetMode="External" Target="https://www.nhs.uk/mental-health/children-and-young-adults/help-for-teenagers-young-adults-and-students/student-mental-health-counselling/" Id="docRId57" Type="http://schemas.openxmlformats.org/officeDocument/2006/relationships/hyperlink" /><Relationship TargetMode="External" Target="https://www.officeforstudents.org.uk/publications/mental-health-funding-competition-final-evaluation-reports/" Id="docRId64" Type="http://schemas.openxmlformats.org/officeDocument/2006/relationships/hyperlink" /><Relationship TargetMode="External" Target="https://www.officeforstudents.org.uk/publications/evaluation-of-mental-health-challenge-competition-final-reports/" Id="docRId81" Type="http://schemas.openxmlformats.org/officeDocument/2006/relationships/hyperlink" /><Relationship TargetMode="External" Target="https://doi.org/10.1016/j.jad.2020.03.185" Id="docRId7" Type="http://schemas.openxmlformats.org/officeDocument/2006/relationships/hyperlink" /><Relationship TargetMode="External" Target="https://doi.org/10.1136/jech-2020-214390" Id="docRId34" Type="http://schemas.openxmlformats.org/officeDocument/2006/relationships/hyperlink" /><Relationship TargetMode="External" Target="https://doi.org/10.24384/000561" Id="docRId47" Type="http://schemas.openxmlformats.org/officeDocument/2006/relationships/hyperlink" /><Relationship TargetMode="External" Target="https://doi.org/10.12688/wellcomeopenres.15832.1" Id="docRId55" Type="http://schemas.openxmlformats.org/officeDocument/2006/relationships/hyperlink" /><Relationship TargetMode="External" Target="https://www.officeforstudents.org.uk/publications/analysis-of-data-of-students-reporting-a-mental-health-condition/" Id="docRId62" Type="http://schemas.openxmlformats.org/officeDocument/2006/relationships/hyperlink" /><Relationship TargetMode="External" Target="https://doi.org/10.1371/journal.pone.0266725" Id="docRId83" Type="http://schemas.openxmlformats.org/officeDocument/2006/relationships/hyperlink" /><Relationship TargetMode="External" Target="https://doi.org/10.1080/0309877X.2021.2018413" Id="docRId22" Type="http://schemas.openxmlformats.org/officeDocument/2006/relationships/hyperlink" /><Relationship TargetMode="External" Target="https://doi.org/10.1080/02673843.2019.1568887" Id="docRId9" Type="http://schemas.openxmlformats.org/officeDocument/2006/relationships/hyperlink" /><Relationship Target="embeddings/oleObject0.bin" Id="docRId0" Type="http://schemas.openxmlformats.org/officeDocument/2006/relationships/oleObject" /><Relationship TargetMode="External" Target="https://www.gov.uk/government/publications/mental-health-and-wellbeing-practices-in-higher-education" Id="docRId29" Type="http://schemas.openxmlformats.org/officeDocument/2006/relationships/hyperlink" /><Relationship TargetMode="External" Target="https://doi.org/10.1016/j.mhpa.2023.100563" Id="docRId49" Type="http://schemas.openxmlformats.org/officeDocument/2006/relationships/hyperlink" /><Relationship TargetMode="External" Target="https://doi.org/10.1016/j.mhp.2018.11.002" Id="docRId77" Type="http://schemas.openxmlformats.org/officeDocument/2006/relationships/hyperlink" /><Relationship TargetMode="External" Target="https://hub.studentminds.org.uk/wp-content/uploads/2023/07/UMHC-Framework-Updated_2024.pdf" Id="docRId40" Type="http://schemas.openxmlformats.org/officeDocument/2006/relationships/hyperlink" /><Relationship TargetMode="External" Target="https://doi.org/10.1080/0309877X.2022.2061844" Id="docRId67" Type="http://schemas.openxmlformats.org/officeDocument/2006/relationships/hyperlink" /><Relationship Target="numbering.xml" Id="docRId84" Type="http://schemas.openxmlformats.org/officeDocument/2006/relationships/numbering" /><Relationship TargetMode="External" Target="https://doi.org/10.1002/berj.70092" Id="docRId18" Type="http://schemas.openxmlformats.org/officeDocument/2006/relationships/hyperlink" /><Relationship TargetMode="External" Target="https://ukcge.ac.uk/resources/resource-library/ukrss2024" Id="docRId38" Type="http://schemas.openxmlformats.org/officeDocument/2006/relationships/hyperlink" /><Relationship TargetMode="External" Target="https://doi.org/10.1016/j.ijme.2021.100490" Id="docRId51" Type="http://schemas.openxmlformats.org/officeDocument/2006/relationships/hyperlink" /></Relationships>
</file>