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2031032"/>
        <w:docPartObj>
          <w:docPartGallery w:val="Cover Pages"/>
          <w:docPartUnique/>
        </w:docPartObj>
      </w:sdtPr>
      <w:sdtEndPr>
        <w:rPr>
          <w:rFonts w:ascii="Arial" w:hAnsi="Arial" w:cs="Arial"/>
        </w:rPr>
      </w:sdtEndPr>
      <w:sdtContent>
        <w:p w14:paraId="21DBAF28" w14:textId="68F308D3" w:rsidR="00780E67" w:rsidRDefault="003702D8">
          <w:r>
            <w:rPr>
              <w:noProof/>
            </w:rPr>
            <mc:AlternateContent>
              <mc:Choice Requires="wps">
                <w:drawing>
                  <wp:anchor distT="0" distB="0" distL="114300" distR="114300" simplePos="0" relativeHeight="251659264" behindDoc="0" locked="0" layoutInCell="1" allowOverlap="1" wp14:anchorId="0A06726B" wp14:editId="108CF0FE">
                    <wp:simplePos x="0" y="0"/>
                    <wp:positionH relativeFrom="page">
                      <wp:posOffset>-952500</wp:posOffset>
                    </wp:positionH>
                    <wp:positionV relativeFrom="page">
                      <wp:posOffset>1504950</wp:posOffset>
                    </wp:positionV>
                    <wp:extent cx="9163050" cy="560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745D45D9" w:rsidR="00780E67" w:rsidRPr="00F30A79" w:rsidRDefault="00E61890" w:rsidP="00585309">
                                <w:pPr>
                                  <w:spacing w:after="0" w:line="24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C20A0D">
                                      <w:rPr>
                                        <w:caps/>
                                        <w:kern w:val="0"/>
                                        <w:sz w:val="50"/>
                                        <w:szCs w:val="50"/>
                                        <w14:ligatures w14:val="none"/>
                                      </w:rPr>
                                      <w:br/>
                                    </w:r>
                                    <w:r w:rsidR="00C20A0D">
                                      <w:rPr>
                                        <w:caps/>
                                        <w:kern w:val="0"/>
                                        <w:sz w:val="50"/>
                                        <w:szCs w:val="50"/>
                                        <w14:ligatures w14:val="none"/>
                                      </w:rPr>
                                      <w:br/>
                                    </w:r>
                                    <w:r w:rsidR="006F140C" w:rsidRPr="006F140C">
                                      <w:rPr>
                                        <w:caps/>
                                        <w:kern w:val="0"/>
                                        <w:sz w:val="50"/>
                                        <w:szCs w:val="50"/>
                                        <w14:ligatures w14:val="none"/>
                                      </w:rPr>
                                      <w:t xml:space="preserve">cOMMUNITY ENGAGEMENT </w:t>
                                    </w:r>
                                    <w:r w:rsidR="0078259C">
                                      <w:rPr>
                                        <w:caps/>
                                        <w:kern w:val="0"/>
                                        <w:sz w:val="50"/>
                                        <w:szCs w:val="50"/>
                                        <w14:ligatures w14:val="none"/>
                                      </w:rPr>
                                      <w:br/>
                                    </w:r>
                                    <w:r w:rsidR="006F140C" w:rsidRPr="006F140C">
                                      <w:rPr>
                                        <w:caps/>
                                        <w:kern w:val="0"/>
                                        <w:sz w:val="50"/>
                                        <w:szCs w:val="50"/>
                                        <w14:ligatures w14:val="none"/>
                                      </w:rPr>
                                      <w:t>PRO</w:t>
                                    </w:r>
                                    <w:r w:rsidR="0078259C">
                                      <w:rPr>
                                        <w:caps/>
                                        <w:kern w:val="0"/>
                                        <w:sz w:val="50"/>
                                        <w:szCs w:val="50"/>
                                        <w14:ligatures w14:val="none"/>
                                      </w:rPr>
                                      <w:t>GRAMME IN THE FUTURE</w:t>
                                    </w:r>
                                    <w:r w:rsidR="006F140C" w:rsidRPr="006F140C">
                                      <w:rPr>
                                        <w:caps/>
                                        <w:kern w:val="0"/>
                                        <w:sz w:val="50"/>
                                        <w:szCs w:val="50"/>
                                        <w14:ligatures w14:val="none"/>
                                      </w:rPr>
                                      <w:t xml:space="preserve">    </w:t>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0F4962" w:rsidRPr="006F140C">
                                      <w:rPr>
                                        <w:caps/>
                                        <w:kern w:val="0"/>
                                        <w:sz w:val="50"/>
                                        <w:szCs w:val="50"/>
                                        <w14:ligatures w14:val="none"/>
                                      </w:rPr>
                                      <w:br/>
                                    </w:r>
                                    <w:r w:rsidR="000F4962" w:rsidRPr="006F140C">
                                      <w:rPr>
                                        <w:caps/>
                                        <w:kern w:val="0"/>
                                        <w:sz w:val="50"/>
                                        <w:szCs w:val="50"/>
                                        <w14:ligatures w14:val="none"/>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0E445CBE" w:rsidR="00780E67" w:rsidRDefault="001160CA">
                                    <w:pPr>
                                      <w:jc w:val="right"/>
                                      <w:rPr>
                                        <w:smallCaps/>
                                        <w:color w:val="404040" w:themeColor="text1" w:themeTint="BF"/>
                                        <w:sz w:val="36"/>
                                        <w:szCs w:val="36"/>
                                      </w:rPr>
                                    </w:pPr>
                                    <w:r w:rsidRPr="006F140C">
                                      <w:rPr>
                                        <w:sz w:val="36"/>
                                        <w:szCs w:val="36"/>
                                      </w:rPr>
                                      <w:t>COMMUNITY ENGAGEMENT</w:t>
                                    </w:r>
                                    <w:r w:rsidR="006F140C">
                                      <w:rPr>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06726B" id="_x0000_t202" coordsize="21600,21600" o:spt="202" path="m,l,21600r21600,l21600,xe">
                    <v:stroke joinstyle="miter"/>
                    <v:path gradientshapeok="t" o:connecttype="rect"/>
                  </v:shapetype>
                  <v:shape id="Text Box 154" o:spid="_x0000_s1026" type="#_x0000_t202" style="position:absolute;margin-left:-75pt;margin-top:118.5pt;width:721.5pt;height:44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" filled="f" stroked="f" strokeweight=".5pt">
                    <v:textbox inset="126pt,0,54pt,0">
                      <w:txbxContent>
                        <w:p w14:paraId="3ED5D6D2" w14:textId="745D45D9" w:rsidR="00780E67" w:rsidRPr="00F30A79" w:rsidRDefault="00E61890" w:rsidP="00585309">
                          <w:pPr>
                            <w:spacing w:after="0" w:line="24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C20A0D">
                                <w:rPr>
                                  <w:caps/>
                                  <w:kern w:val="0"/>
                                  <w:sz w:val="50"/>
                                  <w:szCs w:val="50"/>
                                  <w14:ligatures w14:val="none"/>
                                </w:rPr>
                                <w:br/>
                              </w:r>
                              <w:r w:rsidR="00C20A0D">
                                <w:rPr>
                                  <w:caps/>
                                  <w:kern w:val="0"/>
                                  <w:sz w:val="50"/>
                                  <w:szCs w:val="50"/>
                                  <w14:ligatures w14:val="none"/>
                                </w:rPr>
                                <w:br/>
                              </w:r>
                              <w:r w:rsidR="006F140C" w:rsidRPr="006F140C">
                                <w:rPr>
                                  <w:caps/>
                                  <w:kern w:val="0"/>
                                  <w:sz w:val="50"/>
                                  <w:szCs w:val="50"/>
                                  <w14:ligatures w14:val="none"/>
                                </w:rPr>
                                <w:t xml:space="preserve">cOMMUNITY ENGAGEMENT </w:t>
                              </w:r>
                              <w:r w:rsidR="0078259C">
                                <w:rPr>
                                  <w:caps/>
                                  <w:kern w:val="0"/>
                                  <w:sz w:val="50"/>
                                  <w:szCs w:val="50"/>
                                  <w14:ligatures w14:val="none"/>
                                </w:rPr>
                                <w:br/>
                              </w:r>
                              <w:r w:rsidR="006F140C" w:rsidRPr="006F140C">
                                <w:rPr>
                                  <w:caps/>
                                  <w:kern w:val="0"/>
                                  <w:sz w:val="50"/>
                                  <w:szCs w:val="50"/>
                                  <w14:ligatures w14:val="none"/>
                                </w:rPr>
                                <w:t>PRO</w:t>
                              </w:r>
                              <w:r w:rsidR="0078259C">
                                <w:rPr>
                                  <w:caps/>
                                  <w:kern w:val="0"/>
                                  <w:sz w:val="50"/>
                                  <w:szCs w:val="50"/>
                                  <w14:ligatures w14:val="none"/>
                                </w:rPr>
                                <w:t>GRAMME IN THE FUTURE</w:t>
                              </w:r>
                              <w:r w:rsidR="006F140C" w:rsidRPr="006F140C">
                                <w:rPr>
                                  <w:caps/>
                                  <w:kern w:val="0"/>
                                  <w:sz w:val="50"/>
                                  <w:szCs w:val="50"/>
                                  <w14:ligatures w14:val="none"/>
                                </w:rPr>
                                <w:t xml:space="preserve">    </w:t>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0F4962" w:rsidRPr="006F140C">
                                <w:rPr>
                                  <w:caps/>
                                  <w:kern w:val="0"/>
                                  <w:sz w:val="50"/>
                                  <w:szCs w:val="50"/>
                                  <w14:ligatures w14:val="none"/>
                                </w:rPr>
                                <w:br/>
                              </w:r>
                              <w:r w:rsidR="000F4962" w:rsidRPr="006F140C">
                                <w:rPr>
                                  <w:caps/>
                                  <w:kern w:val="0"/>
                                  <w:sz w:val="50"/>
                                  <w:szCs w:val="50"/>
                                  <w14:ligatures w14:val="none"/>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0E445CBE" w:rsidR="00780E67" w:rsidRDefault="001160CA">
                              <w:pPr>
                                <w:jc w:val="right"/>
                                <w:rPr>
                                  <w:smallCaps/>
                                  <w:color w:val="404040" w:themeColor="text1" w:themeTint="BF"/>
                                  <w:sz w:val="36"/>
                                  <w:szCs w:val="36"/>
                                </w:rPr>
                              </w:pPr>
                              <w:r w:rsidRPr="006F140C">
                                <w:rPr>
                                  <w:sz w:val="36"/>
                                  <w:szCs w:val="36"/>
                                </w:rPr>
                                <w:t>COMMUNITY ENGAGEMENT</w:t>
                              </w:r>
                              <w:r w:rsidR="006F140C">
                                <w:rPr>
                                  <w:sz w:val="36"/>
                                  <w:szCs w:val="36"/>
                                </w:rPr>
                                <w:t xml:space="preserve">                               </w:t>
                              </w:r>
                            </w:p>
                          </w:sdtContent>
                        </w:sdt>
                      </w:txbxContent>
                    </v:textbox>
                    <w10:wrap type="square" anchorx="page" anchory="page"/>
                  </v:shape>
                </w:pict>
              </mc:Fallback>
            </mc:AlternateContent>
          </w:r>
          <w:r w:rsidR="00780E67">
            <w:rPr>
              <w:noProof/>
            </w:rPr>
            <mc:AlternateContent>
              <mc:Choice Requires="wpg">
                <w:drawing>
                  <wp:anchor distT="0" distB="0" distL="114300" distR="114300" simplePos="0" relativeHeight="251662336" behindDoc="0" locked="0" layoutInCell="1" allowOverlap="1" wp14:anchorId="03DB5AE4" wp14:editId="5EFAB9A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7A68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0" o:title="" recolor="t" rotate="t" type="frame"/>
                    </v:rect>
                    <w10:wrap anchorx="page" anchory="page"/>
                  </v:group>
                </w:pict>
              </mc:Fallback>
            </mc:AlternateContent>
          </w:r>
          <w:r w:rsidR="00780E67">
            <w:rPr>
              <w:noProof/>
            </w:rPr>
            <mc:AlternateContent>
              <mc:Choice Requires="wps">
                <w:drawing>
                  <wp:anchor distT="0" distB="0" distL="114300" distR="114300" simplePos="0" relativeHeight="251660288" behindDoc="0" locked="0" layoutInCell="1" allowOverlap="1" wp14:anchorId="0DBEFD85" wp14:editId="73109FD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E6189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DBEFD85"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195EA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v:textbox>
                    <w10:wrap type="square" anchorx="page" anchory="page"/>
                  </v:shape>
                </w:pict>
              </mc:Fallback>
            </mc:AlternateContent>
          </w:r>
        </w:p>
        <w:p w14:paraId="74709721" w14:textId="1FB7CAFD" w:rsidR="00780E67" w:rsidRDefault="00585309">
          <w:pPr>
            <w:rPr>
              <w:rFonts w:ascii="Arial" w:hAnsi="Arial" w:cs="Arial"/>
            </w:rPr>
          </w:pPr>
          <w:r>
            <w:rPr>
              <w:noProof/>
            </w:rPr>
            <mc:AlternateContent>
              <mc:Choice Requires="wps">
                <w:drawing>
                  <wp:anchor distT="0" distB="0" distL="114300" distR="114300" simplePos="0" relativeHeight="251661312" behindDoc="0" locked="0" layoutInCell="1" allowOverlap="1" wp14:anchorId="5FD11B13" wp14:editId="14C9F27B">
                    <wp:simplePos x="0" y="0"/>
                    <wp:positionH relativeFrom="margin">
                      <wp:align>center</wp:align>
                    </wp:positionH>
                    <wp:positionV relativeFrom="margin">
                      <wp:posOffset>6286500</wp:posOffset>
                    </wp:positionV>
                    <wp:extent cx="7315200" cy="22479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14:paraId="3BACDA27" w14:textId="0F699039"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 xml:space="preserve">BA Business Management                                                                                            LCBB4002_BIRM                                                         Zahra </w:t>
                                    </w:r>
                                    <w:proofErr w:type="spellStart"/>
                                    <w:r w:rsidRPr="000F4962">
                                      <w:rPr>
                                        <w:rFonts w:ascii="Arial" w:hAnsi="Arial" w:cs="Arial"/>
                                        <w:sz w:val="32"/>
                                        <w:szCs w:val="32"/>
                                      </w:rPr>
                                      <w:t>Mohammadnazari</w:t>
                                    </w:r>
                                    <w:proofErr w:type="spellEnd"/>
                                    <w:r w:rsidR="003702D8" w:rsidRPr="000F4962">
                                      <w:rPr>
                                        <w:rFonts w:ascii="Arial" w:hAnsi="Arial" w:cs="Arial"/>
                                        <w:sz w:val="32"/>
                                        <w:szCs w:val="32"/>
                                      </w:rPr>
                                      <w:t xml:space="preserve">                                                                                            </w:t>
                                    </w:r>
                                    <w:proofErr w:type="spellStart"/>
                                    <w:r w:rsidRPr="000F4962">
                                      <w:rPr>
                                        <w:rFonts w:ascii="Arial" w:hAnsi="Arial" w:cs="Arial"/>
                                        <w:sz w:val="32"/>
                                        <w:szCs w:val="32"/>
                                      </w:rPr>
                                      <w:t>Georgi</w:t>
                                    </w:r>
                                    <w:proofErr w:type="spellEnd"/>
                                    <w:r w:rsidRPr="000F4962">
                                      <w:rPr>
                                        <w:rFonts w:ascii="Arial" w:hAnsi="Arial" w:cs="Arial"/>
                                        <w:sz w:val="32"/>
                                        <w:szCs w:val="32"/>
                                      </w:rPr>
                                      <w:t xml:space="preserve"> </w:t>
                                    </w:r>
                                    <w:proofErr w:type="spellStart"/>
                                    <w:r w:rsidRPr="000F4962">
                                      <w:rPr>
                                        <w:rFonts w:ascii="Arial" w:hAnsi="Arial" w:cs="Arial"/>
                                        <w:sz w:val="32"/>
                                        <w:szCs w:val="32"/>
                                      </w:rPr>
                                      <w:t>Dimitrov</w:t>
                                    </w:r>
                                    <w:proofErr w:type="spellEnd"/>
                                    <w:r w:rsidRPr="000F4962">
                                      <w:rPr>
                                        <w:rFonts w:ascii="Arial" w:hAnsi="Arial" w:cs="Arial"/>
                                        <w:sz w:val="32"/>
                                        <w:szCs w:val="32"/>
                                      </w:rPr>
                                      <w:t xml:space="preserve">                                                          Student number                                                            2230344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FD11B13" id="Text Box 153" o:spid="_x0000_s1028" type="#_x0000_t202" style="position:absolute;margin-left:0;margin-top:495pt;width:8in;height:177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" filled="f" stroked="f" strokeweight=".5pt">
                    <v:textbox inset="126pt,0,54pt,0">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14:paraId="3BACDA27" w14:textId="0F699039"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 xml:space="preserve">BA Business Management                                                                                            LCBB4002_BIRM                                                         Zahra </w:t>
                              </w:r>
                              <w:proofErr w:type="spellStart"/>
                              <w:r w:rsidRPr="000F4962">
                                <w:rPr>
                                  <w:rFonts w:ascii="Arial" w:hAnsi="Arial" w:cs="Arial"/>
                                  <w:sz w:val="32"/>
                                  <w:szCs w:val="32"/>
                                </w:rPr>
                                <w:t>Mohammadnazari</w:t>
                              </w:r>
                              <w:proofErr w:type="spellEnd"/>
                              <w:r w:rsidR="003702D8" w:rsidRPr="000F4962">
                                <w:rPr>
                                  <w:rFonts w:ascii="Arial" w:hAnsi="Arial" w:cs="Arial"/>
                                  <w:sz w:val="32"/>
                                  <w:szCs w:val="32"/>
                                </w:rPr>
                                <w:t xml:space="preserve">                                                                                            </w:t>
                              </w:r>
                              <w:proofErr w:type="spellStart"/>
                              <w:r w:rsidRPr="000F4962">
                                <w:rPr>
                                  <w:rFonts w:ascii="Arial" w:hAnsi="Arial" w:cs="Arial"/>
                                  <w:sz w:val="32"/>
                                  <w:szCs w:val="32"/>
                                </w:rPr>
                                <w:t>Georgi</w:t>
                              </w:r>
                              <w:proofErr w:type="spellEnd"/>
                              <w:r w:rsidRPr="000F4962">
                                <w:rPr>
                                  <w:rFonts w:ascii="Arial" w:hAnsi="Arial" w:cs="Arial"/>
                                  <w:sz w:val="32"/>
                                  <w:szCs w:val="32"/>
                                </w:rPr>
                                <w:t xml:space="preserve"> </w:t>
                              </w:r>
                              <w:proofErr w:type="spellStart"/>
                              <w:r w:rsidRPr="000F4962">
                                <w:rPr>
                                  <w:rFonts w:ascii="Arial" w:hAnsi="Arial" w:cs="Arial"/>
                                  <w:sz w:val="32"/>
                                  <w:szCs w:val="32"/>
                                </w:rPr>
                                <w:t>Dimitrov</w:t>
                              </w:r>
                              <w:proofErr w:type="spellEnd"/>
                              <w:r w:rsidRPr="000F4962">
                                <w:rPr>
                                  <w:rFonts w:ascii="Arial" w:hAnsi="Arial" w:cs="Arial"/>
                                  <w:sz w:val="32"/>
                                  <w:szCs w:val="32"/>
                                </w:rPr>
                                <w:t xml:space="preserve">                                                          Student number                                                            2230344</w:t>
                              </w:r>
                            </w:p>
                          </w:sdtContent>
                        </w:sdt>
                      </w:txbxContent>
                    </v:textbox>
                    <w10:wrap type="square" anchorx="margin" anchory="margin"/>
                  </v:shape>
                </w:pict>
              </mc:Fallback>
            </mc:AlternateContent>
          </w:r>
          <w:r w:rsidR="00780E67">
            <w:rPr>
              <w:rFonts w:ascii="Arial" w:hAnsi="Arial" w:cs="Arial"/>
            </w:rPr>
            <w:br w:type="page"/>
          </w:r>
        </w:p>
      </w:sdtContent>
    </w:sdt>
    <w:p w14:paraId="42878C95"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lastRenderedPageBreak/>
        <w:t>Introduction</w:t>
      </w:r>
    </w:p>
    <w:p w14:paraId="65291667"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This reflection report will present my future views on efficiently leading a community participation initiative. As a UK-based organization, community engagement is extremely important in creating positive relationships, promoting social cohesion, and tackling societal concerns. Using the knowledge obtained from this module, I will propose a future community involvement project and define the concepts, design processes, standards, and assessment methodologies that will contribute to its success.</w:t>
      </w:r>
    </w:p>
    <w:p w14:paraId="744D6B4B"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Future Project Proposal</w:t>
      </w:r>
    </w:p>
    <w:p w14:paraId="591A2271"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Create a healthy urban community garden to address socioeconomic and environmental issues while also strengthening community bonds. Beyond green space, the benefits include improving the local environment with plants and trees, increasing air quality, and attracting pollinators. It empowers the community and promotes cohesion by encouraging participation in garden design and upkeep, as well as creating belonging and engagement (Bradley, 2017). As a learning platform, it hosts workshops on topics such as sustainability, healthy living, organic farming, and composting. Educational efforts on sustainable food production and environmental responsibility for children and adults. A catalyst for economic development, enabling self-sufficiency, job generation, and resilience (Bradley, 2017).</w:t>
      </w:r>
    </w:p>
    <w:p w14:paraId="5AA82F2D"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Comparison between Live Project and Future Project Strategies</w:t>
      </w:r>
    </w:p>
    <w:p w14:paraId="0126C14B"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When comparing the tactics utilized in Assignment 1's live project to the future community garden project, several noticeable discrepancies emerge. To begin, the live project focused on the planning and implementation of a one-time event, whereas the future project reflects a continuing and continuous initiative. This fundamental distinction needs a change in strategy and planning techniques (</w:t>
      </w:r>
      <w:proofErr w:type="spellStart"/>
      <w:r w:rsidRPr="00772F22">
        <w:rPr>
          <w:rFonts w:ascii="Arial" w:hAnsi="Arial" w:cs="Arial"/>
        </w:rPr>
        <w:t>Kerzner</w:t>
      </w:r>
      <w:proofErr w:type="spellEnd"/>
      <w:r w:rsidRPr="00772F22">
        <w:rPr>
          <w:rFonts w:ascii="Arial" w:hAnsi="Arial" w:cs="Arial"/>
        </w:rPr>
        <w:t>, 2022).</w:t>
      </w:r>
    </w:p>
    <w:p w14:paraId="46D21BF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major goal of the live project was to successfully plan and execute a specific event, such as a festival or fundraising campaign. The emphasis was on event management, including logistics, promotion, and participant participation. The project team centered their efforts on assuring the event's success within a specific timeline. The project was considered accomplished once the event was completed.</w:t>
      </w:r>
    </w:p>
    <w:p w14:paraId="05876B50"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In contrast, the future community garden project symbolizes a long-term ambition that goes beyond a single event. This project intends to build and sustain a successful community garden, which necessitates constant participation and collaboration with stakeholders. The emphasis switches from conducting a specific event to preserving the garden's operations, ensuring its expansion, and maximizing its community benefits (</w:t>
      </w:r>
      <w:proofErr w:type="spellStart"/>
      <w:r w:rsidRPr="00772F22">
        <w:rPr>
          <w:rFonts w:ascii="Arial" w:hAnsi="Arial" w:cs="Arial"/>
        </w:rPr>
        <w:t>Kerzner</w:t>
      </w:r>
      <w:proofErr w:type="spellEnd"/>
      <w:r w:rsidRPr="00772F22">
        <w:rPr>
          <w:rFonts w:ascii="Arial" w:hAnsi="Arial" w:cs="Arial"/>
        </w:rPr>
        <w:t>, 2022).</w:t>
      </w:r>
    </w:p>
    <w:p w14:paraId="372C8AD2"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lastRenderedPageBreak/>
        <w:t>To achieve these long-term aims, the future project strategy must include features such as community outreach, long-term planning, resource allocation, and sustainable maintenance practices. Engaging and enlisting stakeholders, such as local citizens, volunteers, businesses, and government bodies, becomes critical to the project's success. Continuous communication and coordination with various stakeholders are required to generate support, acquire resources, and handle any difficulties that may arise throughout the project's lifespan (</w:t>
      </w:r>
      <w:proofErr w:type="spellStart"/>
      <w:r w:rsidRPr="00772F22">
        <w:rPr>
          <w:rFonts w:ascii="Arial" w:hAnsi="Arial" w:cs="Arial"/>
        </w:rPr>
        <w:t>Kerzner</w:t>
      </w:r>
      <w:proofErr w:type="spellEnd"/>
      <w:r w:rsidRPr="00772F22">
        <w:rPr>
          <w:rFonts w:ascii="Arial" w:hAnsi="Arial" w:cs="Arial"/>
        </w:rPr>
        <w:t>, 2022).</w:t>
      </w:r>
    </w:p>
    <w:p w14:paraId="42D65AF4"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Furthermore, the future project approach necessitates a consistent effort to ensure the garden's longevity. Regular maintenance, seasonal planting, continued community involvement, and the introduction of sustainable practices are all part of this. To maintain the garden growing year after year, the project team must devise tactics for fundraising, volunteer recruiting, and knowledge sharing.</w:t>
      </w:r>
    </w:p>
    <w:p w14:paraId="346C131D"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Best Practices and Models for Community Engagement</w:t>
      </w:r>
    </w:p>
    <w:p w14:paraId="31261C86"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It is critical to emphasize the implementation of best practices and models for community engagement to enable the effective coordination of the future community garden project. The foundation of such practices is active consultation, which comprises actively soliciting community members' feedback on many parts of the garden, such as design, features, and programming (Tal et al., 2014). By including community voices and viewpoints, the project may ensure that it is in line with their wants and requirements, resulting in a more meaningful and impactful endeavor.</w:t>
      </w:r>
    </w:p>
    <w:p w14:paraId="1E21041E"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Implementing clear and timely communication techniques is an important part of effective community engagement (Dumlao, 2023). It is critical to have lines of communication between project organizers and community members. Community gatherings are valuable forums for face-to-face talks, allowing for direct involvement and building a sense of shared ownership. Furthermore, newsletters and social media platforms make it easy to share updates, progress reports, and other pertinent information with a larger audience. By utilizing numerous communication channels, the initiative may reach a greater spectrum of community members and ensure that no one is left ignorant or excluded.</w:t>
      </w:r>
    </w:p>
    <w:p w14:paraId="73A7B8A7"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Stakeholders are essential in community participation since they shape the project's outcomes. Stakeholders in this context include not only people of the community but also schools, local businesses, and other relevant community organizations. The project can develop a sense of community responsibility and a collaborative approach by actively involving these stakeholders (</w:t>
      </w:r>
      <w:proofErr w:type="spellStart"/>
      <w:r w:rsidRPr="00772F22">
        <w:rPr>
          <w:rFonts w:ascii="Arial" w:hAnsi="Arial" w:cs="Arial"/>
        </w:rPr>
        <w:t>Waterton</w:t>
      </w:r>
      <w:proofErr w:type="spellEnd"/>
      <w:r w:rsidRPr="00772F22">
        <w:rPr>
          <w:rFonts w:ascii="Arial" w:hAnsi="Arial" w:cs="Arial"/>
        </w:rPr>
        <w:t xml:space="preserve"> and Watson, 2013). This type of comprehensive participation guarantees that the community garden becomes a common space that represents the beliefs and goals of everyone engaged.</w:t>
      </w:r>
    </w:p>
    <w:p w14:paraId="0463E2FF"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lastRenderedPageBreak/>
        <w:t>Furthermore, inclusiveness should serve as a guiding principle throughout the community engagement process. The project should attempt to establish a garden that is accessible and welcoming to people from all walks of life. This involves establishing accommodations for those with impairments, assuring the inclusion of older inhabitants, and actively involving marginalized groups that may have been historically underrepresented (Amado et al., 2013). By taking into account and addressing the unique needs and challenges that these groups encounter, the project may develop a truly inclusive environment that celebrates variety and facilitates meaningful interactions.</w:t>
      </w:r>
    </w:p>
    <w:p w14:paraId="0707FBB9"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project hopes to produce a garden that is not only visually pleasing but also socially effective by using these best practices and models for community participation (Pine et al., 2020). The idea is to develop a venue that actually meets the community's requirements and goals. Through active consultation, effective communication methods, stakeholder participation, and a commitment to inclusiveness, the project can lay the framework for a vibrant and growing community garden that becomes a symbol of togetherness, collaboration and shared responsibility.</w:t>
      </w:r>
    </w:p>
    <w:p w14:paraId="5850ACB1"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Research, Community Mapping, and Social Engagement</w:t>
      </w:r>
    </w:p>
    <w:p w14:paraId="29FDDCE4"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To ensure the success of the community garden project, extensive research into many areas of the local community is required. This research will go beyond simply locating adequate sites for the garden to include a more comprehensive assessment of the community's demographics, needs, and potential obstacles. The project team will obtain vital insights by taking this comprehensive strategy, which will guide their decision-making process and allow them to build solutions that address the specific requirements of the community (</w:t>
      </w:r>
      <w:proofErr w:type="spellStart"/>
      <w:r w:rsidRPr="00772F22">
        <w:rPr>
          <w:rFonts w:ascii="Arial" w:hAnsi="Arial" w:cs="Arial"/>
        </w:rPr>
        <w:t>Petrovic</w:t>
      </w:r>
      <w:proofErr w:type="spellEnd"/>
      <w:r w:rsidRPr="00772F22">
        <w:rPr>
          <w:rFonts w:ascii="Arial" w:hAnsi="Arial" w:cs="Arial"/>
        </w:rPr>
        <w:t xml:space="preserve"> et al., 2019).</w:t>
      </w:r>
    </w:p>
    <w:p w14:paraId="0B0FE176"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Community mapping is a critical component of the research process. Identifying and mapping key stakeholders, community organizations, and possible collaborators in the local region (</w:t>
      </w:r>
      <w:proofErr w:type="spellStart"/>
      <w:r w:rsidRPr="00772F22">
        <w:rPr>
          <w:rFonts w:ascii="Arial" w:hAnsi="Arial" w:cs="Arial"/>
        </w:rPr>
        <w:t>Panek</w:t>
      </w:r>
      <w:proofErr w:type="spellEnd"/>
      <w:r w:rsidRPr="00772F22">
        <w:rPr>
          <w:rFonts w:ascii="Arial" w:hAnsi="Arial" w:cs="Arial"/>
        </w:rPr>
        <w:t xml:space="preserve"> and </w:t>
      </w:r>
      <w:proofErr w:type="spellStart"/>
      <w:r w:rsidRPr="00772F22">
        <w:rPr>
          <w:rFonts w:ascii="Arial" w:hAnsi="Arial" w:cs="Arial"/>
        </w:rPr>
        <w:t>Vlok</w:t>
      </w:r>
      <w:proofErr w:type="spellEnd"/>
      <w:r w:rsidRPr="00772F22">
        <w:rPr>
          <w:rFonts w:ascii="Arial" w:hAnsi="Arial" w:cs="Arial"/>
        </w:rPr>
        <w:t>, 2013). As a result, the project team will be able to forge strong partnerships and effectively harness existing community resources. Community mapping visualizes the assets of the community, enabling improved coordination and collaboration among many stakeholders. This collaborative strategy guarantees that the community garden initiative is not developed in isolation but rather becomes a communal effort benefiting the entire community.</w:t>
      </w:r>
    </w:p>
    <w:p w14:paraId="7B491C0B"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 xml:space="preserve">In addition to research and community mapping, social engagement will be vital to the project's success. Social media channels like Facebook, Instagram, and Twitter will be used to communicate with the community and develop a digital presence for the project. These platforms provide a dynamic and accessible mode of communication, allowing the project team to make </w:t>
      </w:r>
      <w:r w:rsidRPr="00772F22">
        <w:rPr>
          <w:rFonts w:ascii="Arial" w:hAnsi="Arial" w:cs="Arial"/>
        </w:rPr>
        <w:lastRenderedPageBreak/>
        <w:t>regular updates, solicit feedback, and publicize upcoming events and workshops (Robinson-</w:t>
      </w:r>
      <w:proofErr w:type="spellStart"/>
      <w:r w:rsidRPr="00772F22">
        <w:rPr>
          <w:rFonts w:ascii="Arial" w:hAnsi="Arial" w:cs="Arial"/>
        </w:rPr>
        <w:t>Garca</w:t>
      </w:r>
      <w:proofErr w:type="spellEnd"/>
      <w:r w:rsidRPr="00772F22">
        <w:rPr>
          <w:rFonts w:ascii="Arial" w:hAnsi="Arial" w:cs="Arial"/>
        </w:rPr>
        <w:t xml:space="preserve"> et al., 2016).</w:t>
      </w:r>
    </w:p>
    <w:p w14:paraId="3EC5CA5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community garden project can reach a wider audience and build enthusiasm within the community by using social media. The project team may keep the community interested and informed about project advancements by publishing progress updates, images, and tales. This open and engaging approach generates a sense of community ownership and pride, encouraging active engagement and support.</w:t>
      </w:r>
    </w:p>
    <w:p w14:paraId="44EFEDEE"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Furthermore, social media networks allow for the collection of significant community feedback. The project team can gather opinions on many aspects of the community garden, such as preferred garden features, desired programming, and probable obstacles, by developing online surveys or beginning discussions. These comments will help to inform decision-making and ensure that the project fits with the goals and aspirations of the community.</w:t>
      </w:r>
    </w:p>
    <w:p w14:paraId="43878F23"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Social media channels can also be used to promote garden-related community activities and seminars. The project team can increase interest and involvement by developing event pages, posting event details, and encouraging community members to share the word. Because of its wide reach and quick communication capabilities, social media has proven to be an important tool for organizing and mobilizing the community around the garden initiative.</w:t>
      </w:r>
    </w:p>
    <w:p w14:paraId="6DD73FC7"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Impact Analysis and Evaluation</w:t>
      </w:r>
    </w:p>
    <w:p w14:paraId="75B6B4E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Impact analysis and assessment are critical components of the community garden project's success. These strategies provide vital insights into the effectiveness of the project and chances for continuous development. The project team can quantify the outcomes and gauge the overall influence on many parts of the community by using impact analysis and evaluation tools.</w:t>
      </w:r>
    </w:p>
    <w:p w14:paraId="7D469BEA"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To successfully analyze the project's effects, key performance indicators (KPIs) will be defined. These KPIs will serve as measurable benchmarks for measuring the garden's social, environmental, and economic impacts. For example, social KPIs could contain measures such as increased community participation, improved social cohesion, or improved participant quality of life (</w:t>
      </w:r>
      <w:proofErr w:type="spellStart"/>
      <w:r w:rsidRPr="00772F22">
        <w:rPr>
          <w:rFonts w:ascii="Arial" w:hAnsi="Arial" w:cs="Arial"/>
        </w:rPr>
        <w:t>Kerzner</w:t>
      </w:r>
      <w:proofErr w:type="spellEnd"/>
      <w:r w:rsidRPr="00772F22">
        <w:rPr>
          <w:rFonts w:ascii="Arial" w:hAnsi="Arial" w:cs="Arial"/>
        </w:rPr>
        <w:t>, 2022). Environmental KPIs could include things like biodiversity preservation, carbon emission reduction, or sustainable water management. Economic KPIs may include analyzing cost savings, employment creation, or enhanced local economic activity.</w:t>
      </w:r>
    </w:p>
    <w:p w14:paraId="18D86169"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 xml:space="preserve">A number of strategies will be used to collect meaningful data for analysis. Surveys will be provided to community members and stakeholders to collect their impressions, experiences, and opinions about the garden initiative. These surveys can be tailored to target specific areas of interest and done on a regular basis to track changes over time. Interviews with key individuals, such as project leaders, community leaders, or local authorities, will provide in-depth insights and </w:t>
      </w:r>
      <w:r w:rsidRPr="00772F22">
        <w:rPr>
          <w:rFonts w:ascii="Arial" w:hAnsi="Arial" w:cs="Arial"/>
        </w:rPr>
        <w:lastRenderedPageBreak/>
        <w:t>qualitative information regarding the project's impact (Robinson-</w:t>
      </w:r>
      <w:proofErr w:type="spellStart"/>
      <w:r w:rsidRPr="00772F22">
        <w:rPr>
          <w:rFonts w:ascii="Arial" w:hAnsi="Arial" w:cs="Arial"/>
        </w:rPr>
        <w:t>Garca</w:t>
      </w:r>
      <w:proofErr w:type="spellEnd"/>
      <w:r w:rsidRPr="00772F22">
        <w:rPr>
          <w:rFonts w:ascii="Arial" w:hAnsi="Arial" w:cs="Arial"/>
        </w:rPr>
        <w:t>., 2016). Additionally, focus groups can be organized to encourage interactive discussions among community members, fostering the exchange of ideas and opinions.</w:t>
      </w:r>
    </w:p>
    <w:p w14:paraId="401DC74C"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feedback gathered through surveys, interviews, and focus groups will be used to make iterative modifications and improvements. The project team can identify strengths, flaws, and opportunities for improvement by actively integrating community members and stakeholders in the evaluation process (</w:t>
      </w:r>
      <w:proofErr w:type="spellStart"/>
      <w:r w:rsidRPr="00772F22">
        <w:rPr>
          <w:rFonts w:ascii="Arial" w:hAnsi="Arial" w:cs="Arial"/>
        </w:rPr>
        <w:t>Kerzner</w:t>
      </w:r>
      <w:proofErr w:type="spellEnd"/>
      <w:r w:rsidRPr="00772F22">
        <w:rPr>
          <w:rFonts w:ascii="Arial" w:hAnsi="Arial" w:cs="Arial"/>
        </w:rPr>
        <w:t>, 2022). This collaborative approach guarantees that the project is responsive to the community's needs and ambitions, promoting a sense of ownership and empowerment.</w:t>
      </w:r>
    </w:p>
    <w:p w14:paraId="5173736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Furthermore, impact analysis and assessment allow the project team to show accountability and openness to funders, sponsors, and other stakeholders. The team can create confidence, obtain continuous funding, and attract new partners for future initiatives by delivering evidence-based results and highlighting the project's positive outcomes.</w:t>
      </w:r>
    </w:p>
    <w:p w14:paraId="551EB9CA"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Justifying the Best Practices</w:t>
      </w:r>
    </w:p>
    <w:p w14:paraId="16CA5AE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benefits of the identified best practices in community gardening add to the overall effectiveness and sustainability of such initiatives. These practices seek to build community ownership, empower individuals, promote social cohesion, and address local issues, all of which are necessary for establishing a healthy and inclusive community garden.</w:t>
      </w:r>
    </w:p>
    <w:p w14:paraId="6C0DB4DE"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The emphasis on active consultation is one of the major justifications for these best practices. By involving community members in decision-making and allowing them to have a role in the garden's development, a sense of ownership and pride is developed (Amado et al., 2013). Individuals are more ready to engage in the creation and maintenance of the garden if they perceive their opinions are valued and their contributions are taken into consideration. This sense of ownership not only increases the community's dedication to the project but also instills responsibility and accountability in its members.</w:t>
      </w:r>
    </w:p>
    <w:p w14:paraId="64E092E5"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Another important component in justifying these best practices is effective communication. Transparent and open communication methods keep community members up to date on the garden's progress, plans, and issues. By keeping everyone informed, trust may be created, and possible conflicts or misunderstandings avoided. Regular communication also allows participants to express their concerns, thoughts, and ideas, which increases the project's collaborative aspect (Dumlao, 2023). People are more inclined to actively participate and contribute to the success of the garden if they feel heard and recognized.</w:t>
      </w:r>
    </w:p>
    <w:p w14:paraId="16704AEA"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 xml:space="preserve">Furthermore, the engagement of varied stakeholders is critical in facilitating collaboration and enhancing project outputs. Community gardens become places where ideas are shared, </w:t>
      </w:r>
      <w:r w:rsidRPr="00772F22">
        <w:rPr>
          <w:rFonts w:ascii="Arial" w:hAnsi="Arial" w:cs="Arial"/>
        </w:rPr>
        <w:lastRenderedPageBreak/>
        <w:t>knowledge is passed, and creativity grows by involving individuals from all backgrounds, experiences, and perspectives. This diversity guarantees that the garden meets the needs and interests of all community members, making it a truly inclusive and representative area (Amado et al., 2013). Fostering an environment where everyone feels valued and included fosters a sense of belonging and social cohesion, enhancing community relationships.</w:t>
      </w:r>
    </w:p>
    <w:p w14:paraId="6CF69FD0" w14:textId="77777777" w:rsidR="00772F22" w:rsidRPr="00772F22" w:rsidRDefault="00772F22" w:rsidP="00772F22">
      <w:pPr>
        <w:spacing w:after="0" w:line="360" w:lineRule="auto"/>
        <w:ind w:firstLine="720"/>
        <w:jc w:val="both"/>
        <w:rPr>
          <w:rFonts w:ascii="Arial" w:hAnsi="Arial" w:cs="Arial"/>
          <w:b/>
          <w:i/>
        </w:rPr>
      </w:pPr>
      <w:r w:rsidRPr="00772F22">
        <w:rPr>
          <w:rFonts w:ascii="Arial" w:hAnsi="Arial" w:cs="Arial"/>
          <w:b/>
          <w:i/>
        </w:rPr>
        <w:t>Conclusion</w:t>
      </w:r>
    </w:p>
    <w:p w14:paraId="4C5DE03A" w14:textId="77777777" w:rsidR="00772F22" w:rsidRPr="00772F22" w:rsidRDefault="00772F22" w:rsidP="00772F22">
      <w:pPr>
        <w:spacing w:after="0" w:line="360" w:lineRule="auto"/>
        <w:ind w:firstLine="720"/>
        <w:jc w:val="both"/>
        <w:rPr>
          <w:rFonts w:ascii="Arial" w:hAnsi="Arial" w:cs="Arial"/>
        </w:rPr>
      </w:pPr>
      <w:r w:rsidRPr="00772F22">
        <w:rPr>
          <w:rFonts w:ascii="Arial" w:hAnsi="Arial" w:cs="Arial"/>
        </w:rPr>
        <w:t>In conclusion, effective community engagement program coordination necessitates a careful evaluation of best practices, models, strategies, approaches, concepts, and standards. This reflection report's prospective community garden project shows the implementation of these concepts. The project intends to create a vibrant and inclusive place that has a beneficial impact on the community by embracing active consultation, effective communication, stakeholder participation, and inclusiveness. The initiative attempts to ensure its sustainability and continual improvement through research, community mapping, social involvement, impact analysis, and evaluation. Future community engagement activities can be successfully planned and coordinated if these concepts and practices are followed.</w:t>
      </w:r>
    </w:p>
    <w:p w14:paraId="7674977E" w14:textId="625D089E" w:rsidR="00D55136" w:rsidRDefault="00D55136"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61AA7222"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62E95C6A"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2D8B3516"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50805A05"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670A412A"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0F72CFD0"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429B1316"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5238197E"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4D36E332"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4DB6C8A2"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783BD606"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2A8EA8F4"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3DF46D63" w14:textId="77777777" w:rsidR="00772F22"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65153326" w14:textId="77777777" w:rsidR="00772F22" w:rsidRPr="00CD1F1C" w:rsidRDefault="00772F22"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7053ED84" w14:textId="77777777" w:rsidR="00D55136" w:rsidRPr="00CD1F1C" w:rsidRDefault="00D55136" w:rsidP="00F30A79">
      <w:pPr>
        <w:pBdr>
          <w:top w:val="single" w:sz="4" w:space="1" w:color="auto"/>
        </w:pBdr>
        <w:spacing w:after="0" w:line="360" w:lineRule="auto"/>
        <w:ind w:firstLine="720"/>
        <w:jc w:val="both"/>
        <w:rPr>
          <w:rFonts w:ascii="Arial" w:hAnsi="Arial" w:cs="Arial"/>
          <w:b/>
          <w:i/>
          <w:kern w:val="0"/>
          <w14:ligatures w14:val="none"/>
        </w:rPr>
      </w:pPr>
      <w:r w:rsidRPr="00CD1F1C">
        <w:rPr>
          <w:rFonts w:ascii="Arial" w:hAnsi="Arial" w:cs="Arial"/>
          <w:b/>
          <w:i/>
          <w:kern w:val="0"/>
          <w14:ligatures w14:val="none"/>
        </w:rPr>
        <w:lastRenderedPageBreak/>
        <w:t>Reference List</w:t>
      </w:r>
    </w:p>
    <w:p w14:paraId="09034AF6"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r w:rsidRPr="00772F22">
        <w:rPr>
          <w:rFonts w:ascii="Arial" w:hAnsi="Arial" w:cs="Arial"/>
          <w:kern w:val="0"/>
          <w14:ligatures w14:val="none"/>
        </w:rPr>
        <w:t xml:space="preserve">Amado, A.N., </w:t>
      </w:r>
      <w:proofErr w:type="spellStart"/>
      <w:r w:rsidRPr="00772F22">
        <w:rPr>
          <w:rFonts w:ascii="Arial" w:hAnsi="Arial" w:cs="Arial"/>
          <w:kern w:val="0"/>
          <w14:ligatures w14:val="none"/>
        </w:rPr>
        <w:t>Stancliffe</w:t>
      </w:r>
      <w:proofErr w:type="spellEnd"/>
      <w:r w:rsidRPr="00772F22">
        <w:rPr>
          <w:rFonts w:ascii="Arial" w:hAnsi="Arial" w:cs="Arial"/>
          <w:kern w:val="0"/>
          <w14:ligatures w14:val="none"/>
        </w:rPr>
        <w:t xml:space="preserve">, R.J., McCarron, M. and </w:t>
      </w:r>
      <w:proofErr w:type="spellStart"/>
      <w:r w:rsidRPr="00772F22">
        <w:rPr>
          <w:rFonts w:ascii="Arial" w:hAnsi="Arial" w:cs="Arial"/>
          <w:kern w:val="0"/>
          <w14:ligatures w14:val="none"/>
        </w:rPr>
        <w:t>McCallion</w:t>
      </w:r>
      <w:proofErr w:type="spellEnd"/>
      <w:r w:rsidRPr="00772F22">
        <w:rPr>
          <w:rFonts w:ascii="Arial" w:hAnsi="Arial" w:cs="Arial"/>
          <w:kern w:val="0"/>
          <w14:ligatures w14:val="none"/>
        </w:rPr>
        <w:t>, P., 2013. Social inclusion and community participation of individuals with intellectual/developmental disabilities. Intellectual and developmental disabilities, 51(5), pp.360-375.</w:t>
      </w:r>
    </w:p>
    <w:p w14:paraId="5E5F70D1"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r w:rsidRPr="00772F22">
        <w:rPr>
          <w:rFonts w:ascii="Arial" w:hAnsi="Arial" w:cs="Arial"/>
          <w:kern w:val="0"/>
          <w14:ligatures w14:val="none"/>
        </w:rPr>
        <w:t>Bradley, H., 2017. Community development and co-production: thinking critically about parameters and power. Concept, 8(3), pp.10-10.</w:t>
      </w:r>
    </w:p>
    <w:p w14:paraId="0E77FDA3"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r w:rsidRPr="00772F22">
        <w:rPr>
          <w:rFonts w:ascii="Arial" w:hAnsi="Arial" w:cs="Arial"/>
          <w:kern w:val="0"/>
          <w14:ligatures w14:val="none"/>
        </w:rPr>
        <w:t>Dumlao, R., 2023. A guide to collaborative communication for service-learning and community engagement partners. Taylor &amp; Francis.</w:t>
      </w:r>
    </w:p>
    <w:p w14:paraId="2C4A056C"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772F22">
        <w:rPr>
          <w:rFonts w:ascii="Arial" w:hAnsi="Arial" w:cs="Arial"/>
          <w:kern w:val="0"/>
          <w14:ligatures w14:val="none"/>
        </w:rPr>
        <w:t>Kerzner</w:t>
      </w:r>
      <w:proofErr w:type="spellEnd"/>
      <w:r w:rsidRPr="00772F22">
        <w:rPr>
          <w:rFonts w:ascii="Arial" w:hAnsi="Arial" w:cs="Arial"/>
          <w:kern w:val="0"/>
          <w14:ligatures w14:val="none"/>
        </w:rPr>
        <w:t>, H., 2022. Project management metrics, KPIs, and dashboards: a guide to measuring and monitoring project performance. John Wiley &amp; Sons.</w:t>
      </w:r>
    </w:p>
    <w:p w14:paraId="2EBEC458"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772F22">
        <w:rPr>
          <w:rFonts w:ascii="Arial" w:hAnsi="Arial" w:cs="Arial"/>
          <w:kern w:val="0"/>
          <w14:ligatures w14:val="none"/>
        </w:rPr>
        <w:t>Panek</w:t>
      </w:r>
      <w:proofErr w:type="spellEnd"/>
      <w:r w:rsidRPr="00772F22">
        <w:rPr>
          <w:rFonts w:ascii="Arial" w:hAnsi="Arial" w:cs="Arial"/>
          <w:kern w:val="0"/>
          <w14:ligatures w14:val="none"/>
        </w:rPr>
        <w:t xml:space="preserve">, J. and </w:t>
      </w:r>
      <w:proofErr w:type="spellStart"/>
      <w:r w:rsidRPr="00772F22">
        <w:rPr>
          <w:rFonts w:ascii="Arial" w:hAnsi="Arial" w:cs="Arial"/>
          <w:kern w:val="0"/>
          <w14:ligatures w14:val="none"/>
        </w:rPr>
        <w:t>Vlok</w:t>
      </w:r>
      <w:proofErr w:type="spellEnd"/>
      <w:r w:rsidRPr="00772F22">
        <w:rPr>
          <w:rFonts w:ascii="Arial" w:hAnsi="Arial" w:cs="Arial"/>
          <w:kern w:val="0"/>
          <w14:ligatures w14:val="none"/>
        </w:rPr>
        <w:t xml:space="preserve">, C., 2013. Participatory mapping as a tool for community empowerment–a case study of community engagement in </w:t>
      </w:r>
      <w:proofErr w:type="spellStart"/>
      <w:r w:rsidRPr="00772F22">
        <w:rPr>
          <w:rFonts w:ascii="Arial" w:hAnsi="Arial" w:cs="Arial"/>
          <w:kern w:val="0"/>
          <w14:ligatures w14:val="none"/>
        </w:rPr>
        <w:t>Koffiekraal</w:t>
      </w:r>
      <w:proofErr w:type="spellEnd"/>
      <w:r w:rsidRPr="00772F22">
        <w:rPr>
          <w:rFonts w:ascii="Arial" w:hAnsi="Arial" w:cs="Arial"/>
          <w:kern w:val="0"/>
          <w14:ligatures w14:val="none"/>
        </w:rPr>
        <w:t>, South Africa. In 26th International cartographic conference (p. 26). Dresden.</w:t>
      </w:r>
    </w:p>
    <w:p w14:paraId="677F4214"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772F22">
        <w:rPr>
          <w:rFonts w:ascii="Arial" w:hAnsi="Arial" w:cs="Arial"/>
          <w:kern w:val="0"/>
          <w14:ligatures w14:val="none"/>
        </w:rPr>
        <w:t>Petrovic</w:t>
      </w:r>
      <w:proofErr w:type="spellEnd"/>
      <w:r w:rsidRPr="00772F22">
        <w:rPr>
          <w:rFonts w:ascii="Arial" w:hAnsi="Arial" w:cs="Arial"/>
          <w:kern w:val="0"/>
          <w14:ligatures w14:val="none"/>
        </w:rPr>
        <w:t xml:space="preserve">, N., Simpson, T., </w:t>
      </w:r>
      <w:proofErr w:type="spellStart"/>
      <w:r w:rsidRPr="00772F22">
        <w:rPr>
          <w:rFonts w:ascii="Arial" w:hAnsi="Arial" w:cs="Arial"/>
          <w:kern w:val="0"/>
          <w14:ligatures w14:val="none"/>
        </w:rPr>
        <w:t>Orlove</w:t>
      </w:r>
      <w:proofErr w:type="spellEnd"/>
      <w:r w:rsidRPr="00772F22">
        <w:rPr>
          <w:rFonts w:ascii="Arial" w:hAnsi="Arial" w:cs="Arial"/>
          <w:kern w:val="0"/>
          <w14:ligatures w14:val="none"/>
        </w:rPr>
        <w:t>, B. and Dowd-Uribe, B., 2019. Environmental and social dimensions of community gardens in East Harlem. Landscape and Urban Planning, 183, pp.36-49.</w:t>
      </w:r>
    </w:p>
    <w:p w14:paraId="1816D881"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r w:rsidRPr="00772F22">
        <w:rPr>
          <w:rFonts w:ascii="Arial" w:hAnsi="Arial" w:cs="Arial"/>
          <w:kern w:val="0"/>
          <w14:ligatures w14:val="none"/>
        </w:rPr>
        <w:t xml:space="preserve">Pine, K.H., </w:t>
      </w:r>
      <w:proofErr w:type="spellStart"/>
      <w:r w:rsidRPr="00772F22">
        <w:rPr>
          <w:rFonts w:ascii="Arial" w:hAnsi="Arial" w:cs="Arial"/>
          <w:kern w:val="0"/>
          <w14:ligatures w14:val="none"/>
        </w:rPr>
        <w:t>Hinrichs</w:t>
      </w:r>
      <w:proofErr w:type="spellEnd"/>
      <w:r w:rsidRPr="00772F22">
        <w:rPr>
          <w:rFonts w:ascii="Arial" w:hAnsi="Arial" w:cs="Arial"/>
          <w:kern w:val="0"/>
          <w14:ligatures w14:val="none"/>
        </w:rPr>
        <w:t>, M.M., Wang, J., Lewis, D. and Johnston, E., 2020. For impactful community engagement: check your role. Communications of the ACM, 63(7), pp.26-28.</w:t>
      </w:r>
    </w:p>
    <w:p w14:paraId="3F7C7B2B"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r w:rsidRPr="00772F22">
        <w:rPr>
          <w:rFonts w:ascii="Arial" w:hAnsi="Arial" w:cs="Arial"/>
          <w:kern w:val="0"/>
          <w14:ligatures w14:val="none"/>
        </w:rPr>
        <w:t>Robinson-</w:t>
      </w:r>
      <w:proofErr w:type="spellStart"/>
      <w:r w:rsidRPr="00772F22">
        <w:rPr>
          <w:rFonts w:ascii="Arial" w:hAnsi="Arial" w:cs="Arial"/>
          <w:kern w:val="0"/>
          <w14:ligatures w14:val="none"/>
        </w:rPr>
        <w:t>García</w:t>
      </w:r>
      <w:proofErr w:type="spellEnd"/>
      <w:r w:rsidRPr="00772F22">
        <w:rPr>
          <w:rFonts w:ascii="Arial" w:hAnsi="Arial" w:cs="Arial"/>
          <w:kern w:val="0"/>
          <w14:ligatures w14:val="none"/>
        </w:rPr>
        <w:t xml:space="preserve">, N., </w:t>
      </w:r>
      <w:proofErr w:type="spellStart"/>
      <w:r w:rsidRPr="00772F22">
        <w:rPr>
          <w:rFonts w:ascii="Arial" w:hAnsi="Arial" w:cs="Arial"/>
          <w:kern w:val="0"/>
          <w14:ligatures w14:val="none"/>
        </w:rPr>
        <w:t>Leeuwen</w:t>
      </w:r>
      <w:proofErr w:type="spellEnd"/>
      <w:r w:rsidRPr="00772F22">
        <w:rPr>
          <w:rFonts w:ascii="Arial" w:hAnsi="Arial" w:cs="Arial"/>
          <w:kern w:val="0"/>
          <w14:ligatures w14:val="none"/>
        </w:rPr>
        <w:t xml:space="preserve">, T.N.V. and </w:t>
      </w:r>
      <w:proofErr w:type="spellStart"/>
      <w:r w:rsidRPr="00772F22">
        <w:rPr>
          <w:rFonts w:ascii="Arial" w:hAnsi="Arial" w:cs="Arial"/>
          <w:kern w:val="0"/>
          <w14:ligatures w14:val="none"/>
        </w:rPr>
        <w:t>Rafols</w:t>
      </w:r>
      <w:proofErr w:type="spellEnd"/>
      <w:r w:rsidRPr="00772F22">
        <w:rPr>
          <w:rFonts w:ascii="Arial" w:hAnsi="Arial" w:cs="Arial"/>
          <w:kern w:val="0"/>
          <w14:ligatures w14:val="none"/>
        </w:rPr>
        <w:t>, I., 2016. SSH &amp; the City. A proposal to map social engagement through social media and web-link analysis.</w:t>
      </w:r>
    </w:p>
    <w:p w14:paraId="258E0434" w14:textId="77777777" w:rsidR="00772F22"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772F22">
        <w:rPr>
          <w:rFonts w:ascii="Arial" w:hAnsi="Arial" w:cs="Arial"/>
          <w:kern w:val="0"/>
          <w14:ligatures w14:val="none"/>
        </w:rPr>
        <w:t>Talò</w:t>
      </w:r>
      <w:proofErr w:type="spellEnd"/>
      <w:r w:rsidRPr="00772F22">
        <w:rPr>
          <w:rFonts w:ascii="Arial" w:hAnsi="Arial" w:cs="Arial"/>
          <w:kern w:val="0"/>
          <w14:ligatures w14:val="none"/>
        </w:rPr>
        <w:t xml:space="preserve">, C., </w:t>
      </w:r>
      <w:proofErr w:type="spellStart"/>
      <w:r w:rsidRPr="00772F22">
        <w:rPr>
          <w:rFonts w:ascii="Arial" w:hAnsi="Arial" w:cs="Arial"/>
          <w:kern w:val="0"/>
          <w14:ligatures w14:val="none"/>
        </w:rPr>
        <w:t>Mannarini</w:t>
      </w:r>
      <w:proofErr w:type="spellEnd"/>
      <w:r w:rsidRPr="00772F22">
        <w:rPr>
          <w:rFonts w:ascii="Arial" w:hAnsi="Arial" w:cs="Arial"/>
          <w:kern w:val="0"/>
          <w14:ligatures w14:val="none"/>
        </w:rPr>
        <w:t xml:space="preserve">, T. and </w:t>
      </w:r>
      <w:proofErr w:type="spellStart"/>
      <w:r w:rsidRPr="00772F22">
        <w:rPr>
          <w:rFonts w:ascii="Arial" w:hAnsi="Arial" w:cs="Arial"/>
          <w:kern w:val="0"/>
          <w14:ligatures w14:val="none"/>
        </w:rPr>
        <w:t>Rochira</w:t>
      </w:r>
      <w:proofErr w:type="spellEnd"/>
      <w:r w:rsidRPr="00772F22">
        <w:rPr>
          <w:rFonts w:ascii="Arial" w:hAnsi="Arial" w:cs="Arial"/>
          <w:kern w:val="0"/>
          <w14:ligatures w14:val="none"/>
        </w:rPr>
        <w:t>, A., 2014. Sense of community and community participation: A meta-analytic review. Social indicators research, 117, pp.1-28.</w:t>
      </w:r>
    </w:p>
    <w:p w14:paraId="6115004D" w14:textId="2E8FE755" w:rsidR="00D55136" w:rsidRPr="00772F22" w:rsidRDefault="00772F22" w:rsidP="00772F22">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772F22">
        <w:rPr>
          <w:rFonts w:ascii="Arial" w:hAnsi="Arial" w:cs="Arial"/>
          <w:kern w:val="0"/>
          <w14:ligatures w14:val="none"/>
        </w:rPr>
        <w:t>Waterton</w:t>
      </w:r>
      <w:proofErr w:type="spellEnd"/>
      <w:r w:rsidRPr="00772F22">
        <w:rPr>
          <w:rFonts w:ascii="Arial" w:hAnsi="Arial" w:cs="Arial"/>
          <w:kern w:val="0"/>
          <w14:ligatures w14:val="none"/>
        </w:rPr>
        <w:t>, E. and Watson, S. eds., 2013. Heritage and community engagement: Collaboration or contestation? Routledge.</w:t>
      </w:r>
    </w:p>
    <w:sectPr w:rsidR="00D55136" w:rsidRPr="00772F22" w:rsidSect="002C1A0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397D6D" w14:textId="77777777" w:rsidR="00E61890" w:rsidRDefault="00E61890" w:rsidP="002C1A0B">
      <w:pPr>
        <w:spacing w:after="0" w:line="240" w:lineRule="auto"/>
      </w:pPr>
      <w:r>
        <w:separator/>
      </w:r>
    </w:p>
  </w:endnote>
  <w:endnote w:type="continuationSeparator" w:id="0">
    <w:p w14:paraId="2179CE39" w14:textId="77777777" w:rsidR="00E61890" w:rsidRDefault="00E61890"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CE00A3" w14:textId="77777777" w:rsidR="002C1A0B" w:rsidRDefault="002C1A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C20A0D">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012D62" w14:textId="77777777" w:rsidR="002C1A0B" w:rsidRDefault="002C1A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C2B384" w14:textId="77777777" w:rsidR="00E61890" w:rsidRDefault="00E61890" w:rsidP="002C1A0B">
      <w:pPr>
        <w:spacing w:after="0" w:line="240" w:lineRule="auto"/>
      </w:pPr>
      <w:r>
        <w:separator/>
      </w:r>
    </w:p>
  </w:footnote>
  <w:footnote w:type="continuationSeparator" w:id="0">
    <w:p w14:paraId="07820404" w14:textId="77777777" w:rsidR="00E61890" w:rsidRDefault="00E61890" w:rsidP="002C1A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BB4066" w14:textId="77777777" w:rsidR="002C1A0B" w:rsidRDefault="002C1A0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741BA" w14:textId="77777777" w:rsidR="002C1A0B" w:rsidRDefault="002C1A0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A84C79" w14:textId="77777777" w:rsidR="002C1A0B" w:rsidRDefault="002C1A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1"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5"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7"/>
  </w:num>
  <w:num w:numId="2">
    <w:abstractNumId w:val="0"/>
  </w:num>
  <w:num w:numId="3">
    <w:abstractNumId w:val="4"/>
  </w:num>
  <w:num w:numId="4">
    <w:abstractNumId w:val="1"/>
  </w:num>
  <w:num w:numId="5">
    <w:abstractNumId w:val="3"/>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557B6"/>
    <w:rsid w:val="000F4962"/>
    <w:rsid w:val="001160CA"/>
    <w:rsid w:val="00140374"/>
    <w:rsid w:val="00185C5E"/>
    <w:rsid w:val="00195EA6"/>
    <w:rsid w:val="001F0A76"/>
    <w:rsid w:val="0023071A"/>
    <w:rsid w:val="00233814"/>
    <w:rsid w:val="00274843"/>
    <w:rsid w:val="00290CD1"/>
    <w:rsid w:val="002C1A0B"/>
    <w:rsid w:val="003702D8"/>
    <w:rsid w:val="00381F4A"/>
    <w:rsid w:val="003A7B01"/>
    <w:rsid w:val="00423B9E"/>
    <w:rsid w:val="00457CCE"/>
    <w:rsid w:val="004F7DCF"/>
    <w:rsid w:val="00522A14"/>
    <w:rsid w:val="00585309"/>
    <w:rsid w:val="0059637D"/>
    <w:rsid w:val="005D245A"/>
    <w:rsid w:val="006227CA"/>
    <w:rsid w:val="006600C2"/>
    <w:rsid w:val="006A2BA4"/>
    <w:rsid w:val="006C0A6A"/>
    <w:rsid w:val="006F140C"/>
    <w:rsid w:val="0073041B"/>
    <w:rsid w:val="00734049"/>
    <w:rsid w:val="00772F22"/>
    <w:rsid w:val="00780E67"/>
    <w:rsid w:val="0078259C"/>
    <w:rsid w:val="007A1A5E"/>
    <w:rsid w:val="007E6B05"/>
    <w:rsid w:val="008307E9"/>
    <w:rsid w:val="008428BB"/>
    <w:rsid w:val="008C31DE"/>
    <w:rsid w:val="00903ACC"/>
    <w:rsid w:val="0095166E"/>
    <w:rsid w:val="00A1125C"/>
    <w:rsid w:val="00A114C9"/>
    <w:rsid w:val="00A26FE9"/>
    <w:rsid w:val="00A45AB4"/>
    <w:rsid w:val="00AA0183"/>
    <w:rsid w:val="00B45E14"/>
    <w:rsid w:val="00C1793A"/>
    <w:rsid w:val="00C20A0D"/>
    <w:rsid w:val="00CC454A"/>
    <w:rsid w:val="00CD1F1C"/>
    <w:rsid w:val="00D55136"/>
    <w:rsid w:val="00D65C61"/>
    <w:rsid w:val="00D67D6E"/>
    <w:rsid w:val="00D750BD"/>
    <w:rsid w:val="00DC7B2C"/>
    <w:rsid w:val="00DD55A7"/>
    <w:rsid w:val="00E52623"/>
    <w:rsid w:val="00E61890"/>
    <w:rsid w:val="00F05B9B"/>
    <w:rsid w:val="00F30A79"/>
    <w:rsid w:val="00F6637C"/>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D750BD"/>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LCBB4002_BIRM                                                         Zahra Mohammadnazari                                                                                            Georgi Dimitrov                                                          Student number                                                            2230344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04F666-417F-4972-AA5F-66386CD7E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cOMMUNITY ENGAGEMENT 
PROGRAMME IN THE FUTURE    
</vt:lpstr>
    </vt:vector>
  </TitlesOfParts>
  <Company/>
  <LinksUpToDate>false</LinksUpToDate>
  <CharactersWithSpaces>16939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cOMMUNITY ENGAGEMENT 
PROGRAMME IN THE FUTURE    
</dc:title>
  <dc:subject>COMMUNITY ENGAGEMENT                               </dc:subject>
  <dc:creator>calebsam472@outlook.com</dc:creator>
  <cp:keywords/>
  <dc:description/>
  <cp:lastModifiedBy>Инна Христова</cp:lastModifiedBy>
  <cp:revision>5</cp:revision>
  <dcterms:created xsi:type="dcterms:W3CDTF">2023-07-22T11:23:00Z</dcterms:created>
  <dcterms:modified xsi:type="dcterms:W3CDTF">2023-07-22T13:49:00Z</dcterms:modified>
</cp:coreProperties>
</file>