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340FE" w14:textId="77777777" w:rsidR="0098107B" w:rsidRDefault="0098107B" w:rsidP="00B2071F">
      <w:pPr>
        <w:rPr>
          <w:b/>
          <w:bCs/>
        </w:rPr>
      </w:pPr>
    </w:p>
    <w:p w14:paraId="0AA35FDA" w14:textId="77777777" w:rsidR="0098107B" w:rsidRDefault="0098107B" w:rsidP="00B2071F">
      <w:pPr>
        <w:rPr>
          <w:b/>
          <w:bCs/>
        </w:rPr>
      </w:pPr>
    </w:p>
    <w:p w14:paraId="0FD02BB8" w14:textId="77777777" w:rsidR="0098107B" w:rsidRDefault="0098107B" w:rsidP="00B2071F">
      <w:pPr>
        <w:rPr>
          <w:b/>
          <w:bCs/>
        </w:rPr>
      </w:pPr>
    </w:p>
    <w:p w14:paraId="2326E2C3" w14:textId="77777777" w:rsidR="0098107B" w:rsidRDefault="0098107B" w:rsidP="00B2071F">
      <w:pPr>
        <w:rPr>
          <w:b/>
          <w:bCs/>
        </w:rPr>
      </w:pPr>
    </w:p>
    <w:p w14:paraId="24184569" w14:textId="77777777" w:rsidR="0098107B" w:rsidRDefault="0098107B" w:rsidP="00B2071F">
      <w:pPr>
        <w:rPr>
          <w:b/>
          <w:bCs/>
        </w:rPr>
      </w:pPr>
    </w:p>
    <w:p w14:paraId="6E3F13E6" w14:textId="77777777" w:rsidR="0098107B" w:rsidRDefault="0098107B" w:rsidP="00B2071F">
      <w:pPr>
        <w:rPr>
          <w:b/>
          <w:bCs/>
        </w:rPr>
      </w:pPr>
    </w:p>
    <w:p w14:paraId="53BBF45D" w14:textId="77777777" w:rsidR="0098107B" w:rsidRDefault="0098107B" w:rsidP="00B2071F">
      <w:pPr>
        <w:rPr>
          <w:b/>
          <w:bCs/>
        </w:rPr>
      </w:pPr>
    </w:p>
    <w:p w14:paraId="7E26E55E" w14:textId="77777777" w:rsidR="0098107B" w:rsidRDefault="0098107B" w:rsidP="00B2071F">
      <w:pPr>
        <w:rPr>
          <w:b/>
          <w:bCs/>
        </w:rPr>
      </w:pPr>
    </w:p>
    <w:p w14:paraId="172960F2" w14:textId="77777777" w:rsidR="0098107B" w:rsidRDefault="0098107B" w:rsidP="00B2071F">
      <w:pPr>
        <w:rPr>
          <w:b/>
          <w:bCs/>
        </w:rPr>
      </w:pPr>
    </w:p>
    <w:p w14:paraId="1E392E7E" w14:textId="77777777" w:rsidR="0098107B" w:rsidRDefault="0098107B" w:rsidP="00B2071F">
      <w:pPr>
        <w:rPr>
          <w:b/>
          <w:bCs/>
        </w:rPr>
      </w:pPr>
    </w:p>
    <w:p w14:paraId="6957CA1E" w14:textId="77777777" w:rsidR="0098107B" w:rsidRDefault="0098107B" w:rsidP="00B2071F">
      <w:pPr>
        <w:rPr>
          <w:b/>
          <w:bCs/>
        </w:rPr>
      </w:pPr>
    </w:p>
    <w:p w14:paraId="44446067" w14:textId="77777777" w:rsidR="0098107B" w:rsidRDefault="0098107B" w:rsidP="00B2071F">
      <w:pPr>
        <w:rPr>
          <w:b/>
          <w:bCs/>
        </w:rPr>
      </w:pPr>
    </w:p>
    <w:p w14:paraId="5CDF2DD8" w14:textId="77777777" w:rsidR="0098107B" w:rsidRDefault="0098107B" w:rsidP="00B2071F">
      <w:pPr>
        <w:rPr>
          <w:b/>
          <w:bCs/>
        </w:rPr>
      </w:pPr>
    </w:p>
    <w:p w14:paraId="75519DF6" w14:textId="77777777" w:rsidR="0098107B" w:rsidRPr="00701B2A" w:rsidRDefault="0098107B" w:rsidP="00B2071F">
      <w:pPr>
        <w:rPr>
          <w:b/>
          <w:bCs/>
          <w:sz w:val="40"/>
          <w:szCs w:val="40"/>
        </w:rPr>
      </w:pPr>
    </w:p>
    <w:p w14:paraId="2D783178" w14:textId="7B400404" w:rsidR="0098107B" w:rsidRPr="00701B2A" w:rsidRDefault="0098107B" w:rsidP="00B2071F">
      <w:pPr>
        <w:rPr>
          <w:b/>
          <w:bCs/>
          <w:sz w:val="48"/>
          <w:szCs w:val="48"/>
        </w:rPr>
      </w:pPr>
      <w:r w:rsidRPr="00701B2A">
        <w:rPr>
          <w:b/>
          <w:bCs/>
          <w:sz w:val="48"/>
          <w:szCs w:val="48"/>
        </w:rPr>
        <w:t xml:space="preserve">Rehana </w:t>
      </w:r>
      <w:r w:rsidR="00701B2A" w:rsidRPr="00701B2A">
        <w:rPr>
          <w:b/>
          <w:bCs/>
          <w:sz w:val="48"/>
          <w:szCs w:val="48"/>
        </w:rPr>
        <w:t>Kauser</w:t>
      </w:r>
      <w:r w:rsidRPr="00701B2A">
        <w:rPr>
          <w:b/>
          <w:bCs/>
          <w:sz w:val="48"/>
          <w:szCs w:val="48"/>
        </w:rPr>
        <w:t xml:space="preserve"> </w:t>
      </w:r>
    </w:p>
    <w:p w14:paraId="7098CED9" w14:textId="3C80013E" w:rsidR="00701B2A" w:rsidRPr="00701B2A" w:rsidRDefault="00701B2A" w:rsidP="00B2071F">
      <w:pPr>
        <w:rPr>
          <w:rFonts w:ascii="Arial" w:eastAsia="Arial Nova" w:hAnsi="Arial" w:cs="Arial"/>
          <w:b/>
          <w:bCs/>
          <w:sz w:val="160"/>
          <w:szCs w:val="160"/>
        </w:rPr>
      </w:pPr>
      <w:r w:rsidRPr="00701B2A">
        <w:rPr>
          <w:b/>
          <w:bCs/>
          <w:sz w:val="48"/>
          <w:szCs w:val="48"/>
        </w:rPr>
        <w:t>Student ID:</w:t>
      </w:r>
      <w:r w:rsidRPr="00701B2A">
        <w:rPr>
          <w:rFonts w:ascii="Arial" w:eastAsia="Arial Nova" w:hAnsi="Arial" w:cs="Arial"/>
          <w:b/>
          <w:bCs/>
          <w:sz w:val="40"/>
          <w:szCs w:val="40"/>
        </w:rPr>
        <w:t>2320001</w:t>
      </w:r>
    </w:p>
    <w:p w14:paraId="7602ECCE" w14:textId="252E6BD1" w:rsidR="0098107B" w:rsidRPr="00701B2A" w:rsidRDefault="00701B2A" w:rsidP="00B2071F">
      <w:pPr>
        <w:rPr>
          <w:b/>
          <w:bCs/>
          <w:sz w:val="48"/>
          <w:szCs w:val="48"/>
        </w:rPr>
      </w:pPr>
      <w:r w:rsidRPr="00701B2A">
        <w:rPr>
          <w:rFonts w:ascii="Arial" w:hAnsi="Arial" w:cs="Arial"/>
          <w:b/>
          <w:bCs/>
          <w:sz w:val="44"/>
          <w:szCs w:val="44"/>
        </w:rPr>
        <w:t>Introduction to Independent Research Skills</w:t>
      </w:r>
    </w:p>
    <w:p w14:paraId="059483DB" w14:textId="20CD9443" w:rsidR="0098107B" w:rsidRPr="00701B2A" w:rsidRDefault="00701B2A" w:rsidP="00B2071F">
      <w:pPr>
        <w:rPr>
          <w:rFonts w:ascii="Arial" w:hAnsi="Arial" w:cs="Arial"/>
          <w:b/>
          <w:bCs/>
          <w:sz w:val="44"/>
          <w:szCs w:val="44"/>
        </w:rPr>
      </w:pPr>
      <w:r w:rsidRPr="00701B2A">
        <w:rPr>
          <w:rFonts w:ascii="Arial" w:hAnsi="Arial" w:cs="Arial"/>
          <w:b/>
          <w:bCs/>
          <w:sz w:val="44"/>
          <w:szCs w:val="44"/>
        </w:rPr>
        <w:t>BMHP5019</w:t>
      </w:r>
    </w:p>
    <w:p w14:paraId="3DBAB69E" w14:textId="77777777" w:rsidR="00701B2A" w:rsidRPr="00701B2A" w:rsidRDefault="00701B2A" w:rsidP="00701B2A">
      <w:pPr>
        <w:spacing w:before="120" w:after="120" w:line="360" w:lineRule="auto"/>
        <w:rPr>
          <w:rFonts w:ascii="Arial" w:hAnsi="Arial" w:cs="Arial"/>
          <w:b/>
          <w:bCs/>
          <w:sz w:val="44"/>
          <w:szCs w:val="44"/>
        </w:rPr>
      </w:pPr>
      <w:r w:rsidRPr="00701B2A">
        <w:rPr>
          <w:rFonts w:ascii="Arial" w:hAnsi="Arial" w:cs="Arial"/>
          <w:b/>
          <w:bCs/>
          <w:sz w:val="44"/>
          <w:szCs w:val="44"/>
        </w:rPr>
        <w:t xml:space="preserve">Component 1: </w:t>
      </w:r>
    </w:p>
    <w:p w14:paraId="76075BC9" w14:textId="7CD4CCE8" w:rsidR="00701B2A" w:rsidRPr="00701B2A" w:rsidRDefault="00701B2A" w:rsidP="00701B2A">
      <w:pPr>
        <w:rPr>
          <w:rFonts w:ascii="Arial" w:hAnsi="Arial" w:cs="Arial"/>
          <w:b/>
          <w:bCs/>
          <w:sz w:val="44"/>
          <w:szCs w:val="44"/>
        </w:rPr>
      </w:pPr>
      <w:r w:rsidRPr="00701B2A">
        <w:rPr>
          <w:rFonts w:ascii="Arial" w:hAnsi="Arial" w:cs="Arial"/>
          <w:b/>
          <w:bCs/>
          <w:sz w:val="44"/>
          <w:szCs w:val="44"/>
        </w:rPr>
        <w:t>Written Assignment (Research Proposal)</w:t>
      </w:r>
    </w:p>
    <w:p w14:paraId="521D06ED" w14:textId="02C17404" w:rsidR="00701B2A" w:rsidRPr="00701B2A" w:rsidRDefault="00701B2A" w:rsidP="00701B2A">
      <w:pPr>
        <w:rPr>
          <w:b/>
          <w:bCs/>
          <w:sz w:val="48"/>
          <w:szCs w:val="48"/>
        </w:rPr>
      </w:pPr>
      <w:proofErr w:type="spellStart"/>
      <w:proofErr w:type="gramStart"/>
      <w:r w:rsidRPr="00701B2A">
        <w:rPr>
          <w:rFonts w:ascii="Arial" w:hAnsi="Arial" w:cs="Arial"/>
          <w:b/>
          <w:bCs/>
          <w:sz w:val="44"/>
          <w:szCs w:val="44"/>
        </w:rPr>
        <w:t>Tutor:Precious</w:t>
      </w:r>
      <w:proofErr w:type="spellEnd"/>
      <w:proofErr w:type="gramEnd"/>
      <w:r w:rsidRPr="00701B2A">
        <w:rPr>
          <w:rFonts w:ascii="Arial" w:hAnsi="Arial" w:cs="Arial"/>
          <w:b/>
          <w:bCs/>
          <w:sz w:val="44"/>
          <w:szCs w:val="44"/>
        </w:rPr>
        <w:t xml:space="preserve"> </w:t>
      </w:r>
      <w:proofErr w:type="spellStart"/>
      <w:r w:rsidRPr="00701B2A">
        <w:rPr>
          <w:rFonts w:ascii="Arial" w:hAnsi="Arial" w:cs="Arial"/>
          <w:b/>
          <w:bCs/>
          <w:sz w:val="44"/>
          <w:szCs w:val="44"/>
        </w:rPr>
        <w:t>Igbinigie</w:t>
      </w:r>
      <w:proofErr w:type="spellEnd"/>
      <w:r w:rsidRPr="00701B2A">
        <w:rPr>
          <w:rFonts w:ascii="Arial" w:hAnsi="Arial" w:cs="Arial"/>
          <w:b/>
          <w:bCs/>
          <w:sz w:val="44"/>
          <w:szCs w:val="44"/>
        </w:rPr>
        <w:t xml:space="preserve"> </w:t>
      </w:r>
    </w:p>
    <w:p w14:paraId="007C0D60" w14:textId="77777777" w:rsidR="0098107B" w:rsidRDefault="0098107B" w:rsidP="00B2071F">
      <w:pPr>
        <w:rPr>
          <w:b/>
          <w:bCs/>
        </w:rPr>
      </w:pPr>
    </w:p>
    <w:p w14:paraId="626D35A2" w14:textId="6F86CF13" w:rsidR="00B2071F" w:rsidRPr="00B2071F" w:rsidRDefault="00B2071F" w:rsidP="00B2071F">
      <w:pPr>
        <w:rPr>
          <w:b/>
          <w:bCs/>
        </w:rPr>
      </w:pPr>
      <w:r w:rsidRPr="00B2071F">
        <w:rPr>
          <w:b/>
          <w:bCs/>
        </w:rPr>
        <w:t>Research Proposal: Telehealth and Remote Consultations in the UK</w:t>
      </w:r>
    </w:p>
    <w:p w14:paraId="12AF7D1E" w14:textId="598F6509" w:rsidR="00B2071F" w:rsidRPr="00B2071F" w:rsidRDefault="00B2071F" w:rsidP="00B2071F">
      <w:pPr>
        <w:rPr>
          <w:b/>
          <w:bCs/>
        </w:rPr>
      </w:pPr>
      <w:r w:rsidRPr="00B2071F">
        <w:rPr>
          <w:b/>
          <w:bCs/>
        </w:rPr>
        <w:t>Topic, Review Question and Objectives</w:t>
      </w:r>
      <w:r w:rsidR="006D7F64">
        <w:rPr>
          <w:b/>
          <w:bCs/>
        </w:rPr>
        <w:t>:</w:t>
      </w:r>
    </w:p>
    <w:p w14:paraId="7AF17E12" w14:textId="11438D61" w:rsidR="0098107B" w:rsidRPr="0098107B" w:rsidRDefault="0098107B" w:rsidP="0098107B">
      <w:r w:rsidRPr="0098107B">
        <w:t xml:space="preserve">This secondary research will evaluate </w:t>
      </w:r>
      <w:r>
        <w:t>how telehealth and remote consultations affect</w:t>
      </w:r>
      <w:r w:rsidRPr="0098107B">
        <w:t xml:space="preserve"> access to healthcare and patient outcomes in the UK. Telehealth </w:t>
      </w:r>
      <w:r>
        <w:t>uses telephone, video consultations, and other digital technologies to deliver</w:t>
      </w:r>
      <w:r w:rsidRPr="0098107B">
        <w:t xml:space="preserve"> healthcare remotely. NHS England considers video consultations as a key component of digital primary care, enabling patients with flexible access to healthcare experts without always having face-to-face appointments (NHS England, 2025).</w:t>
      </w:r>
      <w:r>
        <w:t xml:space="preserve"> </w:t>
      </w:r>
      <w:r w:rsidRPr="0098107B">
        <w:t>The review question is: How has telehealth and remote consultation changed access to healthcare and patient outcomes in the UK? The aims are to study how telehealth influences healthcare accessibility, determine its effects on patient outcomes and satisfaction, explore benefits and problems for healthcare professionals and patients, and identify gaps in the existing evidence.</w:t>
      </w:r>
      <w:r w:rsidR="00701B2A">
        <w:t xml:space="preserve"> </w:t>
      </w:r>
      <w:r w:rsidR="006D7F64" w:rsidRPr="006D7F64">
        <w:t>(Ko et al., 2025)</w:t>
      </w:r>
    </w:p>
    <w:p w14:paraId="7D6251D3" w14:textId="77777777" w:rsidR="00B2071F" w:rsidRPr="00B2071F" w:rsidRDefault="00B2071F" w:rsidP="00B2071F">
      <w:pPr>
        <w:rPr>
          <w:b/>
          <w:bCs/>
        </w:rPr>
      </w:pPr>
      <w:r w:rsidRPr="00B2071F">
        <w:rPr>
          <w:b/>
          <w:bCs/>
        </w:rPr>
        <w:t>Rationale</w:t>
      </w:r>
    </w:p>
    <w:p w14:paraId="1703F751" w14:textId="2BB9083C" w:rsidR="0098107B" w:rsidRPr="0098107B" w:rsidRDefault="00F04AAD" w:rsidP="0098107B">
      <w:r>
        <w:t>D</w:t>
      </w:r>
      <w:r w:rsidR="0098107B" w:rsidRPr="0098107B">
        <w:t xml:space="preserve">igital technology </w:t>
      </w:r>
      <w:r w:rsidR="00DC37FE">
        <w:t>gives patients additional ways to access</w:t>
      </w:r>
      <w:r w:rsidR="0098107B" w:rsidRPr="0098107B">
        <w:t xml:space="preserve"> healthcare</w:t>
      </w:r>
      <w:r>
        <w:t>;</w:t>
      </w:r>
      <w:r w:rsidR="0098107B" w:rsidRPr="0098107B">
        <w:t xml:space="preserve"> telehealth has grown in importance within the UK healthcare system. For those who find it difficult to </w:t>
      </w:r>
      <w:r w:rsidR="00DC37FE">
        <w:t>reach medical facilities, remote consultations may offer greater</w:t>
      </w:r>
      <w:r w:rsidR="0098107B" w:rsidRPr="0098107B">
        <w:t xml:space="preserve"> flexibility. NHS England emphasizes how remote care can help patients at home and increase access to treatments, especially for those with chronic illnesses (NHS England, 2023).</w:t>
      </w:r>
      <w:r w:rsidR="0098107B">
        <w:t xml:space="preserve"> </w:t>
      </w:r>
      <w:r w:rsidR="0098107B" w:rsidRPr="0098107B">
        <w:t xml:space="preserve">Although results may differ depending on the type of consultation and patient circumstances, evidence also suggests that remote models can affect service use and patient experience (Liu et al., 2024). Therefore, it is crucial to review the available data to determine whether telehealth enhances patient outcomes and access while highlighting drawbacks such </w:t>
      </w:r>
      <w:r w:rsidR="00701B2A">
        <w:t xml:space="preserve">as </w:t>
      </w:r>
      <w:r w:rsidR="0098107B" w:rsidRPr="0098107B">
        <w:t>digital exclusion and challenges when a physical examination is necessary</w:t>
      </w:r>
      <w:r w:rsidR="00701B2A">
        <w:t xml:space="preserve"> </w:t>
      </w:r>
      <w:r w:rsidR="006D7F64" w:rsidRPr="006D7F64">
        <w:t>(</w:t>
      </w:r>
      <w:proofErr w:type="spellStart"/>
      <w:r w:rsidR="006D7F64" w:rsidRPr="006D7F64">
        <w:t>O’Cathail</w:t>
      </w:r>
      <w:proofErr w:type="spellEnd"/>
      <w:r w:rsidR="006D7F64" w:rsidRPr="006D7F64">
        <w:t xml:space="preserve"> et al., 2020)</w:t>
      </w:r>
    </w:p>
    <w:p w14:paraId="12681034" w14:textId="0E339188" w:rsidR="00B2071F" w:rsidRPr="00B2071F" w:rsidRDefault="00B2071F" w:rsidP="00B2071F">
      <w:pPr>
        <w:rPr>
          <w:b/>
          <w:bCs/>
        </w:rPr>
      </w:pPr>
      <w:r w:rsidRPr="00B2071F">
        <w:rPr>
          <w:b/>
          <w:bCs/>
        </w:rPr>
        <w:t>Methods</w:t>
      </w:r>
    </w:p>
    <w:p w14:paraId="37143CE5" w14:textId="4AE1197A" w:rsidR="00B2071F" w:rsidRPr="00B2071F" w:rsidRDefault="00B2071F" w:rsidP="00B2071F">
      <w:r w:rsidRPr="00B2071F">
        <w:t xml:space="preserve">To map peer-reviewed primary and secondary research on telehealth and remote consultations in the UK, a scoping review will be carried out. Databases including PubMed, MEDLINE, CINAHL, and Scopus will be used for searches. Boolean operators will be used to combine search terms such as "telehealth," "telemedicine," "remote consultation," "video consultation," "telephone consultation," "healthcare access," and "patient outcomes." Pre-established inclusion and exclusion criteria will be used to screen studies. A standardized data-extraction table encompassing study characteristics, telehealth intervention type, population, outcomes, and significant findings will be used to extract </w:t>
      </w:r>
      <w:r w:rsidRPr="00B2071F">
        <w:lastRenderedPageBreak/>
        <w:t>pertinent data. Descriptive and thematic synthesis will be used to analyze the results.</w:t>
      </w:r>
      <w:r w:rsidR="00701B2A">
        <w:t xml:space="preserve"> </w:t>
      </w:r>
      <w:r w:rsidR="00F80EB0" w:rsidRPr="00F80EB0">
        <w:t>(Fonseca et al., 2023)</w:t>
      </w:r>
    </w:p>
    <w:p w14:paraId="1083FA30" w14:textId="77777777" w:rsidR="0098107B" w:rsidRDefault="0098107B" w:rsidP="00B2071F">
      <w:pPr>
        <w:rPr>
          <w:b/>
          <w:bCs/>
        </w:rPr>
      </w:pPr>
    </w:p>
    <w:p w14:paraId="3485D528" w14:textId="574516AE" w:rsidR="00B2071F" w:rsidRPr="00B2071F" w:rsidRDefault="00B2071F" w:rsidP="00B2071F">
      <w:pPr>
        <w:rPr>
          <w:b/>
          <w:bCs/>
        </w:rPr>
      </w:pPr>
      <w:r w:rsidRPr="00B2071F">
        <w:rPr>
          <w:b/>
          <w:bCs/>
        </w:rPr>
        <w:t>Ethical Considerations</w:t>
      </w:r>
    </w:p>
    <w:p w14:paraId="2C09F168" w14:textId="77777777" w:rsidR="00F04AAD" w:rsidRDefault="00B2071F">
      <w:r w:rsidRPr="00B2071F">
        <w:t>Direct participant agreement is not necessary because the study will analyze previously published studies rather than gather primary data from people. Accurate reporting of published findings, proper Harvard referencing, avoiding plagiarism, and open reporting of the review process are all ethical considerations. We will also address potential limitations, publication bias, and digital disparities found in the literature.</w:t>
      </w:r>
      <w:r w:rsidR="00701B2A">
        <w:t xml:space="preserve"> </w:t>
      </w:r>
      <w:r w:rsidR="00F04AAD" w:rsidRPr="00F04AAD">
        <w:t>(</w:t>
      </w:r>
      <w:proofErr w:type="spellStart"/>
      <w:r w:rsidR="00F04AAD" w:rsidRPr="00F04AAD">
        <w:t>Thiga</w:t>
      </w:r>
      <w:proofErr w:type="spellEnd"/>
      <w:r w:rsidR="00F04AAD" w:rsidRPr="00F04AAD">
        <w:t xml:space="preserve">, </w:t>
      </w:r>
      <w:proofErr w:type="spellStart"/>
      <w:r w:rsidR="00F04AAD" w:rsidRPr="00F04AAD">
        <w:t>Kimeto</w:t>
      </w:r>
      <w:proofErr w:type="spellEnd"/>
      <w:r w:rsidR="00F04AAD" w:rsidRPr="00F04AAD">
        <w:t xml:space="preserve"> and </w:t>
      </w:r>
      <w:proofErr w:type="spellStart"/>
      <w:r w:rsidR="00F04AAD" w:rsidRPr="00F04AAD">
        <w:t>Walekhwa</w:t>
      </w:r>
      <w:proofErr w:type="spellEnd"/>
      <w:r w:rsidR="00F04AAD" w:rsidRPr="00F04AAD">
        <w:t>, 2024)</w:t>
      </w:r>
    </w:p>
    <w:p w14:paraId="038C3525" w14:textId="670453A6" w:rsidR="001B1684" w:rsidRDefault="006D7F64">
      <w:pPr>
        <w:rPr>
          <w:b/>
          <w:bCs/>
        </w:rPr>
      </w:pPr>
      <w:r w:rsidRPr="006D7F64">
        <w:rPr>
          <w:b/>
          <w:bCs/>
        </w:rPr>
        <w:t>References:</w:t>
      </w:r>
    </w:p>
    <w:p w14:paraId="5EEDA8D4" w14:textId="10870C70" w:rsidR="00F80EB0" w:rsidRDefault="00F80EB0" w:rsidP="00F80EB0">
      <w:pPr>
        <w:pStyle w:val="ListParagraph"/>
        <w:numPr>
          <w:ilvl w:val="0"/>
          <w:numId w:val="1"/>
        </w:numPr>
      </w:pPr>
      <w:r w:rsidRPr="00F80EB0">
        <w:t xml:space="preserve">Fonseca, M., MacKenna, B., Amir Mehrkar, Walters, C.E., Hickman, G., Pearson, J., Fisher, L., Inglesby, P., Bacon, S., Davy, S., Hulme, W., Goldacre, B., Koffman, O. and Minal </w:t>
      </w:r>
      <w:proofErr w:type="spellStart"/>
      <w:r w:rsidRPr="00F80EB0">
        <w:t>Bakhai</w:t>
      </w:r>
      <w:proofErr w:type="spellEnd"/>
      <w:r w:rsidRPr="00F80EB0">
        <w:t xml:space="preserve"> (2023). Use of online consultation systems or remote consulting in England </w:t>
      </w:r>
      <w:proofErr w:type="spellStart"/>
      <w:r w:rsidRPr="00F80EB0">
        <w:t>characterised</w:t>
      </w:r>
      <w:proofErr w:type="spellEnd"/>
      <w:r w:rsidRPr="00F80EB0">
        <w:t xml:space="preserve"> </w:t>
      </w:r>
      <w:r w:rsidR="00701B2A">
        <w:t>through</w:t>
      </w:r>
      <w:r w:rsidRPr="00F80EB0">
        <w:t xml:space="preserve"> 53 million </w:t>
      </w:r>
      <w:r w:rsidR="00701B2A">
        <w:t>people’s</w:t>
      </w:r>
      <w:r w:rsidRPr="00F80EB0">
        <w:t xml:space="preserve"> primary care health records in </w:t>
      </w:r>
      <w:proofErr w:type="spellStart"/>
      <w:r w:rsidRPr="00F80EB0">
        <w:t>OpenSAFELY</w:t>
      </w:r>
      <w:proofErr w:type="spellEnd"/>
      <w:r w:rsidRPr="00F80EB0">
        <w:t xml:space="preserve">: a retrospective cohort study (Preprint). </w:t>
      </w:r>
      <w:r w:rsidRPr="00F80EB0">
        <w:rPr>
          <w:i/>
          <w:iCs/>
        </w:rPr>
        <w:t>JMIR Public Health and Surveillance</w:t>
      </w:r>
      <w:r w:rsidRPr="00F80EB0">
        <w:t xml:space="preserve">, [online] 10, </w:t>
      </w:r>
      <w:proofErr w:type="gramStart"/>
      <w:r w:rsidRPr="00F80EB0">
        <w:t>pp.e</w:t>
      </w:r>
      <w:proofErr w:type="gramEnd"/>
      <w:r w:rsidRPr="00F80EB0">
        <w:t>46485-e46485. doi:10.2196/46485.</w:t>
      </w:r>
    </w:p>
    <w:p w14:paraId="23BE6648" w14:textId="6142E8E6" w:rsidR="006D7F64" w:rsidRPr="006D7F64" w:rsidRDefault="006D7F64" w:rsidP="00F80EB0">
      <w:pPr>
        <w:pStyle w:val="ListParagraph"/>
        <w:numPr>
          <w:ilvl w:val="0"/>
          <w:numId w:val="1"/>
        </w:numPr>
      </w:pPr>
      <w:r w:rsidRPr="006D7F64">
        <w:t xml:space="preserve">Ko, M., Azzopardi, M., Loizou, C., Logeswaran, A., Ng, B., Pacho, A. and Chong, Y.J. (2025). Telehealth and people with disabilities in the United Kingdom: a scoping review. </w:t>
      </w:r>
      <w:r w:rsidRPr="00F80EB0">
        <w:rPr>
          <w:i/>
          <w:iCs/>
        </w:rPr>
        <w:t>Frontiers in Public Health</w:t>
      </w:r>
      <w:r w:rsidRPr="006D7F64">
        <w:t>, [online] 13. doi:10.3389/fpubh.2025.1504318.</w:t>
      </w:r>
    </w:p>
    <w:p w14:paraId="2743EDD6" w14:textId="77777777" w:rsidR="006D7F64" w:rsidRDefault="006D7F64" w:rsidP="00F80EB0">
      <w:pPr>
        <w:pStyle w:val="ListParagraph"/>
        <w:numPr>
          <w:ilvl w:val="0"/>
          <w:numId w:val="1"/>
        </w:numPr>
      </w:pPr>
      <w:proofErr w:type="spellStart"/>
      <w:r w:rsidRPr="00F80EB0">
        <w:t>O’Cathail</w:t>
      </w:r>
      <w:proofErr w:type="spellEnd"/>
      <w:r w:rsidRPr="00F80EB0">
        <w:t xml:space="preserve">, M., </w:t>
      </w:r>
      <w:proofErr w:type="spellStart"/>
      <w:r w:rsidRPr="00F80EB0">
        <w:t>Sivanandan</w:t>
      </w:r>
      <w:proofErr w:type="spellEnd"/>
      <w:r w:rsidRPr="00F80EB0">
        <w:t xml:space="preserve">, M.A., Diver, C., Patel, P. and Christian, J. (2020). The Use of Patient-Facing Teleconsultations in the National Health Service: Scoping Review. </w:t>
      </w:r>
      <w:r w:rsidRPr="00F80EB0">
        <w:rPr>
          <w:i/>
          <w:iCs/>
        </w:rPr>
        <w:t>JMIR Medical Informatics</w:t>
      </w:r>
      <w:r w:rsidRPr="00F80EB0">
        <w:t>, 8(3), p.e15380. doi:10.2196/15380.</w:t>
      </w:r>
    </w:p>
    <w:p w14:paraId="32889237" w14:textId="77777777" w:rsidR="00F04AAD" w:rsidRPr="00F04AAD" w:rsidRDefault="00F04AAD" w:rsidP="00F04AAD">
      <w:pPr>
        <w:pStyle w:val="ListParagraph"/>
        <w:numPr>
          <w:ilvl w:val="0"/>
          <w:numId w:val="1"/>
        </w:numPr>
        <w:spacing w:after="0" w:line="360" w:lineRule="atLeast"/>
        <w:rPr>
          <w:rFonts w:ascii="Calibri" w:eastAsia="Times New Roman" w:hAnsi="Calibri" w:cs="Calibri"/>
          <w:kern w:val="0"/>
          <w14:ligatures w14:val="none"/>
        </w:rPr>
      </w:pPr>
      <w:proofErr w:type="spellStart"/>
      <w:r w:rsidRPr="00F04AAD">
        <w:rPr>
          <w:rFonts w:ascii="Calibri" w:eastAsia="Times New Roman" w:hAnsi="Calibri" w:cs="Calibri"/>
          <w:kern w:val="0"/>
          <w14:ligatures w14:val="none"/>
        </w:rPr>
        <w:t>Thiga</w:t>
      </w:r>
      <w:proofErr w:type="spellEnd"/>
      <w:r w:rsidRPr="00F04AAD">
        <w:rPr>
          <w:rFonts w:ascii="Calibri" w:eastAsia="Times New Roman" w:hAnsi="Calibri" w:cs="Calibri"/>
          <w:kern w:val="0"/>
          <w14:ligatures w14:val="none"/>
        </w:rPr>
        <w:t xml:space="preserve">, M., </w:t>
      </w:r>
      <w:proofErr w:type="spellStart"/>
      <w:r w:rsidRPr="00F04AAD">
        <w:rPr>
          <w:rFonts w:ascii="Calibri" w:eastAsia="Times New Roman" w:hAnsi="Calibri" w:cs="Calibri"/>
          <w:kern w:val="0"/>
          <w14:ligatures w14:val="none"/>
        </w:rPr>
        <w:t>Kimeto</w:t>
      </w:r>
      <w:proofErr w:type="spellEnd"/>
      <w:r w:rsidRPr="00F04AAD">
        <w:rPr>
          <w:rFonts w:ascii="Calibri" w:eastAsia="Times New Roman" w:hAnsi="Calibri" w:cs="Calibri"/>
          <w:kern w:val="0"/>
          <w14:ligatures w14:val="none"/>
        </w:rPr>
        <w:t xml:space="preserve">, P. and </w:t>
      </w:r>
      <w:proofErr w:type="spellStart"/>
      <w:r w:rsidRPr="00F04AAD">
        <w:rPr>
          <w:rFonts w:ascii="Calibri" w:eastAsia="Times New Roman" w:hAnsi="Calibri" w:cs="Calibri"/>
          <w:kern w:val="0"/>
          <w14:ligatures w14:val="none"/>
        </w:rPr>
        <w:t>Walekhwa</w:t>
      </w:r>
      <w:proofErr w:type="spellEnd"/>
      <w:r w:rsidRPr="00F04AAD">
        <w:rPr>
          <w:rFonts w:ascii="Calibri" w:eastAsia="Times New Roman" w:hAnsi="Calibri" w:cs="Calibri"/>
          <w:kern w:val="0"/>
          <w14:ligatures w14:val="none"/>
        </w:rPr>
        <w:t xml:space="preserve">, M. (2024). An Integrated Framework for Scientific and Ethical Review of Research Proposals. </w:t>
      </w:r>
      <w:r w:rsidRPr="00F04AAD">
        <w:rPr>
          <w:rFonts w:ascii="Calibri" w:eastAsia="Times New Roman" w:hAnsi="Calibri" w:cs="Calibri"/>
          <w:i/>
          <w:iCs/>
          <w:kern w:val="0"/>
          <w14:ligatures w14:val="none"/>
        </w:rPr>
        <w:t>Journal of Research and Academic Writing</w:t>
      </w:r>
      <w:r w:rsidRPr="00F04AAD">
        <w:rPr>
          <w:rFonts w:ascii="Calibri" w:eastAsia="Times New Roman" w:hAnsi="Calibri" w:cs="Calibri"/>
          <w:kern w:val="0"/>
          <w14:ligatures w14:val="none"/>
        </w:rPr>
        <w:t>, [online] 1(2), pp.35–54. doi:10.58721/</w:t>
      </w:r>
      <w:proofErr w:type="gramStart"/>
      <w:r w:rsidRPr="00F04AAD">
        <w:rPr>
          <w:rFonts w:ascii="Calibri" w:eastAsia="Times New Roman" w:hAnsi="Calibri" w:cs="Calibri"/>
          <w:kern w:val="0"/>
          <w14:ligatures w14:val="none"/>
        </w:rPr>
        <w:t>jraw.v</w:t>
      </w:r>
      <w:proofErr w:type="gramEnd"/>
      <w:r w:rsidRPr="00F04AAD">
        <w:rPr>
          <w:rFonts w:ascii="Calibri" w:eastAsia="Times New Roman" w:hAnsi="Calibri" w:cs="Calibri"/>
          <w:kern w:val="0"/>
          <w14:ligatures w14:val="none"/>
        </w:rPr>
        <w:t>1i2.804.</w:t>
      </w:r>
    </w:p>
    <w:p w14:paraId="55121CAD" w14:textId="77777777" w:rsidR="00F04AAD" w:rsidRPr="00F80EB0" w:rsidRDefault="00F04AAD" w:rsidP="00F04AAD">
      <w:pPr>
        <w:pStyle w:val="ListParagraph"/>
      </w:pPr>
    </w:p>
    <w:p w14:paraId="0C6155F4" w14:textId="39A5386E" w:rsidR="006D7F64" w:rsidRPr="006D7F64" w:rsidRDefault="006D7F64">
      <w:pPr>
        <w:rPr>
          <w:b/>
          <w:bCs/>
        </w:rPr>
      </w:pPr>
    </w:p>
    <w:sectPr w:rsidR="006D7F64" w:rsidRPr="006D7F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A950E7"/>
    <w:multiLevelType w:val="hybridMultilevel"/>
    <w:tmpl w:val="02641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6729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71F"/>
    <w:rsid w:val="001268CC"/>
    <w:rsid w:val="001B1684"/>
    <w:rsid w:val="00232698"/>
    <w:rsid w:val="003C6DB1"/>
    <w:rsid w:val="00414852"/>
    <w:rsid w:val="006D7F64"/>
    <w:rsid w:val="00701B2A"/>
    <w:rsid w:val="0098107B"/>
    <w:rsid w:val="00B2071F"/>
    <w:rsid w:val="00CE6AF1"/>
    <w:rsid w:val="00DC37FE"/>
    <w:rsid w:val="00F04AAD"/>
    <w:rsid w:val="00F566F1"/>
    <w:rsid w:val="00F80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4324F"/>
  <w15:chartTrackingRefBased/>
  <w15:docId w15:val="{A39F4426-E56C-485A-91DF-68670B684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0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0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0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0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0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0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0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0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0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0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0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0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0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0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0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0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0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071F"/>
    <w:rPr>
      <w:rFonts w:eastAsiaTheme="majorEastAsia" w:cstheme="majorBidi"/>
      <w:color w:val="272727" w:themeColor="text1" w:themeTint="D8"/>
    </w:rPr>
  </w:style>
  <w:style w:type="paragraph" w:styleId="Title">
    <w:name w:val="Title"/>
    <w:basedOn w:val="Normal"/>
    <w:next w:val="Normal"/>
    <w:link w:val="TitleChar"/>
    <w:uiPriority w:val="10"/>
    <w:qFormat/>
    <w:rsid w:val="00B20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0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071F"/>
    <w:pPr>
      <w:spacing w:before="160"/>
      <w:jc w:val="center"/>
    </w:pPr>
    <w:rPr>
      <w:i/>
      <w:iCs/>
      <w:color w:val="404040" w:themeColor="text1" w:themeTint="BF"/>
    </w:rPr>
  </w:style>
  <w:style w:type="character" w:customStyle="1" w:styleId="QuoteChar">
    <w:name w:val="Quote Char"/>
    <w:basedOn w:val="DefaultParagraphFont"/>
    <w:link w:val="Quote"/>
    <w:uiPriority w:val="29"/>
    <w:rsid w:val="00B2071F"/>
    <w:rPr>
      <w:i/>
      <w:iCs/>
      <w:color w:val="404040" w:themeColor="text1" w:themeTint="BF"/>
    </w:rPr>
  </w:style>
  <w:style w:type="paragraph" w:styleId="ListParagraph">
    <w:name w:val="List Paragraph"/>
    <w:basedOn w:val="Normal"/>
    <w:uiPriority w:val="34"/>
    <w:qFormat/>
    <w:rsid w:val="00B2071F"/>
    <w:pPr>
      <w:ind w:left="720"/>
      <w:contextualSpacing/>
    </w:pPr>
  </w:style>
  <w:style w:type="character" w:styleId="IntenseEmphasis">
    <w:name w:val="Intense Emphasis"/>
    <w:basedOn w:val="DefaultParagraphFont"/>
    <w:uiPriority w:val="21"/>
    <w:qFormat/>
    <w:rsid w:val="00B2071F"/>
    <w:rPr>
      <w:i/>
      <w:iCs/>
      <w:color w:val="0F4761" w:themeColor="accent1" w:themeShade="BF"/>
    </w:rPr>
  </w:style>
  <w:style w:type="paragraph" w:styleId="IntenseQuote">
    <w:name w:val="Intense Quote"/>
    <w:basedOn w:val="Normal"/>
    <w:next w:val="Normal"/>
    <w:link w:val="IntenseQuoteChar"/>
    <w:uiPriority w:val="30"/>
    <w:qFormat/>
    <w:rsid w:val="00B20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071F"/>
    <w:rPr>
      <w:i/>
      <w:iCs/>
      <w:color w:val="0F4761" w:themeColor="accent1" w:themeShade="BF"/>
    </w:rPr>
  </w:style>
  <w:style w:type="character" w:styleId="IntenseReference">
    <w:name w:val="Intense Reference"/>
    <w:basedOn w:val="DefaultParagraphFont"/>
    <w:uiPriority w:val="32"/>
    <w:qFormat/>
    <w:rsid w:val="00B207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Zeb</dc:creator>
  <cp:keywords/>
  <dc:description/>
  <cp:lastModifiedBy>Waqas Zeb</cp:lastModifiedBy>
  <cp:revision>7</cp:revision>
  <dcterms:created xsi:type="dcterms:W3CDTF">2026-09-24T17:31:00Z</dcterms:created>
  <dcterms:modified xsi:type="dcterms:W3CDTF">2026-10-09T19:47:00Z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54a80c15-818a-4dfb-86b3-aa8c029eb5a8</vt:lpwstr>
  </property>
</Properties>
</file>