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6E4E16" wp14:paraId="5792B308" wp14:textId="7B07216F">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66E4E16" w:rsidR="109EB1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Name:</w:t>
      </w:r>
      <w:r w:rsidRPr="266E4E16" w:rsidR="3665789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Lenka Marianov</w:t>
      </w:r>
    </w:p>
    <w:p xmlns:wp14="http://schemas.microsoft.com/office/word/2010/wordml" w:rsidP="266E4E16" wp14:paraId="2C386E58" wp14:textId="026F5C50">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66E4E16" w:rsidR="109EB1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Student number:</w:t>
      </w:r>
      <w:r w:rsidRPr="266E4E16" w:rsidR="70DE3F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2537253</w:t>
      </w:r>
    </w:p>
    <w:p xmlns:wp14="http://schemas.microsoft.com/office/word/2010/wordml" w:rsidP="266E4E16" wp14:paraId="70EC5D30" wp14:textId="2103BFA5">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66E4E16" w:rsidR="109EB1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Module Code:</w:t>
      </w:r>
      <w:r w:rsidRPr="266E4E16" w:rsidR="3FF8A99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LCHS4007</w:t>
      </w:r>
    </w:p>
    <w:p xmlns:wp14="http://schemas.microsoft.com/office/word/2010/wordml" w:rsidP="266E4E16" wp14:paraId="3930E335" wp14:textId="7D8258AF">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66E4E16" w:rsidR="109EB1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Module Title:</w:t>
      </w:r>
      <w:r w:rsidRPr="266E4E16" w:rsidR="602084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Digital Skills and Research Methodes</w:t>
      </w:r>
    </w:p>
    <w:p xmlns:wp14="http://schemas.microsoft.com/office/word/2010/wordml" w:rsidP="266E4E16" wp14:paraId="0C33939B" wp14:textId="57AC34F2">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66E4E16" w:rsidR="109EB1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Lecturer Name:</w:t>
      </w:r>
      <w:r w:rsidRPr="266E4E16" w:rsidR="48B67E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Bianca Dodgen</w:t>
      </w:r>
    </w:p>
    <w:p xmlns:wp14="http://schemas.microsoft.com/office/word/2010/wordml" w:rsidP="266E4E16" wp14:paraId="2C078E63" wp14:textId="7E2CE536">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109EB1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Assignment Title:</w:t>
      </w:r>
      <w:r w:rsidRPr="266E4E16" w:rsidR="2A82688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6E4E16" w:rsidR="7BDDB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Component</w:t>
      </w:r>
      <w:r w:rsidRPr="266E4E16" w:rsidR="7BDDB4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 – Research Method</w:t>
      </w:r>
    </w:p>
    <w:p w:rsidR="266E4E16" w:rsidP="266E4E16" w:rsidRDefault="266E4E16" w14:paraId="6AAF5E4E" w14:textId="760D4ACE">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56B8C2E4" w14:textId="7417719B">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107FBA74" w14:textId="1128793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0E21A03E" w14:textId="637F43E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4C0318A5" w14:textId="6441912F">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21B73274" w14:textId="151E8D66">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76CBB7A1" w14:textId="02316C8A">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18B28CD8" w14:textId="7D49B900">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736420E6" w14:textId="7BE4FC5A">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224BCB24" w14:textId="095E2DFC">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2F996252" w14:textId="1555AC64">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4B932896" w14:textId="7D36B832">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71A7E022" w14:textId="4DB4F99E">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0D598490" w14:textId="3E79C1CD">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5A7C8FAC" w14:textId="581A0C34">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6057F4E2" w14:textId="52FCF8A5">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66F48414" w14:textId="6BBAEC1C">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3E1D166C" w14:textId="66ABF73F">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10882FB2" w14:textId="28D4C052">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30B444AE" w14:textId="66456D74">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66E4E16" w:rsidP="266E4E16" w:rsidRDefault="266E4E16" w14:paraId="1C3A2B12" w14:textId="5386AC33">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6BD3D38" w:rsidP="266E4E16" w:rsidRDefault="66BD3D38" w14:paraId="4D5E54BA" w14:textId="741709A9">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66BD3D3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Section 1: Introducing the Research Paper and Topic Development</w:t>
      </w:r>
    </w:p>
    <w:p w:rsidR="266E4E16" w:rsidP="266E4E16" w:rsidRDefault="266E4E16" w14:paraId="4A34BF82" w14:textId="36CEF72A">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985861F" w:rsidP="266E4E16" w:rsidRDefault="6985861F" w14:paraId="4DF9DCBA" w14:textId="5FD6D48A">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article called 'Barriers and motivators to undertaking activity in adults over 70 — a systematic review of the quantitative literature' written by Kilgour, Rutherford, Higson, Meredith, McNiff, Mitchell, Wijayendran, Lim and Shenkin was published in journal the Age and Aging in 2024. </w:t>
      </w:r>
    </w:p>
    <w:p w:rsidR="6985861F" w:rsidP="266E4E16" w:rsidRDefault="6985861F" w14:paraId="2560CAAB" w14:textId="002BBB12">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985861F" w:rsidP="266E4E16" w:rsidRDefault="6985861F" w14:paraId="460F8561" w14:textId="4FDDBDF4">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primary </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this research paper is the identification and analysis of barriers and motivators influencing the physical activity of elderly people. Even though the physical activity is crucial for people of older age </w:t>
      </w:r>
      <w:r w:rsidRPr="266E4E16" w:rsidR="0E6E2A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them to stay active and independent, most of the elderly do not meet the target recommended by World Health Organization (WHO,</w:t>
      </w:r>
      <w:r w:rsidRPr="266E4E16" w:rsidR="2CC642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2020)</w:t>
      </w:r>
      <w:r w:rsidRPr="266E4E16" w:rsidR="76482B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is 150 minutes of moderate aerobic activity or 75 </w:t>
      </w:r>
      <w:r w:rsidRPr="266E4E16" w:rsidR="76482B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minu</w:t>
      </w:r>
      <w:r w:rsidRPr="266E4E16" w:rsidR="76482B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tes</w:t>
      </w:r>
      <w:r w:rsidRPr="266E4E16" w:rsidR="76482B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vigorous </w:t>
      </w:r>
      <w:r w:rsidRPr="266E4E16" w:rsidR="4E312F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activity</w:t>
      </w:r>
      <w:r w:rsidRPr="266E4E16" w:rsidR="52F179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 week</w:t>
      </w:r>
      <w:r w:rsidRPr="266E4E16" w:rsidR="703DCBC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the same way NHS (2024) suggests that even light activity daily can be beneficial for physical and mental health.</w:t>
      </w:r>
      <w:r w:rsidRPr="266E4E16" w:rsidR="7BFE7A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Additionally, the physical activity may lower the possibility of heart disease and stroke which will lead to better quality of life even in advanced age. </w:t>
      </w:r>
      <w:r w:rsidRPr="266E4E16" w:rsidR="7413EDA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Cunningham, Sullivan, Caserotti, and Tully (2020) underline that the consequences of inactivity are not isolated to single organ systems but rather manifest as interconnected declines in physical, cognitive, and mental health.</w:t>
      </w:r>
    </w:p>
    <w:p w:rsidR="6985861F" w:rsidP="266E4E16" w:rsidRDefault="6985861F" w14:paraId="6E8989E1" w14:textId="43A0EA76">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985861F" w:rsidP="266E4E16" w:rsidRDefault="6985861F" w14:paraId="1913805F" w14:textId="0940A518">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research focuses on independent individuals of age 70 years and over. This explicit age group was particularly chosen due to decreasing mobility in older age and greater need of </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assistance</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individuals living independently in society. To assure focus on public population, from the study were excluded citizens with specific disease group, care home occupants as well as people with cognitive impairment</w:t>
      </w:r>
      <w:r w:rsidRPr="266E4E16" w:rsidR="42988C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985861F" w:rsidP="266E4E16" w:rsidRDefault="6985861F" w14:paraId="701125FF" w14:textId="65D4FDE5">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985861F" w:rsidP="266E4E16" w:rsidRDefault="6985861F" w14:paraId="3FE5CF29" w14:textId="3289977C">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Office for National statistics states that population of people in age of 85 and over in UK is estimated to increase </w:t>
      </w:r>
      <w:r w:rsidRPr="266E4E16" w:rsidR="57EF07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twice</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number by mid-2049 (ONS, 2024). Therefore, it </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is of </w:t>
      </w:r>
      <w:r w:rsidRPr="266E4E16" w:rsidR="6A09F2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significant importance</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6E4E16" w:rsidR="19A6E9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 UK health and social care </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address this issue </w:t>
      </w:r>
      <w:r w:rsidRPr="266E4E16" w:rsidR="449EB7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avoid more older people ending up in the hospital or other institutions where they would be needed of constant </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assistance</w:t>
      </w: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 daily basis.</w:t>
      </w:r>
    </w:p>
    <w:p w:rsidR="6985861F" w:rsidP="266E4E16" w:rsidRDefault="6985861F" w14:paraId="53511707" w14:textId="1F8E89E8">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985861F" w:rsidP="266E4E16" w:rsidRDefault="6985861F" w14:paraId="51D904BC" w14:textId="61FAAAFF">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698586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Understanding the specific barriers and motivators for this age group enables healthcare professionals and local authorities to develop targeted, person-centred interventions that are more likely to succeed.</w:t>
      </w:r>
    </w:p>
    <w:p w:rsidR="266E4E16" w:rsidP="266E4E16" w:rsidRDefault="266E4E16" w14:paraId="182DDD91" w14:textId="0C2E65E8">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7A545D0" w:rsidP="266E4E16" w:rsidRDefault="27A545D0" w14:paraId="50262594" w14:textId="01FB0765">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27A545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Section 2: Understanding the </w:t>
      </w:r>
      <w:r w:rsidRPr="266E4E16" w:rsidR="551048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266E4E16" w:rsidR="27A545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urpose </w:t>
      </w:r>
      <w:r w:rsidRPr="266E4E16" w:rsidR="2DFF75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Research </w:t>
      </w:r>
      <w:r w:rsidRPr="266E4E16" w:rsidR="0BDBED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Question</w:t>
      </w:r>
    </w:p>
    <w:p w:rsidR="77CC8CE4" w:rsidP="266E4E16" w:rsidRDefault="77CC8CE4" w14:paraId="4217FA03" w14:textId="27B0C64C">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main </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this study was to investigate the quantitative literature for barriers and motivators to physical activity in elderly people. Regardless of benefits which o</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ffe</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 physical activity there are common elements preventing geriatric citizens to take part in such activities. Looking at those factors can help finding solutions to motivation for the future benefits</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By doing so, the authors intended to </w:t>
      </w:r>
      <w:r w:rsidRPr="266E4E16" w:rsidR="79F6E3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inform policy</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clinical practice, and intervention design</w:t>
      </w:r>
      <w:r w:rsidRPr="266E4E16" w:rsidR="0CE6D8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older adults</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w:t>
      </w:r>
      <w:r w:rsidRPr="266E4E16" w:rsidR="4CE651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expend</w:t>
      </w:r>
      <w:r w:rsidRPr="266E4E16" w:rsidR="4CE651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6E4E16" w:rsidR="23C707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their </w:t>
      </w:r>
      <w:r w:rsidRPr="266E4E16" w:rsidR="4CE651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levels of</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physical </w:t>
      </w:r>
      <w:r w:rsidRPr="266E4E16" w:rsidR="373761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activity, improving</w:t>
      </w:r>
      <w:r w:rsidRPr="266E4E16" w:rsidR="77CC8C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public health outcomes and reducing the burden of age-related health conditions.</w:t>
      </w:r>
    </w:p>
    <w:p w:rsidR="266E4E16" w:rsidP="266E4E16" w:rsidRDefault="266E4E16" w14:paraId="4C90763E" w14:textId="337BBF5A">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9CF8767" w:rsidP="266E4E16" w:rsidRDefault="39CF8767" w14:paraId="0724EF39" w14:textId="5579310A">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39CF87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Section 3: Understanding the Research Methodes </w:t>
      </w:r>
    </w:p>
    <w:p w:rsidR="1B342C8E" w:rsidP="266E4E16" w:rsidRDefault="1B342C8E" w14:paraId="5EBA0EF3" w14:textId="63C83E1C">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This section will explain </w:t>
      </w:r>
      <w:r w:rsidRPr="266E4E16" w:rsidR="37C03C24">
        <w:rPr>
          <w:rFonts w:ascii="Arial" w:hAnsi="Arial" w:eastAsia="Arial" w:cs="Arial" w:asciiTheme="minorAscii" w:hAnsiTheme="minorAscii" w:eastAsiaTheme="minorAscii" w:cstheme="minorAscii"/>
          <w:noProof w:val="0"/>
          <w:color w:val="000000" w:themeColor="text1" w:themeTint="FF" w:themeShade="FF"/>
          <w:sz w:val="22"/>
          <w:szCs w:val="22"/>
          <w:lang w:val="en-GB"/>
        </w:rPr>
        <w:t>diverse types</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of methods used in general research and data collection leading to description of the method carried out in this study. </w:t>
      </w:r>
    </w:p>
    <w:p w:rsidR="1B342C8E" w:rsidP="266E4E16" w:rsidRDefault="1B342C8E" w14:paraId="61AFB1DC" w14:textId="3C58B97B">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p>
    <w:p w:rsidR="1B342C8E" w:rsidP="266E4E16" w:rsidRDefault="1B342C8E" w14:paraId="07A5D607" w14:textId="47F931EF">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In overall there are </w:t>
      </w:r>
      <w:r w:rsidRPr="266E4E16" w:rsidR="1B33FFBF">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recognized </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three types of approaches of research methods, namely quantitative, </w:t>
      </w:r>
      <w:r w:rsidRPr="266E4E16" w:rsidR="42AF50A5">
        <w:rPr>
          <w:rFonts w:ascii="Arial" w:hAnsi="Arial" w:eastAsia="Arial" w:cs="Arial" w:asciiTheme="minorAscii" w:hAnsiTheme="minorAscii" w:eastAsiaTheme="minorAscii" w:cstheme="minorAscii"/>
          <w:noProof w:val="0"/>
          <w:color w:val="000000" w:themeColor="text1" w:themeTint="FF" w:themeShade="FF"/>
          <w:sz w:val="22"/>
          <w:szCs w:val="22"/>
          <w:lang w:val="en-GB"/>
        </w:rPr>
        <w:t>qualitative,</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and mixed-type methods </w:t>
      </w:r>
      <w:r w:rsidRPr="266E4E16" w:rsidR="788BFDD0">
        <w:rPr>
          <w:rFonts w:ascii="Arial" w:hAnsi="Arial" w:eastAsia="Arial" w:cs="Arial" w:asciiTheme="minorAscii" w:hAnsiTheme="minorAscii" w:eastAsiaTheme="minorAscii" w:cstheme="minorAscii"/>
          <w:noProof w:val="0"/>
          <w:color w:val="000000" w:themeColor="text1" w:themeTint="FF" w:themeShade="FF"/>
          <w:sz w:val="22"/>
          <w:szCs w:val="22"/>
          <w:lang w:val="en-GB"/>
        </w:rPr>
        <w:t>which are used</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in health and social care</w:t>
      </w:r>
      <w:r w:rsidRPr="266E4E16" w:rsidR="0CB0A4AB">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as well</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p>
    <w:p w:rsidR="266E4E16" w:rsidP="266E4E16" w:rsidRDefault="266E4E16" w14:paraId="469422DB" w14:textId="17C0F22B">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C0CAA09" w:rsidP="266E4E16" w:rsidRDefault="6C0CAA09" w14:paraId="4B21EFB5" w14:textId="45854673">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6C0CAA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Quantitative research includes gathering and examining numerical data to measure variables, test hypotheses, and </w:t>
      </w:r>
      <w:r w:rsidRPr="266E4E16" w:rsidR="6C0CAA09">
        <w:rPr>
          <w:rFonts w:ascii="Arial" w:hAnsi="Arial" w:eastAsia="Arial" w:cs="Arial" w:asciiTheme="minorAscii" w:hAnsiTheme="minorAscii" w:eastAsiaTheme="minorAscii" w:cstheme="minorAscii"/>
          <w:noProof w:val="0"/>
          <w:color w:val="000000" w:themeColor="text1" w:themeTint="FF" w:themeShade="FF"/>
          <w:sz w:val="22"/>
          <w:szCs w:val="22"/>
          <w:lang w:val="en-GB"/>
        </w:rPr>
        <w:t>identify</w:t>
      </w:r>
      <w:r w:rsidRPr="266E4E16" w:rsidR="6C0CAA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statistical relationships between </w:t>
      </w:r>
      <w:r w:rsidRPr="266E4E16" w:rsidR="6A3CB0B8">
        <w:rPr>
          <w:rFonts w:ascii="Arial" w:hAnsi="Arial" w:eastAsia="Arial" w:cs="Arial" w:asciiTheme="minorAscii" w:hAnsiTheme="minorAscii" w:eastAsiaTheme="minorAscii" w:cstheme="minorAscii"/>
          <w:noProof w:val="0"/>
          <w:color w:val="000000" w:themeColor="text1" w:themeTint="FF" w:themeShade="FF"/>
          <w:sz w:val="22"/>
          <w:szCs w:val="22"/>
          <w:lang w:val="en-GB"/>
        </w:rPr>
        <w:t>several factors</w:t>
      </w:r>
      <w:r w:rsidRPr="266E4E16" w:rsidR="6C0CAA09">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Quantitative methods typically use structured tools such as surveys, questionnaires, and statistical analysis to produce general results that can be applied to larger populations. This approach answers questions such as </w:t>
      </w:r>
      <w:r w:rsidRPr="266E4E16" w:rsidR="302A7C71">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How many?</w:t>
      </w:r>
      <w:r w:rsidRPr="266E4E16" w:rsidR="6DDEC9E0">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or </w:t>
      </w:r>
      <w:r w:rsidRPr="266E4E16" w:rsidR="718569B0">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How </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much?</w:t>
      </w:r>
      <w:r w:rsidRPr="266E4E16" w:rsidR="24310787">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266E4E16" w:rsidR="283E0577">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Working with nu</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mb</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ers and graphs leads for </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identifying</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patter</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ns and pred</w:t>
      </w:r>
      <w:r w:rsidRPr="266E4E16" w:rsidR="1B342C8E">
        <w:rPr>
          <w:rFonts w:ascii="Arial" w:hAnsi="Arial" w:eastAsia="Arial" w:cs="Arial" w:asciiTheme="minorAscii" w:hAnsiTheme="minorAscii" w:eastAsiaTheme="minorAscii" w:cstheme="minorAscii"/>
          <w:noProof w:val="0"/>
          <w:color w:val="000000" w:themeColor="text1" w:themeTint="FF" w:themeShade="FF"/>
          <w:sz w:val="22"/>
          <w:szCs w:val="22"/>
          <w:lang w:val="en-GB"/>
        </w:rPr>
        <w:t>ictions</w:t>
      </w:r>
      <w:r w:rsidRPr="266E4E16" w:rsidR="7679E1C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266E4E16" w:rsidR="5A50DA1A">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Creswell and Creswell </w:t>
      </w:r>
      <w:r w:rsidRPr="266E4E16" w:rsidR="6911AE9E">
        <w:rPr>
          <w:rFonts w:ascii="Arial" w:hAnsi="Arial" w:eastAsia="Arial" w:cs="Arial" w:asciiTheme="minorAscii" w:hAnsiTheme="minorAscii" w:eastAsiaTheme="minorAscii" w:cstheme="minorAscii"/>
          <w:noProof w:val="0"/>
          <w:color w:val="000000" w:themeColor="text1" w:themeTint="FF" w:themeShade="FF"/>
          <w:sz w:val="22"/>
          <w:szCs w:val="22"/>
          <w:lang w:val="en-GB"/>
        </w:rPr>
        <w:t>2023)</w:t>
      </w:r>
      <w:r w:rsidRPr="266E4E16" w:rsidR="0997DDB7">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p>
    <w:p w:rsidR="33390FFB" w:rsidP="266E4E16" w:rsidRDefault="33390FFB" w14:paraId="561BC65C" w14:textId="74FDCCF5">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33390FFB">
        <w:rPr>
          <w:rFonts w:ascii="Arial" w:hAnsi="Arial" w:eastAsia="Arial" w:cs="Arial" w:asciiTheme="minorAscii" w:hAnsiTheme="minorAscii" w:eastAsiaTheme="minorAscii" w:cstheme="minorAscii"/>
          <w:noProof w:val="0"/>
          <w:color w:val="000000" w:themeColor="text1" w:themeTint="FF" w:themeShade="FF"/>
          <w:sz w:val="22"/>
          <w:szCs w:val="22"/>
          <w:lang w:val="en-GB"/>
        </w:rPr>
        <w:t>On the other hand, qualitative research relies on nonstatistical methods of data collection. It explores people's experiences, understanding, and feelings in depth.</w:t>
      </w:r>
      <w:r w:rsidRPr="266E4E16" w:rsidR="1DDBBA42">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266E4E16" w:rsidR="1DDBBA42">
        <w:rPr>
          <w:rFonts w:ascii="Arial" w:hAnsi="Arial" w:eastAsia="Arial" w:cs="Arial" w:asciiTheme="minorAscii" w:hAnsiTheme="minorAscii" w:eastAsiaTheme="minorAscii" w:cstheme="minorAscii"/>
          <w:b w:val="0"/>
          <w:bCs w:val="0"/>
          <w:i w:val="0"/>
          <w:iCs w:val="0"/>
          <w:caps w:val="0"/>
          <w:smallCaps w:val="0"/>
          <w:noProof w:val="0"/>
          <w:sz w:val="22"/>
          <w:szCs w:val="22"/>
          <w:lang w:val="en-GB"/>
        </w:rPr>
        <w:t>Qualitative methods such as interviews, focus groups, and observations can be employed to collect rich, detailed data that captures the complexity of human behaviour and social phenomena.</w:t>
      </w:r>
      <w:r w:rsidRPr="266E4E16" w:rsidR="33390FFB">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Qualitative research answers questions such </w:t>
      </w:r>
      <w:r w:rsidRPr="266E4E16" w:rsidR="2CCEF543">
        <w:rPr>
          <w:rFonts w:ascii="Arial" w:hAnsi="Arial" w:eastAsia="Arial" w:cs="Arial" w:asciiTheme="minorAscii" w:hAnsiTheme="minorAscii" w:eastAsiaTheme="minorAscii" w:cstheme="minorAscii"/>
          <w:noProof w:val="0"/>
          <w:color w:val="000000" w:themeColor="text1" w:themeTint="FF" w:themeShade="FF"/>
          <w:sz w:val="22"/>
          <w:szCs w:val="22"/>
          <w:lang w:val="en-GB"/>
        </w:rPr>
        <w:t>as: 'Why</w:t>
      </w:r>
      <w:r w:rsidRPr="266E4E16" w:rsidR="33390FFB">
        <w:rPr>
          <w:rFonts w:ascii="Arial" w:hAnsi="Arial" w:eastAsia="Arial" w:cs="Arial" w:asciiTheme="minorAscii" w:hAnsiTheme="minorAscii" w:eastAsiaTheme="minorAscii" w:cstheme="minorAscii"/>
          <w:noProof w:val="0"/>
          <w:color w:val="000000" w:themeColor="text1" w:themeTint="FF" w:themeShade="FF"/>
          <w:sz w:val="22"/>
          <w:szCs w:val="22"/>
          <w:lang w:val="en-GB"/>
        </w:rPr>
        <w:t>?' and 'How?' This method provides deeper understanding of individual perspectives and contextual factors (Bhangu S, Provost F</w:t>
      </w:r>
      <w:r w:rsidRPr="266E4E16" w:rsidR="7B1FCB0F">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266E4E16" w:rsidR="33390FFB">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and </w:t>
      </w:r>
      <w:r w:rsidRPr="266E4E16" w:rsidR="33390FFB">
        <w:rPr>
          <w:rFonts w:ascii="Arial" w:hAnsi="Arial" w:eastAsia="Arial" w:cs="Arial" w:asciiTheme="minorAscii" w:hAnsiTheme="minorAscii" w:eastAsiaTheme="minorAscii" w:cstheme="minorAscii"/>
          <w:noProof w:val="0"/>
          <w:color w:val="000000" w:themeColor="text1" w:themeTint="FF" w:themeShade="FF"/>
          <w:sz w:val="22"/>
          <w:szCs w:val="22"/>
          <w:lang w:val="en-GB"/>
        </w:rPr>
        <w:t>Caduff</w:t>
      </w:r>
      <w:r w:rsidRPr="266E4E16" w:rsidR="33390FFB">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C</w:t>
      </w:r>
      <w:r w:rsidRPr="266E4E16" w:rsidR="74811E10">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266E4E16" w:rsidR="33390FFB">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2023).</w:t>
      </w:r>
    </w:p>
    <w:p w:rsidR="5152A272" w:rsidP="266E4E16" w:rsidRDefault="5152A272" w14:paraId="6EDA451E" w14:textId="294C3BC2">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5152A272">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Mixed-methods research combines both quantitative and qualitative approaches within a single study. This allows researchers to </w:t>
      </w:r>
      <w:r w:rsidRPr="266E4E16" w:rsidR="5152A272">
        <w:rPr>
          <w:rFonts w:ascii="Arial" w:hAnsi="Arial" w:eastAsia="Arial" w:cs="Arial" w:asciiTheme="minorAscii" w:hAnsiTheme="minorAscii" w:eastAsiaTheme="minorAscii" w:cstheme="minorAscii"/>
          <w:noProof w:val="0"/>
          <w:color w:val="000000" w:themeColor="text1" w:themeTint="FF" w:themeShade="FF"/>
          <w:sz w:val="22"/>
          <w:szCs w:val="22"/>
          <w:lang w:val="en-GB"/>
        </w:rPr>
        <w:t>benefit</w:t>
      </w:r>
      <w:r w:rsidRPr="266E4E16" w:rsidR="5152A272">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from the strengths of both methods</w:t>
      </w:r>
      <w:r w:rsidRPr="266E4E16" w:rsidR="7E0869C1">
        <w:rPr>
          <w:rFonts w:ascii="Arial" w:hAnsi="Arial" w:eastAsia="Arial" w:cs="Arial" w:asciiTheme="minorAscii" w:hAnsiTheme="minorAscii" w:eastAsiaTheme="minorAscii" w:cstheme="minorAscii"/>
          <w:noProof w:val="0"/>
          <w:color w:val="000000" w:themeColor="text1" w:themeTint="FF" w:themeShade="FF"/>
          <w:sz w:val="22"/>
          <w:szCs w:val="22"/>
          <w:lang w:val="en-GB"/>
        </w:rPr>
        <w:t>. This resul</w:t>
      </w:r>
      <w:r w:rsidRPr="266E4E16" w:rsidR="551070E7">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ts in </w:t>
      </w:r>
      <w:r w:rsidRPr="266E4E16" w:rsidR="5152A272">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gaining statistical broadness alongside with in-depth understanding. </w:t>
      </w:r>
      <w:r w:rsidRPr="266E4E16" w:rsidR="456725CC">
        <w:rPr>
          <w:rFonts w:ascii="Arial" w:hAnsi="Arial" w:eastAsia="Arial" w:cs="Arial" w:asciiTheme="minorAscii" w:hAnsiTheme="minorAscii" w:eastAsiaTheme="minorAscii" w:cstheme="minorAscii"/>
          <w:noProof w:val="0"/>
          <w:color w:val="000000" w:themeColor="text1" w:themeTint="FF" w:themeShade="FF"/>
          <w:sz w:val="22"/>
          <w:szCs w:val="22"/>
          <w:lang w:val="en-GB"/>
        </w:rPr>
        <w:t>Consequently</w:t>
      </w:r>
      <w:r w:rsidRPr="266E4E16" w:rsidR="5152A272">
        <w:rPr>
          <w:rFonts w:ascii="Arial" w:hAnsi="Arial" w:eastAsia="Arial" w:cs="Arial" w:asciiTheme="minorAscii" w:hAnsiTheme="minorAscii" w:eastAsiaTheme="minorAscii" w:cstheme="minorAscii"/>
          <w:noProof w:val="0"/>
          <w:color w:val="000000" w:themeColor="text1" w:themeTint="FF" w:themeShade="FF"/>
          <w:sz w:val="22"/>
          <w:szCs w:val="22"/>
          <w:lang w:val="en-GB"/>
        </w:rPr>
        <w:t>, this method helps to triangulate findings for greater validity and comprehensiveness.</w:t>
      </w:r>
      <w:r w:rsidRPr="266E4E16" w:rsidR="5733DC67">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p>
    <w:p w:rsidR="64B19D5F" w:rsidP="266E4E16" w:rsidRDefault="64B19D5F" w14:paraId="0A8DD0C3" w14:textId="3469CD54">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64B19D5F">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This research paper uses the quantitative methods. It is a systematic review of the quantitative literature. Already existing studies with collected and </w:t>
      </w:r>
      <w:r w:rsidRPr="266E4E16" w:rsidR="274B1B94">
        <w:rPr>
          <w:rFonts w:ascii="Arial" w:hAnsi="Arial" w:eastAsia="Arial" w:cs="Arial" w:asciiTheme="minorAscii" w:hAnsiTheme="minorAscii" w:eastAsiaTheme="minorAscii" w:cstheme="minorAscii"/>
          <w:noProof w:val="0"/>
          <w:color w:val="000000" w:themeColor="text1" w:themeTint="FF" w:themeShade="FF"/>
          <w:sz w:val="22"/>
          <w:szCs w:val="22"/>
          <w:lang w:val="en-GB"/>
        </w:rPr>
        <w:t>analysed</w:t>
      </w:r>
      <w:r w:rsidRPr="266E4E16" w:rsidR="64B19D5F">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numerical data were examined by authors with intention to study barriers and motivators to physical activity. However observational studies with quantitative results were included which is mixed method of data collection.</w:t>
      </w:r>
    </w:p>
    <w:p w:rsidR="0A4C2F79" w:rsidP="266E4E16" w:rsidRDefault="0A4C2F79" w14:paraId="25458224" w14:textId="77C125C6">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The section below presents two </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different types</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of research connected with data collection, namely primary and secondary. Primary data collection refers to the process of gathering information from the first hand made by researchers themselves. It can be done by surveys, interviews, </w:t>
      </w:r>
      <w:r w:rsidRPr="266E4E16" w:rsidR="085D7EB8">
        <w:rPr>
          <w:rFonts w:ascii="Arial" w:hAnsi="Arial" w:eastAsia="Arial" w:cs="Arial" w:asciiTheme="minorAscii" w:hAnsiTheme="minorAscii" w:eastAsiaTheme="minorAscii" w:cstheme="minorAscii"/>
          <w:noProof w:val="0"/>
          <w:color w:val="000000" w:themeColor="text1" w:themeTint="FF" w:themeShade="FF"/>
          <w:sz w:val="22"/>
          <w:szCs w:val="22"/>
          <w:lang w:val="en-GB"/>
        </w:rPr>
        <w:t>questionnaires</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or observations. Secondary data on the other hand involves already collected data from </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previous</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266E4E16" w:rsidR="1A7CEDD8">
        <w:rPr>
          <w:rFonts w:ascii="Arial" w:hAnsi="Arial" w:eastAsia="Arial" w:cs="Arial" w:asciiTheme="minorAscii" w:hAnsiTheme="minorAscii" w:eastAsiaTheme="minorAscii" w:cstheme="minorAscii"/>
          <w:noProof w:val="0"/>
          <w:color w:val="000000" w:themeColor="text1" w:themeTint="FF" w:themeShade="FF"/>
          <w:sz w:val="22"/>
          <w:szCs w:val="22"/>
          <w:lang w:val="en-GB"/>
        </w:rPr>
        <w:t>research</w:t>
      </w:r>
      <w:r w:rsidRPr="266E4E16" w:rsidR="037E2AFE">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(Kelly M </w:t>
      </w:r>
      <w:r w:rsidRPr="266E4E16" w:rsidR="037E2AFE">
        <w:rPr>
          <w:rFonts w:ascii="Arial" w:hAnsi="Arial" w:eastAsia="Arial" w:cs="Arial" w:asciiTheme="minorAscii" w:hAnsiTheme="minorAscii" w:eastAsiaTheme="minorAscii" w:cstheme="minorAscii"/>
          <w:noProof w:val="0"/>
          <w:color w:val="000000" w:themeColor="text1" w:themeTint="FF" w:themeShade="FF"/>
          <w:sz w:val="22"/>
          <w:szCs w:val="22"/>
          <w:lang w:val="en-GB"/>
        </w:rPr>
        <w:t>M</w:t>
      </w:r>
      <w:r w:rsidRPr="266E4E16" w:rsidR="037E2AFE">
        <w:rPr>
          <w:rFonts w:ascii="Arial" w:hAnsi="Arial" w:eastAsia="Arial" w:cs="Arial" w:asciiTheme="minorAscii" w:hAnsiTheme="minorAscii" w:eastAsiaTheme="minorAscii" w:cstheme="minorAscii"/>
          <w:noProof w:val="0"/>
          <w:color w:val="000000" w:themeColor="text1" w:themeTint="FF" w:themeShade="FF"/>
          <w:sz w:val="22"/>
          <w:szCs w:val="22"/>
          <w:lang w:val="en-GB"/>
        </w:rPr>
        <w:t>, Martin-Peters</w:t>
      </w:r>
      <w:r w:rsidRPr="266E4E16" w:rsidR="10CA4827">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T and Farber J S, 2024</w:t>
      </w:r>
      <w:r w:rsidRPr="266E4E16" w:rsidR="2ABF2339">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Those could be </w:t>
      </w:r>
      <w:r w:rsidRPr="266E4E16" w:rsidR="0847A0F4">
        <w:rPr>
          <w:rFonts w:ascii="Arial" w:hAnsi="Arial" w:eastAsia="Arial" w:cs="Arial" w:asciiTheme="minorAscii" w:hAnsiTheme="minorAscii" w:eastAsiaTheme="minorAscii" w:cstheme="minorAscii"/>
          <w:noProof w:val="0"/>
          <w:color w:val="000000" w:themeColor="text1" w:themeTint="FF" w:themeShade="FF"/>
          <w:sz w:val="22"/>
          <w:szCs w:val="22"/>
          <w:lang w:val="en-GB"/>
        </w:rPr>
        <w:t>gathered by</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present researcher from </w:t>
      </w:r>
      <w:r w:rsidRPr="266E4E16" w:rsidR="7E144FCE">
        <w:rPr>
          <w:rFonts w:ascii="Arial" w:hAnsi="Arial" w:eastAsia="Arial" w:cs="Arial" w:asciiTheme="minorAscii" w:hAnsiTheme="minorAscii" w:eastAsiaTheme="minorAscii" w:cstheme="minorAscii"/>
          <w:noProof w:val="0"/>
          <w:color w:val="000000" w:themeColor="text1" w:themeTint="FF" w:themeShade="FF"/>
          <w:sz w:val="22"/>
          <w:szCs w:val="22"/>
          <w:lang w:val="en-GB"/>
        </w:rPr>
        <w:t>various books</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266E4E16" w:rsidR="351D13B1">
        <w:rPr>
          <w:rFonts w:ascii="Arial" w:hAnsi="Arial" w:eastAsia="Arial" w:cs="Arial" w:asciiTheme="minorAscii" w:hAnsiTheme="minorAscii" w:eastAsiaTheme="minorAscii" w:cstheme="minorAscii"/>
          <w:noProof w:val="0"/>
          <w:color w:val="000000" w:themeColor="text1" w:themeTint="FF" w:themeShade="FF"/>
          <w:sz w:val="22"/>
          <w:szCs w:val="22"/>
          <w:lang w:val="en-GB"/>
        </w:rPr>
        <w:t>articles,</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or journals. In healthcare system collection may include diagnostic tests, </w:t>
      </w:r>
      <w:r w:rsidRPr="266E4E16" w:rsidR="2494EF11">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electronic health records, </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biometric </w:t>
      </w:r>
      <w:r w:rsidRPr="266E4E16" w:rsidR="451549CE">
        <w:rPr>
          <w:rFonts w:ascii="Arial" w:hAnsi="Arial" w:eastAsia="Arial" w:cs="Arial" w:asciiTheme="minorAscii" w:hAnsiTheme="minorAscii" w:eastAsiaTheme="minorAscii" w:cstheme="minorAscii"/>
          <w:noProof w:val="0"/>
          <w:color w:val="000000" w:themeColor="text1" w:themeTint="FF" w:themeShade="FF"/>
          <w:sz w:val="22"/>
          <w:szCs w:val="22"/>
          <w:lang w:val="en-GB"/>
        </w:rPr>
        <w:t>measurements,</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or clinical trials.</w:t>
      </w:r>
    </w:p>
    <w:p w:rsidR="0A4C2F79" w:rsidP="266E4E16" w:rsidRDefault="0A4C2F79" w14:paraId="77617747" w14:textId="0F8239D0">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p>
    <w:p w:rsidR="0A4C2F79" w:rsidP="266E4E16" w:rsidRDefault="0A4C2F79" w14:paraId="654FD265" w14:textId="634B0AB1">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This systematic research is an example of secondary data collection, since the </w:t>
      </w:r>
      <w:r w:rsidRPr="266E4E16" w:rsidR="6C3B556A">
        <w:rPr>
          <w:rFonts w:ascii="Arial" w:hAnsi="Arial" w:eastAsia="Arial" w:cs="Arial" w:asciiTheme="minorAscii" w:hAnsiTheme="minorAscii" w:eastAsiaTheme="minorAscii" w:cstheme="minorAscii"/>
          <w:noProof w:val="0"/>
          <w:color w:val="000000" w:themeColor="text1" w:themeTint="FF" w:themeShade="FF"/>
          <w:sz w:val="22"/>
          <w:szCs w:val="22"/>
          <w:lang w:val="en-GB"/>
        </w:rPr>
        <w:t>authors analysed</w:t>
      </w:r>
      <w:r w:rsidRPr="266E4E16" w:rsidR="0A4C2F7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data gathered from 37 previously published studies.</w:t>
      </w:r>
    </w:p>
    <w:p w:rsidR="4C610BED" w:rsidP="266E4E16" w:rsidRDefault="4C610BED" w14:paraId="7A8F7F08" w14:textId="7E297C81">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4C610BE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In the report data collection were taken from various database searches. Physical activity levels were measured by Accelerometers, Self-report </w:t>
      </w:r>
      <w:r w:rsidRPr="266E4E16" w:rsidR="6A84B8F4">
        <w:rPr>
          <w:rFonts w:ascii="Arial" w:hAnsi="Arial" w:eastAsia="Arial" w:cs="Arial" w:asciiTheme="minorAscii" w:hAnsiTheme="minorAscii" w:eastAsiaTheme="minorAscii" w:cstheme="minorAscii"/>
          <w:noProof w:val="0"/>
          <w:color w:val="000000" w:themeColor="text1" w:themeTint="FF" w:themeShade="FF"/>
          <w:sz w:val="22"/>
          <w:szCs w:val="22"/>
          <w:lang w:val="en-GB"/>
        </w:rPr>
        <w:t>questionnaires,</w:t>
      </w:r>
      <w:r w:rsidRPr="266E4E16" w:rsidR="4C610BE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and Short Physical Performance Battery. In the research were </w:t>
      </w:r>
      <w:r w:rsidRPr="266E4E16" w:rsidR="4C610BED">
        <w:rPr>
          <w:rFonts w:ascii="Arial" w:hAnsi="Arial" w:eastAsia="Arial" w:cs="Arial" w:asciiTheme="minorAscii" w:hAnsiTheme="minorAscii" w:eastAsiaTheme="minorAscii" w:cstheme="minorAscii"/>
          <w:noProof w:val="0"/>
          <w:color w:val="000000" w:themeColor="text1" w:themeTint="FF" w:themeShade="FF"/>
          <w:sz w:val="22"/>
          <w:szCs w:val="22"/>
          <w:lang w:val="en-GB"/>
        </w:rPr>
        <w:t>included adults</w:t>
      </w:r>
      <w:r w:rsidRPr="266E4E16" w:rsidR="4C610BE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of age 70 - 101. Such an age group was chosen due to increasing health conditions in such group like frailty and sarcopenia or general need for </w:t>
      </w:r>
      <w:r w:rsidRPr="266E4E16" w:rsidR="4C610BED">
        <w:rPr>
          <w:rFonts w:ascii="Arial" w:hAnsi="Arial" w:eastAsia="Arial" w:cs="Arial" w:asciiTheme="minorAscii" w:hAnsiTheme="minorAscii" w:eastAsiaTheme="minorAscii" w:cstheme="minorAscii"/>
          <w:noProof w:val="0"/>
          <w:color w:val="000000" w:themeColor="text1" w:themeTint="FF" w:themeShade="FF"/>
          <w:sz w:val="22"/>
          <w:szCs w:val="22"/>
          <w:lang w:val="en-GB"/>
        </w:rPr>
        <w:t>assistance</w:t>
      </w:r>
      <w:r w:rsidRPr="266E4E16" w:rsidR="4C610BE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in daily life. Knowing that regular physical activity can delay or even improve those conditions, the aim of this study was to </w:t>
      </w:r>
      <w:r w:rsidRPr="266E4E16" w:rsidR="4C610BED">
        <w:rPr>
          <w:rFonts w:ascii="Arial" w:hAnsi="Arial" w:eastAsia="Arial" w:cs="Arial" w:asciiTheme="minorAscii" w:hAnsiTheme="minorAscii" w:eastAsiaTheme="minorAscii" w:cstheme="minorAscii"/>
          <w:noProof w:val="0"/>
          <w:color w:val="000000" w:themeColor="text1" w:themeTint="FF" w:themeShade="FF"/>
          <w:sz w:val="22"/>
          <w:szCs w:val="22"/>
          <w:lang w:val="en-GB"/>
        </w:rPr>
        <w:t>identify</w:t>
      </w:r>
      <w:r w:rsidRPr="266E4E16" w:rsidR="4C610BE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the barriers and motivators which may block or encourage the elder </w:t>
      </w:r>
      <w:r w:rsidRPr="266E4E16" w:rsidR="2C9B4A31">
        <w:rPr>
          <w:rFonts w:ascii="Arial" w:hAnsi="Arial" w:eastAsia="Arial" w:cs="Arial" w:asciiTheme="minorAscii" w:hAnsiTheme="minorAscii" w:eastAsiaTheme="minorAscii" w:cstheme="minorAscii"/>
          <w:noProof w:val="0"/>
          <w:color w:val="000000" w:themeColor="text1" w:themeTint="FF" w:themeShade="FF"/>
          <w:sz w:val="22"/>
          <w:szCs w:val="22"/>
          <w:lang w:val="en-GB"/>
        </w:rPr>
        <w:t>citizens</w:t>
      </w:r>
      <w:r w:rsidRPr="266E4E16" w:rsidR="4C610BE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to exercise.</w:t>
      </w:r>
    </w:p>
    <w:p w:rsidR="186F3AE5" w:rsidP="266E4E16" w:rsidRDefault="186F3AE5" w14:paraId="6496BB75" w14:textId="19E74506">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186F3AE5">
        <w:rPr>
          <w:rFonts w:ascii="Arial" w:hAnsi="Arial" w:eastAsia="Arial" w:cs="Arial" w:asciiTheme="minorAscii" w:hAnsiTheme="minorAscii" w:eastAsiaTheme="minorAscii" w:cstheme="minorAscii"/>
          <w:noProof w:val="0"/>
          <w:color w:val="000000" w:themeColor="text1" w:themeTint="FF" w:themeShade="FF"/>
          <w:sz w:val="22"/>
          <w:szCs w:val="22"/>
          <w:lang w:val="en-GB"/>
        </w:rPr>
        <w:t>Data analysis in this systematic review was narrative rather than statistical. Due to variety of ending results and focus of findings across studies, authors used the socioecological model to categorise results into three groups. As a result, the conclusion of barriers and motivators were found as intrapersonal (physical and psychological factors within the individual), interpersonal (social relationships and support) and environmental (physical surroundings and facilities).</w:t>
      </w:r>
    </w:p>
    <w:p w:rsidR="266E4E16" w:rsidP="266E4E16" w:rsidRDefault="266E4E16" w14:paraId="27955171" w14:textId="731B0937">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p>
    <w:p w:rsidR="6F2824D3" w:rsidP="266E4E16" w:rsidRDefault="6F2824D3" w14:paraId="75F8EE6E" w14:textId="579C59D1">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6F2824D3">
        <w:rPr>
          <w:rFonts w:ascii="Arial" w:hAnsi="Arial" w:eastAsia="Arial" w:cs="Arial" w:asciiTheme="minorAscii" w:hAnsiTheme="minorAscii" w:eastAsiaTheme="minorAscii" w:cstheme="minorAscii"/>
          <w:noProof w:val="0"/>
          <w:color w:val="000000" w:themeColor="text1" w:themeTint="FF" w:themeShade="FF"/>
          <w:sz w:val="22"/>
          <w:szCs w:val="22"/>
          <w:lang w:val="en-GB"/>
        </w:rPr>
        <w:t>Even though different studies brought variety of results</w:t>
      </w:r>
      <w:r w:rsidRPr="266E4E16" w:rsidR="6346A151">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266E4E16" w:rsidR="6F2824D3">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it could be concluded that most common barriers to physical activity for elders among others are poor health, inactiveness </w:t>
      </w:r>
      <w:r w:rsidRPr="266E4E16" w:rsidR="15BA51F3">
        <w:rPr>
          <w:rFonts w:ascii="Arial" w:hAnsi="Arial" w:eastAsia="Arial" w:cs="Arial" w:asciiTheme="minorAscii" w:hAnsiTheme="minorAscii" w:eastAsiaTheme="minorAscii" w:cstheme="minorAscii"/>
          <w:noProof w:val="0"/>
          <w:color w:val="000000" w:themeColor="text1" w:themeTint="FF" w:themeShade="FF"/>
          <w:sz w:val="22"/>
          <w:szCs w:val="22"/>
          <w:lang w:val="en-GB"/>
        </w:rPr>
        <w:t>itself and</w:t>
      </w:r>
      <w:r w:rsidRPr="266E4E16" w:rsidR="6F2824D3">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fear of falling. In addition, the social isolation did not contribute to encouragement to be more active. From the environmental factors were mentioned weather or limited access to exercise facilities</w:t>
      </w:r>
      <w:r w:rsidRPr="266E4E16" w:rsidR="6F2824D3">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266E4E16" w:rsidR="6F2824D3">
        <w:rPr>
          <w:rFonts w:ascii="Arial" w:hAnsi="Arial" w:eastAsia="Arial" w:cs="Arial" w:asciiTheme="minorAscii" w:hAnsiTheme="minorAscii" w:eastAsiaTheme="minorAscii" w:cstheme="minorAscii"/>
          <w:noProof w:val="0"/>
          <w:color w:val="000000" w:themeColor="text1" w:themeTint="FF" w:themeShade="FF"/>
          <w:sz w:val="22"/>
          <w:szCs w:val="22"/>
          <w:lang w:val="en-GB"/>
        </w:rPr>
        <w:t>On the other hand, support from the family members</w:t>
      </w:r>
      <w:r w:rsidRPr="266E4E16" w:rsidR="138FC8EA">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266E4E16" w:rsidR="6F2824D3">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companions or healthcare providers contributed the most as motivators. </w:t>
      </w:r>
      <w:r w:rsidRPr="266E4E16" w:rsidR="1F5CB365">
        <w:rPr>
          <w:rFonts w:ascii="Arial" w:hAnsi="Arial" w:eastAsia="Arial" w:cs="Arial" w:asciiTheme="minorAscii" w:hAnsiTheme="minorAscii" w:eastAsiaTheme="minorAscii" w:cstheme="minorAscii"/>
          <w:noProof w:val="0"/>
          <w:color w:val="000000" w:themeColor="text1" w:themeTint="FF" w:themeShade="FF"/>
          <w:sz w:val="22"/>
          <w:szCs w:val="22"/>
          <w:lang w:val="en-GB"/>
        </w:rPr>
        <w:t>The f</w:t>
      </w:r>
      <w:r w:rsidRPr="266E4E16" w:rsidR="60F176E5">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indings in this study could help </w:t>
      </w:r>
      <w:r w:rsidRPr="266E4E16" w:rsidR="6D16617F">
        <w:rPr>
          <w:rFonts w:ascii="Arial" w:hAnsi="Arial" w:eastAsia="Arial" w:cs="Arial" w:asciiTheme="minorAscii" w:hAnsiTheme="minorAscii" w:eastAsiaTheme="minorAscii" w:cstheme="minorAscii"/>
          <w:noProof w:val="0"/>
          <w:color w:val="000000" w:themeColor="text1" w:themeTint="FF" w:themeShade="FF"/>
          <w:sz w:val="22"/>
          <w:szCs w:val="22"/>
          <w:lang w:val="en-GB"/>
        </w:rPr>
        <w:t>professionals</w:t>
      </w:r>
      <w:r w:rsidRPr="266E4E16" w:rsidR="60F176E5">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to plan programs </w:t>
      </w:r>
      <w:r w:rsidRPr="266E4E16" w:rsidR="40AECEA6">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and activities for elderly members of </w:t>
      </w:r>
      <w:r w:rsidRPr="266E4E16" w:rsidR="1E5D9855">
        <w:rPr>
          <w:rFonts w:ascii="Arial" w:hAnsi="Arial" w:eastAsia="Arial" w:cs="Arial" w:asciiTheme="minorAscii" w:hAnsiTheme="minorAscii" w:eastAsiaTheme="minorAscii" w:cstheme="minorAscii"/>
          <w:noProof w:val="0"/>
          <w:color w:val="000000" w:themeColor="text1" w:themeTint="FF" w:themeShade="FF"/>
          <w:sz w:val="22"/>
          <w:szCs w:val="22"/>
          <w:lang w:val="en-GB"/>
        </w:rPr>
        <w:t>society to lead more active and independent life.</w:t>
      </w:r>
    </w:p>
    <w:p w:rsidR="3EBB852F" w:rsidP="266E4E16" w:rsidRDefault="3EBB852F" w14:paraId="1BF1C085" w14:textId="6FDDD037">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66E4E16" w:rsidR="3EBB852F">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p>
    <w:p w:rsidR="39CF8767" w:rsidP="266E4E16" w:rsidRDefault="39CF8767" w14:paraId="5B628B79" w14:textId="6165D9F6">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39CF87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Section 4: Conclusion</w:t>
      </w:r>
    </w:p>
    <w:p w:rsidR="06096D58" w:rsidP="266E4E16" w:rsidRDefault="06096D58" w14:paraId="5798A7FE" w14:textId="4A5671DE">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report has analysed a systematic review by Kilgour et al. (2024) examining barriers and motivators to physical activity in adults aged 70 years and over</w:t>
      </w:r>
      <w:r w:rsidRPr="266E4E16" w:rsidR="63F2A9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Authors looked through 37 studies of elder people of various ages and both sexes with different condition living in independent </w:t>
      </w:r>
      <w:r w:rsidRPr="266E4E16" w:rsidR="0AF23F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surroundings</w:t>
      </w: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using combination of quantitative and mixed methods. Secondary data collection was applied. T</w:t>
      </w:r>
      <w:r w:rsidRPr="266E4E16" w:rsidR="1450A5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w:t>
      </w:r>
      <w:r w:rsidRPr="266E4E16" w:rsidR="1450A5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w:t>
      </w: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to find common barriers and motivators</w:t>
      </w:r>
      <w:r w:rsidRPr="266E4E16" w:rsidR="43C7D8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w:t>
      </w:r>
      <w:r w:rsidRPr="266E4E16" w:rsidR="2905B9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w:t>
      </w: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66E4E16" w:rsidR="6E7B58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would help</w:t>
      </w: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planning the future approach in encouraging elderly to stay active and independent</w:t>
      </w: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266E4E16" w:rsidP="266E4E16" w:rsidRDefault="266E4E16" w14:paraId="664BA3FC" w14:textId="28A23982">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6096D58" w:rsidP="266E4E16" w:rsidRDefault="06096D58" w14:paraId="3C271778" w14:textId="642A9DBF">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found this topic both interesting and crucial for the future. It is evident that sedentary lifestyles are becoming increasingly prevalent even among younger generations, Health education and motivation toward more active living is an investment in long-term public health. This analysis has helped me practice essential research skills, including critical evaluation of quantitative evidence. The study itself was challenging to interpret due to the wide variety of personal conditions and situational factors among participants. Additionally, the uniqueness of the topic meant that resources from the past six years were limited, suggesting that further primary research—particularly trials targeting older adults is needed to strengthen the evidence base and develop more effective strategies for promoting physical activity in the oldest citizens.</w:t>
      </w:r>
    </w:p>
    <w:p w:rsidR="06096D58" w:rsidP="266E4E16" w:rsidRDefault="06096D58" w14:paraId="761E7729" w14:textId="6B057A14">
      <w:pPr>
        <w:pStyle w:val="Normal"/>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66E4E16" w:rsidR="06096D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Although secondary data collection chosen in this report is a cost-effective and time-efficient research method, it carries several notable disadvantages. The data may be outdated, the original researchers' objectives may differ from the present study's aims, and issues of availability and access to source materials can limit the scope of analysis. Nevertheless, this approach provided valuable insight that will inform my future research and academic development.</w:t>
      </w:r>
    </w:p>
    <w:p w:rsidR="266E4E16" w:rsidP="266E4E16" w:rsidRDefault="266E4E16" w14:paraId="454AABB0" w14:textId="797F9BCB">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AC99918" w:rsidP="266E4E16" w:rsidRDefault="2AC99918" w14:paraId="7E6E5A42" w14:textId="2D5C578F">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6E4E16" w:rsidR="2AC99918">
        <w:rPr>
          <w:rFonts w:ascii="Arial Nova" w:hAnsi="Arial Nova" w:eastAsia="Arial Nova" w:cs="Arial Nova"/>
          <w:b w:val="0"/>
          <w:bCs w:val="0"/>
          <w:i w:val="0"/>
          <w:iCs w:val="0"/>
          <w:caps w:val="0"/>
          <w:smallCaps w:val="0"/>
          <w:noProof w:val="0"/>
          <w:color w:val="000000" w:themeColor="text1" w:themeTint="FF" w:themeShade="FF"/>
          <w:sz w:val="22"/>
          <w:szCs w:val="22"/>
          <w:lang w:val="en-GB"/>
        </w:rPr>
        <w:t>References:</w:t>
      </w:r>
    </w:p>
    <w:p w:rsidR="001DD39B" w:rsidP="266E4E16" w:rsidRDefault="001DD39B" w14:paraId="2F3E8580" w14:textId="414B10DD">
      <w:pPr>
        <w:pStyle w:val="Normal"/>
      </w:pPr>
      <w:r w:rsidRPr="266E4E16" w:rsidR="001DD39B">
        <w:rPr>
          <w:rFonts w:ascii="Fira Sans" w:hAnsi="Fira Sans" w:eastAsia="Fira Sans" w:cs="Fira Sans"/>
          <w:b w:val="0"/>
          <w:bCs w:val="0"/>
          <w:i w:val="0"/>
          <w:iCs w:val="0"/>
          <w:caps w:val="0"/>
          <w:smallCaps w:val="0"/>
          <w:noProof w:val="0"/>
          <w:color w:val="232323"/>
          <w:sz w:val="21"/>
          <w:szCs w:val="21"/>
          <w:lang w:val="en-GB"/>
        </w:rPr>
        <w:t xml:space="preserve">Bhangu S, </w:t>
      </w:r>
      <w:r w:rsidRPr="266E4E16" w:rsidR="001DD39B">
        <w:rPr>
          <w:rFonts w:ascii="Fira Sans" w:hAnsi="Fira Sans" w:eastAsia="Fira Sans" w:cs="Fira Sans"/>
          <w:b w:val="0"/>
          <w:bCs w:val="0"/>
          <w:i w:val="0"/>
          <w:iCs w:val="0"/>
          <w:caps w:val="0"/>
          <w:smallCaps w:val="0"/>
          <w:noProof w:val="0"/>
          <w:color w:val="232323"/>
          <w:sz w:val="21"/>
          <w:szCs w:val="21"/>
          <w:lang w:val="en-GB"/>
        </w:rPr>
        <w:t>Caduff</w:t>
      </w:r>
      <w:r w:rsidRPr="266E4E16" w:rsidR="001DD39B">
        <w:rPr>
          <w:rFonts w:ascii="Fira Sans" w:hAnsi="Fira Sans" w:eastAsia="Fira Sans" w:cs="Fira Sans"/>
          <w:b w:val="0"/>
          <w:bCs w:val="0"/>
          <w:i w:val="0"/>
          <w:iCs w:val="0"/>
          <w:caps w:val="0"/>
          <w:smallCaps w:val="0"/>
          <w:noProof w:val="0"/>
          <w:color w:val="232323"/>
          <w:sz w:val="21"/>
          <w:szCs w:val="21"/>
          <w:lang w:val="en-GB"/>
        </w:rPr>
        <w:t xml:space="preserve"> C, Provost F. (2023) Introduction to qualitative research methods – Part I Perspectives in Clinical Research. 2023;14(1):39-42. </w:t>
      </w:r>
      <w:r w:rsidRPr="266E4E16" w:rsidR="001DD39B">
        <w:rPr>
          <w:rFonts w:ascii="Fira Sans" w:hAnsi="Fira Sans" w:eastAsia="Fira Sans" w:cs="Fira Sans"/>
          <w:b w:val="0"/>
          <w:bCs w:val="0"/>
          <w:i w:val="0"/>
          <w:iCs w:val="0"/>
          <w:caps w:val="0"/>
          <w:smallCaps w:val="0"/>
          <w:noProof w:val="0"/>
          <w:color w:val="232323"/>
          <w:sz w:val="21"/>
          <w:szCs w:val="21"/>
          <w:lang w:val="en-GB"/>
        </w:rPr>
        <w:t>doi:10.4103/picr.picr</w:t>
      </w:r>
      <w:r w:rsidRPr="266E4E16" w:rsidR="001DD39B">
        <w:rPr>
          <w:rFonts w:ascii="Fira Sans" w:hAnsi="Fira Sans" w:eastAsia="Fira Sans" w:cs="Fira Sans"/>
          <w:b w:val="0"/>
          <w:bCs w:val="0"/>
          <w:i w:val="0"/>
          <w:iCs w:val="0"/>
          <w:caps w:val="0"/>
          <w:smallCaps w:val="0"/>
          <w:noProof w:val="0"/>
          <w:color w:val="232323"/>
          <w:sz w:val="21"/>
          <w:szCs w:val="21"/>
          <w:lang w:val="en-GB"/>
        </w:rPr>
        <w:t xml:space="preserve">_253_22 </w:t>
      </w:r>
    </w:p>
    <w:p w:rsidR="001DD39B" w:rsidP="266E4E16" w:rsidRDefault="001DD39B" w14:paraId="37115F07" w14:textId="275DC144">
      <w:pPr>
        <w:pStyle w:val="Normal"/>
      </w:pPr>
      <w:r w:rsidRPr="266E4E16" w:rsidR="001DD39B">
        <w:rPr>
          <w:rFonts w:ascii="Fira Sans" w:hAnsi="Fira Sans" w:eastAsia="Fira Sans" w:cs="Fira Sans"/>
          <w:b w:val="0"/>
          <w:bCs w:val="0"/>
          <w:i w:val="0"/>
          <w:iCs w:val="0"/>
          <w:caps w:val="0"/>
          <w:smallCaps w:val="0"/>
          <w:noProof w:val="0"/>
          <w:color w:val="232323"/>
          <w:sz w:val="21"/>
          <w:szCs w:val="21"/>
          <w:lang w:val="en-GB"/>
        </w:rPr>
        <w:t xml:space="preserve">Creswell JW and Creswell JD (2023), Research design: qualitative, quantitative, and mixed methods </w:t>
      </w:r>
      <w:r w:rsidRPr="266E4E16" w:rsidR="001DD39B">
        <w:rPr>
          <w:rFonts w:ascii="Fira Sans" w:hAnsi="Fira Sans" w:eastAsia="Fira Sans" w:cs="Fira Sans"/>
          <w:b w:val="0"/>
          <w:bCs w:val="0"/>
          <w:i w:val="0"/>
          <w:iCs w:val="0"/>
          <w:caps w:val="0"/>
          <w:smallCaps w:val="0"/>
          <w:noProof w:val="0"/>
          <w:color w:val="232323"/>
          <w:sz w:val="21"/>
          <w:szCs w:val="21"/>
          <w:lang w:val="en-GB"/>
        </w:rPr>
        <w:t>approaches</w:t>
      </w:r>
      <w:r w:rsidRPr="266E4E16" w:rsidR="001DD39B">
        <w:rPr>
          <w:rFonts w:ascii="Fira Sans" w:hAnsi="Fira Sans" w:eastAsia="Fira Sans" w:cs="Fira Sans"/>
          <w:b w:val="0"/>
          <w:bCs w:val="0"/>
          <w:i w:val="0"/>
          <w:iCs w:val="0"/>
          <w:caps w:val="0"/>
          <w:smallCaps w:val="0"/>
          <w:noProof w:val="0"/>
          <w:color w:val="232323"/>
          <w:sz w:val="21"/>
          <w:szCs w:val="21"/>
          <w:lang w:val="en-GB"/>
        </w:rPr>
        <w:t xml:space="preserve">. Sixth edition, SAGE Publications, Inc. </w:t>
      </w:r>
    </w:p>
    <w:p w:rsidR="001DD39B" w:rsidP="266E4E16" w:rsidRDefault="001DD39B" w14:paraId="451C29B6" w14:textId="24F1E5E7">
      <w:pPr>
        <w:pStyle w:val="Normal"/>
      </w:pPr>
      <w:r w:rsidRPr="266E4E16" w:rsidR="001DD39B">
        <w:rPr>
          <w:rFonts w:ascii="Fira Sans" w:hAnsi="Fira Sans" w:eastAsia="Fira Sans" w:cs="Fira Sans"/>
          <w:b w:val="0"/>
          <w:bCs w:val="0"/>
          <w:i w:val="0"/>
          <w:iCs w:val="0"/>
          <w:caps w:val="0"/>
          <w:smallCaps w:val="0"/>
          <w:noProof w:val="0"/>
          <w:color w:val="232323"/>
          <w:sz w:val="21"/>
          <w:szCs w:val="21"/>
          <w:lang w:val="en-GB"/>
        </w:rPr>
        <w:t xml:space="preserve">Cunningham C, O' Sullivan R, Caserotti P, Tully MA (2020), Consequences of physical inactivity in older adults: A systematic review of reviews and meta-analyses. Scand J Med Sci Sports. 2020; 30: 816–827. </w:t>
      </w:r>
    </w:p>
    <w:p w:rsidR="001DD39B" w:rsidP="266E4E16" w:rsidRDefault="001DD39B" w14:paraId="127AA365" w14:textId="70E515D4">
      <w:pPr>
        <w:pStyle w:val="Normal"/>
      </w:pPr>
      <w:r w:rsidRPr="266E4E16" w:rsidR="001DD39B">
        <w:rPr>
          <w:rFonts w:ascii="Fira Sans" w:hAnsi="Fira Sans" w:eastAsia="Fira Sans" w:cs="Fira Sans"/>
          <w:b w:val="0"/>
          <w:bCs w:val="0"/>
          <w:i w:val="0"/>
          <w:iCs w:val="0"/>
          <w:caps w:val="0"/>
          <w:smallCaps w:val="0"/>
          <w:noProof w:val="0"/>
          <w:color w:val="232323"/>
          <w:sz w:val="21"/>
          <w:szCs w:val="21"/>
          <w:lang w:val="en-GB"/>
        </w:rPr>
        <w:t xml:space="preserve">Kelly M, Martin-Peters T and Farber J S, "Secondary data analysis: Using existing data to answer new questions," J. Pediatr. Health Care, vol. 38, no. 4, pp. 615–618, Jul. 2024. </w:t>
      </w:r>
      <w:r w:rsidRPr="266E4E16" w:rsidR="001DD39B">
        <w:rPr>
          <w:rFonts w:ascii="Fira Sans" w:hAnsi="Fira Sans" w:eastAsia="Fira Sans" w:cs="Fira Sans"/>
          <w:b w:val="0"/>
          <w:bCs w:val="0"/>
          <w:i w:val="0"/>
          <w:iCs w:val="0"/>
          <w:caps w:val="0"/>
          <w:smallCaps w:val="0"/>
          <w:noProof w:val="0"/>
          <w:color w:val="232323"/>
          <w:sz w:val="21"/>
          <w:szCs w:val="21"/>
          <w:lang w:val="en-GB"/>
        </w:rPr>
        <w:t>doi</w:t>
      </w:r>
      <w:r w:rsidRPr="266E4E16" w:rsidR="001DD39B">
        <w:rPr>
          <w:rFonts w:ascii="Fira Sans" w:hAnsi="Fira Sans" w:eastAsia="Fira Sans" w:cs="Fira Sans"/>
          <w:b w:val="0"/>
          <w:bCs w:val="0"/>
          <w:i w:val="0"/>
          <w:iCs w:val="0"/>
          <w:caps w:val="0"/>
          <w:smallCaps w:val="0"/>
          <w:noProof w:val="0"/>
          <w:color w:val="232323"/>
          <w:sz w:val="21"/>
          <w:szCs w:val="21"/>
          <w:lang w:val="en-GB"/>
        </w:rPr>
        <w:t>: 10.1016/j.pedhc.2024.03.005.</w:t>
      </w:r>
    </w:p>
    <w:p w:rsidR="001DD39B" w:rsidP="266E4E16" w:rsidRDefault="001DD39B" w14:paraId="335E467C" w14:textId="434E8001">
      <w:pPr>
        <w:pStyle w:val="Normal"/>
      </w:pPr>
      <w:r w:rsidRPr="266E4E16" w:rsidR="001DD39B">
        <w:rPr>
          <w:rFonts w:ascii="Fira Sans" w:hAnsi="Fira Sans" w:eastAsia="Fira Sans" w:cs="Fira Sans"/>
          <w:b w:val="0"/>
          <w:bCs w:val="0"/>
          <w:i w:val="0"/>
          <w:iCs w:val="0"/>
          <w:caps w:val="0"/>
          <w:smallCaps w:val="0"/>
          <w:noProof w:val="0"/>
          <w:color w:val="232323"/>
          <w:sz w:val="21"/>
          <w:szCs w:val="21"/>
          <w:lang w:val="en-GB"/>
        </w:rPr>
        <w:t xml:space="preserve">NHS (2024) Physical Activities guidelines for older adults. Available at: </w:t>
      </w:r>
      <w:hyperlink r:id="R79d967d99a7e4d02">
        <w:r w:rsidRPr="266E4E16" w:rsidR="001DD39B">
          <w:rPr>
            <w:rFonts w:ascii="Fira Sans" w:hAnsi="Fira Sans" w:eastAsia="Fira Sans" w:cs="Fira Sans"/>
            <w:b w:val="0"/>
            <w:bCs w:val="0"/>
            <w:i w:val="0"/>
            <w:iCs w:val="0"/>
            <w:caps w:val="0"/>
            <w:smallCaps w:val="0"/>
            <w:noProof w:val="0"/>
            <w:color w:val="232323"/>
            <w:sz w:val="21"/>
            <w:szCs w:val="21"/>
            <w:lang w:val="en-GB"/>
          </w:rPr>
          <w:t>https://www.nhs.uk/live-well/exercise/physical-activity-guidelines-older-adults/</w:t>
        </w:r>
      </w:hyperlink>
      <w:r w:rsidRPr="266E4E16" w:rsidR="001DD39B">
        <w:rPr>
          <w:rFonts w:ascii="Fira Sans" w:hAnsi="Fira Sans" w:eastAsia="Fira Sans" w:cs="Fira Sans"/>
          <w:b w:val="0"/>
          <w:bCs w:val="0"/>
          <w:i w:val="0"/>
          <w:iCs w:val="0"/>
          <w:caps w:val="0"/>
          <w:smallCaps w:val="0"/>
          <w:noProof w:val="0"/>
          <w:color w:val="232323"/>
          <w:sz w:val="21"/>
          <w:szCs w:val="21"/>
          <w:lang w:val="en-GB"/>
        </w:rPr>
        <w:t xml:space="preserve">  (Accessed:13. July 2026) </w:t>
      </w:r>
    </w:p>
    <w:p w:rsidR="001DD39B" w:rsidP="266E4E16" w:rsidRDefault="001DD39B" w14:paraId="244799C7" w14:textId="78ED7EB9">
      <w:pPr>
        <w:pStyle w:val="Normal"/>
      </w:pPr>
      <w:r w:rsidRPr="266E4E16" w:rsidR="001DD39B">
        <w:rPr>
          <w:rFonts w:ascii="Fira Sans" w:hAnsi="Fira Sans" w:eastAsia="Fira Sans" w:cs="Fira Sans"/>
          <w:b w:val="0"/>
          <w:bCs w:val="0"/>
          <w:i w:val="0"/>
          <w:iCs w:val="0"/>
          <w:caps w:val="0"/>
          <w:smallCaps w:val="0"/>
          <w:noProof w:val="0"/>
          <w:color w:val="232323"/>
          <w:sz w:val="21"/>
          <w:szCs w:val="21"/>
          <w:lang w:val="en-GB"/>
        </w:rPr>
        <w:t xml:space="preserve">N. Sardana, S. Shekoohi, E. M. Cornett, and A. D. Kaye, "Qualitative and quantitative research methods," in Substance Use and Addiction Research: Methodology, Mechanisms, and Therapeutics, A. D. Kaye, R. D. Urman, E. M. Cornett, and A. N. Edinoff, Eds. San Diego, CA, USA: Elsevier, 2023, ch. 6, pp. 65–69. doi: 10.1016/B978-0-323-98814-8.00008-1. </w:t>
      </w:r>
    </w:p>
    <w:p w:rsidR="001DD39B" w:rsidP="266E4E16" w:rsidRDefault="001DD39B" w14:paraId="16F4A061" w14:textId="7BA2AD4E">
      <w:pPr>
        <w:pStyle w:val="Normal"/>
      </w:pPr>
      <w:r w:rsidRPr="266E4E16" w:rsidR="001DD39B">
        <w:rPr>
          <w:rFonts w:ascii="Fira Sans" w:hAnsi="Fira Sans" w:eastAsia="Fira Sans" w:cs="Fira Sans"/>
          <w:b w:val="0"/>
          <w:bCs w:val="0"/>
          <w:i w:val="0"/>
          <w:iCs w:val="0"/>
          <w:caps w:val="0"/>
          <w:smallCaps w:val="0"/>
          <w:noProof w:val="0"/>
          <w:color w:val="232323"/>
          <w:sz w:val="21"/>
          <w:szCs w:val="21"/>
          <w:lang w:val="en-GB"/>
        </w:rPr>
        <w:t xml:space="preserve">Office for National Statistics (2024) National Population Projections: 2024-based. Available at: </w:t>
      </w:r>
      <w:hyperlink r:id="Rad3c014e09574300">
        <w:r w:rsidRPr="266E4E16" w:rsidR="001DD39B">
          <w:rPr>
            <w:rFonts w:ascii="Fira Sans" w:hAnsi="Fira Sans" w:eastAsia="Fira Sans" w:cs="Fira Sans"/>
            <w:b w:val="0"/>
            <w:bCs w:val="0"/>
            <w:i w:val="0"/>
            <w:iCs w:val="0"/>
            <w:caps w:val="0"/>
            <w:smallCaps w:val="0"/>
            <w:noProof w:val="0"/>
            <w:color w:val="232323"/>
            <w:sz w:val="21"/>
            <w:szCs w:val="21"/>
            <w:lang w:val="en-GB"/>
          </w:rPr>
          <w:t>https://www.ons.gov.uk/peoplepopulationandcommunity/populationandmigration/populationprojections/bulletins/nationalpopulationprojections/2024based</w:t>
        </w:r>
      </w:hyperlink>
      <w:r w:rsidRPr="266E4E16" w:rsidR="001DD39B">
        <w:rPr>
          <w:rFonts w:ascii="Fira Sans" w:hAnsi="Fira Sans" w:eastAsia="Fira Sans" w:cs="Fira Sans"/>
          <w:b w:val="0"/>
          <w:bCs w:val="0"/>
          <w:i w:val="0"/>
          <w:iCs w:val="0"/>
          <w:caps w:val="0"/>
          <w:smallCaps w:val="0"/>
          <w:noProof w:val="0"/>
          <w:color w:val="232323"/>
          <w:sz w:val="21"/>
          <w:szCs w:val="21"/>
          <w:lang w:val="en-GB"/>
        </w:rPr>
        <w:t xml:space="preserve"> (Accessed: 13. July 2026)  </w:t>
      </w:r>
    </w:p>
    <w:p w:rsidR="001DD39B" w:rsidP="266E4E16" w:rsidRDefault="001DD39B" w14:paraId="31B8A019" w14:textId="179E9148">
      <w:pPr>
        <w:pStyle w:val="Normal"/>
      </w:pPr>
      <w:r w:rsidRPr="266E4E16" w:rsidR="001DD39B">
        <w:rPr>
          <w:rFonts w:ascii="Fira Sans" w:hAnsi="Fira Sans" w:eastAsia="Fira Sans" w:cs="Fira Sans"/>
          <w:b w:val="0"/>
          <w:bCs w:val="0"/>
          <w:i w:val="0"/>
          <w:iCs w:val="0"/>
          <w:caps w:val="0"/>
          <w:smallCaps w:val="0"/>
          <w:noProof w:val="0"/>
          <w:color w:val="232323"/>
          <w:sz w:val="21"/>
          <w:szCs w:val="21"/>
          <w:lang w:val="en-GB"/>
        </w:rPr>
        <w:t>World Health Organisation (2020), WHO Guidelines on Physical Activity and Sedentary Behaviour. Geneva: WHO</w:t>
      </w:r>
    </w:p>
    <w:p w:rsidR="266E4E16" w:rsidP="266E4E16" w:rsidRDefault="266E4E16" w14:paraId="1B359D67" w14:textId="4973F72D">
      <w:pPr>
        <w:pStyle w:val="Normal"/>
        <w:rPr>
          <w:rFonts w:ascii="Fira Sans" w:hAnsi="Fira Sans" w:eastAsia="Fira Sans" w:cs="Fira Sans"/>
          <w:b w:val="0"/>
          <w:bCs w:val="0"/>
          <w:i w:val="0"/>
          <w:iCs w:val="0"/>
          <w:caps w:val="0"/>
          <w:smallCaps w:val="0"/>
          <w:noProof w:val="0"/>
          <w:color w:val="232323"/>
          <w:sz w:val="21"/>
          <w:szCs w:val="21"/>
          <w:lang w:val="en-GB"/>
        </w:rPr>
      </w:pPr>
    </w:p>
    <w:p w:rsidR="266E4E16" w:rsidP="266E4E16" w:rsidRDefault="266E4E16" w14:paraId="1FE84D59" w14:textId="1D39224C">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66E4E16" w:rsidP="266E4E16" w:rsidRDefault="266E4E16" w14:paraId="2486B9F8" w14:textId="11E6A50B">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66E4E16" w:rsidP="266E4E16" w:rsidRDefault="266E4E16" w14:paraId="25E660B2" w14:textId="4023637D">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sectPr>
      <w:pgSz w:w="12240" w:h="15840" w:orient="portrait"/>
      <w:pgMar w:top="1440" w:right="1440" w:bottom="1440" w:left="1440" w:header="720" w:footer="720" w:gutter="0"/>
      <w:cols w:space="720"/>
      <w:docGrid w:linePitch="360"/>
      <w:headerReference w:type="default" r:id="R1029e4966dda41a5"/>
      <w:footerReference w:type="default" r:id="R73b44c58826a429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66E4E16" w:rsidTr="266E4E16" w14:paraId="699E73B3">
      <w:trPr>
        <w:trHeight w:val="300"/>
      </w:trPr>
      <w:tc>
        <w:tcPr>
          <w:tcW w:w="3120" w:type="dxa"/>
          <w:tcMar/>
        </w:tcPr>
        <w:p w:rsidR="266E4E16" w:rsidP="266E4E16" w:rsidRDefault="266E4E16" w14:paraId="3BD8D1CB" w14:textId="001BABE7">
          <w:pPr>
            <w:pStyle w:val="Header"/>
            <w:bidi w:val="0"/>
            <w:ind w:left="-115"/>
            <w:jc w:val="left"/>
          </w:pPr>
        </w:p>
      </w:tc>
      <w:tc>
        <w:tcPr>
          <w:tcW w:w="3120" w:type="dxa"/>
          <w:tcMar/>
        </w:tcPr>
        <w:p w:rsidR="266E4E16" w:rsidP="266E4E16" w:rsidRDefault="266E4E16" w14:paraId="73CF5994" w14:textId="285C4349">
          <w:pPr>
            <w:pStyle w:val="Header"/>
            <w:bidi w:val="0"/>
            <w:jc w:val="center"/>
          </w:pPr>
          <w:r>
            <w:fldChar w:fldCharType="begin"/>
          </w:r>
          <w:r>
            <w:instrText xml:space="preserve">PAGE</w:instrText>
          </w:r>
          <w:r>
            <w:fldChar w:fldCharType="separate"/>
          </w:r>
          <w:r>
            <w:fldChar w:fldCharType="end"/>
          </w:r>
        </w:p>
      </w:tc>
      <w:tc>
        <w:tcPr>
          <w:tcW w:w="3120" w:type="dxa"/>
          <w:tcMar/>
        </w:tcPr>
        <w:p w:rsidR="266E4E16" w:rsidP="266E4E16" w:rsidRDefault="266E4E16" w14:paraId="1278DEA8" w14:textId="6AF33FC5">
          <w:pPr>
            <w:pStyle w:val="Header"/>
            <w:bidi w:val="0"/>
            <w:ind w:right="-115"/>
            <w:jc w:val="right"/>
          </w:pPr>
        </w:p>
      </w:tc>
    </w:tr>
  </w:tbl>
  <w:p w:rsidR="266E4E16" w:rsidP="266E4E16" w:rsidRDefault="266E4E16" w14:paraId="0EE359A0" w14:textId="63B9C3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66E4E16" w:rsidTr="266E4E16" w14:paraId="338A0A16">
      <w:trPr>
        <w:trHeight w:val="300"/>
      </w:trPr>
      <w:tc>
        <w:tcPr>
          <w:tcW w:w="3120" w:type="dxa"/>
          <w:tcMar/>
        </w:tcPr>
        <w:p w:rsidR="266E4E16" w:rsidP="266E4E16" w:rsidRDefault="266E4E16" w14:paraId="7CF836E1" w14:textId="3C6D46D7">
          <w:pPr>
            <w:pStyle w:val="Header"/>
            <w:bidi w:val="0"/>
            <w:ind w:left="-115"/>
            <w:jc w:val="left"/>
          </w:pPr>
        </w:p>
      </w:tc>
      <w:tc>
        <w:tcPr>
          <w:tcW w:w="3120" w:type="dxa"/>
          <w:tcMar/>
        </w:tcPr>
        <w:p w:rsidR="266E4E16" w:rsidP="266E4E16" w:rsidRDefault="266E4E16" w14:paraId="076A0B0F" w14:textId="4F5787CA">
          <w:pPr>
            <w:pStyle w:val="Header"/>
            <w:bidi w:val="0"/>
            <w:jc w:val="center"/>
          </w:pPr>
        </w:p>
      </w:tc>
      <w:tc>
        <w:tcPr>
          <w:tcW w:w="3120" w:type="dxa"/>
          <w:tcMar/>
        </w:tcPr>
        <w:p w:rsidR="266E4E16" w:rsidP="266E4E16" w:rsidRDefault="266E4E16" w14:paraId="6AF48C4C" w14:textId="58589C11">
          <w:pPr>
            <w:pStyle w:val="Header"/>
            <w:bidi w:val="0"/>
            <w:ind w:right="-115"/>
            <w:jc w:val="right"/>
          </w:pPr>
        </w:p>
      </w:tc>
    </w:tr>
  </w:tbl>
  <w:p w:rsidR="266E4E16" w:rsidP="266E4E16" w:rsidRDefault="266E4E16" w14:paraId="069E12BE" w14:textId="300FB1A3">
    <w:pPr>
      <w:pStyle w:val="Header"/>
      <w:bidi w:val="0"/>
    </w:pPr>
  </w:p>
</w:hdr>
</file>

<file path=word/numbering.xml><?xml version="1.0" encoding="utf-8"?>
<w:numbering xmlns:w="http://schemas.openxmlformats.org/wordprocessingml/2006/main">
  <w:abstractNum xmlns:w="http://schemas.openxmlformats.org/wordprocessingml/2006/main" w:abstractNumId="1">
    <w:nsid w:val="380237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175B71"/>
    <w:rsid w:val="001DD39B"/>
    <w:rsid w:val="0174E029"/>
    <w:rsid w:val="01A5D123"/>
    <w:rsid w:val="01B2917D"/>
    <w:rsid w:val="020DAB93"/>
    <w:rsid w:val="02510C6A"/>
    <w:rsid w:val="0319EC25"/>
    <w:rsid w:val="037E2AFE"/>
    <w:rsid w:val="03C53126"/>
    <w:rsid w:val="0408296B"/>
    <w:rsid w:val="04227404"/>
    <w:rsid w:val="047D4D31"/>
    <w:rsid w:val="0484BA23"/>
    <w:rsid w:val="04E8A7DC"/>
    <w:rsid w:val="06096D58"/>
    <w:rsid w:val="060D0495"/>
    <w:rsid w:val="076F2A11"/>
    <w:rsid w:val="07987DF2"/>
    <w:rsid w:val="07C2ABB3"/>
    <w:rsid w:val="0847A0F4"/>
    <w:rsid w:val="085D7EB8"/>
    <w:rsid w:val="09234285"/>
    <w:rsid w:val="092707E0"/>
    <w:rsid w:val="0997DDB7"/>
    <w:rsid w:val="0A43EE2C"/>
    <w:rsid w:val="0A4C2F79"/>
    <w:rsid w:val="0A682F19"/>
    <w:rsid w:val="0AF23F2A"/>
    <w:rsid w:val="0AF6C792"/>
    <w:rsid w:val="0B261982"/>
    <w:rsid w:val="0B62B519"/>
    <w:rsid w:val="0BD036C0"/>
    <w:rsid w:val="0BDBED6D"/>
    <w:rsid w:val="0C46E633"/>
    <w:rsid w:val="0C7D3DC7"/>
    <w:rsid w:val="0C9B3D4C"/>
    <w:rsid w:val="0CB0A4AB"/>
    <w:rsid w:val="0CE6D8D3"/>
    <w:rsid w:val="0CF44D89"/>
    <w:rsid w:val="0D1D06B6"/>
    <w:rsid w:val="0E6E2AE1"/>
    <w:rsid w:val="0E7BB351"/>
    <w:rsid w:val="0F35070E"/>
    <w:rsid w:val="0FA8DE4B"/>
    <w:rsid w:val="1099D93B"/>
    <w:rsid w:val="109EB1FE"/>
    <w:rsid w:val="10CA4827"/>
    <w:rsid w:val="12153DDD"/>
    <w:rsid w:val="12599F53"/>
    <w:rsid w:val="129C3590"/>
    <w:rsid w:val="133D14C2"/>
    <w:rsid w:val="138FC8EA"/>
    <w:rsid w:val="1450A586"/>
    <w:rsid w:val="1457CD95"/>
    <w:rsid w:val="14E0A7F0"/>
    <w:rsid w:val="15058E60"/>
    <w:rsid w:val="154620AB"/>
    <w:rsid w:val="157CC652"/>
    <w:rsid w:val="15BA51F3"/>
    <w:rsid w:val="15C18700"/>
    <w:rsid w:val="166C4B10"/>
    <w:rsid w:val="168D1304"/>
    <w:rsid w:val="169C24B7"/>
    <w:rsid w:val="16E59C63"/>
    <w:rsid w:val="16E90E63"/>
    <w:rsid w:val="1808F1B7"/>
    <w:rsid w:val="18230DBA"/>
    <w:rsid w:val="183B874E"/>
    <w:rsid w:val="186F3AE5"/>
    <w:rsid w:val="18BC5061"/>
    <w:rsid w:val="197C5C36"/>
    <w:rsid w:val="1999AAB2"/>
    <w:rsid w:val="19A6E9EF"/>
    <w:rsid w:val="1A61319D"/>
    <w:rsid w:val="1A6499E8"/>
    <w:rsid w:val="1A7CEDD8"/>
    <w:rsid w:val="1A9D9E98"/>
    <w:rsid w:val="1ABC74B7"/>
    <w:rsid w:val="1ADB8668"/>
    <w:rsid w:val="1B1182E6"/>
    <w:rsid w:val="1B33FFBF"/>
    <w:rsid w:val="1B342C8E"/>
    <w:rsid w:val="1B79B981"/>
    <w:rsid w:val="1CCD645F"/>
    <w:rsid w:val="1D1B5B88"/>
    <w:rsid w:val="1DBCCC38"/>
    <w:rsid w:val="1DDBBA42"/>
    <w:rsid w:val="1E587665"/>
    <w:rsid w:val="1E5D9855"/>
    <w:rsid w:val="1EA8549D"/>
    <w:rsid w:val="1EBB53E4"/>
    <w:rsid w:val="1F5CB365"/>
    <w:rsid w:val="1F61D526"/>
    <w:rsid w:val="1F93AB8D"/>
    <w:rsid w:val="203853BF"/>
    <w:rsid w:val="21A6FB5C"/>
    <w:rsid w:val="226D2938"/>
    <w:rsid w:val="22D9B2DD"/>
    <w:rsid w:val="23318A48"/>
    <w:rsid w:val="23C7074A"/>
    <w:rsid w:val="24310787"/>
    <w:rsid w:val="2431499B"/>
    <w:rsid w:val="2442F2D2"/>
    <w:rsid w:val="2494EF11"/>
    <w:rsid w:val="2509B545"/>
    <w:rsid w:val="2608B341"/>
    <w:rsid w:val="2651082F"/>
    <w:rsid w:val="266E4E16"/>
    <w:rsid w:val="268029A2"/>
    <w:rsid w:val="274B1B94"/>
    <w:rsid w:val="27A545D0"/>
    <w:rsid w:val="280F7575"/>
    <w:rsid w:val="283E0577"/>
    <w:rsid w:val="2870B843"/>
    <w:rsid w:val="28DC595E"/>
    <w:rsid w:val="2905B967"/>
    <w:rsid w:val="291DE085"/>
    <w:rsid w:val="29694FB8"/>
    <w:rsid w:val="2A05B10A"/>
    <w:rsid w:val="2A2668C7"/>
    <w:rsid w:val="2A826885"/>
    <w:rsid w:val="2ABF2339"/>
    <w:rsid w:val="2AC99918"/>
    <w:rsid w:val="2AEED290"/>
    <w:rsid w:val="2BCA83C8"/>
    <w:rsid w:val="2BF44DCE"/>
    <w:rsid w:val="2C9944A3"/>
    <w:rsid w:val="2C9B4A31"/>
    <w:rsid w:val="2C9B8DB4"/>
    <w:rsid w:val="2CB73873"/>
    <w:rsid w:val="2CC64207"/>
    <w:rsid w:val="2CCEF543"/>
    <w:rsid w:val="2DFF759E"/>
    <w:rsid w:val="2F92AE4F"/>
    <w:rsid w:val="302A7C71"/>
    <w:rsid w:val="313AF923"/>
    <w:rsid w:val="32A4BA85"/>
    <w:rsid w:val="3333AE01"/>
    <w:rsid w:val="33390FFB"/>
    <w:rsid w:val="34119D70"/>
    <w:rsid w:val="341B8308"/>
    <w:rsid w:val="351D13B1"/>
    <w:rsid w:val="353195FF"/>
    <w:rsid w:val="35F66845"/>
    <w:rsid w:val="36657891"/>
    <w:rsid w:val="36A84D73"/>
    <w:rsid w:val="3737610D"/>
    <w:rsid w:val="376D7997"/>
    <w:rsid w:val="37AA3BEC"/>
    <w:rsid w:val="37B3CC30"/>
    <w:rsid w:val="37C03C24"/>
    <w:rsid w:val="39255650"/>
    <w:rsid w:val="39CF8767"/>
    <w:rsid w:val="39F3B033"/>
    <w:rsid w:val="3AE0D2AA"/>
    <w:rsid w:val="3AF5A5EE"/>
    <w:rsid w:val="3B0A6CCF"/>
    <w:rsid w:val="3B5F21FA"/>
    <w:rsid w:val="3B959CDB"/>
    <w:rsid w:val="3BE6F34C"/>
    <w:rsid w:val="3C393753"/>
    <w:rsid w:val="3E8E85F9"/>
    <w:rsid w:val="3EBB852F"/>
    <w:rsid w:val="3ED26C47"/>
    <w:rsid w:val="3EF0F035"/>
    <w:rsid w:val="3F4D6B83"/>
    <w:rsid w:val="3FF8A99C"/>
    <w:rsid w:val="3FFB36AB"/>
    <w:rsid w:val="40AECEA6"/>
    <w:rsid w:val="410C6D68"/>
    <w:rsid w:val="41137F6A"/>
    <w:rsid w:val="413FC877"/>
    <w:rsid w:val="4160FE34"/>
    <w:rsid w:val="422990E7"/>
    <w:rsid w:val="4237F756"/>
    <w:rsid w:val="42744CB1"/>
    <w:rsid w:val="428B063A"/>
    <w:rsid w:val="42988CF5"/>
    <w:rsid w:val="42AF50A5"/>
    <w:rsid w:val="42E9E15E"/>
    <w:rsid w:val="43C7D879"/>
    <w:rsid w:val="43DB1B5B"/>
    <w:rsid w:val="448C754A"/>
    <w:rsid w:val="449EB7EF"/>
    <w:rsid w:val="451549CE"/>
    <w:rsid w:val="45175B71"/>
    <w:rsid w:val="453724E8"/>
    <w:rsid w:val="456725CC"/>
    <w:rsid w:val="45791D70"/>
    <w:rsid w:val="45F06E99"/>
    <w:rsid w:val="46B8F712"/>
    <w:rsid w:val="47BC6C68"/>
    <w:rsid w:val="47D3308F"/>
    <w:rsid w:val="486443C2"/>
    <w:rsid w:val="48B67EBE"/>
    <w:rsid w:val="49A1F99C"/>
    <w:rsid w:val="4A219082"/>
    <w:rsid w:val="4ABDFABA"/>
    <w:rsid w:val="4AD4FC4A"/>
    <w:rsid w:val="4AD84799"/>
    <w:rsid w:val="4B787E9E"/>
    <w:rsid w:val="4BB34381"/>
    <w:rsid w:val="4C610BED"/>
    <w:rsid w:val="4C7C6171"/>
    <w:rsid w:val="4CC9FB99"/>
    <w:rsid w:val="4CE651E2"/>
    <w:rsid w:val="4D06A31C"/>
    <w:rsid w:val="4D1B16F2"/>
    <w:rsid w:val="4E25CCEA"/>
    <w:rsid w:val="4E312F4D"/>
    <w:rsid w:val="4ECD9618"/>
    <w:rsid w:val="4EF5B1CB"/>
    <w:rsid w:val="4F4EB7DA"/>
    <w:rsid w:val="503D7AD1"/>
    <w:rsid w:val="50CDC5BF"/>
    <w:rsid w:val="50E15D1F"/>
    <w:rsid w:val="5152A272"/>
    <w:rsid w:val="51A3391B"/>
    <w:rsid w:val="5229EBE9"/>
    <w:rsid w:val="52F17942"/>
    <w:rsid w:val="532A8689"/>
    <w:rsid w:val="53805148"/>
    <w:rsid w:val="543D1AC9"/>
    <w:rsid w:val="545D270A"/>
    <w:rsid w:val="5480EC45"/>
    <w:rsid w:val="5510483F"/>
    <w:rsid w:val="551070E7"/>
    <w:rsid w:val="5575C91B"/>
    <w:rsid w:val="558BD902"/>
    <w:rsid w:val="5733DC67"/>
    <w:rsid w:val="57EF0746"/>
    <w:rsid w:val="584DE234"/>
    <w:rsid w:val="5929E6FD"/>
    <w:rsid w:val="593E5A21"/>
    <w:rsid w:val="59A9AB13"/>
    <w:rsid w:val="59CD66D8"/>
    <w:rsid w:val="5A28C481"/>
    <w:rsid w:val="5A50DA1A"/>
    <w:rsid w:val="5B65C08F"/>
    <w:rsid w:val="5B875E6F"/>
    <w:rsid w:val="5BCEF89E"/>
    <w:rsid w:val="5C70F30A"/>
    <w:rsid w:val="5D32B9AA"/>
    <w:rsid w:val="5DC927B0"/>
    <w:rsid w:val="5DF90A34"/>
    <w:rsid w:val="5E0F2E4E"/>
    <w:rsid w:val="5E62E1B3"/>
    <w:rsid w:val="5EBAB1F4"/>
    <w:rsid w:val="5F25483F"/>
    <w:rsid w:val="6020846F"/>
    <w:rsid w:val="60279332"/>
    <w:rsid w:val="60B0FE5F"/>
    <w:rsid w:val="60B1AC65"/>
    <w:rsid w:val="60F176E5"/>
    <w:rsid w:val="61D7561C"/>
    <w:rsid w:val="61DDB26E"/>
    <w:rsid w:val="6275838A"/>
    <w:rsid w:val="627B8DFA"/>
    <w:rsid w:val="62AA3BC9"/>
    <w:rsid w:val="62BD67DF"/>
    <w:rsid w:val="63229174"/>
    <w:rsid w:val="6346A151"/>
    <w:rsid w:val="637C46AC"/>
    <w:rsid w:val="63CB4750"/>
    <w:rsid w:val="63F2A9BF"/>
    <w:rsid w:val="64B19D5F"/>
    <w:rsid w:val="64C8F449"/>
    <w:rsid w:val="64D2F13E"/>
    <w:rsid w:val="650FA885"/>
    <w:rsid w:val="65807652"/>
    <w:rsid w:val="65AB4ABA"/>
    <w:rsid w:val="662BF818"/>
    <w:rsid w:val="663CCEE3"/>
    <w:rsid w:val="667C37C2"/>
    <w:rsid w:val="66B46BF7"/>
    <w:rsid w:val="66BD3D38"/>
    <w:rsid w:val="66D2FB2B"/>
    <w:rsid w:val="66D63C3E"/>
    <w:rsid w:val="67073C42"/>
    <w:rsid w:val="67B59D7F"/>
    <w:rsid w:val="685489C7"/>
    <w:rsid w:val="6878FDB3"/>
    <w:rsid w:val="68E1EFF9"/>
    <w:rsid w:val="68F02E97"/>
    <w:rsid w:val="6911AE9E"/>
    <w:rsid w:val="692F2FAC"/>
    <w:rsid w:val="695A73CE"/>
    <w:rsid w:val="6985861F"/>
    <w:rsid w:val="6A09F2A3"/>
    <w:rsid w:val="6A3CB0B8"/>
    <w:rsid w:val="6A747A92"/>
    <w:rsid w:val="6A84B8F4"/>
    <w:rsid w:val="6B3B2C1F"/>
    <w:rsid w:val="6C0CAA09"/>
    <w:rsid w:val="6C130454"/>
    <w:rsid w:val="6C3B556A"/>
    <w:rsid w:val="6C4C9A6F"/>
    <w:rsid w:val="6CED7CF0"/>
    <w:rsid w:val="6D16617F"/>
    <w:rsid w:val="6D3A5E66"/>
    <w:rsid w:val="6D59EA52"/>
    <w:rsid w:val="6DDEC9E0"/>
    <w:rsid w:val="6E090523"/>
    <w:rsid w:val="6E7B58C6"/>
    <w:rsid w:val="6F2824D3"/>
    <w:rsid w:val="6F3B9429"/>
    <w:rsid w:val="6FCBABDC"/>
    <w:rsid w:val="6FCEBDE1"/>
    <w:rsid w:val="703DCBCB"/>
    <w:rsid w:val="7052320F"/>
    <w:rsid w:val="70DE3F06"/>
    <w:rsid w:val="715282AC"/>
    <w:rsid w:val="718569B0"/>
    <w:rsid w:val="72565193"/>
    <w:rsid w:val="727E6534"/>
    <w:rsid w:val="72A124C6"/>
    <w:rsid w:val="72B309DE"/>
    <w:rsid w:val="72CA8E0D"/>
    <w:rsid w:val="730B8B34"/>
    <w:rsid w:val="73EA687D"/>
    <w:rsid w:val="7413EDAC"/>
    <w:rsid w:val="74427CD2"/>
    <w:rsid w:val="74811E10"/>
    <w:rsid w:val="74B0C86D"/>
    <w:rsid w:val="74C5B47D"/>
    <w:rsid w:val="74EE572A"/>
    <w:rsid w:val="752EA0E2"/>
    <w:rsid w:val="76482B5C"/>
    <w:rsid w:val="7679E1C1"/>
    <w:rsid w:val="768196E0"/>
    <w:rsid w:val="76D49F37"/>
    <w:rsid w:val="76DD4D42"/>
    <w:rsid w:val="7770D73C"/>
    <w:rsid w:val="77AC5709"/>
    <w:rsid w:val="77CC8CE4"/>
    <w:rsid w:val="788BFDD0"/>
    <w:rsid w:val="796F5D88"/>
    <w:rsid w:val="79884204"/>
    <w:rsid w:val="79F6E34E"/>
    <w:rsid w:val="7A78F25C"/>
    <w:rsid w:val="7A9EB203"/>
    <w:rsid w:val="7AB382D0"/>
    <w:rsid w:val="7AC8036B"/>
    <w:rsid w:val="7ACDFBE5"/>
    <w:rsid w:val="7AD70E79"/>
    <w:rsid w:val="7ADD3C8F"/>
    <w:rsid w:val="7B1FCB0F"/>
    <w:rsid w:val="7BDDB447"/>
    <w:rsid w:val="7BFE7A5B"/>
    <w:rsid w:val="7C27658D"/>
    <w:rsid w:val="7C7C14D8"/>
    <w:rsid w:val="7CE78618"/>
    <w:rsid w:val="7D699B00"/>
    <w:rsid w:val="7E0869C1"/>
    <w:rsid w:val="7E144FCE"/>
    <w:rsid w:val="7F23B4D6"/>
    <w:rsid w:val="7F4203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5303F"/>
  <w15:chartTrackingRefBased/>
  <w15:docId w15:val="{5E94C7DA-D7D7-4336-881D-196859AB51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66E4E16"/>
    <w:pPr>
      <w:tabs>
        <w:tab w:val="center" w:leader="none" w:pos="4680"/>
        <w:tab w:val="right" w:leader="none" w:pos="9360"/>
      </w:tabs>
      <w:spacing w:after="0" w:line="240" w:lineRule="auto"/>
    </w:pPr>
  </w:style>
  <w:style w:type="paragraph" w:styleId="Footer">
    <w:uiPriority w:val="99"/>
    <w:name w:val="footer"/>
    <w:basedOn w:val="Normal"/>
    <w:unhideWhenUsed/>
    <w:rsid w:val="266E4E16"/>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66E4E16"/>
    <w:rPr>
      <w:color w:val="467886"/>
      <w:u w:val="single"/>
    </w:rPr>
  </w:style>
  <w:style w:type="paragraph" w:styleId="ListParagraph">
    <w:uiPriority w:val="34"/>
    <w:name w:val="List Paragraph"/>
    <w:basedOn w:val="Normal"/>
    <w:qFormat/>
    <w:rsid w:val="266E4E16"/>
    <w:pPr>
      <w:spacing/>
      <w:ind w:left="720"/>
      <w:contextualSpacing/>
    </w:pPr>
  </w:style>
  <w:style w:type="paragraph" w:styleId="Heading3">
    <w:uiPriority w:val="9"/>
    <w:name w:val="heading 3"/>
    <w:basedOn w:val="Normal"/>
    <w:next w:val="Normal"/>
    <w:unhideWhenUsed/>
    <w:qFormat/>
    <w:rsid w:val="266E4E16"/>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hs.uk/live-well/exercise/physical-activity-guidelines-older-adults/" TargetMode="External" Id="R79d967d99a7e4d02" /><Relationship Type="http://schemas.openxmlformats.org/officeDocument/2006/relationships/hyperlink" Target="https://www.ons.gov.uk/peoplepopulationandcommunity/populationandmigration/populationprojections/bulletins/nationalpopulationprojections/2024based" TargetMode="External" Id="Rad3c014e09574300" /><Relationship Type="http://schemas.openxmlformats.org/officeDocument/2006/relationships/header" Target="header.xml" Id="R1029e4966dda41a5" /><Relationship Type="http://schemas.openxmlformats.org/officeDocument/2006/relationships/footer" Target="footer.xml" Id="R73b44c58826a4297" /><Relationship Type="http://schemas.openxmlformats.org/officeDocument/2006/relationships/numbering" Target="numbering.xml" Id="R1d86a85594004c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2026-07-11T16:29:25.9036855Z</dcterms:created>
  <dcterms:modified xsi:type="dcterms:W3CDTF">2026-07-21T00:00:24.1792097Z</dcterms:modified>
  <dc:creator>Lenka Marianov (2537253)</dc:creator>
  <lastModifiedBy>Lenka Marianov (2537253)</lastModifiedBy>
</coreProperties>
</file>