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32473" w14:textId="77777777" w:rsidR="007B2FA0" w:rsidRPr="002D4733" w:rsidRDefault="002D4733" w:rsidP="007B2FA0">
      <w:pPr>
        <w:spacing w:line="360" w:lineRule="auto"/>
        <w:jc w:val="center"/>
        <w:rPr>
          <w:rFonts w:ascii="Arial" w:hAnsi="Arial" w:cs="Arial"/>
          <w:sz w:val="56"/>
          <w:szCs w:val="56"/>
        </w:rPr>
      </w:pPr>
      <w:r w:rsidRPr="002D4733">
        <w:rPr>
          <w:rFonts w:ascii="Arial" w:hAnsi="Arial" w:cs="Arial"/>
          <w:b/>
          <w:bCs/>
          <w:sz w:val="56"/>
          <w:szCs w:val="56"/>
        </w:rPr>
        <w:t>Professional Career Development – Reflective Essay</w:t>
      </w:r>
    </w:p>
    <w:p w14:paraId="3A0A49FC" w14:textId="77777777" w:rsidR="007B2FA0" w:rsidRPr="002D4733" w:rsidRDefault="007B2FA0" w:rsidP="007B2FA0">
      <w:pPr>
        <w:spacing w:line="360" w:lineRule="auto"/>
        <w:jc w:val="both"/>
        <w:rPr>
          <w:rFonts w:ascii="Arial" w:hAnsi="Arial" w:cs="Arial"/>
          <w:sz w:val="24"/>
          <w:szCs w:val="24"/>
        </w:rPr>
      </w:pPr>
    </w:p>
    <w:p w14:paraId="37C52C47" w14:textId="77777777" w:rsidR="007B2FA0" w:rsidRPr="002D4733" w:rsidRDefault="007B2FA0" w:rsidP="007B2FA0">
      <w:pPr>
        <w:spacing w:line="360" w:lineRule="auto"/>
        <w:jc w:val="both"/>
        <w:rPr>
          <w:rFonts w:ascii="Arial" w:hAnsi="Arial" w:cs="Arial"/>
          <w:sz w:val="24"/>
          <w:szCs w:val="24"/>
        </w:rPr>
      </w:pPr>
    </w:p>
    <w:p w14:paraId="22407091" w14:textId="77777777" w:rsidR="007B2FA0" w:rsidRPr="002D4733" w:rsidRDefault="007B2FA0" w:rsidP="007B2FA0">
      <w:pPr>
        <w:spacing w:line="360" w:lineRule="auto"/>
        <w:jc w:val="both"/>
        <w:rPr>
          <w:rFonts w:ascii="Arial" w:hAnsi="Arial" w:cs="Arial"/>
          <w:sz w:val="24"/>
          <w:szCs w:val="24"/>
        </w:rPr>
      </w:pPr>
    </w:p>
    <w:p w14:paraId="1D2B3D2D" w14:textId="77777777" w:rsidR="007B2FA0" w:rsidRPr="002D4733" w:rsidRDefault="007B2FA0" w:rsidP="007B2FA0">
      <w:pPr>
        <w:spacing w:line="360" w:lineRule="auto"/>
        <w:jc w:val="both"/>
        <w:rPr>
          <w:rFonts w:ascii="Arial" w:hAnsi="Arial" w:cs="Arial"/>
          <w:sz w:val="24"/>
          <w:szCs w:val="24"/>
        </w:rPr>
      </w:pPr>
    </w:p>
    <w:p w14:paraId="1ED69A4D" w14:textId="77777777" w:rsidR="007B2FA0" w:rsidRPr="002D4733" w:rsidRDefault="007B2FA0" w:rsidP="007B2FA0">
      <w:pPr>
        <w:spacing w:line="360" w:lineRule="auto"/>
        <w:jc w:val="both"/>
        <w:rPr>
          <w:rFonts w:ascii="Arial" w:hAnsi="Arial" w:cs="Arial"/>
          <w:sz w:val="24"/>
          <w:szCs w:val="24"/>
        </w:rPr>
      </w:pPr>
    </w:p>
    <w:p w14:paraId="29EA433B" w14:textId="77777777" w:rsidR="007B2FA0" w:rsidRPr="002D4733" w:rsidRDefault="002D4733" w:rsidP="007B2FA0">
      <w:pPr>
        <w:spacing w:line="360" w:lineRule="auto"/>
        <w:jc w:val="center"/>
        <w:rPr>
          <w:rFonts w:ascii="Arial" w:hAnsi="Arial" w:cs="Arial"/>
          <w:sz w:val="32"/>
          <w:szCs w:val="32"/>
        </w:rPr>
      </w:pPr>
      <w:r w:rsidRPr="002D4733">
        <w:rPr>
          <w:rFonts w:ascii="Arial" w:hAnsi="Arial" w:cs="Arial"/>
          <w:b/>
          <w:bCs/>
          <w:sz w:val="32"/>
          <w:szCs w:val="32"/>
        </w:rPr>
        <w:t xml:space="preserve">Reflective </w:t>
      </w:r>
      <w:r w:rsidRPr="002D4733">
        <w:rPr>
          <w:rFonts w:ascii="Arial" w:hAnsi="Arial" w:cs="Arial"/>
          <w:bCs/>
          <w:sz w:val="32"/>
          <w:szCs w:val="32"/>
        </w:rPr>
        <w:t>Framework: Rolfe’s Model</w:t>
      </w:r>
    </w:p>
    <w:p w14:paraId="1B21FE4F" w14:textId="77777777" w:rsidR="007B2FA0" w:rsidRPr="002D4733" w:rsidRDefault="002D4733" w:rsidP="007B2FA0">
      <w:pPr>
        <w:spacing w:line="360" w:lineRule="auto"/>
        <w:jc w:val="center"/>
        <w:rPr>
          <w:rFonts w:ascii="Arial" w:hAnsi="Arial" w:cs="Arial"/>
          <w:sz w:val="32"/>
          <w:szCs w:val="32"/>
        </w:rPr>
      </w:pPr>
      <w:r w:rsidRPr="002D4733">
        <w:rPr>
          <w:rFonts w:ascii="Arial" w:hAnsi="Arial" w:cs="Arial"/>
          <w:b/>
          <w:bCs/>
          <w:sz w:val="32"/>
          <w:szCs w:val="32"/>
        </w:rPr>
        <w:t xml:space="preserve">Models: </w:t>
      </w:r>
      <w:r w:rsidRPr="002D4733">
        <w:rPr>
          <w:rFonts w:ascii="Arial" w:hAnsi="Arial" w:cs="Arial"/>
          <w:bCs/>
          <w:sz w:val="32"/>
          <w:szCs w:val="32"/>
        </w:rPr>
        <w:t>SWOT Analysis, SMART Goals, Ikigai</w:t>
      </w:r>
    </w:p>
    <w:p w14:paraId="0225E84E" w14:textId="77777777" w:rsidR="007B2FA0" w:rsidRPr="002D4733" w:rsidRDefault="007B2FA0" w:rsidP="007B2FA0">
      <w:pPr>
        <w:spacing w:line="360" w:lineRule="auto"/>
        <w:jc w:val="both"/>
        <w:rPr>
          <w:rFonts w:ascii="Arial" w:hAnsi="Arial" w:cs="Arial"/>
          <w:sz w:val="24"/>
          <w:szCs w:val="24"/>
        </w:rPr>
      </w:pPr>
    </w:p>
    <w:p w14:paraId="034DB661" w14:textId="77777777" w:rsidR="007B2FA0" w:rsidRPr="002D4733" w:rsidRDefault="007B2FA0" w:rsidP="007B2FA0">
      <w:pPr>
        <w:spacing w:line="360" w:lineRule="auto"/>
        <w:jc w:val="both"/>
        <w:rPr>
          <w:rFonts w:ascii="Arial" w:hAnsi="Arial" w:cs="Arial"/>
          <w:sz w:val="24"/>
          <w:szCs w:val="24"/>
        </w:rPr>
      </w:pPr>
    </w:p>
    <w:p w14:paraId="575A6A00" w14:textId="77777777" w:rsidR="007B2FA0" w:rsidRPr="002D4733" w:rsidRDefault="007B2FA0" w:rsidP="007B2FA0">
      <w:pPr>
        <w:spacing w:line="360" w:lineRule="auto"/>
        <w:jc w:val="both"/>
        <w:rPr>
          <w:rFonts w:ascii="Arial" w:hAnsi="Arial" w:cs="Arial"/>
          <w:sz w:val="24"/>
          <w:szCs w:val="24"/>
        </w:rPr>
      </w:pPr>
    </w:p>
    <w:p w14:paraId="42A16CC5" w14:textId="77777777" w:rsidR="007B2FA0" w:rsidRPr="002D4733" w:rsidRDefault="007B2FA0" w:rsidP="007B2FA0">
      <w:pPr>
        <w:spacing w:line="360" w:lineRule="auto"/>
        <w:jc w:val="both"/>
        <w:rPr>
          <w:rFonts w:ascii="Arial" w:hAnsi="Arial" w:cs="Arial"/>
          <w:sz w:val="24"/>
          <w:szCs w:val="24"/>
        </w:rPr>
      </w:pPr>
    </w:p>
    <w:p w14:paraId="71598F1E" w14:textId="4F76AD36" w:rsidR="007B2FA0" w:rsidRPr="002D4733" w:rsidRDefault="007B2FA0" w:rsidP="00BF2BE3">
      <w:pPr>
        <w:spacing w:line="360" w:lineRule="auto"/>
        <w:rPr>
          <w:rFonts w:ascii="Arial" w:hAnsi="Arial" w:cs="Arial"/>
          <w:b/>
          <w:sz w:val="24"/>
          <w:szCs w:val="24"/>
        </w:rPr>
      </w:pPr>
    </w:p>
    <w:p w14:paraId="13D46358" w14:textId="77777777" w:rsidR="007B2FA0" w:rsidRPr="002D4733" w:rsidRDefault="002D4733" w:rsidP="007B2FA0">
      <w:pPr>
        <w:spacing w:line="360" w:lineRule="auto"/>
        <w:jc w:val="center"/>
        <w:rPr>
          <w:rFonts w:ascii="Arial" w:hAnsi="Arial" w:cs="Arial"/>
          <w:b/>
          <w:sz w:val="24"/>
          <w:szCs w:val="24"/>
        </w:rPr>
      </w:pPr>
      <w:r w:rsidRPr="002D4733">
        <w:rPr>
          <w:rFonts w:ascii="Arial" w:hAnsi="Arial" w:cs="Arial"/>
          <w:b/>
          <w:i/>
          <w:iCs/>
          <w:sz w:val="24"/>
          <w:szCs w:val="24"/>
        </w:rPr>
        <w:t xml:space="preserve">Module: </w:t>
      </w:r>
      <w:r w:rsidRPr="002D4733">
        <w:rPr>
          <w:rFonts w:ascii="Arial" w:hAnsi="Arial" w:cs="Arial"/>
          <w:i/>
          <w:iCs/>
          <w:sz w:val="24"/>
          <w:szCs w:val="24"/>
        </w:rPr>
        <w:t>Professional Career Development (BMSW4012)</w:t>
      </w:r>
    </w:p>
    <w:p w14:paraId="55F3DABE" w14:textId="77777777" w:rsidR="00CC6DE9" w:rsidRPr="002D4733" w:rsidRDefault="002D4733" w:rsidP="007B2FA0">
      <w:pPr>
        <w:spacing w:line="360" w:lineRule="auto"/>
        <w:jc w:val="center"/>
        <w:rPr>
          <w:rFonts w:ascii="Arial" w:hAnsi="Arial" w:cs="Arial"/>
          <w:b/>
          <w:sz w:val="24"/>
          <w:szCs w:val="24"/>
        </w:rPr>
      </w:pPr>
      <w:r w:rsidRPr="002D4733">
        <w:rPr>
          <w:rFonts w:ascii="Arial" w:hAnsi="Arial" w:cs="Arial"/>
          <w:b/>
          <w:i/>
          <w:iCs/>
          <w:sz w:val="24"/>
          <w:szCs w:val="24"/>
        </w:rPr>
        <w:t xml:space="preserve">Lecturer: </w:t>
      </w:r>
      <w:r w:rsidRPr="002D4733">
        <w:rPr>
          <w:rFonts w:ascii="Arial" w:hAnsi="Arial" w:cs="Arial"/>
          <w:i/>
          <w:iCs/>
          <w:sz w:val="24"/>
          <w:szCs w:val="24"/>
        </w:rPr>
        <w:t>Muhammad Cassamo</w:t>
      </w:r>
    </w:p>
    <w:p w14:paraId="071B9893" w14:textId="77777777" w:rsidR="00CC6DE9" w:rsidRPr="002D4733" w:rsidRDefault="002D4733" w:rsidP="007B2FA0">
      <w:pPr>
        <w:pStyle w:val="Heading1"/>
        <w:spacing w:line="360" w:lineRule="auto"/>
        <w:jc w:val="both"/>
        <w:rPr>
          <w:rFonts w:ascii="Arial" w:hAnsi="Arial" w:cs="Arial"/>
          <w:color w:val="auto"/>
          <w:sz w:val="24"/>
          <w:szCs w:val="24"/>
        </w:rPr>
      </w:pPr>
      <w:r w:rsidRPr="002D4733">
        <w:rPr>
          <w:rFonts w:ascii="Arial" w:hAnsi="Arial" w:cs="Arial"/>
          <w:color w:val="auto"/>
          <w:sz w:val="24"/>
          <w:szCs w:val="24"/>
        </w:rPr>
        <w:t>1. Introduction</w:t>
      </w:r>
    </w:p>
    <w:p w14:paraId="48B8E1F2" w14:textId="77777777" w:rsidR="00CC6DE9" w:rsidRPr="002D4733" w:rsidRDefault="002D4733" w:rsidP="007B2FA0">
      <w:pPr>
        <w:spacing w:line="360" w:lineRule="auto"/>
        <w:jc w:val="both"/>
        <w:rPr>
          <w:rFonts w:ascii="Arial" w:hAnsi="Arial" w:cs="Arial"/>
          <w:sz w:val="24"/>
          <w:szCs w:val="24"/>
        </w:rPr>
      </w:pPr>
      <w:r w:rsidRPr="002D4733">
        <w:rPr>
          <w:rFonts w:ascii="Arial" w:hAnsi="Arial" w:cs="Arial"/>
          <w:sz w:val="24"/>
          <w:szCs w:val="24"/>
        </w:rPr>
        <w:t xml:space="preserve">Professional development is a lifelong process that should be fueled by self-evaluation, purposeful planning, and strategic actions. The professional Career Development module provided me with a platform upon which I could critically analyze my strengths </w:t>
      </w:r>
      <w:r w:rsidRPr="002D4733">
        <w:rPr>
          <w:rFonts w:ascii="Arial" w:hAnsi="Arial" w:cs="Arial"/>
          <w:sz w:val="24"/>
          <w:szCs w:val="24"/>
        </w:rPr>
        <w:lastRenderedPageBreak/>
        <w:t xml:space="preserve">and weaknesses and formulate practical objectives that I can execute to enhance my employability. In this essay, I will utilize the reflective model developed by Rolfe, which consists of the following stages: What? So What? Now, What? </w:t>
      </w:r>
      <w:proofErr w:type="gramStart"/>
      <w:r w:rsidRPr="002D4733">
        <w:rPr>
          <w:rFonts w:ascii="Arial" w:hAnsi="Arial" w:cs="Arial"/>
          <w:sz w:val="24"/>
          <w:szCs w:val="24"/>
        </w:rPr>
        <w:t>To reflect</w:t>
      </w:r>
      <w:proofErr w:type="gramEnd"/>
      <w:r w:rsidRPr="002D4733">
        <w:rPr>
          <w:rFonts w:ascii="Arial" w:hAnsi="Arial" w:cs="Arial"/>
          <w:sz w:val="24"/>
          <w:szCs w:val="24"/>
        </w:rPr>
        <w:t xml:space="preserve"> on my learning experience regarding the three main models presented throughout the module, which are SWOT Analysis, SMART Goals, and Ikigai. Using academic literature and exercises conducted in the classroom, I discuss how these tools influenced my perception of career readiness and my personal action plan, providing me with a better sense of purpose and direction in a competitive employment market.</w:t>
      </w:r>
    </w:p>
    <w:p w14:paraId="77C0D0A2" w14:textId="77777777" w:rsidR="00CC6DE9" w:rsidRPr="002D4733" w:rsidRDefault="002D4733" w:rsidP="007B2FA0">
      <w:pPr>
        <w:pStyle w:val="Heading1"/>
        <w:spacing w:line="360" w:lineRule="auto"/>
        <w:jc w:val="both"/>
        <w:rPr>
          <w:rFonts w:ascii="Arial" w:hAnsi="Arial" w:cs="Arial"/>
          <w:color w:val="auto"/>
          <w:sz w:val="24"/>
          <w:szCs w:val="24"/>
        </w:rPr>
      </w:pPr>
      <w:r w:rsidRPr="002D4733">
        <w:rPr>
          <w:rFonts w:ascii="Arial" w:hAnsi="Arial" w:cs="Arial"/>
          <w:color w:val="auto"/>
          <w:sz w:val="24"/>
          <w:szCs w:val="24"/>
        </w:rPr>
        <w:t>2. Reflection on SWOT Analysis</w:t>
      </w:r>
    </w:p>
    <w:p w14:paraId="3B10E13F" w14:textId="77777777" w:rsidR="00CC6DE9" w:rsidRPr="002D4733" w:rsidRDefault="002D4733" w:rsidP="007B2FA0">
      <w:pPr>
        <w:pStyle w:val="Heading2"/>
        <w:spacing w:line="360" w:lineRule="auto"/>
        <w:jc w:val="both"/>
        <w:rPr>
          <w:rFonts w:ascii="Arial" w:hAnsi="Arial" w:cs="Arial"/>
          <w:color w:val="auto"/>
          <w:sz w:val="24"/>
          <w:szCs w:val="24"/>
        </w:rPr>
      </w:pPr>
      <w:r w:rsidRPr="002D4733">
        <w:rPr>
          <w:rFonts w:ascii="Arial" w:hAnsi="Arial" w:cs="Arial"/>
          <w:color w:val="auto"/>
          <w:sz w:val="24"/>
          <w:szCs w:val="24"/>
        </w:rPr>
        <w:t>What?</w:t>
      </w:r>
    </w:p>
    <w:p w14:paraId="119DF43F" w14:textId="77777777" w:rsidR="00CC6DE9" w:rsidRPr="002D4733" w:rsidRDefault="002D4733" w:rsidP="007B2FA0">
      <w:pPr>
        <w:spacing w:line="360" w:lineRule="auto"/>
        <w:jc w:val="both"/>
        <w:rPr>
          <w:rFonts w:ascii="Arial" w:hAnsi="Arial" w:cs="Arial"/>
          <w:sz w:val="24"/>
          <w:szCs w:val="24"/>
        </w:rPr>
      </w:pPr>
      <w:r w:rsidRPr="002D4733">
        <w:rPr>
          <w:rFonts w:ascii="Arial" w:hAnsi="Arial" w:cs="Arial"/>
          <w:sz w:val="24"/>
          <w:szCs w:val="24"/>
        </w:rPr>
        <w:t>Among the necessary models presented was the SWOT analysis, a strategic tool commonly employed in organizational settings to analyze Strengths, Weaknesses, Opportunities, and Threats. This model was adapted for personal development, helping to approach the process of introspection and evaluation in a structured manner (Gurel and Tat, 2017). As a class activity, I conducted a personal SWOT analysis, a broader self-assessment exercise that involved personality testing and learning style inventories. The process has compelled me to look beyond my surface observations and consider internal attributes and external influences that impact my employability.</w:t>
      </w:r>
    </w:p>
    <w:p w14:paraId="73AFDDDD" w14:textId="77777777" w:rsidR="00CC6DE9" w:rsidRPr="002D4733" w:rsidRDefault="002D4733" w:rsidP="007B2FA0">
      <w:pPr>
        <w:pStyle w:val="Heading2"/>
        <w:spacing w:line="360" w:lineRule="auto"/>
        <w:jc w:val="both"/>
        <w:rPr>
          <w:rFonts w:ascii="Arial" w:hAnsi="Arial" w:cs="Arial"/>
          <w:color w:val="auto"/>
          <w:sz w:val="24"/>
          <w:szCs w:val="24"/>
        </w:rPr>
      </w:pPr>
      <w:r w:rsidRPr="002D4733">
        <w:rPr>
          <w:rFonts w:ascii="Arial" w:hAnsi="Arial" w:cs="Arial"/>
          <w:color w:val="auto"/>
          <w:sz w:val="24"/>
          <w:szCs w:val="24"/>
        </w:rPr>
        <w:t>So What?</w:t>
      </w:r>
    </w:p>
    <w:p w14:paraId="3CDF6457" w14:textId="77777777" w:rsidR="007B2FA0" w:rsidRPr="002D4733" w:rsidRDefault="002D4733" w:rsidP="007B2FA0">
      <w:pPr>
        <w:spacing w:line="360" w:lineRule="auto"/>
        <w:jc w:val="both"/>
        <w:rPr>
          <w:rFonts w:ascii="Arial" w:hAnsi="Arial" w:cs="Arial"/>
          <w:sz w:val="24"/>
          <w:szCs w:val="24"/>
        </w:rPr>
      </w:pPr>
      <w:r w:rsidRPr="002D4733">
        <w:rPr>
          <w:rFonts w:ascii="Arial" w:hAnsi="Arial" w:cs="Arial"/>
          <w:sz w:val="24"/>
          <w:szCs w:val="24"/>
        </w:rPr>
        <w:t>The short-term usefulness of the SWOT analysis was how it made me understand myself better. I listed good written communication skills and high self-discipline as strengths. These have already assisted me in my academic development and the effective organization of small group activities. Nevertheless, I also revealed serious weaknesses, which are primarily the fear of public speaking, unwillingness to share ideas in groups, and poor networking skills. These problems had already impacted my self-esteem during the interviews and group projects. Cottrell (2021) emphasizes that acknowledging the presence of such weaknesses is the initial Step toward improvement, as it enables the formulation of specific development strategies.</w:t>
      </w:r>
    </w:p>
    <w:p w14:paraId="61193D96" w14:textId="77777777" w:rsidR="00CC6DE9" w:rsidRPr="002D4733" w:rsidRDefault="002D4733" w:rsidP="007B2FA0">
      <w:pPr>
        <w:spacing w:line="360" w:lineRule="auto"/>
        <w:jc w:val="both"/>
        <w:rPr>
          <w:rFonts w:ascii="Arial" w:hAnsi="Arial" w:cs="Arial"/>
          <w:sz w:val="24"/>
          <w:szCs w:val="24"/>
        </w:rPr>
      </w:pPr>
      <w:r w:rsidRPr="002D4733">
        <w:rPr>
          <w:rFonts w:ascii="Arial" w:hAnsi="Arial" w:cs="Arial"/>
          <w:sz w:val="24"/>
          <w:szCs w:val="24"/>
        </w:rPr>
        <w:lastRenderedPageBreak/>
        <w:t>The SWOT analysis provided me with the opportunity to identify opportunities in the first quadrant and translate them into short-term growth opportunities, such as participating in workshops on interview skills and developing a LinkedIn profile. In the meantime, 'ThreatsV2 included the risk of comparison with peers and excessive dependence on self-paced activities. Coman and Ronen (2009) demonstrate that, in most cases, people fail to grow professionally not because they lack talent but because psychological threats exist that restrain development. This appeal resonated with my experience, supporting the idea of the continued importance of emotional awareness in professional growth.</w:t>
      </w:r>
    </w:p>
    <w:p w14:paraId="205C977C" w14:textId="77777777" w:rsidR="00CC6DE9" w:rsidRPr="002D4733" w:rsidRDefault="002D4733" w:rsidP="007B2FA0">
      <w:pPr>
        <w:pStyle w:val="Heading2"/>
        <w:spacing w:line="360" w:lineRule="auto"/>
        <w:jc w:val="both"/>
        <w:rPr>
          <w:rFonts w:ascii="Arial" w:hAnsi="Arial" w:cs="Arial"/>
          <w:color w:val="auto"/>
          <w:sz w:val="24"/>
          <w:szCs w:val="24"/>
        </w:rPr>
      </w:pPr>
      <w:r w:rsidRPr="002D4733">
        <w:rPr>
          <w:rFonts w:ascii="Arial" w:hAnsi="Arial" w:cs="Arial"/>
          <w:color w:val="auto"/>
          <w:sz w:val="24"/>
          <w:szCs w:val="24"/>
        </w:rPr>
        <w:t>Now What?</w:t>
      </w:r>
    </w:p>
    <w:p w14:paraId="1B2C2A6B" w14:textId="77777777" w:rsidR="00CC6DE9" w:rsidRPr="002D4733" w:rsidRDefault="002D4733" w:rsidP="007B2FA0">
      <w:pPr>
        <w:spacing w:line="360" w:lineRule="auto"/>
        <w:jc w:val="both"/>
        <w:rPr>
          <w:rFonts w:ascii="Arial" w:hAnsi="Arial" w:cs="Arial"/>
          <w:sz w:val="24"/>
          <w:szCs w:val="24"/>
        </w:rPr>
      </w:pPr>
      <w:r w:rsidRPr="002D4733">
        <w:rPr>
          <w:rFonts w:ascii="Arial" w:hAnsi="Arial" w:cs="Arial"/>
          <w:sz w:val="24"/>
          <w:szCs w:val="24"/>
        </w:rPr>
        <w:t>Following this reflection, I incorporated a SWOT analysis into my Personal Development Plan (PDP) as a quarterly review. I also started to track the progress of my weaknesses with the help of the feedback provided in group activities and mock interviews. However, over time, I observed that my participation in the classroom setting became more active, and I gained a small quantity of confidence when it was time to present to my peers. I plan to keep a reflective journal, which will be connected to my SWOT elements, allowing me to track changes longitudinally. This aligns with the idea of Gallagher (2022), who suggests that reflective practice, based on frameworks such as SWOT, can enhance self-regulation and lead to improved long-term employability.</w:t>
      </w:r>
    </w:p>
    <w:p w14:paraId="08641175" w14:textId="77777777" w:rsidR="00CC6DE9" w:rsidRPr="002D4733" w:rsidRDefault="002D4733" w:rsidP="007B2FA0">
      <w:pPr>
        <w:pStyle w:val="Heading1"/>
        <w:spacing w:line="360" w:lineRule="auto"/>
        <w:jc w:val="both"/>
        <w:rPr>
          <w:rFonts w:ascii="Arial" w:hAnsi="Arial" w:cs="Arial"/>
          <w:color w:val="auto"/>
          <w:sz w:val="24"/>
          <w:szCs w:val="24"/>
        </w:rPr>
      </w:pPr>
      <w:r w:rsidRPr="002D4733">
        <w:rPr>
          <w:rFonts w:ascii="Arial" w:hAnsi="Arial" w:cs="Arial"/>
          <w:color w:val="auto"/>
          <w:sz w:val="24"/>
          <w:szCs w:val="24"/>
        </w:rPr>
        <w:t>3. Reflection on SMART Goals</w:t>
      </w:r>
    </w:p>
    <w:p w14:paraId="01FE6D08" w14:textId="77777777" w:rsidR="00CC6DE9" w:rsidRPr="002D4733" w:rsidRDefault="002D4733" w:rsidP="007B2FA0">
      <w:pPr>
        <w:pStyle w:val="Heading2"/>
        <w:spacing w:line="360" w:lineRule="auto"/>
        <w:jc w:val="both"/>
        <w:rPr>
          <w:rFonts w:ascii="Arial" w:hAnsi="Arial" w:cs="Arial"/>
          <w:color w:val="auto"/>
          <w:sz w:val="24"/>
          <w:szCs w:val="24"/>
        </w:rPr>
      </w:pPr>
      <w:r w:rsidRPr="002D4733">
        <w:rPr>
          <w:rFonts w:ascii="Arial" w:hAnsi="Arial" w:cs="Arial"/>
          <w:color w:val="auto"/>
          <w:sz w:val="24"/>
          <w:szCs w:val="24"/>
        </w:rPr>
        <w:t>What?</w:t>
      </w:r>
    </w:p>
    <w:p w14:paraId="18A96FE0" w14:textId="77777777" w:rsidR="00CC6DE9" w:rsidRPr="002D4733" w:rsidRDefault="002D4733" w:rsidP="007B2FA0">
      <w:pPr>
        <w:spacing w:line="360" w:lineRule="auto"/>
        <w:jc w:val="both"/>
        <w:rPr>
          <w:rFonts w:ascii="Arial" w:hAnsi="Arial" w:cs="Arial"/>
          <w:sz w:val="24"/>
          <w:szCs w:val="24"/>
        </w:rPr>
      </w:pPr>
      <w:r w:rsidRPr="002D4733">
        <w:rPr>
          <w:rFonts w:ascii="Arial" w:hAnsi="Arial" w:cs="Arial"/>
          <w:sz w:val="24"/>
          <w:szCs w:val="24"/>
        </w:rPr>
        <w:t>The second model that was thoroughly investigated throughout the module was the SMART goals model, first proposed by Doran (1981). This model emphasizes that practical goals should be Specific, Measurable, Achievable, Relevant, and Time-bound. During one of the classes, we had to turn our wide aspirations into SMART goals with the help of our PDP worksheets. An example of this would be that, rather than writing to improve for interviews, we were advised to be more specific in setting action steps, e.g., attending two mock interview workshops before Week 6.</w:t>
      </w:r>
    </w:p>
    <w:p w14:paraId="37359F0C" w14:textId="77777777" w:rsidR="00CC6DE9" w:rsidRPr="002D4733" w:rsidRDefault="002D4733" w:rsidP="007B2FA0">
      <w:pPr>
        <w:pStyle w:val="Heading2"/>
        <w:spacing w:line="360" w:lineRule="auto"/>
        <w:jc w:val="both"/>
        <w:rPr>
          <w:rFonts w:ascii="Arial" w:hAnsi="Arial" w:cs="Arial"/>
          <w:color w:val="auto"/>
          <w:sz w:val="24"/>
          <w:szCs w:val="24"/>
        </w:rPr>
      </w:pPr>
      <w:r w:rsidRPr="002D4733">
        <w:rPr>
          <w:rFonts w:ascii="Arial" w:hAnsi="Arial" w:cs="Arial"/>
          <w:color w:val="auto"/>
          <w:sz w:val="24"/>
          <w:szCs w:val="24"/>
        </w:rPr>
        <w:lastRenderedPageBreak/>
        <w:t>So What?</w:t>
      </w:r>
    </w:p>
    <w:p w14:paraId="1F236275" w14:textId="77777777" w:rsidR="007B2FA0" w:rsidRPr="002D4733" w:rsidRDefault="002D4733" w:rsidP="007B2FA0">
      <w:pPr>
        <w:spacing w:line="360" w:lineRule="auto"/>
        <w:jc w:val="both"/>
        <w:rPr>
          <w:rFonts w:ascii="Arial" w:hAnsi="Arial" w:cs="Arial"/>
          <w:sz w:val="24"/>
          <w:szCs w:val="24"/>
        </w:rPr>
      </w:pPr>
      <w:r w:rsidRPr="002D4733">
        <w:rPr>
          <w:rFonts w:ascii="Arial" w:hAnsi="Arial" w:cs="Arial"/>
          <w:sz w:val="24"/>
          <w:szCs w:val="24"/>
        </w:rPr>
        <w:t>This model has really transformed my thinking regarding goal-setting. Before this exercise, I was abstract and mostly reactive in my career planning, depending on the situation instead of planning strategically. Using the SMART technique allowed me to set unambiguous developmental objectives, such as completing a personalized CV by a definite date and arranging mock interviews with fellow students. Robertson et al. (2020) further state that, in addition to enhancing performance, SMART goal-setting helps foster personal accountability, which is essential for students as they enter the workforce.</w:t>
      </w:r>
    </w:p>
    <w:p w14:paraId="2B84E6D7" w14:textId="77777777" w:rsidR="00CC6DE9" w:rsidRPr="002D4733" w:rsidRDefault="002D4733" w:rsidP="007B2FA0">
      <w:pPr>
        <w:spacing w:line="360" w:lineRule="auto"/>
        <w:jc w:val="both"/>
        <w:rPr>
          <w:rFonts w:ascii="Arial" w:hAnsi="Arial" w:cs="Arial"/>
          <w:sz w:val="24"/>
          <w:szCs w:val="24"/>
        </w:rPr>
      </w:pPr>
      <w:r w:rsidRPr="002D4733">
        <w:rPr>
          <w:rFonts w:ascii="Arial" w:hAnsi="Arial" w:cs="Arial"/>
          <w:sz w:val="24"/>
          <w:szCs w:val="24"/>
        </w:rPr>
        <w:t>In addition, the concept of SMART goals introduced a gradient of progress and development, which helped me overcome performance anxiety as I was able to concentrate on short-term, achievable goals. Cottrell (2019) agrees with this opinion and states that goal dispersion does not lead to a feeling of overwhelm and helps maintain motivation, particularly among students acquiring new professional skills. Already during Week 5 of the module, I was able to fulfill some of my short-term objectives, such as starting an informational interview or updating my cover letter. This development made me confident, and the usefulness of the SMART framework was confirmed.</w:t>
      </w:r>
    </w:p>
    <w:p w14:paraId="249892C2" w14:textId="77777777" w:rsidR="00CC6DE9" w:rsidRPr="002D4733" w:rsidRDefault="002D4733" w:rsidP="007B2FA0">
      <w:pPr>
        <w:pStyle w:val="Heading2"/>
        <w:spacing w:line="360" w:lineRule="auto"/>
        <w:jc w:val="both"/>
        <w:rPr>
          <w:rFonts w:ascii="Arial" w:hAnsi="Arial" w:cs="Arial"/>
          <w:color w:val="auto"/>
          <w:sz w:val="24"/>
          <w:szCs w:val="24"/>
        </w:rPr>
      </w:pPr>
      <w:r w:rsidRPr="002D4733">
        <w:rPr>
          <w:rFonts w:ascii="Arial" w:hAnsi="Arial" w:cs="Arial"/>
          <w:color w:val="auto"/>
          <w:sz w:val="24"/>
          <w:szCs w:val="24"/>
        </w:rPr>
        <w:t>Now What?</w:t>
      </w:r>
    </w:p>
    <w:p w14:paraId="0C42EF5A" w14:textId="77777777" w:rsidR="00CC6DE9" w:rsidRPr="002D4733" w:rsidRDefault="002D4733" w:rsidP="007B2FA0">
      <w:pPr>
        <w:spacing w:line="360" w:lineRule="auto"/>
        <w:jc w:val="both"/>
        <w:rPr>
          <w:rFonts w:ascii="Arial" w:hAnsi="Arial" w:cs="Arial"/>
          <w:sz w:val="24"/>
          <w:szCs w:val="24"/>
        </w:rPr>
      </w:pPr>
      <w:r w:rsidRPr="002D4733">
        <w:rPr>
          <w:rFonts w:ascii="Arial" w:hAnsi="Arial" w:cs="Arial"/>
          <w:sz w:val="24"/>
          <w:szCs w:val="24"/>
        </w:rPr>
        <w:t>Confirmed by these outcomes, I began applying SMART goals to other areas of my academic and professional routine. For example, I have set an objective to apply to three employers as an intern by the end of July 2025. According to Gallagher (2022), students who regularly monitor such goals have a higher chance of securing a good job after graduation. Now, I apply a digital planner where I make monthly SMART goals, and many of them are connected to my personal SWOT analysis. This academic process not only helps me bridge competency gaps but also equips me with the expectations of the professional work environment in the long term.</w:t>
      </w:r>
    </w:p>
    <w:p w14:paraId="7EE4FF1F" w14:textId="77777777" w:rsidR="00CC6DE9" w:rsidRPr="002D4733" w:rsidRDefault="002D4733" w:rsidP="007B2FA0">
      <w:pPr>
        <w:pStyle w:val="Heading1"/>
        <w:spacing w:line="360" w:lineRule="auto"/>
        <w:jc w:val="both"/>
        <w:rPr>
          <w:rFonts w:ascii="Arial" w:hAnsi="Arial" w:cs="Arial"/>
          <w:color w:val="auto"/>
          <w:sz w:val="24"/>
          <w:szCs w:val="24"/>
        </w:rPr>
      </w:pPr>
      <w:r w:rsidRPr="002D4733">
        <w:rPr>
          <w:rFonts w:ascii="Arial" w:hAnsi="Arial" w:cs="Arial"/>
          <w:color w:val="auto"/>
          <w:sz w:val="24"/>
          <w:szCs w:val="24"/>
        </w:rPr>
        <w:lastRenderedPageBreak/>
        <w:t>4. Reflection on Ikigai</w:t>
      </w:r>
    </w:p>
    <w:p w14:paraId="321C47A4" w14:textId="77777777" w:rsidR="00CC6DE9" w:rsidRPr="002D4733" w:rsidRDefault="002D4733" w:rsidP="007B2FA0">
      <w:pPr>
        <w:pStyle w:val="Heading2"/>
        <w:spacing w:line="360" w:lineRule="auto"/>
        <w:jc w:val="both"/>
        <w:rPr>
          <w:rFonts w:ascii="Arial" w:hAnsi="Arial" w:cs="Arial"/>
          <w:color w:val="auto"/>
          <w:sz w:val="24"/>
          <w:szCs w:val="24"/>
        </w:rPr>
      </w:pPr>
      <w:r w:rsidRPr="002D4733">
        <w:rPr>
          <w:rFonts w:ascii="Arial" w:hAnsi="Arial" w:cs="Arial"/>
          <w:color w:val="auto"/>
          <w:sz w:val="24"/>
          <w:szCs w:val="24"/>
        </w:rPr>
        <w:t>What?</w:t>
      </w:r>
    </w:p>
    <w:p w14:paraId="01F53054" w14:textId="77777777" w:rsidR="00CC6DE9" w:rsidRPr="002D4733" w:rsidRDefault="002D4733" w:rsidP="007B2FA0">
      <w:pPr>
        <w:spacing w:line="360" w:lineRule="auto"/>
        <w:jc w:val="both"/>
        <w:rPr>
          <w:rFonts w:ascii="Arial" w:hAnsi="Arial" w:cs="Arial"/>
          <w:sz w:val="24"/>
          <w:szCs w:val="24"/>
        </w:rPr>
      </w:pPr>
      <w:r w:rsidRPr="002D4733">
        <w:rPr>
          <w:rFonts w:ascii="Arial" w:hAnsi="Arial" w:cs="Arial"/>
          <w:sz w:val="24"/>
          <w:szCs w:val="24"/>
        </w:rPr>
        <w:t>Week 5 featured the third model, which was the Japanese notion of Ikigai, translated as “reason for being.” Ikigai's framework consists of four intersecting circles: what you love, what you are good at, what the world needs, and what you can be paid for (García and Miralles, 2017). We were proposed to make our own Ikigai diagram using existing interests, abilities, and career desires. This involved a great deal of soul-searching regarding values, motivation, and long-term life goals.</w:t>
      </w:r>
    </w:p>
    <w:p w14:paraId="364BC083" w14:textId="77777777" w:rsidR="00CC6DE9" w:rsidRPr="002D4733" w:rsidRDefault="002D4733" w:rsidP="007B2FA0">
      <w:pPr>
        <w:pStyle w:val="Heading2"/>
        <w:spacing w:line="360" w:lineRule="auto"/>
        <w:jc w:val="both"/>
        <w:rPr>
          <w:rFonts w:ascii="Arial" w:hAnsi="Arial" w:cs="Arial"/>
          <w:color w:val="auto"/>
          <w:sz w:val="24"/>
          <w:szCs w:val="24"/>
        </w:rPr>
      </w:pPr>
      <w:r w:rsidRPr="002D4733">
        <w:rPr>
          <w:rFonts w:ascii="Arial" w:hAnsi="Arial" w:cs="Arial"/>
          <w:color w:val="auto"/>
          <w:sz w:val="24"/>
          <w:szCs w:val="24"/>
        </w:rPr>
        <w:t>So What?</w:t>
      </w:r>
    </w:p>
    <w:p w14:paraId="13252BB3" w14:textId="77777777" w:rsidR="007B2FA0" w:rsidRPr="002D4733" w:rsidRDefault="002D4733" w:rsidP="007B2FA0">
      <w:pPr>
        <w:spacing w:line="360" w:lineRule="auto"/>
        <w:jc w:val="both"/>
        <w:rPr>
          <w:rFonts w:ascii="Arial" w:hAnsi="Arial" w:cs="Arial"/>
          <w:sz w:val="24"/>
          <w:szCs w:val="24"/>
        </w:rPr>
      </w:pPr>
      <w:r w:rsidRPr="002D4733">
        <w:rPr>
          <w:rFonts w:ascii="Arial" w:hAnsi="Arial" w:cs="Arial"/>
          <w:sz w:val="24"/>
          <w:szCs w:val="24"/>
        </w:rPr>
        <w:t>The Ikigai model provided an existential prism through which to view my career path. Whereas other models, such as SWOT and SMART, are based on short- to medium-term results, Ikigai made me question how work and personal satisfaction can be aligned. Among the things that this activity made me realize was that my career motivation was never purely financial or status-oriented; instead, I was attracted to jobs that involved a combination of problem-solving and assisting people. Ken Mogi (2018) claims that people who manage to align their careers with their Ikigai feel more satisfied and tougher when coping with difficulties.</w:t>
      </w:r>
    </w:p>
    <w:p w14:paraId="140A2ECC" w14:textId="77777777" w:rsidR="00CC6DE9" w:rsidRPr="002D4733" w:rsidRDefault="002D4733" w:rsidP="007B2FA0">
      <w:pPr>
        <w:spacing w:line="360" w:lineRule="auto"/>
        <w:jc w:val="both"/>
        <w:rPr>
          <w:rFonts w:ascii="Arial" w:hAnsi="Arial" w:cs="Arial"/>
          <w:sz w:val="24"/>
          <w:szCs w:val="24"/>
        </w:rPr>
      </w:pPr>
      <w:r w:rsidRPr="002D4733">
        <w:rPr>
          <w:rFonts w:ascii="Arial" w:hAnsi="Arial" w:cs="Arial"/>
          <w:sz w:val="24"/>
          <w:szCs w:val="24"/>
        </w:rPr>
        <w:t>In addition, the exercise helped me realize that the confident career choices I had previously considered did not align with my values. To illustrate, I had already seen some jobs as appealing due to their assumed prestige, but Ikigai made me re-evaluate them in terms of their compliance with my inner purpose. In their argument, Robertson et al. (2020) say that career choices that lack this kind of alignment tend to result in disengagement and turnover, particularly among early-career professionals. Reflecting on this, I was able to refine my job search parameters to represent the fields of genuine interest and capability more accurately.</w:t>
      </w:r>
    </w:p>
    <w:p w14:paraId="65B2077F" w14:textId="77777777" w:rsidR="00CC6DE9" w:rsidRPr="002D4733" w:rsidRDefault="002D4733" w:rsidP="007B2FA0">
      <w:pPr>
        <w:pStyle w:val="Heading2"/>
        <w:spacing w:line="360" w:lineRule="auto"/>
        <w:jc w:val="both"/>
        <w:rPr>
          <w:rFonts w:ascii="Arial" w:hAnsi="Arial" w:cs="Arial"/>
          <w:color w:val="auto"/>
          <w:sz w:val="24"/>
          <w:szCs w:val="24"/>
        </w:rPr>
      </w:pPr>
      <w:r w:rsidRPr="002D4733">
        <w:rPr>
          <w:rFonts w:ascii="Arial" w:hAnsi="Arial" w:cs="Arial"/>
          <w:color w:val="auto"/>
          <w:sz w:val="24"/>
          <w:szCs w:val="24"/>
        </w:rPr>
        <w:t>Now What?</w:t>
      </w:r>
    </w:p>
    <w:p w14:paraId="79D68699" w14:textId="77777777" w:rsidR="00CC6DE9" w:rsidRPr="002D4733" w:rsidRDefault="002D4733" w:rsidP="007B2FA0">
      <w:pPr>
        <w:spacing w:line="360" w:lineRule="auto"/>
        <w:jc w:val="both"/>
        <w:rPr>
          <w:rFonts w:ascii="Arial" w:hAnsi="Arial" w:cs="Arial"/>
          <w:sz w:val="24"/>
          <w:szCs w:val="24"/>
        </w:rPr>
      </w:pPr>
      <w:r w:rsidRPr="002D4733">
        <w:rPr>
          <w:rFonts w:ascii="Arial" w:hAnsi="Arial" w:cs="Arial"/>
          <w:sz w:val="24"/>
          <w:szCs w:val="24"/>
        </w:rPr>
        <w:t xml:space="preserve">In the future, I will incorporate Ikigai into my long-term career plan and consider opportunities that align with value rather than just salary or prestige. This has already guided my choice of optional modules and the types of organizations I am following </w:t>
      </w:r>
      <w:r w:rsidRPr="002D4733">
        <w:rPr>
          <w:rFonts w:ascii="Arial" w:hAnsi="Arial" w:cs="Arial"/>
          <w:sz w:val="24"/>
          <w:szCs w:val="24"/>
        </w:rPr>
        <w:lastRenderedPageBreak/>
        <w:t>regarding internships. According to García and Miralles (2017), individuals who develop a strong sense of purpose are more likely to create a more sustainable and fulfilling career. I will, therefore, revisit my Ikigai map once a year and update it according to my skills and changing circumstances. I am also keeping a career-satisfaction journal, as suggested by Smale (2015), to notice changes in motivation and interest.</w:t>
      </w:r>
    </w:p>
    <w:p w14:paraId="35F69843" w14:textId="77777777" w:rsidR="00CC6DE9" w:rsidRPr="002D4733" w:rsidRDefault="002D4733" w:rsidP="007B2FA0">
      <w:pPr>
        <w:pStyle w:val="Heading1"/>
        <w:spacing w:line="360" w:lineRule="auto"/>
        <w:jc w:val="both"/>
        <w:rPr>
          <w:rFonts w:ascii="Arial" w:hAnsi="Arial" w:cs="Arial"/>
          <w:color w:val="auto"/>
          <w:sz w:val="24"/>
          <w:szCs w:val="24"/>
        </w:rPr>
      </w:pPr>
      <w:r w:rsidRPr="002D4733">
        <w:rPr>
          <w:rFonts w:ascii="Arial" w:hAnsi="Arial" w:cs="Arial"/>
          <w:color w:val="auto"/>
          <w:sz w:val="24"/>
          <w:szCs w:val="24"/>
        </w:rPr>
        <w:t>5. Conclusion</w:t>
      </w:r>
    </w:p>
    <w:p w14:paraId="503C25C5" w14:textId="77777777" w:rsidR="00CC6DE9" w:rsidRPr="002D4733" w:rsidRDefault="002D4733" w:rsidP="007B2FA0">
      <w:pPr>
        <w:spacing w:line="360" w:lineRule="auto"/>
        <w:jc w:val="both"/>
        <w:rPr>
          <w:rFonts w:ascii="Arial" w:hAnsi="Arial" w:cs="Arial"/>
          <w:sz w:val="24"/>
          <w:szCs w:val="24"/>
        </w:rPr>
      </w:pPr>
      <w:r w:rsidRPr="002D4733">
        <w:rPr>
          <w:rFonts w:ascii="Arial" w:hAnsi="Arial" w:cs="Arial"/>
          <w:sz w:val="24"/>
          <w:szCs w:val="24"/>
        </w:rPr>
        <w:t>This reflective treatise has demonstrated the extent to which planned reflection, facilitated through the Rolfe model and the three essential development tools SWOT Analysis, SMART Goals, and Ikigai, has played a significant role in my career development. Each of the models offered a distinct prism: SWOT to analyze internally, SMART to set realistic goals for action, and Ikigai to find a balance between career and personal mission. With the help of academic sources and classroom practice, I was able to complete the structured application and develop critical self-awareness, laying the foundation for a long-lasting and values-based professional experience. In the future, I will revert to using these models and incorporating them into an ongoing process of reflection that will guide not only my academic but also my professional growth in general.</w:t>
      </w:r>
    </w:p>
    <w:p w14:paraId="2E81D1D5" w14:textId="77777777" w:rsidR="000A2C86" w:rsidRPr="002D4733" w:rsidRDefault="000A2C86" w:rsidP="007B2FA0">
      <w:pPr>
        <w:spacing w:line="360" w:lineRule="auto"/>
        <w:jc w:val="both"/>
        <w:rPr>
          <w:rFonts w:ascii="Arial" w:hAnsi="Arial" w:cs="Arial"/>
          <w:b/>
          <w:bCs/>
          <w:sz w:val="24"/>
          <w:szCs w:val="24"/>
        </w:rPr>
      </w:pPr>
    </w:p>
    <w:p w14:paraId="455B94FF" w14:textId="77777777" w:rsidR="000A2C86" w:rsidRPr="002D4733" w:rsidRDefault="000A2C86" w:rsidP="007B2FA0">
      <w:pPr>
        <w:spacing w:line="360" w:lineRule="auto"/>
        <w:jc w:val="both"/>
        <w:rPr>
          <w:rFonts w:ascii="Arial" w:hAnsi="Arial" w:cs="Arial"/>
          <w:b/>
          <w:bCs/>
          <w:sz w:val="24"/>
          <w:szCs w:val="24"/>
        </w:rPr>
      </w:pPr>
    </w:p>
    <w:p w14:paraId="656FD273" w14:textId="77777777" w:rsidR="007B2FA0" w:rsidRPr="002D4733" w:rsidRDefault="007B2FA0" w:rsidP="007B2FA0">
      <w:pPr>
        <w:spacing w:line="360" w:lineRule="auto"/>
        <w:jc w:val="both"/>
        <w:rPr>
          <w:rFonts w:ascii="Arial" w:hAnsi="Arial" w:cs="Arial"/>
          <w:b/>
          <w:bCs/>
          <w:sz w:val="24"/>
          <w:szCs w:val="24"/>
        </w:rPr>
      </w:pPr>
    </w:p>
    <w:p w14:paraId="0DE9817D" w14:textId="77777777" w:rsidR="002D4733" w:rsidRPr="002D4733" w:rsidRDefault="002D4733" w:rsidP="007B2FA0">
      <w:pPr>
        <w:spacing w:line="360" w:lineRule="auto"/>
        <w:jc w:val="both"/>
        <w:rPr>
          <w:rFonts w:ascii="Arial" w:hAnsi="Arial" w:cs="Arial"/>
          <w:b/>
          <w:bCs/>
          <w:sz w:val="24"/>
          <w:szCs w:val="24"/>
        </w:rPr>
      </w:pPr>
    </w:p>
    <w:p w14:paraId="5219479D" w14:textId="77777777" w:rsidR="002D4733" w:rsidRPr="002D4733" w:rsidRDefault="002D4733" w:rsidP="007B2FA0">
      <w:pPr>
        <w:spacing w:line="360" w:lineRule="auto"/>
        <w:jc w:val="both"/>
        <w:rPr>
          <w:rFonts w:ascii="Arial" w:hAnsi="Arial" w:cs="Arial"/>
          <w:b/>
          <w:bCs/>
          <w:sz w:val="24"/>
          <w:szCs w:val="24"/>
        </w:rPr>
      </w:pPr>
    </w:p>
    <w:p w14:paraId="2EDD3C82" w14:textId="77777777" w:rsidR="007B2FA0" w:rsidRPr="002D4733" w:rsidRDefault="007B2FA0" w:rsidP="007B2FA0">
      <w:pPr>
        <w:spacing w:line="360" w:lineRule="auto"/>
        <w:jc w:val="both"/>
        <w:rPr>
          <w:rFonts w:ascii="Arial" w:hAnsi="Arial" w:cs="Arial"/>
          <w:b/>
          <w:bCs/>
          <w:sz w:val="24"/>
          <w:szCs w:val="24"/>
        </w:rPr>
      </w:pPr>
    </w:p>
    <w:p w14:paraId="78672555" w14:textId="77777777" w:rsidR="007B2FA0" w:rsidRPr="002D4733" w:rsidRDefault="007B2FA0" w:rsidP="007B2FA0">
      <w:pPr>
        <w:spacing w:line="360" w:lineRule="auto"/>
        <w:jc w:val="both"/>
        <w:rPr>
          <w:rFonts w:ascii="Arial" w:hAnsi="Arial" w:cs="Arial"/>
          <w:b/>
          <w:bCs/>
          <w:sz w:val="24"/>
          <w:szCs w:val="24"/>
        </w:rPr>
      </w:pPr>
    </w:p>
    <w:p w14:paraId="2810337A" w14:textId="77777777" w:rsidR="00CC6DE9" w:rsidRPr="002D4733" w:rsidRDefault="002D4733" w:rsidP="007B2FA0">
      <w:pPr>
        <w:pStyle w:val="Heading1"/>
        <w:spacing w:line="360" w:lineRule="auto"/>
        <w:jc w:val="both"/>
        <w:rPr>
          <w:rFonts w:ascii="Arial" w:hAnsi="Arial" w:cs="Arial"/>
          <w:color w:val="auto"/>
          <w:sz w:val="24"/>
          <w:szCs w:val="24"/>
        </w:rPr>
      </w:pPr>
      <w:r w:rsidRPr="002D4733">
        <w:rPr>
          <w:rFonts w:ascii="Arial" w:hAnsi="Arial" w:cs="Arial"/>
          <w:color w:val="auto"/>
          <w:sz w:val="24"/>
          <w:szCs w:val="24"/>
        </w:rPr>
        <w:lastRenderedPageBreak/>
        <w:t xml:space="preserve">References </w:t>
      </w:r>
    </w:p>
    <w:p w14:paraId="1093A411" w14:textId="77777777" w:rsidR="007B2FA0" w:rsidRPr="002D4733" w:rsidRDefault="002D4733" w:rsidP="007B2FA0">
      <w:pPr>
        <w:spacing w:line="360" w:lineRule="auto"/>
        <w:ind w:left="720" w:hanging="720"/>
        <w:jc w:val="both"/>
        <w:rPr>
          <w:rFonts w:ascii="Arial" w:hAnsi="Arial" w:cs="Arial"/>
          <w:sz w:val="24"/>
          <w:szCs w:val="24"/>
        </w:rPr>
      </w:pPr>
      <w:r w:rsidRPr="002D4733">
        <w:rPr>
          <w:rFonts w:ascii="Arial" w:hAnsi="Arial" w:cs="Arial"/>
          <w:sz w:val="24"/>
          <w:szCs w:val="24"/>
        </w:rPr>
        <w:t xml:space="preserve">Coman, A. and Ronen, B. (2009). Focused SWOT: Diagnosing critical strengths and weaknesses. </w:t>
      </w:r>
      <w:r w:rsidRPr="002D4733">
        <w:rPr>
          <w:rFonts w:ascii="Arial" w:hAnsi="Arial" w:cs="Arial"/>
          <w:i/>
          <w:iCs/>
          <w:sz w:val="24"/>
          <w:szCs w:val="24"/>
        </w:rPr>
        <w:t>International Journal of Production Research</w:t>
      </w:r>
      <w:r w:rsidRPr="002D4733">
        <w:rPr>
          <w:rFonts w:ascii="Arial" w:hAnsi="Arial" w:cs="Arial"/>
          <w:sz w:val="24"/>
          <w:szCs w:val="24"/>
        </w:rPr>
        <w:t>, 47(20), pp.5677–5689.</w:t>
      </w:r>
    </w:p>
    <w:p w14:paraId="0B09E45D" w14:textId="77777777" w:rsidR="007B2FA0" w:rsidRPr="002D4733" w:rsidRDefault="002D4733" w:rsidP="007B2FA0">
      <w:pPr>
        <w:spacing w:line="360" w:lineRule="auto"/>
        <w:ind w:left="720" w:hanging="720"/>
        <w:jc w:val="both"/>
        <w:rPr>
          <w:rFonts w:ascii="Arial" w:hAnsi="Arial" w:cs="Arial"/>
          <w:sz w:val="24"/>
          <w:szCs w:val="24"/>
        </w:rPr>
      </w:pPr>
      <w:r w:rsidRPr="002D4733">
        <w:rPr>
          <w:rFonts w:ascii="Arial" w:hAnsi="Arial" w:cs="Arial"/>
          <w:sz w:val="24"/>
          <w:szCs w:val="24"/>
        </w:rPr>
        <w:t xml:space="preserve">Cottrell, S. (2019). </w:t>
      </w:r>
      <w:r w:rsidRPr="002D4733">
        <w:rPr>
          <w:rFonts w:ascii="Arial" w:hAnsi="Arial" w:cs="Arial"/>
          <w:i/>
          <w:iCs/>
          <w:sz w:val="24"/>
          <w:szCs w:val="24"/>
        </w:rPr>
        <w:t>The Study Skills Handbook</w:t>
      </w:r>
      <w:r w:rsidRPr="002D4733">
        <w:rPr>
          <w:rFonts w:ascii="Arial" w:hAnsi="Arial" w:cs="Arial"/>
          <w:sz w:val="24"/>
          <w:szCs w:val="24"/>
        </w:rPr>
        <w:t>. 5th ed. London: Macmillan International Higher Education.</w:t>
      </w:r>
    </w:p>
    <w:p w14:paraId="158A8281" w14:textId="77777777" w:rsidR="007B2FA0" w:rsidRPr="002D4733" w:rsidRDefault="002D4733" w:rsidP="007B2FA0">
      <w:pPr>
        <w:spacing w:line="360" w:lineRule="auto"/>
        <w:ind w:left="720" w:hanging="720"/>
        <w:jc w:val="both"/>
        <w:rPr>
          <w:rFonts w:ascii="Arial" w:hAnsi="Arial" w:cs="Arial"/>
          <w:sz w:val="24"/>
          <w:szCs w:val="24"/>
        </w:rPr>
      </w:pPr>
      <w:r w:rsidRPr="002D4733">
        <w:rPr>
          <w:rFonts w:ascii="Arial" w:hAnsi="Arial" w:cs="Arial"/>
          <w:sz w:val="24"/>
          <w:szCs w:val="24"/>
        </w:rPr>
        <w:t xml:space="preserve">Cottrell, S. (2021). </w:t>
      </w:r>
      <w:r w:rsidRPr="002D4733">
        <w:rPr>
          <w:rFonts w:ascii="Arial" w:hAnsi="Arial" w:cs="Arial"/>
          <w:i/>
          <w:iCs/>
          <w:sz w:val="24"/>
          <w:szCs w:val="24"/>
        </w:rPr>
        <w:t>Skills for Success: Personal Development and Employability</w:t>
      </w:r>
      <w:r w:rsidRPr="002D4733">
        <w:rPr>
          <w:rFonts w:ascii="Arial" w:hAnsi="Arial" w:cs="Arial"/>
          <w:sz w:val="24"/>
          <w:szCs w:val="24"/>
        </w:rPr>
        <w:t>. 4th ed. London: Red Globe Press.</w:t>
      </w:r>
    </w:p>
    <w:p w14:paraId="7DBD439C" w14:textId="77777777" w:rsidR="007B2FA0" w:rsidRPr="002D4733" w:rsidRDefault="002D4733" w:rsidP="007B2FA0">
      <w:pPr>
        <w:spacing w:line="360" w:lineRule="auto"/>
        <w:ind w:left="720" w:hanging="720"/>
        <w:jc w:val="both"/>
        <w:rPr>
          <w:rFonts w:ascii="Arial" w:hAnsi="Arial" w:cs="Arial"/>
          <w:sz w:val="24"/>
          <w:szCs w:val="24"/>
        </w:rPr>
      </w:pPr>
      <w:r w:rsidRPr="002D4733">
        <w:rPr>
          <w:rFonts w:ascii="Arial" w:hAnsi="Arial" w:cs="Arial"/>
          <w:sz w:val="24"/>
          <w:szCs w:val="24"/>
        </w:rPr>
        <w:t xml:space="preserve">Doran, G. T. (1981). There is a S.M.A.R.T. way to write management’s goals and objectives. </w:t>
      </w:r>
      <w:r w:rsidRPr="002D4733">
        <w:rPr>
          <w:rFonts w:ascii="Arial" w:hAnsi="Arial" w:cs="Arial"/>
          <w:i/>
          <w:iCs/>
          <w:sz w:val="24"/>
          <w:szCs w:val="24"/>
        </w:rPr>
        <w:t>Management Review</w:t>
      </w:r>
      <w:r w:rsidRPr="002D4733">
        <w:rPr>
          <w:rFonts w:ascii="Arial" w:hAnsi="Arial" w:cs="Arial"/>
          <w:sz w:val="24"/>
          <w:szCs w:val="24"/>
        </w:rPr>
        <w:t>, 70(11), pp.35–36.</w:t>
      </w:r>
    </w:p>
    <w:p w14:paraId="60D7B314" w14:textId="77777777" w:rsidR="007B2FA0" w:rsidRPr="002D4733" w:rsidRDefault="002D4733" w:rsidP="007B2FA0">
      <w:pPr>
        <w:spacing w:line="360" w:lineRule="auto"/>
        <w:ind w:left="720" w:hanging="720"/>
        <w:jc w:val="both"/>
        <w:rPr>
          <w:rFonts w:ascii="Arial" w:hAnsi="Arial" w:cs="Arial"/>
          <w:sz w:val="24"/>
          <w:szCs w:val="24"/>
        </w:rPr>
      </w:pPr>
      <w:r w:rsidRPr="002D4733">
        <w:rPr>
          <w:rFonts w:ascii="Arial" w:hAnsi="Arial" w:cs="Arial"/>
          <w:sz w:val="24"/>
          <w:szCs w:val="24"/>
        </w:rPr>
        <w:t xml:space="preserve">Gallagher, K. (2022). </w:t>
      </w:r>
      <w:r w:rsidRPr="002D4733">
        <w:rPr>
          <w:rFonts w:ascii="Arial" w:hAnsi="Arial" w:cs="Arial"/>
          <w:i/>
          <w:iCs/>
          <w:sz w:val="24"/>
          <w:szCs w:val="24"/>
        </w:rPr>
        <w:t>Essential Study and Employment Skills for Business and Management Students</w:t>
      </w:r>
      <w:r w:rsidRPr="002D4733">
        <w:rPr>
          <w:rFonts w:ascii="Arial" w:hAnsi="Arial" w:cs="Arial"/>
          <w:sz w:val="24"/>
          <w:szCs w:val="24"/>
        </w:rPr>
        <w:t>. 4th ed. Oxford: Oxford University Press.</w:t>
      </w:r>
    </w:p>
    <w:p w14:paraId="4DFDE666" w14:textId="77777777" w:rsidR="007B2FA0" w:rsidRPr="002D4733" w:rsidRDefault="002D4733" w:rsidP="007B2FA0">
      <w:pPr>
        <w:spacing w:line="360" w:lineRule="auto"/>
        <w:ind w:left="720" w:hanging="720"/>
        <w:jc w:val="both"/>
        <w:rPr>
          <w:rFonts w:ascii="Arial" w:hAnsi="Arial" w:cs="Arial"/>
          <w:sz w:val="24"/>
          <w:szCs w:val="24"/>
        </w:rPr>
      </w:pPr>
      <w:r w:rsidRPr="002D4733">
        <w:rPr>
          <w:rFonts w:ascii="Arial" w:hAnsi="Arial" w:cs="Arial"/>
          <w:sz w:val="24"/>
          <w:szCs w:val="24"/>
        </w:rPr>
        <w:t xml:space="preserve">García, H. and Miralles, F. (2017). </w:t>
      </w:r>
      <w:r w:rsidRPr="002D4733">
        <w:rPr>
          <w:rFonts w:ascii="Arial" w:hAnsi="Arial" w:cs="Arial"/>
          <w:i/>
          <w:iCs/>
          <w:sz w:val="24"/>
          <w:szCs w:val="24"/>
        </w:rPr>
        <w:t>Ikigai: The Japanese Secret to a Long and Happy Life</w:t>
      </w:r>
      <w:r w:rsidRPr="002D4733">
        <w:rPr>
          <w:rFonts w:ascii="Arial" w:hAnsi="Arial" w:cs="Arial"/>
          <w:sz w:val="24"/>
          <w:szCs w:val="24"/>
        </w:rPr>
        <w:t>. London: Hutchinson.</w:t>
      </w:r>
    </w:p>
    <w:p w14:paraId="207CB29F" w14:textId="77777777" w:rsidR="007B2FA0" w:rsidRPr="002D4733" w:rsidRDefault="002D4733" w:rsidP="007B2FA0">
      <w:pPr>
        <w:spacing w:line="360" w:lineRule="auto"/>
        <w:ind w:left="720" w:hanging="720"/>
        <w:jc w:val="both"/>
        <w:rPr>
          <w:rFonts w:ascii="Arial" w:hAnsi="Arial" w:cs="Arial"/>
          <w:sz w:val="24"/>
          <w:szCs w:val="24"/>
        </w:rPr>
      </w:pPr>
      <w:r w:rsidRPr="002D4733">
        <w:rPr>
          <w:rFonts w:ascii="Arial" w:hAnsi="Arial" w:cs="Arial"/>
          <w:sz w:val="24"/>
          <w:szCs w:val="24"/>
        </w:rPr>
        <w:t xml:space="preserve">Gurel, E. and Tat, M. (2017). SWOT analysis: A theoretical review. </w:t>
      </w:r>
      <w:r w:rsidRPr="002D4733">
        <w:rPr>
          <w:rFonts w:ascii="Arial" w:hAnsi="Arial" w:cs="Arial"/>
          <w:i/>
          <w:iCs/>
          <w:sz w:val="24"/>
          <w:szCs w:val="24"/>
        </w:rPr>
        <w:t>Journal of International Social Research</w:t>
      </w:r>
      <w:r w:rsidRPr="002D4733">
        <w:rPr>
          <w:rFonts w:ascii="Arial" w:hAnsi="Arial" w:cs="Arial"/>
          <w:sz w:val="24"/>
          <w:szCs w:val="24"/>
        </w:rPr>
        <w:t>, 10(51), pp.994–1006.</w:t>
      </w:r>
    </w:p>
    <w:p w14:paraId="6ADD2FE3" w14:textId="77777777" w:rsidR="007B2FA0" w:rsidRPr="002D4733" w:rsidRDefault="002D4733" w:rsidP="007B2FA0">
      <w:pPr>
        <w:spacing w:line="360" w:lineRule="auto"/>
        <w:ind w:left="720" w:hanging="720"/>
        <w:jc w:val="both"/>
        <w:rPr>
          <w:rFonts w:ascii="Arial" w:hAnsi="Arial" w:cs="Arial"/>
          <w:sz w:val="24"/>
          <w:szCs w:val="24"/>
        </w:rPr>
      </w:pPr>
      <w:r w:rsidRPr="002D4733">
        <w:rPr>
          <w:rFonts w:ascii="Arial" w:hAnsi="Arial" w:cs="Arial"/>
          <w:sz w:val="24"/>
          <w:szCs w:val="24"/>
        </w:rPr>
        <w:t xml:space="preserve">Ken Mogi (2018). </w:t>
      </w:r>
      <w:r w:rsidRPr="002D4733">
        <w:rPr>
          <w:rFonts w:ascii="Arial" w:hAnsi="Arial" w:cs="Arial"/>
          <w:i/>
          <w:iCs/>
          <w:sz w:val="24"/>
          <w:szCs w:val="24"/>
        </w:rPr>
        <w:t>The Little Book of Ikigai: The Secret Japanese Way to Live a Happy and Long Life</w:t>
      </w:r>
      <w:r w:rsidRPr="002D4733">
        <w:rPr>
          <w:rFonts w:ascii="Arial" w:hAnsi="Arial" w:cs="Arial"/>
          <w:sz w:val="24"/>
          <w:szCs w:val="24"/>
        </w:rPr>
        <w:t>. London: Quercus.</w:t>
      </w:r>
    </w:p>
    <w:p w14:paraId="42830529" w14:textId="77777777" w:rsidR="007B2FA0" w:rsidRPr="002D4733" w:rsidRDefault="002D4733" w:rsidP="007B2FA0">
      <w:pPr>
        <w:spacing w:line="360" w:lineRule="auto"/>
        <w:ind w:left="720" w:hanging="720"/>
        <w:jc w:val="both"/>
        <w:rPr>
          <w:rFonts w:ascii="Arial" w:hAnsi="Arial" w:cs="Arial"/>
          <w:sz w:val="24"/>
          <w:szCs w:val="24"/>
        </w:rPr>
      </w:pPr>
      <w:r w:rsidRPr="002D4733">
        <w:rPr>
          <w:rFonts w:ascii="Arial" w:hAnsi="Arial" w:cs="Arial"/>
          <w:sz w:val="24"/>
          <w:szCs w:val="24"/>
        </w:rPr>
        <w:t xml:space="preserve">Robertson, P.J., Hooley, T. and McCash, P. (Eds.). (2020). </w:t>
      </w:r>
      <w:r w:rsidRPr="002D4733">
        <w:rPr>
          <w:rFonts w:ascii="Arial" w:hAnsi="Arial" w:cs="Arial"/>
          <w:i/>
          <w:iCs/>
          <w:sz w:val="24"/>
          <w:szCs w:val="24"/>
        </w:rPr>
        <w:t>The Oxford Handbook of Career Development</w:t>
      </w:r>
      <w:r w:rsidRPr="002D4733">
        <w:rPr>
          <w:rFonts w:ascii="Arial" w:hAnsi="Arial" w:cs="Arial"/>
          <w:sz w:val="24"/>
          <w:szCs w:val="24"/>
        </w:rPr>
        <w:t>. Oxford: Oxford University Press.</w:t>
      </w:r>
    </w:p>
    <w:p w14:paraId="3769CCBD" w14:textId="5BEBB110" w:rsidR="007B2FA0" w:rsidRPr="002D4733" w:rsidRDefault="002D4733" w:rsidP="007B2FA0">
      <w:pPr>
        <w:spacing w:line="360" w:lineRule="auto"/>
        <w:ind w:left="720" w:hanging="720"/>
        <w:jc w:val="both"/>
        <w:rPr>
          <w:rFonts w:ascii="Arial" w:hAnsi="Arial" w:cs="Arial"/>
          <w:sz w:val="24"/>
          <w:szCs w:val="24"/>
        </w:rPr>
      </w:pPr>
      <w:r w:rsidRPr="002D4733">
        <w:rPr>
          <w:rFonts w:ascii="Arial" w:hAnsi="Arial" w:cs="Arial"/>
          <w:sz w:val="24"/>
          <w:szCs w:val="24"/>
        </w:rPr>
        <w:t xml:space="preserve">Smale, B. (2015). </w:t>
      </w:r>
      <w:r w:rsidRPr="002D4733">
        <w:rPr>
          <w:rFonts w:ascii="Arial" w:hAnsi="Arial" w:cs="Arial"/>
          <w:i/>
          <w:iCs/>
          <w:sz w:val="24"/>
          <w:szCs w:val="24"/>
        </w:rPr>
        <w:t>How to Succeed at University: An Essential Guide to Academic Skills, Personal Development and Employability</w:t>
      </w:r>
      <w:r w:rsidRPr="002D4733">
        <w:rPr>
          <w:rFonts w:ascii="Arial" w:hAnsi="Arial" w:cs="Arial"/>
          <w:sz w:val="24"/>
          <w:szCs w:val="24"/>
        </w:rPr>
        <w:t>. 2nd ed. London: SAGE.</w:t>
      </w:r>
      <w:r w:rsidR="00BF2BE3">
        <w:rPr>
          <w:rFonts w:ascii="Arial" w:hAnsi="Arial" w:cs="Arial"/>
          <w:sz w:val="24"/>
          <w:szCs w:val="24"/>
        </w:rPr>
        <w:br/>
        <w:t xml:space="preserve">     </w:t>
      </w:r>
      <w:r w:rsidR="00BF2BE3">
        <w:rPr>
          <w:rFonts w:ascii="Arial" w:hAnsi="Arial" w:cs="Arial"/>
          <w:sz w:val="24"/>
          <w:szCs w:val="24"/>
        </w:rPr>
        <w:br/>
      </w:r>
      <w:r w:rsidR="00BF2BE3">
        <w:rPr>
          <w:rFonts w:ascii="Arial" w:hAnsi="Arial" w:cs="Arial"/>
          <w:sz w:val="24"/>
          <w:szCs w:val="24"/>
        </w:rPr>
        <w:br/>
      </w:r>
      <w:r w:rsidR="00BF2BE3">
        <w:rPr>
          <w:rFonts w:ascii="Arial" w:hAnsi="Arial" w:cs="Arial"/>
          <w:sz w:val="24"/>
          <w:szCs w:val="24"/>
        </w:rPr>
        <w:br/>
      </w:r>
      <w:r w:rsidR="00BF2BE3">
        <w:rPr>
          <w:rFonts w:ascii="Arial" w:hAnsi="Arial" w:cs="Arial"/>
          <w:sz w:val="24"/>
          <w:szCs w:val="24"/>
        </w:rPr>
        <w:br/>
        <w:t xml:space="preserve">                                                                                      Andreea Giosan Piticari</w:t>
      </w:r>
    </w:p>
    <w:p w14:paraId="70E03624" w14:textId="77777777" w:rsidR="00BB5E89" w:rsidRPr="002D4733" w:rsidRDefault="00BB5E89" w:rsidP="007B2FA0">
      <w:pPr>
        <w:spacing w:line="360" w:lineRule="auto"/>
        <w:jc w:val="both"/>
        <w:rPr>
          <w:rFonts w:ascii="Arial" w:hAnsi="Arial" w:cs="Arial"/>
          <w:sz w:val="24"/>
          <w:szCs w:val="24"/>
        </w:rPr>
      </w:pPr>
    </w:p>
    <w:sectPr w:rsidR="00BB5E89" w:rsidRPr="002D4733" w:rsidSect="00352F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B5E89"/>
    <w:rsid w:val="000636C6"/>
    <w:rsid w:val="000A2C86"/>
    <w:rsid w:val="002B3A65"/>
    <w:rsid w:val="002D4733"/>
    <w:rsid w:val="00342AD4"/>
    <w:rsid w:val="00352FF1"/>
    <w:rsid w:val="005B7370"/>
    <w:rsid w:val="007B2FA0"/>
    <w:rsid w:val="00BB5E89"/>
    <w:rsid w:val="00BF2BE3"/>
    <w:rsid w:val="00C7538D"/>
    <w:rsid w:val="00CC6DE9"/>
    <w:rsid w:val="00D326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34BAF"/>
  <w15:docId w15:val="{9EA90C64-6C8C-4F08-BEE4-F9D97AE88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FF1"/>
  </w:style>
  <w:style w:type="paragraph" w:styleId="Heading1">
    <w:name w:val="heading 1"/>
    <w:basedOn w:val="Normal"/>
    <w:next w:val="Normal"/>
    <w:link w:val="Heading1Char"/>
    <w:uiPriority w:val="9"/>
    <w:qFormat/>
    <w:rsid w:val="000A2C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A2C8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2C8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A2C86"/>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1694</Words>
  <Characters>9658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Lorenzo</dc:creator>
  <cp:lastModifiedBy>andreea giosan piticari</cp:lastModifiedBy>
  <cp:revision>2</cp:revision>
  <dcterms:created xsi:type="dcterms:W3CDTF">2025-06-13T20:26:00Z</dcterms:created>
  <dcterms:modified xsi:type="dcterms:W3CDTF">2025-06-13T20:26:00Z</dcterms:modified>
</cp:coreProperties>
</file>