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Default Extension="jpeg" ContentType="image/jpe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spacing w:line="240" w:lineRule="auto"/>
        <w:ind w:left="2528" w:right="0" w:firstLine="0"/>
        <w:rPr>
          <w:rFonts w:ascii="Times New Roman"/>
          <w:sz w:val="20"/>
        </w:rPr>
      </w:pPr>
      <w:r>
        <w:rPr>
          <w:rFonts w:ascii="Times New Roman"/>
          <w:sz w:val="20"/>
        </w:rPr>
        <w:drawing>
          <wp:inline distT="0" distB="0" distL="0" distR="0">
            <wp:extent cx="3009900" cy="1000125"/>
            <wp:effectExtent l="0" t="0" r="0" b="0"/>
            <wp:docPr id="2" name="Image 2" descr="A close-up of a sign  AI-generated content may be incorrect."/>
            <wp:cNvGraphicFramePr>
              <a:graphicFrameLocks/>
            </wp:cNvGraphicFramePr>
            <a:graphic>
              <a:graphicData uri="http://schemas.openxmlformats.org/drawingml/2006/picture">
                <pic:pic>
                  <pic:nvPicPr>
                    <pic:cNvPr id="2" name="Image 2" descr="A close-up of a sign  AI-generated content may be incorrect."/>
                    <pic:cNvPicPr/>
                  </pic:nvPicPr>
                  <pic:blipFill>
                    <a:blip r:embed="rId6" cstate="print"/>
                    <a:stretch>
                      <a:fillRect/>
                    </a:stretch>
                  </pic:blipFill>
                  <pic:spPr>
                    <a:xfrm>
                      <a:off x="0" y="0"/>
                      <a:ext cx="3009900" cy="1000125"/>
                    </a:xfrm>
                    <a:prstGeom prst="rect">
                      <a:avLst/>
                    </a:prstGeom>
                  </pic:spPr>
                </pic:pic>
              </a:graphicData>
            </a:graphic>
          </wp:inline>
        </w:drawing>
      </w:r>
      <w:r>
        <w:rPr>
          <w:rFonts w:ascii="Times New Roman"/>
          <w:sz w:val="20"/>
        </w:rPr>
      </w:r>
    </w:p>
    <w:p>
      <w:pPr>
        <w:pStyle w:val="BodyText"/>
        <w:rPr>
          <w:rFonts w:ascii="Times New Roman"/>
          <w:sz w:val="28"/>
        </w:rPr>
      </w:pPr>
    </w:p>
    <w:p>
      <w:pPr>
        <w:pStyle w:val="BodyText"/>
        <w:rPr>
          <w:rFonts w:ascii="Times New Roman"/>
          <w:sz w:val="28"/>
        </w:rPr>
      </w:pPr>
    </w:p>
    <w:p>
      <w:pPr>
        <w:pStyle w:val="BodyText"/>
        <w:spacing w:before="93"/>
        <w:rPr>
          <w:rFonts w:ascii="Times New Roman"/>
          <w:sz w:val="28"/>
        </w:rPr>
      </w:pPr>
    </w:p>
    <w:p>
      <w:pPr>
        <w:pStyle w:val="Heading2"/>
        <w:rPr>
          <w:i/>
        </w:rPr>
      </w:pPr>
      <w:r>
        <w:rPr>
          <w:i/>
        </w:rPr>
        <w:t>PROGRAMME:</w:t>
      </w:r>
      <w:r>
        <w:rPr>
          <w:i/>
          <w:spacing w:val="-2"/>
        </w:rPr>
        <w:t> </w:t>
      </w:r>
      <w:r>
        <w:rPr>
          <w:i/>
        </w:rPr>
        <w:t>BSC</w:t>
      </w:r>
      <w:r>
        <w:rPr>
          <w:i/>
          <w:spacing w:val="-4"/>
        </w:rPr>
        <w:t> </w:t>
      </w:r>
      <w:r>
        <w:rPr>
          <w:i/>
        </w:rPr>
        <w:t>(Hons)</w:t>
      </w:r>
      <w:r>
        <w:rPr>
          <w:i/>
          <w:spacing w:val="-3"/>
        </w:rPr>
        <w:t> </w:t>
      </w:r>
      <w:r>
        <w:rPr>
          <w:i/>
        </w:rPr>
        <w:t>Health</w:t>
      </w:r>
      <w:r>
        <w:rPr>
          <w:i/>
          <w:spacing w:val="-3"/>
        </w:rPr>
        <w:t> </w:t>
      </w:r>
      <w:r>
        <w:rPr>
          <w:i/>
        </w:rPr>
        <w:t>and</w:t>
      </w:r>
      <w:r>
        <w:rPr>
          <w:i/>
          <w:spacing w:val="-4"/>
        </w:rPr>
        <w:t> </w:t>
      </w:r>
      <w:r>
        <w:rPr>
          <w:i/>
        </w:rPr>
        <w:t>social</w:t>
      </w:r>
      <w:r>
        <w:rPr>
          <w:i/>
          <w:spacing w:val="-1"/>
        </w:rPr>
        <w:t> </w:t>
      </w:r>
      <w:r>
        <w:rPr>
          <w:i/>
          <w:spacing w:val="-4"/>
        </w:rPr>
        <w:t>care</w:t>
      </w:r>
    </w:p>
    <w:p>
      <w:pPr>
        <w:pStyle w:val="BodyText"/>
        <w:rPr>
          <w:b/>
          <w:i/>
          <w:sz w:val="28"/>
        </w:rPr>
      </w:pPr>
    </w:p>
    <w:p>
      <w:pPr>
        <w:pStyle w:val="BodyText"/>
        <w:rPr>
          <w:b/>
          <w:i/>
          <w:sz w:val="28"/>
        </w:rPr>
      </w:pPr>
    </w:p>
    <w:p>
      <w:pPr>
        <w:pStyle w:val="BodyText"/>
        <w:spacing w:before="312"/>
        <w:rPr>
          <w:b/>
          <w:i/>
          <w:sz w:val="28"/>
        </w:rPr>
      </w:pPr>
    </w:p>
    <w:p>
      <w:pPr>
        <w:pStyle w:val="Heading2"/>
        <w:rPr>
          <w:i/>
        </w:rPr>
      </w:pPr>
      <w:r>
        <w:rPr>
          <w:i/>
        </w:rPr>
        <w:t>Module</w:t>
      </w:r>
      <w:r>
        <w:rPr>
          <w:i/>
          <w:spacing w:val="-4"/>
        </w:rPr>
        <w:t> </w:t>
      </w:r>
      <w:r>
        <w:rPr>
          <w:i/>
        </w:rPr>
        <w:t>Code: </w:t>
      </w:r>
      <w:r>
        <w:rPr>
          <w:i/>
          <w:spacing w:val="-2"/>
        </w:rPr>
        <w:t>BMHP6020</w:t>
      </w:r>
    </w:p>
    <w:p>
      <w:pPr>
        <w:pStyle w:val="BodyText"/>
        <w:rPr>
          <w:b/>
          <w:i/>
          <w:sz w:val="28"/>
        </w:rPr>
      </w:pPr>
    </w:p>
    <w:p>
      <w:pPr>
        <w:pStyle w:val="BodyText"/>
        <w:spacing w:before="99"/>
        <w:rPr>
          <w:b/>
          <w:i/>
          <w:sz w:val="28"/>
        </w:rPr>
      </w:pPr>
    </w:p>
    <w:p>
      <w:pPr>
        <w:pStyle w:val="Heading2"/>
        <w:spacing w:line="396" w:lineRule="auto"/>
        <w:ind w:left="1747" w:right="1743"/>
      </w:pPr>
      <w:r>
        <w:rPr>
          <w:i/>
        </w:rPr>
        <w:t>Assignment</w:t>
      </w:r>
      <w:r>
        <w:rPr>
          <w:i/>
          <w:spacing w:val="-12"/>
        </w:rPr>
        <w:t> </w:t>
      </w:r>
      <w:r>
        <w:rPr>
          <w:i/>
        </w:rPr>
        <w:t>Title:</w:t>
      </w:r>
      <w:r>
        <w:rPr>
          <w:i/>
          <w:spacing w:val="-14"/>
        </w:rPr>
        <w:t> </w:t>
      </w:r>
      <w:r>
        <w:rPr>
          <w:i/>
        </w:rPr>
        <w:t>Component</w:t>
      </w:r>
      <w:r>
        <w:rPr>
          <w:i/>
          <w:spacing w:val="-12"/>
        </w:rPr>
        <w:t> </w:t>
      </w:r>
      <w:r>
        <w:rPr>
          <w:i/>
        </w:rPr>
        <w:t>1:</w:t>
      </w:r>
      <w:r>
        <w:rPr/>
        <w:t> (Research proposal)</w:t>
      </w:r>
    </w:p>
    <w:p>
      <w:pPr>
        <w:pStyle w:val="BodyText"/>
        <w:spacing w:before="216"/>
        <w:rPr>
          <w:b/>
          <w:i/>
          <w:sz w:val="28"/>
        </w:rPr>
      </w:pPr>
    </w:p>
    <w:p>
      <w:pPr>
        <w:pStyle w:val="Heading2"/>
        <w:spacing w:line="276" w:lineRule="auto"/>
        <w:ind w:right="0"/>
      </w:pPr>
      <w:r>
        <w:rPr>
          <w:i/>
        </w:rPr>
        <w:t>Topic:</w:t>
      </w:r>
      <w:r>
        <w:rPr>
          <w:i/>
          <w:spacing w:val="-3"/>
        </w:rPr>
        <w:t> </w:t>
      </w:r>
      <w:r>
        <w:rPr>
          <w:i/>
        </w:rPr>
        <w:t>The</w:t>
      </w:r>
      <w:r>
        <w:rPr>
          <w:i/>
          <w:spacing w:val="-6"/>
        </w:rPr>
        <w:t> </w:t>
      </w:r>
      <w:r>
        <w:rPr>
          <w:i/>
        </w:rPr>
        <w:t>impact</w:t>
      </w:r>
      <w:r>
        <w:rPr>
          <w:i/>
          <w:spacing w:val="-4"/>
        </w:rPr>
        <w:t> </w:t>
      </w:r>
      <w:r>
        <w:rPr>
          <w:i/>
        </w:rPr>
        <w:t>of</w:t>
      </w:r>
      <w:r>
        <w:rPr>
          <w:i/>
          <w:spacing w:val="-4"/>
        </w:rPr>
        <w:t> </w:t>
      </w:r>
      <w:r>
        <w:rPr>
          <w:i/>
        </w:rPr>
        <w:t>digital</w:t>
      </w:r>
      <w:r>
        <w:rPr>
          <w:i/>
          <w:spacing w:val="-9"/>
        </w:rPr>
        <w:t> </w:t>
      </w:r>
      <w:r>
        <w:rPr>
          <w:i/>
        </w:rPr>
        <w:t>innovation</w:t>
      </w:r>
      <w:r>
        <w:rPr>
          <w:i/>
          <w:spacing w:val="-7"/>
        </w:rPr>
        <w:t> </w:t>
      </w:r>
      <w:r>
        <w:rPr>
          <w:i/>
        </w:rPr>
        <w:t>and</w:t>
      </w:r>
      <w:r>
        <w:rPr>
          <w:i/>
          <w:spacing w:val="-7"/>
        </w:rPr>
        <w:t> </w:t>
      </w:r>
      <w:r>
        <w:rPr>
          <w:i/>
        </w:rPr>
        <w:t>telemedicine</w:t>
      </w:r>
      <w:r>
        <w:rPr>
          <w:i/>
          <w:spacing w:val="-6"/>
        </w:rPr>
        <w:t> </w:t>
      </w:r>
      <w:r>
        <w:rPr>
          <w:i/>
        </w:rPr>
        <w:t>on</w:t>
      </w:r>
      <w:r>
        <w:rPr/>
        <w:t> healthcare accessibility in the United Kingdom</w:t>
      </w:r>
    </w:p>
    <w:p>
      <w:pPr>
        <w:pStyle w:val="BodyText"/>
        <w:rPr>
          <w:b/>
          <w:i/>
          <w:sz w:val="28"/>
        </w:rPr>
      </w:pPr>
    </w:p>
    <w:p>
      <w:pPr>
        <w:pStyle w:val="BodyText"/>
        <w:rPr>
          <w:b/>
          <w:i/>
          <w:sz w:val="28"/>
        </w:rPr>
      </w:pPr>
    </w:p>
    <w:p>
      <w:pPr>
        <w:pStyle w:val="BodyText"/>
        <w:spacing w:before="264"/>
        <w:rPr>
          <w:b/>
          <w:i/>
          <w:sz w:val="28"/>
        </w:rPr>
      </w:pPr>
    </w:p>
    <w:p>
      <w:pPr>
        <w:pStyle w:val="Heading2"/>
        <w:spacing w:line="480" w:lineRule="auto"/>
        <w:ind w:left="2024" w:right="2023" w:hanging="3"/>
      </w:pPr>
      <w:r>
        <w:rPr>
          <w:i/>
        </w:rPr>
        <w:t>STUDENT NAME: RUTA</w:t>
      </w:r>
      <w:r>
        <w:rPr>
          <w:i/>
          <w:spacing w:val="40"/>
        </w:rPr>
        <w:t> </w:t>
      </w:r>
      <w:r>
        <w:rPr>
          <w:i/>
        </w:rPr>
        <w:t>EZRA</w:t>
      </w:r>
      <w:r>
        <w:rPr/>
        <w:t> STUDENT ID NUMBER:2310803 LECTURERS</w:t>
      </w:r>
      <w:r>
        <w:rPr>
          <w:spacing w:val="-18"/>
        </w:rPr>
        <w:t> </w:t>
      </w:r>
      <w:r>
        <w:rPr/>
        <w:t>NAME:CHOLE</w:t>
      </w:r>
      <w:r>
        <w:rPr>
          <w:spacing w:val="-18"/>
        </w:rPr>
        <w:t> </w:t>
      </w:r>
      <w:r>
        <w:rPr/>
        <w:t>HARRIES</w:t>
      </w:r>
    </w:p>
    <w:p>
      <w:pPr>
        <w:pStyle w:val="Heading4"/>
        <w:spacing w:line="286" w:lineRule="exact"/>
      </w:pPr>
      <w:r>
        <w:rPr>
          <w:spacing w:val="-2"/>
          <w:w w:val="105"/>
        </w:rPr>
        <w:t>Word</w:t>
      </w:r>
      <w:r>
        <w:rPr>
          <w:spacing w:val="-11"/>
          <w:w w:val="105"/>
        </w:rPr>
        <w:t> </w:t>
      </w:r>
      <w:r>
        <w:rPr>
          <w:spacing w:val="-2"/>
          <w:w w:val="105"/>
        </w:rPr>
        <w:t>count</w:t>
      </w:r>
      <w:r>
        <w:rPr>
          <w:spacing w:val="-8"/>
          <w:w w:val="105"/>
        </w:rPr>
        <w:t> </w:t>
      </w:r>
      <w:r>
        <w:rPr>
          <w:spacing w:val="-2"/>
          <w:w w:val="105"/>
        </w:rPr>
        <w:t>-</w:t>
      </w:r>
      <w:r>
        <w:rPr>
          <w:spacing w:val="-5"/>
          <w:w w:val="105"/>
        </w:rPr>
        <w:t>546</w:t>
      </w:r>
    </w:p>
    <w:p>
      <w:pPr>
        <w:pStyle w:val="Heading4"/>
        <w:spacing w:after="0" w:line="286" w:lineRule="exact"/>
        <w:sectPr>
          <w:footerReference w:type="default" r:id="rId5"/>
          <w:type w:val="continuous"/>
          <w:pgSz w:w="11910" w:h="16840"/>
          <w:pgMar w:header="0" w:footer="1096" w:top="1800" w:bottom="1280" w:left="1417" w:right="1417"/>
          <w:pgBorders w:offsetFrom="page">
            <w:top w:val="single" w:color="000000" w:space="24" w:sz="36"/>
            <w:left w:val="single" w:color="000000" w:space="24" w:sz="36"/>
            <w:bottom w:val="single" w:color="000000" w:space="24" w:sz="36"/>
            <w:right w:val="single" w:color="000000" w:space="24" w:sz="36"/>
          </w:pgBorders>
          <w:pgNumType w:start="1"/>
        </w:sectPr>
      </w:pPr>
    </w:p>
    <w:p>
      <w:pPr>
        <w:pStyle w:val="Heading5"/>
        <w:ind w:right="1"/>
        <w:jc w:val="center"/>
      </w:pPr>
      <w:r>
        <w:rPr/>
        <w:t>TABLE</w:t>
      </w:r>
      <w:r>
        <w:rPr>
          <w:spacing w:val="-12"/>
        </w:rPr>
        <w:t> </w:t>
      </w:r>
      <w:r>
        <w:rPr/>
        <w:t>OF</w:t>
      </w:r>
      <w:r>
        <w:rPr>
          <w:spacing w:val="-8"/>
        </w:rPr>
        <w:t> </w:t>
      </w:r>
      <w:r>
        <w:rPr>
          <w:spacing w:val="-2"/>
        </w:rPr>
        <w:t>CONTENT</w:t>
      </w:r>
    </w:p>
    <w:p>
      <w:pPr>
        <w:pStyle w:val="BodyText"/>
        <w:spacing w:before="29"/>
        <w:rPr>
          <w:b/>
        </w:rPr>
      </w:pPr>
    </w:p>
    <w:p>
      <w:pPr>
        <w:pStyle w:val="BodyText"/>
        <w:tabs>
          <w:tab w:pos="8301" w:val="left" w:leader="none"/>
        </w:tabs>
        <w:ind w:left="23"/>
      </w:pPr>
      <w:r>
        <w:rPr>
          <w:spacing w:val="-2"/>
        </w:rPr>
        <w:t>Contents</w:t>
      </w:r>
      <w:r>
        <w:rPr/>
        <w:tab/>
      </w:r>
      <w:r>
        <w:rPr>
          <w:spacing w:val="-2"/>
        </w:rPr>
        <w:t>Pages</w:t>
      </w:r>
    </w:p>
    <w:sdt>
      <w:sdtPr>
        <w:docPartObj>
          <w:docPartGallery w:val="Table of Contents"/>
          <w:docPartUnique/>
        </w:docPartObj>
      </w:sdtPr>
      <w:sdtEndPr/>
      <w:sdtContent>
        <w:p>
          <w:pPr>
            <w:pStyle w:val="TOC1"/>
            <w:numPr>
              <w:ilvl w:val="0"/>
              <w:numId w:val="1"/>
            </w:numPr>
            <w:tabs>
              <w:tab w:pos="411" w:val="left" w:leader="none"/>
              <w:tab w:pos="9040" w:val="right" w:leader="dot"/>
            </w:tabs>
            <w:spacing w:line="240" w:lineRule="auto" w:before="10" w:after="0"/>
            <w:ind w:left="411" w:right="0" w:hanging="388"/>
            <w:jc w:val="left"/>
            <w:rPr>
              <w:rFonts w:ascii="Calibri"/>
            </w:rPr>
          </w:pPr>
          <w:r>
            <w:fldChar w:fldCharType="begin"/>
          </w:r>
          <w:r>
            <w:instrText>TOC \o "1-1" \h \z \u </w:instrText>
          </w:r>
          <w:r>
            <w:fldChar w:fldCharType="separate"/>
          </w:r>
          <w:hyperlink w:history="true" w:anchor="_bookmark0">
            <w:r>
              <w:rPr>
                <w:spacing w:val="-5"/>
              </w:rPr>
              <w:t>Aim</w:t>
            </w:r>
            <w:r>
              <w:rPr>
                <w:rFonts w:ascii="Times New Roman"/>
              </w:rPr>
              <w:tab/>
            </w:r>
            <w:r>
              <w:rPr>
                <w:rFonts w:ascii="Calibri"/>
                <w:spacing w:val="-10"/>
              </w:rPr>
              <w:t>3</w:t>
            </w:r>
          </w:hyperlink>
        </w:p>
        <w:p>
          <w:pPr>
            <w:pStyle w:val="TOC1"/>
            <w:numPr>
              <w:ilvl w:val="0"/>
              <w:numId w:val="1"/>
            </w:numPr>
            <w:tabs>
              <w:tab w:pos="421" w:val="left" w:leader="none"/>
              <w:tab w:pos="9040" w:val="right" w:leader="dot"/>
            </w:tabs>
            <w:spacing w:line="240" w:lineRule="auto" w:before="147" w:after="0"/>
            <w:ind w:left="421" w:right="0" w:hanging="398"/>
            <w:jc w:val="left"/>
            <w:rPr>
              <w:rFonts w:ascii="Calibri"/>
            </w:rPr>
          </w:pPr>
          <w:hyperlink w:history="true" w:anchor="_bookmark1">
            <w:r>
              <w:rPr>
                <w:spacing w:val="-2"/>
              </w:rPr>
              <w:t>Objectives</w:t>
            </w:r>
            <w:r>
              <w:rPr>
                <w:rFonts w:ascii="Times New Roman"/>
              </w:rPr>
              <w:tab/>
            </w:r>
            <w:r>
              <w:rPr>
                <w:rFonts w:ascii="Calibri"/>
                <w:spacing w:val="-10"/>
              </w:rPr>
              <w:t>3</w:t>
            </w:r>
          </w:hyperlink>
        </w:p>
        <w:p>
          <w:pPr>
            <w:pStyle w:val="TOC1"/>
            <w:numPr>
              <w:ilvl w:val="0"/>
              <w:numId w:val="1"/>
            </w:numPr>
            <w:tabs>
              <w:tab w:pos="421" w:val="left" w:leader="none"/>
              <w:tab w:pos="9040" w:val="right" w:leader="dot"/>
            </w:tabs>
            <w:spacing w:line="240" w:lineRule="auto" w:before="147" w:after="0"/>
            <w:ind w:left="421" w:right="0" w:hanging="398"/>
            <w:jc w:val="left"/>
            <w:rPr>
              <w:rFonts w:ascii="Calibri"/>
            </w:rPr>
          </w:pPr>
          <w:hyperlink w:history="true" w:anchor="_bookmark2">
            <w:r>
              <w:rPr/>
              <w:t>Background</w:t>
            </w:r>
            <w:r>
              <w:rPr>
                <w:spacing w:val="-4"/>
              </w:rPr>
              <w:t> </w:t>
            </w:r>
            <w:r>
              <w:rPr/>
              <w:t>/</w:t>
            </w:r>
            <w:r>
              <w:rPr>
                <w:spacing w:val="-5"/>
              </w:rPr>
              <w:t> </w:t>
            </w:r>
            <w:r>
              <w:rPr>
                <w:spacing w:val="-2"/>
              </w:rPr>
              <w:t>Rationale</w:t>
            </w:r>
            <w:r>
              <w:rPr>
                <w:rFonts w:ascii="Times New Roman"/>
              </w:rPr>
              <w:tab/>
            </w:r>
            <w:r>
              <w:rPr>
                <w:rFonts w:ascii="Calibri"/>
                <w:spacing w:val="-10"/>
              </w:rPr>
              <w:t>3</w:t>
            </w:r>
          </w:hyperlink>
        </w:p>
        <w:p>
          <w:pPr>
            <w:pStyle w:val="TOC1"/>
            <w:numPr>
              <w:ilvl w:val="0"/>
              <w:numId w:val="1"/>
            </w:numPr>
            <w:tabs>
              <w:tab w:pos="421" w:val="left" w:leader="none"/>
              <w:tab w:pos="9040" w:val="right" w:leader="dot"/>
            </w:tabs>
            <w:spacing w:line="240" w:lineRule="auto" w:before="147" w:after="0"/>
            <w:ind w:left="421" w:right="0" w:hanging="398"/>
            <w:jc w:val="left"/>
            <w:rPr>
              <w:rFonts w:ascii="Calibri"/>
            </w:rPr>
          </w:pPr>
          <w:hyperlink w:history="true" w:anchor="_bookmark3">
            <w:r>
              <w:rPr>
                <w:spacing w:val="-2"/>
              </w:rPr>
              <w:t>Methods</w:t>
            </w:r>
            <w:r>
              <w:rPr>
                <w:rFonts w:ascii="Times New Roman"/>
              </w:rPr>
              <w:tab/>
            </w:r>
            <w:r>
              <w:rPr>
                <w:rFonts w:ascii="Calibri"/>
                <w:spacing w:val="-10"/>
              </w:rPr>
              <w:t>4</w:t>
            </w:r>
          </w:hyperlink>
        </w:p>
        <w:p>
          <w:pPr>
            <w:pStyle w:val="TOC1"/>
            <w:numPr>
              <w:ilvl w:val="0"/>
              <w:numId w:val="1"/>
            </w:numPr>
            <w:tabs>
              <w:tab w:pos="421" w:val="left" w:leader="none"/>
              <w:tab w:pos="9040" w:val="right" w:leader="dot"/>
            </w:tabs>
            <w:spacing w:line="240" w:lineRule="auto" w:before="147" w:after="0"/>
            <w:ind w:left="421" w:right="0" w:hanging="398"/>
            <w:jc w:val="left"/>
            <w:rPr>
              <w:rFonts w:ascii="Calibri"/>
            </w:rPr>
          </w:pPr>
          <w:hyperlink w:history="true" w:anchor="_bookmark4">
            <w:r>
              <w:rPr>
                <w:spacing w:val="-2"/>
              </w:rPr>
              <w:t>Resources</w:t>
            </w:r>
            <w:r>
              <w:rPr>
                <w:rFonts w:ascii="Times New Roman"/>
              </w:rPr>
              <w:tab/>
            </w:r>
            <w:r>
              <w:rPr>
                <w:rFonts w:ascii="Calibri"/>
                <w:spacing w:val="-10"/>
              </w:rPr>
              <w:t>4</w:t>
            </w:r>
          </w:hyperlink>
        </w:p>
        <w:p>
          <w:pPr>
            <w:pStyle w:val="TOC1"/>
            <w:numPr>
              <w:ilvl w:val="0"/>
              <w:numId w:val="1"/>
            </w:numPr>
            <w:tabs>
              <w:tab w:pos="416" w:val="left" w:leader="none"/>
              <w:tab w:pos="9040" w:val="right" w:leader="dot"/>
            </w:tabs>
            <w:spacing w:line="240" w:lineRule="auto" w:before="148" w:after="0"/>
            <w:ind w:left="416" w:right="0" w:hanging="393"/>
            <w:jc w:val="left"/>
            <w:rPr>
              <w:rFonts w:ascii="Calibri"/>
            </w:rPr>
          </w:pPr>
          <w:hyperlink w:history="true" w:anchor="_bookmark5">
            <w:r>
              <w:rPr>
                <w:spacing w:val="-2"/>
              </w:rPr>
              <w:t>Timescale</w:t>
            </w:r>
            <w:r>
              <w:rPr>
                <w:rFonts w:ascii="Times New Roman"/>
              </w:rPr>
              <w:tab/>
            </w:r>
            <w:r>
              <w:rPr>
                <w:rFonts w:ascii="Calibri"/>
                <w:spacing w:val="-10"/>
              </w:rPr>
              <w:t>4</w:t>
            </w:r>
          </w:hyperlink>
        </w:p>
        <w:p>
          <w:pPr>
            <w:pStyle w:val="TOC1"/>
            <w:numPr>
              <w:ilvl w:val="0"/>
              <w:numId w:val="1"/>
            </w:numPr>
            <w:tabs>
              <w:tab w:pos="421" w:val="left" w:leader="none"/>
              <w:tab w:pos="9040" w:val="right" w:leader="dot"/>
            </w:tabs>
            <w:spacing w:line="240" w:lineRule="auto" w:before="142" w:after="0"/>
            <w:ind w:left="421" w:right="0" w:hanging="398"/>
            <w:jc w:val="left"/>
            <w:rPr>
              <w:rFonts w:ascii="Calibri"/>
            </w:rPr>
          </w:pPr>
          <w:hyperlink w:history="true" w:anchor="_bookmark6">
            <w:r>
              <w:rPr/>
              <w:t>Self-</w:t>
            </w:r>
            <w:r>
              <w:rPr>
                <w:spacing w:val="-2"/>
              </w:rPr>
              <w:t>Reflection</w:t>
            </w:r>
            <w:r>
              <w:rPr>
                <w:rFonts w:ascii="Times New Roman"/>
              </w:rPr>
              <w:tab/>
            </w:r>
            <w:r>
              <w:rPr>
                <w:rFonts w:ascii="Calibri"/>
                <w:spacing w:val="-10"/>
              </w:rPr>
              <w:t>4</w:t>
            </w:r>
          </w:hyperlink>
        </w:p>
        <w:p>
          <w:pPr>
            <w:pStyle w:val="TOC1"/>
            <w:numPr>
              <w:ilvl w:val="0"/>
              <w:numId w:val="1"/>
            </w:numPr>
            <w:tabs>
              <w:tab w:pos="421" w:val="left" w:leader="none"/>
              <w:tab w:pos="9040" w:val="right" w:leader="dot"/>
            </w:tabs>
            <w:spacing w:line="240" w:lineRule="auto" w:before="147" w:after="0"/>
            <w:ind w:left="421" w:right="0" w:hanging="398"/>
            <w:jc w:val="left"/>
            <w:rPr>
              <w:rFonts w:ascii="Calibri"/>
            </w:rPr>
          </w:pPr>
          <w:hyperlink w:history="true" w:anchor="_bookmark7">
            <w:r>
              <w:rPr>
                <w:spacing w:val="-2"/>
              </w:rPr>
              <w:t>References</w:t>
            </w:r>
            <w:r>
              <w:rPr>
                <w:rFonts w:ascii="Times New Roman"/>
              </w:rPr>
              <w:tab/>
            </w:r>
            <w:r>
              <w:rPr>
                <w:rFonts w:ascii="Calibri"/>
                <w:spacing w:val="-10"/>
              </w:rPr>
              <w:t>5</w:t>
            </w:r>
          </w:hyperlink>
        </w:p>
        <w:p>
          <w:pPr>
            <w:pStyle w:val="TOC1"/>
            <w:numPr>
              <w:ilvl w:val="0"/>
              <w:numId w:val="1"/>
            </w:numPr>
            <w:tabs>
              <w:tab w:pos="411" w:val="left" w:leader="none"/>
              <w:tab w:pos="9040" w:val="right" w:leader="dot"/>
            </w:tabs>
            <w:spacing w:line="240" w:lineRule="auto" w:before="147" w:after="0"/>
            <w:ind w:left="411" w:right="0" w:hanging="388"/>
            <w:jc w:val="left"/>
            <w:rPr>
              <w:rFonts w:ascii="Calibri"/>
            </w:rPr>
          </w:pPr>
          <w:hyperlink w:history="true" w:anchor="_bookmark8">
            <w:r>
              <w:rPr>
                <w:spacing w:val="-2"/>
              </w:rPr>
              <w:t>Appendices</w:t>
            </w:r>
            <w:r>
              <w:rPr>
                <w:rFonts w:ascii="Times New Roman"/>
              </w:rPr>
              <w:tab/>
            </w:r>
            <w:r>
              <w:rPr>
                <w:rFonts w:ascii="Calibri"/>
                <w:spacing w:val="-10"/>
              </w:rPr>
              <w:t>6</w:t>
            </w:r>
          </w:hyperlink>
        </w:p>
        <w:p>
          <w:pPr/>
          <w:r>
            <w:fldChar w:fldCharType="end"/>
          </w:r>
        </w:p>
      </w:sdtContent>
    </w:sdt>
    <w:p>
      <w:pPr>
        <w:spacing w:after="0"/>
        <w:sectPr>
          <w:pgSz w:w="11910" w:h="16840"/>
          <w:pgMar w:header="0" w:footer="1096" w:top="1380" w:bottom="1280" w:left="1417" w:right="1417"/>
        </w:sectPr>
      </w:pPr>
    </w:p>
    <w:p>
      <w:pPr>
        <w:pStyle w:val="Heading1"/>
        <w:numPr>
          <w:ilvl w:val="0"/>
          <w:numId w:val="2"/>
        </w:numPr>
        <w:tabs>
          <w:tab w:pos="546" w:val="left" w:leader="none"/>
        </w:tabs>
        <w:spacing w:line="240" w:lineRule="auto" w:before="60" w:after="0"/>
        <w:ind w:left="546" w:right="0" w:hanging="523"/>
        <w:jc w:val="left"/>
      </w:pPr>
      <w:bookmarkStart w:name="1.0 Aim" w:id="1"/>
      <w:bookmarkEnd w:id="1"/>
      <w:r>
        <w:rPr>
          <w:b w:val="0"/>
        </w:rPr>
      </w:r>
      <w:bookmarkStart w:name="_bookmark0" w:id="2"/>
      <w:bookmarkEnd w:id="2"/>
      <w:r>
        <w:rPr>
          <w:b w:val="0"/>
        </w:rPr>
      </w:r>
      <w:r>
        <w:rPr>
          <w:spacing w:val="-5"/>
        </w:rPr>
        <w:t>Aim</w:t>
      </w:r>
    </w:p>
    <w:p>
      <w:pPr>
        <w:pStyle w:val="BodyText"/>
        <w:spacing w:line="360" w:lineRule="auto" w:before="266"/>
        <w:ind w:left="23" w:right="36"/>
        <w:jc w:val="both"/>
      </w:pPr>
      <w:r>
        <w:rPr/>
        <w:t>To assess critically how telemedicine and digital innovation have affected healthcare accessibility in</w:t>
      </w:r>
      <w:r>
        <w:rPr>
          <w:spacing w:val="-2"/>
        </w:rPr>
        <w:t> </w:t>
      </w:r>
      <w:r>
        <w:rPr/>
        <w:t>the</w:t>
      </w:r>
      <w:r>
        <w:rPr>
          <w:spacing w:val="-2"/>
        </w:rPr>
        <w:t> </w:t>
      </w:r>
      <w:r>
        <w:rPr/>
        <w:t>UK,</w:t>
      </w:r>
      <w:r>
        <w:rPr>
          <w:spacing w:val="-1"/>
        </w:rPr>
        <w:t> </w:t>
      </w:r>
      <w:r>
        <w:rPr/>
        <w:t>paying</w:t>
      </w:r>
      <w:r>
        <w:rPr>
          <w:spacing w:val="-2"/>
        </w:rPr>
        <w:t> </w:t>
      </w:r>
      <w:r>
        <w:rPr/>
        <w:t>special attention</w:t>
      </w:r>
      <w:r>
        <w:rPr>
          <w:spacing w:val="-2"/>
        </w:rPr>
        <w:t> </w:t>
      </w:r>
      <w:r>
        <w:rPr/>
        <w:t>to whether the</w:t>
      </w:r>
      <w:r>
        <w:rPr>
          <w:spacing w:val="-2"/>
        </w:rPr>
        <w:t> </w:t>
      </w:r>
      <w:r>
        <w:rPr/>
        <w:t>current health and</w:t>
      </w:r>
      <w:r>
        <w:rPr>
          <w:spacing w:val="-2"/>
        </w:rPr>
        <w:t> </w:t>
      </w:r>
      <w:r>
        <w:rPr/>
        <w:t>social care practices are adequate for the populations most in need of equal access to healthcare.</w:t>
      </w:r>
    </w:p>
    <w:p>
      <w:pPr>
        <w:pStyle w:val="BodyText"/>
        <w:spacing w:before="105"/>
      </w:pPr>
    </w:p>
    <w:p>
      <w:pPr>
        <w:pStyle w:val="Heading1"/>
        <w:numPr>
          <w:ilvl w:val="0"/>
          <w:numId w:val="2"/>
        </w:numPr>
        <w:tabs>
          <w:tab w:pos="559" w:val="left" w:leader="none"/>
        </w:tabs>
        <w:spacing w:line="240" w:lineRule="auto" w:before="0" w:after="0"/>
        <w:ind w:left="559" w:right="0" w:hanging="536"/>
        <w:jc w:val="left"/>
      </w:pPr>
      <w:bookmarkStart w:name="2.0 Objectives" w:id="3"/>
      <w:bookmarkEnd w:id="3"/>
      <w:r>
        <w:rPr>
          <w:b w:val="0"/>
        </w:rPr>
      </w:r>
      <w:bookmarkStart w:name="_bookmark1" w:id="4"/>
      <w:bookmarkEnd w:id="4"/>
      <w:r>
        <w:rPr>
          <w:b w:val="0"/>
        </w:rPr>
      </w:r>
      <w:r>
        <w:rPr>
          <w:spacing w:val="-2"/>
        </w:rPr>
        <w:t>Objectives</w:t>
      </w:r>
    </w:p>
    <w:p>
      <w:pPr>
        <w:pStyle w:val="ListParagraph"/>
        <w:numPr>
          <w:ilvl w:val="1"/>
          <w:numId w:val="2"/>
        </w:numPr>
        <w:tabs>
          <w:tab w:pos="744" w:val="left" w:leader="none"/>
        </w:tabs>
        <w:spacing w:line="355" w:lineRule="auto" w:before="267" w:after="0"/>
        <w:ind w:left="744" w:right="32" w:hanging="360"/>
        <w:jc w:val="both"/>
        <w:rPr>
          <w:sz w:val="22"/>
        </w:rPr>
      </w:pPr>
      <w:r>
        <w:rPr>
          <w:sz w:val="22"/>
        </w:rPr>
        <w:t>To clarify and investigate the terms "digital innovation," "telemedicine," "healthcare accessibility,"</w:t>
      </w:r>
      <w:r>
        <w:rPr>
          <w:spacing w:val="-5"/>
          <w:sz w:val="22"/>
        </w:rPr>
        <w:t> </w:t>
      </w:r>
      <w:r>
        <w:rPr>
          <w:sz w:val="22"/>
        </w:rPr>
        <w:t>and</w:t>
      </w:r>
      <w:r>
        <w:rPr>
          <w:spacing w:val="-8"/>
          <w:sz w:val="22"/>
        </w:rPr>
        <w:t> </w:t>
      </w:r>
      <w:r>
        <w:rPr>
          <w:sz w:val="22"/>
        </w:rPr>
        <w:t>"digital</w:t>
      </w:r>
      <w:r>
        <w:rPr>
          <w:spacing w:val="-5"/>
          <w:sz w:val="22"/>
        </w:rPr>
        <w:t> </w:t>
      </w:r>
      <w:r>
        <w:rPr>
          <w:sz w:val="22"/>
        </w:rPr>
        <w:t>exclusion"</w:t>
      </w:r>
      <w:r>
        <w:rPr>
          <w:spacing w:val="-5"/>
          <w:sz w:val="22"/>
        </w:rPr>
        <w:t> </w:t>
      </w:r>
      <w:r>
        <w:rPr>
          <w:sz w:val="22"/>
        </w:rPr>
        <w:t>in</w:t>
      </w:r>
      <w:r>
        <w:rPr>
          <w:spacing w:val="-8"/>
          <w:sz w:val="22"/>
        </w:rPr>
        <w:t> </w:t>
      </w:r>
      <w:r>
        <w:rPr>
          <w:sz w:val="22"/>
        </w:rPr>
        <w:t>relation</w:t>
      </w:r>
      <w:r>
        <w:rPr>
          <w:spacing w:val="-4"/>
          <w:sz w:val="22"/>
        </w:rPr>
        <w:t> </w:t>
      </w:r>
      <w:r>
        <w:rPr>
          <w:sz w:val="22"/>
        </w:rPr>
        <w:t>to</w:t>
      </w:r>
      <w:r>
        <w:rPr>
          <w:spacing w:val="-4"/>
          <w:sz w:val="22"/>
        </w:rPr>
        <w:t> </w:t>
      </w:r>
      <w:r>
        <w:rPr>
          <w:sz w:val="22"/>
        </w:rPr>
        <w:t>the</w:t>
      </w:r>
      <w:r>
        <w:rPr>
          <w:spacing w:val="-8"/>
          <w:sz w:val="22"/>
        </w:rPr>
        <w:t> </w:t>
      </w:r>
      <w:r>
        <w:rPr>
          <w:sz w:val="22"/>
        </w:rPr>
        <w:t>health</w:t>
      </w:r>
      <w:r>
        <w:rPr>
          <w:spacing w:val="-4"/>
          <w:sz w:val="22"/>
        </w:rPr>
        <w:t> </w:t>
      </w:r>
      <w:r>
        <w:rPr>
          <w:sz w:val="22"/>
        </w:rPr>
        <w:t>and</w:t>
      </w:r>
      <w:r>
        <w:rPr>
          <w:spacing w:val="-8"/>
          <w:sz w:val="22"/>
        </w:rPr>
        <w:t> </w:t>
      </w:r>
      <w:r>
        <w:rPr>
          <w:sz w:val="22"/>
        </w:rPr>
        <w:t>social</w:t>
      </w:r>
      <w:r>
        <w:rPr>
          <w:spacing w:val="-5"/>
          <w:sz w:val="22"/>
        </w:rPr>
        <w:t> </w:t>
      </w:r>
      <w:r>
        <w:rPr>
          <w:sz w:val="22"/>
        </w:rPr>
        <w:t>care</w:t>
      </w:r>
      <w:r>
        <w:rPr>
          <w:spacing w:val="-8"/>
          <w:sz w:val="22"/>
        </w:rPr>
        <w:t> </w:t>
      </w:r>
      <w:r>
        <w:rPr>
          <w:sz w:val="22"/>
        </w:rPr>
        <w:t>system</w:t>
      </w:r>
      <w:r>
        <w:rPr>
          <w:spacing w:val="-5"/>
          <w:sz w:val="22"/>
        </w:rPr>
        <w:t> </w:t>
      </w:r>
      <w:r>
        <w:rPr>
          <w:sz w:val="22"/>
        </w:rPr>
        <w:t>in the United Kingdom.</w:t>
      </w:r>
    </w:p>
    <w:p>
      <w:pPr>
        <w:pStyle w:val="ListParagraph"/>
        <w:numPr>
          <w:ilvl w:val="1"/>
          <w:numId w:val="2"/>
        </w:numPr>
        <w:tabs>
          <w:tab w:pos="744" w:val="left" w:leader="none"/>
        </w:tabs>
        <w:spacing w:line="352" w:lineRule="auto" w:before="7" w:after="0"/>
        <w:ind w:left="744" w:right="33" w:hanging="360"/>
        <w:jc w:val="both"/>
        <w:rPr>
          <w:sz w:val="22"/>
        </w:rPr>
      </w:pPr>
      <w:r>
        <w:rPr>
          <w:sz w:val="22"/>
        </w:rPr>
        <w:t>To evaluate government policies, NHS strategies, and recent UK literature on digital transformation and healthcare accessibility.</w:t>
      </w:r>
    </w:p>
    <w:p>
      <w:pPr>
        <w:pStyle w:val="ListParagraph"/>
        <w:numPr>
          <w:ilvl w:val="1"/>
          <w:numId w:val="2"/>
        </w:numPr>
        <w:tabs>
          <w:tab w:pos="744" w:val="left" w:leader="none"/>
        </w:tabs>
        <w:spacing w:line="350" w:lineRule="auto" w:before="7" w:after="0"/>
        <w:ind w:left="744" w:right="32" w:hanging="360"/>
        <w:jc w:val="both"/>
        <w:rPr>
          <w:sz w:val="22"/>
        </w:rPr>
      </w:pPr>
      <w:r>
        <w:rPr>
          <w:sz w:val="22"/>
        </w:rPr>
        <w:t>To assess the impact of digital healthcare interventions on service accessibility for various UK population groups.</w:t>
      </w:r>
    </w:p>
    <w:p>
      <w:pPr>
        <w:pStyle w:val="ListParagraph"/>
        <w:numPr>
          <w:ilvl w:val="1"/>
          <w:numId w:val="2"/>
        </w:numPr>
        <w:tabs>
          <w:tab w:pos="744" w:val="left" w:leader="none"/>
        </w:tabs>
        <w:spacing w:line="348" w:lineRule="auto" w:before="13" w:after="0"/>
        <w:ind w:left="744" w:right="26" w:hanging="360"/>
        <w:jc w:val="both"/>
        <w:rPr>
          <w:sz w:val="22"/>
        </w:rPr>
      </w:pPr>
      <w:r>
        <w:rPr>
          <w:sz w:val="22"/>
        </w:rPr>
        <w:t>To make evidence-based suggestions for enhancing accessibility and minimising possible disparities in the delivery of digital healthcare.</w:t>
      </w:r>
    </w:p>
    <w:p>
      <w:pPr>
        <w:pStyle w:val="BodyText"/>
        <w:spacing w:before="115"/>
      </w:pPr>
    </w:p>
    <w:p>
      <w:pPr>
        <w:pStyle w:val="Heading1"/>
        <w:numPr>
          <w:ilvl w:val="0"/>
          <w:numId w:val="2"/>
        </w:numPr>
        <w:tabs>
          <w:tab w:pos="559" w:val="left" w:leader="none"/>
        </w:tabs>
        <w:spacing w:line="240" w:lineRule="auto" w:before="0" w:after="0"/>
        <w:ind w:left="559" w:right="0" w:hanging="536"/>
        <w:jc w:val="left"/>
      </w:pPr>
      <w:bookmarkStart w:name="3.0 Background / Rationale" w:id="5"/>
      <w:bookmarkEnd w:id="5"/>
      <w:r>
        <w:rPr>
          <w:b w:val="0"/>
        </w:rPr>
      </w:r>
      <w:bookmarkStart w:name="_bookmark2" w:id="6"/>
      <w:bookmarkEnd w:id="6"/>
      <w:r>
        <w:rPr>
          <w:b w:val="0"/>
        </w:rPr>
      </w:r>
      <w:r>
        <w:rPr/>
        <w:t>Background</w:t>
      </w:r>
      <w:r>
        <w:rPr>
          <w:spacing w:val="-4"/>
        </w:rPr>
        <w:t> </w:t>
      </w:r>
      <w:r>
        <w:rPr/>
        <w:t>/</w:t>
      </w:r>
      <w:r>
        <w:rPr>
          <w:spacing w:val="-5"/>
        </w:rPr>
        <w:t> </w:t>
      </w:r>
      <w:r>
        <w:rPr>
          <w:spacing w:val="-2"/>
        </w:rPr>
        <w:t>Rationale</w:t>
      </w:r>
    </w:p>
    <w:p>
      <w:pPr>
        <w:pStyle w:val="BodyText"/>
        <w:spacing w:line="360" w:lineRule="auto" w:before="271"/>
        <w:ind w:left="23" w:right="20"/>
        <w:jc w:val="both"/>
      </w:pPr>
      <w:r>
        <w:rPr/>
        <w:t>In</w:t>
      </w:r>
      <w:r>
        <w:rPr>
          <w:spacing w:val="-16"/>
        </w:rPr>
        <w:t> </w:t>
      </w:r>
      <w:r>
        <w:rPr/>
        <w:t>the</w:t>
      </w:r>
      <w:r>
        <w:rPr>
          <w:spacing w:val="-15"/>
        </w:rPr>
        <w:t> </w:t>
      </w:r>
      <w:r>
        <w:rPr/>
        <w:t>UK,</w:t>
      </w:r>
      <w:r>
        <w:rPr>
          <w:spacing w:val="-15"/>
        </w:rPr>
        <w:t> </w:t>
      </w:r>
      <w:r>
        <w:rPr/>
        <w:t>digital</w:t>
      </w:r>
      <w:r>
        <w:rPr>
          <w:spacing w:val="-16"/>
        </w:rPr>
        <w:t> </w:t>
      </w:r>
      <w:r>
        <w:rPr/>
        <w:t>innovation</w:t>
      </w:r>
      <w:r>
        <w:rPr>
          <w:spacing w:val="-15"/>
        </w:rPr>
        <w:t> </w:t>
      </w:r>
      <w:r>
        <w:rPr/>
        <w:t>has</w:t>
      </w:r>
      <w:r>
        <w:rPr>
          <w:spacing w:val="-15"/>
        </w:rPr>
        <w:t> </w:t>
      </w:r>
      <w:r>
        <w:rPr/>
        <w:t>drastically</w:t>
      </w:r>
      <w:r>
        <w:rPr>
          <w:spacing w:val="-15"/>
        </w:rPr>
        <w:t> </w:t>
      </w:r>
      <w:r>
        <w:rPr/>
        <w:t>changed</w:t>
      </w:r>
      <w:r>
        <w:rPr>
          <w:spacing w:val="-16"/>
        </w:rPr>
        <w:t> </w:t>
      </w:r>
      <w:r>
        <w:rPr/>
        <w:t>the</w:t>
      </w:r>
      <w:r>
        <w:rPr>
          <w:spacing w:val="-15"/>
        </w:rPr>
        <w:t> </w:t>
      </w:r>
      <w:r>
        <w:rPr/>
        <w:t>way</w:t>
      </w:r>
      <w:r>
        <w:rPr>
          <w:spacing w:val="-15"/>
        </w:rPr>
        <w:t> </w:t>
      </w:r>
      <w:r>
        <w:rPr/>
        <w:t>healthcare</w:t>
      </w:r>
      <w:r>
        <w:rPr>
          <w:spacing w:val="-16"/>
        </w:rPr>
        <w:t> </w:t>
      </w:r>
      <w:r>
        <w:rPr/>
        <w:t>is</w:t>
      </w:r>
      <w:r>
        <w:rPr>
          <w:spacing w:val="-15"/>
        </w:rPr>
        <w:t> </w:t>
      </w:r>
      <w:r>
        <w:rPr/>
        <w:t>delivered,</w:t>
      </w:r>
      <w:r>
        <w:rPr>
          <w:spacing w:val="-15"/>
        </w:rPr>
        <w:t> </w:t>
      </w:r>
      <w:r>
        <w:rPr/>
        <w:t>especially in the wake of the COVID-19 pandemic. Electronic prescriptions, remote consultations, and online triage systems have replaced traditional models (Greenhalgh et al., 2025). More than 30% of GP consultations in England still happen over the phone or via video, according to recent data, and remote GP appointments significantly increased during the pandemic (Mesiano and Santos, 2025). Over 40 million people use an NHS login to access services such</w:t>
      </w:r>
      <w:r>
        <w:rPr>
          <w:spacing w:val="-16"/>
        </w:rPr>
        <w:t> </w:t>
      </w:r>
      <w:r>
        <w:rPr/>
        <w:t>as</w:t>
      </w:r>
      <w:r>
        <w:rPr>
          <w:spacing w:val="-15"/>
        </w:rPr>
        <w:t> </w:t>
      </w:r>
      <w:r>
        <w:rPr/>
        <w:t>appointment</w:t>
      </w:r>
      <w:r>
        <w:rPr>
          <w:spacing w:val="-15"/>
        </w:rPr>
        <w:t> </w:t>
      </w:r>
      <w:r>
        <w:rPr/>
        <w:t>booking</w:t>
      </w:r>
      <w:r>
        <w:rPr>
          <w:spacing w:val="-9"/>
        </w:rPr>
        <w:t> </w:t>
      </w:r>
      <w:r>
        <w:rPr/>
        <w:t>and</w:t>
      </w:r>
      <w:r>
        <w:rPr>
          <w:spacing w:val="-9"/>
        </w:rPr>
        <w:t> </w:t>
      </w:r>
      <w:r>
        <w:rPr/>
        <w:t>prescriptions</w:t>
      </w:r>
      <w:r>
        <w:rPr>
          <w:spacing w:val="-16"/>
        </w:rPr>
        <w:t> </w:t>
      </w:r>
      <w:r>
        <w:rPr/>
        <w:t>(Reidy</w:t>
      </w:r>
      <w:r>
        <w:rPr>
          <w:spacing w:val="-11"/>
        </w:rPr>
        <w:t> </w:t>
      </w:r>
      <w:r>
        <w:rPr/>
        <w:t>et</w:t>
      </w:r>
      <w:r>
        <w:rPr>
          <w:spacing w:val="-13"/>
        </w:rPr>
        <w:t> </w:t>
      </w:r>
      <w:r>
        <w:rPr/>
        <w:t>al.,</w:t>
      </w:r>
      <w:r>
        <w:rPr>
          <w:spacing w:val="-13"/>
        </w:rPr>
        <w:t> </w:t>
      </w:r>
      <w:r>
        <w:rPr/>
        <w:t>2025).</w:t>
      </w:r>
      <w:r>
        <w:rPr>
          <w:spacing w:val="-16"/>
        </w:rPr>
        <w:t> </w:t>
      </w:r>
      <w:r>
        <w:rPr/>
        <w:t>The</w:t>
      </w:r>
      <w:r>
        <w:rPr>
          <w:spacing w:val="-13"/>
        </w:rPr>
        <w:t> </w:t>
      </w:r>
      <w:r>
        <w:rPr/>
        <w:t>NHS</w:t>
      </w:r>
      <w:r>
        <w:rPr>
          <w:spacing w:val="-13"/>
        </w:rPr>
        <w:t> </w:t>
      </w:r>
      <w:r>
        <w:rPr/>
        <w:t>Long</w:t>
      </w:r>
      <w:r>
        <w:rPr>
          <w:spacing w:val="-16"/>
        </w:rPr>
        <w:t> </w:t>
      </w:r>
      <w:r>
        <w:rPr/>
        <w:t>Term</w:t>
      </w:r>
      <w:r>
        <w:rPr>
          <w:spacing w:val="-9"/>
        </w:rPr>
        <w:t> </w:t>
      </w:r>
      <w:r>
        <w:rPr/>
        <w:t>Plan highlights digital transformation as central to improving efficiency and access to care (NHS England, 2025), with recent policies supporting wider digital integration.</w:t>
      </w:r>
    </w:p>
    <w:p>
      <w:pPr>
        <w:pStyle w:val="BodyText"/>
        <w:spacing w:line="360" w:lineRule="auto" w:before="161"/>
        <w:ind w:left="23" w:right="24"/>
        <w:jc w:val="both"/>
      </w:pPr>
      <w:r>
        <w:rPr/>
        <w:t>Access</w:t>
      </w:r>
      <w:r>
        <w:rPr>
          <w:spacing w:val="-15"/>
        </w:rPr>
        <w:t> </w:t>
      </w:r>
      <w:r>
        <w:rPr/>
        <w:t>to</w:t>
      </w:r>
      <w:r>
        <w:rPr>
          <w:spacing w:val="-11"/>
        </w:rPr>
        <w:t> </w:t>
      </w:r>
      <w:r>
        <w:rPr/>
        <w:t>healthcare</w:t>
      </w:r>
      <w:r>
        <w:rPr>
          <w:spacing w:val="-12"/>
        </w:rPr>
        <w:t> </w:t>
      </w:r>
      <w:r>
        <w:rPr/>
        <w:t>is</w:t>
      </w:r>
      <w:r>
        <w:rPr>
          <w:spacing w:val="-15"/>
        </w:rPr>
        <w:t> </w:t>
      </w:r>
      <w:r>
        <w:rPr/>
        <w:t>still</w:t>
      </w:r>
      <w:r>
        <w:rPr>
          <w:spacing w:val="-14"/>
        </w:rPr>
        <w:t> </w:t>
      </w:r>
      <w:r>
        <w:rPr/>
        <w:t>unequal</w:t>
      </w:r>
      <w:r>
        <w:rPr>
          <w:spacing w:val="-14"/>
        </w:rPr>
        <w:t> </w:t>
      </w:r>
      <w:r>
        <w:rPr/>
        <w:t>in</w:t>
      </w:r>
      <w:r>
        <w:rPr>
          <w:spacing w:val="-12"/>
        </w:rPr>
        <w:t> </w:t>
      </w:r>
      <w:r>
        <w:rPr/>
        <w:t>spite</w:t>
      </w:r>
      <w:r>
        <w:rPr>
          <w:spacing w:val="-12"/>
        </w:rPr>
        <w:t> </w:t>
      </w:r>
      <w:r>
        <w:rPr/>
        <w:t>of</w:t>
      </w:r>
      <w:r>
        <w:rPr>
          <w:spacing w:val="-11"/>
        </w:rPr>
        <w:t> </w:t>
      </w:r>
      <w:r>
        <w:rPr/>
        <w:t>these</w:t>
      </w:r>
      <w:r>
        <w:rPr>
          <w:spacing w:val="-7"/>
        </w:rPr>
        <w:t> </w:t>
      </w:r>
      <w:r>
        <w:rPr/>
        <w:t>developments.</w:t>
      </w:r>
      <w:r>
        <w:rPr>
          <w:spacing w:val="-16"/>
        </w:rPr>
        <w:t> </w:t>
      </w:r>
      <w:r>
        <w:rPr/>
        <w:t>Accessing</w:t>
      </w:r>
      <w:r>
        <w:rPr>
          <w:spacing w:val="-11"/>
        </w:rPr>
        <w:t> </w:t>
      </w:r>
      <w:r>
        <w:rPr/>
        <w:t>digital</w:t>
      </w:r>
      <w:r>
        <w:rPr>
          <w:spacing w:val="-14"/>
        </w:rPr>
        <w:t> </w:t>
      </w:r>
      <w:r>
        <w:rPr/>
        <w:t>services may be difficult for some groups, such as older adults, people from lower socioeconomic backgrounds, people</w:t>
      </w:r>
      <w:r>
        <w:rPr>
          <w:spacing w:val="-1"/>
        </w:rPr>
        <w:t> </w:t>
      </w:r>
      <w:r>
        <w:rPr/>
        <w:t>living</w:t>
      </w:r>
      <w:r>
        <w:rPr>
          <w:spacing w:val="-1"/>
        </w:rPr>
        <w:t> </w:t>
      </w:r>
      <w:r>
        <w:rPr/>
        <w:t>in rural areas, and people</w:t>
      </w:r>
      <w:r>
        <w:rPr>
          <w:spacing w:val="-1"/>
        </w:rPr>
        <w:t> </w:t>
      </w:r>
      <w:r>
        <w:rPr/>
        <w:t>with low levels of digital literacy (ONS, 2023). Geographical and temporal barriers may be lessened by telemedicine (Cheshmehzangi and Zou, 2025) but worries about digital exclusion and the potential to exacerbate already-existing health disparities still exist (Parvathy, 2025).</w:t>
      </w:r>
    </w:p>
    <w:p>
      <w:pPr>
        <w:pStyle w:val="BodyText"/>
        <w:spacing w:line="360" w:lineRule="auto" w:before="159"/>
        <w:ind w:left="23" w:right="27"/>
        <w:jc w:val="both"/>
      </w:pPr>
      <w:r>
        <w:rPr/>
        <w:t>Critical evaluation of whether digital transformation actually improves equitable access or if unexpected</w:t>
      </w:r>
      <w:r>
        <w:rPr>
          <w:spacing w:val="23"/>
        </w:rPr>
        <w:t> </w:t>
      </w:r>
      <w:r>
        <w:rPr/>
        <w:t>consequences</w:t>
      </w:r>
      <w:r>
        <w:rPr>
          <w:spacing w:val="30"/>
        </w:rPr>
        <w:t> </w:t>
      </w:r>
      <w:r>
        <w:rPr/>
        <w:t>arise</w:t>
      </w:r>
      <w:r>
        <w:rPr>
          <w:spacing w:val="27"/>
        </w:rPr>
        <w:t> </w:t>
      </w:r>
      <w:r>
        <w:rPr/>
        <w:t>is</w:t>
      </w:r>
      <w:r>
        <w:rPr>
          <w:spacing w:val="25"/>
        </w:rPr>
        <w:t> </w:t>
      </w:r>
      <w:r>
        <w:rPr/>
        <w:t>necessary</w:t>
      </w:r>
      <w:r>
        <w:rPr>
          <w:spacing w:val="25"/>
        </w:rPr>
        <w:t> </w:t>
      </w:r>
      <w:r>
        <w:rPr/>
        <w:t>for</w:t>
      </w:r>
      <w:r>
        <w:rPr>
          <w:spacing w:val="32"/>
        </w:rPr>
        <w:t> </w:t>
      </w:r>
      <w:r>
        <w:rPr/>
        <w:t>evidence-based</w:t>
      </w:r>
      <w:r>
        <w:rPr>
          <w:spacing w:val="28"/>
        </w:rPr>
        <w:t> </w:t>
      </w:r>
      <w:r>
        <w:rPr/>
        <w:t>practice. Therefore,</w:t>
      </w:r>
      <w:r>
        <w:rPr>
          <w:spacing w:val="29"/>
        </w:rPr>
        <w:t> </w:t>
      </w:r>
      <w:r>
        <w:rPr/>
        <w:t>this</w:t>
      </w:r>
    </w:p>
    <w:p>
      <w:pPr>
        <w:pStyle w:val="BodyText"/>
        <w:spacing w:after="0" w:line="360" w:lineRule="auto"/>
        <w:jc w:val="both"/>
        <w:sectPr>
          <w:pgSz w:w="11910" w:h="16840"/>
          <w:pgMar w:header="0" w:footer="1096" w:top="1380" w:bottom="1280" w:left="1417" w:right="1417"/>
        </w:sectPr>
      </w:pPr>
    </w:p>
    <w:p>
      <w:pPr>
        <w:pStyle w:val="BodyText"/>
        <w:spacing w:line="360" w:lineRule="auto" w:before="64"/>
        <w:ind w:left="23" w:right="30"/>
        <w:jc w:val="both"/>
      </w:pPr>
      <w:r>
        <w:rPr/>
        <w:t>study</w:t>
      </w:r>
      <w:r>
        <w:rPr>
          <w:spacing w:val="-16"/>
        </w:rPr>
        <w:t> </w:t>
      </w:r>
      <w:r>
        <w:rPr/>
        <w:t>will</w:t>
      </w:r>
      <w:r>
        <w:rPr>
          <w:spacing w:val="-15"/>
        </w:rPr>
        <w:t> </w:t>
      </w:r>
      <w:r>
        <w:rPr/>
        <w:t>investigate</w:t>
      </w:r>
      <w:r>
        <w:rPr>
          <w:spacing w:val="-15"/>
        </w:rPr>
        <w:t> </w:t>
      </w:r>
      <w:r>
        <w:rPr/>
        <w:t>whether</w:t>
      </w:r>
      <w:r>
        <w:rPr>
          <w:spacing w:val="-16"/>
        </w:rPr>
        <w:t> </w:t>
      </w:r>
      <w:r>
        <w:rPr/>
        <w:t>current</w:t>
      </w:r>
      <w:r>
        <w:rPr>
          <w:spacing w:val="-15"/>
        </w:rPr>
        <w:t> </w:t>
      </w:r>
      <w:r>
        <w:rPr/>
        <w:t>practice</w:t>
      </w:r>
      <w:r>
        <w:rPr>
          <w:spacing w:val="-15"/>
        </w:rPr>
        <w:t> </w:t>
      </w:r>
      <w:r>
        <w:rPr/>
        <w:t>is</w:t>
      </w:r>
      <w:r>
        <w:rPr>
          <w:spacing w:val="-15"/>
        </w:rPr>
        <w:t> </w:t>
      </w:r>
      <w:r>
        <w:rPr/>
        <w:t>inclusive</w:t>
      </w:r>
      <w:r>
        <w:rPr>
          <w:spacing w:val="-16"/>
        </w:rPr>
        <w:t> </w:t>
      </w:r>
      <w:r>
        <w:rPr/>
        <w:t>enough</w:t>
      </w:r>
      <w:r>
        <w:rPr>
          <w:spacing w:val="-15"/>
        </w:rPr>
        <w:t> </w:t>
      </w:r>
      <w:r>
        <w:rPr/>
        <w:t>to</w:t>
      </w:r>
      <w:r>
        <w:rPr>
          <w:spacing w:val="-15"/>
        </w:rPr>
        <w:t> </w:t>
      </w:r>
      <w:r>
        <w:rPr/>
        <w:t>meet</w:t>
      </w:r>
      <w:r>
        <w:rPr>
          <w:spacing w:val="-13"/>
        </w:rPr>
        <w:t> </w:t>
      </w:r>
      <w:r>
        <w:rPr/>
        <w:t>the</w:t>
      </w:r>
      <w:r>
        <w:rPr>
          <w:spacing w:val="-15"/>
        </w:rPr>
        <w:t> </w:t>
      </w:r>
      <w:r>
        <w:rPr/>
        <w:t>needs</w:t>
      </w:r>
      <w:r>
        <w:rPr>
          <w:spacing w:val="-10"/>
        </w:rPr>
        <w:t> </w:t>
      </w:r>
      <w:r>
        <w:rPr/>
        <w:t>of</w:t>
      </w:r>
      <w:r>
        <w:rPr>
          <w:spacing w:val="-11"/>
        </w:rPr>
        <w:t> </w:t>
      </w:r>
      <w:r>
        <w:rPr/>
        <w:t>diverse populations across the UK, in addition to examining the advantages of digital healthcare </w:t>
      </w:r>
      <w:r>
        <w:rPr>
          <w:spacing w:val="-2"/>
        </w:rPr>
        <w:t>innovation.</w:t>
      </w:r>
    </w:p>
    <w:p>
      <w:pPr>
        <w:pStyle w:val="BodyText"/>
        <w:spacing w:before="105"/>
      </w:pPr>
    </w:p>
    <w:p>
      <w:pPr>
        <w:pStyle w:val="Heading1"/>
        <w:numPr>
          <w:ilvl w:val="0"/>
          <w:numId w:val="2"/>
        </w:numPr>
        <w:tabs>
          <w:tab w:pos="559" w:val="left" w:leader="none"/>
        </w:tabs>
        <w:spacing w:line="240" w:lineRule="auto" w:before="0" w:after="0"/>
        <w:ind w:left="559" w:right="0" w:hanging="536"/>
        <w:jc w:val="left"/>
      </w:pPr>
      <w:bookmarkStart w:name="4.0 Methods" w:id="7"/>
      <w:bookmarkEnd w:id="7"/>
      <w:r>
        <w:rPr>
          <w:b w:val="0"/>
        </w:rPr>
      </w:r>
      <w:bookmarkStart w:name="_bookmark3" w:id="8"/>
      <w:bookmarkEnd w:id="8"/>
      <w:r>
        <w:rPr>
          <w:b w:val="0"/>
        </w:rPr>
      </w:r>
      <w:r>
        <w:rPr>
          <w:spacing w:val="-2"/>
        </w:rPr>
        <w:t>Methods</w:t>
      </w:r>
    </w:p>
    <w:p>
      <w:pPr>
        <w:pStyle w:val="BodyText"/>
        <w:spacing w:line="360" w:lineRule="auto" w:before="266"/>
        <w:ind w:left="23" w:right="24"/>
        <w:jc w:val="both"/>
      </w:pPr>
      <w:r>
        <w:rPr/>
        <w:t>his</w:t>
      </w:r>
      <w:r>
        <w:rPr>
          <w:spacing w:val="-10"/>
        </w:rPr>
        <w:t> </w:t>
      </w:r>
      <w:r>
        <w:rPr/>
        <w:t>study</w:t>
      </w:r>
      <w:r>
        <w:rPr>
          <w:spacing w:val="-10"/>
        </w:rPr>
        <w:t> </w:t>
      </w:r>
      <w:r>
        <w:rPr/>
        <w:t>will</w:t>
      </w:r>
      <w:r>
        <w:rPr>
          <w:spacing w:val="-10"/>
        </w:rPr>
        <w:t> </w:t>
      </w:r>
      <w:r>
        <w:rPr/>
        <w:t>adopt</w:t>
      </w:r>
      <w:r>
        <w:rPr>
          <w:spacing w:val="-7"/>
        </w:rPr>
        <w:t> </w:t>
      </w:r>
      <w:r>
        <w:rPr/>
        <w:t>a</w:t>
      </w:r>
      <w:r>
        <w:rPr>
          <w:spacing w:val="-12"/>
        </w:rPr>
        <w:t> </w:t>
      </w:r>
      <w:r>
        <w:rPr/>
        <w:t>qualitative</w:t>
      </w:r>
      <w:r>
        <w:rPr>
          <w:spacing w:val="-12"/>
        </w:rPr>
        <w:t> </w:t>
      </w:r>
      <w:r>
        <w:rPr/>
        <w:t>secondary</w:t>
      </w:r>
      <w:r>
        <w:rPr>
          <w:spacing w:val="-10"/>
        </w:rPr>
        <w:t> </w:t>
      </w:r>
      <w:r>
        <w:rPr/>
        <w:t>research</w:t>
      </w:r>
      <w:r>
        <w:rPr>
          <w:spacing w:val="-8"/>
        </w:rPr>
        <w:t> </w:t>
      </w:r>
      <w:r>
        <w:rPr/>
        <w:t>design</w:t>
      </w:r>
      <w:r>
        <w:rPr>
          <w:spacing w:val="-12"/>
        </w:rPr>
        <w:t> </w:t>
      </w:r>
      <w:r>
        <w:rPr/>
        <w:t>using</w:t>
      </w:r>
      <w:r>
        <w:rPr>
          <w:spacing w:val="-12"/>
        </w:rPr>
        <w:t> </w:t>
      </w:r>
      <w:r>
        <w:rPr/>
        <w:t>a</w:t>
      </w:r>
      <w:r>
        <w:rPr>
          <w:spacing w:val="-12"/>
        </w:rPr>
        <w:t> </w:t>
      </w:r>
      <w:r>
        <w:rPr/>
        <w:t>thematic</w:t>
      </w:r>
      <w:r>
        <w:rPr>
          <w:spacing w:val="-10"/>
        </w:rPr>
        <w:t> </w:t>
      </w:r>
      <w:r>
        <w:rPr/>
        <w:t>literature</w:t>
      </w:r>
      <w:r>
        <w:rPr>
          <w:spacing w:val="-12"/>
        </w:rPr>
        <w:t> </w:t>
      </w:r>
      <w:r>
        <w:rPr/>
        <w:t>review. Peer-reviewed</w:t>
      </w:r>
      <w:r>
        <w:rPr>
          <w:spacing w:val="-7"/>
        </w:rPr>
        <w:t> </w:t>
      </w:r>
      <w:r>
        <w:rPr/>
        <w:t>articles,</w:t>
      </w:r>
      <w:r>
        <w:rPr>
          <w:spacing w:val="-6"/>
        </w:rPr>
        <w:t> </w:t>
      </w:r>
      <w:r>
        <w:rPr/>
        <w:t>NHS</w:t>
      </w:r>
      <w:r>
        <w:rPr>
          <w:spacing w:val="-11"/>
        </w:rPr>
        <w:t> </w:t>
      </w:r>
      <w:r>
        <w:rPr/>
        <w:t>reports</w:t>
      </w:r>
      <w:r>
        <w:rPr>
          <w:spacing w:val="-5"/>
        </w:rPr>
        <w:t> </w:t>
      </w:r>
      <w:r>
        <w:rPr/>
        <w:t>and</w:t>
      </w:r>
      <w:r>
        <w:rPr>
          <w:spacing w:val="-7"/>
        </w:rPr>
        <w:t> </w:t>
      </w:r>
      <w:r>
        <w:rPr/>
        <w:t>UK</w:t>
      </w:r>
      <w:r>
        <w:rPr>
          <w:spacing w:val="-7"/>
        </w:rPr>
        <w:t> </w:t>
      </w:r>
      <w:r>
        <w:rPr/>
        <w:t>government</w:t>
      </w:r>
      <w:r>
        <w:rPr>
          <w:spacing w:val="-6"/>
        </w:rPr>
        <w:t> </w:t>
      </w:r>
      <w:r>
        <w:rPr/>
        <w:t>publications</w:t>
      </w:r>
      <w:r>
        <w:rPr>
          <w:spacing w:val="-5"/>
        </w:rPr>
        <w:t> </w:t>
      </w:r>
      <w:r>
        <w:rPr/>
        <w:t>from</w:t>
      </w:r>
      <w:r>
        <w:rPr>
          <w:spacing w:val="-8"/>
        </w:rPr>
        <w:t> </w:t>
      </w:r>
      <w:r>
        <w:rPr/>
        <w:t>the</w:t>
      </w:r>
      <w:r>
        <w:rPr>
          <w:spacing w:val="-7"/>
        </w:rPr>
        <w:t> </w:t>
      </w:r>
      <w:r>
        <w:rPr/>
        <w:t>past</w:t>
      </w:r>
      <w:r>
        <w:rPr>
          <w:spacing w:val="-6"/>
        </w:rPr>
        <w:t> </w:t>
      </w:r>
      <w:r>
        <w:rPr/>
        <w:t>ten</w:t>
      </w:r>
      <w:r>
        <w:rPr>
          <w:spacing w:val="-7"/>
        </w:rPr>
        <w:t> </w:t>
      </w:r>
      <w:r>
        <w:rPr/>
        <w:t>years will</w:t>
      </w:r>
      <w:r>
        <w:rPr>
          <w:spacing w:val="-16"/>
        </w:rPr>
        <w:t> </w:t>
      </w:r>
      <w:r>
        <w:rPr/>
        <w:t>be</w:t>
      </w:r>
      <w:r>
        <w:rPr>
          <w:spacing w:val="-15"/>
        </w:rPr>
        <w:t> </w:t>
      </w:r>
      <w:r>
        <w:rPr/>
        <w:t>sourced</w:t>
      </w:r>
      <w:r>
        <w:rPr>
          <w:spacing w:val="-15"/>
        </w:rPr>
        <w:t> </w:t>
      </w:r>
      <w:r>
        <w:rPr/>
        <w:t>through</w:t>
      </w:r>
      <w:r>
        <w:rPr>
          <w:spacing w:val="-16"/>
        </w:rPr>
        <w:t> </w:t>
      </w:r>
      <w:r>
        <w:rPr/>
        <w:t>academic</w:t>
      </w:r>
      <w:r>
        <w:rPr>
          <w:spacing w:val="-15"/>
        </w:rPr>
        <w:t> </w:t>
      </w:r>
      <w:r>
        <w:rPr/>
        <w:t>databases</w:t>
      </w:r>
      <w:r>
        <w:rPr>
          <w:spacing w:val="-15"/>
        </w:rPr>
        <w:t> </w:t>
      </w:r>
      <w:r>
        <w:rPr/>
        <w:t>and</w:t>
      </w:r>
      <w:r>
        <w:rPr>
          <w:spacing w:val="-15"/>
        </w:rPr>
        <w:t> </w:t>
      </w:r>
      <w:r>
        <w:rPr/>
        <w:t>critically</w:t>
      </w:r>
      <w:r>
        <w:rPr>
          <w:spacing w:val="-16"/>
        </w:rPr>
        <w:t> </w:t>
      </w:r>
      <w:r>
        <w:rPr/>
        <w:t>appraised</w:t>
      </w:r>
      <w:r>
        <w:rPr>
          <w:spacing w:val="-5"/>
        </w:rPr>
        <w:t> </w:t>
      </w:r>
      <w:r>
        <w:rPr/>
        <w:t>for</w:t>
      </w:r>
      <w:r>
        <w:rPr>
          <w:spacing w:val="-13"/>
        </w:rPr>
        <w:t> </w:t>
      </w:r>
      <w:r>
        <w:rPr/>
        <w:t>quality</w:t>
      </w:r>
      <w:r>
        <w:rPr>
          <w:spacing w:val="-15"/>
        </w:rPr>
        <w:t> </w:t>
      </w:r>
      <w:r>
        <w:rPr/>
        <w:t>and</w:t>
      </w:r>
      <w:r>
        <w:rPr>
          <w:spacing w:val="-16"/>
        </w:rPr>
        <w:t> </w:t>
      </w:r>
      <w:r>
        <w:rPr/>
        <w:t>relevance. Thematic analysis will be used to identify patterns relating to accessibility, patient outcomes, efficiency</w:t>
      </w:r>
      <w:r>
        <w:rPr>
          <w:spacing w:val="-12"/>
        </w:rPr>
        <w:t> </w:t>
      </w:r>
      <w:r>
        <w:rPr/>
        <w:t>and</w:t>
      </w:r>
      <w:r>
        <w:rPr>
          <w:spacing w:val="-14"/>
        </w:rPr>
        <w:t> </w:t>
      </w:r>
      <w:r>
        <w:rPr/>
        <w:t>inequality,</w:t>
      </w:r>
      <w:r>
        <w:rPr>
          <w:spacing w:val="-8"/>
        </w:rPr>
        <w:t> </w:t>
      </w:r>
      <w:r>
        <w:rPr/>
        <w:t>ensuring</w:t>
      </w:r>
      <w:r>
        <w:rPr>
          <w:spacing w:val="-14"/>
        </w:rPr>
        <w:t> </w:t>
      </w:r>
      <w:r>
        <w:rPr/>
        <w:t>a</w:t>
      </w:r>
      <w:r>
        <w:rPr>
          <w:spacing w:val="-14"/>
        </w:rPr>
        <w:t> </w:t>
      </w:r>
      <w:r>
        <w:rPr/>
        <w:t>systematic</w:t>
      </w:r>
      <w:r>
        <w:rPr>
          <w:spacing w:val="-7"/>
        </w:rPr>
        <w:t> </w:t>
      </w:r>
      <w:r>
        <w:rPr/>
        <w:t>approach</w:t>
      </w:r>
      <w:r>
        <w:rPr>
          <w:spacing w:val="-14"/>
        </w:rPr>
        <w:t> </w:t>
      </w:r>
      <w:r>
        <w:rPr/>
        <w:t>consistent</w:t>
      </w:r>
      <w:r>
        <w:rPr>
          <w:spacing w:val="-13"/>
        </w:rPr>
        <w:t> </w:t>
      </w:r>
      <w:r>
        <w:rPr/>
        <w:t>with</w:t>
      </w:r>
      <w:r>
        <w:rPr>
          <w:spacing w:val="-14"/>
        </w:rPr>
        <w:t> </w:t>
      </w:r>
      <w:r>
        <w:rPr/>
        <w:t>Level</w:t>
      </w:r>
      <w:r>
        <w:rPr>
          <w:spacing w:val="-6"/>
        </w:rPr>
        <w:t> </w:t>
      </w:r>
      <w:r>
        <w:rPr/>
        <w:t>6</w:t>
      </w:r>
      <w:r>
        <w:rPr>
          <w:spacing w:val="-14"/>
        </w:rPr>
        <w:t> </w:t>
      </w:r>
      <w:r>
        <w:rPr/>
        <w:t>independent research standards.</w:t>
      </w:r>
    </w:p>
    <w:p>
      <w:pPr>
        <w:pStyle w:val="BodyText"/>
        <w:spacing w:before="102"/>
      </w:pPr>
    </w:p>
    <w:p>
      <w:pPr>
        <w:pStyle w:val="Heading1"/>
        <w:numPr>
          <w:ilvl w:val="0"/>
          <w:numId w:val="2"/>
        </w:numPr>
        <w:tabs>
          <w:tab w:pos="559" w:val="left" w:leader="none"/>
        </w:tabs>
        <w:spacing w:line="240" w:lineRule="auto" w:before="0" w:after="0"/>
        <w:ind w:left="559" w:right="0" w:hanging="536"/>
        <w:jc w:val="left"/>
      </w:pPr>
      <w:bookmarkStart w:name="5.0 Resources" w:id="9"/>
      <w:bookmarkEnd w:id="9"/>
      <w:r>
        <w:rPr>
          <w:b w:val="0"/>
        </w:rPr>
      </w:r>
      <w:bookmarkStart w:name="_bookmark4" w:id="10"/>
      <w:bookmarkEnd w:id="10"/>
      <w:r>
        <w:rPr>
          <w:b w:val="0"/>
        </w:rPr>
      </w:r>
      <w:r>
        <w:rPr>
          <w:spacing w:val="-2"/>
        </w:rPr>
        <w:t>Resources</w:t>
      </w:r>
    </w:p>
    <w:p>
      <w:pPr>
        <w:pStyle w:val="BodyText"/>
        <w:spacing w:line="360" w:lineRule="auto" w:before="271"/>
        <w:ind w:left="23" w:right="26"/>
        <w:jc w:val="both"/>
      </w:pPr>
      <w:r>
        <w:rPr/>
        <w:t>Access</w:t>
      </w:r>
      <w:r>
        <w:rPr>
          <w:spacing w:val="-16"/>
        </w:rPr>
        <w:t> </w:t>
      </w:r>
      <w:r>
        <w:rPr/>
        <w:t>to</w:t>
      </w:r>
      <w:r>
        <w:rPr>
          <w:spacing w:val="-15"/>
        </w:rPr>
        <w:t> </w:t>
      </w:r>
      <w:r>
        <w:rPr/>
        <w:t>UWTSD</w:t>
      </w:r>
      <w:r>
        <w:rPr>
          <w:spacing w:val="-15"/>
        </w:rPr>
        <w:t> </w:t>
      </w:r>
      <w:r>
        <w:rPr/>
        <w:t>library</w:t>
      </w:r>
      <w:r>
        <w:rPr>
          <w:spacing w:val="-16"/>
        </w:rPr>
        <w:t> </w:t>
      </w:r>
      <w:r>
        <w:rPr/>
        <w:t>databases,</w:t>
      </w:r>
      <w:r>
        <w:rPr>
          <w:spacing w:val="-15"/>
        </w:rPr>
        <w:t> </w:t>
      </w:r>
      <w:r>
        <w:rPr/>
        <w:t>NHS</w:t>
      </w:r>
      <w:r>
        <w:rPr>
          <w:spacing w:val="-15"/>
        </w:rPr>
        <w:t> </w:t>
      </w:r>
      <w:r>
        <w:rPr/>
        <w:t>policy</w:t>
      </w:r>
      <w:r>
        <w:rPr>
          <w:spacing w:val="-15"/>
        </w:rPr>
        <w:t> </w:t>
      </w:r>
      <w:r>
        <w:rPr/>
        <w:t>documents</w:t>
      </w:r>
      <w:r>
        <w:rPr>
          <w:spacing w:val="-11"/>
        </w:rPr>
        <w:t> </w:t>
      </w:r>
      <w:r>
        <w:rPr/>
        <w:t>and</w:t>
      </w:r>
      <w:r>
        <w:rPr>
          <w:spacing w:val="-16"/>
        </w:rPr>
        <w:t> </w:t>
      </w:r>
      <w:r>
        <w:rPr/>
        <w:t>government</w:t>
      </w:r>
      <w:r>
        <w:rPr>
          <w:spacing w:val="-11"/>
        </w:rPr>
        <w:t> </w:t>
      </w:r>
      <w:r>
        <w:rPr/>
        <w:t>publications</w:t>
      </w:r>
      <w:r>
        <w:rPr>
          <w:spacing w:val="-16"/>
        </w:rPr>
        <w:t> </w:t>
      </w:r>
      <w:r>
        <w:rPr/>
        <w:t>will be required. As this project involves secondary research.</w:t>
      </w:r>
    </w:p>
    <w:p>
      <w:pPr>
        <w:pStyle w:val="BodyText"/>
        <w:spacing w:before="105"/>
      </w:pPr>
    </w:p>
    <w:p>
      <w:pPr>
        <w:pStyle w:val="Heading1"/>
        <w:numPr>
          <w:ilvl w:val="0"/>
          <w:numId w:val="2"/>
        </w:numPr>
        <w:tabs>
          <w:tab w:pos="559" w:val="left" w:leader="none"/>
        </w:tabs>
        <w:spacing w:line="240" w:lineRule="auto" w:before="0" w:after="0"/>
        <w:ind w:left="559" w:right="0" w:hanging="536"/>
        <w:jc w:val="left"/>
      </w:pPr>
      <w:bookmarkStart w:name="6.0 Timescale" w:id="11"/>
      <w:bookmarkEnd w:id="11"/>
      <w:r>
        <w:rPr>
          <w:b w:val="0"/>
        </w:rPr>
      </w:r>
      <w:bookmarkStart w:name="_bookmark5" w:id="12"/>
      <w:bookmarkEnd w:id="12"/>
      <w:r>
        <w:rPr>
          <w:b w:val="0"/>
        </w:rPr>
      </w:r>
      <w:r>
        <w:rPr>
          <w:spacing w:val="-2"/>
        </w:rPr>
        <w:t>Timescale</w:t>
      </w:r>
    </w:p>
    <w:p>
      <w:pPr>
        <w:pStyle w:val="BodyText"/>
        <w:spacing w:line="360" w:lineRule="auto" w:before="266"/>
        <w:ind w:left="23" w:right="16"/>
        <w:jc w:val="both"/>
        <w:rPr>
          <w:b/>
        </w:rPr>
      </w:pPr>
      <w:r>
        <w:rPr/>
        <w:t>The dissertation will be completed in stages, beginning with Chapters 1–3, followed by Chapter 4. The final stage will involve Chapter 5, references, appendices and submission.</w:t>
      </w:r>
      <w:r>
        <w:rPr>
          <w:spacing w:val="-10"/>
        </w:rPr>
        <w:t> </w:t>
      </w:r>
      <w:r>
        <w:rPr/>
        <w:t>A brief timeline is provided in </w:t>
      </w:r>
      <w:r>
        <w:rPr>
          <w:b/>
        </w:rPr>
        <w:t>Appendix 1.</w:t>
      </w:r>
    </w:p>
    <w:p>
      <w:pPr>
        <w:pStyle w:val="BodyText"/>
        <w:spacing w:before="105"/>
        <w:rPr>
          <w:b/>
        </w:rPr>
      </w:pPr>
    </w:p>
    <w:p>
      <w:pPr>
        <w:pStyle w:val="Heading1"/>
        <w:numPr>
          <w:ilvl w:val="0"/>
          <w:numId w:val="2"/>
        </w:numPr>
        <w:tabs>
          <w:tab w:pos="555" w:val="left" w:leader="none"/>
        </w:tabs>
        <w:spacing w:line="240" w:lineRule="auto" w:before="0" w:after="0"/>
        <w:ind w:left="555" w:right="0" w:hanging="532"/>
        <w:jc w:val="left"/>
      </w:pPr>
      <w:bookmarkStart w:name="7.0 Self-Reflection" w:id="13"/>
      <w:bookmarkEnd w:id="13"/>
      <w:r>
        <w:rPr>
          <w:b w:val="0"/>
        </w:rPr>
      </w:r>
      <w:bookmarkStart w:name="_bookmark6" w:id="14"/>
      <w:bookmarkEnd w:id="14"/>
      <w:r>
        <w:rPr>
          <w:b w:val="0"/>
        </w:rPr>
      </w:r>
      <w:r>
        <w:rPr/>
        <w:t>Self-</w:t>
      </w:r>
      <w:r>
        <w:rPr>
          <w:spacing w:val="-2"/>
        </w:rPr>
        <w:t>Reflection</w:t>
      </w:r>
    </w:p>
    <w:p>
      <w:pPr>
        <w:pStyle w:val="BodyText"/>
        <w:spacing w:line="360" w:lineRule="auto" w:before="266"/>
        <w:ind w:left="23" w:right="21"/>
        <w:jc w:val="both"/>
      </w:pPr>
      <w:r>
        <w:rPr/>
        <w:t>My knowledge of digital healthcare reform and its real-world applications for fair service delivery will grow as a</w:t>
      </w:r>
      <w:r>
        <w:rPr>
          <w:spacing w:val="-1"/>
        </w:rPr>
        <w:t> </w:t>
      </w:r>
      <w:r>
        <w:rPr/>
        <w:t>result of this study. It will improve</w:t>
      </w:r>
      <w:r>
        <w:rPr>
          <w:spacing w:val="-1"/>
        </w:rPr>
        <w:t> </w:t>
      </w:r>
      <w:r>
        <w:rPr/>
        <w:t>my research, academic writing, and critical analysis abilities in order to better prepare me for future work in the health and social care sectors.</w:t>
      </w:r>
    </w:p>
    <w:p>
      <w:pPr>
        <w:pStyle w:val="BodyText"/>
        <w:spacing w:after="0" w:line="360" w:lineRule="auto"/>
        <w:jc w:val="both"/>
        <w:sectPr>
          <w:pgSz w:w="11910" w:h="16840"/>
          <w:pgMar w:header="0" w:footer="1096" w:top="1380" w:bottom="1280" w:left="1417" w:right="1417"/>
        </w:sectPr>
      </w:pPr>
    </w:p>
    <w:p>
      <w:pPr>
        <w:pStyle w:val="Heading1"/>
        <w:numPr>
          <w:ilvl w:val="0"/>
          <w:numId w:val="2"/>
        </w:numPr>
        <w:tabs>
          <w:tab w:pos="561" w:val="left" w:leader="none"/>
        </w:tabs>
        <w:spacing w:line="240" w:lineRule="auto" w:before="60" w:after="0"/>
        <w:ind w:left="561" w:right="0" w:hanging="538"/>
        <w:jc w:val="left"/>
      </w:pPr>
      <w:bookmarkStart w:name="8.0 References" w:id="15"/>
      <w:bookmarkEnd w:id="15"/>
      <w:r>
        <w:rPr>
          <w:b w:val="0"/>
        </w:rPr>
      </w:r>
      <w:bookmarkStart w:name="_bookmark7" w:id="16"/>
      <w:bookmarkEnd w:id="16"/>
      <w:r>
        <w:rPr>
          <w:b w:val="0"/>
        </w:rPr>
      </w:r>
      <w:r>
        <w:rPr>
          <w:spacing w:val="-2"/>
        </w:rPr>
        <w:t>References</w:t>
      </w:r>
    </w:p>
    <w:p>
      <w:pPr>
        <w:spacing w:line="360" w:lineRule="auto" w:before="266"/>
        <w:ind w:left="744" w:right="23" w:hanging="721"/>
        <w:jc w:val="both"/>
        <w:rPr>
          <w:sz w:val="22"/>
        </w:rPr>
      </w:pPr>
      <w:r>
        <w:rPr>
          <w:sz w:val="22"/>
        </w:rPr>
        <w:t>Cheshmehzangi,</w:t>
      </w:r>
      <w:r>
        <w:rPr>
          <w:spacing w:val="-2"/>
          <w:sz w:val="22"/>
        </w:rPr>
        <w:t> </w:t>
      </w:r>
      <w:r>
        <w:rPr>
          <w:sz w:val="22"/>
        </w:rPr>
        <w:t>A. and Zou, T., (2025).</w:t>
      </w:r>
      <w:r>
        <w:rPr>
          <w:spacing w:val="-2"/>
          <w:sz w:val="22"/>
        </w:rPr>
        <w:t> </w:t>
      </w:r>
      <w:r>
        <w:rPr>
          <w:sz w:val="22"/>
        </w:rPr>
        <w:t>Accessibility Inequality and Confronting the Global Access</w:t>
      </w:r>
      <w:r>
        <w:rPr>
          <w:spacing w:val="-8"/>
          <w:sz w:val="22"/>
        </w:rPr>
        <w:t> </w:t>
      </w:r>
      <w:r>
        <w:rPr>
          <w:sz w:val="22"/>
        </w:rPr>
        <w:t>Gap:</w:t>
      </w:r>
      <w:r>
        <w:rPr>
          <w:spacing w:val="-7"/>
          <w:sz w:val="22"/>
        </w:rPr>
        <w:t> </w:t>
      </w:r>
      <w:r>
        <w:rPr>
          <w:sz w:val="22"/>
        </w:rPr>
        <w:t>Global</w:t>
      </w:r>
      <w:r>
        <w:rPr>
          <w:spacing w:val="-6"/>
          <w:sz w:val="22"/>
        </w:rPr>
        <w:t> </w:t>
      </w:r>
      <w:r>
        <w:rPr>
          <w:sz w:val="22"/>
        </w:rPr>
        <w:t>Realities</w:t>
      </w:r>
      <w:r>
        <w:rPr>
          <w:spacing w:val="-2"/>
          <w:sz w:val="22"/>
        </w:rPr>
        <w:t> </w:t>
      </w:r>
      <w:r>
        <w:rPr>
          <w:sz w:val="22"/>
        </w:rPr>
        <w:t>of</w:t>
      </w:r>
      <w:r>
        <w:rPr>
          <w:spacing w:val="-7"/>
          <w:sz w:val="22"/>
        </w:rPr>
        <w:t> </w:t>
      </w:r>
      <w:r>
        <w:rPr>
          <w:sz w:val="22"/>
        </w:rPr>
        <w:t>Uneven</w:t>
      </w:r>
      <w:r>
        <w:rPr>
          <w:spacing w:val="-16"/>
          <w:sz w:val="22"/>
        </w:rPr>
        <w:t> </w:t>
      </w:r>
      <w:r>
        <w:rPr>
          <w:sz w:val="22"/>
        </w:rPr>
        <w:t>Access.</w:t>
      </w:r>
      <w:r>
        <w:rPr>
          <w:spacing w:val="-7"/>
          <w:sz w:val="22"/>
        </w:rPr>
        <w:t> </w:t>
      </w:r>
      <w:r>
        <w:rPr>
          <w:sz w:val="22"/>
        </w:rPr>
        <w:t>In </w:t>
      </w:r>
      <w:r>
        <w:rPr>
          <w:i/>
          <w:sz w:val="22"/>
        </w:rPr>
        <w:t>101</w:t>
      </w:r>
      <w:r>
        <w:rPr>
          <w:i/>
          <w:spacing w:val="-8"/>
          <w:sz w:val="22"/>
        </w:rPr>
        <w:t> </w:t>
      </w:r>
      <w:r>
        <w:rPr>
          <w:i/>
          <w:sz w:val="22"/>
        </w:rPr>
        <w:t>Inequalities</w:t>
      </w:r>
      <w:r>
        <w:rPr>
          <w:i/>
          <w:spacing w:val="-11"/>
          <w:sz w:val="22"/>
        </w:rPr>
        <w:t> </w:t>
      </w:r>
      <w:r>
        <w:rPr>
          <w:i/>
          <w:sz w:val="22"/>
        </w:rPr>
        <w:t>Amid</w:t>
      </w:r>
      <w:r>
        <w:rPr>
          <w:i/>
          <w:spacing w:val="-8"/>
          <w:sz w:val="22"/>
        </w:rPr>
        <w:t> </w:t>
      </w:r>
      <w:r>
        <w:rPr>
          <w:i/>
          <w:sz w:val="22"/>
        </w:rPr>
        <w:t>the</w:t>
      </w:r>
      <w:r>
        <w:rPr>
          <w:i/>
          <w:spacing w:val="-8"/>
          <w:sz w:val="22"/>
        </w:rPr>
        <w:t> </w:t>
      </w:r>
      <w:r>
        <w:rPr>
          <w:i/>
          <w:sz w:val="22"/>
        </w:rPr>
        <w:t>COVID-19 Crisis and Beyond </w:t>
      </w:r>
      <w:r>
        <w:rPr>
          <w:sz w:val="22"/>
        </w:rPr>
        <w:t>(pp. 307-337). Singapore: Springer Nature Singapore.</w:t>
      </w:r>
    </w:p>
    <w:p>
      <w:pPr>
        <w:pStyle w:val="BodyText"/>
        <w:spacing w:line="360" w:lineRule="auto" w:before="162"/>
        <w:ind w:left="744" w:right="25" w:hanging="721"/>
        <w:jc w:val="both"/>
      </w:pPr>
      <w:r>
        <w:rPr/>
        <w:t>Greenhalgh, T., Clarke, A., Byng, R., Dakin, F., Faulkner, S., Hemmings, N., Hughes, G., Husain,</w:t>
      </w:r>
      <w:r>
        <w:rPr>
          <w:spacing w:val="-16"/>
        </w:rPr>
        <w:t> </w:t>
      </w:r>
      <w:r>
        <w:rPr/>
        <w:t>L.,</w:t>
      </w:r>
      <w:r>
        <w:rPr>
          <w:spacing w:val="-14"/>
        </w:rPr>
        <w:t> </w:t>
      </w:r>
      <w:r>
        <w:rPr/>
        <w:t>Kalin,</w:t>
      </w:r>
      <w:r>
        <w:rPr>
          <w:spacing w:val="-16"/>
        </w:rPr>
        <w:t> </w:t>
      </w:r>
      <w:r>
        <w:rPr/>
        <w:t>A.,</w:t>
      </w:r>
      <w:r>
        <w:rPr>
          <w:spacing w:val="-11"/>
        </w:rPr>
        <w:t> </w:t>
      </w:r>
      <w:r>
        <w:rPr/>
        <w:t>Ladds,</w:t>
      </w:r>
      <w:r>
        <w:rPr>
          <w:spacing w:val="-12"/>
        </w:rPr>
        <w:t> </w:t>
      </w:r>
      <w:r>
        <w:rPr/>
        <w:t>E.</w:t>
      </w:r>
      <w:r>
        <w:rPr>
          <w:spacing w:val="-12"/>
        </w:rPr>
        <w:t> </w:t>
      </w:r>
      <w:r>
        <w:rPr/>
        <w:t>and</w:t>
      </w:r>
      <w:r>
        <w:rPr>
          <w:spacing w:val="-13"/>
        </w:rPr>
        <w:t> </w:t>
      </w:r>
      <w:r>
        <w:rPr/>
        <w:t>MacIver,</w:t>
      </w:r>
      <w:r>
        <w:rPr>
          <w:spacing w:val="-12"/>
        </w:rPr>
        <w:t> </w:t>
      </w:r>
      <w:r>
        <w:rPr/>
        <w:t>E.,</w:t>
      </w:r>
      <w:r>
        <w:rPr>
          <w:spacing w:val="-6"/>
        </w:rPr>
        <w:t> </w:t>
      </w:r>
      <w:r>
        <w:rPr/>
        <w:t>(2025).</w:t>
      </w:r>
      <w:r>
        <w:rPr>
          <w:spacing w:val="-16"/>
        </w:rPr>
        <w:t> </w:t>
      </w:r>
      <w:r>
        <w:rPr/>
        <w:t>After</w:t>
      </w:r>
      <w:r>
        <w:rPr>
          <w:spacing w:val="-9"/>
        </w:rPr>
        <w:t> </w:t>
      </w:r>
      <w:r>
        <w:rPr/>
        <w:t>the</w:t>
      </w:r>
      <w:r>
        <w:rPr>
          <w:spacing w:val="-13"/>
        </w:rPr>
        <w:t> </w:t>
      </w:r>
      <w:r>
        <w:rPr/>
        <w:t>disruptive</w:t>
      </w:r>
      <w:r>
        <w:rPr>
          <w:spacing w:val="-13"/>
        </w:rPr>
        <w:t> </w:t>
      </w:r>
      <w:r>
        <w:rPr/>
        <w:t>innovation: How remote and digital services were embedded, blended and abandoned in UK general practice–longitudinal study.</w:t>
      </w:r>
    </w:p>
    <w:p>
      <w:pPr>
        <w:pStyle w:val="BodyText"/>
        <w:spacing w:line="360" w:lineRule="auto" w:before="163"/>
        <w:ind w:left="744" w:right="21" w:hanging="721"/>
        <w:jc w:val="both"/>
      </w:pPr>
      <w:r>
        <w:rPr/>
        <w:t>Mesiano, N. and</w:t>
      </w:r>
      <w:r>
        <w:rPr>
          <w:spacing w:val="-1"/>
        </w:rPr>
        <w:t> </w:t>
      </w:r>
      <w:r>
        <w:rPr/>
        <w:t>Santos, R., (2025). Impact of COVID-19</w:t>
      </w:r>
      <w:r>
        <w:rPr>
          <w:spacing w:val="-1"/>
        </w:rPr>
        <w:t> </w:t>
      </w:r>
      <w:r>
        <w:rPr/>
        <w:t>on</w:t>
      </w:r>
      <w:r>
        <w:rPr>
          <w:spacing w:val="-1"/>
        </w:rPr>
        <w:t> </w:t>
      </w:r>
      <w:r>
        <w:rPr/>
        <w:t>primary care</w:t>
      </w:r>
      <w:r>
        <w:rPr>
          <w:spacing w:val="-1"/>
        </w:rPr>
        <w:t> </w:t>
      </w:r>
      <w:r>
        <w:rPr/>
        <w:t>consultation</w:t>
      </w:r>
      <w:r>
        <w:rPr>
          <w:spacing w:val="-1"/>
        </w:rPr>
        <w:t> </w:t>
      </w:r>
      <w:r>
        <w:rPr/>
        <w:t>mode in England:</w:t>
      </w:r>
      <w:r>
        <w:rPr>
          <w:spacing w:val="-2"/>
        </w:rPr>
        <w:t> </w:t>
      </w:r>
      <w:r>
        <w:rPr/>
        <w:t>An interrupted time series analysis. </w:t>
      </w:r>
      <w:r>
        <w:rPr>
          <w:i/>
        </w:rPr>
        <w:t>Health Policy</w:t>
      </w:r>
      <w:r>
        <w:rPr/>
        <w:t>, p.105502.</w:t>
      </w:r>
    </w:p>
    <w:p>
      <w:pPr>
        <w:spacing w:line="360" w:lineRule="auto" w:before="156"/>
        <w:ind w:left="744" w:right="17" w:hanging="721"/>
        <w:jc w:val="both"/>
        <w:rPr>
          <w:sz w:val="22"/>
        </w:rPr>
      </w:pPr>
      <w:r>
        <w:rPr>
          <w:sz w:val="22"/>
        </w:rPr>
        <w:t>NHS England (2025) </w:t>
      </w:r>
      <w:r>
        <w:rPr>
          <w:i/>
          <w:sz w:val="22"/>
        </w:rPr>
        <w:t>Digital transformation (digital technology in health and care)</w:t>
      </w:r>
      <w:r>
        <w:rPr>
          <w:sz w:val="22"/>
        </w:rPr>
        <w:t>. NHS England.</w:t>
      </w:r>
      <w:r>
        <w:rPr>
          <w:spacing w:val="-2"/>
          <w:sz w:val="22"/>
        </w:rPr>
        <w:t> </w:t>
      </w:r>
      <w:r>
        <w:rPr>
          <w:sz w:val="22"/>
        </w:rPr>
        <w:t>Available at: </w:t>
      </w:r>
      <w:hyperlink r:id="rId7">
        <w:r>
          <w:rPr>
            <w:color w:val="467885"/>
            <w:sz w:val="22"/>
            <w:u w:val="single" w:color="467885"/>
          </w:rPr>
          <w:t>https://www.england.nhs.uk/digitaltechnology/</w:t>
        </w:r>
      </w:hyperlink>
      <w:r>
        <w:rPr>
          <w:color w:val="467885"/>
          <w:sz w:val="22"/>
          <w:u w:val="none"/>
        </w:rPr>
        <w:t> </w:t>
      </w:r>
      <w:r>
        <w:rPr>
          <w:sz w:val="22"/>
          <w:u w:val="none"/>
        </w:rPr>
        <w:t>[Accessed: 10</w:t>
      </w:r>
      <w:r>
        <w:rPr>
          <w:sz w:val="22"/>
          <w:u w:val="none"/>
          <w:vertAlign w:val="superscript"/>
        </w:rPr>
        <w:t>th</w:t>
      </w:r>
      <w:r>
        <w:rPr>
          <w:sz w:val="22"/>
          <w:u w:val="none"/>
          <w:vertAlign w:val="baseline"/>
        </w:rPr>
        <w:t> February 2026].</w:t>
      </w:r>
    </w:p>
    <w:p>
      <w:pPr>
        <w:tabs>
          <w:tab w:pos="8810" w:val="left" w:leader="none"/>
        </w:tabs>
        <w:spacing w:line="360" w:lineRule="auto" w:before="162"/>
        <w:ind w:left="744" w:right="17" w:hanging="721"/>
        <w:jc w:val="both"/>
        <w:rPr>
          <w:sz w:val="22"/>
        </w:rPr>
      </w:pPr>
      <w:r>
        <w:rPr>
          <w:sz w:val="22"/>
        </w:rPr>
        <w:t>Office for National Statistics (ONS) (2023) </w:t>
      </w:r>
      <w:r>
        <w:rPr>
          <w:i/>
          <w:sz w:val="22"/>
        </w:rPr>
        <w:t>Exploring the UK’s digital divide</w:t>
      </w:r>
      <w:r>
        <w:rPr>
          <w:sz w:val="22"/>
        </w:rPr>
        <w:t>. London: ONS. </w:t>
      </w:r>
      <w:r>
        <w:rPr>
          <w:spacing w:val="-2"/>
          <w:sz w:val="22"/>
        </w:rPr>
        <w:t>Available</w:t>
      </w:r>
      <w:r>
        <w:rPr>
          <w:sz w:val="22"/>
        </w:rPr>
        <w:tab/>
      </w:r>
      <w:r>
        <w:rPr>
          <w:spacing w:val="-5"/>
          <w:sz w:val="22"/>
        </w:rPr>
        <w:t>at:</w:t>
      </w:r>
    </w:p>
    <w:p>
      <w:pPr>
        <w:pStyle w:val="BodyText"/>
        <w:spacing w:line="360" w:lineRule="auto" w:before="1"/>
        <w:ind w:left="744" w:right="146"/>
        <w:jc w:val="both"/>
      </w:pPr>
      <w:hyperlink r:id="rId8">
        <w:r>
          <w:rPr>
            <w:color w:val="467885"/>
            <w:spacing w:val="-2"/>
            <w:u w:val="single" w:color="467885"/>
          </w:rPr>
          <w:t>https://www.ons.gov.uk/peoplepopulationandcommunity/householdcharacteristics/ho</w:t>
        </w:r>
      </w:hyperlink>
      <w:r>
        <w:rPr>
          <w:color w:val="467885"/>
          <w:spacing w:val="-2"/>
          <w:u w:val="none"/>
        </w:rPr>
        <w:t> </w:t>
      </w:r>
      <w:hyperlink r:id="rId8">
        <w:r>
          <w:rPr>
            <w:color w:val="467885"/>
            <w:u w:val="single" w:color="467885"/>
          </w:rPr>
          <w:t>meinternetandsocialmediausage</w:t>
        </w:r>
      </w:hyperlink>
      <w:r>
        <w:rPr>
          <w:color w:val="467885"/>
          <w:u w:val="none"/>
        </w:rPr>
        <w:t> </w:t>
      </w:r>
      <w:r>
        <w:rPr>
          <w:u w:val="none"/>
        </w:rPr>
        <w:t>[Accessed: 11th February 2026].</w:t>
      </w:r>
    </w:p>
    <w:p>
      <w:pPr>
        <w:pStyle w:val="BodyText"/>
        <w:spacing w:line="360" w:lineRule="auto" w:before="161"/>
        <w:ind w:left="744" w:right="18" w:hanging="721"/>
        <w:jc w:val="both"/>
      </w:pPr>
      <w:r>
        <w:rPr/>
        <w:t>Parvathy, D.J., (2025). Digital Divide in</w:t>
      </w:r>
      <w:r>
        <w:rPr>
          <w:spacing w:val="-4"/>
        </w:rPr>
        <w:t> </w:t>
      </w:r>
      <w:r>
        <w:rPr/>
        <w:t>Telemedicine Services: Who Gets Left Behind. </w:t>
      </w:r>
      <w:r>
        <w:rPr>
          <w:i/>
        </w:rPr>
        <w:t>Medi</w:t>
      </w:r>
      <w:r>
        <w:rPr>
          <w:i/>
        </w:rPr>
        <w:t> Clin Case Rep J</w:t>
      </w:r>
      <w:r>
        <w:rPr/>
        <w:t>, </w:t>
      </w:r>
      <w:r>
        <w:rPr>
          <w:i/>
        </w:rPr>
        <w:t>3</w:t>
      </w:r>
      <w:r>
        <w:rPr/>
        <w:t>(3), pp.1067-1069.</w:t>
      </w:r>
    </w:p>
    <w:p>
      <w:pPr>
        <w:pStyle w:val="BodyText"/>
        <w:spacing w:line="360" w:lineRule="auto" w:before="157"/>
        <w:ind w:left="744" w:right="20" w:hanging="721"/>
        <w:jc w:val="both"/>
      </w:pPr>
      <w:r>
        <w:rPr/>
        <w:t>Reidy,</w:t>
      </w:r>
      <w:r>
        <w:rPr>
          <w:spacing w:val="-5"/>
        </w:rPr>
        <w:t> </w:t>
      </w:r>
      <w:r>
        <w:rPr/>
        <w:t>C.,</w:t>
      </w:r>
      <w:r>
        <w:rPr>
          <w:spacing w:val="-1"/>
        </w:rPr>
        <w:t> </w:t>
      </w:r>
      <w:r>
        <w:rPr/>
        <w:t>Papoutsi,</w:t>
      </w:r>
      <w:r>
        <w:rPr>
          <w:spacing w:val="-1"/>
        </w:rPr>
        <w:t> </w:t>
      </w:r>
      <w:r>
        <w:rPr/>
        <w:t>C.,</w:t>
      </w:r>
      <w:r>
        <w:rPr>
          <w:spacing w:val="-1"/>
        </w:rPr>
        <w:t> </w:t>
      </w:r>
      <w:r>
        <w:rPr/>
        <w:t>Kc,</w:t>
      </w:r>
      <w:r>
        <w:rPr>
          <w:spacing w:val="-1"/>
        </w:rPr>
        <w:t> </w:t>
      </w:r>
      <w:r>
        <w:rPr/>
        <w:t>S.,</w:t>
      </w:r>
      <w:r>
        <w:rPr>
          <w:spacing w:val="-1"/>
        </w:rPr>
        <w:t> </w:t>
      </w:r>
      <w:r>
        <w:rPr/>
        <w:t>Gudgin,</w:t>
      </w:r>
      <w:r>
        <w:rPr>
          <w:spacing w:val="-1"/>
        </w:rPr>
        <w:t> </w:t>
      </w:r>
      <w:r>
        <w:rPr/>
        <w:t>B.,</w:t>
      </w:r>
      <w:r>
        <w:rPr>
          <w:spacing w:val="-1"/>
        </w:rPr>
        <w:t> </w:t>
      </w:r>
      <w:r>
        <w:rPr/>
        <w:t>Laverty,</w:t>
      </w:r>
      <w:r>
        <w:rPr>
          <w:spacing w:val="-10"/>
        </w:rPr>
        <w:t> </w:t>
      </w:r>
      <w:r>
        <w:rPr/>
        <w:t>A.A.,</w:t>
      </w:r>
      <w:r>
        <w:rPr>
          <w:spacing w:val="-1"/>
        </w:rPr>
        <w:t> </w:t>
      </w:r>
      <w:r>
        <w:rPr/>
        <w:t>Greaves,</w:t>
      </w:r>
      <w:r>
        <w:rPr>
          <w:spacing w:val="-1"/>
        </w:rPr>
        <w:t> </w:t>
      </w:r>
      <w:r>
        <w:rPr/>
        <w:t>F.</w:t>
      </w:r>
      <w:r>
        <w:rPr>
          <w:spacing w:val="-1"/>
        </w:rPr>
        <w:t> </w:t>
      </w:r>
      <w:r>
        <w:rPr/>
        <w:t>and</w:t>
      </w:r>
      <w:r>
        <w:rPr>
          <w:spacing w:val="-2"/>
        </w:rPr>
        <w:t> </w:t>
      </w:r>
      <w:r>
        <w:rPr/>
        <w:t>Powell,</w:t>
      </w:r>
      <w:r>
        <w:rPr>
          <w:spacing w:val="-5"/>
        </w:rPr>
        <w:t> </w:t>
      </w:r>
      <w:r>
        <w:rPr/>
        <w:t>J., (2025). Qualitative evaluation of the implementation and national roll-out of the NHS App in England. </w:t>
      </w:r>
      <w:r>
        <w:rPr>
          <w:i/>
        </w:rPr>
        <w:t>BMC medicine</w:t>
      </w:r>
      <w:r>
        <w:rPr/>
        <w:t>, </w:t>
      </w:r>
      <w:r>
        <w:rPr>
          <w:i/>
        </w:rPr>
        <w:t>23</w:t>
      </w:r>
      <w:r>
        <w:rPr/>
        <w:t>(1), p.20.</w:t>
      </w:r>
    </w:p>
    <w:p>
      <w:pPr>
        <w:pStyle w:val="BodyText"/>
        <w:spacing w:after="0" w:line="360" w:lineRule="auto"/>
        <w:jc w:val="both"/>
        <w:sectPr>
          <w:pgSz w:w="11910" w:h="16840"/>
          <w:pgMar w:header="0" w:footer="1096" w:top="1380" w:bottom="1280" w:left="1417" w:right="1417"/>
        </w:sectPr>
      </w:pPr>
    </w:p>
    <w:p>
      <w:pPr>
        <w:pStyle w:val="Heading1"/>
        <w:numPr>
          <w:ilvl w:val="0"/>
          <w:numId w:val="2"/>
        </w:numPr>
        <w:tabs>
          <w:tab w:pos="546" w:val="left" w:leader="none"/>
        </w:tabs>
        <w:spacing w:line="240" w:lineRule="auto" w:before="60" w:after="0"/>
        <w:ind w:left="546" w:right="0" w:hanging="523"/>
        <w:jc w:val="left"/>
      </w:pPr>
      <w:bookmarkStart w:name="9.0 Appendices" w:id="17"/>
      <w:bookmarkEnd w:id="17"/>
      <w:r>
        <w:rPr>
          <w:b w:val="0"/>
        </w:rPr>
      </w:r>
      <w:bookmarkStart w:name="_bookmark8" w:id="18"/>
      <w:bookmarkEnd w:id="18"/>
      <w:r>
        <w:rPr>
          <w:b w:val="0"/>
        </w:rPr>
      </w:r>
      <w:r>
        <w:rPr>
          <w:spacing w:val="-2"/>
        </w:rPr>
        <w:t>Appendices</w:t>
      </w:r>
    </w:p>
    <w:p>
      <w:pPr>
        <w:pStyle w:val="Heading3"/>
      </w:pPr>
      <w:r>
        <w:rPr/>
        <w:t>Appendix</w:t>
      </w:r>
      <w:r>
        <w:rPr>
          <w:spacing w:val="-9"/>
        </w:rPr>
        <w:t> </w:t>
      </w:r>
      <w:r>
        <w:rPr>
          <w:spacing w:val="-10"/>
        </w:rPr>
        <w:t>1</w:t>
      </w:r>
    </w:p>
    <w:p>
      <w:pPr>
        <w:pStyle w:val="Heading5"/>
        <w:spacing w:before="208"/>
        <w:ind w:left="23"/>
      </w:pPr>
      <w:r>
        <w:rPr>
          <w:u w:val="single"/>
        </w:rPr>
        <w:t>Gantt</w:t>
      </w:r>
      <w:r>
        <w:rPr>
          <w:spacing w:val="-5"/>
          <w:u w:val="single"/>
        </w:rPr>
        <w:t> </w:t>
      </w:r>
      <w:r>
        <w:rPr>
          <w:spacing w:val="-2"/>
          <w:u w:val="single"/>
        </w:rPr>
        <w:t>chart</w:t>
      </w:r>
    </w:p>
    <w:p>
      <w:pPr>
        <w:pStyle w:val="BodyText"/>
        <w:spacing w:before="54"/>
        <w:rPr>
          <w:b/>
          <w:sz w:val="20"/>
        </w:rPr>
      </w:pPr>
    </w:p>
    <w:tbl>
      <w:tblPr>
        <w:tblW w:w="0" w:type="auto"/>
        <w:jc w:val="left"/>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1806"/>
        <w:gridCol w:w="1800"/>
        <w:gridCol w:w="1806"/>
        <w:gridCol w:w="1801"/>
        <w:gridCol w:w="1806"/>
      </w:tblGrid>
      <w:tr>
        <w:trPr>
          <w:trHeight w:val="380" w:hRule="atLeast"/>
        </w:trPr>
        <w:tc>
          <w:tcPr>
            <w:tcW w:w="1806" w:type="dxa"/>
          </w:tcPr>
          <w:p>
            <w:pPr>
              <w:pStyle w:val="TableParagraph"/>
              <w:spacing w:before="3"/>
              <w:ind w:left="110"/>
              <w:rPr>
                <w:b/>
                <w:sz w:val="22"/>
              </w:rPr>
            </w:pPr>
            <w:r>
              <w:rPr>
                <w:b/>
                <w:spacing w:val="-4"/>
                <w:sz w:val="22"/>
              </w:rPr>
              <w:t>Task</w:t>
            </w:r>
          </w:p>
        </w:tc>
        <w:tc>
          <w:tcPr>
            <w:tcW w:w="1800" w:type="dxa"/>
          </w:tcPr>
          <w:p>
            <w:pPr>
              <w:pStyle w:val="TableParagraph"/>
              <w:spacing w:before="3"/>
              <w:ind w:left="105"/>
              <w:rPr>
                <w:b/>
                <w:sz w:val="22"/>
              </w:rPr>
            </w:pPr>
            <w:r>
              <w:rPr>
                <w:b/>
                <w:sz w:val="22"/>
              </w:rPr>
              <w:t>Stage</w:t>
            </w:r>
            <w:r>
              <w:rPr>
                <w:b/>
                <w:spacing w:val="-4"/>
                <w:sz w:val="22"/>
              </w:rPr>
              <w:t> </w:t>
            </w:r>
            <w:r>
              <w:rPr>
                <w:b/>
                <w:spacing w:val="-10"/>
                <w:sz w:val="22"/>
              </w:rPr>
              <w:t>1</w:t>
            </w:r>
          </w:p>
        </w:tc>
        <w:tc>
          <w:tcPr>
            <w:tcW w:w="1806" w:type="dxa"/>
          </w:tcPr>
          <w:p>
            <w:pPr>
              <w:pStyle w:val="TableParagraph"/>
              <w:spacing w:before="3"/>
              <w:ind w:left="110"/>
              <w:rPr>
                <w:b/>
                <w:sz w:val="22"/>
              </w:rPr>
            </w:pPr>
            <w:r>
              <w:rPr>
                <w:b/>
                <w:sz w:val="22"/>
              </w:rPr>
              <w:t>Stage</w:t>
            </w:r>
            <w:r>
              <w:rPr>
                <w:b/>
                <w:spacing w:val="-4"/>
                <w:sz w:val="22"/>
              </w:rPr>
              <w:t> </w:t>
            </w:r>
            <w:r>
              <w:rPr>
                <w:b/>
                <w:spacing w:val="-10"/>
                <w:sz w:val="22"/>
              </w:rPr>
              <w:t>2</w:t>
            </w:r>
          </w:p>
        </w:tc>
        <w:tc>
          <w:tcPr>
            <w:tcW w:w="1801" w:type="dxa"/>
          </w:tcPr>
          <w:p>
            <w:pPr>
              <w:pStyle w:val="TableParagraph"/>
              <w:spacing w:before="3"/>
              <w:ind w:left="105"/>
              <w:rPr>
                <w:b/>
                <w:sz w:val="22"/>
              </w:rPr>
            </w:pPr>
            <w:r>
              <w:rPr>
                <w:b/>
                <w:sz w:val="22"/>
              </w:rPr>
              <w:t>Stage</w:t>
            </w:r>
            <w:r>
              <w:rPr>
                <w:b/>
                <w:spacing w:val="-4"/>
                <w:sz w:val="22"/>
              </w:rPr>
              <w:t> </w:t>
            </w:r>
            <w:r>
              <w:rPr>
                <w:b/>
                <w:spacing w:val="-10"/>
                <w:sz w:val="22"/>
              </w:rPr>
              <w:t>3</w:t>
            </w:r>
          </w:p>
        </w:tc>
        <w:tc>
          <w:tcPr>
            <w:tcW w:w="1806" w:type="dxa"/>
          </w:tcPr>
          <w:p>
            <w:pPr>
              <w:pStyle w:val="TableParagraph"/>
              <w:spacing w:before="3"/>
              <w:ind w:left="110"/>
              <w:rPr>
                <w:b/>
                <w:sz w:val="22"/>
              </w:rPr>
            </w:pPr>
            <w:r>
              <w:rPr>
                <w:b/>
                <w:sz w:val="22"/>
              </w:rPr>
              <w:t>Final</w:t>
            </w:r>
            <w:r>
              <w:rPr>
                <w:b/>
                <w:spacing w:val="-9"/>
                <w:sz w:val="22"/>
              </w:rPr>
              <w:t> </w:t>
            </w:r>
            <w:r>
              <w:rPr>
                <w:b/>
                <w:spacing w:val="-2"/>
                <w:sz w:val="22"/>
              </w:rPr>
              <w:t>Stage</w:t>
            </w:r>
          </w:p>
        </w:tc>
      </w:tr>
      <w:tr>
        <w:trPr>
          <w:trHeight w:val="1140" w:hRule="atLeast"/>
        </w:trPr>
        <w:tc>
          <w:tcPr>
            <w:tcW w:w="1806" w:type="dxa"/>
          </w:tcPr>
          <w:p>
            <w:pPr>
              <w:pStyle w:val="TableParagraph"/>
              <w:tabs>
                <w:tab w:pos="1178" w:val="left" w:leader="none"/>
                <w:tab w:pos="1571" w:val="left" w:leader="none"/>
              </w:tabs>
              <w:spacing w:line="360" w:lineRule="auto" w:before="3"/>
              <w:ind w:left="110" w:right="100"/>
              <w:rPr>
                <w:sz w:val="22"/>
              </w:rPr>
            </w:pPr>
            <w:r>
              <w:rPr>
                <w:spacing w:val="-2"/>
                <w:sz w:val="22"/>
              </w:rPr>
              <w:t>Element</w:t>
            </w:r>
            <w:r>
              <w:rPr>
                <w:sz w:val="22"/>
              </w:rPr>
              <w:tab/>
            </w:r>
            <w:r>
              <w:rPr>
                <w:spacing w:val="-10"/>
                <w:sz w:val="22"/>
              </w:rPr>
              <w:t>2</w:t>
            </w:r>
            <w:r>
              <w:rPr>
                <w:sz w:val="22"/>
              </w:rPr>
              <w:tab/>
            </w:r>
            <w:r>
              <w:rPr>
                <w:spacing w:val="-10"/>
                <w:sz w:val="22"/>
              </w:rPr>
              <w:t>– </w:t>
            </w:r>
            <w:r>
              <w:rPr>
                <w:spacing w:val="-2"/>
                <w:sz w:val="22"/>
              </w:rPr>
              <w:t>Methodology</w:t>
            </w:r>
          </w:p>
          <w:p>
            <w:pPr>
              <w:pStyle w:val="TableParagraph"/>
              <w:spacing w:before="2"/>
              <w:ind w:left="110"/>
              <w:rPr>
                <w:sz w:val="22"/>
              </w:rPr>
            </w:pPr>
            <w:r>
              <w:rPr>
                <w:spacing w:val="-2"/>
                <w:sz w:val="22"/>
              </w:rPr>
              <w:t>Poster</w:t>
            </w:r>
          </w:p>
        </w:tc>
        <w:tc>
          <w:tcPr>
            <w:tcW w:w="1800" w:type="dxa"/>
          </w:tcPr>
          <w:p>
            <w:pPr>
              <w:pStyle w:val="TableParagraph"/>
              <w:spacing w:before="2"/>
              <w:ind w:left="4"/>
              <w:jc w:val="center"/>
              <w:rPr>
                <w:rFonts w:ascii="Segoe UI Symbol" w:hAnsi="Segoe UI Symbol"/>
                <w:sz w:val="22"/>
              </w:rPr>
            </w:pPr>
            <w:r>
              <w:rPr>
                <w:rFonts w:ascii="Segoe UI Symbol" w:hAnsi="Segoe UI Symbol"/>
                <w:spacing w:val="-10"/>
                <w:sz w:val="22"/>
              </w:rPr>
              <w:t>✓</w:t>
            </w:r>
          </w:p>
        </w:tc>
        <w:tc>
          <w:tcPr>
            <w:tcW w:w="1806" w:type="dxa"/>
          </w:tcPr>
          <w:p>
            <w:pPr>
              <w:pStyle w:val="TableParagraph"/>
              <w:rPr>
                <w:rFonts w:ascii="Times New Roman"/>
                <w:sz w:val="22"/>
              </w:rPr>
            </w:pPr>
          </w:p>
        </w:tc>
        <w:tc>
          <w:tcPr>
            <w:tcW w:w="1801" w:type="dxa"/>
          </w:tcPr>
          <w:p>
            <w:pPr>
              <w:pStyle w:val="TableParagraph"/>
              <w:rPr>
                <w:rFonts w:ascii="Times New Roman"/>
                <w:sz w:val="22"/>
              </w:rPr>
            </w:pPr>
          </w:p>
        </w:tc>
        <w:tc>
          <w:tcPr>
            <w:tcW w:w="1806" w:type="dxa"/>
          </w:tcPr>
          <w:p>
            <w:pPr>
              <w:pStyle w:val="TableParagraph"/>
              <w:rPr>
                <w:rFonts w:ascii="Times New Roman"/>
                <w:sz w:val="22"/>
              </w:rPr>
            </w:pPr>
          </w:p>
        </w:tc>
      </w:tr>
      <w:tr>
        <w:trPr>
          <w:trHeight w:val="440" w:hRule="atLeast"/>
        </w:trPr>
        <w:tc>
          <w:tcPr>
            <w:tcW w:w="1806" w:type="dxa"/>
          </w:tcPr>
          <w:p>
            <w:pPr>
              <w:pStyle w:val="TableParagraph"/>
              <w:spacing w:before="3"/>
              <w:ind w:left="110"/>
              <w:rPr>
                <w:sz w:val="22"/>
              </w:rPr>
            </w:pPr>
            <w:r>
              <w:rPr>
                <w:sz w:val="22"/>
              </w:rPr>
              <w:t>Chapters</w:t>
            </w:r>
            <w:r>
              <w:rPr>
                <w:spacing w:val="-9"/>
                <w:sz w:val="22"/>
              </w:rPr>
              <w:t> </w:t>
            </w:r>
            <w:r>
              <w:rPr>
                <w:sz w:val="22"/>
              </w:rPr>
              <w:t>1–</w:t>
            </w:r>
            <w:r>
              <w:rPr>
                <w:spacing w:val="-10"/>
                <w:sz w:val="22"/>
              </w:rPr>
              <w:t>3</w:t>
            </w:r>
          </w:p>
        </w:tc>
        <w:tc>
          <w:tcPr>
            <w:tcW w:w="1800" w:type="dxa"/>
          </w:tcPr>
          <w:p>
            <w:pPr>
              <w:pStyle w:val="TableParagraph"/>
              <w:rPr>
                <w:rFonts w:ascii="Times New Roman"/>
                <w:sz w:val="22"/>
              </w:rPr>
            </w:pPr>
          </w:p>
        </w:tc>
        <w:tc>
          <w:tcPr>
            <w:tcW w:w="1806" w:type="dxa"/>
          </w:tcPr>
          <w:p>
            <w:pPr>
              <w:pStyle w:val="TableParagraph"/>
              <w:spacing w:before="2"/>
              <w:ind w:left="10"/>
              <w:jc w:val="center"/>
              <w:rPr>
                <w:rFonts w:ascii="Segoe UI Symbol" w:hAnsi="Segoe UI Symbol"/>
                <w:sz w:val="22"/>
              </w:rPr>
            </w:pPr>
            <w:r>
              <w:rPr>
                <w:rFonts w:ascii="Segoe UI Symbol" w:hAnsi="Segoe UI Symbol"/>
                <w:spacing w:val="-10"/>
                <w:sz w:val="22"/>
              </w:rPr>
              <w:t>✓</w:t>
            </w:r>
          </w:p>
        </w:tc>
        <w:tc>
          <w:tcPr>
            <w:tcW w:w="1801" w:type="dxa"/>
          </w:tcPr>
          <w:p>
            <w:pPr>
              <w:pStyle w:val="TableParagraph"/>
              <w:rPr>
                <w:rFonts w:ascii="Times New Roman"/>
                <w:sz w:val="22"/>
              </w:rPr>
            </w:pPr>
          </w:p>
        </w:tc>
        <w:tc>
          <w:tcPr>
            <w:tcW w:w="1806" w:type="dxa"/>
          </w:tcPr>
          <w:p>
            <w:pPr>
              <w:pStyle w:val="TableParagraph"/>
              <w:rPr>
                <w:rFonts w:ascii="Times New Roman"/>
                <w:sz w:val="22"/>
              </w:rPr>
            </w:pPr>
          </w:p>
        </w:tc>
      </w:tr>
      <w:tr>
        <w:trPr>
          <w:trHeight w:val="435" w:hRule="atLeast"/>
        </w:trPr>
        <w:tc>
          <w:tcPr>
            <w:tcW w:w="1806" w:type="dxa"/>
          </w:tcPr>
          <w:p>
            <w:pPr>
              <w:pStyle w:val="TableParagraph"/>
              <w:spacing w:before="3"/>
              <w:ind w:left="110"/>
              <w:rPr>
                <w:sz w:val="22"/>
              </w:rPr>
            </w:pPr>
            <w:r>
              <w:rPr>
                <w:sz w:val="22"/>
              </w:rPr>
              <w:t>Chapter</w:t>
            </w:r>
            <w:r>
              <w:rPr>
                <w:spacing w:val="-9"/>
                <w:sz w:val="22"/>
              </w:rPr>
              <w:t> </w:t>
            </w:r>
            <w:r>
              <w:rPr>
                <w:spacing w:val="-10"/>
                <w:sz w:val="22"/>
              </w:rPr>
              <w:t>4</w:t>
            </w:r>
          </w:p>
        </w:tc>
        <w:tc>
          <w:tcPr>
            <w:tcW w:w="1800" w:type="dxa"/>
          </w:tcPr>
          <w:p>
            <w:pPr>
              <w:pStyle w:val="TableParagraph"/>
              <w:rPr>
                <w:rFonts w:ascii="Times New Roman"/>
                <w:sz w:val="22"/>
              </w:rPr>
            </w:pPr>
          </w:p>
        </w:tc>
        <w:tc>
          <w:tcPr>
            <w:tcW w:w="1806" w:type="dxa"/>
          </w:tcPr>
          <w:p>
            <w:pPr>
              <w:pStyle w:val="TableParagraph"/>
              <w:rPr>
                <w:rFonts w:ascii="Times New Roman"/>
                <w:sz w:val="22"/>
              </w:rPr>
            </w:pPr>
          </w:p>
        </w:tc>
        <w:tc>
          <w:tcPr>
            <w:tcW w:w="1801" w:type="dxa"/>
          </w:tcPr>
          <w:p>
            <w:pPr>
              <w:pStyle w:val="TableParagraph"/>
              <w:spacing w:before="2"/>
              <w:ind w:right="808"/>
              <w:jc w:val="right"/>
              <w:rPr>
                <w:rFonts w:ascii="Segoe UI Symbol" w:hAnsi="Segoe UI Symbol"/>
                <w:sz w:val="22"/>
              </w:rPr>
            </w:pPr>
            <w:r>
              <w:rPr>
                <w:rFonts w:ascii="Segoe UI Symbol" w:hAnsi="Segoe UI Symbol"/>
                <w:spacing w:val="-10"/>
                <w:sz w:val="22"/>
              </w:rPr>
              <w:t>✓</w:t>
            </w:r>
          </w:p>
        </w:tc>
        <w:tc>
          <w:tcPr>
            <w:tcW w:w="1806" w:type="dxa"/>
          </w:tcPr>
          <w:p>
            <w:pPr>
              <w:pStyle w:val="TableParagraph"/>
              <w:rPr>
                <w:rFonts w:ascii="Times New Roman"/>
                <w:sz w:val="22"/>
              </w:rPr>
            </w:pPr>
          </w:p>
        </w:tc>
      </w:tr>
      <w:tr>
        <w:trPr>
          <w:trHeight w:val="440" w:hRule="atLeast"/>
        </w:trPr>
        <w:tc>
          <w:tcPr>
            <w:tcW w:w="1806" w:type="dxa"/>
          </w:tcPr>
          <w:p>
            <w:pPr>
              <w:pStyle w:val="TableParagraph"/>
              <w:spacing w:before="3"/>
              <w:ind w:left="110"/>
              <w:rPr>
                <w:sz w:val="22"/>
              </w:rPr>
            </w:pPr>
            <w:r>
              <w:rPr>
                <w:sz w:val="22"/>
              </w:rPr>
              <w:t>Chapter</w:t>
            </w:r>
            <w:r>
              <w:rPr>
                <w:spacing w:val="-9"/>
                <w:sz w:val="22"/>
              </w:rPr>
              <w:t> </w:t>
            </w:r>
            <w:r>
              <w:rPr>
                <w:spacing w:val="-10"/>
                <w:sz w:val="22"/>
              </w:rPr>
              <w:t>5</w:t>
            </w:r>
          </w:p>
        </w:tc>
        <w:tc>
          <w:tcPr>
            <w:tcW w:w="1800" w:type="dxa"/>
          </w:tcPr>
          <w:p>
            <w:pPr>
              <w:pStyle w:val="TableParagraph"/>
              <w:rPr>
                <w:rFonts w:ascii="Times New Roman"/>
                <w:sz w:val="22"/>
              </w:rPr>
            </w:pPr>
          </w:p>
        </w:tc>
        <w:tc>
          <w:tcPr>
            <w:tcW w:w="1806" w:type="dxa"/>
          </w:tcPr>
          <w:p>
            <w:pPr>
              <w:pStyle w:val="TableParagraph"/>
              <w:rPr>
                <w:rFonts w:ascii="Times New Roman"/>
                <w:sz w:val="22"/>
              </w:rPr>
            </w:pPr>
          </w:p>
        </w:tc>
        <w:tc>
          <w:tcPr>
            <w:tcW w:w="1801" w:type="dxa"/>
          </w:tcPr>
          <w:p>
            <w:pPr>
              <w:pStyle w:val="TableParagraph"/>
              <w:spacing w:before="2"/>
              <w:ind w:right="808"/>
              <w:jc w:val="right"/>
              <w:rPr>
                <w:rFonts w:ascii="Segoe UI Symbol" w:hAnsi="Segoe UI Symbol"/>
                <w:sz w:val="22"/>
              </w:rPr>
            </w:pPr>
            <w:r>
              <w:rPr>
                <w:rFonts w:ascii="Segoe UI Symbol" w:hAnsi="Segoe UI Symbol"/>
                <w:spacing w:val="-10"/>
                <w:sz w:val="22"/>
              </w:rPr>
              <w:t>✓</w:t>
            </w:r>
          </w:p>
        </w:tc>
        <w:tc>
          <w:tcPr>
            <w:tcW w:w="1806" w:type="dxa"/>
          </w:tcPr>
          <w:p>
            <w:pPr>
              <w:pStyle w:val="TableParagraph"/>
              <w:rPr>
                <w:rFonts w:ascii="Times New Roman"/>
                <w:sz w:val="22"/>
              </w:rPr>
            </w:pPr>
          </w:p>
        </w:tc>
      </w:tr>
      <w:tr>
        <w:trPr>
          <w:trHeight w:val="760" w:hRule="atLeast"/>
        </w:trPr>
        <w:tc>
          <w:tcPr>
            <w:tcW w:w="1806" w:type="dxa"/>
          </w:tcPr>
          <w:p>
            <w:pPr>
              <w:pStyle w:val="TableParagraph"/>
              <w:spacing w:before="3"/>
              <w:ind w:left="110"/>
              <w:rPr>
                <w:sz w:val="22"/>
              </w:rPr>
            </w:pPr>
            <w:r>
              <w:rPr>
                <w:sz w:val="22"/>
              </w:rPr>
              <w:t>Proof</w:t>
            </w:r>
            <w:r>
              <w:rPr>
                <w:spacing w:val="24"/>
                <w:sz w:val="22"/>
              </w:rPr>
              <w:t> </w:t>
            </w:r>
            <w:r>
              <w:rPr>
                <w:sz w:val="22"/>
              </w:rPr>
              <w:t>reading</w:t>
            </w:r>
            <w:r>
              <w:rPr>
                <w:spacing w:val="24"/>
                <w:sz w:val="22"/>
              </w:rPr>
              <w:t> </w:t>
            </w:r>
            <w:r>
              <w:rPr>
                <w:spacing w:val="-10"/>
                <w:sz w:val="22"/>
              </w:rPr>
              <w:t>&amp;</w:t>
            </w:r>
          </w:p>
          <w:p>
            <w:pPr>
              <w:pStyle w:val="TableParagraph"/>
              <w:spacing w:before="127"/>
              <w:ind w:left="110"/>
              <w:rPr>
                <w:sz w:val="22"/>
              </w:rPr>
            </w:pPr>
            <w:r>
              <w:rPr>
                <w:spacing w:val="-2"/>
                <w:sz w:val="22"/>
              </w:rPr>
              <w:t>Submission</w:t>
            </w:r>
          </w:p>
        </w:tc>
        <w:tc>
          <w:tcPr>
            <w:tcW w:w="1800" w:type="dxa"/>
          </w:tcPr>
          <w:p>
            <w:pPr>
              <w:pStyle w:val="TableParagraph"/>
              <w:rPr>
                <w:rFonts w:ascii="Times New Roman"/>
                <w:sz w:val="22"/>
              </w:rPr>
            </w:pPr>
          </w:p>
        </w:tc>
        <w:tc>
          <w:tcPr>
            <w:tcW w:w="1806" w:type="dxa"/>
          </w:tcPr>
          <w:p>
            <w:pPr>
              <w:pStyle w:val="TableParagraph"/>
              <w:rPr>
                <w:rFonts w:ascii="Times New Roman"/>
                <w:sz w:val="22"/>
              </w:rPr>
            </w:pPr>
          </w:p>
        </w:tc>
        <w:tc>
          <w:tcPr>
            <w:tcW w:w="1801" w:type="dxa"/>
          </w:tcPr>
          <w:p>
            <w:pPr>
              <w:pStyle w:val="TableParagraph"/>
              <w:rPr>
                <w:rFonts w:ascii="Times New Roman"/>
                <w:sz w:val="22"/>
              </w:rPr>
            </w:pPr>
          </w:p>
        </w:tc>
        <w:tc>
          <w:tcPr>
            <w:tcW w:w="1806" w:type="dxa"/>
          </w:tcPr>
          <w:p>
            <w:pPr>
              <w:pStyle w:val="TableParagraph"/>
              <w:spacing w:before="2"/>
              <w:ind w:left="10" w:right="1"/>
              <w:jc w:val="center"/>
              <w:rPr>
                <w:rFonts w:ascii="Segoe UI Symbol" w:hAnsi="Segoe UI Symbol"/>
                <w:sz w:val="22"/>
              </w:rPr>
            </w:pPr>
            <w:r>
              <w:rPr>
                <w:rFonts w:ascii="Segoe UI Symbol" w:hAnsi="Segoe UI Symbol"/>
                <w:spacing w:val="-10"/>
                <w:sz w:val="22"/>
              </w:rPr>
              <w:t>✓</w:t>
            </w:r>
          </w:p>
        </w:tc>
      </w:tr>
    </w:tbl>
    <w:p>
      <w:pPr>
        <w:pStyle w:val="BodyText"/>
        <w:rPr>
          <w:b/>
        </w:rPr>
      </w:pPr>
    </w:p>
    <w:p>
      <w:pPr>
        <w:pStyle w:val="BodyText"/>
        <w:spacing w:before="38"/>
        <w:rPr>
          <w:b/>
        </w:rPr>
      </w:pPr>
    </w:p>
    <w:p>
      <w:pPr>
        <w:pStyle w:val="BodyText"/>
        <w:spacing w:line="360" w:lineRule="auto"/>
        <w:ind w:left="23" w:right="24"/>
        <w:jc w:val="both"/>
      </w:pPr>
      <w:r>
        <w:rPr/>
        <w:t>From</w:t>
      </w:r>
      <w:r>
        <w:rPr>
          <w:spacing w:val="-6"/>
        </w:rPr>
        <w:t> </w:t>
      </w:r>
      <w:r>
        <w:rPr/>
        <w:t>the</w:t>
      </w:r>
      <w:r>
        <w:rPr>
          <w:spacing w:val="-5"/>
        </w:rPr>
        <w:t> </w:t>
      </w:r>
      <w:r>
        <w:rPr/>
        <w:t>Gantt</w:t>
      </w:r>
      <w:r>
        <w:rPr>
          <w:spacing w:val="-9"/>
        </w:rPr>
        <w:t> </w:t>
      </w:r>
      <w:r>
        <w:rPr/>
        <w:t>chart</w:t>
      </w:r>
      <w:r>
        <w:rPr>
          <w:spacing w:val="-4"/>
        </w:rPr>
        <w:t> </w:t>
      </w:r>
      <w:r>
        <w:rPr/>
        <w:t>above,</w:t>
      </w:r>
      <w:r>
        <w:rPr>
          <w:spacing w:val="-9"/>
        </w:rPr>
        <w:t> </w:t>
      </w:r>
      <w:r>
        <w:rPr/>
        <w:t>the</w:t>
      </w:r>
      <w:r>
        <w:rPr>
          <w:spacing w:val="-5"/>
        </w:rPr>
        <w:t> </w:t>
      </w:r>
      <w:r>
        <w:rPr/>
        <w:t>project</w:t>
      </w:r>
      <w:r>
        <w:rPr>
          <w:spacing w:val="-9"/>
        </w:rPr>
        <w:t> </w:t>
      </w:r>
      <w:r>
        <w:rPr/>
        <w:t>will</w:t>
      </w:r>
      <w:r>
        <w:rPr>
          <w:spacing w:val="-2"/>
        </w:rPr>
        <w:t> </w:t>
      </w:r>
      <w:r>
        <w:rPr/>
        <w:t>begin</w:t>
      </w:r>
      <w:r>
        <w:rPr>
          <w:spacing w:val="-10"/>
        </w:rPr>
        <w:t> </w:t>
      </w:r>
      <w:r>
        <w:rPr/>
        <w:t>with</w:t>
      </w:r>
      <w:r>
        <w:rPr>
          <w:spacing w:val="-10"/>
        </w:rPr>
        <w:t> </w:t>
      </w:r>
      <w:r>
        <w:rPr/>
        <w:t>completion</w:t>
      </w:r>
      <w:r>
        <w:rPr>
          <w:spacing w:val="-5"/>
        </w:rPr>
        <w:t> </w:t>
      </w:r>
      <w:r>
        <w:rPr/>
        <w:t>of</w:t>
      </w:r>
      <w:r>
        <w:rPr>
          <w:spacing w:val="-4"/>
        </w:rPr>
        <w:t> </w:t>
      </w:r>
      <w:r>
        <w:rPr/>
        <w:t>Element</w:t>
      </w:r>
      <w:r>
        <w:rPr>
          <w:spacing w:val="-4"/>
        </w:rPr>
        <w:t> </w:t>
      </w:r>
      <w:r>
        <w:rPr/>
        <w:t>2</w:t>
      </w:r>
      <w:r>
        <w:rPr>
          <w:spacing w:val="-5"/>
        </w:rPr>
        <w:t> </w:t>
      </w:r>
      <w:r>
        <w:rPr/>
        <w:t>(Methodology Poster), followed by drafting Chapters 1–3 of the dissertation. The next stage will focus on Chapter</w:t>
      </w:r>
      <w:r>
        <w:rPr>
          <w:spacing w:val="-4"/>
        </w:rPr>
        <w:t> </w:t>
      </w:r>
      <w:r>
        <w:rPr/>
        <w:t>4</w:t>
      </w:r>
      <w:r>
        <w:rPr>
          <w:spacing w:val="-3"/>
        </w:rPr>
        <w:t> </w:t>
      </w:r>
      <w:r>
        <w:rPr/>
        <w:t>(Results</w:t>
      </w:r>
      <w:r>
        <w:rPr>
          <w:spacing w:val="-2"/>
        </w:rPr>
        <w:t> </w:t>
      </w:r>
      <w:r>
        <w:rPr/>
        <w:t>and</w:t>
      </w:r>
      <w:r>
        <w:rPr>
          <w:spacing w:val="-8"/>
        </w:rPr>
        <w:t> </w:t>
      </w:r>
      <w:r>
        <w:rPr/>
        <w:t>Discussion)</w:t>
      </w:r>
      <w:r>
        <w:rPr>
          <w:spacing w:val="-4"/>
        </w:rPr>
        <w:t> </w:t>
      </w:r>
      <w:r>
        <w:rPr/>
        <w:t>alongside</w:t>
      </w:r>
      <w:r>
        <w:rPr>
          <w:spacing w:val="-3"/>
        </w:rPr>
        <w:t> </w:t>
      </w:r>
      <w:r>
        <w:rPr/>
        <w:t>development</w:t>
      </w:r>
      <w:r>
        <w:rPr>
          <w:spacing w:val="-7"/>
        </w:rPr>
        <w:t> </w:t>
      </w:r>
      <w:r>
        <w:rPr/>
        <w:t>of</w:t>
      </w:r>
      <w:r>
        <w:rPr>
          <w:spacing w:val="-7"/>
        </w:rPr>
        <w:t> </w:t>
      </w:r>
      <w:r>
        <w:rPr/>
        <w:t>Chapter</w:t>
      </w:r>
      <w:r>
        <w:rPr>
          <w:spacing w:val="-4"/>
        </w:rPr>
        <w:t> </w:t>
      </w:r>
      <w:r>
        <w:rPr/>
        <w:t>5 (Recommendations and Conclusion). The final stage will involve proofreading, formatting and submission of the completed dissertation.</w:t>
      </w:r>
    </w:p>
    <w:sectPr>
      <w:pgSz w:w="11910" w:h="16840"/>
      <w:pgMar w:header="0" w:footer="1096" w:top="1380" w:bottom="1280" w:left="1417" w:right="1417"/>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Calibri">
    <w:altName w:val="Calibri"/>
    <w:charset w:val="0"/>
    <w:family w:val="swiss"/>
    <w:pitch w:val="variable"/>
  </w:font>
  <w:font w:name="Arial">
    <w:altName w:val="Arial"/>
    <w:charset w:val="0"/>
    <w:family w:val="swiss"/>
    <w:pitch w:val="variable"/>
  </w:font>
  <w:font w:name="Segoe UI Symbol">
    <w:altName w:val="Segoe UI Symbol"/>
    <w:charset w:val="0"/>
    <w:family w:val="swiss"/>
    <w:pitch w:val="variable"/>
  </w:font>
  <w:font w:name="Symbol">
    <w:altName w:val="Symbol"/>
    <w:charset w:val="2"/>
    <w:family w:val="roman"/>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7457280">
              <wp:simplePos x="0" y="0"/>
              <wp:positionH relativeFrom="page">
                <wp:posOffset>3700526</wp:posOffset>
              </wp:positionH>
              <wp:positionV relativeFrom="page">
                <wp:posOffset>9857833</wp:posOffset>
              </wp:positionV>
              <wp:extent cx="170815" cy="211454"/>
              <wp:effectExtent l="0" t="0" r="0" b="0"/>
              <wp:wrapNone/>
              <wp:docPr id="1" name="Textbox 1"/>
              <wp:cNvGraphicFramePr>
                <a:graphicFrameLocks/>
              </wp:cNvGraphicFramePr>
              <a:graphic>
                <a:graphicData uri="http://schemas.microsoft.com/office/word/2010/wordprocessingShape">
                  <wps:wsp>
                    <wps:cNvPr id="1" name="Textbox 1"/>
                    <wps:cNvSpPr txBox="1"/>
                    <wps:spPr>
                      <a:xfrm>
                        <a:off x="0" y="0"/>
                        <a:ext cx="170815" cy="211454"/>
                      </a:xfrm>
                      <a:prstGeom prst="rect">
                        <a:avLst/>
                      </a:prstGeom>
                    </wps:spPr>
                    <wps:txbx>
                      <w:txbxContent>
                        <w:p>
                          <w:pPr>
                            <w:spacing w:before="17"/>
                            <w:ind w:left="60" w:right="0" w:firstLine="0"/>
                            <w:jc w:val="left"/>
                            <w:rPr>
                              <w:rFonts w:ascii="Calibri"/>
                              <w:sz w:val="24"/>
                            </w:rPr>
                          </w:pPr>
                          <w:r>
                            <w:rPr>
                              <w:rFonts w:ascii="Calibri"/>
                              <w:spacing w:val="-10"/>
                              <w:w w:val="105"/>
                              <w:sz w:val="24"/>
                            </w:rPr>
                            <w:fldChar w:fldCharType="begin"/>
                          </w:r>
                          <w:r>
                            <w:rPr>
                              <w:rFonts w:ascii="Calibri"/>
                              <w:spacing w:val="-10"/>
                              <w:w w:val="105"/>
                              <w:sz w:val="24"/>
                            </w:rPr>
                            <w:instrText> PAGE </w:instrText>
                          </w:r>
                          <w:r>
                            <w:rPr>
                              <w:rFonts w:ascii="Calibri"/>
                              <w:spacing w:val="-10"/>
                              <w:w w:val="105"/>
                              <w:sz w:val="24"/>
                            </w:rPr>
                            <w:fldChar w:fldCharType="separate"/>
                          </w:r>
                          <w:r>
                            <w:rPr>
                              <w:rFonts w:ascii="Calibri"/>
                              <w:spacing w:val="-10"/>
                              <w:w w:val="105"/>
                              <w:sz w:val="24"/>
                            </w:rPr>
                            <w:t>1</w:t>
                          </w:r>
                          <w:r>
                            <w:rPr>
                              <w:rFonts w:ascii="Calibri"/>
                              <w:spacing w:val="-10"/>
                              <w:w w:val="105"/>
                              <w:sz w:val="24"/>
                            </w:rPr>
                            <w:fldChar w:fldCharType="end"/>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291.380005pt;margin-top:776.207397pt;width:13.45pt;height:16.650pt;mso-position-horizontal-relative:page;mso-position-vertical-relative:page;z-index:-15859200" type="#_x0000_t202" id="docshape1" filled="false" stroked="false">
              <v:textbox inset="0,0,0,0">
                <w:txbxContent>
                  <w:p>
                    <w:pPr>
                      <w:spacing w:before="17"/>
                      <w:ind w:left="60" w:right="0" w:firstLine="0"/>
                      <w:jc w:val="left"/>
                      <w:rPr>
                        <w:rFonts w:ascii="Calibri"/>
                        <w:sz w:val="24"/>
                      </w:rPr>
                    </w:pPr>
                    <w:r>
                      <w:rPr>
                        <w:rFonts w:ascii="Calibri"/>
                        <w:spacing w:val="-10"/>
                        <w:w w:val="105"/>
                        <w:sz w:val="24"/>
                      </w:rPr>
                      <w:fldChar w:fldCharType="begin"/>
                    </w:r>
                    <w:r>
                      <w:rPr>
                        <w:rFonts w:ascii="Calibri"/>
                        <w:spacing w:val="-10"/>
                        <w:w w:val="105"/>
                        <w:sz w:val="24"/>
                      </w:rPr>
                      <w:instrText> PAGE </w:instrText>
                    </w:r>
                    <w:r>
                      <w:rPr>
                        <w:rFonts w:ascii="Calibri"/>
                        <w:spacing w:val="-10"/>
                        <w:w w:val="105"/>
                        <w:sz w:val="24"/>
                      </w:rPr>
                      <w:fldChar w:fldCharType="separate"/>
                    </w:r>
                    <w:r>
                      <w:rPr>
                        <w:rFonts w:ascii="Calibri"/>
                        <w:spacing w:val="-10"/>
                        <w:w w:val="105"/>
                        <w:sz w:val="24"/>
                      </w:rPr>
                      <w:t>1</w:t>
                    </w:r>
                    <w:r>
                      <w:rPr>
                        <w:rFonts w:ascii="Calibri"/>
                        <w:spacing w:val="-10"/>
                        <w:w w:val="105"/>
                        <w:sz w:val="24"/>
                      </w:rPr>
                      <w:fldChar w:fldCharType="end"/>
                    </w:r>
                  </w:p>
                </w:txbxContent>
              </v:textbox>
              <w10:wrap type="none"/>
            </v:shape>
          </w:pict>
        </mc:Fallback>
      </mc:AlternateConten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
    <w:multiLevelType w:val="hybridMultilevel"/>
    <w:lvl w:ilvl="0">
      <w:start w:val="1"/>
      <w:numFmt w:val="decimal"/>
      <w:lvlText w:val="%1.0"/>
      <w:lvlJc w:val="left"/>
      <w:pPr>
        <w:ind w:left="549" w:hanging="526"/>
        <w:jc w:val="left"/>
      </w:pPr>
      <w:rPr>
        <w:rFonts w:hint="default" w:ascii="Arial" w:hAnsi="Arial" w:eastAsia="Arial" w:cs="Arial"/>
        <w:b/>
        <w:bCs/>
        <w:i w:val="0"/>
        <w:iCs w:val="0"/>
        <w:spacing w:val="0"/>
        <w:w w:val="100"/>
        <w:sz w:val="32"/>
        <w:szCs w:val="32"/>
        <w:lang w:val="en-US" w:eastAsia="en-US" w:bidi="ar-SA"/>
      </w:rPr>
    </w:lvl>
    <w:lvl w:ilvl="1">
      <w:start w:val="0"/>
      <w:numFmt w:val="bullet"/>
      <w:lvlText w:val=""/>
      <w:lvlJc w:val="left"/>
      <w:pPr>
        <w:ind w:left="744" w:hanging="360"/>
      </w:pPr>
      <w:rPr>
        <w:rFonts w:hint="default" w:ascii="Symbol" w:hAnsi="Symbol" w:eastAsia="Symbol" w:cs="Symbol"/>
        <w:b w:val="0"/>
        <w:bCs w:val="0"/>
        <w:i w:val="0"/>
        <w:iCs w:val="0"/>
        <w:spacing w:val="0"/>
        <w:w w:val="100"/>
        <w:sz w:val="22"/>
        <w:szCs w:val="22"/>
        <w:lang w:val="en-US" w:eastAsia="en-US" w:bidi="ar-SA"/>
      </w:rPr>
    </w:lvl>
    <w:lvl w:ilvl="2">
      <w:start w:val="0"/>
      <w:numFmt w:val="bullet"/>
      <w:lvlText w:val="•"/>
      <w:lvlJc w:val="left"/>
      <w:pPr>
        <w:ind w:left="1665" w:hanging="360"/>
      </w:pPr>
      <w:rPr>
        <w:rFonts w:hint="default"/>
        <w:lang w:val="en-US" w:eastAsia="en-US" w:bidi="ar-SA"/>
      </w:rPr>
    </w:lvl>
    <w:lvl w:ilvl="3">
      <w:start w:val="0"/>
      <w:numFmt w:val="bullet"/>
      <w:lvlText w:val="•"/>
      <w:lvlJc w:val="left"/>
      <w:pPr>
        <w:ind w:left="2591" w:hanging="360"/>
      </w:pPr>
      <w:rPr>
        <w:rFonts w:hint="default"/>
        <w:lang w:val="en-US" w:eastAsia="en-US" w:bidi="ar-SA"/>
      </w:rPr>
    </w:lvl>
    <w:lvl w:ilvl="4">
      <w:start w:val="0"/>
      <w:numFmt w:val="bullet"/>
      <w:lvlText w:val="•"/>
      <w:lvlJc w:val="left"/>
      <w:pPr>
        <w:ind w:left="3517" w:hanging="360"/>
      </w:pPr>
      <w:rPr>
        <w:rFonts w:hint="default"/>
        <w:lang w:val="en-US" w:eastAsia="en-US" w:bidi="ar-SA"/>
      </w:rPr>
    </w:lvl>
    <w:lvl w:ilvl="5">
      <w:start w:val="0"/>
      <w:numFmt w:val="bullet"/>
      <w:lvlText w:val="•"/>
      <w:lvlJc w:val="left"/>
      <w:pPr>
        <w:ind w:left="4442" w:hanging="360"/>
      </w:pPr>
      <w:rPr>
        <w:rFonts w:hint="default"/>
        <w:lang w:val="en-US" w:eastAsia="en-US" w:bidi="ar-SA"/>
      </w:rPr>
    </w:lvl>
    <w:lvl w:ilvl="6">
      <w:start w:val="0"/>
      <w:numFmt w:val="bullet"/>
      <w:lvlText w:val="•"/>
      <w:lvlJc w:val="left"/>
      <w:pPr>
        <w:ind w:left="5368" w:hanging="360"/>
      </w:pPr>
      <w:rPr>
        <w:rFonts w:hint="default"/>
        <w:lang w:val="en-US" w:eastAsia="en-US" w:bidi="ar-SA"/>
      </w:rPr>
    </w:lvl>
    <w:lvl w:ilvl="7">
      <w:start w:val="0"/>
      <w:numFmt w:val="bullet"/>
      <w:lvlText w:val="•"/>
      <w:lvlJc w:val="left"/>
      <w:pPr>
        <w:ind w:left="6294" w:hanging="360"/>
      </w:pPr>
      <w:rPr>
        <w:rFonts w:hint="default"/>
        <w:lang w:val="en-US" w:eastAsia="en-US" w:bidi="ar-SA"/>
      </w:rPr>
    </w:lvl>
    <w:lvl w:ilvl="8">
      <w:start w:val="0"/>
      <w:numFmt w:val="bullet"/>
      <w:lvlText w:val="•"/>
      <w:lvlJc w:val="left"/>
      <w:pPr>
        <w:ind w:left="7219" w:hanging="360"/>
      </w:pPr>
      <w:rPr>
        <w:rFonts w:hint="default"/>
        <w:lang w:val="en-US" w:eastAsia="en-US" w:bidi="ar-SA"/>
      </w:rPr>
    </w:lvl>
  </w:abstractNum>
  <w:abstractNum w:abstractNumId="0">
    <w:multiLevelType w:val="hybridMultilevel"/>
    <w:lvl w:ilvl="0">
      <w:start w:val="1"/>
      <w:numFmt w:val="decimal"/>
      <w:lvlText w:val="%1.0"/>
      <w:lvlJc w:val="left"/>
      <w:pPr>
        <w:ind w:left="413" w:hanging="390"/>
        <w:jc w:val="left"/>
      </w:pPr>
      <w:rPr>
        <w:rFonts w:hint="default" w:ascii="Arial" w:hAnsi="Arial" w:eastAsia="Arial" w:cs="Arial"/>
        <w:b w:val="0"/>
        <w:bCs w:val="0"/>
        <w:i w:val="0"/>
        <w:iCs w:val="0"/>
        <w:spacing w:val="-2"/>
        <w:w w:val="100"/>
        <w:sz w:val="24"/>
        <w:szCs w:val="24"/>
        <w:lang w:val="en-US" w:eastAsia="en-US" w:bidi="ar-SA"/>
      </w:rPr>
    </w:lvl>
    <w:lvl w:ilvl="1">
      <w:start w:val="0"/>
      <w:numFmt w:val="bullet"/>
      <w:lvlText w:val="•"/>
      <w:lvlJc w:val="left"/>
      <w:pPr>
        <w:ind w:left="1285" w:hanging="390"/>
      </w:pPr>
      <w:rPr>
        <w:rFonts w:hint="default"/>
        <w:lang w:val="en-US" w:eastAsia="en-US" w:bidi="ar-SA"/>
      </w:rPr>
    </w:lvl>
    <w:lvl w:ilvl="2">
      <w:start w:val="0"/>
      <w:numFmt w:val="bullet"/>
      <w:lvlText w:val="•"/>
      <w:lvlJc w:val="left"/>
      <w:pPr>
        <w:ind w:left="2150" w:hanging="390"/>
      </w:pPr>
      <w:rPr>
        <w:rFonts w:hint="default"/>
        <w:lang w:val="en-US" w:eastAsia="en-US" w:bidi="ar-SA"/>
      </w:rPr>
    </w:lvl>
    <w:lvl w:ilvl="3">
      <w:start w:val="0"/>
      <w:numFmt w:val="bullet"/>
      <w:lvlText w:val="•"/>
      <w:lvlJc w:val="left"/>
      <w:pPr>
        <w:ind w:left="3015" w:hanging="390"/>
      </w:pPr>
      <w:rPr>
        <w:rFonts w:hint="default"/>
        <w:lang w:val="en-US" w:eastAsia="en-US" w:bidi="ar-SA"/>
      </w:rPr>
    </w:lvl>
    <w:lvl w:ilvl="4">
      <w:start w:val="0"/>
      <w:numFmt w:val="bullet"/>
      <w:lvlText w:val="•"/>
      <w:lvlJc w:val="left"/>
      <w:pPr>
        <w:ind w:left="3880" w:hanging="390"/>
      </w:pPr>
      <w:rPr>
        <w:rFonts w:hint="default"/>
        <w:lang w:val="en-US" w:eastAsia="en-US" w:bidi="ar-SA"/>
      </w:rPr>
    </w:lvl>
    <w:lvl w:ilvl="5">
      <w:start w:val="0"/>
      <w:numFmt w:val="bullet"/>
      <w:lvlText w:val="•"/>
      <w:lvlJc w:val="left"/>
      <w:pPr>
        <w:ind w:left="4745" w:hanging="390"/>
      </w:pPr>
      <w:rPr>
        <w:rFonts w:hint="default"/>
        <w:lang w:val="en-US" w:eastAsia="en-US" w:bidi="ar-SA"/>
      </w:rPr>
    </w:lvl>
    <w:lvl w:ilvl="6">
      <w:start w:val="0"/>
      <w:numFmt w:val="bullet"/>
      <w:lvlText w:val="•"/>
      <w:lvlJc w:val="left"/>
      <w:pPr>
        <w:ind w:left="5610" w:hanging="390"/>
      </w:pPr>
      <w:rPr>
        <w:rFonts w:hint="default"/>
        <w:lang w:val="en-US" w:eastAsia="en-US" w:bidi="ar-SA"/>
      </w:rPr>
    </w:lvl>
    <w:lvl w:ilvl="7">
      <w:start w:val="0"/>
      <w:numFmt w:val="bullet"/>
      <w:lvlText w:val="•"/>
      <w:lvlJc w:val="left"/>
      <w:pPr>
        <w:ind w:left="6475" w:hanging="390"/>
      </w:pPr>
      <w:rPr>
        <w:rFonts w:hint="default"/>
        <w:lang w:val="en-US" w:eastAsia="en-US" w:bidi="ar-SA"/>
      </w:rPr>
    </w:lvl>
    <w:lvl w:ilvl="8">
      <w:start w:val="0"/>
      <w:numFmt w:val="bullet"/>
      <w:lvlText w:val="•"/>
      <w:lvlJc w:val="left"/>
      <w:pPr>
        <w:ind w:left="7340" w:hanging="390"/>
      </w:pPr>
      <w:rPr>
        <w:rFonts w:hint="default"/>
        <w:lang w:val="en-US" w:eastAsia="en-US" w:bidi="ar-SA"/>
      </w:rPr>
    </w:lvl>
  </w:abstract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rial" w:hAnsi="Arial" w:eastAsia="Arial" w:cs="Arial"/>
      <w:lang w:val="en-US" w:eastAsia="en-US" w:bidi="ar-SA"/>
    </w:rPr>
  </w:style>
  <w:style w:styleId="TOC1" w:type="paragraph">
    <w:name w:val="TOC 1"/>
    <w:basedOn w:val="Normal"/>
    <w:uiPriority w:val="1"/>
    <w:qFormat/>
    <w:pPr>
      <w:spacing w:before="147"/>
      <w:ind w:left="421" w:hanging="398"/>
    </w:pPr>
    <w:rPr>
      <w:rFonts w:ascii="Arial" w:hAnsi="Arial" w:eastAsia="Arial" w:cs="Arial"/>
      <w:sz w:val="24"/>
      <w:szCs w:val="24"/>
      <w:lang w:val="en-US" w:eastAsia="en-US" w:bidi="ar-SA"/>
    </w:rPr>
  </w:style>
  <w:style w:styleId="BodyText" w:type="paragraph">
    <w:name w:val="Body Text"/>
    <w:basedOn w:val="Normal"/>
    <w:uiPriority w:val="1"/>
    <w:qFormat/>
    <w:pPr/>
    <w:rPr>
      <w:rFonts w:ascii="Arial" w:hAnsi="Arial" w:eastAsia="Arial" w:cs="Arial"/>
      <w:sz w:val="22"/>
      <w:szCs w:val="22"/>
      <w:lang w:val="en-US" w:eastAsia="en-US" w:bidi="ar-SA"/>
    </w:rPr>
  </w:style>
  <w:style w:styleId="Heading1" w:type="paragraph">
    <w:name w:val="Heading 1"/>
    <w:basedOn w:val="Normal"/>
    <w:uiPriority w:val="1"/>
    <w:qFormat/>
    <w:pPr>
      <w:ind w:left="559" w:hanging="536"/>
      <w:outlineLvl w:val="1"/>
    </w:pPr>
    <w:rPr>
      <w:rFonts w:ascii="Arial" w:hAnsi="Arial" w:eastAsia="Arial" w:cs="Arial"/>
      <w:b/>
      <w:bCs/>
      <w:sz w:val="32"/>
      <w:szCs w:val="32"/>
      <w:lang w:val="en-US" w:eastAsia="en-US" w:bidi="ar-SA"/>
    </w:rPr>
  </w:style>
  <w:style w:styleId="Heading2" w:type="paragraph">
    <w:name w:val="Heading 2"/>
    <w:basedOn w:val="Normal"/>
    <w:uiPriority w:val="1"/>
    <w:qFormat/>
    <w:pPr>
      <w:ind w:left="1" w:right="1"/>
      <w:jc w:val="center"/>
      <w:outlineLvl w:val="2"/>
    </w:pPr>
    <w:rPr>
      <w:rFonts w:ascii="Arial" w:hAnsi="Arial" w:eastAsia="Arial" w:cs="Arial"/>
      <w:b/>
      <w:bCs/>
      <w:i/>
      <w:iCs/>
      <w:sz w:val="28"/>
      <w:szCs w:val="28"/>
      <w:lang w:val="en-US" w:eastAsia="en-US" w:bidi="ar-SA"/>
    </w:rPr>
  </w:style>
  <w:style w:styleId="Heading3" w:type="paragraph">
    <w:name w:val="Heading 3"/>
    <w:basedOn w:val="Normal"/>
    <w:uiPriority w:val="1"/>
    <w:qFormat/>
    <w:pPr>
      <w:spacing w:before="262"/>
      <w:ind w:left="23"/>
      <w:outlineLvl w:val="3"/>
    </w:pPr>
    <w:rPr>
      <w:rFonts w:ascii="Arial" w:hAnsi="Arial" w:eastAsia="Arial" w:cs="Arial"/>
      <w:b/>
      <w:bCs/>
      <w:sz w:val="24"/>
      <w:szCs w:val="24"/>
      <w:lang w:val="en-US" w:eastAsia="en-US" w:bidi="ar-SA"/>
    </w:rPr>
  </w:style>
  <w:style w:styleId="Heading4" w:type="paragraph">
    <w:name w:val="Heading 4"/>
    <w:basedOn w:val="Normal"/>
    <w:uiPriority w:val="1"/>
    <w:qFormat/>
    <w:pPr>
      <w:ind w:left="23"/>
      <w:outlineLvl w:val="4"/>
    </w:pPr>
    <w:rPr>
      <w:rFonts w:ascii="Calibri" w:hAnsi="Calibri" w:eastAsia="Calibri" w:cs="Calibri"/>
      <w:sz w:val="24"/>
      <w:szCs w:val="24"/>
      <w:lang w:val="en-US" w:eastAsia="en-US" w:bidi="ar-SA"/>
    </w:rPr>
  </w:style>
  <w:style w:styleId="Heading5" w:type="paragraph">
    <w:name w:val="Heading 5"/>
    <w:basedOn w:val="Normal"/>
    <w:uiPriority w:val="1"/>
    <w:qFormat/>
    <w:pPr>
      <w:spacing w:before="64"/>
      <w:ind w:left="1"/>
      <w:outlineLvl w:val="5"/>
    </w:pPr>
    <w:rPr>
      <w:rFonts w:ascii="Arial" w:hAnsi="Arial" w:eastAsia="Arial" w:cs="Arial"/>
      <w:b/>
      <w:bCs/>
      <w:sz w:val="22"/>
      <w:szCs w:val="22"/>
      <w:lang w:val="en-US" w:eastAsia="en-US" w:bidi="ar-SA"/>
    </w:rPr>
  </w:style>
  <w:style w:styleId="ListParagraph" w:type="paragraph">
    <w:name w:val="List Paragraph"/>
    <w:basedOn w:val="Normal"/>
    <w:uiPriority w:val="1"/>
    <w:qFormat/>
    <w:pPr>
      <w:ind w:left="421" w:hanging="398"/>
    </w:pPr>
    <w:rPr>
      <w:rFonts w:ascii="Arial" w:hAnsi="Arial" w:eastAsia="Arial" w:cs="Arial"/>
      <w:lang w:val="en-US" w:eastAsia="en-US" w:bidi="ar-SA"/>
    </w:rPr>
  </w:style>
  <w:style w:styleId="TableParagraph" w:type="paragraph">
    <w:name w:val="Table Paragraph"/>
    <w:basedOn w:val="Normal"/>
    <w:uiPriority w:val="1"/>
    <w:qFormat/>
    <w:pPr/>
    <w:rPr>
      <w:rFonts w:ascii="Arial" w:hAnsi="Arial" w:eastAsia="Arial" w:cs="Arial"/>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footer" Target="footer1.xml"/><Relationship Id="rId6" Type="http://schemas.openxmlformats.org/officeDocument/2006/relationships/image" Target="media/image1.jpeg"/><Relationship Id="rId7" Type="http://schemas.openxmlformats.org/officeDocument/2006/relationships/hyperlink" Target="https://www.england.nhs.uk/digitaltechnology/?utm_source=chatgpt.com" TargetMode="External"/><Relationship Id="rId8" Type="http://schemas.openxmlformats.org/officeDocument/2006/relationships/hyperlink" Target="https://www.ons.gov.uk/peoplepopulationandcommunity/householdcharacteristics/homeinternetandsocialmediausage" TargetMode="External"/><Relationship Id="rId9"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chiemena okere</dc:creator>
  <dcterms:created xsi:type="dcterms:W3CDTF">2026-02-18T16:06:12Z</dcterms:created>
  <dcterms:modified xsi:type="dcterms:W3CDTF">2026-02-18T16:06:12Z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2026-02-18T00:00:00Z</vt:filetime>
  </property>
  <property fmtid="{D5CDD505-2E9C-101B-9397-08002B2CF9AE}" pid="3" name="Creator">
    <vt:lpwstr>Microsoft Word</vt:lpwstr>
  </property>
  <property fmtid="{D5CDD505-2E9C-101B-9397-08002B2CF9AE}" pid="4" name="LastSaved">
    <vt:filetime>2026-02-18T00:00:00Z</vt:filetime>
  </property>
</Properties>
</file>