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color w:val="auto"/>
        </w:rPr>
      </w:sdtEndPr>
      <w:sdtContent>
        <w:p w14:paraId="5384490A" w14:textId="4DC53746" w:rsidR="007D1947" w:rsidRPr="00AE61F1" w:rsidRDefault="00296962" w:rsidP="00296962">
          <w:pPr>
            <w:pStyle w:val="NoSpacing"/>
            <w:tabs>
              <w:tab w:val="center" w:pos="4513"/>
              <w:tab w:val="left" w:pos="7920"/>
            </w:tabs>
            <w:spacing w:before="1540" w:after="240"/>
            <w:rPr>
              <w:color w:val="5B9BD5" w:themeColor="accent1"/>
              <w:lang w:val="en-GB"/>
            </w:rPr>
          </w:pPr>
          <w:r w:rsidRPr="00AE61F1">
            <w:rPr>
              <w:rFonts w:eastAsiaTheme="minorHAnsi"/>
              <w:color w:val="5B9BD5" w:themeColor="accent1"/>
              <w:lang w:val="en-GB"/>
            </w:rPr>
            <w:tab/>
          </w:r>
          <w:r w:rsidR="007D1947" w:rsidRPr="00AE61F1">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Pr="00AE61F1">
            <w:rPr>
              <w:rFonts w:eastAsiaTheme="minorHAnsi"/>
              <w:color w:val="5B9BD5" w:themeColor="accent1"/>
              <w:lang w:val="en-GB"/>
            </w:rPr>
            <w:tab/>
          </w:r>
        </w:p>
        <w:sdt>
          <w:sdtPr>
            <w:rPr>
              <w:rFonts w:asciiTheme="majorHAnsi" w:eastAsiaTheme="majorEastAsia" w:hAnsiTheme="majorHAnsi" w:cstheme="majorBidi"/>
              <w:caps/>
              <w:color w:val="5B9BD5" w:themeColor="accent1"/>
              <w:sz w:val="72"/>
              <w:szCs w:val="72"/>
              <w:lang w:val="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0551E551" w:rsidR="007D1947" w:rsidRPr="00AE61F1" w:rsidRDefault="0043302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lang w:val="en-GB"/>
                </w:rPr>
              </w:pPr>
              <w:r w:rsidRPr="00AE61F1">
                <w:rPr>
                  <w:rFonts w:asciiTheme="majorHAnsi" w:eastAsiaTheme="majorEastAsia" w:hAnsiTheme="majorHAnsi" w:cstheme="majorBidi"/>
                  <w:caps/>
                  <w:color w:val="5B9BD5" w:themeColor="accent1"/>
                  <w:sz w:val="72"/>
                  <w:szCs w:val="72"/>
                  <w:lang w:val="en-GB"/>
                </w:rPr>
                <w:t>Unilever</w:t>
              </w:r>
            </w:p>
          </w:sdtContent>
        </w:sdt>
        <w:sdt>
          <w:sdtPr>
            <w:rPr>
              <w:color w:val="5B9BD5" w:themeColor="accent1"/>
              <w:sz w:val="28"/>
              <w:szCs w:val="28"/>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AB812A8" w:rsidR="007D1947" w:rsidRPr="00AE61F1" w:rsidRDefault="00433029">
              <w:pPr>
                <w:pStyle w:val="NoSpacing"/>
                <w:jc w:val="center"/>
                <w:rPr>
                  <w:color w:val="5B9BD5" w:themeColor="accent1"/>
                  <w:sz w:val="28"/>
                  <w:szCs w:val="28"/>
                  <w:lang w:val="en-GB"/>
                </w:rPr>
              </w:pPr>
              <w:r w:rsidRPr="00AE61F1">
                <w:rPr>
                  <w:color w:val="5B9BD5" w:themeColor="accent1"/>
                  <w:sz w:val="28"/>
                  <w:szCs w:val="28"/>
                  <w:lang w:val="en-GB"/>
                </w:rPr>
                <w:t>FINANCE FOR BUSINSS MANAGER (BMMB7005)                                                 MOHD RAVISH</w:t>
              </w:r>
            </w:p>
          </w:sdtContent>
        </w:sdt>
        <w:p w14:paraId="1ADC1124" w14:textId="77777777" w:rsidR="007D1947" w:rsidRPr="00AE61F1" w:rsidRDefault="007D1947">
          <w:pPr>
            <w:pStyle w:val="NoSpacing"/>
            <w:spacing w:before="480"/>
            <w:jc w:val="center"/>
            <w:rPr>
              <w:color w:val="5B9BD5" w:themeColor="accent1"/>
              <w:lang w:val="en-GB"/>
            </w:rPr>
          </w:pPr>
          <w:r w:rsidRPr="00AE61F1">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lang w:val="en-GB"/>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77777777" w:rsidR="007D1947" w:rsidRPr="00AE61F1" w:rsidRDefault="007D1947">
                                    <w:pPr>
                                      <w:pStyle w:val="NoSpacing"/>
                                      <w:spacing w:after="40"/>
                                      <w:jc w:val="center"/>
                                      <w:rPr>
                                        <w:caps/>
                                        <w:color w:val="5B9BD5" w:themeColor="accent1"/>
                                        <w:sz w:val="28"/>
                                        <w:szCs w:val="28"/>
                                        <w:lang w:val="en-GB"/>
                                      </w:rPr>
                                    </w:pPr>
                                    <w:r w:rsidRPr="00AE61F1">
                                      <w:rPr>
                                        <w:caps/>
                                        <w:color w:val="5B9BD5" w:themeColor="accent1"/>
                                        <w:sz w:val="28"/>
                                        <w:szCs w:val="28"/>
                                        <w:lang w:val="en-GB"/>
                                      </w:rPr>
                                      <w:t>[Date]</w:t>
                                    </w:r>
                                  </w:p>
                                </w:sdtContent>
                              </w:sdt>
                              <w:p w14:paraId="69E98CB3" w14:textId="77777777" w:rsidR="007D1947" w:rsidRPr="00AE61F1" w:rsidRDefault="00000000">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AE61F1">
                                      <w:rPr>
                                        <w:caps/>
                                        <w:color w:val="5B9BD5" w:themeColor="accent1"/>
                                        <w:lang w:val="en-GB"/>
                                      </w:rPr>
                                      <w:t>University of Wales Trinity Saint David</w:t>
                                    </w:r>
                                  </w:sdtContent>
                                </w:sdt>
                              </w:p>
                              <w:p w14:paraId="3FC79022" w14:textId="77777777" w:rsidR="007D1947" w:rsidRPr="00AE61F1" w:rsidRDefault="00000000">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AE61F1">
                                      <w:rPr>
                                        <w:color w:val="5B9BD5"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lang w:val="en-GB"/>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77777777" w:rsidR="007D1947" w:rsidRPr="00AE61F1" w:rsidRDefault="007D1947">
                              <w:pPr>
                                <w:pStyle w:val="NoSpacing"/>
                                <w:spacing w:after="40"/>
                                <w:jc w:val="center"/>
                                <w:rPr>
                                  <w:caps/>
                                  <w:color w:val="5B9BD5" w:themeColor="accent1"/>
                                  <w:sz w:val="28"/>
                                  <w:szCs w:val="28"/>
                                  <w:lang w:val="en-GB"/>
                                </w:rPr>
                              </w:pPr>
                              <w:r w:rsidRPr="00AE61F1">
                                <w:rPr>
                                  <w:caps/>
                                  <w:color w:val="5B9BD5" w:themeColor="accent1"/>
                                  <w:sz w:val="28"/>
                                  <w:szCs w:val="28"/>
                                  <w:lang w:val="en-GB"/>
                                </w:rPr>
                                <w:t>[Date]</w:t>
                              </w:r>
                            </w:p>
                          </w:sdtContent>
                        </w:sdt>
                        <w:p w14:paraId="69E98CB3" w14:textId="77777777" w:rsidR="007D1947" w:rsidRPr="00AE61F1" w:rsidRDefault="00000000">
                          <w:pPr>
                            <w:pStyle w:val="NoSpacing"/>
                            <w:jc w:val="center"/>
                            <w:rPr>
                              <w:color w:val="5B9BD5" w:themeColor="accent1"/>
                              <w:lang w:val="en-GB"/>
                            </w:rPr>
                          </w:pPr>
                          <w:sdt>
                            <w:sdtPr>
                              <w:rPr>
                                <w:caps/>
                                <w:color w:val="5B9BD5"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AE61F1">
                                <w:rPr>
                                  <w:caps/>
                                  <w:color w:val="5B9BD5" w:themeColor="accent1"/>
                                  <w:lang w:val="en-GB"/>
                                </w:rPr>
                                <w:t>University of Wales Trinity Saint David</w:t>
                              </w:r>
                            </w:sdtContent>
                          </w:sdt>
                        </w:p>
                        <w:p w14:paraId="3FC79022" w14:textId="77777777" w:rsidR="007D1947" w:rsidRPr="00AE61F1" w:rsidRDefault="00000000">
                          <w:pPr>
                            <w:pStyle w:val="NoSpacing"/>
                            <w:jc w:val="center"/>
                            <w:rPr>
                              <w:color w:val="5B9BD5" w:themeColor="accent1"/>
                              <w:lang w:val="en-GB"/>
                            </w:rPr>
                          </w:pPr>
                          <w:sdt>
                            <w:sdtPr>
                              <w:rPr>
                                <w:color w:val="5B9BD5"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AE61F1">
                                <w:rPr>
                                  <w:color w:val="5B9BD5" w:themeColor="accent1"/>
                                  <w:lang w:val="en-GB"/>
                                </w:rPr>
                                <w:t xml:space="preserve">     </w:t>
                              </w:r>
                            </w:sdtContent>
                          </w:sdt>
                        </w:p>
                      </w:txbxContent>
                    </v:textbox>
                    <w10:wrap anchorx="margin" anchory="page"/>
                  </v:shape>
                </w:pict>
              </mc:Fallback>
            </mc:AlternateContent>
          </w:r>
          <w:r w:rsidRPr="00AE61F1">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30E1FBD5" w:rsidR="007D1947" w:rsidRPr="00AE61F1" w:rsidRDefault="007D1947" w:rsidP="0071417F">
          <w:pPr>
            <w:pStyle w:val="Heading1"/>
            <w:numPr>
              <w:ilvl w:val="0"/>
              <w:numId w:val="1"/>
            </w:numPr>
          </w:pPr>
          <w:r w:rsidRPr="00AE61F1">
            <w:br w:type="page"/>
          </w:r>
          <w:bookmarkStart w:id="0" w:name="_Toc226410207"/>
          <w:r w:rsidRPr="00AE61F1">
            <w:lastRenderedPageBreak/>
            <w:t>Executive Summary</w:t>
          </w:r>
          <w:bookmarkEnd w:id="0"/>
        </w:p>
        <w:p w14:paraId="62AB7F7D" w14:textId="77777777" w:rsidR="007D1947" w:rsidRPr="00AE61F1" w:rsidRDefault="007D1947"/>
        <w:p w14:paraId="6846CF66" w14:textId="77777777" w:rsidR="007D1947" w:rsidRPr="00AE61F1" w:rsidRDefault="007D1947"/>
        <w:p w14:paraId="7F8F78F5" w14:textId="77777777" w:rsidR="007D1947" w:rsidRPr="00AE61F1" w:rsidRDefault="007D1947"/>
        <w:p w14:paraId="3E204757" w14:textId="77777777" w:rsidR="007D1947" w:rsidRPr="00AE61F1" w:rsidRDefault="007D1947"/>
        <w:p w14:paraId="775DA3A7" w14:textId="77777777" w:rsidR="007D1947" w:rsidRPr="00AE61F1" w:rsidRDefault="007D1947"/>
        <w:p w14:paraId="5E5C2FB5" w14:textId="77777777" w:rsidR="007D1947" w:rsidRPr="00AE61F1" w:rsidRDefault="007D1947"/>
        <w:p w14:paraId="119F1E47" w14:textId="77777777" w:rsidR="007D1947" w:rsidRPr="00AE61F1" w:rsidRDefault="007D1947"/>
        <w:p w14:paraId="2059565F" w14:textId="77777777" w:rsidR="007D1947" w:rsidRPr="00AE61F1" w:rsidRDefault="007D1947"/>
        <w:p w14:paraId="1E53466B" w14:textId="77777777" w:rsidR="007D1947" w:rsidRPr="00AE61F1" w:rsidRDefault="007D1947"/>
        <w:p w14:paraId="7BC12A6B" w14:textId="77777777" w:rsidR="007D1947" w:rsidRPr="00AE61F1" w:rsidRDefault="007D1947"/>
        <w:p w14:paraId="3C8549E0" w14:textId="77777777" w:rsidR="007D1947" w:rsidRPr="00AE61F1" w:rsidRDefault="007D1947"/>
        <w:p w14:paraId="606FEBB7" w14:textId="77777777" w:rsidR="007D1947" w:rsidRPr="00AE61F1" w:rsidRDefault="007D1947"/>
        <w:p w14:paraId="40B2C76A" w14:textId="77777777" w:rsidR="007D1947" w:rsidRPr="00AE61F1" w:rsidRDefault="007D1947"/>
        <w:p w14:paraId="2598F19F" w14:textId="77777777" w:rsidR="007D1947" w:rsidRPr="00AE61F1" w:rsidRDefault="007D1947"/>
        <w:p w14:paraId="777A1881" w14:textId="77777777" w:rsidR="007D1947" w:rsidRPr="00AE61F1" w:rsidRDefault="007D1947"/>
        <w:p w14:paraId="220B1276" w14:textId="77777777" w:rsidR="007D1947" w:rsidRPr="00AE61F1" w:rsidRDefault="007D1947"/>
        <w:p w14:paraId="1DD00D9D" w14:textId="77777777" w:rsidR="007D1947" w:rsidRPr="00AE61F1" w:rsidRDefault="007D1947"/>
        <w:p w14:paraId="51A70438" w14:textId="77777777" w:rsidR="007D1947" w:rsidRPr="00AE61F1" w:rsidRDefault="007D1947"/>
        <w:p w14:paraId="0F59BD6D" w14:textId="77777777" w:rsidR="007D1947" w:rsidRPr="00AE61F1" w:rsidRDefault="007D1947"/>
        <w:p w14:paraId="00C4B35A" w14:textId="77777777" w:rsidR="007D1947" w:rsidRPr="00AE61F1" w:rsidRDefault="007D1947"/>
        <w:p w14:paraId="15213261" w14:textId="77777777" w:rsidR="007D1947" w:rsidRPr="00AE61F1" w:rsidRDefault="007D1947"/>
        <w:p w14:paraId="35966CEF" w14:textId="77777777" w:rsidR="007D1947" w:rsidRPr="00AE61F1" w:rsidRDefault="007D1947"/>
        <w:p w14:paraId="66DDECEB" w14:textId="77777777" w:rsidR="007D1947" w:rsidRPr="00AE61F1" w:rsidRDefault="007D1947"/>
        <w:p w14:paraId="6AD6DEAB" w14:textId="77777777" w:rsidR="007D1947" w:rsidRPr="00AE61F1" w:rsidRDefault="007D1947"/>
        <w:p w14:paraId="50292428" w14:textId="77777777" w:rsidR="007D1947" w:rsidRPr="00AE61F1" w:rsidRDefault="007D1947"/>
        <w:p w14:paraId="0EAD00A7" w14:textId="77777777" w:rsidR="007D1947" w:rsidRPr="00AE61F1" w:rsidRDefault="007D1947"/>
        <w:p w14:paraId="29EE0316" w14:textId="77777777" w:rsidR="0071417F" w:rsidRPr="00AE61F1" w:rsidRDefault="0071417F"/>
        <w:p w14:paraId="354C5850" w14:textId="77777777" w:rsidR="0071417F" w:rsidRPr="00AE61F1" w:rsidRDefault="0071417F"/>
        <w:p w14:paraId="3D68DB50" w14:textId="77777777" w:rsidR="0071417F" w:rsidRPr="00AE61F1" w:rsidRDefault="0071417F"/>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hAnsi="Times New Roman"/>
              <w:b/>
              <w:bCs/>
              <w:sz w:val="24"/>
            </w:rPr>
          </w:sdtEndPr>
          <w:sdtContent>
            <w:p w14:paraId="1DFECD67" w14:textId="77777777" w:rsidR="007D1947" w:rsidRPr="00AE61F1" w:rsidRDefault="007D1947">
              <w:pPr>
                <w:pStyle w:val="TOCHeading"/>
                <w:rPr>
                  <w:lang w:val="en-GB"/>
                </w:rPr>
              </w:pPr>
              <w:r w:rsidRPr="00AE61F1">
                <w:rPr>
                  <w:lang w:val="en-GB"/>
                </w:rPr>
                <w:t>Table of Contents</w:t>
              </w:r>
            </w:p>
            <w:p w14:paraId="3E0B05B5" w14:textId="5B5869B0" w:rsidR="002C2798" w:rsidRPr="00AE61F1" w:rsidRDefault="007D1947">
              <w:pPr>
                <w:pStyle w:val="TOC1"/>
                <w:tabs>
                  <w:tab w:val="left" w:pos="480"/>
                  <w:tab w:val="right" w:leader="dot" w:pos="9016"/>
                </w:tabs>
                <w:rPr>
                  <w:rFonts w:asciiTheme="minorHAnsi" w:eastAsiaTheme="minorEastAsia" w:hAnsiTheme="minorHAnsi"/>
                  <w:kern w:val="2"/>
                  <w:szCs w:val="24"/>
                  <w14:ligatures w14:val="standardContextual"/>
                </w:rPr>
              </w:pPr>
              <w:r w:rsidRPr="00AE61F1">
                <w:fldChar w:fldCharType="begin"/>
              </w:r>
              <w:r w:rsidRPr="00AE61F1">
                <w:instrText xml:space="preserve"> TOC \o "1-3" \h \z \u </w:instrText>
              </w:r>
              <w:r w:rsidRPr="00AE61F1">
                <w:fldChar w:fldCharType="separate"/>
              </w:r>
              <w:hyperlink w:anchor="_Toc226410207" w:history="1">
                <w:r w:rsidR="002C2798" w:rsidRPr="00AE61F1">
                  <w:rPr>
                    <w:rStyle w:val="Hyperlink"/>
                  </w:rPr>
                  <w:t>1.</w:t>
                </w:r>
                <w:r w:rsidR="002C2798" w:rsidRPr="00AE61F1">
                  <w:rPr>
                    <w:rFonts w:asciiTheme="minorHAnsi" w:eastAsiaTheme="minorEastAsia" w:hAnsiTheme="minorHAnsi"/>
                    <w:kern w:val="2"/>
                    <w:szCs w:val="24"/>
                    <w14:ligatures w14:val="standardContextual"/>
                  </w:rPr>
                  <w:tab/>
                </w:r>
                <w:r w:rsidR="002C2798" w:rsidRPr="00AE61F1">
                  <w:rPr>
                    <w:rStyle w:val="Hyperlink"/>
                  </w:rPr>
                  <w:t>Executive Summary</w:t>
                </w:r>
                <w:r w:rsidR="002C2798" w:rsidRPr="00AE61F1">
                  <w:rPr>
                    <w:webHidden/>
                  </w:rPr>
                  <w:tab/>
                </w:r>
                <w:r w:rsidR="002C2798" w:rsidRPr="00AE61F1">
                  <w:rPr>
                    <w:webHidden/>
                  </w:rPr>
                  <w:fldChar w:fldCharType="begin"/>
                </w:r>
                <w:r w:rsidR="002C2798" w:rsidRPr="00AE61F1">
                  <w:rPr>
                    <w:webHidden/>
                  </w:rPr>
                  <w:instrText xml:space="preserve"> PAGEREF _Toc226410207 \h </w:instrText>
                </w:r>
                <w:r w:rsidR="002C2798" w:rsidRPr="00AE61F1">
                  <w:rPr>
                    <w:webHidden/>
                  </w:rPr>
                </w:r>
                <w:r w:rsidR="002C2798" w:rsidRPr="00AE61F1">
                  <w:rPr>
                    <w:webHidden/>
                  </w:rPr>
                  <w:fldChar w:fldCharType="separate"/>
                </w:r>
                <w:r w:rsidR="002C2798" w:rsidRPr="00AE61F1">
                  <w:rPr>
                    <w:webHidden/>
                  </w:rPr>
                  <w:t>1</w:t>
                </w:r>
                <w:r w:rsidR="002C2798" w:rsidRPr="00AE61F1">
                  <w:rPr>
                    <w:webHidden/>
                  </w:rPr>
                  <w:fldChar w:fldCharType="end"/>
                </w:r>
              </w:hyperlink>
            </w:p>
            <w:p w14:paraId="47E6B41D" w14:textId="202331AE" w:rsidR="002C2798" w:rsidRPr="00AE61F1" w:rsidRDefault="002C2798">
              <w:pPr>
                <w:pStyle w:val="TOC1"/>
                <w:tabs>
                  <w:tab w:val="left" w:pos="480"/>
                  <w:tab w:val="right" w:leader="dot" w:pos="9016"/>
                </w:tabs>
                <w:rPr>
                  <w:rFonts w:asciiTheme="minorHAnsi" w:eastAsiaTheme="minorEastAsia" w:hAnsiTheme="minorHAnsi"/>
                  <w:kern w:val="2"/>
                  <w:szCs w:val="24"/>
                  <w14:ligatures w14:val="standardContextual"/>
                </w:rPr>
              </w:pPr>
              <w:hyperlink w:anchor="_Toc226410208" w:history="1">
                <w:r w:rsidRPr="00AE61F1">
                  <w:rPr>
                    <w:rStyle w:val="Hyperlink"/>
                  </w:rPr>
                  <w:t>2.</w:t>
                </w:r>
                <w:r w:rsidRPr="00AE61F1">
                  <w:rPr>
                    <w:rFonts w:asciiTheme="minorHAnsi" w:eastAsiaTheme="minorEastAsia" w:hAnsiTheme="minorHAnsi"/>
                    <w:kern w:val="2"/>
                    <w:szCs w:val="24"/>
                    <w14:ligatures w14:val="standardContextual"/>
                  </w:rPr>
                  <w:tab/>
                </w:r>
                <w:r w:rsidRPr="00AE61F1">
                  <w:rPr>
                    <w:rStyle w:val="Hyperlink"/>
                  </w:rPr>
                  <w:t>Introduction</w:t>
                </w:r>
                <w:r w:rsidRPr="00AE61F1">
                  <w:rPr>
                    <w:webHidden/>
                  </w:rPr>
                  <w:tab/>
                </w:r>
                <w:r w:rsidRPr="00AE61F1">
                  <w:rPr>
                    <w:webHidden/>
                  </w:rPr>
                  <w:fldChar w:fldCharType="begin"/>
                </w:r>
                <w:r w:rsidRPr="00AE61F1">
                  <w:rPr>
                    <w:webHidden/>
                  </w:rPr>
                  <w:instrText xml:space="preserve"> PAGEREF _Toc226410208 \h </w:instrText>
                </w:r>
                <w:r w:rsidRPr="00AE61F1">
                  <w:rPr>
                    <w:webHidden/>
                  </w:rPr>
                </w:r>
                <w:r w:rsidRPr="00AE61F1">
                  <w:rPr>
                    <w:webHidden/>
                  </w:rPr>
                  <w:fldChar w:fldCharType="separate"/>
                </w:r>
                <w:r w:rsidRPr="00AE61F1">
                  <w:rPr>
                    <w:webHidden/>
                  </w:rPr>
                  <w:t>3</w:t>
                </w:r>
                <w:r w:rsidRPr="00AE61F1">
                  <w:rPr>
                    <w:webHidden/>
                  </w:rPr>
                  <w:fldChar w:fldCharType="end"/>
                </w:r>
              </w:hyperlink>
            </w:p>
            <w:p w14:paraId="7898A1AF" w14:textId="0340ECA4" w:rsidR="002C2798" w:rsidRPr="00AE61F1" w:rsidRDefault="002C2798">
              <w:pPr>
                <w:pStyle w:val="TOC1"/>
                <w:tabs>
                  <w:tab w:val="left" w:pos="480"/>
                  <w:tab w:val="right" w:leader="dot" w:pos="9016"/>
                </w:tabs>
                <w:rPr>
                  <w:rFonts w:asciiTheme="minorHAnsi" w:eastAsiaTheme="minorEastAsia" w:hAnsiTheme="minorHAnsi"/>
                  <w:kern w:val="2"/>
                  <w:szCs w:val="24"/>
                  <w14:ligatures w14:val="standardContextual"/>
                </w:rPr>
              </w:pPr>
              <w:hyperlink w:anchor="_Toc226410209" w:history="1">
                <w:r w:rsidRPr="00AE61F1">
                  <w:rPr>
                    <w:rStyle w:val="Hyperlink"/>
                  </w:rPr>
                  <w:t>3.</w:t>
                </w:r>
                <w:r w:rsidRPr="00AE61F1">
                  <w:rPr>
                    <w:rFonts w:asciiTheme="minorHAnsi" w:eastAsiaTheme="minorEastAsia" w:hAnsiTheme="minorHAnsi"/>
                    <w:kern w:val="2"/>
                    <w:szCs w:val="24"/>
                    <w14:ligatures w14:val="standardContextual"/>
                  </w:rPr>
                  <w:tab/>
                </w:r>
                <w:r w:rsidRPr="00AE61F1">
                  <w:rPr>
                    <w:rStyle w:val="Hyperlink"/>
                  </w:rPr>
                  <w:t>Main Findings</w:t>
                </w:r>
                <w:r w:rsidRPr="00AE61F1">
                  <w:rPr>
                    <w:webHidden/>
                  </w:rPr>
                  <w:tab/>
                </w:r>
                <w:r w:rsidRPr="00AE61F1">
                  <w:rPr>
                    <w:webHidden/>
                  </w:rPr>
                  <w:fldChar w:fldCharType="begin"/>
                </w:r>
                <w:r w:rsidRPr="00AE61F1">
                  <w:rPr>
                    <w:webHidden/>
                  </w:rPr>
                  <w:instrText xml:space="preserve"> PAGEREF _Toc226410209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127FBF06" w14:textId="13052E7B"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0" w:history="1">
                <w:r w:rsidRPr="00AE61F1">
                  <w:rPr>
                    <w:rStyle w:val="Hyperlink"/>
                  </w:rPr>
                  <w:t>3.1</w:t>
                </w:r>
                <w:r w:rsidRPr="00AE61F1">
                  <w:rPr>
                    <w:rFonts w:asciiTheme="minorHAnsi" w:eastAsiaTheme="minorEastAsia" w:hAnsiTheme="minorHAnsi"/>
                    <w:kern w:val="2"/>
                    <w:szCs w:val="24"/>
                    <w14:ligatures w14:val="standardContextual"/>
                  </w:rPr>
                  <w:tab/>
                </w:r>
                <w:r w:rsidRPr="00AE61F1">
                  <w:rPr>
                    <w:rStyle w:val="Hyperlink"/>
                  </w:rPr>
                  <w:t>Company Background and Basis of Analysis</w:t>
                </w:r>
                <w:r w:rsidRPr="00AE61F1">
                  <w:rPr>
                    <w:webHidden/>
                  </w:rPr>
                  <w:tab/>
                </w:r>
                <w:r w:rsidRPr="00AE61F1">
                  <w:rPr>
                    <w:webHidden/>
                  </w:rPr>
                  <w:fldChar w:fldCharType="begin"/>
                </w:r>
                <w:r w:rsidRPr="00AE61F1">
                  <w:rPr>
                    <w:webHidden/>
                  </w:rPr>
                  <w:instrText xml:space="preserve"> PAGEREF _Toc226410210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49CFF3D0" w14:textId="29A620DC"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1" w:history="1">
                <w:r w:rsidRPr="00AE61F1">
                  <w:rPr>
                    <w:rStyle w:val="Hyperlink"/>
                  </w:rPr>
                  <w:t>3.2</w:t>
                </w:r>
                <w:r w:rsidRPr="00AE61F1">
                  <w:rPr>
                    <w:rFonts w:asciiTheme="minorHAnsi" w:eastAsiaTheme="minorEastAsia" w:hAnsiTheme="minorHAnsi"/>
                    <w:kern w:val="2"/>
                    <w:szCs w:val="24"/>
                    <w14:ligatures w14:val="standardContextual"/>
                  </w:rPr>
                  <w:tab/>
                </w:r>
                <w:r w:rsidRPr="00AE61F1">
                  <w:rPr>
                    <w:rStyle w:val="Hyperlink"/>
                  </w:rPr>
                  <w:t>Ratio Table for Unilever PLC</w:t>
                </w:r>
                <w:r w:rsidRPr="00AE61F1">
                  <w:rPr>
                    <w:webHidden/>
                  </w:rPr>
                  <w:tab/>
                </w:r>
                <w:r w:rsidRPr="00AE61F1">
                  <w:rPr>
                    <w:webHidden/>
                  </w:rPr>
                  <w:fldChar w:fldCharType="begin"/>
                </w:r>
                <w:r w:rsidRPr="00AE61F1">
                  <w:rPr>
                    <w:webHidden/>
                  </w:rPr>
                  <w:instrText xml:space="preserve"> PAGEREF _Toc226410211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49C959F7" w14:textId="7E99B1E4"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2" w:history="1">
                <w:r w:rsidRPr="00AE61F1">
                  <w:rPr>
                    <w:rStyle w:val="Hyperlink"/>
                  </w:rPr>
                  <w:t>3.3</w:t>
                </w:r>
                <w:r w:rsidRPr="00AE61F1">
                  <w:rPr>
                    <w:rFonts w:asciiTheme="minorHAnsi" w:eastAsiaTheme="minorEastAsia" w:hAnsiTheme="minorHAnsi"/>
                    <w:kern w:val="2"/>
                    <w:szCs w:val="24"/>
                    <w14:ligatures w14:val="standardContextual"/>
                  </w:rPr>
                  <w:tab/>
                </w:r>
                <w:r w:rsidRPr="00AE61F1">
                  <w:rPr>
                    <w:rStyle w:val="Hyperlink"/>
                  </w:rPr>
                  <w:t>Profitability Ratio Analysis and Benchmarking</w:t>
                </w:r>
                <w:r w:rsidRPr="00AE61F1">
                  <w:rPr>
                    <w:webHidden/>
                  </w:rPr>
                  <w:tab/>
                </w:r>
                <w:r w:rsidRPr="00AE61F1">
                  <w:rPr>
                    <w:webHidden/>
                  </w:rPr>
                  <w:fldChar w:fldCharType="begin"/>
                </w:r>
                <w:r w:rsidRPr="00AE61F1">
                  <w:rPr>
                    <w:webHidden/>
                  </w:rPr>
                  <w:instrText xml:space="preserve"> PAGEREF _Toc226410212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4C8D25AE" w14:textId="685BE31E"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3" w:history="1">
                <w:r w:rsidRPr="00AE61F1">
                  <w:rPr>
                    <w:rStyle w:val="Hyperlink"/>
                  </w:rPr>
                  <w:t>3.4</w:t>
                </w:r>
                <w:r w:rsidRPr="00AE61F1">
                  <w:rPr>
                    <w:rFonts w:asciiTheme="minorHAnsi" w:eastAsiaTheme="minorEastAsia" w:hAnsiTheme="minorHAnsi"/>
                    <w:kern w:val="2"/>
                    <w:szCs w:val="24"/>
                    <w14:ligatures w14:val="standardContextual"/>
                  </w:rPr>
                  <w:tab/>
                </w:r>
                <w:r w:rsidRPr="00AE61F1">
                  <w:rPr>
                    <w:rStyle w:val="Hyperlink"/>
                  </w:rPr>
                  <w:t>Liquidity Ratio Analysis and Benchmarking</w:t>
                </w:r>
                <w:r w:rsidRPr="00AE61F1">
                  <w:rPr>
                    <w:webHidden/>
                  </w:rPr>
                  <w:tab/>
                </w:r>
                <w:r w:rsidRPr="00AE61F1">
                  <w:rPr>
                    <w:webHidden/>
                  </w:rPr>
                  <w:fldChar w:fldCharType="begin"/>
                </w:r>
                <w:r w:rsidRPr="00AE61F1">
                  <w:rPr>
                    <w:webHidden/>
                  </w:rPr>
                  <w:instrText xml:space="preserve"> PAGEREF _Toc226410213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5DEB72F4" w14:textId="2A5E9383"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4" w:history="1">
                <w:r w:rsidRPr="00AE61F1">
                  <w:rPr>
                    <w:rStyle w:val="Hyperlink"/>
                  </w:rPr>
                  <w:t>3.5</w:t>
                </w:r>
                <w:r w:rsidRPr="00AE61F1">
                  <w:rPr>
                    <w:rFonts w:asciiTheme="minorHAnsi" w:eastAsiaTheme="minorEastAsia" w:hAnsiTheme="minorHAnsi"/>
                    <w:kern w:val="2"/>
                    <w:szCs w:val="24"/>
                    <w14:ligatures w14:val="standardContextual"/>
                  </w:rPr>
                  <w:tab/>
                </w:r>
                <w:r w:rsidRPr="00AE61F1">
                  <w:rPr>
                    <w:rStyle w:val="Hyperlink"/>
                  </w:rPr>
                  <w:t>Gearing Ratio Analysis and Benchmarking</w:t>
                </w:r>
                <w:r w:rsidRPr="00AE61F1">
                  <w:rPr>
                    <w:webHidden/>
                  </w:rPr>
                  <w:tab/>
                </w:r>
                <w:r w:rsidRPr="00AE61F1">
                  <w:rPr>
                    <w:webHidden/>
                  </w:rPr>
                  <w:fldChar w:fldCharType="begin"/>
                </w:r>
                <w:r w:rsidRPr="00AE61F1">
                  <w:rPr>
                    <w:webHidden/>
                  </w:rPr>
                  <w:instrText xml:space="preserve"> PAGEREF _Toc226410214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2CA5E650" w14:textId="078ABA76"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5" w:history="1">
                <w:r w:rsidRPr="00AE61F1">
                  <w:rPr>
                    <w:rStyle w:val="Hyperlink"/>
                  </w:rPr>
                  <w:t>3.6</w:t>
                </w:r>
                <w:r w:rsidRPr="00AE61F1">
                  <w:rPr>
                    <w:rFonts w:asciiTheme="minorHAnsi" w:eastAsiaTheme="minorEastAsia" w:hAnsiTheme="minorHAnsi"/>
                    <w:kern w:val="2"/>
                    <w:szCs w:val="24"/>
                    <w14:ligatures w14:val="standardContextual"/>
                  </w:rPr>
                  <w:tab/>
                </w:r>
                <w:r w:rsidRPr="00AE61F1">
                  <w:rPr>
                    <w:rStyle w:val="Hyperlink"/>
                  </w:rPr>
                  <w:t>Efficiency Ratio Analysis and Benchmarking</w:t>
                </w:r>
                <w:r w:rsidRPr="00AE61F1">
                  <w:rPr>
                    <w:webHidden/>
                  </w:rPr>
                  <w:tab/>
                </w:r>
                <w:r w:rsidRPr="00AE61F1">
                  <w:rPr>
                    <w:webHidden/>
                  </w:rPr>
                  <w:fldChar w:fldCharType="begin"/>
                </w:r>
                <w:r w:rsidRPr="00AE61F1">
                  <w:rPr>
                    <w:webHidden/>
                  </w:rPr>
                  <w:instrText xml:space="preserve"> PAGEREF _Toc226410215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73816593" w14:textId="161B7810"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6" w:history="1">
                <w:r w:rsidRPr="00AE61F1">
                  <w:rPr>
                    <w:rStyle w:val="Hyperlink"/>
                  </w:rPr>
                  <w:t>3.7</w:t>
                </w:r>
                <w:r w:rsidRPr="00AE61F1">
                  <w:rPr>
                    <w:rFonts w:asciiTheme="minorHAnsi" w:eastAsiaTheme="minorEastAsia" w:hAnsiTheme="minorHAnsi"/>
                    <w:kern w:val="2"/>
                    <w:szCs w:val="24"/>
                    <w14:ligatures w14:val="standardContextual"/>
                  </w:rPr>
                  <w:tab/>
                </w:r>
                <w:r w:rsidRPr="00AE61F1">
                  <w:rPr>
                    <w:rStyle w:val="Hyperlink"/>
                  </w:rPr>
                  <w:t>Investor Ratio Analysis and Benchmarking</w:t>
                </w:r>
                <w:r w:rsidRPr="00AE61F1">
                  <w:rPr>
                    <w:webHidden/>
                  </w:rPr>
                  <w:tab/>
                </w:r>
                <w:r w:rsidRPr="00AE61F1">
                  <w:rPr>
                    <w:webHidden/>
                  </w:rPr>
                  <w:fldChar w:fldCharType="begin"/>
                </w:r>
                <w:r w:rsidRPr="00AE61F1">
                  <w:rPr>
                    <w:webHidden/>
                  </w:rPr>
                  <w:instrText xml:space="preserve"> PAGEREF _Toc226410216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4622A26D" w14:textId="5C89867B"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7" w:history="1">
                <w:r w:rsidRPr="00AE61F1">
                  <w:rPr>
                    <w:rStyle w:val="Hyperlink"/>
                  </w:rPr>
                  <w:t>3.8</w:t>
                </w:r>
                <w:r w:rsidRPr="00AE61F1">
                  <w:rPr>
                    <w:rFonts w:asciiTheme="minorHAnsi" w:eastAsiaTheme="minorEastAsia" w:hAnsiTheme="minorHAnsi"/>
                    <w:kern w:val="2"/>
                    <w:szCs w:val="24"/>
                    <w14:ligatures w14:val="standardContextual"/>
                  </w:rPr>
                  <w:tab/>
                </w:r>
                <w:r w:rsidRPr="00AE61F1">
                  <w:rPr>
                    <w:rStyle w:val="Hyperlink"/>
                  </w:rPr>
                  <w:t>Limitations of Ratio Analysis</w:t>
                </w:r>
                <w:r w:rsidRPr="00AE61F1">
                  <w:rPr>
                    <w:webHidden/>
                  </w:rPr>
                  <w:tab/>
                </w:r>
                <w:r w:rsidRPr="00AE61F1">
                  <w:rPr>
                    <w:webHidden/>
                  </w:rPr>
                  <w:fldChar w:fldCharType="begin"/>
                </w:r>
                <w:r w:rsidRPr="00AE61F1">
                  <w:rPr>
                    <w:webHidden/>
                  </w:rPr>
                  <w:instrText xml:space="preserve"> PAGEREF _Toc226410217 \h </w:instrText>
                </w:r>
                <w:r w:rsidRPr="00AE61F1">
                  <w:rPr>
                    <w:webHidden/>
                  </w:rPr>
                </w:r>
                <w:r w:rsidRPr="00AE61F1">
                  <w:rPr>
                    <w:webHidden/>
                  </w:rPr>
                  <w:fldChar w:fldCharType="separate"/>
                </w:r>
                <w:r w:rsidRPr="00AE61F1">
                  <w:rPr>
                    <w:webHidden/>
                  </w:rPr>
                  <w:t>5</w:t>
                </w:r>
                <w:r w:rsidRPr="00AE61F1">
                  <w:rPr>
                    <w:webHidden/>
                  </w:rPr>
                  <w:fldChar w:fldCharType="end"/>
                </w:r>
              </w:hyperlink>
            </w:p>
            <w:p w14:paraId="39BE0A56" w14:textId="436F8BDA" w:rsidR="002C2798" w:rsidRPr="00AE61F1" w:rsidRDefault="002C2798">
              <w:pPr>
                <w:pStyle w:val="TOC1"/>
                <w:tabs>
                  <w:tab w:val="left" w:pos="480"/>
                  <w:tab w:val="right" w:leader="dot" w:pos="9016"/>
                </w:tabs>
                <w:rPr>
                  <w:rFonts w:asciiTheme="minorHAnsi" w:eastAsiaTheme="minorEastAsia" w:hAnsiTheme="minorHAnsi"/>
                  <w:kern w:val="2"/>
                  <w:szCs w:val="24"/>
                  <w14:ligatures w14:val="standardContextual"/>
                </w:rPr>
              </w:pPr>
              <w:hyperlink w:anchor="_Toc226410218" w:history="1">
                <w:r w:rsidRPr="00AE61F1">
                  <w:rPr>
                    <w:rStyle w:val="Hyperlink"/>
                  </w:rPr>
                  <w:t>4.</w:t>
                </w:r>
                <w:r w:rsidRPr="00AE61F1">
                  <w:rPr>
                    <w:rFonts w:asciiTheme="minorHAnsi" w:eastAsiaTheme="minorEastAsia" w:hAnsiTheme="minorHAnsi"/>
                    <w:kern w:val="2"/>
                    <w:szCs w:val="24"/>
                    <w14:ligatures w14:val="standardContextual"/>
                  </w:rPr>
                  <w:tab/>
                </w:r>
                <w:r w:rsidRPr="00AE61F1">
                  <w:rPr>
                    <w:rStyle w:val="Hyperlink"/>
                  </w:rPr>
                  <w:t>Business Report to the Directors of Westwood Plc</w:t>
                </w:r>
                <w:r w:rsidRPr="00AE61F1">
                  <w:rPr>
                    <w:webHidden/>
                  </w:rPr>
                  <w:tab/>
                </w:r>
                <w:r w:rsidRPr="00AE61F1">
                  <w:rPr>
                    <w:webHidden/>
                  </w:rPr>
                  <w:fldChar w:fldCharType="begin"/>
                </w:r>
                <w:r w:rsidRPr="00AE61F1">
                  <w:rPr>
                    <w:webHidden/>
                  </w:rPr>
                  <w:instrText xml:space="preserve"> PAGEREF _Toc226410218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4A9F5DCF" w14:textId="3ECA9075"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19" w:history="1">
                <w:r w:rsidRPr="00AE61F1">
                  <w:rPr>
                    <w:rStyle w:val="Hyperlink"/>
                  </w:rPr>
                  <w:t>4.1</w:t>
                </w:r>
                <w:r w:rsidRPr="00AE61F1">
                  <w:rPr>
                    <w:rFonts w:asciiTheme="minorHAnsi" w:eastAsiaTheme="minorEastAsia" w:hAnsiTheme="minorHAnsi"/>
                    <w:kern w:val="2"/>
                    <w:szCs w:val="24"/>
                    <w14:ligatures w14:val="standardContextual"/>
                  </w:rPr>
                  <w:tab/>
                </w:r>
                <w:r w:rsidRPr="00AE61F1">
                  <w:rPr>
                    <w:rStyle w:val="Hyperlink"/>
                  </w:rPr>
                  <w:t>Methodology and After-Tax Cash Flows</w:t>
                </w:r>
                <w:r w:rsidRPr="00AE61F1">
                  <w:rPr>
                    <w:webHidden/>
                  </w:rPr>
                  <w:tab/>
                </w:r>
                <w:r w:rsidRPr="00AE61F1">
                  <w:rPr>
                    <w:webHidden/>
                  </w:rPr>
                  <w:fldChar w:fldCharType="begin"/>
                </w:r>
                <w:r w:rsidRPr="00AE61F1">
                  <w:rPr>
                    <w:webHidden/>
                  </w:rPr>
                  <w:instrText xml:space="preserve"> PAGEREF _Toc226410219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5EDE9C7F" w14:textId="40CB6E7C"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20" w:history="1">
                <w:r w:rsidRPr="00AE61F1">
                  <w:rPr>
                    <w:rStyle w:val="Hyperlink"/>
                  </w:rPr>
                  <w:t>4.2</w:t>
                </w:r>
                <w:r w:rsidRPr="00AE61F1">
                  <w:rPr>
                    <w:rFonts w:asciiTheme="minorHAnsi" w:eastAsiaTheme="minorEastAsia" w:hAnsiTheme="minorHAnsi"/>
                    <w:kern w:val="2"/>
                    <w:szCs w:val="24"/>
                    <w14:ligatures w14:val="standardContextual"/>
                  </w:rPr>
                  <w:tab/>
                </w:r>
                <w:r w:rsidRPr="00AE61F1">
                  <w:rPr>
                    <w:rStyle w:val="Hyperlink"/>
                  </w:rPr>
                  <w:t>NPV Calculations</w:t>
                </w:r>
                <w:r w:rsidRPr="00AE61F1">
                  <w:rPr>
                    <w:webHidden/>
                  </w:rPr>
                  <w:tab/>
                </w:r>
                <w:r w:rsidRPr="00AE61F1">
                  <w:rPr>
                    <w:webHidden/>
                  </w:rPr>
                  <w:fldChar w:fldCharType="begin"/>
                </w:r>
                <w:r w:rsidRPr="00AE61F1">
                  <w:rPr>
                    <w:webHidden/>
                  </w:rPr>
                  <w:instrText xml:space="preserve"> PAGEREF _Toc226410220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1D26AD39" w14:textId="43E292DC" w:rsidR="002C2798" w:rsidRPr="00AE61F1" w:rsidRDefault="002C2798">
              <w:pPr>
                <w:pStyle w:val="TOC3"/>
                <w:tabs>
                  <w:tab w:val="left" w:pos="1440"/>
                  <w:tab w:val="right" w:leader="dot" w:pos="9016"/>
                </w:tabs>
              </w:pPr>
              <w:hyperlink w:anchor="_Toc226410221" w:history="1">
                <w:r w:rsidRPr="00AE61F1">
                  <w:rPr>
                    <w:rStyle w:val="Hyperlink"/>
                  </w:rPr>
                  <w:t>4.2.1</w:t>
                </w:r>
                <w:r w:rsidRPr="00AE61F1">
                  <w:tab/>
                </w:r>
                <w:r w:rsidRPr="00AE61F1">
                  <w:rPr>
                    <w:rStyle w:val="Hyperlink"/>
                  </w:rPr>
                  <w:t>Project A: Expand retail outlet to include all products</w:t>
                </w:r>
                <w:r w:rsidRPr="00AE61F1">
                  <w:rPr>
                    <w:webHidden/>
                  </w:rPr>
                  <w:tab/>
                </w:r>
                <w:r w:rsidRPr="00AE61F1">
                  <w:rPr>
                    <w:webHidden/>
                  </w:rPr>
                  <w:fldChar w:fldCharType="begin"/>
                </w:r>
                <w:r w:rsidRPr="00AE61F1">
                  <w:rPr>
                    <w:webHidden/>
                  </w:rPr>
                  <w:instrText xml:space="preserve"> PAGEREF _Toc226410221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6FD02B90" w14:textId="4683F088" w:rsidR="002C2798" w:rsidRPr="00AE61F1" w:rsidRDefault="002C2798">
              <w:pPr>
                <w:pStyle w:val="TOC3"/>
                <w:tabs>
                  <w:tab w:val="left" w:pos="1440"/>
                  <w:tab w:val="right" w:leader="dot" w:pos="9016"/>
                </w:tabs>
              </w:pPr>
              <w:hyperlink w:anchor="_Toc226410222" w:history="1">
                <w:r w:rsidRPr="00AE61F1">
                  <w:rPr>
                    <w:rStyle w:val="Hyperlink"/>
                  </w:rPr>
                  <w:t>4.2.2</w:t>
                </w:r>
                <w:r w:rsidRPr="00AE61F1">
                  <w:tab/>
                </w:r>
                <w:r w:rsidRPr="00AE61F1">
                  <w:rPr>
                    <w:rStyle w:val="Hyperlink"/>
                  </w:rPr>
                  <w:t>Project B: Develop internet sales</w:t>
                </w:r>
                <w:r w:rsidRPr="00AE61F1">
                  <w:rPr>
                    <w:webHidden/>
                  </w:rPr>
                  <w:tab/>
                </w:r>
                <w:r w:rsidRPr="00AE61F1">
                  <w:rPr>
                    <w:webHidden/>
                  </w:rPr>
                  <w:fldChar w:fldCharType="begin"/>
                </w:r>
                <w:r w:rsidRPr="00AE61F1">
                  <w:rPr>
                    <w:webHidden/>
                  </w:rPr>
                  <w:instrText xml:space="preserve"> PAGEREF _Toc226410222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20241492" w14:textId="3B531A51" w:rsidR="002C2798" w:rsidRPr="00AE61F1" w:rsidRDefault="002C2798">
              <w:pPr>
                <w:pStyle w:val="TOC3"/>
                <w:tabs>
                  <w:tab w:val="left" w:pos="1440"/>
                  <w:tab w:val="right" w:leader="dot" w:pos="9016"/>
                </w:tabs>
              </w:pPr>
              <w:hyperlink w:anchor="_Toc226410223" w:history="1">
                <w:r w:rsidRPr="00AE61F1">
                  <w:rPr>
                    <w:rStyle w:val="Hyperlink"/>
                  </w:rPr>
                  <w:t>4.2.3</w:t>
                </w:r>
                <w:r w:rsidRPr="00AE61F1">
                  <w:tab/>
                </w:r>
                <w:r w:rsidRPr="00AE61F1">
                  <w:rPr>
                    <w:rStyle w:val="Hyperlink"/>
                  </w:rPr>
                  <w:t>Project C: Produce wooden blinds and Roman blinds</w:t>
                </w:r>
                <w:r w:rsidRPr="00AE61F1">
                  <w:rPr>
                    <w:webHidden/>
                  </w:rPr>
                  <w:tab/>
                </w:r>
                <w:r w:rsidRPr="00AE61F1">
                  <w:rPr>
                    <w:webHidden/>
                  </w:rPr>
                  <w:fldChar w:fldCharType="begin"/>
                </w:r>
                <w:r w:rsidRPr="00AE61F1">
                  <w:rPr>
                    <w:webHidden/>
                  </w:rPr>
                  <w:instrText xml:space="preserve"> PAGEREF _Toc226410223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2335F630" w14:textId="7D02172F"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24" w:history="1">
                <w:r w:rsidRPr="00AE61F1">
                  <w:rPr>
                    <w:rStyle w:val="Hyperlink"/>
                  </w:rPr>
                  <w:t>4.3</w:t>
                </w:r>
                <w:r w:rsidRPr="00AE61F1">
                  <w:rPr>
                    <w:rFonts w:asciiTheme="minorHAnsi" w:eastAsiaTheme="minorEastAsia" w:hAnsiTheme="minorHAnsi"/>
                    <w:kern w:val="2"/>
                    <w:szCs w:val="24"/>
                    <w14:ligatures w14:val="standardContextual"/>
                  </w:rPr>
                  <w:tab/>
                </w:r>
                <w:r w:rsidRPr="00AE61F1">
                  <w:rPr>
                    <w:rStyle w:val="Hyperlink"/>
                  </w:rPr>
                  <w:t>NPV Analysis</w:t>
                </w:r>
                <w:r w:rsidRPr="00AE61F1">
                  <w:rPr>
                    <w:webHidden/>
                  </w:rPr>
                  <w:tab/>
                </w:r>
                <w:r w:rsidRPr="00AE61F1">
                  <w:rPr>
                    <w:webHidden/>
                  </w:rPr>
                  <w:fldChar w:fldCharType="begin"/>
                </w:r>
                <w:r w:rsidRPr="00AE61F1">
                  <w:rPr>
                    <w:webHidden/>
                  </w:rPr>
                  <w:instrText xml:space="preserve"> PAGEREF _Toc226410224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68325E69" w14:textId="42B5252A"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25" w:history="1">
                <w:r w:rsidRPr="00AE61F1">
                  <w:rPr>
                    <w:rStyle w:val="Hyperlink"/>
                  </w:rPr>
                  <w:t>4.4</w:t>
                </w:r>
                <w:r w:rsidRPr="00AE61F1">
                  <w:rPr>
                    <w:rFonts w:asciiTheme="minorHAnsi" w:eastAsiaTheme="minorEastAsia" w:hAnsiTheme="minorHAnsi"/>
                    <w:kern w:val="2"/>
                    <w:szCs w:val="24"/>
                    <w14:ligatures w14:val="standardContextual"/>
                  </w:rPr>
                  <w:tab/>
                </w:r>
                <w:r w:rsidRPr="00AE61F1">
                  <w:rPr>
                    <w:rStyle w:val="Hyperlink"/>
                  </w:rPr>
                  <w:t>Approximate IRR of Project</w:t>
                </w:r>
                <w:r w:rsidRPr="00AE61F1">
                  <w:rPr>
                    <w:webHidden/>
                  </w:rPr>
                  <w:tab/>
                </w:r>
                <w:r w:rsidRPr="00AE61F1">
                  <w:rPr>
                    <w:webHidden/>
                  </w:rPr>
                  <w:fldChar w:fldCharType="begin"/>
                </w:r>
                <w:r w:rsidRPr="00AE61F1">
                  <w:rPr>
                    <w:webHidden/>
                  </w:rPr>
                  <w:instrText xml:space="preserve"> PAGEREF _Toc226410225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6F5CCD37" w14:textId="00A0A82A"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26" w:history="1">
                <w:r w:rsidRPr="00AE61F1">
                  <w:rPr>
                    <w:rStyle w:val="Hyperlink"/>
                  </w:rPr>
                  <w:t>4.5</w:t>
                </w:r>
                <w:r w:rsidRPr="00AE61F1">
                  <w:rPr>
                    <w:rFonts w:asciiTheme="minorHAnsi" w:eastAsiaTheme="minorEastAsia" w:hAnsiTheme="minorHAnsi"/>
                    <w:kern w:val="2"/>
                    <w:szCs w:val="24"/>
                    <w14:ligatures w14:val="standardContextual"/>
                  </w:rPr>
                  <w:tab/>
                </w:r>
                <w:r w:rsidRPr="00AE61F1">
                  <w:rPr>
                    <w:rStyle w:val="Hyperlink"/>
                  </w:rPr>
                  <w:t>Why NPV Is the Best Method</w:t>
                </w:r>
                <w:r w:rsidRPr="00AE61F1">
                  <w:rPr>
                    <w:webHidden/>
                  </w:rPr>
                  <w:tab/>
                </w:r>
                <w:r w:rsidRPr="00AE61F1">
                  <w:rPr>
                    <w:webHidden/>
                  </w:rPr>
                  <w:fldChar w:fldCharType="begin"/>
                </w:r>
                <w:r w:rsidRPr="00AE61F1">
                  <w:rPr>
                    <w:webHidden/>
                  </w:rPr>
                  <w:instrText xml:space="preserve"> PAGEREF _Toc226410226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5639A679" w14:textId="321DAC6F"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27" w:history="1">
                <w:r w:rsidRPr="00AE61F1">
                  <w:rPr>
                    <w:rStyle w:val="Hyperlink"/>
                  </w:rPr>
                  <w:t>4.6</w:t>
                </w:r>
                <w:r w:rsidRPr="00AE61F1">
                  <w:rPr>
                    <w:rFonts w:asciiTheme="minorHAnsi" w:eastAsiaTheme="minorEastAsia" w:hAnsiTheme="minorHAnsi"/>
                    <w:kern w:val="2"/>
                    <w:szCs w:val="24"/>
                    <w14:ligatures w14:val="standardContextual"/>
                  </w:rPr>
                  <w:tab/>
                </w:r>
                <w:r w:rsidRPr="00AE61F1">
                  <w:rPr>
                    <w:rStyle w:val="Hyperlink"/>
                  </w:rPr>
                  <w:t>Why Non-Discounting Methods Remain Popular</w:t>
                </w:r>
                <w:r w:rsidRPr="00AE61F1">
                  <w:rPr>
                    <w:webHidden/>
                  </w:rPr>
                  <w:tab/>
                </w:r>
                <w:r w:rsidRPr="00AE61F1">
                  <w:rPr>
                    <w:webHidden/>
                  </w:rPr>
                  <w:fldChar w:fldCharType="begin"/>
                </w:r>
                <w:r w:rsidRPr="00AE61F1">
                  <w:rPr>
                    <w:webHidden/>
                  </w:rPr>
                  <w:instrText xml:space="preserve"> PAGEREF _Toc226410227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7CB45495" w14:textId="662AD686"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28" w:history="1">
                <w:r w:rsidRPr="00AE61F1">
                  <w:rPr>
                    <w:rStyle w:val="Hyperlink"/>
                  </w:rPr>
                  <w:t>4.7</w:t>
                </w:r>
                <w:r w:rsidRPr="00AE61F1">
                  <w:rPr>
                    <w:rFonts w:asciiTheme="minorHAnsi" w:eastAsiaTheme="minorEastAsia" w:hAnsiTheme="minorHAnsi"/>
                    <w:kern w:val="2"/>
                    <w:szCs w:val="24"/>
                    <w14:ligatures w14:val="standardContextual"/>
                  </w:rPr>
                  <w:tab/>
                </w:r>
                <w:r w:rsidRPr="00AE61F1">
                  <w:rPr>
                    <w:rStyle w:val="Hyperlink"/>
                  </w:rPr>
                  <w:t>Other Factors Before the Final Investment Decision</w:t>
                </w:r>
                <w:r w:rsidRPr="00AE61F1">
                  <w:rPr>
                    <w:webHidden/>
                  </w:rPr>
                  <w:tab/>
                </w:r>
                <w:r w:rsidRPr="00AE61F1">
                  <w:rPr>
                    <w:webHidden/>
                  </w:rPr>
                  <w:fldChar w:fldCharType="begin"/>
                </w:r>
                <w:r w:rsidRPr="00AE61F1">
                  <w:rPr>
                    <w:webHidden/>
                  </w:rPr>
                  <w:instrText xml:space="preserve"> PAGEREF _Toc226410228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2D1DD629" w14:textId="7914F48B"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29" w:history="1">
                <w:r w:rsidRPr="00AE61F1">
                  <w:rPr>
                    <w:rStyle w:val="Hyperlink"/>
                  </w:rPr>
                  <w:t>4.8</w:t>
                </w:r>
                <w:r w:rsidRPr="00AE61F1">
                  <w:rPr>
                    <w:rFonts w:asciiTheme="minorHAnsi" w:eastAsiaTheme="minorEastAsia" w:hAnsiTheme="minorHAnsi"/>
                    <w:kern w:val="2"/>
                    <w:szCs w:val="24"/>
                    <w14:ligatures w14:val="standardContextual"/>
                  </w:rPr>
                  <w:tab/>
                </w:r>
                <w:r w:rsidRPr="00AE61F1">
                  <w:rPr>
                    <w:rStyle w:val="Hyperlink"/>
                  </w:rPr>
                  <w:t>Capital Rationing: Optimal Investment Policy with £2.5 Million and Divisible           Projects</w:t>
                </w:r>
                <w:r w:rsidRPr="00AE61F1">
                  <w:rPr>
                    <w:webHidden/>
                  </w:rPr>
                  <w:tab/>
                </w:r>
                <w:r w:rsidRPr="00AE61F1">
                  <w:rPr>
                    <w:webHidden/>
                  </w:rPr>
                  <w:fldChar w:fldCharType="begin"/>
                </w:r>
                <w:r w:rsidRPr="00AE61F1">
                  <w:rPr>
                    <w:webHidden/>
                  </w:rPr>
                  <w:instrText xml:space="preserve"> PAGEREF _Toc226410229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6CADAA73" w14:textId="6A4EE536" w:rsidR="002C2798" w:rsidRPr="00AE61F1" w:rsidRDefault="002C2798">
              <w:pPr>
                <w:pStyle w:val="TOC2"/>
                <w:tabs>
                  <w:tab w:val="left" w:pos="960"/>
                  <w:tab w:val="right" w:leader="dot" w:pos="9016"/>
                </w:tabs>
                <w:rPr>
                  <w:rFonts w:asciiTheme="minorHAnsi" w:eastAsiaTheme="minorEastAsia" w:hAnsiTheme="minorHAnsi"/>
                  <w:kern w:val="2"/>
                  <w:szCs w:val="24"/>
                  <w14:ligatures w14:val="standardContextual"/>
                </w:rPr>
              </w:pPr>
              <w:hyperlink w:anchor="_Toc226410230" w:history="1">
                <w:r w:rsidRPr="00AE61F1">
                  <w:rPr>
                    <w:rStyle w:val="Hyperlink"/>
                  </w:rPr>
                  <w:t>4.9</w:t>
                </w:r>
                <w:r w:rsidRPr="00AE61F1">
                  <w:rPr>
                    <w:rFonts w:asciiTheme="minorHAnsi" w:eastAsiaTheme="minorEastAsia" w:hAnsiTheme="minorHAnsi"/>
                    <w:kern w:val="2"/>
                    <w:szCs w:val="24"/>
                    <w14:ligatures w14:val="standardContextual"/>
                  </w:rPr>
                  <w:tab/>
                </w:r>
                <w:r w:rsidRPr="00AE61F1">
                  <w:rPr>
                    <w:rStyle w:val="Hyperlink"/>
                  </w:rPr>
                  <w:t>Financing the Proposed Investment Programme</w:t>
                </w:r>
                <w:r w:rsidRPr="00AE61F1">
                  <w:rPr>
                    <w:webHidden/>
                  </w:rPr>
                  <w:tab/>
                </w:r>
                <w:r w:rsidRPr="00AE61F1">
                  <w:rPr>
                    <w:webHidden/>
                  </w:rPr>
                  <w:fldChar w:fldCharType="begin"/>
                </w:r>
                <w:r w:rsidRPr="00AE61F1">
                  <w:rPr>
                    <w:webHidden/>
                  </w:rPr>
                  <w:instrText xml:space="preserve"> PAGEREF _Toc226410230 \h </w:instrText>
                </w:r>
                <w:r w:rsidRPr="00AE61F1">
                  <w:rPr>
                    <w:webHidden/>
                  </w:rPr>
                </w:r>
                <w:r w:rsidRPr="00AE61F1">
                  <w:rPr>
                    <w:webHidden/>
                  </w:rPr>
                  <w:fldChar w:fldCharType="separate"/>
                </w:r>
                <w:r w:rsidRPr="00AE61F1">
                  <w:rPr>
                    <w:webHidden/>
                  </w:rPr>
                  <w:t>6</w:t>
                </w:r>
                <w:r w:rsidRPr="00AE61F1">
                  <w:rPr>
                    <w:webHidden/>
                  </w:rPr>
                  <w:fldChar w:fldCharType="end"/>
                </w:r>
              </w:hyperlink>
            </w:p>
            <w:p w14:paraId="5D70E986" w14:textId="47AD144B" w:rsidR="002C2798" w:rsidRPr="00AE61F1" w:rsidRDefault="002C2798">
              <w:pPr>
                <w:pStyle w:val="TOC1"/>
                <w:tabs>
                  <w:tab w:val="left" w:pos="480"/>
                  <w:tab w:val="right" w:leader="dot" w:pos="9016"/>
                </w:tabs>
                <w:rPr>
                  <w:rFonts w:asciiTheme="minorHAnsi" w:eastAsiaTheme="minorEastAsia" w:hAnsiTheme="minorHAnsi"/>
                  <w:kern w:val="2"/>
                  <w:szCs w:val="24"/>
                  <w14:ligatures w14:val="standardContextual"/>
                </w:rPr>
              </w:pPr>
              <w:hyperlink w:anchor="_Toc226410231" w:history="1">
                <w:r w:rsidRPr="00AE61F1">
                  <w:rPr>
                    <w:rStyle w:val="Hyperlink"/>
                  </w:rPr>
                  <w:t>5.</w:t>
                </w:r>
                <w:r w:rsidRPr="00AE61F1">
                  <w:rPr>
                    <w:rFonts w:asciiTheme="minorHAnsi" w:eastAsiaTheme="minorEastAsia" w:hAnsiTheme="minorHAnsi"/>
                    <w:kern w:val="2"/>
                    <w:szCs w:val="24"/>
                    <w14:ligatures w14:val="standardContextual"/>
                  </w:rPr>
                  <w:tab/>
                </w:r>
                <w:r w:rsidRPr="00AE61F1">
                  <w:rPr>
                    <w:rStyle w:val="Hyperlink"/>
                  </w:rPr>
                  <w:t>Recommendation</w:t>
                </w:r>
                <w:r w:rsidRPr="00AE61F1">
                  <w:rPr>
                    <w:webHidden/>
                  </w:rPr>
                  <w:tab/>
                </w:r>
                <w:r w:rsidRPr="00AE61F1">
                  <w:rPr>
                    <w:webHidden/>
                  </w:rPr>
                  <w:fldChar w:fldCharType="begin"/>
                </w:r>
                <w:r w:rsidRPr="00AE61F1">
                  <w:rPr>
                    <w:webHidden/>
                  </w:rPr>
                  <w:instrText xml:space="preserve"> PAGEREF _Toc226410231 \h </w:instrText>
                </w:r>
                <w:r w:rsidRPr="00AE61F1">
                  <w:rPr>
                    <w:webHidden/>
                  </w:rPr>
                </w:r>
                <w:r w:rsidRPr="00AE61F1">
                  <w:rPr>
                    <w:webHidden/>
                  </w:rPr>
                  <w:fldChar w:fldCharType="separate"/>
                </w:r>
                <w:r w:rsidRPr="00AE61F1">
                  <w:rPr>
                    <w:webHidden/>
                  </w:rPr>
                  <w:t>7</w:t>
                </w:r>
                <w:r w:rsidRPr="00AE61F1">
                  <w:rPr>
                    <w:webHidden/>
                  </w:rPr>
                  <w:fldChar w:fldCharType="end"/>
                </w:r>
              </w:hyperlink>
            </w:p>
            <w:p w14:paraId="4FBB9B50" w14:textId="02BD7754" w:rsidR="002C2798" w:rsidRPr="00AE61F1" w:rsidRDefault="002C2798">
              <w:pPr>
                <w:pStyle w:val="TOC1"/>
                <w:tabs>
                  <w:tab w:val="left" w:pos="480"/>
                  <w:tab w:val="right" w:leader="dot" w:pos="9016"/>
                </w:tabs>
                <w:rPr>
                  <w:rFonts w:asciiTheme="minorHAnsi" w:eastAsiaTheme="minorEastAsia" w:hAnsiTheme="minorHAnsi"/>
                  <w:kern w:val="2"/>
                  <w:szCs w:val="24"/>
                  <w14:ligatures w14:val="standardContextual"/>
                </w:rPr>
              </w:pPr>
              <w:hyperlink w:anchor="_Toc226410232" w:history="1">
                <w:r w:rsidRPr="00AE61F1">
                  <w:rPr>
                    <w:rStyle w:val="Hyperlink"/>
                  </w:rPr>
                  <w:t>6.</w:t>
                </w:r>
                <w:r w:rsidRPr="00AE61F1">
                  <w:rPr>
                    <w:rFonts w:asciiTheme="minorHAnsi" w:eastAsiaTheme="minorEastAsia" w:hAnsiTheme="minorHAnsi"/>
                    <w:kern w:val="2"/>
                    <w:szCs w:val="24"/>
                    <w14:ligatures w14:val="standardContextual"/>
                  </w:rPr>
                  <w:tab/>
                </w:r>
                <w:r w:rsidRPr="00AE61F1">
                  <w:rPr>
                    <w:rStyle w:val="Hyperlink"/>
                  </w:rPr>
                  <w:t>Conclusion</w:t>
                </w:r>
                <w:r w:rsidRPr="00AE61F1">
                  <w:rPr>
                    <w:webHidden/>
                  </w:rPr>
                  <w:tab/>
                </w:r>
                <w:r w:rsidRPr="00AE61F1">
                  <w:rPr>
                    <w:webHidden/>
                  </w:rPr>
                  <w:fldChar w:fldCharType="begin"/>
                </w:r>
                <w:r w:rsidRPr="00AE61F1">
                  <w:rPr>
                    <w:webHidden/>
                  </w:rPr>
                  <w:instrText xml:space="preserve"> PAGEREF _Toc226410232 \h </w:instrText>
                </w:r>
                <w:r w:rsidRPr="00AE61F1">
                  <w:rPr>
                    <w:webHidden/>
                  </w:rPr>
                </w:r>
                <w:r w:rsidRPr="00AE61F1">
                  <w:rPr>
                    <w:webHidden/>
                  </w:rPr>
                  <w:fldChar w:fldCharType="separate"/>
                </w:r>
                <w:r w:rsidRPr="00AE61F1">
                  <w:rPr>
                    <w:webHidden/>
                  </w:rPr>
                  <w:t>8</w:t>
                </w:r>
                <w:r w:rsidRPr="00AE61F1">
                  <w:rPr>
                    <w:webHidden/>
                  </w:rPr>
                  <w:fldChar w:fldCharType="end"/>
                </w:r>
              </w:hyperlink>
            </w:p>
            <w:p w14:paraId="6B421989" w14:textId="0659E47E" w:rsidR="002C2798" w:rsidRPr="00AE61F1" w:rsidRDefault="002C2798">
              <w:pPr>
                <w:pStyle w:val="TOC1"/>
                <w:tabs>
                  <w:tab w:val="right" w:leader="dot" w:pos="9016"/>
                </w:tabs>
                <w:rPr>
                  <w:rFonts w:asciiTheme="minorHAnsi" w:eastAsiaTheme="minorEastAsia" w:hAnsiTheme="minorHAnsi"/>
                  <w:kern w:val="2"/>
                  <w:szCs w:val="24"/>
                  <w14:ligatures w14:val="standardContextual"/>
                </w:rPr>
              </w:pPr>
              <w:hyperlink w:anchor="_Toc226410233" w:history="1">
                <w:r w:rsidRPr="00AE61F1">
                  <w:rPr>
                    <w:rStyle w:val="Hyperlink"/>
                  </w:rPr>
                  <w:t>References</w:t>
                </w:r>
                <w:r w:rsidRPr="00AE61F1">
                  <w:rPr>
                    <w:webHidden/>
                  </w:rPr>
                  <w:tab/>
                </w:r>
                <w:r w:rsidRPr="00AE61F1">
                  <w:rPr>
                    <w:webHidden/>
                  </w:rPr>
                  <w:fldChar w:fldCharType="begin"/>
                </w:r>
                <w:r w:rsidRPr="00AE61F1">
                  <w:rPr>
                    <w:webHidden/>
                  </w:rPr>
                  <w:instrText xml:space="preserve"> PAGEREF _Toc226410233 \h </w:instrText>
                </w:r>
                <w:r w:rsidRPr="00AE61F1">
                  <w:rPr>
                    <w:webHidden/>
                  </w:rPr>
                </w:r>
                <w:r w:rsidRPr="00AE61F1">
                  <w:rPr>
                    <w:webHidden/>
                  </w:rPr>
                  <w:fldChar w:fldCharType="separate"/>
                </w:r>
                <w:r w:rsidRPr="00AE61F1">
                  <w:rPr>
                    <w:webHidden/>
                  </w:rPr>
                  <w:t>9</w:t>
                </w:r>
                <w:r w:rsidRPr="00AE61F1">
                  <w:rPr>
                    <w:webHidden/>
                  </w:rPr>
                  <w:fldChar w:fldCharType="end"/>
                </w:r>
              </w:hyperlink>
            </w:p>
            <w:p w14:paraId="61DA95ED" w14:textId="1C14083C" w:rsidR="002C2798" w:rsidRPr="00AE61F1" w:rsidRDefault="002C2798">
              <w:pPr>
                <w:pStyle w:val="TOC1"/>
                <w:tabs>
                  <w:tab w:val="left" w:pos="480"/>
                  <w:tab w:val="right" w:leader="dot" w:pos="9016"/>
                </w:tabs>
                <w:rPr>
                  <w:rFonts w:asciiTheme="minorHAnsi" w:eastAsiaTheme="minorEastAsia" w:hAnsiTheme="minorHAnsi"/>
                  <w:kern w:val="2"/>
                  <w:szCs w:val="24"/>
                  <w14:ligatures w14:val="standardContextual"/>
                </w:rPr>
              </w:pPr>
              <w:hyperlink w:anchor="_Toc226410234" w:history="1">
                <w:r w:rsidRPr="00AE61F1">
                  <w:rPr>
                    <w:rStyle w:val="Hyperlink"/>
                  </w:rPr>
                  <w:t>7.</w:t>
                </w:r>
                <w:r w:rsidRPr="00AE61F1">
                  <w:rPr>
                    <w:rFonts w:asciiTheme="minorHAnsi" w:eastAsiaTheme="minorEastAsia" w:hAnsiTheme="minorHAnsi"/>
                    <w:kern w:val="2"/>
                    <w:szCs w:val="24"/>
                    <w14:ligatures w14:val="standardContextual"/>
                  </w:rPr>
                  <w:tab/>
                </w:r>
                <w:r w:rsidRPr="00AE61F1">
                  <w:rPr>
                    <w:rStyle w:val="Hyperlink"/>
                  </w:rPr>
                  <w:t>Appendix</w:t>
                </w:r>
                <w:r w:rsidRPr="00AE61F1">
                  <w:rPr>
                    <w:webHidden/>
                  </w:rPr>
                  <w:tab/>
                </w:r>
                <w:r w:rsidRPr="00AE61F1">
                  <w:rPr>
                    <w:webHidden/>
                  </w:rPr>
                  <w:fldChar w:fldCharType="begin"/>
                </w:r>
                <w:r w:rsidRPr="00AE61F1">
                  <w:rPr>
                    <w:webHidden/>
                  </w:rPr>
                  <w:instrText xml:space="preserve"> PAGEREF _Toc226410234 \h </w:instrText>
                </w:r>
                <w:r w:rsidRPr="00AE61F1">
                  <w:rPr>
                    <w:webHidden/>
                  </w:rPr>
                </w:r>
                <w:r w:rsidRPr="00AE61F1">
                  <w:rPr>
                    <w:webHidden/>
                  </w:rPr>
                  <w:fldChar w:fldCharType="separate"/>
                </w:r>
                <w:r w:rsidRPr="00AE61F1">
                  <w:rPr>
                    <w:webHidden/>
                  </w:rPr>
                  <w:t>10</w:t>
                </w:r>
                <w:r w:rsidRPr="00AE61F1">
                  <w:rPr>
                    <w:webHidden/>
                  </w:rPr>
                  <w:fldChar w:fldCharType="end"/>
                </w:r>
              </w:hyperlink>
            </w:p>
            <w:p w14:paraId="05194699" w14:textId="796212C5" w:rsidR="007D1947" w:rsidRPr="00AE61F1" w:rsidRDefault="007D1947">
              <w:r w:rsidRPr="00AE61F1">
                <w:rPr>
                  <w:b/>
                  <w:bCs/>
                </w:rPr>
                <w:fldChar w:fldCharType="end"/>
              </w:r>
              <w:r w:rsidR="002C2798" w:rsidRPr="00AE61F1">
                <w:rPr>
                  <w:b/>
                  <w:bCs/>
                </w:rPr>
                <w:t xml:space="preserve"> </w:t>
              </w:r>
            </w:p>
          </w:sdtContent>
        </w:sdt>
        <w:p w14:paraId="35B6052B" w14:textId="77777777" w:rsidR="007D1947" w:rsidRPr="00AE61F1" w:rsidRDefault="007D1947"/>
        <w:p w14:paraId="22F11532" w14:textId="77777777" w:rsidR="007D1947" w:rsidRPr="00AE61F1" w:rsidRDefault="007D1947"/>
        <w:p w14:paraId="15C6D916" w14:textId="77777777" w:rsidR="007D1947" w:rsidRPr="00AE61F1" w:rsidRDefault="007D1947"/>
        <w:p w14:paraId="0882E422" w14:textId="77777777" w:rsidR="007D1947" w:rsidRPr="00AE61F1" w:rsidRDefault="007D1947"/>
        <w:p w14:paraId="2076963D" w14:textId="77777777" w:rsidR="007D1947" w:rsidRPr="00AE61F1" w:rsidRDefault="007D1947"/>
        <w:p w14:paraId="006E6A3F" w14:textId="77777777" w:rsidR="007D1947" w:rsidRPr="00AE61F1" w:rsidRDefault="007D1947"/>
        <w:p w14:paraId="26EE9C53" w14:textId="77777777" w:rsidR="007D1947" w:rsidRPr="00AE61F1" w:rsidRDefault="007D1947"/>
        <w:p w14:paraId="2AEFE0CA" w14:textId="77777777" w:rsidR="007D1947" w:rsidRPr="00AE61F1" w:rsidRDefault="007D1947"/>
        <w:p w14:paraId="4F8F730C" w14:textId="77777777" w:rsidR="007D1947" w:rsidRPr="00AE61F1" w:rsidRDefault="007D1947"/>
        <w:p w14:paraId="4D3D6465" w14:textId="77777777" w:rsidR="007D1947" w:rsidRPr="00AE61F1" w:rsidRDefault="007D1947"/>
        <w:p w14:paraId="47414E5B" w14:textId="77777777" w:rsidR="007D1947" w:rsidRPr="00AE61F1" w:rsidRDefault="007D1947"/>
        <w:p w14:paraId="2F67E6D4" w14:textId="77777777" w:rsidR="007D1947" w:rsidRPr="00AE61F1" w:rsidRDefault="007D1947"/>
        <w:p w14:paraId="400F30D3" w14:textId="77777777" w:rsidR="007D1947" w:rsidRPr="00AE61F1" w:rsidRDefault="007D1947"/>
        <w:p w14:paraId="21D0F861" w14:textId="77777777" w:rsidR="007D1947" w:rsidRPr="00AE61F1" w:rsidRDefault="007D1947"/>
        <w:p w14:paraId="68D56007" w14:textId="77777777" w:rsidR="007D1947" w:rsidRPr="00AE61F1" w:rsidRDefault="007D1947"/>
        <w:p w14:paraId="5CD1CE9F" w14:textId="77777777" w:rsidR="007D1947" w:rsidRPr="00AE61F1" w:rsidRDefault="007D1947"/>
        <w:p w14:paraId="77F0A10B" w14:textId="3E8F21DD" w:rsidR="007D1947" w:rsidRPr="00AE61F1" w:rsidRDefault="007D1947"/>
        <w:p w14:paraId="1412F6B3" w14:textId="58AF997B" w:rsidR="00CD1C88" w:rsidRPr="00AE61F1" w:rsidRDefault="00CD1C88"/>
        <w:p w14:paraId="639FF892" w14:textId="0B0FE0AB" w:rsidR="00CD1C88" w:rsidRPr="00AE61F1" w:rsidRDefault="00CD1C88"/>
        <w:p w14:paraId="7B2ABB9C" w14:textId="316C586B" w:rsidR="00CD1C88" w:rsidRPr="00AE61F1" w:rsidRDefault="00CD1C88"/>
        <w:p w14:paraId="2488C761" w14:textId="2E55AB28" w:rsidR="00CD1C88" w:rsidRPr="00AE61F1" w:rsidRDefault="00CD1C88"/>
        <w:p w14:paraId="2793EBFC" w14:textId="77777777" w:rsidR="00CD1C88" w:rsidRPr="00AE61F1" w:rsidRDefault="00CD1C88"/>
        <w:p w14:paraId="655F29CA" w14:textId="77777777" w:rsidR="007D1947" w:rsidRPr="00AE61F1" w:rsidRDefault="007D1947"/>
        <w:p w14:paraId="0ED321E6" w14:textId="52736827" w:rsidR="007D1947" w:rsidRPr="00AE61F1" w:rsidRDefault="007D1947" w:rsidP="0071417F">
          <w:pPr>
            <w:pStyle w:val="Heading1"/>
            <w:numPr>
              <w:ilvl w:val="0"/>
              <w:numId w:val="1"/>
            </w:numPr>
          </w:pPr>
          <w:bookmarkStart w:id="1" w:name="_Toc226410208"/>
          <w:r w:rsidRPr="00AE61F1">
            <w:t>Introduction</w:t>
          </w:r>
          <w:bookmarkEnd w:id="1"/>
        </w:p>
        <w:p w14:paraId="5DBAD65B" w14:textId="77777777" w:rsidR="004A11F6" w:rsidRPr="00AE61F1" w:rsidRDefault="004A11F6" w:rsidP="007D1947"/>
        <w:p w14:paraId="63BE38B9" w14:textId="77777777" w:rsidR="004A11F6" w:rsidRPr="00AE61F1" w:rsidRDefault="004A11F6" w:rsidP="007D1947"/>
        <w:p w14:paraId="1392FEFB" w14:textId="77777777" w:rsidR="004A11F6" w:rsidRPr="00AE61F1" w:rsidRDefault="004A11F6" w:rsidP="007D1947"/>
        <w:p w14:paraId="094C9AA2" w14:textId="77777777" w:rsidR="004A11F6" w:rsidRPr="00AE61F1" w:rsidRDefault="004A11F6" w:rsidP="007D1947"/>
        <w:p w14:paraId="5AD4FC36" w14:textId="77777777" w:rsidR="004A11F6" w:rsidRPr="00AE61F1" w:rsidRDefault="004A11F6" w:rsidP="007D1947"/>
        <w:p w14:paraId="37DC88C5" w14:textId="77777777" w:rsidR="004A11F6" w:rsidRPr="00AE61F1" w:rsidRDefault="004A11F6" w:rsidP="007D1947"/>
        <w:p w14:paraId="2277CFA6" w14:textId="77777777" w:rsidR="004A11F6" w:rsidRPr="00AE61F1" w:rsidRDefault="004A11F6" w:rsidP="007D1947"/>
        <w:p w14:paraId="6965E43A" w14:textId="77777777" w:rsidR="004A11F6" w:rsidRPr="00AE61F1" w:rsidRDefault="004A11F6" w:rsidP="007D1947"/>
        <w:p w14:paraId="04F16582" w14:textId="77777777" w:rsidR="004A11F6" w:rsidRPr="00AE61F1" w:rsidRDefault="004A11F6" w:rsidP="007D1947"/>
        <w:p w14:paraId="3BCFD6F0" w14:textId="77777777" w:rsidR="004A11F6" w:rsidRPr="00AE61F1" w:rsidRDefault="004A11F6" w:rsidP="007D1947"/>
        <w:p w14:paraId="2F757D32" w14:textId="77777777" w:rsidR="004A11F6" w:rsidRPr="00AE61F1" w:rsidRDefault="004A11F6" w:rsidP="007D1947"/>
        <w:p w14:paraId="4950AFFE" w14:textId="77777777" w:rsidR="004A11F6" w:rsidRPr="00AE61F1" w:rsidRDefault="004A11F6" w:rsidP="007D1947"/>
        <w:p w14:paraId="377C9265" w14:textId="77777777" w:rsidR="004A11F6" w:rsidRPr="00AE61F1" w:rsidRDefault="004A11F6" w:rsidP="007D1947"/>
        <w:p w14:paraId="4108EE7B" w14:textId="77777777" w:rsidR="004A11F6" w:rsidRPr="00AE61F1" w:rsidRDefault="004A11F6" w:rsidP="007D1947"/>
        <w:p w14:paraId="0EB1AA98" w14:textId="77777777" w:rsidR="004A11F6" w:rsidRPr="00AE61F1" w:rsidRDefault="004A11F6" w:rsidP="007D1947"/>
        <w:p w14:paraId="50EA4EC0" w14:textId="77777777" w:rsidR="004A11F6" w:rsidRPr="00AE61F1" w:rsidRDefault="004A11F6" w:rsidP="007D1947"/>
        <w:p w14:paraId="47DC0B2B" w14:textId="77777777" w:rsidR="004A11F6" w:rsidRPr="00AE61F1" w:rsidRDefault="004A11F6" w:rsidP="007D1947"/>
        <w:p w14:paraId="5FA54E48" w14:textId="77777777" w:rsidR="004A11F6" w:rsidRPr="00AE61F1" w:rsidRDefault="004A11F6" w:rsidP="007D1947"/>
        <w:p w14:paraId="63B8FBF1" w14:textId="77777777" w:rsidR="004A11F6" w:rsidRPr="00AE61F1" w:rsidRDefault="004A11F6" w:rsidP="007D1947"/>
        <w:p w14:paraId="4AA639F2" w14:textId="77777777" w:rsidR="004A11F6" w:rsidRPr="00AE61F1" w:rsidRDefault="004A11F6" w:rsidP="007D1947"/>
        <w:p w14:paraId="6609DA3E" w14:textId="77777777" w:rsidR="004A11F6" w:rsidRPr="00AE61F1" w:rsidRDefault="004A11F6" w:rsidP="007D1947"/>
        <w:p w14:paraId="23067ADB" w14:textId="77777777" w:rsidR="004A11F6" w:rsidRPr="00AE61F1" w:rsidRDefault="004A11F6" w:rsidP="007D1947"/>
        <w:p w14:paraId="4AA3E07A" w14:textId="77777777" w:rsidR="004A11F6" w:rsidRPr="00AE61F1" w:rsidRDefault="004A11F6" w:rsidP="007D1947"/>
        <w:p w14:paraId="0BE775A6" w14:textId="77777777" w:rsidR="004A11F6" w:rsidRPr="00AE61F1" w:rsidRDefault="004A11F6" w:rsidP="007D1947"/>
        <w:p w14:paraId="4999262A" w14:textId="77777777" w:rsidR="004A11F6" w:rsidRPr="00AE61F1" w:rsidRDefault="004A11F6" w:rsidP="007D1947"/>
        <w:p w14:paraId="1359F054" w14:textId="77777777" w:rsidR="004A11F6" w:rsidRPr="00AE61F1" w:rsidRDefault="004A11F6" w:rsidP="007D1947"/>
        <w:p w14:paraId="7C657C89" w14:textId="77777777" w:rsidR="00AA2A91" w:rsidRPr="00AE61F1" w:rsidRDefault="00AA2A91" w:rsidP="004D519C"/>
        <w:p w14:paraId="40832A5E" w14:textId="77777777" w:rsidR="0071417F" w:rsidRPr="00AE61F1" w:rsidRDefault="0071417F">
          <w:pPr>
            <w:rPr>
              <w:rFonts w:eastAsiaTheme="majorEastAsia" w:cstheme="majorBidi"/>
              <w:color w:val="2E74B5" w:themeColor="accent1" w:themeShade="BF"/>
              <w:sz w:val="28"/>
              <w:szCs w:val="32"/>
            </w:rPr>
          </w:pPr>
          <w:r w:rsidRPr="00AE61F1">
            <w:br w:type="page"/>
          </w:r>
        </w:p>
        <w:p w14:paraId="4DCAE043" w14:textId="77777777" w:rsidR="0071417F" w:rsidRPr="00AE61F1" w:rsidRDefault="00480872" w:rsidP="0071417F">
          <w:pPr>
            <w:pStyle w:val="Heading1"/>
            <w:numPr>
              <w:ilvl w:val="0"/>
              <w:numId w:val="1"/>
            </w:numPr>
          </w:pPr>
          <w:bookmarkStart w:id="2" w:name="_Toc226410209"/>
          <w:r w:rsidRPr="00AE61F1">
            <w:lastRenderedPageBreak/>
            <w:t>Main Findings</w:t>
          </w:r>
          <w:bookmarkEnd w:id="2"/>
        </w:p>
        <w:p w14:paraId="2628612F" w14:textId="2737D1A8" w:rsidR="0071417F" w:rsidRPr="00AE61F1" w:rsidRDefault="0071417F" w:rsidP="0071417F">
          <w:pPr>
            <w:pStyle w:val="Heading2"/>
            <w:numPr>
              <w:ilvl w:val="1"/>
              <w:numId w:val="1"/>
            </w:numPr>
          </w:pPr>
          <w:bookmarkStart w:id="3" w:name="_Toc226410210"/>
          <w:r w:rsidRPr="00AE61F1">
            <w:t>Company Background and Basis of Analysis</w:t>
          </w:r>
          <w:bookmarkEnd w:id="3"/>
        </w:p>
        <w:p w14:paraId="12189477" w14:textId="4FC59BDD" w:rsidR="00B71C2B" w:rsidRPr="00AE61F1" w:rsidRDefault="00B71C2B" w:rsidP="00B71C2B">
          <w:pPr>
            <w:pStyle w:val="NormalWeb"/>
            <w:rPr>
              <w:lang w:val="en-GB"/>
            </w:rPr>
          </w:pPr>
          <w:r w:rsidRPr="00AE61F1">
            <w:rPr>
              <w:lang w:val="en-GB"/>
            </w:rPr>
            <w:t>Unilever PLC is a multinational consumer goods group listed on the London Stock Exchange and included in the FTSE 100 Index</w:t>
          </w:r>
          <w:r w:rsidR="00F30924">
            <w:rPr>
              <w:lang w:val="en-GB"/>
            </w:rPr>
            <w:t xml:space="preserve"> </w:t>
          </w:r>
          <w:sdt>
            <w:sdtPr>
              <w:rPr>
                <w:lang w:val="en-GB"/>
              </w:rPr>
              <w:id w:val="312760226"/>
              <w:citation/>
            </w:sdtPr>
            <w:sdtContent>
              <w:r w:rsidR="00E753C5">
                <w:rPr>
                  <w:lang w:val="en-GB"/>
                </w:rPr>
                <w:fldChar w:fldCharType="begin"/>
              </w:r>
              <w:r w:rsidR="00E753C5">
                <w:instrText xml:space="preserve"> CITATION Uni251 \l 1033 </w:instrText>
              </w:r>
              <w:r w:rsidR="00E753C5">
                <w:rPr>
                  <w:lang w:val="en-GB"/>
                </w:rPr>
                <w:fldChar w:fldCharType="separate"/>
              </w:r>
              <w:r w:rsidR="00D6234B">
                <w:rPr>
                  <w:noProof/>
                </w:rPr>
                <w:t>(Unilever PLC, 2025)</w:t>
              </w:r>
              <w:r w:rsidR="00E753C5">
                <w:rPr>
                  <w:lang w:val="en-GB"/>
                </w:rPr>
                <w:fldChar w:fldCharType="end"/>
              </w:r>
            </w:sdtContent>
          </w:sdt>
          <w:r w:rsidRPr="00AE61F1">
            <w:rPr>
              <w:lang w:val="en-GB"/>
            </w:rPr>
            <w:t>. The analysis in this report is based primarily on the company’s official 2024 and 2023 full-year results announcements and annual reporting materials, which provide audited or board-approved balance sheet, income statement, cash flow and shareholder return information</w:t>
          </w:r>
          <w:r w:rsidR="002A6827" w:rsidRPr="00AE61F1">
            <w:rPr>
              <w:lang w:val="en-GB"/>
            </w:rPr>
            <w:t xml:space="preserve"> </w:t>
          </w:r>
          <w:sdt>
            <w:sdtPr>
              <w:rPr>
                <w:lang w:val="en-GB"/>
              </w:rPr>
              <w:id w:val="1354153499"/>
              <w:citation/>
            </w:sdtPr>
            <w:sdtContent>
              <w:r w:rsidR="00DF1023" w:rsidRPr="00AE61F1">
                <w:rPr>
                  <w:lang w:val="en-GB"/>
                </w:rPr>
                <w:fldChar w:fldCharType="begin"/>
              </w:r>
              <w:r w:rsidR="00DF1023" w:rsidRPr="00AE61F1">
                <w:rPr>
                  <w:lang w:val="en-GB"/>
                </w:rPr>
                <w:instrText xml:space="preserve"> CITATION Uni24 \l 1033 </w:instrText>
              </w:r>
              <w:r w:rsidR="00DF1023" w:rsidRPr="00AE61F1">
                <w:rPr>
                  <w:lang w:val="en-GB"/>
                </w:rPr>
                <w:fldChar w:fldCharType="separate"/>
              </w:r>
              <w:r w:rsidR="00D6234B" w:rsidRPr="00D6234B">
                <w:rPr>
                  <w:noProof/>
                  <w:lang w:val="en-GB"/>
                </w:rPr>
                <w:t>(Unilever PLC, 2024)</w:t>
              </w:r>
              <w:r w:rsidR="00DF1023" w:rsidRPr="00AE61F1">
                <w:rPr>
                  <w:lang w:val="en-GB"/>
                </w:rPr>
                <w:fldChar w:fldCharType="end"/>
              </w:r>
            </w:sdtContent>
          </w:sdt>
          <w:r w:rsidRPr="00AE61F1">
            <w:rPr>
              <w:lang w:val="en-GB"/>
            </w:rPr>
            <w:t>. These sources show that turnover increased modestly in 2024</w:t>
          </w:r>
          <w:r w:rsidR="002B4548" w:rsidRPr="00AE61F1">
            <w:rPr>
              <w:lang w:val="en-GB"/>
            </w:rPr>
            <w:t xml:space="preserve"> </w:t>
          </w:r>
          <w:sdt>
            <w:sdtPr>
              <w:rPr>
                <w:lang w:val="en-GB"/>
              </w:rPr>
              <w:id w:val="-782967495"/>
              <w:citation/>
            </w:sdtPr>
            <w:sdtContent>
              <w:r w:rsidR="00535116" w:rsidRPr="00AE61F1">
                <w:rPr>
                  <w:lang w:val="en-GB"/>
                </w:rPr>
                <w:fldChar w:fldCharType="begin"/>
              </w:r>
              <w:r w:rsidR="00A71E78" w:rsidRPr="00AE61F1">
                <w:rPr>
                  <w:lang w:val="en-GB"/>
                </w:rPr>
                <w:instrText xml:space="preserve">CITATION Uni252 \l 1033 </w:instrText>
              </w:r>
              <w:r w:rsidR="00535116" w:rsidRPr="00AE61F1">
                <w:rPr>
                  <w:lang w:val="en-GB"/>
                </w:rPr>
                <w:fldChar w:fldCharType="separate"/>
              </w:r>
              <w:r w:rsidR="00D6234B" w:rsidRPr="00D6234B">
                <w:rPr>
                  <w:noProof/>
                  <w:lang w:val="en-GB"/>
                </w:rPr>
                <w:t>(Unilever PLC, 2025)</w:t>
              </w:r>
              <w:r w:rsidR="00535116" w:rsidRPr="00AE61F1">
                <w:rPr>
                  <w:lang w:val="en-GB"/>
                </w:rPr>
                <w:fldChar w:fldCharType="end"/>
              </w:r>
            </w:sdtContent>
          </w:sdt>
          <w:r w:rsidRPr="00AE61F1">
            <w:rPr>
              <w:lang w:val="en-GB"/>
            </w:rPr>
            <w:t>, while underlying sales growth reached 4.2%, led by stronger volume growth, and management highlighted gross margin expansion, higher brand investment and portfolio reshaping as key features of the year. Because ratio analysis is most useful when grounded in a clear business context, the discussion below interprets the numerical changes in light of cost inflation normalisation, restructuring, brand investment, disposals, and capital returns</w:t>
          </w:r>
          <w:r w:rsidR="00D965DA" w:rsidRPr="00AE61F1">
            <w:rPr>
              <w:lang w:val="en-GB"/>
            </w:rPr>
            <w:t xml:space="preserve"> </w:t>
          </w:r>
          <w:sdt>
            <w:sdtPr>
              <w:rPr>
                <w:lang w:val="en-GB"/>
              </w:rPr>
              <w:id w:val="-908229667"/>
              <w:citation/>
            </w:sdtPr>
            <w:sdtContent>
              <w:r w:rsidR="00F74169" w:rsidRPr="00AE61F1">
                <w:rPr>
                  <w:lang w:val="en-GB"/>
                </w:rPr>
                <w:fldChar w:fldCharType="begin"/>
              </w:r>
              <w:r w:rsidR="00884A08" w:rsidRPr="00AE61F1">
                <w:rPr>
                  <w:lang w:val="en-GB"/>
                </w:rPr>
                <w:instrText xml:space="preserve">CITATION Uni25 \l 1033 </w:instrText>
              </w:r>
              <w:r w:rsidR="00F74169" w:rsidRPr="00AE61F1">
                <w:rPr>
                  <w:lang w:val="en-GB"/>
                </w:rPr>
                <w:fldChar w:fldCharType="separate"/>
              </w:r>
              <w:r w:rsidR="00D6234B" w:rsidRPr="00D6234B">
                <w:rPr>
                  <w:noProof/>
                  <w:lang w:val="en-GB"/>
                </w:rPr>
                <w:t>(Unilever PLC, 2025)</w:t>
              </w:r>
              <w:r w:rsidR="00F74169" w:rsidRPr="00AE61F1">
                <w:rPr>
                  <w:lang w:val="en-GB"/>
                </w:rPr>
                <w:fldChar w:fldCharType="end"/>
              </w:r>
            </w:sdtContent>
          </w:sdt>
          <w:r w:rsidR="001828E8" w:rsidRPr="001828E8">
            <w:rPr>
              <w:lang w:val="en-GB"/>
            </w:rPr>
            <w:t xml:space="preserve"> </w:t>
          </w:r>
          <w:sdt>
            <w:sdtPr>
              <w:rPr>
                <w:lang w:val="en-GB"/>
              </w:rPr>
              <w:id w:val="65000334"/>
              <w:citation/>
            </w:sdtPr>
            <w:sdtContent>
              <w:r w:rsidR="001828E8" w:rsidRPr="00AE61F1">
                <w:rPr>
                  <w:lang w:val="en-GB"/>
                </w:rPr>
                <w:fldChar w:fldCharType="begin"/>
              </w:r>
              <w:r w:rsidR="001828E8" w:rsidRPr="00AE61F1">
                <w:rPr>
                  <w:lang w:val="en-GB"/>
                </w:rPr>
                <w:instrText xml:space="preserve">CITATION Uni252 \l 1033 </w:instrText>
              </w:r>
              <w:r w:rsidR="001828E8" w:rsidRPr="00AE61F1">
                <w:rPr>
                  <w:lang w:val="en-GB"/>
                </w:rPr>
                <w:fldChar w:fldCharType="separate"/>
              </w:r>
              <w:r w:rsidR="00D6234B" w:rsidRPr="00D6234B">
                <w:rPr>
                  <w:noProof/>
                  <w:lang w:val="en-GB"/>
                </w:rPr>
                <w:t>(Unilever PLC, 2025)</w:t>
              </w:r>
              <w:r w:rsidR="001828E8" w:rsidRPr="00AE61F1">
                <w:rPr>
                  <w:lang w:val="en-GB"/>
                </w:rPr>
                <w:fldChar w:fldCharType="end"/>
              </w:r>
            </w:sdtContent>
          </w:sdt>
          <w:r w:rsidR="006C4019">
            <w:rPr>
              <w:lang w:val="en-GB"/>
            </w:rPr>
            <w:t>.</w:t>
          </w:r>
        </w:p>
        <w:p w14:paraId="540452ED" w14:textId="336C4294" w:rsidR="00B71C2B" w:rsidRPr="00AE61F1" w:rsidRDefault="00B71C2B" w:rsidP="00B71C2B">
          <w:pPr>
            <w:pStyle w:val="NormalWeb"/>
            <w:rPr>
              <w:lang w:val="en-GB"/>
            </w:rPr>
          </w:pPr>
          <w:r w:rsidRPr="00AE61F1">
            <w:rPr>
              <w:lang w:val="en-GB"/>
            </w:rPr>
            <w:t>The report deliberately emphasises benchmarking</w:t>
          </w:r>
          <w:r w:rsidR="0081769F" w:rsidRPr="00AE61F1">
            <w:rPr>
              <w:lang w:val="en-GB"/>
            </w:rPr>
            <w:t xml:space="preserve"> </w:t>
          </w:r>
          <w:sdt>
            <w:sdtPr>
              <w:rPr>
                <w:lang w:val="en-GB"/>
              </w:rPr>
              <w:id w:val="1972397401"/>
              <w:citation/>
            </w:sdtPr>
            <w:sdtContent>
              <w:r w:rsidR="0081769F" w:rsidRPr="00AE61F1">
                <w:rPr>
                  <w:lang w:val="en-GB"/>
                </w:rPr>
                <w:fldChar w:fldCharType="begin"/>
              </w:r>
              <w:r w:rsidR="0081769F" w:rsidRPr="00AE61F1">
                <w:rPr>
                  <w:lang w:val="en-GB"/>
                </w:rPr>
                <w:instrText xml:space="preserve"> CITATION Joh18 \l 1033 </w:instrText>
              </w:r>
              <w:r w:rsidR="001F5B4C">
                <w:rPr>
                  <w:lang w:val="en-GB"/>
                </w:rPr>
                <w:instrText xml:space="preserve"> \m Zha25</w:instrText>
              </w:r>
              <w:r w:rsidR="0081769F" w:rsidRPr="00AE61F1">
                <w:rPr>
                  <w:lang w:val="en-GB"/>
                </w:rPr>
                <w:fldChar w:fldCharType="separate"/>
              </w:r>
              <w:r w:rsidR="001F5B4C" w:rsidRPr="001F5B4C">
                <w:rPr>
                  <w:noProof/>
                  <w:lang w:val="en-GB"/>
                </w:rPr>
                <w:t>(John Nkeobuna Nnah Ugoani, 18; Zhang, Yi; Silva, Beatriz; Moreau, Élodie; T¯ane, Hinewera, 2025)</w:t>
              </w:r>
              <w:r w:rsidR="0081769F" w:rsidRPr="00AE61F1">
                <w:rPr>
                  <w:lang w:val="en-GB"/>
                </w:rPr>
                <w:fldChar w:fldCharType="end"/>
              </w:r>
            </w:sdtContent>
          </w:sdt>
          <w:r w:rsidRPr="00AE61F1">
            <w:rPr>
              <w:lang w:val="en-GB"/>
            </w:rPr>
            <w:t>. First, it benchmarks 2024 against 2023, which is the cleanest and most relevant comparison because both years are reported under the same broad corporate structure and accounting framework</w:t>
          </w:r>
          <w:r w:rsidR="009726CC" w:rsidRPr="00AE61F1">
            <w:rPr>
              <w:lang w:val="en-GB"/>
            </w:rPr>
            <w:t xml:space="preserve"> </w:t>
          </w:r>
          <w:sdt>
            <w:sdtPr>
              <w:rPr>
                <w:lang w:val="en-GB"/>
              </w:rPr>
              <w:id w:val="1408413125"/>
              <w:citation/>
            </w:sdtPr>
            <w:sdtContent>
              <w:r w:rsidR="00961D30" w:rsidRPr="00AE61F1">
                <w:rPr>
                  <w:lang w:val="en-GB"/>
                </w:rPr>
                <w:fldChar w:fldCharType="begin"/>
              </w:r>
              <w:r w:rsidR="00961D30" w:rsidRPr="00AE61F1">
                <w:rPr>
                  <w:lang w:val="en-GB"/>
                </w:rPr>
                <w:instrText xml:space="preserve"> CITATION Uni253 \l 1033 </w:instrText>
              </w:r>
              <w:r w:rsidR="00BC0DA5">
                <w:rPr>
                  <w:lang w:val="en-GB"/>
                </w:rPr>
                <w:instrText xml:space="preserve"> \m Uni242</w:instrText>
              </w:r>
              <w:r w:rsidR="00961D30" w:rsidRPr="00AE61F1">
                <w:rPr>
                  <w:lang w:val="en-GB"/>
                </w:rPr>
                <w:fldChar w:fldCharType="separate"/>
              </w:r>
              <w:r w:rsidR="00D6234B" w:rsidRPr="00D6234B">
                <w:rPr>
                  <w:noProof/>
                  <w:lang w:val="en-GB"/>
                </w:rPr>
                <w:t>(Unilever PLC, 2025; Unilever PLC, 2024)</w:t>
              </w:r>
              <w:r w:rsidR="00961D30" w:rsidRPr="00AE61F1">
                <w:rPr>
                  <w:lang w:val="en-GB"/>
                </w:rPr>
                <w:fldChar w:fldCharType="end"/>
              </w:r>
            </w:sdtContent>
          </w:sdt>
          <w:r w:rsidRPr="00AE61F1">
            <w:rPr>
              <w:lang w:val="en-GB"/>
            </w:rPr>
            <w:t>. Second, it uses limited external benchmarks to assess whether Unilever’s profitability and leverage are broadly competitive for a branded consumer-products group</w:t>
          </w:r>
          <w:r w:rsidR="00172CD9" w:rsidRPr="00AE61F1">
            <w:rPr>
              <w:lang w:val="en-GB"/>
            </w:rPr>
            <w:t xml:space="preserve"> </w:t>
          </w:r>
          <w:sdt>
            <w:sdtPr>
              <w:rPr>
                <w:lang w:val="en-GB"/>
              </w:rPr>
              <w:id w:val="2084095012"/>
              <w:citation/>
            </w:sdtPr>
            <w:sdtContent>
              <w:r w:rsidR="006E10B5" w:rsidRPr="00AE61F1">
                <w:rPr>
                  <w:lang w:val="en-GB"/>
                </w:rPr>
                <w:fldChar w:fldCharType="begin"/>
              </w:r>
              <w:r w:rsidR="006E10B5" w:rsidRPr="00AE61F1">
                <w:rPr>
                  <w:lang w:val="en-GB"/>
                </w:rPr>
                <w:instrText xml:space="preserve"> CITATION Asw26 \l 1033 </w:instrText>
              </w:r>
              <w:r w:rsidR="004B5477">
                <w:rPr>
                  <w:lang w:val="en-GB"/>
                </w:rPr>
                <w:instrText xml:space="preserve"> \m Joh18</w:instrText>
              </w:r>
              <w:r w:rsidR="006E10B5" w:rsidRPr="00AE61F1">
                <w:rPr>
                  <w:lang w:val="en-GB"/>
                </w:rPr>
                <w:fldChar w:fldCharType="separate"/>
              </w:r>
              <w:r w:rsidR="00D6234B" w:rsidRPr="00D6234B">
                <w:rPr>
                  <w:noProof/>
                  <w:lang w:val="en-GB"/>
                </w:rPr>
                <w:t>(Damodaran, 2026; John Nkeobuna Nnah Ugoani, 18)</w:t>
              </w:r>
              <w:r w:rsidR="006E10B5" w:rsidRPr="00AE61F1">
                <w:rPr>
                  <w:lang w:val="en-GB"/>
                </w:rPr>
                <w:fldChar w:fldCharType="end"/>
              </w:r>
            </w:sdtContent>
          </w:sdt>
          <w:r w:rsidRPr="00AE61F1">
            <w:rPr>
              <w:lang w:val="en-GB"/>
            </w:rPr>
            <w:t xml:space="preserve">. This is important because ratios do not have meaning in isolation; a current ratio of 0.76 </w:t>
          </w:r>
          <w:r w:rsidR="009C5A76" w:rsidRPr="00AE61F1">
            <w:rPr>
              <w:lang w:val="en-GB"/>
            </w:rPr>
            <w:t xml:space="preserve">in 2024 was calculated as current assets of €19,194 million divided by current liabilities of €25,234 million, while the 2023 current ratio was also 0.76, based on €17,902 million of current assets and €23,507 million of current liabilities </w:t>
          </w:r>
          <w:r w:rsidRPr="00AE61F1">
            <w:rPr>
              <w:lang w:val="en-GB"/>
            </w:rPr>
            <w:t>an</w:t>
          </w:r>
          <w:r w:rsidR="009657E0" w:rsidRPr="00AE61F1">
            <w:rPr>
              <w:lang w:val="en-GB"/>
            </w:rPr>
            <w:t>d the</w:t>
          </w:r>
          <w:r w:rsidRPr="00AE61F1">
            <w:rPr>
              <w:lang w:val="en-GB"/>
            </w:rPr>
            <w:t xml:space="preserve"> operating margin of 15.5% </w:t>
          </w:r>
          <w:r w:rsidR="000D047B" w:rsidRPr="00AE61F1">
            <w:rPr>
              <w:lang w:val="en-GB"/>
            </w:rPr>
            <w:t>in</w:t>
          </w:r>
          <w:r w:rsidR="00ED5DC9" w:rsidRPr="00AE61F1">
            <w:rPr>
              <w:lang w:val="en-GB"/>
            </w:rPr>
            <w:t xml:space="preserve"> the year</w:t>
          </w:r>
          <w:r w:rsidR="000D047B" w:rsidRPr="00AE61F1">
            <w:rPr>
              <w:lang w:val="en-GB"/>
            </w:rPr>
            <w:t xml:space="preserve"> 2024</w:t>
          </w:r>
          <w:r w:rsidR="00ED5DC9" w:rsidRPr="00AE61F1">
            <w:rPr>
              <w:lang w:val="en-GB"/>
            </w:rPr>
            <w:t xml:space="preserve"> which</w:t>
          </w:r>
          <w:r w:rsidR="000D047B" w:rsidRPr="00AE61F1">
            <w:rPr>
              <w:lang w:val="en-GB"/>
            </w:rPr>
            <w:t xml:space="preserve"> was calculated from operating profit of €9.4 billion over turnover of €60.8 billion</w:t>
          </w:r>
          <w:r w:rsidR="00932538">
            <w:rPr>
              <w:lang w:val="en-GB"/>
            </w:rPr>
            <w:t xml:space="preserve"> </w:t>
          </w:r>
          <w:sdt>
            <w:sdtPr>
              <w:rPr>
                <w:lang w:val="en-GB"/>
              </w:rPr>
              <w:id w:val="-561636788"/>
              <w:citation/>
            </w:sdtPr>
            <w:sdtContent>
              <w:r w:rsidR="00932538">
                <w:rPr>
                  <w:lang w:val="en-GB"/>
                </w:rPr>
                <w:fldChar w:fldCharType="begin"/>
              </w:r>
              <w:r w:rsidR="00932538">
                <w:instrText xml:space="preserve"> CITATION Uni253 \l 1033 </w:instrText>
              </w:r>
              <w:r w:rsidR="00D62823">
                <w:instrText xml:space="preserve"> \m Uni242</w:instrText>
              </w:r>
              <w:r w:rsidR="00932538">
                <w:rPr>
                  <w:lang w:val="en-GB"/>
                </w:rPr>
                <w:fldChar w:fldCharType="separate"/>
              </w:r>
              <w:r w:rsidR="00D6234B">
                <w:rPr>
                  <w:noProof/>
                </w:rPr>
                <w:t>(Unilever PLC, 2025; Unilever PLC, 2024)</w:t>
              </w:r>
              <w:r w:rsidR="00932538">
                <w:rPr>
                  <w:lang w:val="en-GB"/>
                </w:rPr>
                <w:fldChar w:fldCharType="end"/>
              </w:r>
            </w:sdtContent>
          </w:sdt>
          <w:r w:rsidR="000D047B" w:rsidRPr="00AE61F1">
            <w:rPr>
              <w:lang w:val="en-GB"/>
            </w:rPr>
            <w:t>. Academic literature consistently warns that ratio analysis is an interpretive tool rather than a self-contained decision rule, especially where multinational firms are affected by currency movements, disposals, different segment mixes and non-underlying items</w:t>
          </w:r>
          <w:r w:rsidR="00052719" w:rsidRPr="00AE61F1">
            <w:rPr>
              <w:lang w:val="en-GB"/>
            </w:rPr>
            <w:t>.</w:t>
          </w:r>
          <w:r w:rsidR="000D047B" w:rsidRPr="00AE61F1">
            <w:rPr>
              <w:lang w:val="en-GB"/>
            </w:rPr>
            <w:t xml:space="preserve"> </w:t>
          </w:r>
          <w:r w:rsidRPr="00AE61F1">
            <w:rPr>
              <w:lang w:val="en-GB"/>
            </w:rPr>
            <w:t>can only be judged properly when considered against prior-year performance, business model characteristics and peer norms. Academic literature consistently warns that ratio analysis is an interpretive tool rather than a self-contained decision rule, especially where multinational firms are affected by currency movements, disposals, different segment mixes and non-underlying item</w:t>
          </w:r>
          <w:r w:rsidR="00AF06B9" w:rsidRPr="00AE61F1">
            <w:rPr>
              <w:lang w:val="en-GB"/>
            </w:rPr>
            <w:t>s</w:t>
          </w:r>
          <w:r w:rsidR="00171D97">
            <w:rPr>
              <w:lang w:val="en-GB"/>
            </w:rPr>
            <w:t xml:space="preserve"> </w:t>
          </w:r>
          <w:sdt>
            <w:sdtPr>
              <w:rPr>
                <w:lang w:val="en-GB"/>
              </w:rPr>
              <w:id w:val="-295828269"/>
              <w:citation/>
            </w:sdtPr>
            <w:sdtContent>
              <w:r w:rsidR="00BF35B6" w:rsidRPr="00BF35B6">
                <w:rPr>
                  <w:lang w:val="en-GB"/>
                </w:rPr>
                <w:fldChar w:fldCharType="begin"/>
              </w:r>
              <w:r w:rsidR="00BF35B6" w:rsidRPr="00BF35B6">
                <w:instrText xml:space="preserve"> CITATION Zha25 \l 1033 </w:instrText>
              </w:r>
              <w:r w:rsidR="002176AD">
                <w:instrText xml:space="preserve"> \m Uni253</w:instrText>
              </w:r>
              <w:r w:rsidR="00BF35B6" w:rsidRPr="00BF35B6">
                <w:rPr>
                  <w:lang w:val="en-GB"/>
                </w:rPr>
                <w:fldChar w:fldCharType="separate"/>
              </w:r>
              <w:r w:rsidR="00D6234B">
                <w:rPr>
                  <w:noProof/>
                </w:rPr>
                <w:t>(Zhang, Yi; Silva, Beatriz; Moreau, Élodie; T¯ane, Hinewera, 2025; Unilever PLC, 2025)</w:t>
              </w:r>
              <w:r w:rsidR="00BF35B6" w:rsidRPr="00BF35B6">
                <w:rPr>
                  <w:lang w:val="en-GB"/>
                </w:rPr>
                <w:fldChar w:fldCharType="end"/>
              </w:r>
            </w:sdtContent>
          </w:sdt>
          <w:r w:rsidR="00AF06B9" w:rsidRPr="00AE61F1">
            <w:rPr>
              <w:lang w:val="en-GB"/>
            </w:rPr>
            <w:t>.</w:t>
          </w:r>
        </w:p>
        <w:p w14:paraId="0A796B37" w14:textId="1E105574" w:rsidR="00B71C2B" w:rsidRPr="00AE61F1" w:rsidRDefault="0072772E" w:rsidP="00B71C2B">
          <w:r>
            <w:t>7</w:t>
          </w:r>
          <w:r w:rsidR="00CE33BD">
            <w:t>0</w:t>
          </w:r>
          <w:r w:rsidR="00972B23">
            <w:br w:type="page"/>
          </w:r>
        </w:p>
        <w:p w14:paraId="7344888F" w14:textId="03D01682" w:rsidR="0071417F" w:rsidRPr="00AE61F1" w:rsidRDefault="0071417F" w:rsidP="0071417F">
          <w:pPr>
            <w:pStyle w:val="Heading2"/>
            <w:numPr>
              <w:ilvl w:val="1"/>
              <w:numId w:val="1"/>
            </w:numPr>
          </w:pPr>
          <w:bookmarkStart w:id="4" w:name="_Toc226410211"/>
          <w:r w:rsidRPr="00AE61F1">
            <w:lastRenderedPageBreak/>
            <w:t>Ratio Table for Unilever PLC</w:t>
          </w:r>
          <w:bookmarkEnd w:id="4"/>
        </w:p>
        <w:p w14:paraId="40A8A09B" w14:textId="77777777" w:rsidR="004835A5" w:rsidRPr="00AE61F1" w:rsidRDefault="004835A5" w:rsidP="004835A5"/>
        <w:tbl>
          <w:tblPr>
            <w:tblW w:w="0" w:type="auto"/>
            <w:tblCellSpacing w:w="15" w:type="dxa"/>
            <w:tblInd w:w="-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20"/>
            <w:gridCol w:w="5133"/>
            <w:gridCol w:w="914"/>
            <w:gridCol w:w="929"/>
          </w:tblGrid>
          <w:tr w:rsidR="004835A5" w:rsidRPr="00AE61F1" w14:paraId="18889D26" w14:textId="77777777" w:rsidTr="004835A5">
            <w:trPr>
              <w:tblHeader/>
              <w:tblCellSpacing w:w="15" w:type="dxa"/>
            </w:trPr>
            <w:tc>
              <w:tcPr>
                <w:tcW w:w="2174" w:type="dxa"/>
                <w:vAlign w:val="center"/>
                <w:hideMark/>
              </w:tcPr>
              <w:p w14:paraId="23886A9F" w14:textId="77777777" w:rsidR="004835A5" w:rsidRPr="00AE61F1" w:rsidRDefault="004835A5" w:rsidP="004835A5">
                <w:pPr>
                  <w:jc w:val="center"/>
                  <w:rPr>
                    <w:b/>
                    <w:bCs/>
                  </w:rPr>
                </w:pPr>
                <w:r w:rsidRPr="00AE61F1">
                  <w:rPr>
                    <w:b/>
                    <w:bCs/>
                  </w:rPr>
                  <w:t>Ratio</w:t>
                </w:r>
              </w:p>
            </w:tc>
            <w:tc>
              <w:tcPr>
                <w:tcW w:w="0" w:type="auto"/>
                <w:vAlign w:val="center"/>
                <w:hideMark/>
              </w:tcPr>
              <w:p w14:paraId="436F0D6F" w14:textId="77777777" w:rsidR="004835A5" w:rsidRPr="00AE61F1" w:rsidRDefault="004835A5" w:rsidP="004835A5">
                <w:pPr>
                  <w:jc w:val="center"/>
                  <w:rPr>
                    <w:b/>
                    <w:bCs/>
                  </w:rPr>
                </w:pPr>
                <w:r w:rsidRPr="00AE61F1">
                  <w:rPr>
                    <w:b/>
                    <w:bCs/>
                  </w:rPr>
                  <w:t>Formula Used</w:t>
                </w:r>
              </w:p>
            </w:tc>
            <w:tc>
              <w:tcPr>
                <w:tcW w:w="0" w:type="auto"/>
                <w:vAlign w:val="center"/>
                <w:hideMark/>
              </w:tcPr>
              <w:p w14:paraId="16633398" w14:textId="77777777" w:rsidR="004835A5" w:rsidRPr="00AE61F1" w:rsidRDefault="004835A5" w:rsidP="004835A5">
                <w:pPr>
                  <w:jc w:val="center"/>
                  <w:rPr>
                    <w:b/>
                    <w:bCs/>
                  </w:rPr>
                </w:pPr>
                <w:r w:rsidRPr="00AE61F1">
                  <w:rPr>
                    <w:b/>
                    <w:bCs/>
                  </w:rPr>
                  <w:t>2024</w:t>
                </w:r>
              </w:p>
            </w:tc>
            <w:tc>
              <w:tcPr>
                <w:tcW w:w="0" w:type="auto"/>
                <w:vAlign w:val="center"/>
                <w:hideMark/>
              </w:tcPr>
              <w:p w14:paraId="76BF00A4" w14:textId="77777777" w:rsidR="004835A5" w:rsidRPr="00AE61F1" w:rsidRDefault="004835A5" w:rsidP="004835A5">
                <w:pPr>
                  <w:jc w:val="center"/>
                  <w:rPr>
                    <w:b/>
                    <w:bCs/>
                  </w:rPr>
                </w:pPr>
                <w:r w:rsidRPr="00AE61F1">
                  <w:rPr>
                    <w:b/>
                    <w:bCs/>
                  </w:rPr>
                  <w:t>2023</w:t>
                </w:r>
              </w:p>
            </w:tc>
          </w:tr>
          <w:tr w:rsidR="004835A5" w:rsidRPr="00AE61F1" w14:paraId="74353055" w14:textId="77777777" w:rsidTr="004835A5">
            <w:trPr>
              <w:tblCellSpacing w:w="15" w:type="dxa"/>
            </w:trPr>
            <w:tc>
              <w:tcPr>
                <w:tcW w:w="2174" w:type="dxa"/>
                <w:vAlign w:val="center"/>
                <w:hideMark/>
              </w:tcPr>
              <w:p w14:paraId="4C018129" w14:textId="75CC819B" w:rsidR="004835A5" w:rsidRPr="00AE61F1" w:rsidRDefault="004835A5" w:rsidP="004835A5">
                <w:pPr>
                  <w:jc w:val="center"/>
                </w:pPr>
                <w:r w:rsidRPr="00AE61F1">
                  <w:t>Gross profit margin</w:t>
                </w:r>
              </w:p>
            </w:tc>
            <w:tc>
              <w:tcPr>
                <w:tcW w:w="0" w:type="auto"/>
                <w:vAlign w:val="center"/>
                <w:hideMark/>
              </w:tcPr>
              <w:p w14:paraId="70C4F13C" w14:textId="77777777" w:rsidR="004835A5" w:rsidRPr="00AE61F1" w:rsidRDefault="004835A5" w:rsidP="004835A5">
                <w:pPr>
                  <w:jc w:val="center"/>
                </w:pPr>
                <w:r w:rsidRPr="00AE61F1">
                  <w:t>Reported gross margin</w:t>
                </w:r>
              </w:p>
            </w:tc>
            <w:tc>
              <w:tcPr>
                <w:tcW w:w="0" w:type="auto"/>
                <w:vAlign w:val="center"/>
                <w:hideMark/>
              </w:tcPr>
              <w:p w14:paraId="4E6787DA" w14:textId="77777777" w:rsidR="004835A5" w:rsidRPr="00AE61F1" w:rsidRDefault="004835A5" w:rsidP="004835A5">
                <w:pPr>
                  <w:jc w:val="center"/>
                </w:pPr>
                <w:r w:rsidRPr="00AE61F1">
                  <w:t>45.0%</w:t>
                </w:r>
              </w:p>
            </w:tc>
            <w:tc>
              <w:tcPr>
                <w:tcW w:w="0" w:type="auto"/>
                <w:vAlign w:val="center"/>
                <w:hideMark/>
              </w:tcPr>
              <w:p w14:paraId="74D3962D" w14:textId="77777777" w:rsidR="004835A5" w:rsidRPr="00AE61F1" w:rsidRDefault="004835A5" w:rsidP="004835A5">
                <w:pPr>
                  <w:jc w:val="center"/>
                </w:pPr>
                <w:r w:rsidRPr="00AE61F1">
                  <w:t>42.2%</w:t>
                </w:r>
              </w:p>
            </w:tc>
          </w:tr>
          <w:tr w:rsidR="004835A5" w:rsidRPr="00AE61F1" w14:paraId="6A2245FE" w14:textId="77777777" w:rsidTr="004835A5">
            <w:trPr>
              <w:tblCellSpacing w:w="15" w:type="dxa"/>
            </w:trPr>
            <w:tc>
              <w:tcPr>
                <w:tcW w:w="2174" w:type="dxa"/>
                <w:vAlign w:val="center"/>
                <w:hideMark/>
              </w:tcPr>
              <w:p w14:paraId="378C33FA" w14:textId="77777777" w:rsidR="004835A5" w:rsidRPr="00AE61F1" w:rsidRDefault="004835A5" w:rsidP="004835A5">
                <w:pPr>
                  <w:jc w:val="center"/>
                </w:pPr>
                <w:r w:rsidRPr="00AE61F1">
                  <w:t>Operating profit margin</w:t>
                </w:r>
              </w:p>
            </w:tc>
            <w:tc>
              <w:tcPr>
                <w:tcW w:w="0" w:type="auto"/>
                <w:vAlign w:val="center"/>
                <w:hideMark/>
              </w:tcPr>
              <w:p w14:paraId="18B2C47B" w14:textId="77777777" w:rsidR="004835A5" w:rsidRPr="00AE61F1" w:rsidRDefault="004835A5" w:rsidP="004835A5">
                <w:pPr>
                  <w:jc w:val="center"/>
                </w:pPr>
                <w:r w:rsidRPr="00AE61F1">
                  <w:t>Operating profit / turnover</w:t>
                </w:r>
              </w:p>
            </w:tc>
            <w:tc>
              <w:tcPr>
                <w:tcW w:w="0" w:type="auto"/>
                <w:vAlign w:val="center"/>
                <w:hideMark/>
              </w:tcPr>
              <w:p w14:paraId="1D28612D" w14:textId="77777777" w:rsidR="004835A5" w:rsidRPr="00AE61F1" w:rsidRDefault="004835A5" w:rsidP="004835A5">
                <w:pPr>
                  <w:jc w:val="center"/>
                </w:pPr>
                <w:r w:rsidRPr="00AE61F1">
                  <w:t>15.5%</w:t>
                </w:r>
              </w:p>
            </w:tc>
            <w:tc>
              <w:tcPr>
                <w:tcW w:w="0" w:type="auto"/>
                <w:vAlign w:val="center"/>
                <w:hideMark/>
              </w:tcPr>
              <w:p w14:paraId="3124C18F" w14:textId="77777777" w:rsidR="004835A5" w:rsidRPr="00AE61F1" w:rsidRDefault="004835A5" w:rsidP="004835A5">
                <w:pPr>
                  <w:jc w:val="center"/>
                </w:pPr>
                <w:r w:rsidRPr="00AE61F1">
                  <w:t>16.4%</w:t>
                </w:r>
              </w:p>
            </w:tc>
          </w:tr>
          <w:tr w:rsidR="004835A5" w:rsidRPr="00AE61F1" w14:paraId="70563176" w14:textId="77777777" w:rsidTr="004835A5">
            <w:trPr>
              <w:tblCellSpacing w:w="15" w:type="dxa"/>
            </w:trPr>
            <w:tc>
              <w:tcPr>
                <w:tcW w:w="2174" w:type="dxa"/>
                <w:vAlign w:val="center"/>
                <w:hideMark/>
              </w:tcPr>
              <w:p w14:paraId="3FE40035" w14:textId="77777777" w:rsidR="004835A5" w:rsidRPr="00AE61F1" w:rsidRDefault="004835A5" w:rsidP="004835A5">
                <w:pPr>
                  <w:jc w:val="center"/>
                </w:pPr>
                <w:r w:rsidRPr="00AE61F1">
                  <w:t>Net profit margin</w:t>
                </w:r>
              </w:p>
            </w:tc>
            <w:tc>
              <w:tcPr>
                <w:tcW w:w="0" w:type="auto"/>
                <w:vAlign w:val="center"/>
                <w:hideMark/>
              </w:tcPr>
              <w:p w14:paraId="28E8D06A" w14:textId="77777777" w:rsidR="004835A5" w:rsidRPr="00AE61F1" w:rsidRDefault="004835A5" w:rsidP="004835A5">
                <w:pPr>
                  <w:jc w:val="center"/>
                </w:pPr>
                <w:r w:rsidRPr="00AE61F1">
                  <w:t>Net profit / turnover</w:t>
                </w:r>
              </w:p>
            </w:tc>
            <w:tc>
              <w:tcPr>
                <w:tcW w:w="0" w:type="auto"/>
                <w:vAlign w:val="center"/>
                <w:hideMark/>
              </w:tcPr>
              <w:p w14:paraId="06904036" w14:textId="77777777" w:rsidR="004835A5" w:rsidRPr="00AE61F1" w:rsidRDefault="004835A5" w:rsidP="004835A5">
                <w:pPr>
                  <w:jc w:val="center"/>
                </w:pPr>
                <w:r w:rsidRPr="00AE61F1">
                  <w:t>10.5%</w:t>
                </w:r>
              </w:p>
            </w:tc>
            <w:tc>
              <w:tcPr>
                <w:tcW w:w="0" w:type="auto"/>
                <w:vAlign w:val="center"/>
                <w:hideMark/>
              </w:tcPr>
              <w:p w14:paraId="66FC18F4" w14:textId="77777777" w:rsidR="004835A5" w:rsidRPr="00AE61F1" w:rsidRDefault="004835A5" w:rsidP="004835A5">
                <w:pPr>
                  <w:jc w:val="center"/>
                </w:pPr>
                <w:r w:rsidRPr="00AE61F1">
                  <w:t>12.0%</w:t>
                </w:r>
              </w:p>
            </w:tc>
          </w:tr>
          <w:tr w:rsidR="004835A5" w:rsidRPr="00AE61F1" w14:paraId="5F831A91" w14:textId="77777777" w:rsidTr="004835A5">
            <w:trPr>
              <w:tblCellSpacing w:w="15" w:type="dxa"/>
            </w:trPr>
            <w:tc>
              <w:tcPr>
                <w:tcW w:w="2174" w:type="dxa"/>
                <w:vAlign w:val="center"/>
                <w:hideMark/>
              </w:tcPr>
              <w:p w14:paraId="35B4807E" w14:textId="77777777" w:rsidR="004835A5" w:rsidRPr="00AE61F1" w:rsidRDefault="004835A5" w:rsidP="004835A5">
                <w:pPr>
                  <w:jc w:val="center"/>
                </w:pPr>
                <w:r w:rsidRPr="00AE61F1">
                  <w:t>ROCE</w:t>
                </w:r>
              </w:p>
            </w:tc>
            <w:tc>
              <w:tcPr>
                <w:tcW w:w="0" w:type="auto"/>
                <w:vAlign w:val="center"/>
                <w:hideMark/>
              </w:tcPr>
              <w:p w14:paraId="68B228BA" w14:textId="77777777" w:rsidR="004835A5" w:rsidRPr="00AE61F1" w:rsidRDefault="004835A5" w:rsidP="004835A5">
                <w:pPr>
                  <w:jc w:val="center"/>
                </w:pPr>
                <w:r w:rsidRPr="00AE61F1">
                  <w:t>Operating profit / (total assets − current liabilities)</w:t>
                </w:r>
              </w:p>
            </w:tc>
            <w:tc>
              <w:tcPr>
                <w:tcW w:w="0" w:type="auto"/>
                <w:vAlign w:val="center"/>
                <w:hideMark/>
              </w:tcPr>
              <w:p w14:paraId="15D1684D" w14:textId="77777777" w:rsidR="004835A5" w:rsidRPr="00AE61F1" w:rsidRDefault="004835A5" w:rsidP="004835A5">
                <w:pPr>
                  <w:jc w:val="center"/>
                </w:pPr>
                <w:r w:rsidRPr="00AE61F1">
                  <w:t>17.2%</w:t>
                </w:r>
              </w:p>
            </w:tc>
            <w:tc>
              <w:tcPr>
                <w:tcW w:w="0" w:type="auto"/>
                <w:vAlign w:val="center"/>
                <w:hideMark/>
              </w:tcPr>
              <w:p w14:paraId="1D9B07B3" w14:textId="77777777" w:rsidR="004835A5" w:rsidRPr="00AE61F1" w:rsidRDefault="004835A5" w:rsidP="004835A5">
                <w:pPr>
                  <w:jc w:val="center"/>
                </w:pPr>
                <w:r w:rsidRPr="00AE61F1">
                  <w:t>18.9%</w:t>
                </w:r>
              </w:p>
            </w:tc>
          </w:tr>
          <w:tr w:rsidR="004835A5" w:rsidRPr="00AE61F1" w14:paraId="6991851C" w14:textId="77777777" w:rsidTr="004835A5">
            <w:trPr>
              <w:tblCellSpacing w:w="15" w:type="dxa"/>
            </w:trPr>
            <w:tc>
              <w:tcPr>
                <w:tcW w:w="2174" w:type="dxa"/>
                <w:vAlign w:val="center"/>
                <w:hideMark/>
              </w:tcPr>
              <w:p w14:paraId="439F23E3" w14:textId="77777777" w:rsidR="004835A5" w:rsidRPr="00AE61F1" w:rsidRDefault="004835A5" w:rsidP="004835A5">
                <w:pPr>
                  <w:jc w:val="center"/>
                </w:pPr>
                <w:r w:rsidRPr="00AE61F1">
                  <w:t>ROE</w:t>
                </w:r>
              </w:p>
            </w:tc>
            <w:tc>
              <w:tcPr>
                <w:tcW w:w="0" w:type="auto"/>
                <w:vAlign w:val="center"/>
                <w:hideMark/>
              </w:tcPr>
              <w:p w14:paraId="4B3094EE" w14:textId="77777777" w:rsidR="004835A5" w:rsidRPr="00AE61F1" w:rsidRDefault="004835A5" w:rsidP="004835A5">
                <w:pPr>
                  <w:jc w:val="center"/>
                </w:pPr>
                <w:r w:rsidRPr="00AE61F1">
                  <w:t>Net profit attributable to shareholders / average shareholders’ equity</w:t>
                </w:r>
              </w:p>
            </w:tc>
            <w:tc>
              <w:tcPr>
                <w:tcW w:w="0" w:type="auto"/>
                <w:vAlign w:val="center"/>
                <w:hideMark/>
              </w:tcPr>
              <w:p w14:paraId="21CE43A8" w14:textId="77777777" w:rsidR="004835A5" w:rsidRPr="00AE61F1" w:rsidRDefault="004835A5" w:rsidP="004835A5">
                <w:pPr>
                  <w:jc w:val="center"/>
                </w:pPr>
                <w:r w:rsidRPr="00AE61F1">
                  <w:t>30.2%</w:t>
                </w:r>
              </w:p>
            </w:tc>
            <w:tc>
              <w:tcPr>
                <w:tcW w:w="0" w:type="auto"/>
                <w:vAlign w:val="center"/>
                <w:hideMark/>
              </w:tcPr>
              <w:p w14:paraId="01064BAB" w14:textId="77777777" w:rsidR="004835A5" w:rsidRPr="00AE61F1" w:rsidRDefault="004835A5" w:rsidP="004835A5">
                <w:pPr>
                  <w:jc w:val="center"/>
                </w:pPr>
                <w:r w:rsidRPr="00AE61F1">
                  <w:t>34.9%</w:t>
                </w:r>
              </w:p>
            </w:tc>
          </w:tr>
          <w:tr w:rsidR="004835A5" w:rsidRPr="00AE61F1" w14:paraId="0E7BEC84" w14:textId="77777777" w:rsidTr="004835A5">
            <w:trPr>
              <w:tblCellSpacing w:w="15" w:type="dxa"/>
            </w:trPr>
            <w:tc>
              <w:tcPr>
                <w:tcW w:w="2174" w:type="dxa"/>
                <w:vAlign w:val="center"/>
                <w:hideMark/>
              </w:tcPr>
              <w:p w14:paraId="0EAC6089" w14:textId="77777777" w:rsidR="004835A5" w:rsidRPr="00AE61F1" w:rsidRDefault="004835A5" w:rsidP="004835A5">
                <w:pPr>
                  <w:jc w:val="center"/>
                </w:pPr>
                <w:r w:rsidRPr="00AE61F1">
                  <w:t>Current ratio</w:t>
                </w:r>
              </w:p>
            </w:tc>
            <w:tc>
              <w:tcPr>
                <w:tcW w:w="0" w:type="auto"/>
                <w:vAlign w:val="center"/>
                <w:hideMark/>
              </w:tcPr>
              <w:p w14:paraId="06003327" w14:textId="77777777" w:rsidR="004835A5" w:rsidRPr="00AE61F1" w:rsidRDefault="004835A5" w:rsidP="004835A5">
                <w:pPr>
                  <w:jc w:val="center"/>
                </w:pPr>
                <w:r w:rsidRPr="00AE61F1">
                  <w:t>Current assets / current liabilities</w:t>
                </w:r>
              </w:p>
            </w:tc>
            <w:tc>
              <w:tcPr>
                <w:tcW w:w="0" w:type="auto"/>
                <w:vAlign w:val="center"/>
                <w:hideMark/>
              </w:tcPr>
              <w:p w14:paraId="50B7084E" w14:textId="77777777" w:rsidR="004835A5" w:rsidRPr="00AE61F1" w:rsidRDefault="004835A5" w:rsidP="004835A5">
                <w:pPr>
                  <w:jc w:val="center"/>
                </w:pPr>
                <w:r w:rsidRPr="00AE61F1">
                  <w:t>0.76x</w:t>
                </w:r>
              </w:p>
            </w:tc>
            <w:tc>
              <w:tcPr>
                <w:tcW w:w="0" w:type="auto"/>
                <w:vAlign w:val="center"/>
                <w:hideMark/>
              </w:tcPr>
              <w:p w14:paraId="18C66777" w14:textId="77777777" w:rsidR="004835A5" w:rsidRPr="00AE61F1" w:rsidRDefault="004835A5" w:rsidP="004835A5">
                <w:pPr>
                  <w:jc w:val="center"/>
                </w:pPr>
                <w:r w:rsidRPr="00AE61F1">
                  <w:t>0.76x</w:t>
                </w:r>
              </w:p>
            </w:tc>
          </w:tr>
          <w:tr w:rsidR="004835A5" w:rsidRPr="00AE61F1" w14:paraId="40C2688E" w14:textId="77777777" w:rsidTr="004835A5">
            <w:trPr>
              <w:tblCellSpacing w:w="15" w:type="dxa"/>
            </w:trPr>
            <w:tc>
              <w:tcPr>
                <w:tcW w:w="2174" w:type="dxa"/>
                <w:vAlign w:val="center"/>
                <w:hideMark/>
              </w:tcPr>
              <w:p w14:paraId="432D44D7" w14:textId="77777777" w:rsidR="004835A5" w:rsidRPr="00AE61F1" w:rsidRDefault="004835A5" w:rsidP="004835A5">
                <w:pPr>
                  <w:jc w:val="center"/>
                </w:pPr>
                <w:r w:rsidRPr="00AE61F1">
                  <w:t>Acid-test ratio</w:t>
                </w:r>
              </w:p>
            </w:tc>
            <w:tc>
              <w:tcPr>
                <w:tcW w:w="0" w:type="auto"/>
                <w:vAlign w:val="center"/>
                <w:hideMark/>
              </w:tcPr>
              <w:p w14:paraId="3AB6D17C" w14:textId="77777777" w:rsidR="004835A5" w:rsidRPr="00AE61F1" w:rsidRDefault="004835A5" w:rsidP="004835A5">
                <w:pPr>
                  <w:jc w:val="center"/>
                </w:pPr>
                <w:r w:rsidRPr="00AE61F1">
                  <w:t>(Current assets − inventories) / current liabilities</w:t>
                </w:r>
              </w:p>
            </w:tc>
            <w:tc>
              <w:tcPr>
                <w:tcW w:w="0" w:type="auto"/>
                <w:vAlign w:val="center"/>
                <w:hideMark/>
              </w:tcPr>
              <w:p w14:paraId="128F52AC" w14:textId="77777777" w:rsidR="004835A5" w:rsidRPr="00AE61F1" w:rsidRDefault="004835A5" w:rsidP="004835A5">
                <w:pPr>
                  <w:jc w:val="center"/>
                </w:pPr>
                <w:r w:rsidRPr="00AE61F1">
                  <w:t>0.56x</w:t>
                </w:r>
              </w:p>
            </w:tc>
            <w:tc>
              <w:tcPr>
                <w:tcW w:w="0" w:type="auto"/>
                <w:vAlign w:val="center"/>
                <w:hideMark/>
              </w:tcPr>
              <w:p w14:paraId="1F63550C" w14:textId="77777777" w:rsidR="004835A5" w:rsidRPr="00AE61F1" w:rsidRDefault="004835A5" w:rsidP="004835A5">
                <w:pPr>
                  <w:jc w:val="center"/>
                </w:pPr>
                <w:r w:rsidRPr="00AE61F1">
                  <w:t>0.54x</w:t>
                </w:r>
              </w:p>
            </w:tc>
          </w:tr>
          <w:tr w:rsidR="004835A5" w:rsidRPr="00AE61F1" w14:paraId="59088E5B" w14:textId="77777777" w:rsidTr="004835A5">
            <w:trPr>
              <w:tblCellSpacing w:w="15" w:type="dxa"/>
            </w:trPr>
            <w:tc>
              <w:tcPr>
                <w:tcW w:w="2174" w:type="dxa"/>
                <w:vAlign w:val="center"/>
                <w:hideMark/>
              </w:tcPr>
              <w:p w14:paraId="7D31D617" w14:textId="77777777" w:rsidR="004835A5" w:rsidRPr="00AE61F1" w:rsidRDefault="004835A5" w:rsidP="004835A5">
                <w:pPr>
                  <w:jc w:val="center"/>
                </w:pPr>
                <w:r w:rsidRPr="00AE61F1">
                  <w:t>Debt to equity</w:t>
                </w:r>
              </w:p>
            </w:tc>
            <w:tc>
              <w:tcPr>
                <w:tcW w:w="0" w:type="auto"/>
                <w:vAlign w:val="center"/>
                <w:hideMark/>
              </w:tcPr>
              <w:p w14:paraId="7BEF2DA2" w14:textId="77777777" w:rsidR="004835A5" w:rsidRPr="00AE61F1" w:rsidRDefault="004835A5" w:rsidP="004835A5">
                <w:pPr>
                  <w:jc w:val="center"/>
                </w:pPr>
                <w:r w:rsidRPr="00AE61F1">
                  <w:t>Financial liabilities / shareholders’ equity</w:t>
                </w:r>
              </w:p>
            </w:tc>
            <w:tc>
              <w:tcPr>
                <w:tcW w:w="0" w:type="auto"/>
                <w:vAlign w:val="center"/>
                <w:hideMark/>
              </w:tcPr>
              <w:p w14:paraId="21B694AB" w14:textId="77777777" w:rsidR="004835A5" w:rsidRPr="00AE61F1" w:rsidRDefault="004835A5" w:rsidP="004835A5">
                <w:pPr>
                  <w:jc w:val="center"/>
                </w:pPr>
                <w:r w:rsidRPr="00AE61F1">
                  <w:t>1.60x</w:t>
                </w:r>
              </w:p>
            </w:tc>
            <w:tc>
              <w:tcPr>
                <w:tcW w:w="0" w:type="auto"/>
                <w:vAlign w:val="center"/>
                <w:hideMark/>
              </w:tcPr>
              <w:p w14:paraId="74721E7D" w14:textId="77777777" w:rsidR="004835A5" w:rsidRPr="00AE61F1" w:rsidRDefault="004835A5" w:rsidP="004835A5">
                <w:pPr>
                  <w:jc w:val="center"/>
                </w:pPr>
                <w:r w:rsidRPr="00AE61F1">
                  <w:t>1.64x</w:t>
                </w:r>
              </w:p>
            </w:tc>
          </w:tr>
          <w:tr w:rsidR="004835A5" w:rsidRPr="00AE61F1" w14:paraId="35576323" w14:textId="77777777" w:rsidTr="004835A5">
            <w:trPr>
              <w:tblCellSpacing w:w="15" w:type="dxa"/>
            </w:trPr>
            <w:tc>
              <w:tcPr>
                <w:tcW w:w="2174" w:type="dxa"/>
                <w:vAlign w:val="center"/>
                <w:hideMark/>
              </w:tcPr>
              <w:p w14:paraId="384A1718" w14:textId="77777777" w:rsidR="004835A5" w:rsidRPr="00AE61F1" w:rsidRDefault="004835A5" w:rsidP="004835A5">
                <w:pPr>
                  <w:jc w:val="center"/>
                </w:pPr>
                <w:r w:rsidRPr="00AE61F1">
                  <w:t>Debt to capital</w:t>
                </w:r>
              </w:p>
            </w:tc>
            <w:tc>
              <w:tcPr>
                <w:tcW w:w="0" w:type="auto"/>
                <w:vAlign w:val="center"/>
                <w:hideMark/>
              </w:tcPr>
              <w:p w14:paraId="0D64CBFD" w14:textId="77777777" w:rsidR="004835A5" w:rsidRPr="00AE61F1" w:rsidRDefault="004835A5" w:rsidP="004835A5">
                <w:pPr>
                  <w:jc w:val="center"/>
                </w:pPr>
                <w:r w:rsidRPr="00AE61F1">
                  <w:t>Financial liabilities / (financial liabilities + shareholders’ equity)</w:t>
                </w:r>
              </w:p>
            </w:tc>
            <w:tc>
              <w:tcPr>
                <w:tcW w:w="0" w:type="auto"/>
                <w:vAlign w:val="center"/>
                <w:hideMark/>
              </w:tcPr>
              <w:p w14:paraId="6EF25B56" w14:textId="77777777" w:rsidR="004835A5" w:rsidRPr="00AE61F1" w:rsidRDefault="004835A5" w:rsidP="004835A5">
                <w:pPr>
                  <w:jc w:val="center"/>
                </w:pPr>
                <w:r w:rsidRPr="00AE61F1">
                  <w:t>61.6%</w:t>
                </w:r>
              </w:p>
            </w:tc>
            <w:tc>
              <w:tcPr>
                <w:tcW w:w="0" w:type="auto"/>
                <w:vAlign w:val="center"/>
                <w:hideMark/>
              </w:tcPr>
              <w:p w14:paraId="62A6D572" w14:textId="77777777" w:rsidR="004835A5" w:rsidRPr="00AE61F1" w:rsidRDefault="004835A5" w:rsidP="004835A5">
                <w:pPr>
                  <w:jc w:val="center"/>
                </w:pPr>
                <w:r w:rsidRPr="00AE61F1">
                  <w:t>62.1%</w:t>
                </w:r>
              </w:p>
            </w:tc>
          </w:tr>
          <w:tr w:rsidR="004835A5" w:rsidRPr="00AE61F1" w14:paraId="1E3F437F" w14:textId="77777777" w:rsidTr="004835A5">
            <w:trPr>
              <w:tblCellSpacing w:w="15" w:type="dxa"/>
            </w:trPr>
            <w:tc>
              <w:tcPr>
                <w:tcW w:w="2174" w:type="dxa"/>
                <w:vAlign w:val="center"/>
                <w:hideMark/>
              </w:tcPr>
              <w:p w14:paraId="7482FEB1" w14:textId="77777777" w:rsidR="004835A5" w:rsidRPr="00AE61F1" w:rsidRDefault="004835A5" w:rsidP="004835A5">
                <w:pPr>
                  <w:jc w:val="center"/>
                </w:pPr>
                <w:r w:rsidRPr="00AE61F1">
                  <w:t>Interest cover</w:t>
                </w:r>
              </w:p>
            </w:tc>
            <w:tc>
              <w:tcPr>
                <w:tcW w:w="0" w:type="auto"/>
                <w:vAlign w:val="center"/>
                <w:hideMark/>
              </w:tcPr>
              <w:p w14:paraId="6071C95B" w14:textId="77777777" w:rsidR="004835A5" w:rsidRPr="00AE61F1" w:rsidRDefault="004835A5" w:rsidP="004835A5">
                <w:pPr>
                  <w:jc w:val="center"/>
                </w:pPr>
                <w:r w:rsidRPr="00AE61F1">
                  <w:t>Operating profit / net finance costs</w:t>
                </w:r>
              </w:p>
            </w:tc>
            <w:tc>
              <w:tcPr>
                <w:tcW w:w="0" w:type="auto"/>
                <w:vAlign w:val="center"/>
                <w:hideMark/>
              </w:tcPr>
              <w:p w14:paraId="0846880C" w14:textId="77777777" w:rsidR="004835A5" w:rsidRPr="00AE61F1" w:rsidRDefault="004835A5" w:rsidP="004835A5">
                <w:pPr>
                  <w:jc w:val="center"/>
                </w:pPr>
                <w:r w:rsidRPr="00AE61F1">
                  <w:t>15.6x</w:t>
                </w:r>
              </w:p>
            </w:tc>
            <w:tc>
              <w:tcPr>
                <w:tcW w:w="0" w:type="auto"/>
                <w:vAlign w:val="center"/>
                <w:hideMark/>
              </w:tcPr>
              <w:p w14:paraId="14DDDBA0" w14:textId="77777777" w:rsidR="004835A5" w:rsidRPr="00AE61F1" w:rsidRDefault="004835A5" w:rsidP="004835A5">
                <w:pPr>
                  <w:jc w:val="center"/>
                </w:pPr>
                <w:r w:rsidRPr="00AE61F1">
                  <w:t>20.1x</w:t>
                </w:r>
              </w:p>
            </w:tc>
          </w:tr>
          <w:tr w:rsidR="004835A5" w:rsidRPr="00AE61F1" w14:paraId="0C1A9CDD" w14:textId="77777777" w:rsidTr="004835A5">
            <w:trPr>
              <w:tblCellSpacing w:w="15" w:type="dxa"/>
            </w:trPr>
            <w:tc>
              <w:tcPr>
                <w:tcW w:w="2174" w:type="dxa"/>
                <w:vAlign w:val="center"/>
                <w:hideMark/>
              </w:tcPr>
              <w:p w14:paraId="7C0D25B7" w14:textId="77777777" w:rsidR="004835A5" w:rsidRPr="00AE61F1" w:rsidRDefault="004835A5" w:rsidP="004835A5">
                <w:pPr>
                  <w:jc w:val="center"/>
                </w:pPr>
                <w:r w:rsidRPr="00AE61F1">
                  <w:t>Asset turnover</w:t>
                </w:r>
              </w:p>
            </w:tc>
            <w:tc>
              <w:tcPr>
                <w:tcW w:w="0" w:type="auto"/>
                <w:vAlign w:val="center"/>
                <w:hideMark/>
              </w:tcPr>
              <w:p w14:paraId="1F6CE1BB" w14:textId="77777777" w:rsidR="004835A5" w:rsidRPr="00AE61F1" w:rsidRDefault="004835A5" w:rsidP="004835A5">
                <w:pPr>
                  <w:jc w:val="center"/>
                </w:pPr>
                <w:r w:rsidRPr="00AE61F1">
                  <w:t>Turnover / average total assets</w:t>
                </w:r>
              </w:p>
            </w:tc>
            <w:tc>
              <w:tcPr>
                <w:tcW w:w="0" w:type="auto"/>
                <w:vAlign w:val="center"/>
                <w:hideMark/>
              </w:tcPr>
              <w:p w14:paraId="2F1C8D57" w14:textId="77777777" w:rsidR="004835A5" w:rsidRPr="00AE61F1" w:rsidRDefault="004835A5" w:rsidP="004835A5">
                <w:pPr>
                  <w:jc w:val="center"/>
                </w:pPr>
                <w:r w:rsidRPr="00AE61F1">
                  <w:t>0.78x</w:t>
                </w:r>
              </w:p>
            </w:tc>
            <w:tc>
              <w:tcPr>
                <w:tcW w:w="0" w:type="auto"/>
                <w:vAlign w:val="center"/>
                <w:hideMark/>
              </w:tcPr>
              <w:p w14:paraId="7567043D" w14:textId="77777777" w:rsidR="004835A5" w:rsidRPr="00AE61F1" w:rsidRDefault="004835A5" w:rsidP="004835A5">
                <w:pPr>
                  <w:jc w:val="center"/>
                </w:pPr>
                <w:r w:rsidRPr="00AE61F1">
                  <w:t>0.78x</w:t>
                </w:r>
              </w:p>
            </w:tc>
          </w:tr>
          <w:tr w:rsidR="004835A5" w:rsidRPr="00AE61F1" w14:paraId="213AA8CB" w14:textId="77777777" w:rsidTr="004835A5">
            <w:trPr>
              <w:tblCellSpacing w:w="15" w:type="dxa"/>
            </w:trPr>
            <w:tc>
              <w:tcPr>
                <w:tcW w:w="2174" w:type="dxa"/>
                <w:vAlign w:val="center"/>
                <w:hideMark/>
              </w:tcPr>
              <w:p w14:paraId="740071C5" w14:textId="77777777" w:rsidR="004835A5" w:rsidRPr="00AE61F1" w:rsidRDefault="004835A5" w:rsidP="004835A5">
                <w:pPr>
                  <w:jc w:val="center"/>
                </w:pPr>
                <w:r w:rsidRPr="00AE61F1">
                  <w:t>Inventory days*</w:t>
                </w:r>
              </w:p>
            </w:tc>
            <w:tc>
              <w:tcPr>
                <w:tcW w:w="0" w:type="auto"/>
                <w:vAlign w:val="center"/>
                <w:hideMark/>
              </w:tcPr>
              <w:p w14:paraId="50198834" w14:textId="77777777" w:rsidR="004835A5" w:rsidRPr="00AE61F1" w:rsidRDefault="004835A5" w:rsidP="004835A5">
                <w:pPr>
                  <w:jc w:val="center"/>
                </w:pPr>
                <w:r w:rsidRPr="00AE61F1">
                  <w:t>Inventories / turnover × 365</w:t>
                </w:r>
              </w:p>
            </w:tc>
            <w:tc>
              <w:tcPr>
                <w:tcW w:w="0" w:type="auto"/>
                <w:vAlign w:val="center"/>
                <w:hideMark/>
              </w:tcPr>
              <w:p w14:paraId="7E8B139F" w14:textId="77777777" w:rsidR="004835A5" w:rsidRPr="00AE61F1" w:rsidRDefault="004835A5" w:rsidP="004835A5">
                <w:pPr>
                  <w:jc w:val="center"/>
                </w:pPr>
                <w:r w:rsidRPr="00AE61F1">
                  <w:t>31.1 days</w:t>
                </w:r>
              </w:p>
            </w:tc>
            <w:tc>
              <w:tcPr>
                <w:tcW w:w="0" w:type="auto"/>
                <w:vAlign w:val="center"/>
                <w:hideMark/>
              </w:tcPr>
              <w:p w14:paraId="387CA7B5" w14:textId="77777777" w:rsidR="004835A5" w:rsidRPr="00AE61F1" w:rsidRDefault="004835A5" w:rsidP="004835A5">
                <w:pPr>
                  <w:jc w:val="center"/>
                </w:pPr>
                <w:r w:rsidRPr="00AE61F1">
                  <w:t>31.3 days</w:t>
                </w:r>
              </w:p>
            </w:tc>
          </w:tr>
          <w:tr w:rsidR="004835A5" w:rsidRPr="00AE61F1" w14:paraId="7F34987B" w14:textId="77777777" w:rsidTr="004835A5">
            <w:trPr>
              <w:tblCellSpacing w:w="15" w:type="dxa"/>
            </w:trPr>
            <w:tc>
              <w:tcPr>
                <w:tcW w:w="2174" w:type="dxa"/>
                <w:vAlign w:val="center"/>
                <w:hideMark/>
              </w:tcPr>
              <w:p w14:paraId="626A25A6" w14:textId="77777777" w:rsidR="004835A5" w:rsidRPr="00AE61F1" w:rsidRDefault="004835A5" w:rsidP="004835A5">
                <w:pPr>
                  <w:jc w:val="center"/>
                </w:pPr>
                <w:r w:rsidRPr="00AE61F1">
                  <w:t>Receivable days*</w:t>
                </w:r>
              </w:p>
            </w:tc>
            <w:tc>
              <w:tcPr>
                <w:tcW w:w="0" w:type="auto"/>
                <w:vAlign w:val="center"/>
                <w:hideMark/>
              </w:tcPr>
              <w:p w14:paraId="1D332A19" w14:textId="77777777" w:rsidR="004835A5" w:rsidRPr="00AE61F1" w:rsidRDefault="004835A5" w:rsidP="004835A5">
                <w:pPr>
                  <w:jc w:val="center"/>
                </w:pPr>
                <w:r w:rsidRPr="00AE61F1">
                  <w:t>Trade and other current receivables / turnover × 365</w:t>
                </w:r>
              </w:p>
            </w:tc>
            <w:tc>
              <w:tcPr>
                <w:tcW w:w="0" w:type="auto"/>
                <w:vAlign w:val="center"/>
                <w:hideMark/>
              </w:tcPr>
              <w:p w14:paraId="4EE2BDEC" w14:textId="77777777" w:rsidR="004835A5" w:rsidRPr="00AE61F1" w:rsidRDefault="004835A5" w:rsidP="004835A5">
                <w:pPr>
                  <w:jc w:val="center"/>
                </w:pPr>
                <w:r w:rsidRPr="00AE61F1">
                  <w:t>36.1 days</w:t>
                </w:r>
              </w:p>
            </w:tc>
            <w:tc>
              <w:tcPr>
                <w:tcW w:w="0" w:type="auto"/>
                <w:vAlign w:val="center"/>
                <w:hideMark/>
              </w:tcPr>
              <w:p w14:paraId="6B9CF374" w14:textId="77777777" w:rsidR="004835A5" w:rsidRPr="00AE61F1" w:rsidRDefault="004835A5" w:rsidP="004835A5">
                <w:pPr>
                  <w:jc w:val="center"/>
                </w:pPr>
                <w:r w:rsidRPr="00AE61F1">
                  <w:t>35.4 days</w:t>
                </w:r>
              </w:p>
            </w:tc>
          </w:tr>
          <w:tr w:rsidR="004835A5" w:rsidRPr="00AE61F1" w14:paraId="2DF68C77" w14:textId="77777777" w:rsidTr="004835A5">
            <w:trPr>
              <w:tblCellSpacing w:w="15" w:type="dxa"/>
            </w:trPr>
            <w:tc>
              <w:tcPr>
                <w:tcW w:w="2174" w:type="dxa"/>
                <w:vAlign w:val="center"/>
                <w:hideMark/>
              </w:tcPr>
              <w:p w14:paraId="1FCAA3E4" w14:textId="77777777" w:rsidR="004835A5" w:rsidRPr="00AE61F1" w:rsidRDefault="004835A5" w:rsidP="004835A5">
                <w:pPr>
                  <w:jc w:val="center"/>
                </w:pPr>
                <w:r w:rsidRPr="00AE61F1">
                  <w:t>Diluted EPS</w:t>
                </w:r>
              </w:p>
            </w:tc>
            <w:tc>
              <w:tcPr>
                <w:tcW w:w="0" w:type="auto"/>
                <w:vAlign w:val="center"/>
                <w:hideMark/>
              </w:tcPr>
              <w:p w14:paraId="3BFE2963" w14:textId="77777777" w:rsidR="004835A5" w:rsidRPr="00AE61F1" w:rsidRDefault="004835A5" w:rsidP="004835A5">
                <w:pPr>
                  <w:jc w:val="center"/>
                </w:pPr>
                <w:r w:rsidRPr="00AE61F1">
                  <w:t>Reported diluted EPS</w:t>
                </w:r>
              </w:p>
            </w:tc>
            <w:tc>
              <w:tcPr>
                <w:tcW w:w="0" w:type="auto"/>
                <w:vAlign w:val="center"/>
                <w:hideMark/>
              </w:tcPr>
              <w:p w14:paraId="2086805A" w14:textId="77777777" w:rsidR="004835A5" w:rsidRPr="00AE61F1" w:rsidRDefault="004835A5" w:rsidP="004835A5">
                <w:pPr>
                  <w:jc w:val="center"/>
                </w:pPr>
                <w:r w:rsidRPr="00AE61F1">
                  <w:t>€2.29</w:t>
                </w:r>
              </w:p>
            </w:tc>
            <w:tc>
              <w:tcPr>
                <w:tcW w:w="0" w:type="auto"/>
                <w:vAlign w:val="center"/>
                <w:hideMark/>
              </w:tcPr>
              <w:p w14:paraId="62F6B7D0" w14:textId="77777777" w:rsidR="004835A5" w:rsidRPr="00AE61F1" w:rsidRDefault="004835A5" w:rsidP="004835A5">
                <w:pPr>
                  <w:jc w:val="center"/>
                </w:pPr>
                <w:r w:rsidRPr="00AE61F1">
                  <w:t>€2.56</w:t>
                </w:r>
              </w:p>
            </w:tc>
          </w:tr>
          <w:tr w:rsidR="004835A5" w:rsidRPr="00AE61F1" w14:paraId="662E8C4C" w14:textId="77777777" w:rsidTr="004835A5">
            <w:trPr>
              <w:tblCellSpacing w:w="15" w:type="dxa"/>
            </w:trPr>
            <w:tc>
              <w:tcPr>
                <w:tcW w:w="2174" w:type="dxa"/>
                <w:vAlign w:val="center"/>
                <w:hideMark/>
              </w:tcPr>
              <w:p w14:paraId="66778C44" w14:textId="77777777" w:rsidR="004835A5" w:rsidRPr="00AE61F1" w:rsidRDefault="004835A5" w:rsidP="004835A5">
                <w:pPr>
                  <w:jc w:val="center"/>
                </w:pPr>
                <w:r w:rsidRPr="00AE61F1">
                  <w:t>Underlying EPS</w:t>
                </w:r>
              </w:p>
            </w:tc>
            <w:tc>
              <w:tcPr>
                <w:tcW w:w="0" w:type="auto"/>
                <w:vAlign w:val="center"/>
                <w:hideMark/>
              </w:tcPr>
              <w:p w14:paraId="134D0125" w14:textId="77777777" w:rsidR="004835A5" w:rsidRPr="00AE61F1" w:rsidRDefault="004835A5" w:rsidP="004835A5">
                <w:pPr>
                  <w:jc w:val="center"/>
                </w:pPr>
                <w:r w:rsidRPr="00AE61F1">
                  <w:t>Reported underlying diluted EPS</w:t>
                </w:r>
              </w:p>
            </w:tc>
            <w:tc>
              <w:tcPr>
                <w:tcW w:w="0" w:type="auto"/>
                <w:vAlign w:val="center"/>
                <w:hideMark/>
              </w:tcPr>
              <w:p w14:paraId="0C31A643" w14:textId="77777777" w:rsidR="004835A5" w:rsidRPr="00AE61F1" w:rsidRDefault="004835A5" w:rsidP="004835A5">
                <w:pPr>
                  <w:jc w:val="center"/>
                </w:pPr>
                <w:r w:rsidRPr="00AE61F1">
                  <w:t>€2.98</w:t>
                </w:r>
              </w:p>
            </w:tc>
            <w:tc>
              <w:tcPr>
                <w:tcW w:w="0" w:type="auto"/>
                <w:vAlign w:val="center"/>
                <w:hideMark/>
              </w:tcPr>
              <w:p w14:paraId="67C40632" w14:textId="77777777" w:rsidR="004835A5" w:rsidRPr="00AE61F1" w:rsidRDefault="004835A5" w:rsidP="004835A5">
                <w:pPr>
                  <w:jc w:val="center"/>
                </w:pPr>
                <w:r w:rsidRPr="00AE61F1">
                  <w:t>€2.60</w:t>
                </w:r>
              </w:p>
            </w:tc>
          </w:tr>
          <w:tr w:rsidR="004835A5" w:rsidRPr="00AE61F1" w14:paraId="3812B412" w14:textId="77777777" w:rsidTr="004835A5">
            <w:trPr>
              <w:tblCellSpacing w:w="15" w:type="dxa"/>
            </w:trPr>
            <w:tc>
              <w:tcPr>
                <w:tcW w:w="2174" w:type="dxa"/>
                <w:vAlign w:val="center"/>
                <w:hideMark/>
              </w:tcPr>
              <w:p w14:paraId="22C91B2D" w14:textId="77777777" w:rsidR="004835A5" w:rsidRPr="00AE61F1" w:rsidRDefault="004835A5" w:rsidP="004835A5">
                <w:pPr>
                  <w:jc w:val="center"/>
                </w:pPr>
                <w:r w:rsidRPr="00AE61F1">
                  <w:t>Dividend cover</w:t>
                </w:r>
              </w:p>
            </w:tc>
            <w:tc>
              <w:tcPr>
                <w:tcW w:w="0" w:type="auto"/>
                <w:vAlign w:val="center"/>
                <w:hideMark/>
              </w:tcPr>
              <w:p w14:paraId="18243F7A" w14:textId="77777777" w:rsidR="004835A5" w:rsidRPr="00AE61F1" w:rsidRDefault="004835A5" w:rsidP="004835A5">
                <w:pPr>
                  <w:jc w:val="center"/>
                </w:pPr>
                <w:r w:rsidRPr="00AE61F1">
                  <w:t>Underlying EPS / dividend per share</w:t>
                </w:r>
              </w:p>
            </w:tc>
            <w:tc>
              <w:tcPr>
                <w:tcW w:w="0" w:type="auto"/>
                <w:vAlign w:val="center"/>
                <w:hideMark/>
              </w:tcPr>
              <w:p w14:paraId="41A3F2A7" w14:textId="77777777" w:rsidR="004835A5" w:rsidRPr="00AE61F1" w:rsidRDefault="004835A5" w:rsidP="004835A5">
                <w:pPr>
                  <w:jc w:val="center"/>
                </w:pPr>
                <w:r w:rsidRPr="00AE61F1">
                  <w:t>1.69x</w:t>
                </w:r>
              </w:p>
            </w:tc>
            <w:tc>
              <w:tcPr>
                <w:tcW w:w="0" w:type="auto"/>
                <w:vAlign w:val="center"/>
                <w:hideMark/>
              </w:tcPr>
              <w:p w14:paraId="49A0C782" w14:textId="77777777" w:rsidR="004835A5" w:rsidRPr="00AE61F1" w:rsidRDefault="004835A5" w:rsidP="004835A5">
                <w:pPr>
                  <w:jc w:val="center"/>
                </w:pPr>
                <w:r w:rsidRPr="00AE61F1">
                  <w:t>1.52x</w:t>
                </w:r>
              </w:p>
            </w:tc>
          </w:tr>
          <w:tr w:rsidR="004835A5" w:rsidRPr="00AE61F1" w14:paraId="135C68C4" w14:textId="77777777" w:rsidTr="004835A5">
            <w:trPr>
              <w:tblCellSpacing w:w="15" w:type="dxa"/>
            </w:trPr>
            <w:tc>
              <w:tcPr>
                <w:tcW w:w="2174" w:type="dxa"/>
                <w:vAlign w:val="center"/>
                <w:hideMark/>
              </w:tcPr>
              <w:p w14:paraId="4092FB51" w14:textId="77777777" w:rsidR="004835A5" w:rsidRPr="00AE61F1" w:rsidRDefault="004835A5" w:rsidP="004835A5">
                <w:pPr>
                  <w:jc w:val="center"/>
                </w:pPr>
                <w:r w:rsidRPr="00AE61F1">
                  <w:t>Dividend payout ratio</w:t>
                </w:r>
              </w:p>
            </w:tc>
            <w:tc>
              <w:tcPr>
                <w:tcW w:w="0" w:type="auto"/>
                <w:vAlign w:val="center"/>
                <w:hideMark/>
              </w:tcPr>
              <w:p w14:paraId="61C03807" w14:textId="77777777" w:rsidR="004835A5" w:rsidRPr="00AE61F1" w:rsidRDefault="004835A5" w:rsidP="004835A5">
                <w:pPr>
                  <w:jc w:val="center"/>
                </w:pPr>
                <w:r w:rsidRPr="00AE61F1">
                  <w:t>Dividend per share / underlying EPS</w:t>
                </w:r>
              </w:p>
            </w:tc>
            <w:tc>
              <w:tcPr>
                <w:tcW w:w="0" w:type="auto"/>
                <w:vAlign w:val="center"/>
                <w:hideMark/>
              </w:tcPr>
              <w:p w14:paraId="26324A13" w14:textId="77777777" w:rsidR="004835A5" w:rsidRPr="00AE61F1" w:rsidRDefault="004835A5" w:rsidP="004835A5">
                <w:pPr>
                  <w:jc w:val="center"/>
                </w:pPr>
                <w:r w:rsidRPr="00AE61F1">
                  <w:t>59.0%</w:t>
                </w:r>
              </w:p>
            </w:tc>
            <w:tc>
              <w:tcPr>
                <w:tcW w:w="0" w:type="auto"/>
                <w:vAlign w:val="center"/>
                <w:hideMark/>
              </w:tcPr>
              <w:p w14:paraId="72507319" w14:textId="77777777" w:rsidR="004835A5" w:rsidRPr="00AE61F1" w:rsidRDefault="004835A5" w:rsidP="004835A5">
                <w:pPr>
                  <w:jc w:val="center"/>
                </w:pPr>
                <w:r w:rsidRPr="00AE61F1">
                  <w:t>65.7%</w:t>
                </w:r>
              </w:p>
            </w:tc>
          </w:tr>
        </w:tbl>
        <w:p w14:paraId="3B04C8DB" w14:textId="348766B4" w:rsidR="00104A0B" w:rsidRDefault="00104A0B" w:rsidP="004835A5"/>
        <w:p w14:paraId="314B5CCC" w14:textId="77777777" w:rsidR="001F5B4C" w:rsidRDefault="001F5B4C" w:rsidP="004835A5"/>
        <w:p w14:paraId="62A6485A" w14:textId="77777777" w:rsidR="001F5B4C" w:rsidRDefault="001F5B4C" w:rsidP="004835A5"/>
        <w:p w14:paraId="4C4F9DE4" w14:textId="77777777" w:rsidR="001F5B4C" w:rsidRPr="00AE61F1" w:rsidRDefault="001F5B4C" w:rsidP="004835A5"/>
        <w:p w14:paraId="55474649" w14:textId="331A9370" w:rsidR="004835A5" w:rsidRPr="00AE61F1" w:rsidRDefault="004835A5" w:rsidP="004835A5">
          <w:r w:rsidRPr="00AE61F1">
            <w:lastRenderedPageBreak/>
            <w:t>The ratio table shows clearly that the dominant 2024 story was not top-line acceleration alone, but quality improvement in margins and capital returns under a still-tight liquidity profile. Turnover rose to €60.761 billion, current assets increased to €19.194 billion, current liabilities rose to €25.234 billion, shareholders’ equity increased to €19.990 billion, and diluted EPS fell to €2.29 while underlying EPS rose to €2.98. Dividend benchmarking also indicates a more conservative and therefore more sustainable distribution profile in 2024: the euro dividend per share increased, but underlying earnings grew faster, lifting dividend cover from 1.52x to 1.69x and lowering the payout ratio from 65.7% to 59.0%</w:t>
          </w:r>
          <w:r w:rsidR="002176AD">
            <w:t xml:space="preserve"> </w:t>
          </w:r>
          <w:sdt>
            <w:sdtPr>
              <w:id w:val="1600071943"/>
              <w:citation/>
            </w:sdtPr>
            <w:sdtContent>
              <w:r w:rsidR="00B4291B">
                <w:fldChar w:fldCharType="begin"/>
              </w:r>
              <w:r w:rsidR="00B4291B">
                <w:rPr>
                  <w:lang w:val="en-US"/>
                </w:rPr>
                <w:instrText xml:space="preserve"> CITATION Uni26 \l 1033  \m Uni253 \m Uni242</w:instrText>
              </w:r>
              <w:r w:rsidR="00B4291B">
                <w:fldChar w:fldCharType="separate"/>
              </w:r>
              <w:r w:rsidR="00D6234B" w:rsidRPr="00D6234B">
                <w:rPr>
                  <w:noProof/>
                  <w:lang w:val="en-US"/>
                </w:rPr>
                <w:t>(Unilever PLC, 2026; Unilever PLC, 2025; Unilever PLC, 2024)</w:t>
              </w:r>
              <w:r w:rsidR="00B4291B">
                <w:fldChar w:fldCharType="end"/>
              </w:r>
            </w:sdtContent>
          </w:sdt>
          <w:r w:rsidR="00EC07E0" w:rsidRPr="00AE61F1">
            <w:t>.</w:t>
          </w:r>
        </w:p>
        <w:p w14:paraId="73863405" w14:textId="77777777" w:rsidR="004835A5" w:rsidRPr="00AE61F1" w:rsidRDefault="004835A5" w:rsidP="004835A5"/>
        <w:p w14:paraId="27084872" w14:textId="2604A3A2" w:rsidR="0071417F" w:rsidRPr="00AE61F1" w:rsidRDefault="0071417F" w:rsidP="0071417F">
          <w:pPr>
            <w:pStyle w:val="Heading2"/>
            <w:numPr>
              <w:ilvl w:val="1"/>
              <w:numId w:val="1"/>
            </w:numPr>
          </w:pPr>
          <w:bookmarkStart w:id="5" w:name="_Toc226410212"/>
          <w:r w:rsidRPr="00AE61F1">
            <w:t>Profitability Ratio Analysis and Benchmarking</w:t>
          </w:r>
          <w:bookmarkEnd w:id="5"/>
        </w:p>
        <w:p w14:paraId="5F164A52" w14:textId="492A01A1" w:rsidR="00171B11" w:rsidRPr="00AE61F1" w:rsidRDefault="00ED3261" w:rsidP="00171B11">
          <w:r w:rsidRPr="00AE61F1">
            <w:t>Profitability analysis shows a mixed statutory picture but a strong underlying operational one</w:t>
          </w:r>
          <w:r w:rsidR="002659B8">
            <w:t xml:space="preserve"> </w:t>
          </w:r>
          <w:sdt>
            <w:sdtPr>
              <w:id w:val="788168621"/>
              <w:citation/>
            </w:sdtPr>
            <w:sdtContent>
              <w:r w:rsidR="002659B8">
                <w:fldChar w:fldCharType="begin"/>
              </w:r>
              <w:r w:rsidR="002659B8">
                <w:rPr>
                  <w:lang w:val="en-US"/>
                </w:rPr>
                <w:instrText xml:space="preserve"> CITATION Uni253 \l 1033 </w:instrText>
              </w:r>
              <w:r w:rsidR="002659B8">
                <w:fldChar w:fldCharType="separate"/>
              </w:r>
              <w:r w:rsidR="00D6234B" w:rsidRPr="00D6234B">
                <w:rPr>
                  <w:noProof/>
                  <w:lang w:val="en-US"/>
                </w:rPr>
                <w:t>(Unilever PLC, 2025)</w:t>
              </w:r>
              <w:r w:rsidR="002659B8">
                <w:fldChar w:fldCharType="end"/>
              </w:r>
            </w:sdtContent>
          </w:sdt>
          <w:r w:rsidRPr="00AE61F1">
            <w:t>. Gross margin improved materially from 42.2% in 2023 to 45.0% in 2024, a rise of 280 basis points, reflecting easing input-cost pressure, productivity gains and a more favourable operating mix</w:t>
          </w:r>
          <w:r w:rsidR="00B63720">
            <w:t xml:space="preserve"> </w:t>
          </w:r>
          <w:sdt>
            <w:sdtPr>
              <w:id w:val="-1915154598"/>
              <w:citation/>
            </w:sdtPr>
            <w:sdtContent>
              <w:r w:rsidR="007C0037">
                <w:fldChar w:fldCharType="begin"/>
              </w:r>
              <w:r w:rsidR="00BD18DB">
                <w:rPr>
                  <w:lang w:val="en-US"/>
                </w:rPr>
                <w:instrText xml:space="preserve">CITATION Uni242 \m Ric24 \l 1033 </w:instrText>
              </w:r>
              <w:r w:rsidR="007C0037">
                <w:fldChar w:fldCharType="separate"/>
              </w:r>
              <w:r w:rsidR="00BD18DB" w:rsidRPr="00BD18DB">
                <w:rPr>
                  <w:noProof/>
                  <w:lang w:val="en-US"/>
                </w:rPr>
                <w:t>(Unilever PLC, 2024; Jessica DiNapoli, Svea Herbst-Bayliss, Siddharth Cavale and Abigail Summerville, 2025)</w:t>
              </w:r>
              <w:r w:rsidR="007C0037">
                <w:fldChar w:fldCharType="end"/>
              </w:r>
            </w:sdtContent>
          </w:sdt>
          <w:r w:rsidRPr="00AE61F1">
            <w:t>. Underlying operating margin also increased sharply from 16.7% to 18.4%, confirming that the core trading business became more efficient and that a larger proportion of sales translated into underlying operating profit</w:t>
          </w:r>
          <w:r w:rsidR="00E00270" w:rsidRPr="00AE61F1">
            <w:t xml:space="preserve"> </w:t>
          </w:r>
          <w:sdt>
            <w:sdtPr>
              <w:id w:val="448510997"/>
              <w:citation/>
            </w:sdtPr>
            <w:sdtContent>
              <w:r w:rsidR="007D7E80">
                <w:fldChar w:fldCharType="begin"/>
              </w:r>
              <w:r w:rsidR="007D7E80">
                <w:rPr>
                  <w:lang w:val="en-US"/>
                </w:rPr>
                <w:instrText xml:space="preserve"> CITATION Uni242 \l 1033 </w:instrText>
              </w:r>
              <w:r w:rsidR="004472EB">
                <w:rPr>
                  <w:lang w:val="en-US"/>
                </w:rPr>
                <w:instrText xml:space="preserve"> \m Joh08</w:instrText>
              </w:r>
              <w:r w:rsidR="007D7E80">
                <w:fldChar w:fldCharType="separate"/>
              </w:r>
              <w:r w:rsidR="00D6234B" w:rsidRPr="00D6234B">
                <w:rPr>
                  <w:noProof/>
                  <w:lang w:val="en-US"/>
                </w:rPr>
                <w:t>(Unilever PLC, 2024; John Wild, Krishnamurthy R. Subramanyam, 2008)</w:t>
              </w:r>
              <w:r w:rsidR="007D7E80">
                <w:fldChar w:fldCharType="end"/>
              </w:r>
            </w:sdtContent>
          </w:sdt>
          <w:r w:rsidRPr="00AE61F1">
            <w:t xml:space="preserve">. This is a strong benchmark outcome because margin expansion in consumer goods often indicates real pricing power, better </w:t>
          </w:r>
          <w:r w:rsidR="006A6E83" w:rsidRPr="00AE61F1">
            <w:t>purchasing</w:t>
          </w:r>
          <w:r w:rsidRPr="00AE61F1">
            <w:t xml:space="preserve"> discipline and improved brand support efficiency</w:t>
          </w:r>
          <w:r w:rsidR="00847A4D" w:rsidRPr="00AE61F1">
            <w:t xml:space="preserve"> </w:t>
          </w:r>
          <w:sdt>
            <w:sdtPr>
              <w:id w:val="-429503588"/>
              <w:citation/>
            </w:sdtPr>
            <w:sdtContent>
              <w:r w:rsidR="00926632">
                <w:fldChar w:fldCharType="begin"/>
              </w:r>
              <w:r w:rsidR="00BD18DB">
                <w:rPr>
                  <w:lang w:val="en-US"/>
                </w:rPr>
                <w:instrText xml:space="preserve">CITATION Ric24 \m Raj23 \m Joh08 \l 1033 </w:instrText>
              </w:r>
              <w:r w:rsidR="00926632">
                <w:fldChar w:fldCharType="separate"/>
              </w:r>
              <w:r w:rsidR="00BD18DB" w:rsidRPr="00BD18DB">
                <w:rPr>
                  <w:noProof/>
                  <w:lang w:val="en-US"/>
                </w:rPr>
                <w:t>( Jessica DiNapoli, Svea Herbst-Bayliss, Siddharth Cavale and Abigail Summerville, 2025; Rajesh Kumar Bhaskaran, Koyilathumpaday Sukumaran Sujit, and Kareem Abdul Waheed, 2023; John Wild, Krishnamurthy R. Subramanyam, 2008)</w:t>
              </w:r>
              <w:r w:rsidR="00926632">
                <w:fldChar w:fldCharType="end"/>
              </w:r>
            </w:sdtContent>
          </w:sdt>
          <w:r w:rsidRPr="00AE61F1">
            <w:t>. Unilever itself linked the improvement to gross margin expansion, stronger volume growth, and a higher level of brand and marketing investment, which reached 15.5% of turnover</w:t>
          </w:r>
          <w:r w:rsidR="00AC25F1" w:rsidRPr="00AE61F1">
            <w:t xml:space="preserve"> </w:t>
          </w:r>
          <w:sdt>
            <w:sdtPr>
              <w:id w:val="-915633250"/>
              <w:citation/>
            </w:sdtPr>
            <w:sdtContent>
              <w:r w:rsidR="00D03899">
                <w:fldChar w:fldCharType="begin"/>
              </w:r>
              <w:r w:rsidR="00D03899">
                <w:rPr>
                  <w:lang w:val="en-US"/>
                </w:rPr>
                <w:instrText xml:space="preserve"> CITATION Uni253 \l 1033 </w:instrText>
              </w:r>
              <w:r w:rsidR="00D03899">
                <w:fldChar w:fldCharType="separate"/>
              </w:r>
              <w:r w:rsidR="00D6234B" w:rsidRPr="00D6234B">
                <w:rPr>
                  <w:noProof/>
                  <w:lang w:val="en-US"/>
                </w:rPr>
                <w:t>(Unilever PLC, 2025)</w:t>
              </w:r>
              <w:r w:rsidR="00D03899">
                <w:fldChar w:fldCharType="end"/>
              </w:r>
            </w:sdtContent>
          </w:sdt>
          <w:r w:rsidRPr="00AE61F1">
            <w:t>.</w:t>
          </w:r>
        </w:p>
        <w:p w14:paraId="3631DDBA" w14:textId="4C5F9CE3" w:rsidR="0042479D" w:rsidRPr="00AE61F1" w:rsidRDefault="00DE7982" w:rsidP="00171B11">
          <w:r w:rsidRPr="00AE61F1">
            <w:rPr>
              <w:rStyle w:val="Strong"/>
              <w:b w:val="0"/>
              <w:bCs w:val="0"/>
            </w:rPr>
            <w:t>However, statutory operating margin fell from 16.4% to 15.5%, net profit margin declined from 12.0% to 10.5%, ROCE slipped from 18.9% to 17.2%, and ROE dropped from 34.9% to 30.2%.</w:t>
          </w:r>
          <w:r w:rsidR="00F77128">
            <w:rPr>
              <w:b/>
              <w:bCs/>
            </w:rPr>
            <w:t xml:space="preserve"> </w:t>
          </w:r>
          <w:r w:rsidRPr="00AE61F1">
            <w:rPr>
              <w:rStyle w:val="Strong"/>
              <w:b w:val="0"/>
              <w:bCs w:val="0"/>
            </w:rPr>
            <w:t>Those weaker benchmarks do not necessarily contradict the positive underlying picture; instead, they show the cost of restructuring, portfolio reshaping and disposal-related charges in 2024.</w:t>
          </w:r>
          <w:r w:rsidRPr="00AE61F1">
            <w:rPr>
              <w:b/>
              <w:bCs/>
            </w:rPr>
            <w:t xml:space="preserve"> </w:t>
          </w:r>
          <w:r w:rsidRPr="00AE61F1">
            <w:rPr>
              <w:rStyle w:val="Strong"/>
              <w:b w:val="0"/>
              <w:bCs w:val="0"/>
            </w:rPr>
            <w:t>In other words, the company’s core engine improved, but accounting profit was held back by transition costs and non-underlying items.</w:t>
          </w:r>
          <w:r w:rsidR="00B53DFD">
            <w:rPr>
              <w:rStyle w:val="Strong"/>
              <w:b w:val="0"/>
              <w:bCs w:val="0"/>
            </w:rPr>
            <w:t xml:space="preserve"> </w:t>
          </w:r>
          <w:r w:rsidRPr="00AE61F1">
            <w:rPr>
              <w:b/>
              <w:bCs/>
            </w:rPr>
            <w:t xml:space="preserve"> </w:t>
          </w:r>
          <w:sdt>
            <w:sdtPr>
              <w:rPr>
                <w:b/>
                <w:bCs/>
              </w:rPr>
              <w:id w:val="1636598804"/>
              <w:citation/>
            </w:sdtPr>
            <w:sdtContent>
              <w:r w:rsidR="004248BF">
                <w:rPr>
                  <w:b/>
                  <w:bCs/>
                </w:rPr>
                <w:fldChar w:fldCharType="begin"/>
              </w:r>
              <w:r w:rsidR="004248BF">
                <w:rPr>
                  <w:b/>
                  <w:bCs/>
                  <w:lang w:val="en-US"/>
                </w:rPr>
                <w:instrText xml:space="preserve"> CITATION Uni253 \l 1033 </w:instrText>
              </w:r>
              <w:r w:rsidR="009B4FB4">
                <w:rPr>
                  <w:b/>
                  <w:bCs/>
                  <w:lang w:val="en-US"/>
                </w:rPr>
                <w:instrText xml:space="preserve"> \m Uni242</w:instrText>
              </w:r>
              <w:r w:rsidR="00A86556">
                <w:rPr>
                  <w:b/>
                  <w:bCs/>
                  <w:lang w:val="en-US"/>
                </w:rPr>
                <w:instrText xml:space="preserve"> \m Ric241</w:instrText>
              </w:r>
              <w:r w:rsidR="004248BF">
                <w:rPr>
                  <w:b/>
                  <w:bCs/>
                </w:rPr>
                <w:fldChar w:fldCharType="separate"/>
              </w:r>
              <w:r w:rsidR="00D6234B" w:rsidRPr="00D6234B">
                <w:rPr>
                  <w:noProof/>
                  <w:lang w:val="en-US"/>
                </w:rPr>
                <w:t>(Unilever PLC, 2025; Unilever PLC, 2024; Richa Naidu; Eva Mathews, 2024)</w:t>
              </w:r>
              <w:r w:rsidR="004248BF">
                <w:rPr>
                  <w:b/>
                  <w:bCs/>
                </w:rPr>
                <w:fldChar w:fldCharType="end"/>
              </w:r>
            </w:sdtContent>
          </w:sdt>
          <w:r w:rsidR="009630C8">
            <w:rPr>
              <w:b/>
              <w:bCs/>
            </w:rPr>
            <w:t>.</w:t>
          </w:r>
          <w:r w:rsidRPr="00AE61F1">
            <w:rPr>
              <w:b/>
              <w:bCs/>
            </w:rPr>
            <w:t xml:space="preserve"> </w:t>
          </w:r>
          <w:r w:rsidRPr="00AE61F1">
            <w:rPr>
              <w:rStyle w:val="Strong"/>
              <w:b w:val="0"/>
              <w:bCs w:val="0"/>
            </w:rPr>
            <w:t>This is exactly why ratio users must benchmark statutory and underlying measures together rather than treating one set in isolation.</w:t>
          </w:r>
          <w:r w:rsidR="00846F4D">
            <w:rPr>
              <w:rStyle w:val="Strong"/>
              <w:b w:val="0"/>
              <w:bCs w:val="0"/>
            </w:rPr>
            <w:t xml:space="preserve"> </w:t>
          </w:r>
          <w:sdt>
            <w:sdtPr>
              <w:rPr>
                <w:rStyle w:val="Strong"/>
                <w:b w:val="0"/>
                <w:bCs w:val="0"/>
              </w:rPr>
              <w:id w:val="-614679837"/>
              <w:citation/>
            </w:sdtPr>
            <w:sdtContent>
              <w:r w:rsidR="00846F4D">
                <w:rPr>
                  <w:rStyle w:val="Strong"/>
                  <w:b w:val="0"/>
                  <w:bCs w:val="0"/>
                </w:rPr>
                <w:fldChar w:fldCharType="begin"/>
              </w:r>
              <w:r w:rsidR="00846F4D">
                <w:rPr>
                  <w:rStyle w:val="Strong"/>
                  <w:b w:val="0"/>
                  <w:bCs w:val="0"/>
                  <w:lang w:val="en-US"/>
                </w:rPr>
                <w:instrText xml:space="preserve"> CITATION Zha25 \l 1033 </w:instrText>
              </w:r>
              <w:r w:rsidR="005D6A08">
                <w:rPr>
                  <w:rStyle w:val="Strong"/>
                  <w:b w:val="0"/>
                  <w:bCs w:val="0"/>
                  <w:lang w:val="en-US"/>
                </w:rPr>
                <w:instrText xml:space="preserve"> \m Joh08</w:instrText>
              </w:r>
              <w:r w:rsidR="00846F4D">
                <w:rPr>
                  <w:rStyle w:val="Strong"/>
                  <w:b w:val="0"/>
                  <w:bCs w:val="0"/>
                </w:rPr>
                <w:fldChar w:fldCharType="separate"/>
              </w:r>
              <w:r w:rsidR="00D6234B" w:rsidRPr="00D6234B">
                <w:rPr>
                  <w:noProof/>
                  <w:lang w:val="en-US"/>
                </w:rPr>
                <w:t>(Zhang, Yi; Silva, Beatriz; Moreau, Élodie; T¯ane, Hinewera, 2025; John Wild, Krishnamurthy R. Subramanyam, 2008)</w:t>
              </w:r>
              <w:r w:rsidR="00846F4D">
                <w:rPr>
                  <w:rStyle w:val="Strong"/>
                  <w:b w:val="0"/>
                  <w:bCs w:val="0"/>
                </w:rPr>
                <w:fldChar w:fldCharType="end"/>
              </w:r>
            </w:sdtContent>
          </w:sdt>
          <w:r w:rsidR="009630C8">
            <w:rPr>
              <w:b/>
              <w:bCs/>
            </w:rPr>
            <w:t>.</w:t>
          </w:r>
          <w:r w:rsidRPr="00AE61F1">
            <w:rPr>
              <w:b/>
              <w:bCs/>
            </w:rPr>
            <w:t xml:space="preserve"> </w:t>
          </w:r>
          <w:r w:rsidRPr="00AE61F1">
            <w:rPr>
              <w:rStyle w:val="Strong"/>
              <w:b w:val="0"/>
              <w:bCs w:val="0"/>
            </w:rPr>
            <w:t>For directors, the important insight is that Unilever’s profitability quality improved even though reported earnings weakened, and that 2024 may therefore be better viewed as an investment-and-repositioning year than as a simple earnings setback.</w:t>
          </w:r>
          <w:r w:rsidRPr="00AE61F1">
            <w:t xml:space="preserve"> </w:t>
          </w:r>
          <w:sdt>
            <w:sdtPr>
              <w:id w:val="1508627837"/>
              <w:citation/>
            </w:sdtPr>
            <w:sdtContent>
              <w:r w:rsidR="0075369E">
                <w:fldChar w:fldCharType="begin"/>
              </w:r>
              <w:r w:rsidR="0075369E">
                <w:rPr>
                  <w:lang w:val="en-US"/>
                </w:rPr>
                <w:instrText xml:space="preserve"> CITATION Uni253 \l 1033 </w:instrText>
              </w:r>
              <w:r w:rsidR="002E1E61">
                <w:rPr>
                  <w:lang w:val="en-US"/>
                </w:rPr>
                <w:instrText xml:space="preserve"> \m Ric241</w:instrText>
              </w:r>
              <w:r w:rsidR="0075369E">
                <w:fldChar w:fldCharType="separate"/>
              </w:r>
              <w:r w:rsidR="00D6234B" w:rsidRPr="00D6234B">
                <w:rPr>
                  <w:noProof/>
                  <w:lang w:val="en-US"/>
                </w:rPr>
                <w:t>(Unilever PLC, 2025; Richa Naidu; Eva Mathews, 2024)</w:t>
              </w:r>
              <w:r w:rsidR="0075369E">
                <w:fldChar w:fldCharType="end"/>
              </w:r>
            </w:sdtContent>
          </w:sdt>
          <w:r w:rsidR="0064105B">
            <w:t>.</w:t>
          </w:r>
        </w:p>
        <w:p w14:paraId="69F6C393" w14:textId="77777777" w:rsidR="00FD308F" w:rsidRPr="00AE61F1" w:rsidRDefault="00FD308F">
          <w:pPr>
            <w:rPr>
              <w:b/>
              <w:bCs/>
            </w:rPr>
          </w:pPr>
          <w:r w:rsidRPr="00AE61F1">
            <w:rPr>
              <w:b/>
              <w:bCs/>
            </w:rPr>
            <w:br w:type="page"/>
          </w:r>
        </w:p>
        <w:p w14:paraId="441A3747" w14:textId="2E7ED4F7" w:rsidR="00D85CA4" w:rsidRPr="003454B2" w:rsidRDefault="00FD308F" w:rsidP="00171B11">
          <w:pPr>
            <w:rPr>
              <w:highlight w:val="yellow"/>
            </w:rPr>
          </w:pPr>
          <w:r w:rsidRPr="00AE61F1">
            <w:lastRenderedPageBreak/>
            <w:t>External benchmarking also supports this interpretation. Damodaran’s sector data indicates that broad consumer-product and branded-goods businesses often operate within mid-teen operating margin ranges, while peer commentary around Reckitt in 2025 shows investors remain highly sensitive to margin quality, leverage and growth visibility. Unilever’s 2024 underlying operating margin of 18.4% therefore compares favourably with many large consumer staples businesses and sits close to major peer profitability ranges, even though its statutory operating margin was lower</w:t>
          </w:r>
          <w:sdt>
            <w:sdtPr>
              <w:id w:val="755638352"/>
              <w:citation/>
            </w:sdtPr>
            <w:sdtEndPr>
              <w:rPr>
                <w:highlight w:val="yellow"/>
              </w:rPr>
            </w:sdtEndPr>
            <w:sdtContent>
              <w:r w:rsidR="00A014EE" w:rsidRPr="001F5B4C">
                <w:fldChar w:fldCharType="begin"/>
              </w:r>
              <w:r w:rsidR="00BD18DB">
                <w:rPr>
                  <w:lang w:val="en-US"/>
                </w:rPr>
                <w:instrText xml:space="preserve">CITATION Uni253 \m Asw26 \m Ric24 \l 1033 </w:instrText>
              </w:r>
              <w:r w:rsidR="00A014EE" w:rsidRPr="001F5B4C">
                <w:fldChar w:fldCharType="separate"/>
              </w:r>
              <w:r w:rsidR="00BD18DB">
                <w:rPr>
                  <w:noProof/>
                  <w:lang w:val="en-US"/>
                </w:rPr>
                <w:t xml:space="preserve"> </w:t>
              </w:r>
              <w:r w:rsidR="00BD18DB" w:rsidRPr="00BD18DB">
                <w:rPr>
                  <w:noProof/>
                  <w:lang w:val="en-US"/>
                </w:rPr>
                <w:t>(Unilever PLC, 2025; Damodaran, 2026; Jessica DiNapoli, Svea Herbst-Bayliss, Siddharth Cavale and Abigail Summerville, 2025)</w:t>
              </w:r>
              <w:r w:rsidR="00A014EE" w:rsidRPr="001F5B4C">
                <w:fldChar w:fldCharType="end"/>
              </w:r>
            </w:sdtContent>
          </w:sdt>
          <w:r w:rsidRPr="00AE61F1">
            <w:t xml:space="preserve">. This suggests that Unilever’s brands, distribution scale and productivity initiatives remain financially effective. The implication for directors is that the business still possesses pricing power and cost absorption capacity, but those strengths need to be converted into cleaner statutory earnings growth in 2025 and beyond. </w:t>
          </w:r>
          <w:sdt>
            <w:sdtPr>
              <w:id w:val="1754705343"/>
              <w:citation/>
            </w:sdtPr>
            <w:sdtContent>
              <w:r w:rsidR="00DD4EC7">
                <w:fldChar w:fldCharType="begin"/>
              </w:r>
              <w:r w:rsidR="00DD4EC7">
                <w:rPr>
                  <w:lang w:val="en-US"/>
                </w:rPr>
                <w:instrText xml:space="preserve"> CITATION Uni253 \l 1033 </w:instrText>
              </w:r>
              <w:r w:rsidR="0053625A">
                <w:rPr>
                  <w:lang w:val="en-US"/>
                </w:rPr>
                <w:instrText xml:space="preserve"> \m Joh08 \m Ric241</w:instrText>
              </w:r>
              <w:r w:rsidR="00DD4EC7">
                <w:fldChar w:fldCharType="separate"/>
              </w:r>
              <w:r w:rsidR="00D6234B" w:rsidRPr="00D6234B">
                <w:rPr>
                  <w:noProof/>
                  <w:lang w:val="en-US"/>
                </w:rPr>
                <w:t>(Unilever PLC, 2025; John Wild, Krishnamurthy R. Subramanyam, 2008; Richa Naidu; Eva Mathews, 2024)</w:t>
              </w:r>
              <w:r w:rsidR="00DD4EC7">
                <w:fldChar w:fldCharType="end"/>
              </w:r>
            </w:sdtContent>
          </w:sdt>
          <w:r w:rsidR="001F5B4C" w:rsidRPr="001F5B4C">
            <w:t>.</w:t>
          </w:r>
        </w:p>
        <w:p w14:paraId="447DB7E5" w14:textId="6F591642" w:rsidR="0071417F" w:rsidRPr="00AE61F1" w:rsidRDefault="0071417F" w:rsidP="0071417F">
          <w:pPr>
            <w:pStyle w:val="Heading2"/>
            <w:numPr>
              <w:ilvl w:val="1"/>
              <w:numId w:val="1"/>
            </w:numPr>
          </w:pPr>
          <w:bookmarkStart w:id="6" w:name="_Toc226410213"/>
          <w:r w:rsidRPr="00AE61F1">
            <w:t>Liquidity Ratio Analysis and Benchmarking</w:t>
          </w:r>
          <w:bookmarkEnd w:id="6"/>
        </w:p>
        <w:p w14:paraId="50F12316" w14:textId="631412FF" w:rsidR="00410898" w:rsidRPr="00AE61F1" w:rsidRDefault="00410898" w:rsidP="00AE421F">
          <w:pPr>
            <w:pStyle w:val="NormalWeb"/>
            <w:rPr>
              <w:lang w:val="en-GB"/>
            </w:rPr>
          </w:pPr>
          <w:r w:rsidRPr="00AE61F1">
            <w:rPr>
              <w:rStyle w:val="Strong"/>
              <w:rFonts w:eastAsiaTheme="majorEastAsia"/>
              <w:b w:val="0"/>
              <w:bCs w:val="0"/>
              <w:lang w:val="en-GB"/>
            </w:rPr>
            <w:t>Liquidity remains the clearest area of weakness in the two-year benchmark</w:t>
          </w:r>
          <w:r w:rsidR="001F5B4C">
            <w:rPr>
              <w:rStyle w:val="Strong"/>
              <w:rFonts w:eastAsiaTheme="majorEastAsia"/>
              <w:b w:val="0"/>
              <w:bCs w:val="0"/>
              <w:lang w:val="en-GB"/>
            </w:rPr>
            <w:t xml:space="preserve"> </w:t>
          </w:r>
          <w:sdt>
            <w:sdtPr>
              <w:rPr>
                <w:lang w:val="en-GB"/>
              </w:rPr>
              <w:id w:val="1990211169"/>
              <w:citation/>
            </w:sdtPr>
            <w:sdtContent>
              <w:r w:rsidR="001F5B4C" w:rsidRPr="001F5B4C">
                <w:rPr>
                  <w:lang w:val="en-GB"/>
                </w:rPr>
                <w:fldChar w:fldCharType="begin"/>
              </w:r>
              <w:r w:rsidR="001F5B4C" w:rsidRPr="001F5B4C">
                <w:instrText xml:space="preserve"> CITATION Zha25 \l 1033 </w:instrText>
              </w:r>
              <w:r w:rsidR="001F5B4C" w:rsidRPr="001F5B4C">
                <w:rPr>
                  <w:lang w:val="en-GB"/>
                </w:rPr>
                <w:fldChar w:fldCharType="separate"/>
              </w:r>
              <w:r w:rsidR="001F5B4C" w:rsidRPr="001F5B4C">
                <w:rPr>
                  <w:noProof/>
                </w:rPr>
                <w:t>(Zhang, Yi; Silva, Beatriz; Moreau, Élodie; T¯ane, Hinewera, 2025)</w:t>
              </w:r>
              <w:r w:rsidR="001F5B4C" w:rsidRPr="001F5B4C">
                <w:rPr>
                  <w:lang w:val="en-GB"/>
                </w:rPr>
                <w:fldChar w:fldCharType="end"/>
              </w:r>
            </w:sdtContent>
          </w:sdt>
          <w:r w:rsidR="001F5B4C">
            <w:rPr>
              <w:lang w:val="en-GB"/>
            </w:rPr>
            <w:t>.</w:t>
          </w:r>
          <w:r w:rsidRPr="00AE61F1">
            <w:rPr>
              <w:lang w:val="en-GB"/>
            </w:rPr>
            <w:t xml:space="preserve"> </w:t>
          </w:r>
          <w:r w:rsidRPr="00AE61F1">
            <w:rPr>
              <w:rStyle w:val="Strong"/>
              <w:rFonts w:eastAsiaTheme="majorEastAsia"/>
              <w:b w:val="0"/>
              <w:bCs w:val="0"/>
              <w:lang w:val="en-GB"/>
            </w:rPr>
            <w:t>The current ratio was virtually unchanged at around 0.76x in both 2024 and 2023, while the acid-test ratio, although improving slightly from 0.54x to 0.56x, remained well below 1.0x.</w:t>
          </w:r>
          <w:r w:rsidRPr="00AE61F1">
            <w:rPr>
              <w:lang w:val="en-GB"/>
            </w:rPr>
            <w:t xml:space="preserve"> </w:t>
          </w:r>
          <w:r w:rsidRPr="00AE61F1">
            <w:rPr>
              <w:rStyle w:val="Strong"/>
              <w:rFonts w:eastAsiaTheme="majorEastAsia"/>
              <w:b w:val="0"/>
              <w:bCs w:val="0"/>
              <w:lang w:val="en-GB"/>
            </w:rPr>
            <w:t>On a superficial reading, these ratios would suggest a weak short-term solvency position because current liabilities exceed current assets by a material amount.</w:t>
          </w:r>
          <w:r w:rsidR="001F5B4C">
            <w:rPr>
              <w:rStyle w:val="Strong"/>
              <w:rFonts w:eastAsiaTheme="majorEastAsia"/>
              <w:b w:val="0"/>
              <w:bCs w:val="0"/>
              <w:lang w:val="en-GB"/>
            </w:rPr>
            <w:t xml:space="preserve"> </w:t>
          </w:r>
          <w:sdt>
            <w:sdtPr>
              <w:rPr>
                <w:rStyle w:val="Strong"/>
                <w:rFonts w:eastAsiaTheme="majorEastAsia"/>
                <w:b w:val="0"/>
                <w:bCs w:val="0"/>
                <w:lang w:val="en-GB"/>
              </w:rPr>
              <w:id w:val="-1147196592"/>
              <w:citation/>
            </w:sdtPr>
            <w:sdtContent>
              <w:r w:rsidR="001F5B4C">
                <w:rPr>
                  <w:rStyle w:val="Strong"/>
                  <w:rFonts w:eastAsiaTheme="majorEastAsia"/>
                  <w:b w:val="0"/>
                  <w:bCs w:val="0"/>
                  <w:lang w:val="en-GB"/>
                </w:rPr>
                <w:fldChar w:fldCharType="begin"/>
              </w:r>
              <w:r w:rsidR="001F5B4C">
                <w:rPr>
                  <w:rStyle w:val="Strong"/>
                  <w:rFonts w:eastAsiaTheme="majorEastAsia"/>
                  <w:b w:val="0"/>
                  <w:bCs w:val="0"/>
                </w:rPr>
                <w:instrText xml:space="preserve"> CITATION Uni253 \l 1033  \m Uni242</w:instrText>
              </w:r>
              <w:r w:rsidR="001F5B4C">
                <w:rPr>
                  <w:rStyle w:val="Strong"/>
                  <w:rFonts w:eastAsiaTheme="majorEastAsia"/>
                  <w:b w:val="0"/>
                  <w:bCs w:val="0"/>
                  <w:lang w:val="en-GB"/>
                </w:rPr>
                <w:fldChar w:fldCharType="separate"/>
              </w:r>
              <w:r w:rsidR="001F5B4C" w:rsidRPr="001F5B4C">
                <w:rPr>
                  <w:rFonts w:eastAsiaTheme="majorEastAsia"/>
                  <w:noProof/>
                </w:rPr>
                <w:t>(Unilever PLC, 2025; Unilever PLC, 2024)</w:t>
              </w:r>
              <w:r w:rsidR="001F5B4C">
                <w:rPr>
                  <w:rStyle w:val="Strong"/>
                  <w:rFonts w:eastAsiaTheme="majorEastAsia"/>
                  <w:b w:val="0"/>
                  <w:bCs w:val="0"/>
                  <w:lang w:val="en-GB"/>
                </w:rPr>
                <w:fldChar w:fldCharType="end"/>
              </w:r>
            </w:sdtContent>
          </w:sdt>
          <w:r w:rsidR="001F5B4C">
            <w:rPr>
              <w:lang w:val="en-GB"/>
            </w:rPr>
            <w:t>.</w:t>
          </w:r>
          <w:r w:rsidRPr="00AE61F1">
            <w:rPr>
              <w:lang w:val="en-GB"/>
            </w:rPr>
            <w:t xml:space="preserve"> </w:t>
          </w:r>
          <w:r w:rsidRPr="00AE61F1">
            <w:rPr>
              <w:rStyle w:val="Strong"/>
              <w:rFonts w:eastAsiaTheme="majorEastAsia"/>
              <w:b w:val="0"/>
              <w:bCs w:val="0"/>
              <w:lang w:val="en-GB"/>
            </w:rPr>
            <w:t>Yet for a multinational fast-moving consumer goods business such as Unilever, low current ratios are not unusual, because the operating model benefits from rapid inventory movement, strong supplier credit, recurring cash receipts and substantial cash generation.</w:t>
          </w:r>
          <w:r w:rsidRPr="00AE61F1">
            <w:rPr>
              <w:lang w:val="en-GB"/>
            </w:rPr>
            <w:t xml:space="preserve"> </w:t>
          </w:r>
          <w:r w:rsidRPr="00AE61F1">
            <w:rPr>
              <w:rStyle w:val="Strong"/>
              <w:rFonts w:eastAsiaTheme="majorEastAsia"/>
              <w:b w:val="0"/>
              <w:bCs w:val="0"/>
              <w:lang w:val="en-GB"/>
            </w:rPr>
            <w:t>The key benchmark issue is therefore not whether the ratio is below 1.0, but whether it is deteriorating dangerously.</w:t>
          </w:r>
          <w:r w:rsidRPr="00AE61F1">
            <w:rPr>
              <w:lang w:val="en-GB"/>
            </w:rPr>
            <w:t xml:space="preserve"> </w:t>
          </w:r>
          <w:r w:rsidRPr="00AE61F1">
            <w:rPr>
              <w:rStyle w:val="Strong"/>
              <w:rFonts w:eastAsiaTheme="majorEastAsia"/>
              <w:b w:val="0"/>
              <w:bCs w:val="0"/>
              <w:lang w:val="en-GB"/>
            </w:rPr>
            <w:t>On that test, 2024 was stable rather than alarming.</w:t>
          </w:r>
          <w:r w:rsidR="00DC1C7B">
            <w:rPr>
              <w:rStyle w:val="Strong"/>
              <w:rFonts w:eastAsiaTheme="majorEastAsia"/>
              <w:b w:val="0"/>
              <w:bCs w:val="0"/>
              <w:lang w:val="en-GB"/>
            </w:rPr>
            <w:t xml:space="preserve"> </w:t>
          </w:r>
          <w:sdt>
            <w:sdtPr>
              <w:rPr>
                <w:rStyle w:val="Strong"/>
                <w:rFonts w:eastAsiaTheme="majorEastAsia"/>
                <w:b w:val="0"/>
                <w:bCs w:val="0"/>
                <w:lang w:val="en-GB"/>
              </w:rPr>
              <w:id w:val="615879478"/>
              <w:citation/>
            </w:sdtPr>
            <w:sdtContent>
              <w:r w:rsidR="00DC1C7B">
                <w:rPr>
                  <w:rStyle w:val="Strong"/>
                  <w:rFonts w:eastAsiaTheme="majorEastAsia"/>
                  <w:b w:val="0"/>
                  <w:bCs w:val="0"/>
                  <w:lang w:val="en-GB"/>
                </w:rPr>
                <w:fldChar w:fldCharType="begin"/>
              </w:r>
              <w:r w:rsidR="00DC1C7B">
                <w:rPr>
                  <w:rStyle w:val="Strong"/>
                  <w:rFonts w:eastAsiaTheme="majorEastAsia"/>
                  <w:b w:val="0"/>
                  <w:bCs w:val="0"/>
                </w:rPr>
                <w:instrText xml:space="preserve"> CITATION Kir12 \l 1033  \m Ogb20</w:instrText>
              </w:r>
              <w:r w:rsidR="005B64AD">
                <w:rPr>
                  <w:rStyle w:val="Strong"/>
                  <w:rFonts w:eastAsiaTheme="majorEastAsia"/>
                  <w:b w:val="0"/>
                  <w:bCs w:val="0"/>
                </w:rPr>
                <w:instrText xml:space="preserve"> \m Zha25 \m Uni253 \m Uni242</w:instrText>
              </w:r>
              <w:r w:rsidR="00DC1C7B">
                <w:rPr>
                  <w:rStyle w:val="Strong"/>
                  <w:rFonts w:eastAsiaTheme="majorEastAsia"/>
                  <w:b w:val="0"/>
                  <w:bCs w:val="0"/>
                  <w:lang w:val="en-GB"/>
                </w:rPr>
                <w:fldChar w:fldCharType="separate"/>
              </w:r>
              <w:r w:rsidR="005B64AD" w:rsidRPr="005B64AD">
                <w:rPr>
                  <w:rFonts w:eastAsiaTheme="majorEastAsia"/>
                  <w:noProof/>
                </w:rPr>
                <w:t>(Kirkham, Ross, 2012; Ogbuigwe, Micheal and Aluya, Samson and John, Edidiong, 2020; Zhang, Yi; Silva, Beatriz; Moreau, Élodie; T¯ane, Hinewera, 2025; Unilever PLC, 2025; Unilever PLC, 2024)</w:t>
              </w:r>
              <w:r w:rsidR="00DC1C7B">
                <w:rPr>
                  <w:rStyle w:val="Strong"/>
                  <w:rFonts w:eastAsiaTheme="majorEastAsia"/>
                  <w:b w:val="0"/>
                  <w:bCs w:val="0"/>
                  <w:lang w:val="en-GB"/>
                </w:rPr>
                <w:fldChar w:fldCharType="end"/>
              </w:r>
            </w:sdtContent>
          </w:sdt>
          <w:r w:rsidR="005B64AD">
            <w:rPr>
              <w:lang w:val="en-GB"/>
            </w:rPr>
            <w:t>.</w:t>
          </w:r>
        </w:p>
        <w:p w14:paraId="5E48A9C4" w14:textId="175D7E50" w:rsidR="00FD3F15" w:rsidRPr="00AE61F1" w:rsidRDefault="00410898" w:rsidP="00FD3F15">
          <w:pPr>
            <w:pStyle w:val="NormalWeb"/>
            <w:rPr>
              <w:highlight w:val="yellow"/>
              <w:lang w:val="en-GB"/>
            </w:rPr>
          </w:pPr>
          <w:r w:rsidRPr="00AE61F1">
            <w:rPr>
              <w:rStyle w:val="Strong"/>
              <w:rFonts w:eastAsiaTheme="majorEastAsia"/>
              <w:b w:val="0"/>
              <w:bCs w:val="0"/>
              <w:lang w:val="en-GB"/>
            </w:rPr>
            <w:t>Even so, stable does not mean optimal</w:t>
          </w:r>
          <w:r w:rsidR="001A2959">
            <w:rPr>
              <w:rStyle w:val="Strong"/>
              <w:rFonts w:eastAsiaTheme="majorEastAsia"/>
              <w:b w:val="0"/>
              <w:bCs w:val="0"/>
              <w:lang w:val="en-GB"/>
            </w:rPr>
            <w:t xml:space="preserve"> </w:t>
          </w:r>
          <w:sdt>
            <w:sdtPr>
              <w:rPr>
                <w:rStyle w:val="Strong"/>
                <w:rFonts w:eastAsiaTheme="majorEastAsia"/>
                <w:b w:val="0"/>
                <w:bCs w:val="0"/>
                <w:lang w:val="en-GB"/>
              </w:rPr>
              <w:id w:val="-46075331"/>
              <w:citation/>
            </w:sdtPr>
            <w:sdtContent>
              <w:r w:rsidR="001A2959">
                <w:rPr>
                  <w:rStyle w:val="Strong"/>
                  <w:rFonts w:eastAsiaTheme="majorEastAsia"/>
                  <w:b w:val="0"/>
                  <w:bCs w:val="0"/>
                  <w:lang w:val="en-GB"/>
                </w:rPr>
                <w:fldChar w:fldCharType="begin"/>
              </w:r>
              <w:r w:rsidR="001A2959">
                <w:rPr>
                  <w:rStyle w:val="Strong"/>
                  <w:rFonts w:eastAsiaTheme="majorEastAsia"/>
                  <w:b w:val="0"/>
                  <w:bCs w:val="0"/>
                </w:rPr>
                <w:instrText xml:space="preserve"> CITATION Zha25 \l 1033 </w:instrText>
              </w:r>
              <w:r w:rsidR="001A2959">
                <w:rPr>
                  <w:rStyle w:val="Strong"/>
                  <w:rFonts w:eastAsiaTheme="majorEastAsia"/>
                  <w:b w:val="0"/>
                  <w:bCs w:val="0"/>
                  <w:lang w:val="en-GB"/>
                </w:rPr>
                <w:fldChar w:fldCharType="separate"/>
              </w:r>
              <w:r w:rsidR="001A2959" w:rsidRPr="001A2959">
                <w:rPr>
                  <w:rFonts w:eastAsiaTheme="majorEastAsia"/>
                  <w:noProof/>
                </w:rPr>
                <w:t>(Zhang, Yi; Silva, Beatriz; Moreau, Élodie; T¯ane, Hinewera, 2025)</w:t>
              </w:r>
              <w:r w:rsidR="001A2959">
                <w:rPr>
                  <w:rStyle w:val="Strong"/>
                  <w:rFonts w:eastAsiaTheme="majorEastAsia"/>
                  <w:b w:val="0"/>
                  <w:bCs w:val="0"/>
                  <w:lang w:val="en-GB"/>
                </w:rPr>
                <w:fldChar w:fldCharType="end"/>
              </w:r>
            </w:sdtContent>
          </w:sdt>
          <w:r w:rsidR="001A2959">
            <w:rPr>
              <w:lang w:val="en-GB"/>
            </w:rPr>
            <w:t xml:space="preserve">. </w:t>
          </w:r>
          <w:r w:rsidRPr="00AE61F1">
            <w:rPr>
              <w:rStyle w:val="Strong"/>
              <w:rFonts w:eastAsiaTheme="majorEastAsia"/>
              <w:b w:val="0"/>
              <w:bCs w:val="0"/>
              <w:lang w:val="en-GB"/>
            </w:rPr>
            <w:t>Current liabilities increased from €23.507 billion to €25.234 billion in 2024, and the group still relied heavily on supplier finance discipline and ongoing cash conversion to manage short-term obligations.</w:t>
          </w:r>
          <w:r w:rsidR="005B64AD">
            <w:rPr>
              <w:rStyle w:val="Strong"/>
              <w:rFonts w:eastAsiaTheme="majorEastAsia"/>
              <w:b w:val="0"/>
              <w:bCs w:val="0"/>
              <w:lang w:val="en-GB"/>
            </w:rPr>
            <w:t xml:space="preserve"> </w:t>
          </w:r>
          <w:sdt>
            <w:sdtPr>
              <w:rPr>
                <w:rStyle w:val="Strong"/>
                <w:rFonts w:eastAsiaTheme="majorEastAsia"/>
                <w:b w:val="0"/>
                <w:bCs w:val="0"/>
                <w:lang w:val="en-GB"/>
              </w:rPr>
              <w:id w:val="-110522806"/>
              <w:citation/>
            </w:sdtPr>
            <w:sdtContent>
              <w:r w:rsidR="005B64AD">
                <w:rPr>
                  <w:rStyle w:val="Strong"/>
                  <w:rFonts w:eastAsiaTheme="majorEastAsia"/>
                  <w:b w:val="0"/>
                  <w:bCs w:val="0"/>
                  <w:lang w:val="en-GB"/>
                </w:rPr>
                <w:fldChar w:fldCharType="begin"/>
              </w:r>
              <w:r w:rsidR="005B64AD">
                <w:rPr>
                  <w:rStyle w:val="Strong"/>
                  <w:rFonts w:eastAsiaTheme="majorEastAsia"/>
                  <w:b w:val="0"/>
                  <w:bCs w:val="0"/>
                </w:rPr>
                <w:instrText xml:space="preserve"> CITATION Uni253 \l 1033  \m Uni242</w:instrText>
              </w:r>
              <w:r w:rsidR="005B64AD">
                <w:rPr>
                  <w:rStyle w:val="Strong"/>
                  <w:rFonts w:eastAsiaTheme="majorEastAsia"/>
                  <w:b w:val="0"/>
                  <w:bCs w:val="0"/>
                  <w:lang w:val="en-GB"/>
                </w:rPr>
                <w:fldChar w:fldCharType="separate"/>
              </w:r>
              <w:r w:rsidR="005B64AD" w:rsidRPr="005B64AD">
                <w:rPr>
                  <w:rFonts w:eastAsiaTheme="majorEastAsia"/>
                  <w:noProof/>
                </w:rPr>
                <w:t>(Unilever PLC, 2025; Unilever PLC, 2024)</w:t>
              </w:r>
              <w:r w:rsidR="005B64AD">
                <w:rPr>
                  <w:rStyle w:val="Strong"/>
                  <w:rFonts w:eastAsiaTheme="majorEastAsia"/>
                  <w:b w:val="0"/>
                  <w:bCs w:val="0"/>
                  <w:lang w:val="en-GB"/>
                </w:rPr>
                <w:fldChar w:fldCharType="end"/>
              </w:r>
            </w:sdtContent>
          </w:sdt>
          <w:r w:rsidR="005B64AD">
            <w:rPr>
              <w:lang w:val="en-GB"/>
            </w:rPr>
            <w:t>.</w:t>
          </w:r>
          <w:r w:rsidRPr="00AE61F1">
            <w:rPr>
              <w:lang w:val="en-GB"/>
            </w:rPr>
            <w:t xml:space="preserve"> </w:t>
          </w:r>
          <w:r w:rsidRPr="00AE61F1">
            <w:rPr>
              <w:rStyle w:val="Strong"/>
              <w:rFonts w:eastAsiaTheme="majorEastAsia"/>
              <w:b w:val="0"/>
              <w:bCs w:val="0"/>
              <w:lang w:val="en-GB"/>
            </w:rPr>
            <w:t xml:space="preserve">That is acceptable while brand demand, pricing power and operating cash flow remain strong; it becomes </w:t>
          </w:r>
          <w:proofErr w:type="gramStart"/>
          <w:r w:rsidRPr="00AE61F1">
            <w:rPr>
              <w:rStyle w:val="Strong"/>
              <w:rFonts w:eastAsiaTheme="majorEastAsia"/>
              <w:b w:val="0"/>
              <w:bCs w:val="0"/>
              <w:lang w:val="en-GB"/>
            </w:rPr>
            <w:t>more risky</w:t>
          </w:r>
          <w:proofErr w:type="gramEnd"/>
          <w:r w:rsidRPr="00AE61F1">
            <w:rPr>
              <w:rStyle w:val="Strong"/>
              <w:rFonts w:eastAsiaTheme="majorEastAsia"/>
              <w:b w:val="0"/>
              <w:bCs w:val="0"/>
              <w:lang w:val="en-GB"/>
            </w:rPr>
            <w:t xml:space="preserve"> if volumes soften, input costs rise again, or restructuring creates execution pressure.</w:t>
          </w:r>
          <w:r w:rsidR="00BD18DB">
            <w:rPr>
              <w:rStyle w:val="Strong"/>
              <w:rFonts w:eastAsiaTheme="majorEastAsia"/>
              <w:b w:val="0"/>
              <w:bCs w:val="0"/>
              <w:lang w:val="en-GB"/>
            </w:rPr>
            <w:t xml:space="preserve"> </w:t>
          </w:r>
          <w:sdt>
            <w:sdtPr>
              <w:rPr>
                <w:rStyle w:val="Strong"/>
                <w:rFonts w:eastAsiaTheme="majorEastAsia"/>
                <w:b w:val="0"/>
                <w:bCs w:val="0"/>
                <w:lang w:val="en-GB"/>
              </w:rPr>
              <w:id w:val="752087631"/>
              <w:citation/>
            </w:sdtPr>
            <w:sdtContent>
              <w:r w:rsidR="00BD18DB">
                <w:rPr>
                  <w:rStyle w:val="Strong"/>
                  <w:rFonts w:eastAsiaTheme="majorEastAsia"/>
                  <w:b w:val="0"/>
                  <w:bCs w:val="0"/>
                  <w:lang w:val="en-GB"/>
                </w:rPr>
                <w:fldChar w:fldCharType="begin"/>
              </w:r>
              <w:r w:rsidR="00BD18DB">
                <w:rPr>
                  <w:rStyle w:val="Strong"/>
                  <w:rFonts w:eastAsiaTheme="majorEastAsia"/>
                  <w:b w:val="0"/>
                  <w:bCs w:val="0"/>
                </w:rPr>
                <w:instrText xml:space="preserve">CITATION Uni253 \m Ric24 \l 1033 </w:instrText>
              </w:r>
              <w:r w:rsidR="00BD18DB">
                <w:rPr>
                  <w:rStyle w:val="Strong"/>
                  <w:rFonts w:eastAsiaTheme="majorEastAsia"/>
                  <w:b w:val="0"/>
                  <w:bCs w:val="0"/>
                  <w:lang w:val="en-GB"/>
                </w:rPr>
                <w:fldChar w:fldCharType="separate"/>
              </w:r>
              <w:r w:rsidR="00BD18DB" w:rsidRPr="00BD18DB">
                <w:rPr>
                  <w:rFonts w:eastAsiaTheme="majorEastAsia"/>
                  <w:noProof/>
                </w:rPr>
                <w:t>(Unilever PLC, 2025; Jessica DiNapoli, Svea Herbst-Bayliss, Siddharth Cavale and Abigail Summerville, 2025)</w:t>
              </w:r>
              <w:r w:rsidR="00BD18DB">
                <w:rPr>
                  <w:rStyle w:val="Strong"/>
                  <w:rFonts w:eastAsiaTheme="majorEastAsia"/>
                  <w:b w:val="0"/>
                  <w:bCs w:val="0"/>
                  <w:lang w:val="en-GB"/>
                </w:rPr>
                <w:fldChar w:fldCharType="end"/>
              </w:r>
            </w:sdtContent>
          </w:sdt>
          <w:r w:rsidRPr="00AE61F1">
            <w:rPr>
              <w:lang w:val="en-GB"/>
            </w:rPr>
            <w:t xml:space="preserve">. </w:t>
          </w:r>
          <w:r w:rsidRPr="00AE61F1">
            <w:rPr>
              <w:rStyle w:val="Strong"/>
              <w:rFonts w:eastAsiaTheme="majorEastAsia"/>
              <w:b w:val="0"/>
              <w:bCs w:val="0"/>
              <w:lang w:val="en-GB"/>
            </w:rPr>
            <w:t>Academic work on ratio analysis stresses that liquidity ratios must be interpreted alongside cash flow patterns, not as stand-alone warning signals</w:t>
          </w:r>
          <w:r w:rsidR="006865D5">
            <w:rPr>
              <w:rStyle w:val="Strong"/>
              <w:rFonts w:eastAsiaTheme="majorEastAsia"/>
              <w:b w:val="0"/>
              <w:bCs w:val="0"/>
              <w:lang w:val="en-GB"/>
            </w:rPr>
            <w:t xml:space="preserve"> </w:t>
          </w:r>
          <w:sdt>
            <w:sdtPr>
              <w:rPr>
                <w:rStyle w:val="Strong"/>
                <w:rFonts w:eastAsiaTheme="majorEastAsia"/>
                <w:b w:val="0"/>
                <w:bCs w:val="0"/>
                <w:lang w:val="en-GB"/>
              </w:rPr>
              <w:id w:val="459158759"/>
              <w:citation/>
            </w:sdtPr>
            <w:sdtContent>
              <w:r w:rsidR="006865D5">
                <w:rPr>
                  <w:rStyle w:val="Strong"/>
                  <w:rFonts w:eastAsiaTheme="majorEastAsia"/>
                  <w:b w:val="0"/>
                  <w:bCs w:val="0"/>
                  <w:lang w:val="en-GB"/>
                </w:rPr>
                <w:fldChar w:fldCharType="begin"/>
              </w:r>
              <w:r w:rsidR="006865D5">
                <w:rPr>
                  <w:rStyle w:val="Strong"/>
                  <w:rFonts w:eastAsiaTheme="majorEastAsia"/>
                  <w:b w:val="0"/>
                  <w:bCs w:val="0"/>
                </w:rPr>
                <w:instrText xml:space="preserve"> CITATION Kir12 \l 1033  \m Zha25</w:instrText>
              </w:r>
              <w:r w:rsidR="006865D5">
                <w:rPr>
                  <w:rStyle w:val="Strong"/>
                  <w:rFonts w:eastAsiaTheme="majorEastAsia"/>
                  <w:b w:val="0"/>
                  <w:bCs w:val="0"/>
                  <w:lang w:val="en-GB"/>
                </w:rPr>
                <w:fldChar w:fldCharType="separate"/>
              </w:r>
              <w:r w:rsidR="006865D5" w:rsidRPr="006865D5">
                <w:rPr>
                  <w:rFonts w:eastAsiaTheme="majorEastAsia"/>
                  <w:noProof/>
                </w:rPr>
                <w:t>(Kirkham, Ross, 2012; Zhang, Yi; Silva, Beatriz; Moreau, Élodie; T¯ane, Hinewera, 2025)</w:t>
              </w:r>
              <w:r w:rsidR="006865D5">
                <w:rPr>
                  <w:rStyle w:val="Strong"/>
                  <w:rFonts w:eastAsiaTheme="majorEastAsia"/>
                  <w:b w:val="0"/>
                  <w:bCs w:val="0"/>
                  <w:lang w:val="en-GB"/>
                </w:rPr>
                <w:fldChar w:fldCharType="end"/>
              </w:r>
            </w:sdtContent>
          </w:sdt>
          <w:r w:rsidR="006865D5">
            <w:rPr>
              <w:lang w:val="en-GB"/>
            </w:rPr>
            <w:t>.</w:t>
          </w:r>
          <w:r w:rsidRPr="00AE61F1">
            <w:rPr>
              <w:lang w:val="en-GB"/>
            </w:rPr>
            <w:t xml:space="preserve"> </w:t>
          </w:r>
          <w:r w:rsidRPr="00AE61F1">
            <w:rPr>
              <w:rStyle w:val="Strong"/>
              <w:rFonts w:eastAsiaTheme="majorEastAsia"/>
              <w:b w:val="0"/>
              <w:bCs w:val="0"/>
              <w:lang w:val="en-GB"/>
            </w:rPr>
            <w:t xml:space="preserve">For Unilever, the sensible conclusion is that liquidity is manageable but </w:t>
          </w:r>
          <w:r w:rsidR="00AB195B" w:rsidRPr="00AE61F1">
            <w:rPr>
              <w:rStyle w:val="Strong"/>
              <w:rFonts w:eastAsiaTheme="majorEastAsia"/>
              <w:b w:val="0"/>
              <w:bCs w:val="0"/>
              <w:lang w:val="en-GB"/>
            </w:rPr>
            <w:t>packed</w:t>
          </w:r>
          <w:r w:rsidR="003B7C73" w:rsidRPr="00AE61F1">
            <w:rPr>
              <w:rStyle w:val="Strong"/>
              <w:rFonts w:eastAsiaTheme="majorEastAsia"/>
              <w:b w:val="0"/>
              <w:bCs w:val="0"/>
              <w:lang w:val="en-GB"/>
            </w:rPr>
            <w:t xml:space="preserve"> and</w:t>
          </w:r>
          <w:r w:rsidRPr="00AE61F1">
            <w:rPr>
              <w:rStyle w:val="Strong"/>
              <w:rFonts w:eastAsiaTheme="majorEastAsia"/>
              <w:b w:val="0"/>
              <w:bCs w:val="0"/>
              <w:lang w:val="en-GB"/>
            </w:rPr>
            <w:t xml:space="preserve"> should therefore be monitored more actively than profitability in the next planning cycle, especially during further portfolio changes and the separation of businesses.</w:t>
          </w:r>
          <w:r w:rsidR="006865D5">
            <w:rPr>
              <w:rStyle w:val="Strong"/>
              <w:rFonts w:eastAsiaTheme="majorEastAsia"/>
              <w:b w:val="0"/>
              <w:bCs w:val="0"/>
              <w:lang w:val="en-GB"/>
            </w:rPr>
            <w:t xml:space="preserve"> </w:t>
          </w:r>
          <w:sdt>
            <w:sdtPr>
              <w:rPr>
                <w:rStyle w:val="Strong"/>
                <w:rFonts w:eastAsiaTheme="majorEastAsia"/>
                <w:b w:val="0"/>
                <w:bCs w:val="0"/>
                <w:lang w:val="en-GB"/>
              </w:rPr>
              <w:id w:val="1582108311"/>
              <w:citation/>
            </w:sdtPr>
            <w:sdtContent>
              <w:r w:rsidR="006865D5">
                <w:rPr>
                  <w:rStyle w:val="Strong"/>
                  <w:rFonts w:eastAsiaTheme="majorEastAsia"/>
                  <w:b w:val="0"/>
                  <w:bCs w:val="0"/>
                  <w:lang w:val="en-GB"/>
                </w:rPr>
                <w:fldChar w:fldCharType="begin"/>
              </w:r>
              <w:r w:rsidR="006865D5">
                <w:rPr>
                  <w:rStyle w:val="Strong"/>
                  <w:rFonts w:eastAsiaTheme="majorEastAsia"/>
                  <w:b w:val="0"/>
                  <w:bCs w:val="0"/>
                </w:rPr>
                <w:instrText xml:space="preserve"> CITATION Uni253 \l 1033  \m Ric24</w:instrText>
              </w:r>
              <w:r w:rsidR="006865D5">
                <w:rPr>
                  <w:rStyle w:val="Strong"/>
                  <w:rFonts w:eastAsiaTheme="majorEastAsia"/>
                  <w:b w:val="0"/>
                  <w:bCs w:val="0"/>
                  <w:lang w:val="en-GB"/>
                </w:rPr>
                <w:fldChar w:fldCharType="separate"/>
              </w:r>
              <w:r w:rsidR="006865D5" w:rsidRPr="006865D5">
                <w:rPr>
                  <w:rFonts w:eastAsiaTheme="majorEastAsia"/>
                  <w:noProof/>
                </w:rPr>
                <w:t>(Unilever PLC, 2025; Jessica DiNapoli, Svea Herbst-Bayliss, Siddharth Cavale and Abigail Summerville, 2025)</w:t>
              </w:r>
              <w:r w:rsidR="006865D5">
                <w:rPr>
                  <w:rStyle w:val="Strong"/>
                  <w:rFonts w:eastAsiaTheme="majorEastAsia"/>
                  <w:b w:val="0"/>
                  <w:bCs w:val="0"/>
                  <w:lang w:val="en-GB"/>
                </w:rPr>
                <w:fldChar w:fldCharType="end"/>
              </w:r>
            </w:sdtContent>
          </w:sdt>
          <w:r w:rsidR="006865D5">
            <w:rPr>
              <w:lang w:val="en-GB"/>
            </w:rPr>
            <w:t>.</w:t>
          </w:r>
        </w:p>
        <w:p w14:paraId="536631EF" w14:textId="19D17672" w:rsidR="00AE5B43" w:rsidRPr="00AE61F1" w:rsidRDefault="00FD3F15" w:rsidP="00FD3F15">
          <w:pPr>
            <w:rPr>
              <w:rFonts w:eastAsia="Times New Roman" w:cs="Times New Roman"/>
              <w:szCs w:val="24"/>
              <w:highlight w:val="yellow"/>
            </w:rPr>
          </w:pPr>
          <w:r w:rsidRPr="00AE61F1">
            <w:rPr>
              <w:highlight w:val="yellow"/>
            </w:rPr>
            <w:br w:type="page"/>
          </w:r>
        </w:p>
        <w:p w14:paraId="4C0B7A21" w14:textId="29284C51" w:rsidR="0071417F" w:rsidRPr="00AE61F1" w:rsidRDefault="0071417F" w:rsidP="0071417F">
          <w:pPr>
            <w:pStyle w:val="Heading2"/>
            <w:numPr>
              <w:ilvl w:val="1"/>
              <w:numId w:val="1"/>
            </w:numPr>
          </w:pPr>
          <w:bookmarkStart w:id="7" w:name="_Toc226410214"/>
          <w:r w:rsidRPr="00AE61F1">
            <w:lastRenderedPageBreak/>
            <w:t>Gearing Ratio Analysis and Benchmarking</w:t>
          </w:r>
          <w:bookmarkEnd w:id="7"/>
        </w:p>
        <w:p w14:paraId="1676C9EF" w14:textId="6DC12D74" w:rsidR="004503E5" w:rsidRPr="00AE61F1" w:rsidRDefault="004503E5" w:rsidP="00AE421F">
          <w:pPr>
            <w:pStyle w:val="NormalWeb"/>
            <w:rPr>
              <w:lang w:val="en-GB"/>
            </w:rPr>
          </w:pPr>
          <w:r w:rsidRPr="00AE61F1">
            <w:rPr>
              <w:rStyle w:val="Strong"/>
              <w:rFonts w:eastAsiaTheme="majorEastAsia"/>
              <w:b w:val="0"/>
              <w:bCs w:val="0"/>
              <w:lang w:val="en-GB"/>
            </w:rPr>
            <w:t>The gearing position was broadly stable and marginally better in 2024.</w:t>
          </w:r>
          <w:r w:rsidR="00307A75">
            <w:rPr>
              <w:lang w:val="en-GB"/>
            </w:rPr>
            <w:t xml:space="preserve"> </w:t>
          </w:r>
          <w:r w:rsidRPr="00AE61F1">
            <w:rPr>
              <w:rStyle w:val="Strong"/>
              <w:rFonts w:eastAsiaTheme="majorEastAsia"/>
              <w:b w:val="0"/>
              <w:bCs w:val="0"/>
              <w:lang w:val="en-GB"/>
            </w:rPr>
            <w:t>Total financial liabilities increased in absolute terms, but debt to equity eased from 1.64x to 1.60x and debt to capital moved from 62.1% to 61.6%, mainly because shareholders’ equity rose from €18.102 billion to €19.990 billion.</w:t>
          </w:r>
          <w:r w:rsidRPr="00AE61F1">
            <w:rPr>
              <w:lang w:val="en-GB"/>
            </w:rPr>
            <w:t xml:space="preserve"> </w:t>
          </w:r>
          <w:sdt>
            <w:sdtPr>
              <w:rPr>
                <w:lang w:val="en-GB"/>
              </w:rPr>
              <w:id w:val="146786722"/>
              <w:citation/>
            </w:sdtPr>
            <w:sdtContent>
              <w:r w:rsidR="008461EE">
                <w:rPr>
                  <w:lang w:val="en-GB"/>
                </w:rPr>
                <w:fldChar w:fldCharType="begin"/>
              </w:r>
              <w:r w:rsidR="008461EE">
                <w:instrText xml:space="preserve"> CITATION Uni253 \l 1033  \m Uni242</w:instrText>
              </w:r>
              <w:r w:rsidR="004637B6">
                <w:instrText xml:space="preserve"> \m Ros19</w:instrText>
              </w:r>
              <w:r w:rsidR="008461EE">
                <w:rPr>
                  <w:lang w:val="en-GB"/>
                </w:rPr>
                <w:fldChar w:fldCharType="separate"/>
              </w:r>
              <w:r w:rsidR="004637B6">
                <w:rPr>
                  <w:noProof/>
                </w:rPr>
                <w:t>(Unilever PLC, 2025; Unilever PLC, 2024; Ross, S.A.; Westerfield, R.W.; Jordan, B.D., 2019)</w:t>
              </w:r>
              <w:r w:rsidR="008461EE">
                <w:rPr>
                  <w:lang w:val="en-GB"/>
                </w:rPr>
                <w:fldChar w:fldCharType="end"/>
              </w:r>
            </w:sdtContent>
          </w:sdt>
          <w:r w:rsidR="00307A75">
            <w:rPr>
              <w:lang w:val="en-GB"/>
            </w:rPr>
            <w:t>.</w:t>
          </w:r>
          <w:r w:rsidRPr="00AE61F1">
            <w:rPr>
              <w:lang w:val="en-GB"/>
            </w:rPr>
            <w:t xml:space="preserve"> </w:t>
          </w:r>
          <w:r w:rsidRPr="00AE61F1">
            <w:rPr>
              <w:rStyle w:val="Strong"/>
              <w:rFonts w:eastAsiaTheme="majorEastAsia"/>
              <w:b w:val="0"/>
              <w:bCs w:val="0"/>
              <w:lang w:val="en-GB"/>
            </w:rPr>
            <w:t>This means Unilever remained significantly geared, but not more highly geared than in the prior year.</w:t>
          </w:r>
          <w:r w:rsidRPr="00AE61F1">
            <w:rPr>
              <w:lang w:val="en-GB"/>
            </w:rPr>
            <w:t xml:space="preserve"> </w:t>
          </w:r>
          <w:r w:rsidRPr="00AE61F1">
            <w:rPr>
              <w:rStyle w:val="Strong"/>
              <w:rFonts w:eastAsiaTheme="majorEastAsia"/>
              <w:b w:val="0"/>
              <w:bCs w:val="0"/>
              <w:lang w:val="en-GB"/>
            </w:rPr>
            <w:t>In a mature consumer-products group, that is not automatically problematic; leverage can enhance returns where cash flows are resilient</w:t>
          </w:r>
          <w:r w:rsidR="00E429DA">
            <w:rPr>
              <w:rStyle w:val="Strong"/>
              <w:rFonts w:eastAsiaTheme="majorEastAsia"/>
              <w:b w:val="0"/>
              <w:bCs w:val="0"/>
              <w:lang w:val="en-GB"/>
            </w:rPr>
            <w:t xml:space="preserve"> </w:t>
          </w:r>
          <w:sdt>
            <w:sdtPr>
              <w:rPr>
                <w:rStyle w:val="Strong"/>
                <w:rFonts w:eastAsiaTheme="majorEastAsia"/>
                <w:b w:val="0"/>
                <w:bCs w:val="0"/>
                <w:lang w:val="en-GB"/>
              </w:rPr>
              <w:id w:val="1969927727"/>
              <w:citation/>
            </w:sdtPr>
            <w:sdtContent>
              <w:r w:rsidR="00E429DA">
                <w:rPr>
                  <w:rStyle w:val="Strong"/>
                  <w:rFonts w:eastAsiaTheme="majorEastAsia"/>
                  <w:b w:val="0"/>
                  <w:bCs w:val="0"/>
                  <w:lang w:val="en-GB"/>
                </w:rPr>
                <w:fldChar w:fldCharType="begin"/>
              </w:r>
              <w:r w:rsidR="00E429DA">
                <w:rPr>
                  <w:rStyle w:val="Strong"/>
                  <w:rFonts w:eastAsiaTheme="majorEastAsia"/>
                  <w:b w:val="0"/>
                  <w:bCs w:val="0"/>
                </w:rPr>
                <w:instrText xml:space="preserve"> CITATION Ros19 \l 1033 </w:instrText>
              </w:r>
              <w:r w:rsidR="00A81355">
                <w:rPr>
                  <w:rStyle w:val="Strong"/>
                  <w:rFonts w:eastAsiaTheme="majorEastAsia"/>
                  <w:b w:val="0"/>
                  <w:bCs w:val="0"/>
                </w:rPr>
                <w:instrText xml:space="preserve"> \m Ric23</w:instrText>
              </w:r>
              <w:r w:rsidR="00307A75">
                <w:rPr>
                  <w:rStyle w:val="Strong"/>
                  <w:rFonts w:eastAsiaTheme="majorEastAsia"/>
                  <w:b w:val="0"/>
                  <w:bCs w:val="0"/>
                </w:rPr>
                <w:instrText xml:space="preserve"> \m Uni253 \m Uni242</w:instrText>
              </w:r>
              <w:r w:rsidR="00E429DA">
                <w:rPr>
                  <w:rStyle w:val="Strong"/>
                  <w:rFonts w:eastAsiaTheme="majorEastAsia"/>
                  <w:b w:val="0"/>
                  <w:bCs w:val="0"/>
                  <w:lang w:val="en-GB"/>
                </w:rPr>
                <w:fldChar w:fldCharType="separate"/>
              </w:r>
              <w:r w:rsidR="00307A75" w:rsidRPr="00307A75">
                <w:rPr>
                  <w:rFonts w:eastAsiaTheme="majorEastAsia"/>
                  <w:noProof/>
                </w:rPr>
                <w:t>(Ross, S.A.; Westerfield, R.W.; Jordan, B.D., 2019; Richard Arhinful; Mehrshad Radmehr, 2023; Unilever PLC, 2025; Unilever PLC, 2024)</w:t>
              </w:r>
              <w:r w:rsidR="00E429DA">
                <w:rPr>
                  <w:rStyle w:val="Strong"/>
                  <w:rFonts w:eastAsiaTheme="majorEastAsia"/>
                  <w:b w:val="0"/>
                  <w:bCs w:val="0"/>
                  <w:lang w:val="en-GB"/>
                </w:rPr>
                <w:fldChar w:fldCharType="end"/>
              </w:r>
            </w:sdtContent>
          </w:sdt>
          <w:r w:rsidR="00307A75">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 xml:space="preserve">The more important benchmark is whether leverage is comfortably serviceable, and on that </w:t>
          </w:r>
          <w:proofErr w:type="gramStart"/>
          <w:r w:rsidRPr="00AE61F1">
            <w:rPr>
              <w:rStyle w:val="Strong"/>
              <w:rFonts w:eastAsiaTheme="majorEastAsia"/>
              <w:b w:val="0"/>
              <w:bCs w:val="0"/>
              <w:lang w:val="en-GB"/>
            </w:rPr>
            <w:t>measure</w:t>
          </w:r>
          <w:proofErr w:type="gramEnd"/>
          <w:r w:rsidRPr="00AE61F1">
            <w:rPr>
              <w:rStyle w:val="Strong"/>
              <w:rFonts w:eastAsiaTheme="majorEastAsia"/>
              <w:b w:val="0"/>
              <w:bCs w:val="0"/>
              <w:lang w:val="en-GB"/>
            </w:rPr>
            <w:t xml:space="preserve"> Unilever still looked strong in 2024 because operating profit covered net finance costs 15.6 times, despite a rise in net finance costs to €604 million.</w:t>
          </w:r>
          <w:r w:rsidR="00A81355">
            <w:rPr>
              <w:rStyle w:val="Strong"/>
              <w:rFonts w:eastAsiaTheme="majorEastAsia"/>
              <w:b w:val="0"/>
              <w:bCs w:val="0"/>
              <w:lang w:val="en-GB"/>
            </w:rPr>
            <w:t xml:space="preserve"> </w:t>
          </w:r>
          <w:sdt>
            <w:sdtPr>
              <w:rPr>
                <w:rStyle w:val="Strong"/>
                <w:rFonts w:eastAsiaTheme="majorEastAsia"/>
                <w:b w:val="0"/>
                <w:bCs w:val="0"/>
                <w:lang w:val="en-GB"/>
              </w:rPr>
              <w:id w:val="-376324590"/>
              <w:citation/>
            </w:sdtPr>
            <w:sdtContent>
              <w:r w:rsidR="004239B9">
                <w:rPr>
                  <w:rStyle w:val="Strong"/>
                  <w:rFonts w:eastAsiaTheme="majorEastAsia"/>
                  <w:b w:val="0"/>
                  <w:bCs w:val="0"/>
                  <w:lang w:val="en-GB"/>
                </w:rPr>
                <w:fldChar w:fldCharType="begin"/>
              </w:r>
              <w:r w:rsidR="004239B9">
                <w:rPr>
                  <w:rStyle w:val="Strong"/>
                  <w:rFonts w:eastAsiaTheme="majorEastAsia"/>
                  <w:b w:val="0"/>
                  <w:bCs w:val="0"/>
                </w:rPr>
                <w:instrText xml:space="preserve"> CITATION Uni253 \l 1033  \m Sun20</w:instrText>
              </w:r>
              <w:r w:rsidR="004239B9">
                <w:rPr>
                  <w:rStyle w:val="Strong"/>
                  <w:rFonts w:eastAsiaTheme="majorEastAsia"/>
                  <w:b w:val="0"/>
                  <w:bCs w:val="0"/>
                  <w:lang w:val="en-GB"/>
                </w:rPr>
                <w:fldChar w:fldCharType="separate"/>
              </w:r>
              <w:r w:rsidR="004239B9" w:rsidRPr="004239B9">
                <w:rPr>
                  <w:rFonts w:eastAsiaTheme="majorEastAsia"/>
                  <w:noProof/>
                </w:rPr>
                <w:t>(Unilever PLC, 2025; Sunil Mahajan, 2020)</w:t>
              </w:r>
              <w:r w:rsidR="004239B9">
                <w:rPr>
                  <w:rStyle w:val="Strong"/>
                  <w:rFonts w:eastAsiaTheme="majorEastAsia"/>
                  <w:b w:val="0"/>
                  <w:bCs w:val="0"/>
                  <w:lang w:val="en-GB"/>
                </w:rPr>
                <w:fldChar w:fldCharType="end"/>
              </w:r>
            </w:sdtContent>
          </w:sdt>
          <w:r w:rsidR="00307A75">
            <w:rPr>
              <w:rStyle w:val="Strong"/>
              <w:rFonts w:eastAsiaTheme="majorEastAsia"/>
              <w:b w:val="0"/>
              <w:bCs w:val="0"/>
              <w:lang w:val="en-GB"/>
            </w:rPr>
            <w:t>.</w:t>
          </w:r>
          <w:r w:rsidRPr="00AE61F1">
            <w:rPr>
              <w:lang w:val="en-GB"/>
            </w:rPr>
            <w:t xml:space="preserve"> </w:t>
          </w:r>
        </w:p>
        <w:p w14:paraId="662D9AC2" w14:textId="2DEB9452" w:rsidR="004503E5" w:rsidRPr="00AE61F1" w:rsidRDefault="004503E5" w:rsidP="00AE421F">
          <w:pPr>
            <w:pStyle w:val="NormalWeb"/>
            <w:rPr>
              <w:lang w:val="en-GB"/>
            </w:rPr>
          </w:pPr>
          <w:r w:rsidRPr="00AE61F1">
            <w:rPr>
              <w:rStyle w:val="Strong"/>
              <w:rFonts w:eastAsiaTheme="majorEastAsia"/>
              <w:b w:val="0"/>
              <w:bCs w:val="0"/>
              <w:lang w:val="en-GB"/>
            </w:rPr>
            <w:t>The cautionary point is that interest cover fell noticeably from 20.1x in 2023 to 15.6x in 2024.</w:t>
          </w:r>
          <w:r w:rsidR="00307A75">
            <w:rPr>
              <w:rStyle w:val="Strong"/>
              <w:rFonts w:eastAsiaTheme="majorEastAsia"/>
              <w:b w:val="0"/>
              <w:bCs w:val="0"/>
              <w:lang w:val="en-GB"/>
            </w:rPr>
            <w:t xml:space="preserve"> </w:t>
          </w:r>
          <w:sdt>
            <w:sdtPr>
              <w:rPr>
                <w:rStyle w:val="Strong"/>
                <w:rFonts w:eastAsiaTheme="majorEastAsia"/>
                <w:b w:val="0"/>
                <w:bCs w:val="0"/>
                <w:lang w:val="en-GB"/>
              </w:rPr>
              <w:id w:val="744916764"/>
              <w:citation/>
            </w:sdtPr>
            <w:sdtContent>
              <w:r w:rsidR="00307A75">
                <w:rPr>
                  <w:rStyle w:val="Strong"/>
                  <w:rFonts w:eastAsiaTheme="majorEastAsia"/>
                  <w:b w:val="0"/>
                  <w:bCs w:val="0"/>
                  <w:lang w:val="en-GB"/>
                </w:rPr>
                <w:fldChar w:fldCharType="begin"/>
              </w:r>
              <w:r w:rsidR="00307A75">
                <w:rPr>
                  <w:rStyle w:val="Strong"/>
                  <w:rFonts w:eastAsiaTheme="majorEastAsia"/>
                  <w:b w:val="0"/>
                  <w:bCs w:val="0"/>
                </w:rPr>
                <w:instrText xml:space="preserve"> CITATION Uni253 \l 1033  \m Uni242</w:instrText>
              </w:r>
              <w:r w:rsidR="00307A75">
                <w:rPr>
                  <w:rStyle w:val="Strong"/>
                  <w:rFonts w:eastAsiaTheme="majorEastAsia"/>
                  <w:b w:val="0"/>
                  <w:bCs w:val="0"/>
                  <w:lang w:val="en-GB"/>
                </w:rPr>
                <w:fldChar w:fldCharType="separate"/>
              </w:r>
              <w:r w:rsidR="00307A75" w:rsidRPr="00307A75">
                <w:rPr>
                  <w:rFonts w:eastAsiaTheme="majorEastAsia"/>
                  <w:noProof/>
                </w:rPr>
                <w:t>(Unilever PLC, 2025; Unilever PLC, 2024)</w:t>
              </w:r>
              <w:r w:rsidR="00307A75">
                <w:rPr>
                  <w:rStyle w:val="Strong"/>
                  <w:rFonts w:eastAsiaTheme="majorEastAsia"/>
                  <w:b w:val="0"/>
                  <w:bCs w:val="0"/>
                  <w:lang w:val="en-GB"/>
                </w:rPr>
                <w:fldChar w:fldCharType="end"/>
              </w:r>
            </w:sdtContent>
          </w:sdt>
          <w:r w:rsidR="00307A75">
            <w:rPr>
              <w:lang w:val="en-GB"/>
            </w:rPr>
            <w:t>.</w:t>
          </w:r>
          <w:r w:rsidRPr="00AE61F1">
            <w:rPr>
              <w:lang w:val="en-GB"/>
            </w:rPr>
            <w:t xml:space="preserve"> </w:t>
          </w:r>
          <w:r w:rsidRPr="00AE61F1">
            <w:rPr>
              <w:rStyle w:val="Strong"/>
              <w:rFonts w:eastAsiaTheme="majorEastAsia"/>
              <w:b w:val="0"/>
              <w:bCs w:val="0"/>
              <w:lang w:val="en-GB"/>
            </w:rPr>
            <w:t>That decline does not indicate distress, but it does show lower headroom.</w:t>
          </w:r>
          <w:r w:rsidR="00307A75">
            <w:rPr>
              <w:rStyle w:val="Strong"/>
              <w:rFonts w:eastAsiaTheme="majorEastAsia"/>
              <w:b w:val="0"/>
              <w:bCs w:val="0"/>
              <w:lang w:val="en-GB"/>
            </w:rPr>
            <w:t xml:space="preserve"> </w:t>
          </w:r>
          <w:sdt>
            <w:sdtPr>
              <w:rPr>
                <w:rStyle w:val="Strong"/>
                <w:rFonts w:eastAsiaTheme="majorEastAsia"/>
                <w:b w:val="0"/>
                <w:bCs w:val="0"/>
                <w:lang w:val="en-GB"/>
              </w:rPr>
              <w:id w:val="1480646067"/>
              <w:citation/>
            </w:sdtPr>
            <w:sdtContent>
              <w:r w:rsidR="00307A75">
                <w:rPr>
                  <w:rStyle w:val="Strong"/>
                  <w:rFonts w:eastAsiaTheme="majorEastAsia"/>
                  <w:b w:val="0"/>
                  <w:bCs w:val="0"/>
                  <w:lang w:val="en-GB"/>
                </w:rPr>
                <w:fldChar w:fldCharType="begin"/>
              </w:r>
              <w:r w:rsidR="00307A75">
                <w:rPr>
                  <w:rStyle w:val="Strong"/>
                  <w:rFonts w:eastAsiaTheme="majorEastAsia"/>
                  <w:b w:val="0"/>
                  <w:bCs w:val="0"/>
                </w:rPr>
                <w:instrText xml:space="preserve"> CITATION Sun20 \l 1033  \m Ric23</w:instrText>
              </w:r>
              <w:r w:rsidR="00307A75">
                <w:rPr>
                  <w:rStyle w:val="Strong"/>
                  <w:rFonts w:eastAsiaTheme="majorEastAsia"/>
                  <w:b w:val="0"/>
                  <w:bCs w:val="0"/>
                  <w:lang w:val="en-GB"/>
                </w:rPr>
                <w:fldChar w:fldCharType="separate"/>
              </w:r>
              <w:r w:rsidR="00307A75" w:rsidRPr="00307A75">
                <w:rPr>
                  <w:rFonts w:eastAsiaTheme="majorEastAsia"/>
                  <w:noProof/>
                </w:rPr>
                <w:t>(Sunil Mahajan, 2020; Richard Arhinful; Mehrshad Radmehr, 2023)</w:t>
              </w:r>
              <w:r w:rsidR="00307A75">
                <w:rPr>
                  <w:rStyle w:val="Strong"/>
                  <w:rFonts w:eastAsiaTheme="majorEastAsia"/>
                  <w:b w:val="0"/>
                  <w:bCs w:val="0"/>
                  <w:lang w:val="en-GB"/>
                </w:rPr>
                <w:fldChar w:fldCharType="end"/>
              </w:r>
            </w:sdtContent>
          </w:sdt>
          <w:r w:rsidR="00C942ED">
            <w:rPr>
              <w:lang w:val="en-GB"/>
            </w:rPr>
            <w:t>.</w:t>
          </w:r>
          <w:r w:rsidRPr="00AE61F1">
            <w:rPr>
              <w:lang w:val="en-GB"/>
            </w:rPr>
            <w:t xml:space="preserve"> </w:t>
          </w:r>
          <w:r w:rsidRPr="00AE61F1">
            <w:rPr>
              <w:rStyle w:val="Strong"/>
              <w:rFonts w:eastAsiaTheme="majorEastAsia"/>
              <w:b w:val="0"/>
              <w:bCs w:val="0"/>
              <w:lang w:val="en-GB"/>
            </w:rPr>
            <w:t>Higher refinancing costs, commercial paper costs and lower pension-related finance benefits were identified by management as drivers of the increase in finance costs.</w:t>
          </w:r>
          <w:r w:rsidRPr="00AE61F1">
            <w:rPr>
              <w:lang w:val="en-GB"/>
            </w:rPr>
            <w:t xml:space="preserve"> </w:t>
          </w:r>
          <w:r w:rsidRPr="00AE61F1">
            <w:rPr>
              <w:rStyle w:val="Strong"/>
              <w:rFonts w:eastAsiaTheme="majorEastAsia"/>
              <w:b w:val="0"/>
              <w:bCs w:val="0"/>
              <w:lang w:val="en-GB"/>
            </w:rPr>
            <w:t>In benchmarking terms, the company is still comfortably within investment-grade territory, yet the direction of travel matters.</w:t>
          </w:r>
          <w:r w:rsidR="00C942ED">
            <w:rPr>
              <w:rStyle w:val="Strong"/>
              <w:rFonts w:eastAsiaTheme="majorEastAsia"/>
              <w:b w:val="0"/>
              <w:bCs w:val="0"/>
              <w:lang w:val="en-GB"/>
            </w:rPr>
            <w:t xml:space="preserve"> </w:t>
          </w:r>
          <w:sdt>
            <w:sdtPr>
              <w:rPr>
                <w:rStyle w:val="Strong"/>
                <w:rFonts w:eastAsiaTheme="majorEastAsia"/>
                <w:b w:val="0"/>
                <w:bCs w:val="0"/>
                <w:lang w:val="en-GB"/>
              </w:rPr>
              <w:id w:val="1708603356"/>
              <w:citation/>
            </w:sdtPr>
            <w:sdtContent>
              <w:r w:rsidR="00C942ED">
                <w:rPr>
                  <w:rStyle w:val="Strong"/>
                  <w:rFonts w:eastAsiaTheme="majorEastAsia"/>
                  <w:b w:val="0"/>
                  <w:bCs w:val="0"/>
                  <w:lang w:val="en-GB"/>
                </w:rPr>
                <w:fldChar w:fldCharType="begin"/>
              </w:r>
              <w:r w:rsidR="00C942ED">
                <w:rPr>
                  <w:rStyle w:val="Strong"/>
                  <w:rFonts w:eastAsiaTheme="majorEastAsia"/>
                  <w:b w:val="0"/>
                  <w:bCs w:val="0"/>
                </w:rPr>
                <w:instrText xml:space="preserve"> CITATION Uni253 \l 1033  \m Ros19</w:instrText>
              </w:r>
              <w:r w:rsidR="00C942ED">
                <w:rPr>
                  <w:rStyle w:val="Strong"/>
                  <w:rFonts w:eastAsiaTheme="majorEastAsia"/>
                  <w:b w:val="0"/>
                  <w:bCs w:val="0"/>
                  <w:lang w:val="en-GB"/>
                </w:rPr>
                <w:fldChar w:fldCharType="separate"/>
              </w:r>
              <w:r w:rsidR="00C942ED" w:rsidRPr="00C942ED">
                <w:rPr>
                  <w:rFonts w:eastAsiaTheme="majorEastAsia"/>
                  <w:noProof/>
                </w:rPr>
                <w:t>(Unilever PLC, 2025; Ross, S.A.; Westerfield, R.W.; Jordan, B.D., 2019)</w:t>
              </w:r>
              <w:r w:rsidR="00C942ED">
                <w:rPr>
                  <w:rStyle w:val="Strong"/>
                  <w:rFonts w:eastAsiaTheme="majorEastAsia"/>
                  <w:b w:val="0"/>
                  <w:bCs w:val="0"/>
                  <w:lang w:val="en-GB"/>
                </w:rPr>
                <w:fldChar w:fldCharType="end"/>
              </w:r>
            </w:sdtContent>
          </w:sdt>
          <w:r w:rsidR="00C942ED">
            <w:rPr>
              <w:lang w:val="en-GB"/>
            </w:rPr>
            <w:t>.</w:t>
          </w:r>
          <w:r w:rsidRPr="00AE61F1">
            <w:rPr>
              <w:lang w:val="en-GB"/>
            </w:rPr>
            <w:t xml:space="preserve"> </w:t>
          </w:r>
          <w:r w:rsidRPr="00AE61F1">
            <w:rPr>
              <w:rStyle w:val="Strong"/>
              <w:rFonts w:eastAsiaTheme="majorEastAsia"/>
              <w:b w:val="0"/>
              <w:bCs w:val="0"/>
              <w:lang w:val="en-GB"/>
            </w:rPr>
            <w:t>If finance costs continue rising while statutory profit remains under pressure from restructuring or disposals, gearing could become a bigger drag on reported returns.</w:t>
          </w:r>
          <w:r w:rsidR="00C942ED">
            <w:rPr>
              <w:rStyle w:val="Strong"/>
              <w:rFonts w:eastAsiaTheme="majorEastAsia"/>
              <w:b w:val="0"/>
              <w:bCs w:val="0"/>
              <w:lang w:val="en-GB"/>
            </w:rPr>
            <w:t xml:space="preserve"> </w:t>
          </w:r>
          <w:sdt>
            <w:sdtPr>
              <w:rPr>
                <w:rStyle w:val="Strong"/>
                <w:rFonts w:eastAsiaTheme="majorEastAsia"/>
                <w:b w:val="0"/>
                <w:bCs w:val="0"/>
                <w:lang w:val="en-GB"/>
              </w:rPr>
              <w:id w:val="-492566959"/>
              <w:citation/>
            </w:sdtPr>
            <w:sdtContent>
              <w:r w:rsidR="00C942ED">
                <w:rPr>
                  <w:rStyle w:val="Strong"/>
                  <w:rFonts w:eastAsiaTheme="majorEastAsia"/>
                  <w:b w:val="0"/>
                  <w:bCs w:val="0"/>
                  <w:lang w:val="en-GB"/>
                </w:rPr>
                <w:fldChar w:fldCharType="begin"/>
              </w:r>
              <w:r w:rsidR="00C942ED">
                <w:rPr>
                  <w:rStyle w:val="Strong"/>
                  <w:rFonts w:eastAsiaTheme="majorEastAsia"/>
                  <w:b w:val="0"/>
                  <w:bCs w:val="0"/>
                </w:rPr>
                <w:instrText xml:space="preserve"> CITATION Uni253 \l 1033  \m Ric24</w:instrText>
              </w:r>
              <w:r w:rsidR="00C942ED">
                <w:rPr>
                  <w:rStyle w:val="Strong"/>
                  <w:rFonts w:eastAsiaTheme="majorEastAsia"/>
                  <w:b w:val="0"/>
                  <w:bCs w:val="0"/>
                  <w:lang w:val="en-GB"/>
                </w:rPr>
                <w:fldChar w:fldCharType="separate"/>
              </w:r>
              <w:r w:rsidR="00C942ED" w:rsidRPr="00C942ED">
                <w:rPr>
                  <w:rFonts w:eastAsiaTheme="majorEastAsia"/>
                  <w:noProof/>
                </w:rPr>
                <w:t>(Unilever PLC, 2025; Jessica DiNapoli, Svea Herbst-Bayliss, Siddharth Cavale and Abigail Summerville, 2025)</w:t>
              </w:r>
              <w:r w:rsidR="00C942ED">
                <w:rPr>
                  <w:rStyle w:val="Strong"/>
                  <w:rFonts w:eastAsiaTheme="majorEastAsia"/>
                  <w:b w:val="0"/>
                  <w:bCs w:val="0"/>
                  <w:lang w:val="en-GB"/>
                </w:rPr>
                <w:fldChar w:fldCharType="end"/>
              </w:r>
            </w:sdtContent>
          </w:sdt>
          <w:r w:rsidR="00C942ED">
            <w:rPr>
              <w:lang w:val="en-GB"/>
            </w:rPr>
            <w:t>.</w:t>
          </w:r>
          <w:r w:rsidRPr="00AE61F1">
            <w:rPr>
              <w:lang w:val="en-GB"/>
            </w:rPr>
            <w:t xml:space="preserve"> </w:t>
          </w:r>
          <w:r w:rsidRPr="00AE61F1">
            <w:rPr>
              <w:rStyle w:val="Strong"/>
              <w:rFonts w:eastAsiaTheme="majorEastAsia"/>
              <w:b w:val="0"/>
              <w:bCs w:val="0"/>
              <w:lang w:val="en-GB"/>
            </w:rPr>
            <w:t>The Board should therefore view 2024 as stable but not complacency-worthy: leverage is supportable because of operating strength, not because liquidity is abundant.</w:t>
          </w:r>
          <w:r w:rsidR="00C942ED">
            <w:rPr>
              <w:rStyle w:val="Strong"/>
              <w:rFonts w:eastAsiaTheme="majorEastAsia"/>
              <w:b w:val="0"/>
              <w:bCs w:val="0"/>
              <w:lang w:val="en-GB"/>
            </w:rPr>
            <w:t xml:space="preserve"> </w:t>
          </w:r>
          <w:sdt>
            <w:sdtPr>
              <w:rPr>
                <w:rStyle w:val="Strong"/>
                <w:rFonts w:eastAsiaTheme="majorEastAsia"/>
                <w:b w:val="0"/>
                <w:bCs w:val="0"/>
                <w:lang w:val="en-GB"/>
              </w:rPr>
              <w:id w:val="1188110332"/>
              <w:citation/>
            </w:sdtPr>
            <w:sdtContent>
              <w:r w:rsidR="00C942ED">
                <w:rPr>
                  <w:rStyle w:val="Strong"/>
                  <w:rFonts w:eastAsiaTheme="majorEastAsia"/>
                  <w:b w:val="0"/>
                  <w:bCs w:val="0"/>
                  <w:lang w:val="en-GB"/>
                </w:rPr>
                <w:fldChar w:fldCharType="begin"/>
              </w:r>
              <w:r w:rsidR="00C942ED">
                <w:rPr>
                  <w:rStyle w:val="Strong"/>
                  <w:rFonts w:eastAsiaTheme="majorEastAsia"/>
                  <w:b w:val="0"/>
                  <w:bCs w:val="0"/>
                </w:rPr>
                <w:instrText xml:space="preserve"> CITATION Uni253 \l 1033  \m Sun20</w:instrText>
              </w:r>
              <w:r w:rsidR="00C942ED">
                <w:rPr>
                  <w:rStyle w:val="Strong"/>
                  <w:rFonts w:eastAsiaTheme="majorEastAsia"/>
                  <w:b w:val="0"/>
                  <w:bCs w:val="0"/>
                  <w:lang w:val="en-GB"/>
                </w:rPr>
                <w:fldChar w:fldCharType="separate"/>
              </w:r>
              <w:r w:rsidR="00C942ED" w:rsidRPr="00C942ED">
                <w:rPr>
                  <w:rFonts w:eastAsiaTheme="majorEastAsia"/>
                  <w:noProof/>
                </w:rPr>
                <w:t>(Unilever PLC, 2025; Sunil Mahajan, 2020)</w:t>
              </w:r>
              <w:r w:rsidR="00C942ED">
                <w:rPr>
                  <w:rStyle w:val="Strong"/>
                  <w:rFonts w:eastAsiaTheme="majorEastAsia"/>
                  <w:b w:val="0"/>
                  <w:bCs w:val="0"/>
                  <w:lang w:val="en-GB"/>
                </w:rPr>
                <w:fldChar w:fldCharType="end"/>
              </w:r>
            </w:sdtContent>
          </w:sdt>
          <w:r w:rsidR="00C942ED">
            <w:rPr>
              <w:lang w:val="en-GB"/>
            </w:rPr>
            <w:t>.</w:t>
          </w:r>
        </w:p>
        <w:p w14:paraId="7EF1AA99" w14:textId="77777777" w:rsidR="00AB195B" w:rsidRPr="00AE61F1" w:rsidRDefault="00AB195B" w:rsidP="00AB195B"/>
        <w:p w14:paraId="590F409B" w14:textId="562CFF87" w:rsidR="004B4A25" w:rsidRPr="00AE61F1" w:rsidRDefault="0071417F" w:rsidP="004B4A25">
          <w:pPr>
            <w:pStyle w:val="Heading2"/>
            <w:numPr>
              <w:ilvl w:val="1"/>
              <w:numId w:val="1"/>
            </w:numPr>
          </w:pPr>
          <w:bookmarkStart w:id="8" w:name="_Toc226410215"/>
          <w:r w:rsidRPr="00AE61F1">
            <w:t>Efficiency Ratio Analysis and Benchmarking</w:t>
          </w:r>
          <w:bookmarkEnd w:id="8"/>
        </w:p>
        <w:p w14:paraId="74D22730" w14:textId="28B44E35" w:rsidR="00F6322F" w:rsidRPr="00AE61F1" w:rsidRDefault="00F6322F" w:rsidP="00F268E8">
          <w:pPr>
            <w:pStyle w:val="NormalWeb"/>
            <w:rPr>
              <w:lang w:val="en-GB"/>
            </w:rPr>
          </w:pPr>
          <w:r w:rsidRPr="00AE61F1">
            <w:rPr>
              <w:rStyle w:val="Strong"/>
              <w:rFonts w:eastAsiaTheme="majorEastAsia"/>
              <w:b w:val="0"/>
              <w:bCs w:val="0"/>
              <w:lang w:val="en-GB"/>
            </w:rPr>
            <w:t>Efficiency ratios indicate that Unilever preserved asset productivity while modestly stretching some working-capital metrics.</w:t>
          </w:r>
          <w:r w:rsidR="00687633">
            <w:rPr>
              <w:rStyle w:val="Strong"/>
              <w:rFonts w:eastAsiaTheme="majorEastAsia"/>
              <w:b w:val="0"/>
              <w:bCs w:val="0"/>
              <w:lang w:val="en-GB"/>
            </w:rPr>
            <w:t xml:space="preserve"> </w:t>
          </w:r>
          <w:sdt>
            <w:sdtPr>
              <w:rPr>
                <w:rStyle w:val="Strong"/>
                <w:rFonts w:eastAsiaTheme="majorEastAsia"/>
                <w:b w:val="0"/>
                <w:bCs w:val="0"/>
                <w:lang w:val="en-GB"/>
              </w:rPr>
              <w:id w:val="-1616204929"/>
              <w:citation/>
            </w:sdtPr>
            <w:sdtContent>
              <w:r w:rsidR="00687633">
                <w:rPr>
                  <w:rStyle w:val="Strong"/>
                  <w:rFonts w:eastAsiaTheme="majorEastAsia"/>
                  <w:b w:val="0"/>
                  <w:bCs w:val="0"/>
                  <w:lang w:val="en-GB"/>
                </w:rPr>
                <w:fldChar w:fldCharType="begin"/>
              </w:r>
              <w:r w:rsidR="00687633">
                <w:rPr>
                  <w:rStyle w:val="Strong"/>
                  <w:rFonts w:eastAsiaTheme="majorEastAsia"/>
                  <w:b w:val="0"/>
                  <w:bCs w:val="0"/>
                </w:rPr>
                <w:instrText xml:space="preserve"> CITATION Uni253 \l 1033  \m Zha25</w:instrText>
              </w:r>
              <w:r w:rsidR="00687633">
                <w:rPr>
                  <w:rStyle w:val="Strong"/>
                  <w:rFonts w:eastAsiaTheme="majorEastAsia"/>
                  <w:b w:val="0"/>
                  <w:bCs w:val="0"/>
                  <w:lang w:val="en-GB"/>
                </w:rPr>
                <w:fldChar w:fldCharType="separate"/>
              </w:r>
              <w:r w:rsidR="00687633" w:rsidRPr="00687633">
                <w:rPr>
                  <w:rFonts w:eastAsiaTheme="majorEastAsia"/>
                  <w:noProof/>
                </w:rPr>
                <w:t>(Unilever PLC, 2025; Zhang, Yi; Silva, Beatriz; Moreau, Élodie; T¯ane, Hinewera, 2025)</w:t>
              </w:r>
              <w:r w:rsidR="00687633">
                <w:rPr>
                  <w:rStyle w:val="Strong"/>
                  <w:rFonts w:eastAsiaTheme="majorEastAsia"/>
                  <w:b w:val="0"/>
                  <w:bCs w:val="0"/>
                  <w:lang w:val="en-GB"/>
                </w:rPr>
                <w:fldChar w:fldCharType="end"/>
              </w:r>
            </w:sdtContent>
          </w:sdt>
          <w:r w:rsidR="00D613D4">
            <w:rPr>
              <w:lang w:val="en-GB"/>
            </w:rPr>
            <w:t xml:space="preserve">. </w:t>
          </w:r>
          <w:r w:rsidRPr="00AE61F1">
            <w:rPr>
              <w:rStyle w:val="Strong"/>
              <w:rFonts w:eastAsiaTheme="majorEastAsia"/>
              <w:b w:val="0"/>
              <w:bCs w:val="0"/>
              <w:lang w:val="en-GB"/>
            </w:rPr>
            <w:t>Asset turnover remained almost unchanged at around 0.78x in both years, which suggests that the business generated similar revenue for each euro invested in assets despite portfolio activity and balance-sheet expansion</w:t>
          </w:r>
          <w:r w:rsidR="00D613D4">
            <w:rPr>
              <w:lang w:val="en-GB"/>
            </w:rPr>
            <w:t xml:space="preserve">. </w:t>
          </w:r>
          <w:r w:rsidRPr="00AE61F1">
            <w:rPr>
              <w:rStyle w:val="Strong"/>
              <w:rFonts w:eastAsiaTheme="majorEastAsia"/>
              <w:b w:val="0"/>
              <w:bCs w:val="0"/>
              <w:lang w:val="en-GB"/>
            </w:rPr>
            <w:t>Inventory days, using the practical proxy available from published statements, improved marginally from 31.3 to 31.1 days, indicating stable stock discipline</w:t>
          </w:r>
          <w:r w:rsidR="009029C5">
            <w:rPr>
              <w:rStyle w:val="Strong"/>
              <w:rFonts w:eastAsiaTheme="majorEastAsia"/>
              <w:b w:val="0"/>
              <w:bCs w:val="0"/>
              <w:lang w:val="en-GB"/>
            </w:rPr>
            <w:t xml:space="preserve"> </w:t>
          </w:r>
          <w:sdt>
            <w:sdtPr>
              <w:rPr>
                <w:rStyle w:val="Strong"/>
                <w:rFonts w:eastAsiaTheme="majorEastAsia"/>
                <w:b w:val="0"/>
                <w:bCs w:val="0"/>
                <w:lang w:val="en-GB"/>
              </w:rPr>
              <w:id w:val="214939883"/>
              <w:citation/>
            </w:sdtPr>
            <w:sdtContent>
              <w:r w:rsidR="009029C5">
                <w:rPr>
                  <w:rStyle w:val="Strong"/>
                  <w:rFonts w:eastAsiaTheme="majorEastAsia"/>
                  <w:b w:val="0"/>
                  <w:bCs w:val="0"/>
                  <w:lang w:val="en-GB"/>
                </w:rPr>
                <w:fldChar w:fldCharType="begin"/>
              </w:r>
              <w:r w:rsidR="009029C5">
                <w:rPr>
                  <w:rStyle w:val="Strong"/>
                  <w:rFonts w:eastAsiaTheme="majorEastAsia"/>
                  <w:b w:val="0"/>
                  <w:bCs w:val="0"/>
                </w:rPr>
                <w:instrText xml:space="preserve"> CITATION Uni253 \l 1033  \m Uni242</w:instrText>
              </w:r>
              <w:r w:rsidR="009029C5">
                <w:rPr>
                  <w:rStyle w:val="Strong"/>
                  <w:rFonts w:eastAsiaTheme="majorEastAsia"/>
                  <w:b w:val="0"/>
                  <w:bCs w:val="0"/>
                  <w:lang w:val="en-GB"/>
                </w:rPr>
                <w:fldChar w:fldCharType="separate"/>
              </w:r>
              <w:r w:rsidR="009029C5" w:rsidRPr="00745B2A">
                <w:rPr>
                  <w:rFonts w:eastAsiaTheme="majorEastAsia"/>
                  <w:noProof/>
                </w:rPr>
                <w:t>(Unilever PLC, 2025; Unilever PLC, 2024)</w:t>
              </w:r>
              <w:r w:rsidR="009029C5">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Receivable days increased slightly from 35.4 to 36.1 days, which is not a serious deterioration but does suggest that some additional working-capital intensity emerged in 2024.</w:t>
          </w:r>
          <w:r w:rsidRPr="00AE61F1">
            <w:rPr>
              <w:lang w:val="en-GB"/>
            </w:rPr>
            <w:t xml:space="preserve"> </w:t>
          </w:r>
          <w:r w:rsidRPr="00AE61F1">
            <w:rPr>
              <w:rStyle w:val="Strong"/>
              <w:rFonts w:eastAsiaTheme="majorEastAsia"/>
              <w:b w:val="0"/>
              <w:bCs w:val="0"/>
              <w:lang w:val="en-GB"/>
            </w:rPr>
            <w:t>Overall, the benchmark message is one of operational steadiness rather than dramatic improvement.</w:t>
          </w:r>
          <w:r w:rsidR="00A6255C">
            <w:rPr>
              <w:rStyle w:val="Strong"/>
              <w:rFonts w:eastAsiaTheme="majorEastAsia"/>
              <w:b w:val="0"/>
              <w:bCs w:val="0"/>
              <w:lang w:val="en-GB"/>
            </w:rPr>
            <w:t xml:space="preserve"> </w:t>
          </w:r>
          <w:sdt>
            <w:sdtPr>
              <w:rPr>
                <w:rStyle w:val="Strong"/>
                <w:rFonts w:eastAsiaTheme="majorEastAsia"/>
                <w:b w:val="0"/>
                <w:bCs w:val="0"/>
                <w:lang w:val="en-GB"/>
              </w:rPr>
              <w:id w:val="1224563709"/>
              <w:citation/>
            </w:sdtPr>
            <w:sdtContent>
              <w:r w:rsidR="00B5145C">
                <w:rPr>
                  <w:rStyle w:val="Strong"/>
                  <w:rFonts w:eastAsiaTheme="majorEastAsia"/>
                  <w:b w:val="0"/>
                  <w:bCs w:val="0"/>
                  <w:lang w:val="en-GB"/>
                </w:rPr>
                <w:fldChar w:fldCharType="begin"/>
              </w:r>
              <w:r w:rsidR="003B068B">
                <w:rPr>
                  <w:rStyle w:val="Strong"/>
                  <w:rFonts w:eastAsiaTheme="majorEastAsia"/>
                  <w:b w:val="0"/>
                  <w:bCs w:val="0"/>
                </w:rPr>
                <w:instrText xml:space="preserve">CITATION Uni253 \m Hal24 \m Ope26 \l 1033 </w:instrText>
              </w:r>
              <w:r w:rsidR="00B5145C">
                <w:rPr>
                  <w:rStyle w:val="Strong"/>
                  <w:rFonts w:eastAsiaTheme="majorEastAsia"/>
                  <w:b w:val="0"/>
                  <w:bCs w:val="0"/>
                  <w:lang w:val="en-GB"/>
                </w:rPr>
                <w:fldChar w:fldCharType="separate"/>
              </w:r>
              <w:r w:rsidR="003B068B" w:rsidRPr="003B068B">
                <w:rPr>
                  <w:rFonts w:eastAsiaTheme="majorEastAsia"/>
                  <w:noProof/>
                </w:rPr>
                <w:t>(Unilever PLC, 2025; Halil Kiymaz, Samina Haque, Ahmed Abir Choudhury, 2024; OpenStax, 2026)</w:t>
              </w:r>
              <w:r w:rsidR="00B5145C">
                <w:rPr>
                  <w:rStyle w:val="Strong"/>
                  <w:rFonts w:eastAsiaTheme="majorEastAsia"/>
                  <w:b w:val="0"/>
                  <w:bCs w:val="0"/>
                  <w:lang w:val="en-GB"/>
                </w:rPr>
                <w:fldChar w:fldCharType="end"/>
              </w:r>
            </w:sdtContent>
          </w:sdt>
          <w:r w:rsidR="008C4D72">
            <w:rPr>
              <w:lang w:val="en-GB"/>
            </w:rPr>
            <w:t>.</w:t>
          </w:r>
        </w:p>
        <w:p w14:paraId="48C7D27A" w14:textId="77777777" w:rsidR="00F268E8" w:rsidRPr="00AE61F1" w:rsidRDefault="00F268E8">
          <w:pPr>
            <w:rPr>
              <w:rFonts w:eastAsia="Times New Roman" w:cs="Times New Roman"/>
              <w:szCs w:val="24"/>
            </w:rPr>
          </w:pPr>
          <w:r w:rsidRPr="00AE61F1">
            <w:br w:type="page"/>
          </w:r>
        </w:p>
        <w:p w14:paraId="4B1B1455" w14:textId="292EA744" w:rsidR="00F90D74" w:rsidRPr="00AE61F1" w:rsidRDefault="00F6322F" w:rsidP="00F268E8">
          <w:pPr>
            <w:pStyle w:val="NormalWeb"/>
            <w:rPr>
              <w:lang w:val="en-GB"/>
            </w:rPr>
          </w:pPr>
          <w:r w:rsidRPr="00AE61F1">
            <w:rPr>
              <w:rStyle w:val="Strong"/>
              <w:rFonts w:eastAsiaTheme="majorEastAsia"/>
              <w:b w:val="0"/>
              <w:bCs w:val="0"/>
              <w:lang w:val="en-GB"/>
            </w:rPr>
            <w:lastRenderedPageBreak/>
            <w:t>This matters because Unilever’s strategic case for margin expansion depends partly on productivity and cash discipline.</w:t>
          </w:r>
          <w:r w:rsidRPr="00AE61F1">
            <w:rPr>
              <w:lang w:val="en-GB"/>
            </w:rPr>
            <w:t xml:space="preserve"> </w:t>
          </w:r>
          <w:r w:rsidRPr="00AE61F1">
            <w:rPr>
              <w:rStyle w:val="Strong"/>
              <w:rFonts w:eastAsiaTheme="majorEastAsia"/>
              <w:b w:val="0"/>
              <w:bCs w:val="0"/>
              <w:lang w:val="en-GB"/>
            </w:rPr>
            <w:t>If the company can sustain higher gross margins while also preserving asset turnover and controlling working capital, then margin gains are more likely to convert into free cash flow and shareholder value</w:t>
          </w:r>
          <w:r w:rsidR="008C4D72">
            <w:rPr>
              <w:rStyle w:val="Strong"/>
              <w:rFonts w:eastAsiaTheme="majorEastAsia"/>
              <w:b w:val="0"/>
              <w:bCs w:val="0"/>
              <w:lang w:val="en-GB"/>
            </w:rPr>
            <w:t xml:space="preserve"> </w:t>
          </w:r>
          <w:sdt>
            <w:sdtPr>
              <w:rPr>
                <w:rStyle w:val="Strong"/>
                <w:rFonts w:eastAsiaTheme="majorEastAsia"/>
                <w:b w:val="0"/>
                <w:bCs w:val="0"/>
                <w:lang w:val="en-GB"/>
              </w:rPr>
              <w:id w:val="-852874669"/>
              <w:citation/>
            </w:sdtPr>
            <w:sdtContent>
              <w:r w:rsidR="003C0292">
                <w:rPr>
                  <w:rStyle w:val="Strong"/>
                  <w:rFonts w:eastAsiaTheme="majorEastAsia"/>
                  <w:b w:val="0"/>
                  <w:bCs w:val="0"/>
                  <w:lang w:val="en-GB"/>
                </w:rPr>
                <w:fldChar w:fldCharType="begin"/>
              </w:r>
              <w:r w:rsidR="003C0292">
                <w:rPr>
                  <w:rStyle w:val="Strong"/>
                  <w:rFonts w:eastAsiaTheme="majorEastAsia"/>
                  <w:b w:val="0"/>
                  <w:bCs w:val="0"/>
                </w:rPr>
                <w:instrText xml:space="preserve"> CITATION Uni253 \l 1033 </w:instrText>
              </w:r>
              <w:r w:rsidR="000E6341">
                <w:rPr>
                  <w:rStyle w:val="Strong"/>
                  <w:rFonts w:eastAsiaTheme="majorEastAsia"/>
                  <w:b w:val="0"/>
                  <w:bCs w:val="0"/>
                </w:rPr>
                <w:instrText xml:space="preserve"> \m Hal24</w:instrText>
              </w:r>
              <w:r w:rsidR="003C0292">
                <w:rPr>
                  <w:rStyle w:val="Strong"/>
                  <w:rFonts w:eastAsiaTheme="majorEastAsia"/>
                  <w:b w:val="0"/>
                  <w:bCs w:val="0"/>
                  <w:lang w:val="en-GB"/>
                </w:rPr>
                <w:fldChar w:fldCharType="separate"/>
              </w:r>
              <w:r w:rsidR="000E6341" w:rsidRPr="000E6341">
                <w:rPr>
                  <w:rFonts w:eastAsiaTheme="majorEastAsia"/>
                  <w:noProof/>
                </w:rPr>
                <w:t>(Unilever PLC, 2025; Halil Kiymaz, Samina Haque, Ahmed Abir Choudhury, 2024)</w:t>
              </w:r>
              <w:r w:rsidR="003C0292">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Management’s own communication around cash conversion and underlying ROIC suggests progress on exactly this front.</w:t>
          </w:r>
          <w:r w:rsidRPr="00AE61F1">
            <w:rPr>
              <w:lang w:val="en-GB"/>
            </w:rPr>
            <w:t xml:space="preserve"> </w:t>
          </w:r>
          <w:r w:rsidRPr="00AE61F1">
            <w:rPr>
              <w:rStyle w:val="Strong"/>
              <w:rFonts w:eastAsiaTheme="majorEastAsia"/>
              <w:b w:val="0"/>
              <w:bCs w:val="0"/>
              <w:lang w:val="en-GB"/>
            </w:rPr>
            <w:t>Nevertheless, ratio analysis here has a limitation: published statement headings combine ‘trade and other’ balances, so the receivables and inventory indicators used in this report are informed approximations rather than pure textbook trade-working-capital ratios</w:t>
          </w:r>
          <w:r w:rsidR="00E96EA3">
            <w:rPr>
              <w:rStyle w:val="Strong"/>
              <w:rFonts w:eastAsiaTheme="majorEastAsia"/>
              <w:b w:val="0"/>
              <w:bCs w:val="0"/>
              <w:lang w:val="en-GB"/>
            </w:rPr>
            <w:t xml:space="preserve"> </w:t>
          </w:r>
          <w:sdt>
            <w:sdtPr>
              <w:rPr>
                <w:rStyle w:val="Strong"/>
                <w:rFonts w:eastAsiaTheme="majorEastAsia"/>
                <w:b w:val="0"/>
                <w:bCs w:val="0"/>
                <w:lang w:val="en-GB"/>
              </w:rPr>
              <w:id w:val="1641919892"/>
              <w:citation/>
            </w:sdtPr>
            <w:sdtContent>
              <w:r w:rsidR="005D6A06">
                <w:rPr>
                  <w:rStyle w:val="Strong"/>
                  <w:rFonts w:eastAsiaTheme="majorEastAsia"/>
                  <w:b w:val="0"/>
                  <w:bCs w:val="0"/>
                  <w:lang w:val="en-GB"/>
                </w:rPr>
                <w:fldChar w:fldCharType="begin"/>
              </w:r>
              <w:r w:rsidR="005D6A06">
                <w:rPr>
                  <w:rStyle w:val="Strong"/>
                  <w:rFonts w:eastAsiaTheme="majorEastAsia"/>
                  <w:b w:val="0"/>
                  <w:bCs w:val="0"/>
                </w:rPr>
                <w:instrText xml:space="preserve"> CITATION Uni253 \l 1033 </w:instrText>
              </w:r>
              <w:r w:rsidR="001334E0">
                <w:rPr>
                  <w:rStyle w:val="Strong"/>
                  <w:rFonts w:eastAsiaTheme="majorEastAsia"/>
                  <w:b w:val="0"/>
                  <w:bCs w:val="0"/>
                </w:rPr>
                <w:instrText xml:space="preserve"> \m Uni242 \m Zha25</w:instrText>
              </w:r>
              <w:r w:rsidR="005D6A06">
                <w:rPr>
                  <w:rStyle w:val="Strong"/>
                  <w:rFonts w:eastAsiaTheme="majorEastAsia"/>
                  <w:b w:val="0"/>
                  <w:bCs w:val="0"/>
                  <w:lang w:val="en-GB"/>
                </w:rPr>
                <w:fldChar w:fldCharType="separate"/>
              </w:r>
              <w:r w:rsidR="001334E0" w:rsidRPr="001334E0">
                <w:rPr>
                  <w:rFonts w:eastAsiaTheme="majorEastAsia"/>
                  <w:noProof/>
                </w:rPr>
                <w:t>(Unilever PLC, 2025; Unilever PLC, 2024; Zhang, Yi; Silva, Beatriz; Moreau, Élodie; T¯ane, Hinewera, 2025)</w:t>
              </w:r>
              <w:r w:rsidR="005D6A06">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That should be acknowledged transparently in the final submission, especially if your professor’s sheet uses more narrowly defined line items</w:t>
          </w:r>
          <w:r w:rsidR="00867D09">
            <w:rPr>
              <w:rStyle w:val="Strong"/>
              <w:rFonts w:eastAsiaTheme="majorEastAsia"/>
              <w:b w:val="0"/>
              <w:bCs w:val="0"/>
              <w:lang w:val="en-GB"/>
            </w:rPr>
            <w:t xml:space="preserve"> </w:t>
          </w:r>
          <w:sdt>
            <w:sdtPr>
              <w:rPr>
                <w:rStyle w:val="Strong"/>
                <w:rFonts w:eastAsiaTheme="majorEastAsia"/>
                <w:b w:val="0"/>
                <w:bCs w:val="0"/>
                <w:lang w:val="en-GB"/>
              </w:rPr>
              <w:id w:val="1313135363"/>
              <w:citation/>
            </w:sdtPr>
            <w:sdtContent>
              <w:r w:rsidR="00867D09">
                <w:rPr>
                  <w:rStyle w:val="Strong"/>
                  <w:rFonts w:eastAsiaTheme="majorEastAsia"/>
                  <w:b w:val="0"/>
                  <w:bCs w:val="0"/>
                  <w:lang w:val="en-GB"/>
                </w:rPr>
                <w:fldChar w:fldCharType="begin"/>
              </w:r>
              <w:r w:rsidR="00867D09">
                <w:rPr>
                  <w:rStyle w:val="Strong"/>
                  <w:rFonts w:eastAsiaTheme="majorEastAsia"/>
                  <w:b w:val="0"/>
                  <w:bCs w:val="0"/>
                </w:rPr>
                <w:instrText xml:space="preserve"> CITATION Zha25 \l 1033 </w:instrText>
              </w:r>
              <w:r w:rsidR="00867D09">
                <w:rPr>
                  <w:rStyle w:val="Strong"/>
                  <w:rFonts w:eastAsiaTheme="majorEastAsia"/>
                  <w:b w:val="0"/>
                  <w:bCs w:val="0"/>
                  <w:lang w:val="en-GB"/>
                </w:rPr>
                <w:fldChar w:fldCharType="separate"/>
              </w:r>
              <w:r w:rsidR="00867D09" w:rsidRPr="00867D09">
                <w:rPr>
                  <w:rFonts w:eastAsiaTheme="majorEastAsia"/>
                  <w:noProof/>
                </w:rPr>
                <w:t>(Zhang, Yi; Silva, Beatriz; Moreau, Élodie; T¯ane, Hinewera, 2025)</w:t>
              </w:r>
              <w:r w:rsidR="00867D09">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p>
        <w:p w14:paraId="67725B5F" w14:textId="63C9073F" w:rsidR="0071417F" w:rsidRPr="00AE61F1" w:rsidRDefault="0071417F" w:rsidP="004B4A25">
          <w:pPr>
            <w:pStyle w:val="Heading2"/>
            <w:numPr>
              <w:ilvl w:val="1"/>
              <w:numId w:val="1"/>
            </w:numPr>
          </w:pPr>
          <w:bookmarkStart w:id="9" w:name="_Toc226410216"/>
          <w:r w:rsidRPr="00AE61F1">
            <w:t>Investor Ratio Analysis and Benchmarking</w:t>
          </w:r>
          <w:bookmarkEnd w:id="9"/>
        </w:p>
        <w:p w14:paraId="174DD981" w14:textId="2318C02C" w:rsidR="001A715F" w:rsidRPr="00AE61F1" w:rsidRDefault="001A715F" w:rsidP="001A715F">
          <w:pPr>
            <w:pStyle w:val="NormalWeb"/>
            <w:rPr>
              <w:lang w:val="en-GB"/>
            </w:rPr>
          </w:pPr>
          <w:r w:rsidRPr="00AE61F1">
            <w:rPr>
              <w:rStyle w:val="Strong"/>
              <w:rFonts w:eastAsiaTheme="majorEastAsia"/>
              <w:b w:val="0"/>
              <w:bCs w:val="0"/>
              <w:lang w:val="en-GB"/>
            </w:rPr>
            <w:t>Investor ratios show a clearer split between statutory and underlying performance</w:t>
          </w:r>
          <w:r w:rsidR="003D3992">
            <w:rPr>
              <w:rStyle w:val="Strong"/>
              <w:rFonts w:eastAsiaTheme="majorEastAsia"/>
              <w:b w:val="0"/>
              <w:bCs w:val="0"/>
              <w:lang w:val="en-GB"/>
            </w:rPr>
            <w:t xml:space="preserve"> </w:t>
          </w:r>
          <w:sdt>
            <w:sdtPr>
              <w:rPr>
                <w:rStyle w:val="Strong"/>
                <w:rFonts w:eastAsiaTheme="majorEastAsia"/>
                <w:b w:val="0"/>
                <w:bCs w:val="0"/>
                <w:lang w:val="en-GB"/>
              </w:rPr>
              <w:id w:val="-474682136"/>
              <w:citation/>
            </w:sdtPr>
            <w:sdtContent>
              <w:r w:rsidR="003D3992">
                <w:rPr>
                  <w:rStyle w:val="Strong"/>
                  <w:rFonts w:eastAsiaTheme="majorEastAsia"/>
                  <w:b w:val="0"/>
                  <w:bCs w:val="0"/>
                  <w:lang w:val="en-GB"/>
                </w:rPr>
                <w:fldChar w:fldCharType="begin"/>
              </w:r>
              <w:r w:rsidR="003D3992">
                <w:rPr>
                  <w:rStyle w:val="Strong"/>
                  <w:rFonts w:eastAsiaTheme="majorEastAsia"/>
                  <w:b w:val="0"/>
                  <w:bCs w:val="0"/>
                </w:rPr>
                <w:instrText xml:space="preserve"> CITATION Zha25 \l 1033 </w:instrText>
              </w:r>
              <w:r w:rsidR="003D3992">
                <w:rPr>
                  <w:rStyle w:val="Strong"/>
                  <w:rFonts w:eastAsiaTheme="majorEastAsia"/>
                  <w:b w:val="0"/>
                  <w:bCs w:val="0"/>
                  <w:lang w:val="en-GB"/>
                </w:rPr>
                <w:fldChar w:fldCharType="separate"/>
              </w:r>
              <w:r w:rsidR="003D3992" w:rsidRPr="003D3992">
                <w:rPr>
                  <w:rFonts w:eastAsiaTheme="majorEastAsia"/>
                  <w:noProof/>
                </w:rPr>
                <w:t>(Zhang, Yi; Silva, Beatriz; Moreau, Élodie; T¯ane, Hinewera, 2025)</w:t>
              </w:r>
              <w:r w:rsidR="003D3992">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003D3992">
            <w:rPr>
              <w:lang w:val="en-GB"/>
            </w:rPr>
            <w:t xml:space="preserve"> </w:t>
          </w:r>
          <w:r w:rsidRPr="00AE61F1">
            <w:rPr>
              <w:rStyle w:val="Strong"/>
              <w:rFonts w:eastAsiaTheme="majorEastAsia"/>
              <w:b w:val="0"/>
              <w:bCs w:val="0"/>
              <w:lang w:val="en-GB"/>
            </w:rPr>
            <w:t>Diluted EPS fell from €2.56 in 2023 to €2.29 in 2024, mirroring the decline in reported profit attributable to shareholders.</w:t>
          </w:r>
          <w:r w:rsidRPr="00AE61F1">
            <w:rPr>
              <w:lang w:val="en-GB"/>
            </w:rPr>
            <w:t xml:space="preserve"> </w:t>
          </w:r>
          <w:r w:rsidRPr="00AE61F1">
            <w:rPr>
              <w:rStyle w:val="Strong"/>
              <w:rFonts w:eastAsiaTheme="majorEastAsia"/>
              <w:b w:val="0"/>
              <w:bCs w:val="0"/>
              <w:lang w:val="en-GB"/>
            </w:rPr>
            <w:t>By contrast, underlying diluted EPS increased from €2.60 to €2.98, which is a strong benchmark improvement and aligns with management’s emphasis on better-quality growth and stronger core profitability.</w:t>
          </w:r>
          <w:r w:rsidRPr="00AE61F1">
            <w:rPr>
              <w:lang w:val="en-GB"/>
            </w:rPr>
            <w:t xml:space="preserve"> </w:t>
          </w:r>
          <w:r w:rsidRPr="00AE61F1">
            <w:rPr>
              <w:rStyle w:val="Strong"/>
              <w:rFonts w:eastAsiaTheme="majorEastAsia"/>
              <w:b w:val="0"/>
              <w:bCs w:val="0"/>
              <w:lang w:val="en-GB"/>
            </w:rPr>
            <w:t>Dividend cover improved from 1.52x to 1.69x and the payout ratio fell from 65.7% to 59.0%, even though the quarterly dividend was raised in 2024</w:t>
          </w:r>
          <w:r w:rsidR="00656790">
            <w:rPr>
              <w:rStyle w:val="Strong"/>
              <w:rFonts w:eastAsiaTheme="majorEastAsia"/>
              <w:b w:val="0"/>
              <w:bCs w:val="0"/>
              <w:lang w:val="en-GB"/>
            </w:rPr>
            <w:t xml:space="preserve"> </w:t>
          </w:r>
          <w:sdt>
            <w:sdtPr>
              <w:rPr>
                <w:rStyle w:val="Strong"/>
                <w:rFonts w:eastAsiaTheme="majorEastAsia"/>
                <w:b w:val="0"/>
                <w:bCs w:val="0"/>
                <w:lang w:val="en-GB"/>
              </w:rPr>
              <w:id w:val="408892273"/>
              <w:citation/>
            </w:sdtPr>
            <w:sdtContent>
              <w:r w:rsidR="00656790">
                <w:rPr>
                  <w:rStyle w:val="Strong"/>
                  <w:rFonts w:eastAsiaTheme="majorEastAsia"/>
                  <w:b w:val="0"/>
                  <w:bCs w:val="0"/>
                  <w:lang w:val="en-GB"/>
                </w:rPr>
                <w:fldChar w:fldCharType="begin"/>
              </w:r>
              <w:r w:rsidR="00656790">
                <w:rPr>
                  <w:rStyle w:val="Strong"/>
                  <w:rFonts w:eastAsiaTheme="majorEastAsia"/>
                  <w:b w:val="0"/>
                  <w:bCs w:val="0"/>
                </w:rPr>
                <w:instrText xml:space="preserve"> CITATION Uni242 \l 1033 </w:instrText>
              </w:r>
              <w:r w:rsidR="00F36DB8">
                <w:rPr>
                  <w:rStyle w:val="Strong"/>
                  <w:rFonts w:eastAsiaTheme="majorEastAsia"/>
                  <w:b w:val="0"/>
                  <w:bCs w:val="0"/>
                </w:rPr>
                <w:instrText xml:space="preserve"> \m Uni253</w:instrText>
              </w:r>
              <w:r w:rsidR="002D70B3">
                <w:rPr>
                  <w:rStyle w:val="Strong"/>
                  <w:rFonts w:eastAsiaTheme="majorEastAsia"/>
                  <w:b w:val="0"/>
                  <w:bCs w:val="0"/>
                </w:rPr>
                <w:instrText xml:space="preserve"> \m Uni26</w:instrText>
              </w:r>
              <w:r w:rsidR="00656790">
                <w:rPr>
                  <w:rStyle w:val="Strong"/>
                  <w:rFonts w:eastAsiaTheme="majorEastAsia"/>
                  <w:b w:val="0"/>
                  <w:bCs w:val="0"/>
                  <w:lang w:val="en-GB"/>
                </w:rPr>
                <w:fldChar w:fldCharType="separate"/>
              </w:r>
              <w:r w:rsidR="002D70B3" w:rsidRPr="002D70B3">
                <w:rPr>
                  <w:rFonts w:eastAsiaTheme="majorEastAsia"/>
                  <w:noProof/>
                </w:rPr>
                <w:t>(Unilever PLC, 2024; Unilever PLC, 2025; Unilever PLC, 2026)</w:t>
              </w:r>
              <w:r w:rsidR="00656790">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This is a positive signal for directors because it means shareholder distributions became better covered by underlying earnings rather than more stretched</w:t>
          </w:r>
          <w:sdt>
            <w:sdtPr>
              <w:rPr>
                <w:rStyle w:val="Strong"/>
                <w:rFonts w:eastAsiaTheme="majorEastAsia"/>
                <w:b w:val="0"/>
                <w:bCs w:val="0"/>
                <w:lang w:val="en-GB"/>
              </w:rPr>
              <w:id w:val="1567677926"/>
              <w:citation/>
            </w:sdtPr>
            <w:sdtContent>
              <w:r w:rsidR="003258E1">
                <w:rPr>
                  <w:rStyle w:val="Strong"/>
                  <w:rFonts w:eastAsiaTheme="majorEastAsia"/>
                  <w:b w:val="0"/>
                  <w:bCs w:val="0"/>
                  <w:lang w:val="en-GB"/>
                </w:rPr>
                <w:fldChar w:fldCharType="begin"/>
              </w:r>
              <w:r w:rsidR="003258E1">
                <w:rPr>
                  <w:rStyle w:val="Strong"/>
                  <w:rFonts w:eastAsiaTheme="majorEastAsia"/>
                  <w:b w:val="0"/>
                  <w:bCs w:val="0"/>
                </w:rPr>
                <w:instrText xml:space="preserve"> CITATION HKe11 \l 1033 </w:instrText>
              </w:r>
              <w:r w:rsidR="003258E1">
                <w:rPr>
                  <w:rStyle w:val="Strong"/>
                  <w:rFonts w:eastAsiaTheme="majorEastAsia"/>
                  <w:b w:val="0"/>
                  <w:bCs w:val="0"/>
                  <w:lang w:val="en-GB"/>
                </w:rPr>
                <w:fldChar w:fldCharType="separate"/>
              </w:r>
              <w:r w:rsidR="003258E1">
                <w:rPr>
                  <w:rStyle w:val="Strong"/>
                  <w:rFonts w:eastAsiaTheme="majorEastAsia"/>
                  <w:b w:val="0"/>
                  <w:bCs w:val="0"/>
                  <w:noProof/>
                </w:rPr>
                <w:t xml:space="preserve"> </w:t>
              </w:r>
              <w:r w:rsidR="003258E1" w:rsidRPr="003258E1">
                <w:rPr>
                  <w:rFonts w:eastAsiaTheme="majorEastAsia"/>
                  <w:noProof/>
                </w:rPr>
                <w:t>(H. Kent Baker, 2011)</w:t>
              </w:r>
              <w:r w:rsidR="003258E1">
                <w:rPr>
                  <w:rStyle w:val="Strong"/>
                  <w:rFonts w:eastAsiaTheme="majorEastAsia"/>
                  <w:b w:val="0"/>
                  <w:bCs w:val="0"/>
                  <w:lang w:val="en-GB"/>
                </w:rPr>
                <w:fldChar w:fldCharType="end"/>
              </w:r>
            </w:sdtContent>
          </w:sdt>
          <w:r w:rsidR="009A5390">
            <w:rPr>
              <w:rStyle w:val="Strong"/>
              <w:rFonts w:eastAsiaTheme="majorEastAsia"/>
              <w:b w:val="0"/>
              <w:bCs w:val="0"/>
              <w:lang w:val="en-GB"/>
            </w:rPr>
            <w:t>.</w:t>
          </w:r>
        </w:p>
        <w:p w14:paraId="209DF192" w14:textId="7BFF1ED0" w:rsidR="001A715F" w:rsidRPr="00AE61F1" w:rsidRDefault="001A715F" w:rsidP="001A715F">
          <w:pPr>
            <w:pStyle w:val="NormalWeb"/>
            <w:rPr>
              <w:lang w:val="en-GB"/>
            </w:rPr>
          </w:pPr>
          <w:r w:rsidRPr="00AE61F1">
            <w:rPr>
              <w:rStyle w:val="Strong"/>
              <w:rFonts w:eastAsiaTheme="majorEastAsia"/>
              <w:b w:val="0"/>
              <w:bCs w:val="0"/>
              <w:lang w:val="en-GB"/>
            </w:rPr>
            <w:t>For equity investors, this pattern usually conveys two messages</w:t>
          </w:r>
          <w:r w:rsidR="004D0501">
            <w:rPr>
              <w:rStyle w:val="Strong"/>
              <w:rFonts w:eastAsiaTheme="majorEastAsia"/>
              <w:b w:val="0"/>
              <w:bCs w:val="0"/>
              <w:lang w:val="en-GB"/>
            </w:rPr>
            <w:t xml:space="preserve"> </w:t>
          </w:r>
          <w:sdt>
            <w:sdtPr>
              <w:rPr>
                <w:rStyle w:val="Strong"/>
                <w:rFonts w:eastAsiaTheme="majorEastAsia"/>
                <w:b w:val="0"/>
                <w:bCs w:val="0"/>
                <w:lang w:val="en-GB"/>
              </w:rPr>
              <w:id w:val="1801805850"/>
              <w:citation/>
            </w:sdtPr>
            <w:sdtContent>
              <w:r w:rsidR="004D0501">
                <w:rPr>
                  <w:rStyle w:val="Strong"/>
                  <w:rFonts w:eastAsiaTheme="majorEastAsia"/>
                  <w:b w:val="0"/>
                  <w:bCs w:val="0"/>
                  <w:lang w:val="en-GB"/>
                </w:rPr>
                <w:fldChar w:fldCharType="begin"/>
              </w:r>
              <w:r w:rsidR="004D0501">
                <w:rPr>
                  <w:rStyle w:val="Strong"/>
                  <w:rFonts w:eastAsiaTheme="majorEastAsia"/>
                  <w:b w:val="0"/>
                  <w:bCs w:val="0"/>
                </w:rPr>
                <w:instrText xml:space="preserve"> CITATION HKe11 \l 1033 </w:instrText>
              </w:r>
              <w:r w:rsidR="004D0501">
                <w:rPr>
                  <w:rStyle w:val="Strong"/>
                  <w:rFonts w:eastAsiaTheme="majorEastAsia"/>
                  <w:b w:val="0"/>
                  <w:bCs w:val="0"/>
                  <w:lang w:val="en-GB"/>
                </w:rPr>
                <w:fldChar w:fldCharType="separate"/>
              </w:r>
              <w:r w:rsidR="004D0501" w:rsidRPr="004D0501">
                <w:rPr>
                  <w:rFonts w:eastAsiaTheme="majorEastAsia"/>
                  <w:noProof/>
                </w:rPr>
                <w:t>(H. Kent Baker, 2011)</w:t>
              </w:r>
              <w:r w:rsidR="004D0501">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First, the market may remain cautious about statutory earnings volatility caused by restructuring and disposals</w:t>
          </w:r>
          <w:r w:rsidR="0045514D">
            <w:rPr>
              <w:rStyle w:val="Strong"/>
              <w:rFonts w:eastAsiaTheme="majorEastAsia"/>
              <w:b w:val="0"/>
              <w:bCs w:val="0"/>
              <w:lang w:val="en-GB"/>
            </w:rPr>
            <w:t xml:space="preserve"> </w:t>
          </w:r>
          <w:sdt>
            <w:sdtPr>
              <w:rPr>
                <w:rStyle w:val="Strong"/>
                <w:rFonts w:eastAsiaTheme="majorEastAsia"/>
                <w:b w:val="0"/>
                <w:bCs w:val="0"/>
                <w:lang w:val="en-GB"/>
              </w:rPr>
              <w:id w:val="-2015910091"/>
              <w:citation/>
            </w:sdtPr>
            <w:sdtContent>
              <w:r w:rsidR="0045514D">
                <w:rPr>
                  <w:rStyle w:val="Strong"/>
                  <w:rFonts w:eastAsiaTheme="majorEastAsia"/>
                  <w:b w:val="0"/>
                  <w:bCs w:val="0"/>
                  <w:lang w:val="en-GB"/>
                </w:rPr>
                <w:fldChar w:fldCharType="begin"/>
              </w:r>
              <w:r w:rsidR="0045514D">
                <w:rPr>
                  <w:rStyle w:val="Strong"/>
                  <w:rFonts w:eastAsiaTheme="majorEastAsia"/>
                  <w:b w:val="0"/>
                  <w:bCs w:val="0"/>
                </w:rPr>
                <w:instrText xml:space="preserve"> CITATION Uni253 \l 1033  \m Ric24</w:instrText>
              </w:r>
              <w:r w:rsidR="0045514D">
                <w:rPr>
                  <w:rStyle w:val="Strong"/>
                  <w:rFonts w:eastAsiaTheme="majorEastAsia"/>
                  <w:b w:val="0"/>
                  <w:bCs w:val="0"/>
                  <w:lang w:val="en-GB"/>
                </w:rPr>
                <w:fldChar w:fldCharType="separate"/>
              </w:r>
              <w:r w:rsidR="0045514D" w:rsidRPr="0045514D">
                <w:rPr>
                  <w:rFonts w:eastAsiaTheme="majorEastAsia"/>
                  <w:noProof/>
                </w:rPr>
                <w:t>(Unilever PLC, 2025; Jessica DiNapoli, Svea Herbst-Bayliss, Siddharth Cavale and Abigail Summerville, 2025)</w:t>
              </w:r>
              <w:r w:rsidR="0045514D">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Second, the company’s ability to increase dividends and conduct buybacks while improving underlying EPS supports confidence in medium-term cash generation.</w:t>
          </w:r>
          <w:r w:rsidRPr="00AE61F1">
            <w:rPr>
              <w:lang w:val="en-GB"/>
            </w:rPr>
            <w:t xml:space="preserve"> </w:t>
          </w:r>
          <w:r w:rsidRPr="00AE61F1">
            <w:rPr>
              <w:rStyle w:val="Strong"/>
              <w:rFonts w:eastAsiaTheme="majorEastAsia"/>
              <w:b w:val="0"/>
              <w:bCs w:val="0"/>
              <w:lang w:val="en-GB"/>
            </w:rPr>
            <w:t>Unilever also returned €5.8 billion to shareholders through dividends and buybacks in 2024, reinforcing the view that capital returns remain central to its investment case</w:t>
          </w:r>
          <w:r w:rsidR="00D02D2E">
            <w:rPr>
              <w:rStyle w:val="Strong"/>
              <w:rFonts w:eastAsiaTheme="majorEastAsia"/>
              <w:b w:val="0"/>
              <w:bCs w:val="0"/>
              <w:lang w:val="en-GB"/>
            </w:rPr>
            <w:t xml:space="preserve"> </w:t>
          </w:r>
          <w:sdt>
            <w:sdtPr>
              <w:rPr>
                <w:rStyle w:val="Strong"/>
                <w:rFonts w:eastAsiaTheme="majorEastAsia"/>
                <w:b w:val="0"/>
                <w:bCs w:val="0"/>
                <w:lang w:val="en-GB"/>
              </w:rPr>
              <w:id w:val="-129254715"/>
              <w:citation/>
            </w:sdtPr>
            <w:sdtContent>
              <w:r w:rsidR="0045514D">
                <w:rPr>
                  <w:rStyle w:val="Strong"/>
                  <w:rFonts w:eastAsiaTheme="majorEastAsia"/>
                  <w:b w:val="0"/>
                  <w:bCs w:val="0"/>
                  <w:lang w:val="en-GB"/>
                </w:rPr>
                <w:fldChar w:fldCharType="begin"/>
              </w:r>
              <w:r w:rsidR="0045514D">
                <w:rPr>
                  <w:rStyle w:val="Strong"/>
                  <w:rFonts w:eastAsiaTheme="majorEastAsia"/>
                  <w:b w:val="0"/>
                  <w:bCs w:val="0"/>
                </w:rPr>
                <w:instrText xml:space="preserve"> CITATION Uni253 \l 1033 </w:instrText>
              </w:r>
              <w:r w:rsidR="0045514D">
                <w:rPr>
                  <w:rStyle w:val="Strong"/>
                  <w:rFonts w:eastAsiaTheme="majorEastAsia"/>
                  <w:b w:val="0"/>
                  <w:bCs w:val="0"/>
                  <w:lang w:val="en-GB"/>
                </w:rPr>
                <w:fldChar w:fldCharType="separate"/>
              </w:r>
              <w:r w:rsidR="0045514D" w:rsidRPr="0045514D">
                <w:rPr>
                  <w:rFonts w:eastAsiaTheme="majorEastAsia"/>
                  <w:noProof/>
                </w:rPr>
                <w:t>(Unilever PLC, 2025)</w:t>
              </w:r>
              <w:r w:rsidR="0045514D">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From a benchmarking perspective, this is a better investor profile than 2023 in terms of earnings quality and dividend sustainability, even though the headline EPS number was weaker</w:t>
          </w:r>
          <w:r w:rsidR="00571B1F">
            <w:rPr>
              <w:rStyle w:val="Strong"/>
              <w:rFonts w:eastAsiaTheme="majorEastAsia"/>
              <w:b w:val="0"/>
              <w:bCs w:val="0"/>
              <w:lang w:val="en-GB"/>
            </w:rPr>
            <w:t xml:space="preserve"> </w:t>
          </w:r>
          <w:sdt>
            <w:sdtPr>
              <w:rPr>
                <w:rStyle w:val="Strong"/>
                <w:rFonts w:eastAsiaTheme="majorEastAsia"/>
                <w:b w:val="0"/>
                <w:bCs w:val="0"/>
                <w:lang w:val="en-GB"/>
              </w:rPr>
              <w:id w:val="175080303"/>
              <w:citation/>
            </w:sdtPr>
            <w:sdtContent>
              <w:r w:rsidR="00571B1F">
                <w:rPr>
                  <w:rStyle w:val="Strong"/>
                  <w:rFonts w:eastAsiaTheme="majorEastAsia"/>
                  <w:b w:val="0"/>
                  <w:bCs w:val="0"/>
                  <w:lang w:val="en-GB"/>
                </w:rPr>
                <w:fldChar w:fldCharType="begin"/>
              </w:r>
              <w:r w:rsidR="00571B1F">
                <w:rPr>
                  <w:rStyle w:val="Strong"/>
                  <w:rFonts w:eastAsiaTheme="majorEastAsia"/>
                  <w:b w:val="0"/>
                  <w:bCs w:val="0"/>
                </w:rPr>
                <w:instrText xml:space="preserve"> CITATION Uni242 \l 1033 </w:instrText>
              </w:r>
              <w:r w:rsidR="00D02D2E">
                <w:rPr>
                  <w:rStyle w:val="Strong"/>
                  <w:rFonts w:eastAsiaTheme="majorEastAsia"/>
                  <w:b w:val="0"/>
                  <w:bCs w:val="0"/>
                </w:rPr>
                <w:instrText xml:space="preserve"> \m Zha25</w:instrText>
              </w:r>
              <w:r w:rsidR="00571B1F">
                <w:rPr>
                  <w:rStyle w:val="Strong"/>
                  <w:rFonts w:eastAsiaTheme="majorEastAsia"/>
                  <w:b w:val="0"/>
                  <w:bCs w:val="0"/>
                  <w:lang w:val="en-GB"/>
                </w:rPr>
                <w:fldChar w:fldCharType="separate"/>
              </w:r>
              <w:r w:rsidR="00D02D2E" w:rsidRPr="00D02D2E">
                <w:rPr>
                  <w:rFonts w:eastAsiaTheme="majorEastAsia"/>
                  <w:noProof/>
                </w:rPr>
                <w:t>(Unilever PLC, 2024; Zhang, Yi; Silva, Beatriz; Moreau, Élodie; T¯ane, Hinewera, 2025)</w:t>
              </w:r>
              <w:r w:rsidR="00571B1F">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p>
        <w:p w14:paraId="6707C868" w14:textId="00D15418" w:rsidR="00195C23" w:rsidRPr="00AE61F1" w:rsidRDefault="00195C23">
          <w:r w:rsidRPr="00AE61F1">
            <w:br w:type="page"/>
          </w:r>
        </w:p>
        <w:p w14:paraId="7993CCBF" w14:textId="77777777" w:rsidR="000C1191" w:rsidRPr="00AE61F1" w:rsidRDefault="000C1191" w:rsidP="000C1191"/>
        <w:p w14:paraId="72C3FCE0" w14:textId="35B68442" w:rsidR="004B4A25" w:rsidRPr="00AE61F1" w:rsidRDefault="004B4A25" w:rsidP="004B4A25">
          <w:pPr>
            <w:pStyle w:val="Heading2"/>
            <w:numPr>
              <w:ilvl w:val="1"/>
              <w:numId w:val="1"/>
            </w:numPr>
          </w:pPr>
          <w:bookmarkStart w:id="10" w:name="_Toc226410217"/>
          <w:r w:rsidRPr="00AE61F1">
            <w:t>Limitations of Ratio Analysis</w:t>
          </w:r>
          <w:bookmarkEnd w:id="10"/>
        </w:p>
        <w:p w14:paraId="6541FC2C" w14:textId="4D1DFBCE" w:rsidR="00413F03" w:rsidRPr="00AE61F1" w:rsidRDefault="00413F03" w:rsidP="00413F03">
          <w:pPr>
            <w:pStyle w:val="NormalWeb"/>
            <w:rPr>
              <w:lang w:val="en-GB"/>
            </w:rPr>
          </w:pPr>
          <w:r w:rsidRPr="00AE61F1">
            <w:rPr>
              <w:rStyle w:val="Strong"/>
              <w:rFonts w:eastAsiaTheme="majorEastAsia"/>
              <w:b w:val="0"/>
              <w:bCs w:val="0"/>
              <w:lang w:val="en-GB"/>
            </w:rPr>
            <w:t>Although the ratios provide useful evidence, they have important limitations</w:t>
          </w:r>
          <w:r w:rsidR="007717CF">
            <w:rPr>
              <w:rStyle w:val="Strong"/>
              <w:rFonts w:eastAsiaTheme="majorEastAsia"/>
              <w:b w:val="0"/>
              <w:bCs w:val="0"/>
              <w:lang w:val="en-GB"/>
            </w:rPr>
            <w:t xml:space="preserve"> </w:t>
          </w:r>
          <w:sdt>
            <w:sdtPr>
              <w:rPr>
                <w:rStyle w:val="Strong"/>
                <w:rFonts w:eastAsiaTheme="majorEastAsia"/>
                <w:b w:val="0"/>
                <w:bCs w:val="0"/>
                <w:lang w:val="en-GB"/>
              </w:rPr>
              <w:id w:val="-2124225836"/>
              <w:citation/>
            </w:sdtPr>
            <w:sdtContent>
              <w:r w:rsidR="007717CF">
                <w:rPr>
                  <w:rStyle w:val="Strong"/>
                  <w:rFonts w:eastAsiaTheme="majorEastAsia"/>
                  <w:b w:val="0"/>
                  <w:bCs w:val="0"/>
                  <w:lang w:val="en-GB"/>
                </w:rPr>
                <w:fldChar w:fldCharType="begin"/>
              </w:r>
              <w:r w:rsidR="007717CF">
                <w:rPr>
                  <w:rStyle w:val="Strong"/>
                  <w:rFonts w:eastAsiaTheme="majorEastAsia"/>
                  <w:b w:val="0"/>
                  <w:bCs w:val="0"/>
                </w:rPr>
                <w:instrText xml:space="preserve"> CITATION Zha25 \l 1033 </w:instrText>
              </w:r>
              <w:r w:rsidR="00F84A53">
                <w:rPr>
                  <w:rStyle w:val="Strong"/>
                  <w:rFonts w:eastAsiaTheme="majorEastAsia"/>
                  <w:b w:val="0"/>
                  <w:bCs w:val="0"/>
                </w:rPr>
                <w:instrText xml:space="preserve"> \m ACC23</w:instrText>
              </w:r>
              <w:r w:rsidR="007717CF">
                <w:rPr>
                  <w:rStyle w:val="Strong"/>
                  <w:rFonts w:eastAsiaTheme="majorEastAsia"/>
                  <w:b w:val="0"/>
                  <w:bCs w:val="0"/>
                  <w:lang w:val="en-GB"/>
                </w:rPr>
                <w:fldChar w:fldCharType="separate"/>
              </w:r>
              <w:r w:rsidR="00F84A53" w:rsidRPr="00F84A53">
                <w:rPr>
                  <w:rFonts w:eastAsiaTheme="majorEastAsia"/>
                  <w:noProof/>
                </w:rPr>
                <w:t>(Zhang, Yi; Silva, Beatriz; Moreau, Élodie; T¯ane, Hinewera, 2025; ACCA Global, 2023)</w:t>
              </w:r>
              <w:r w:rsidR="007717CF">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First, they simplify a highly diversified multinational into a set of averages, which can hide major differences across Beauty &amp; Wellbeing, Personal Care, Home Care, Foods and Ice Cream</w:t>
          </w:r>
          <w:r w:rsidR="00375A64">
            <w:rPr>
              <w:lang w:val="en-GB"/>
            </w:rPr>
            <w:t xml:space="preserve">. </w:t>
          </w:r>
          <w:r w:rsidRPr="00AE61F1">
            <w:rPr>
              <w:lang w:val="en-GB"/>
            </w:rPr>
            <w:t xml:space="preserve"> </w:t>
          </w:r>
          <w:r w:rsidRPr="00AE61F1">
            <w:rPr>
              <w:rStyle w:val="Strong"/>
              <w:rFonts w:eastAsiaTheme="majorEastAsia"/>
              <w:b w:val="0"/>
              <w:bCs w:val="0"/>
              <w:lang w:val="en-GB"/>
            </w:rPr>
            <w:t>Second, reported ratios are affected by non-underlying items, acquisitions, disposals, restructuring charges and exchange-rate movements, so year-on-year changes may reflect accounting events as much as operating reality</w:t>
          </w:r>
          <w:r w:rsidR="00556AF3">
            <w:rPr>
              <w:rStyle w:val="Strong"/>
              <w:rFonts w:eastAsiaTheme="majorEastAsia"/>
              <w:b w:val="0"/>
              <w:bCs w:val="0"/>
              <w:lang w:val="en-GB"/>
            </w:rPr>
            <w:t xml:space="preserve"> </w:t>
          </w:r>
          <w:sdt>
            <w:sdtPr>
              <w:rPr>
                <w:rStyle w:val="Strong"/>
                <w:rFonts w:eastAsiaTheme="majorEastAsia"/>
                <w:b w:val="0"/>
                <w:bCs w:val="0"/>
                <w:lang w:val="en-GB"/>
              </w:rPr>
              <w:id w:val="841978514"/>
              <w:citation/>
            </w:sdtPr>
            <w:sdtContent>
              <w:r w:rsidR="00556AF3">
                <w:rPr>
                  <w:rStyle w:val="Strong"/>
                  <w:rFonts w:eastAsiaTheme="majorEastAsia"/>
                  <w:b w:val="0"/>
                  <w:bCs w:val="0"/>
                  <w:lang w:val="en-GB"/>
                </w:rPr>
                <w:fldChar w:fldCharType="begin"/>
              </w:r>
              <w:r w:rsidR="008A1D19">
                <w:rPr>
                  <w:rStyle w:val="Strong"/>
                  <w:rFonts w:eastAsiaTheme="majorEastAsia"/>
                  <w:b w:val="0"/>
                  <w:bCs w:val="0"/>
                </w:rPr>
                <w:instrText xml:space="preserve">CITATION Zha25 \m Uni253 \m Uni255 \l 1033 </w:instrText>
              </w:r>
              <w:r w:rsidR="00556AF3">
                <w:rPr>
                  <w:rStyle w:val="Strong"/>
                  <w:rFonts w:eastAsiaTheme="majorEastAsia"/>
                  <w:b w:val="0"/>
                  <w:bCs w:val="0"/>
                  <w:lang w:val="en-GB"/>
                </w:rPr>
                <w:fldChar w:fldCharType="separate"/>
              </w:r>
              <w:r w:rsidR="008A1D19" w:rsidRPr="008A1D19">
                <w:rPr>
                  <w:rFonts w:eastAsiaTheme="majorEastAsia"/>
                  <w:noProof/>
                </w:rPr>
                <w:t>(Zhang, Yi; Silva, Beatriz; Moreau, Élodie; T¯ane, Hinewera, 2025; Unilever PLC, 2025; Unilever PLC, 2025b)</w:t>
              </w:r>
              <w:r w:rsidR="00556AF3">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00244DE0">
            <w:rPr>
              <w:lang w:val="en-GB"/>
            </w:rPr>
            <w:t xml:space="preserve"> </w:t>
          </w:r>
          <w:r w:rsidRPr="00AE61F1">
            <w:rPr>
              <w:rStyle w:val="Strong"/>
              <w:rFonts w:eastAsiaTheme="majorEastAsia"/>
              <w:b w:val="0"/>
              <w:bCs w:val="0"/>
              <w:lang w:val="en-GB"/>
            </w:rPr>
            <w:t>Third, for some efficiency measures the published statements group trade and other balances together, meaning the calculations here necessarily use proxies.</w:t>
          </w:r>
          <w:r w:rsidR="000C2A2D">
            <w:rPr>
              <w:lang w:val="en-GB"/>
            </w:rPr>
            <w:t xml:space="preserve"> </w:t>
          </w:r>
          <w:r w:rsidRPr="00AE61F1">
            <w:rPr>
              <w:rStyle w:val="Strong"/>
              <w:rFonts w:eastAsiaTheme="majorEastAsia"/>
              <w:b w:val="0"/>
              <w:bCs w:val="0"/>
              <w:lang w:val="en-GB"/>
            </w:rPr>
            <w:t>Fourth, ratio analysis is backward-looking; it explains what happened in 2023 and 2024, but not automatically what will happen after the Ice Cream separation or future portfolio changes</w:t>
          </w:r>
          <w:r w:rsidR="00556AF3">
            <w:rPr>
              <w:rStyle w:val="Strong"/>
              <w:rFonts w:eastAsiaTheme="majorEastAsia"/>
              <w:b w:val="0"/>
              <w:bCs w:val="0"/>
              <w:lang w:val="en-GB"/>
            </w:rPr>
            <w:t xml:space="preserve"> </w:t>
          </w:r>
          <w:sdt>
            <w:sdtPr>
              <w:rPr>
                <w:rStyle w:val="Strong"/>
                <w:rFonts w:eastAsiaTheme="majorEastAsia"/>
                <w:b w:val="0"/>
                <w:bCs w:val="0"/>
                <w:lang w:val="en-GB"/>
              </w:rPr>
              <w:id w:val="1435641471"/>
              <w:citation/>
            </w:sdtPr>
            <w:sdtContent>
              <w:r w:rsidR="00556AF3">
                <w:rPr>
                  <w:rStyle w:val="Strong"/>
                  <w:rFonts w:eastAsiaTheme="majorEastAsia"/>
                  <w:b w:val="0"/>
                  <w:bCs w:val="0"/>
                  <w:lang w:val="en-GB"/>
                </w:rPr>
                <w:fldChar w:fldCharType="begin"/>
              </w:r>
              <w:r w:rsidR="00556AF3">
                <w:rPr>
                  <w:rStyle w:val="Strong"/>
                  <w:rFonts w:eastAsiaTheme="majorEastAsia"/>
                  <w:b w:val="0"/>
                  <w:bCs w:val="0"/>
                </w:rPr>
                <w:instrText xml:space="preserve"> CITATION ACC23 \l 1033 </w:instrText>
              </w:r>
              <w:r w:rsidR="000C2A2D">
                <w:rPr>
                  <w:rStyle w:val="Strong"/>
                  <w:rFonts w:eastAsiaTheme="majorEastAsia"/>
                  <w:b w:val="0"/>
                  <w:bCs w:val="0"/>
                </w:rPr>
                <w:instrText xml:space="preserve"> \m Uni253</w:instrText>
              </w:r>
              <w:r w:rsidR="00556AF3">
                <w:rPr>
                  <w:rStyle w:val="Strong"/>
                  <w:rFonts w:eastAsiaTheme="majorEastAsia"/>
                  <w:b w:val="0"/>
                  <w:bCs w:val="0"/>
                  <w:lang w:val="en-GB"/>
                </w:rPr>
                <w:fldChar w:fldCharType="separate"/>
              </w:r>
              <w:r w:rsidR="000C2A2D" w:rsidRPr="000C2A2D">
                <w:rPr>
                  <w:rFonts w:eastAsiaTheme="majorEastAsia"/>
                  <w:noProof/>
                </w:rPr>
                <w:t>(ACCA Global, 2023; Unilever PLC, 2025)</w:t>
              </w:r>
              <w:r w:rsidR="00556AF3">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Pr="00AE61F1">
            <w:rPr>
              <w:lang w:val="en-GB"/>
            </w:rPr>
            <w:t xml:space="preserve"> </w:t>
          </w:r>
          <w:r w:rsidRPr="00AE61F1">
            <w:rPr>
              <w:rStyle w:val="Strong"/>
              <w:rFonts w:eastAsiaTheme="majorEastAsia"/>
              <w:b w:val="0"/>
              <w:bCs w:val="0"/>
              <w:lang w:val="en-GB"/>
            </w:rPr>
            <w:t>Fifth, international comparisons are limited because different companies use different non-GAAP disclosures and segment mixes.</w:t>
          </w:r>
          <w:r w:rsidRPr="00AE61F1">
            <w:rPr>
              <w:lang w:val="en-GB"/>
            </w:rPr>
            <w:t xml:space="preserve"> </w:t>
          </w:r>
          <w:sdt>
            <w:sdtPr>
              <w:rPr>
                <w:lang w:val="en-GB"/>
              </w:rPr>
              <w:id w:val="234599605"/>
              <w:citation/>
            </w:sdtPr>
            <w:sdtContent>
              <w:r w:rsidR="00DD2D22">
                <w:rPr>
                  <w:lang w:val="en-GB"/>
                </w:rPr>
                <w:fldChar w:fldCharType="begin"/>
              </w:r>
              <w:r w:rsidR="00DD2D22">
                <w:instrText xml:space="preserve"> CITATION Zha25 \l 1033 </w:instrText>
              </w:r>
              <w:r w:rsidR="000E77CB">
                <w:instrText xml:space="preserve"> \m Wan22</w:instrText>
              </w:r>
              <w:r w:rsidR="00DD2D22">
                <w:rPr>
                  <w:lang w:val="en-GB"/>
                </w:rPr>
                <w:fldChar w:fldCharType="separate"/>
              </w:r>
              <w:r w:rsidR="000E77CB">
                <w:rPr>
                  <w:noProof/>
                </w:rPr>
                <w:t>(Zhang, Yi; Silva, Beatriz; Moreau, Élodie; T¯ane, Hinewera, 2025; Wang-Nava, 2022)</w:t>
              </w:r>
              <w:r w:rsidR="00DD2D22">
                <w:rPr>
                  <w:lang w:val="en-GB"/>
                </w:rPr>
                <w:fldChar w:fldCharType="end"/>
              </w:r>
            </w:sdtContent>
          </w:sdt>
          <w:r w:rsidR="00375A64">
            <w:rPr>
              <w:lang w:val="en-GB"/>
            </w:rPr>
            <w:t>.</w:t>
          </w:r>
        </w:p>
        <w:p w14:paraId="69DFB6C0" w14:textId="4F07F9DF" w:rsidR="004B4A25" w:rsidRPr="00AE61F1" w:rsidRDefault="00413F03" w:rsidP="00413F03">
          <w:pPr>
            <w:pStyle w:val="NormalWeb"/>
            <w:rPr>
              <w:lang w:val="en-GB"/>
            </w:rPr>
          </w:pPr>
          <w:r w:rsidRPr="00AE61F1">
            <w:rPr>
              <w:rStyle w:val="Strong"/>
              <w:rFonts w:eastAsiaTheme="majorEastAsia"/>
              <w:b w:val="0"/>
              <w:bCs w:val="0"/>
              <w:lang w:val="en-GB"/>
            </w:rPr>
            <w:t>A further limitation is that strong profitability ratios can coexist with weak liquidity ratios, as seen here.</w:t>
          </w:r>
          <w:r w:rsidRPr="00AE61F1">
            <w:rPr>
              <w:lang w:val="en-GB"/>
            </w:rPr>
            <w:t xml:space="preserve"> </w:t>
          </w:r>
          <w:r w:rsidRPr="00AE61F1">
            <w:rPr>
              <w:rStyle w:val="Strong"/>
              <w:rFonts w:eastAsiaTheme="majorEastAsia"/>
              <w:b w:val="0"/>
              <w:bCs w:val="0"/>
              <w:lang w:val="en-GB"/>
            </w:rPr>
            <w:t>That does not make either set of ratios wrong; it shows that ratio families answer different questions</w:t>
          </w:r>
          <w:r w:rsidRPr="00AE61F1">
            <w:rPr>
              <w:lang w:val="en-GB"/>
            </w:rPr>
            <w:t xml:space="preserve"> </w:t>
          </w:r>
          <w:sdt>
            <w:sdtPr>
              <w:rPr>
                <w:lang w:val="en-GB"/>
              </w:rPr>
              <w:id w:val="-1054532248"/>
              <w:citation/>
            </w:sdtPr>
            <w:sdtContent>
              <w:r w:rsidR="007C63ED">
                <w:rPr>
                  <w:lang w:val="en-GB"/>
                </w:rPr>
                <w:fldChar w:fldCharType="begin"/>
              </w:r>
              <w:r w:rsidR="007C63ED">
                <w:instrText xml:space="preserve"> CITATION ACC23 \l 1033 </w:instrText>
              </w:r>
              <w:r w:rsidR="00DB3271">
                <w:instrText xml:space="preserve"> \m Wan22</w:instrText>
              </w:r>
              <w:r w:rsidR="007C63ED">
                <w:rPr>
                  <w:lang w:val="en-GB"/>
                </w:rPr>
                <w:fldChar w:fldCharType="separate"/>
              </w:r>
              <w:r w:rsidR="00DB3271">
                <w:rPr>
                  <w:noProof/>
                </w:rPr>
                <w:t>(ACCA Global, 2023; Wang-Nava, 2022)</w:t>
              </w:r>
              <w:r w:rsidR="007C63ED">
                <w:rPr>
                  <w:lang w:val="en-GB"/>
                </w:rPr>
                <w:fldChar w:fldCharType="end"/>
              </w:r>
            </w:sdtContent>
          </w:sdt>
          <w:r w:rsidR="00C63DD8">
            <w:rPr>
              <w:lang w:val="en-GB"/>
            </w:rPr>
            <w:t>.</w:t>
          </w:r>
          <w:r w:rsidRPr="00AE61F1">
            <w:rPr>
              <w:lang w:val="en-GB"/>
            </w:rPr>
            <w:t xml:space="preserve"> </w:t>
          </w:r>
          <w:r w:rsidRPr="00AE61F1">
            <w:rPr>
              <w:rStyle w:val="Strong"/>
              <w:rFonts w:eastAsiaTheme="majorEastAsia"/>
              <w:b w:val="0"/>
              <w:bCs w:val="0"/>
              <w:lang w:val="en-GB"/>
            </w:rPr>
            <w:t>For Unilever, profitability and dividend cover improved on an underlying basis, while liquidity stayed tight and statutory earnings weakened</w:t>
          </w:r>
          <w:r w:rsidRPr="00AE61F1">
            <w:rPr>
              <w:lang w:val="en-GB"/>
            </w:rPr>
            <w:t xml:space="preserve"> </w:t>
          </w:r>
          <w:sdt>
            <w:sdtPr>
              <w:rPr>
                <w:lang w:val="en-GB"/>
              </w:rPr>
              <w:id w:val="896867191"/>
              <w:citation/>
            </w:sdtPr>
            <w:sdtContent>
              <w:r w:rsidR="00C63DD8">
                <w:rPr>
                  <w:lang w:val="en-GB"/>
                </w:rPr>
                <w:fldChar w:fldCharType="begin"/>
              </w:r>
              <w:r w:rsidR="00C63DD8">
                <w:instrText xml:space="preserve"> CITATION Uni253 \l 1033 </w:instrText>
              </w:r>
              <w:r w:rsidR="00C63DD8">
                <w:rPr>
                  <w:lang w:val="en-GB"/>
                </w:rPr>
                <w:fldChar w:fldCharType="separate"/>
              </w:r>
              <w:r w:rsidR="00C63DD8">
                <w:rPr>
                  <w:noProof/>
                </w:rPr>
                <w:t>(Unilever PLC, 2025)</w:t>
              </w:r>
              <w:r w:rsidR="00C63DD8">
                <w:rPr>
                  <w:lang w:val="en-GB"/>
                </w:rPr>
                <w:fldChar w:fldCharType="end"/>
              </w:r>
            </w:sdtContent>
          </w:sdt>
          <w:r w:rsidR="00C63DD8">
            <w:rPr>
              <w:lang w:val="en-GB"/>
            </w:rPr>
            <w:t>.</w:t>
          </w:r>
          <w:r w:rsidRPr="00AE61F1">
            <w:rPr>
              <w:lang w:val="en-GB"/>
            </w:rPr>
            <w:t xml:space="preserve"> </w:t>
          </w:r>
          <w:r w:rsidRPr="00AE61F1">
            <w:rPr>
              <w:rStyle w:val="Strong"/>
              <w:rFonts w:eastAsiaTheme="majorEastAsia"/>
              <w:b w:val="0"/>
              <w:bCs w:val="0"/>
              <w:lang w:val="en-GB"/>
            </w:rPr>
            <w:t>Therefore, directors should use ratios as part of a wider financial management framework that also includes segment analysis, cash-flow forecasting, inflation monitoring, capital-allocation review and market benchmarking.</w:t>
          </w:r>
          <w:r w:rsidRPr="00AE61F1">
            <w:rPr>
              <w:lang w:val="en-GB"/>
            </w:rPr>
            <w:t xml:space="preserve"> </w:t>
          </w:r>
          <w:r w:rsidRPr="00AE61F1">
            <w:rPr>
              <w:rStyle w:val="Strong"/>
              <w:rFonts w:eastAsiaTheme="majorEastAsia"/>
              <w:b w:val="0"/>
              <w:bCs w:val="0"/>
              <w:lang w:val="en-GB"/>
            </w:rPr>
            <w:t>Used that way, ratio analysis remains highly valuable; used alone, it risks overstatement and false certainty</w:t>
          </w:r>
          <w:r w:rsidR="00563821">
            <w:rPr>
              <w:rStyle w:val="Strong"/>
              <w:rFonts w:eastAsiaTheme="majorEastAsia"/>
              <w:b w:val="0"/>
              <w:bCs w:val="0"/>
              <w:lang w:val="en-GB"/>
            </w:rPr>
            <w:t xml:space="preserve"> </w:t>
          </w:r>
          <w:sdt>
            <w:sdtPr>
              <w:rPr>
                <w:rStyle w:val="Strong"/>
                <w:rFonts w:eastAsiaTheme="majorEastAsia"/>
                <w:b w:val="0"/>
                <w:bCs w:val="0"/>
                <w:lang w:val="en-GB"/>
              </w:rPr>
              <w:id w:val="-1038049256"/>
              <w:citation/>
            </w:sdtPr>
            <w:sdtContent>
              <w:r w:rsidR="00563821">
                <w:rPr>
                  <w:rStyle w:val="Strong"/>
                  <w:rFonts w:eastAsiaTheme="majorEastAsia"/>
                  <w:b w:val="0"/>
                  <w:bCs w:val="0"/>
                  <w:lang w:val="en-GB"/>
                </w:rPr>
                <w:fldChar w:fldCharType="begin"/>
              </w:r>
              <w:r w:rsidR="00563821">
                <w:rPr>
                  <w:rStyle w:val="Strong"/>
                  <w:rFonts w:eastAsiaTheme="majorEastAsia"/>
                  <w:b w:val="0"/>
                  <w:bCs w:val="0"/>
                </w:rPr>
                <w:instrText xml:space="preserve"> CITATION Zha25 \l 1033 </w:instrText>
              </w:r>
              <w:r w:rsidR="00563821">
                <w:rPr>
                  <w:rStyle w:val="Strong"/>
                  <w:rFonts w:eastAsiaTheme="majorEastAsia"/>
                  <w:b w:val="0"/>
                  <w:bCs w:val="0"/>
                  <w:lang w:val="en-GB"/>
                </w:rPr>
                <w:fldChar w:fldCharType="separate"/>
              </w:r>
              <w:r w:rsidR="00563821" w:rsidRPr="00563821">
                <w:rPr>
                  <w:rFonts w:eastAsiaTheme="majorEastAsia"/>
                  <w:noProof/>
                </w:rPr>
                <w:t>(Zhang, Yi; Silva, Beatriz; Moreau, Élodie; T¯ane, Hinewera, 2025)</w:t>
              </w:r>
              <w:r w:rsidR="00563821">
                <w:rPr>
                  <w:rStyle w:val="Strong"/>
                  <w:rFonts w:eastAsiaTheme="majorEastAsia"/>
                  <w:b w:val="0"/>
                  <w:bCs w:val="0"/>
                  <w:lang w:val="en-GB"/>
                </w:rPr>
                <w:fldChar w:fldCharType="end"/>
              </w:r>
            </w:sdtContent>
          </w:sdt>
          <w:sdt>
            <w:sdtPr>
              <w:rPr>
                <w:rStyle w:val="Strong"/>
                <w:rFonts w:eastAsiaTheme="majorEastAsia"/>
                <w:b w:val="0"/>
                <w:bCs w:val="0"/>
                <w:lang w:val="en-GB"/>
              </w:rPr>
              <w:id w:val="840427172"/>
              <w:citation/>
            </w:sdtPr>
            <w:sdtContent>
              <w:r w:rsidR="00563821">
                <w:rPr>
                  <w:rStyle w:val="Strong"/>
                  <w:rFonts w:eastAsiaTheme="majorEastAsia"/>
                  <w:b w:val="0"/>
                  <w:bCs w:val="0"/>
                  <w:lang w:val="en-GB"/>
                </w:rPr>
                <w:fldChar w:fldCharType="begin"/>
              </w:r>
              <w:r w:rsidR="00563821">
                <w:rPr>
                  <w:rStyle w:val="Strong"/>
                  <w:rFonts w:eastAsiaTheme="majorEastAsia"/>
                  <w:b w:val="0"/>
                  <w:bCs w:val="0"/>
                </w:rPr>
                <w:instrText xml:space="preserve"> CITATION ACC23 \l 1033 </w:instrText>
              </w:r>
              <w:r w:rsidR="0059742B">
                <w:rPr>
                  <w:rStyle w:val="Strong"/>
                  <w:rFonts w:eastAsiaTheme="majorEastAsia"/>
                  <w:b w:val="0"/>
                  <w:bCs w:val="0"/>
                </w:rPr>
                <w:instrText xml:space="preserve"> \m Wan22</w:instrText>
              </w:r>
              <w:r w:rsidR="00576646">
                <w:rPr>
                  <w:rStyle w:val="Strong"/>
                  <w:rFonts w:eastAsiaTheme="majorEastAsia"/>
                  <w:b w:val="0"/>
                  <w:bCs w:val="0"/>
                </w:rPr>
                <w:instrText xml:space="preserve"> \m Uni253</w:instrText>
              </w:r>
              <w:r w:rsidR="00563821">
                <w:rPr>
                  <w:rStyle w:val="Strong"/>
                  <w:rFonts w:eastAsiaTheme="majorEastAsia"/>
                  <w:b w:val="0"/>
                  <w:bCs w:val="0"/>
                  <w:lang w:val="en-GB"/>
                </w:rPr>
                <w:fldChar w:fldCharType="separate"/>
              </w:r>
              <w:r w:rsidR="00576646">
                <w:rPr>
                  <w:rStyle w:val="Strong"/>
                  <w:rFonts w:eastAsiaTheme="majorEastAsia"/>
                  <w:b w:val="0"/>
                  <w:bCs w:val="0"/>
                  <w:noProof/>
                </w:rPr>
                <w:t xml:space="preserve"> </w:t>
              </w:r>
              <w:r w:rsidR="00576646" w:rsidRPr="00576646">
                <w:rPr>
                  <w:rFonts w:eastAsiaTheme="majorEastAsia"/>
                  <w:noProof/>
                </w:rPr>
                <w:t>(ACCA Global, 2023; Wang-Nava, 2022; Unilever PLC, 2025)</w:t>
              </w:r>
              <w:r w:rsidR="00563821">
                <w:rPr>
                  <w:rStyle w:val="Strong"/>
                  <w:rFonts w:eastAsiaTheme="majorEastAsia"/>
                  <w:b w:val="0"/>
                  <w:bCs w:val="0"/>
                  <w:lang w:val="en-GB"/>
                </w:rPr>
                <w:fldChar w:fldCharType="end"/>
              </w:r>
            </w:sdtContent>
          </w:sdt>
          <w:r w:rsidRPr="00AE61F1">
            <w:rPr>
              <w:rStyle w:val="Strong"/>
              <w:rFonts w:eastAsiaTheme="majorEastAsia"/>
              <w:b w:val="0"/>
              <w:bCs w:val="0"/>
              <w:lang w:val="en-GB"/>
            </w:rPr>
            <w:t>.</w:t>
          </w:r>
          <w:r w:rsidR="004B4A25" w:rsidRPr="00AE61F1">
            <w:rPr>
              <w:lang w:val="en-GB"/>
            </w:rPr>
            <w:br w:type="page"/>
          </w:r>
        </w:p>
        <w:p w14:paraId="59B2A6D1" w14:textId="6F8C066F" w:rsidR="004B4A25" w:rsidRDefault="004B4A25" w:rsidP="004B4A25">
          <w:pPr>
            <w:pStyle w:val="Heading1"/>
            <w:numPr>
              <w:ilvl w:val="0"/>
              <w:numId w:val="1"/>
            </w:numPr>
          </w:pPr>
          <w:bookmarkStart w:id="11" w:name="_Toc226410218"/>
          <w:r w:rsidRPr="00AE61F1">
            <w:lastRenderedPageBreak/>
            <w:t>Business Report to the Directors of Westwood Plc</w:t>
          </w:r>
          <w:bookmarkEnd w:id="11"/>
        </w:p>
        <w:p w14:paraId="6C3CC4AA" w14:textId="7C15DD1F" w:rsidR="00450568" w:rsidRPr="00450568" w:rsidRDefault="00450568" w:rsidP="00450568">
          <w:r w:rsidRPr="00450568">
            <w:t>This report evaluates three mutually comparable four-year investment opportunities available to Westwood Plc: expanding the retail outlet, developing internet sales, and producing wooden and Roman blinds. The purpose is to determine whether the company should proceed with any of the proposals or seek alternative opportunities. The analysis uses the net present value method as the primary appraisal tool at a 6% cost of capital, incorporates tax at 25%, includes capital allowances at 20% on a straight-line basis, estimates the internal rate of return for the recommended option, considers the role of non-discounting techniques, and evaluates the optimal investment mix where funds are rationed to £2.5 million and projects are divisible. The report concludes by assessing the main financing sources available for the recommended programme. The theoretical preference for NPV over other methods is well established in finance because NPV measures absolute shareholder value created after allowing for the time value of money and the cost of capital.</w:t>
          </w:r>
        </w:p>
        <w:p w14:paraId="73D344A1" w14:textId="19C647AD" w:rsidR="004B4A25" w:rsidRDefault="004B4A25" w:rsidP="004B4A25">
          <w:pPr>
            <w:pStyle w:val="Heading2"/>
            <w:numPr>
              <w:ilvl w:val="1"/>
              <w:numId w:val="1"/>
            </w:numPr>
          </w:pPr>
          <w:bookmarkStart w:id="12" w:name="_Toc226410219"/>
          <w:r w:rsidRPr="00AE61F1">
            <w:t>Methodology and After-Tax Cash Flows</w:t>
          </w:r>
          <w:bookmarkEnd w:id="12"/>
        </w:p>
        <w:p w14:paraId="784AE3FE" w14:textId="46AF3249" w:rsidR="00CA653A" w:rsidRPr="00CA653A" w:rsidRDefault="001F008C" w:rsidP="00CA653A">
          <w:r w:rsidRPr="001F008C">
            <w:t>The given annual cash flows are treated as pre-tax operating cash inflows arising in the year in which they occur. Since corporation tax is 25% and capital allowances are 20% of initial cost on a straight-line basis, the annual tax-adjusted cash flow for each project is calculated as: after-tax operating cash flow plus tax relief on annual capital allowances. Therefore, annual after-tax cash flow = cash inflow × 0.75 + annual capital allowance × 0.25. Annual capital allowances are £120,000 for Project A, £200,000 for Project B and £320,000 for Project C. This gives annual tax shields of £30,000, £50,000 and £80,000 respectively. The discount factors at 6% for years 1 to 4 are 0.9434, 0.8900, 0.8396 and 0.7921. NPV is then calculated as the sum of discounted after-tax inflows less initial investment. This treatment is consistent with the standard corporate-finance principle that investment decisions should be evaluated using incremental after-tax cash flows rather than accounting profit.</w:t>
          </w:r>
        </w:p>
        <w:p w14:paraId="52CB1491" w14:textId="014812AF" w:rsidR="001F008C" w:rsidRPr="001F008C" w:rsidRDefault="004B4A25" w:rsidP="001F008C">
          <w:pPr>
            <w:pStyle w:val="Heading2"/>
            <w:numPr>
              <w:ilvl w:val="1"/>
              <w:numId w:val="1"/>
            </w:numPr>
          </w:pPr>
          <w:bookmarkStart w:id="13" w:name="_Toc226410220"/>
          <w:r w:rsidRPr="00AE61F1">
            <w:t>NPV Calculations</w:t>
          </w:r>
          <w:bookmarkEnd w:id="13"/>
        </w:p>
        <w:p w14:paraId="1269A4AE" w14:textId="1B9C59A2" w:rsidR="004B4A25" w:rsidRDefault="004B4A25" w:rsidP="004B4A25">
          <w:pPr>
            <w:pStyle w:val="Heading3"/>
            <w:numPr>
              <w:ilvl w:val="2"/>
              <w:numId w:val="1"/>
            </w:numPr>
          </w:pPr>
          <w:bookmarkStart w:id="14" w:name="_Toc226410221"/>
          <w:r w:rsidRPr="00AE61F1">
            <w:t>Project A: Expand retail outlet to include all products</w:t>
          </w:r>
          <w:bookmarkEnd w:id="14"/>
        </w:p>
        <w:p w14:paraId="32E02286" w14:textId="77777777" w:rsidR="00AD4AB9" w:rsidRDefault="00AD4AB9" w:rsidP="00AD4AB9">
          <w:pPr>
            <w:pStyle w:val="NormalWeb"/>
          </w:pPr>
          <w:r>
            <w:t>Annual capital allowance = 20% × £600,000 = £120,000.</w:t>
          </w:r>
          <w:r>
            <w:br/>
            <w:t>Annual tax shield = 25% × £120,000 = £30,000.</w:t>
          </w:r>
        </w:p>
        <w:p w14:paraId="5B993795" w14:textId="77777777" w:rsidR="00AD4AB9" w:rsidRDefault="00AD4AB9" w:rsidP="00AD4AB9">
          <w:pPr>
            <w:pStyle w:val="NormalWeb"/>
          </w:pPr>
          <w:r>
            <w:t>After-tax cash flows:</w:t>
          </w:r>
          <w:r>
            <w:br/>
            <w:t>Year 1 = £200,000 × 0.75 + £30,000 = £180,000</w:t>
          </w:r>
          <w:r>
            <w:br/>
            <w:t>Year 2 = £400,000 × 0.75 + £30,000 = £330,000</w:t>
          </w:r>
          <w:r>
            <w:br/>
            <w:t>Year 3 = £500,000 × 0.75 + £30,000 = £405,000</w:t>
          </w:r>
          <w:r>
            <w:br/>
            <w:t>Year 4 = £700,000 × 0.75 + £30,000 = £555,000</w:t>
          </w:r>
        </w:p>
        <w:p w14:paraId="1FF64538" w14:textId="77777777" w:rsidR="00AD4AB9" w:rsidRDefault="00AD4AB9" w:rsidP="00AD4AB9">
          <w:pPr>
            <w:pStyle w:val="NormalWeb"/>
          </w:pPr>
          <w:r>
            <w:t>Present values:</w:t>
          </w:r>
          <w:r>
            <w:br/>
            <w:t>Year 1 = 180,000 × 0.9434 = 169,812</w:t>
          </w:r>
          <w:r>
            <w:br/>
            <w:t>Year 2 = 330,000 × 0.8900 = 293,700</w:t>
          </w:r>
          <w:r>
            <w:br/>
            <w:t>Year 3 = 405,000 × 0.8396 = 340,038</w:t>
          </w:r>
          <w:r>
            <w:br/>
            <w:t>Year 4 = 555,000 × 0.7921 = 439,616</w:t>
          </w:r>
        </w:p>
        <w:p w14:paraId="75CD7B61" w14:textId="656E6659" w:rsidR="001F008C" w:rsidRPr="001F008C" w:rsidRDefault="00AD4AB9" w:rsidP="00C07A99">
          <w:pPr>
            <w:pStyle w:val="NormalWeb"/>
          </w:pPr>
          <w:r>
            <w:t>Total PV of inflows = £1,243,166</w:t>
          </w:r>
          <w:r>
            <w:br/>
            <w:t>Less initial investment = £600,000</w:t>
          </w:r>
          <w:r>
            <w:br/>
          </w:r>
          <w:r w:rsidRPr="00DC0477">
            <w:rPr>
              <w:rStyle w:val="Strong"/>
              <w:b w:val="0"/>
              <w:bCs w:val="0"/>
            </w:rPr>
            <w:t>NPV = £643,16</w:t>
          </w:r>
        </w:p>
        <w:p w14:paraId="6A175171" w14:textId="71380649" w:rsidR="004B4A25" w:rsidRDefault="004B4A25" w:rsidP="004B4A25">
          <w:pPr>
            <w:pStyle w:val="Heading3"/>
            <w:numPr>
              <w:ilvl w:val="2"/>
              <w:numId w:val="1"/>
            </w:numPr>
          </w:pPr>
          <w:bookmarkStart w:id="15" w:name="_Toc226410222"/>
          <w:r w:rsidRPr="00AE61F1">
            <w:lastRenderedPageBreak/>
            <w:t>Project B: Develop internet sales</w:t>
          </w:r>
          <w:bookmarkEnd w:id="15"/>
        </w:p>
        <w:p w14:paraId="2072EBFB" w14:textId="77777777" w:rsidR="001137A3" w:rsidRDefault="001137A3" w:rsidP="00E34FB2">
          <w:pPr>
            <w:pStyle w:val="NormalWeb"/>
          </w:pPr>
          <w:r>
            <w:t>Annual capital allowance = 20% × £1,000,000 = £200,000.</w:t>
          </w:r>
          <w:r>
            <w:br/>
            <w:t>Annual tax shield = 25% × £200,000 = £50,000.</w:t>
          </w:r>
        </w:p>
        <w:p w14:paraId="73D3AD09" w14:textId="77777777" w:rsidR="001137A3" w:rsidRDefault="001137A3" w:rsidP="00E34FB2">
          <w:pPr>
            <w:pStyle w:val="NormalWeb"/>
          </w:pPr>
          <w:r>
            <w:t>After-tax cash flows:</w:t>
          </w:r>
          <w:r>
            <w:br/>
            <w:t>Year 1 = £400,000 × 0.75 + £50,000 = £350,000</w:t>
          </w:r>
          <w:r>
            <w:br/>
            <w:t>Year 2 = £450,000 × 0.75 + £50,000 = £387,500</w:t>
          </w:r>
          <w:r>
            <w:br/>
            <w:t>Year 3 = £720,000 × 0.75 + £50,000 = £590,000</w:t>
          </w:r>
          <w:r>
            <w:br/>
            <w:t>Year 4 = £980,000 × 0.75 + £50,000 = £785,000</w:t>
          </w:r>
        </w:p>
        <w:p w14:paraId="1AA21C98" w14:textId="77777777" w:rsidR="001137A3" w:rsidRDefault="001137A3" w:rsidP="00E34FB2">
          <w:pPr>
            <w:pStyle w:val="NormalWeb"/>
          </w:pPr>
          <w:r>
            <w:t>Present values:</w:t>
          </w:r>
          <w:r>
            <w:br/>
            <w:t>Year 1 = 350,000 × 0.9434 = 330,190</w:t>
          </w:r>
          <w:r>
            <w:br/>
            <w:t>Year 2 = 387,500 × 0.8900 = 344,875</w:t>
          </w:r>
          <w:r>
            <w:br/>
            <w:t>Year 3 = 590,000 × 0.8396 = 495,364</w:t>
          </w:r>
          <w:r>
            <w:br/>
            <w:t>Year 4 = 785,000 × 0.7921 = 621,799</w:t>
          </w:r>
        </w:p>
        <w:p w14:paraId="3C4065E8" w14:textId="3A1036CD" w:rsidR="00746F02" w:rsidRPr="00746F02" w:rsidRDefault="001137A3" w:rsidP="00E34FB2">
          <w:pPr>
            <w:pStyle w:val="NormalWeb"/>
          </w:pPr>
          <w:r>
            <w:t>Total PV of inflows = £1,792,228</w:t>
          </w:r>
          <w:r>
            <w:br/>
            <w:t>Less initial investment = £1,000,000</w:t>
          </w:r>
          <w:r>
            <w:br/>
          </w:r>
          <w:r w:rsidRPr="001137A3">
            <w:rPr>
              <w:rStyle w:val="Strong"/>
              <w:rFonts w:eastAsiaTheme="majorEastAsia"/>
              <w:b w:val="0"/>
              <w:bCs w:val="0"/>
            </w:rPr>
            <w:t>NPV = £792,228</w:t>
          </w:r>
        </w:p>
        <w:p w14:paraId="3E161BDF" w14:textId="08362187" w:rsidR="004B4A25" w:rsidRDefault="004B4A25" w:rsidP="004B4A25">
          <w:pPr>
            <w:pStyle w:val="Heading3"/>
            <w:numPr>
              <w:ilvl w:val="2"/>
              <w:numId w:val="1"/>
            </w:numPr>
          </w:pPr>
          <w:bookmarkStart w:id="16" w:name="_Toc226410223"/>
          <w:r w:rsidRPr="00AE61F1">
            <w:t>Project C: Produce wooden blinds and Roman blinds</w:t>
          </w:r>
          <w:bookmarkEnd w:id="16"/>
        </w:p>
        <w:p w14:paraId="515FBEC5" w14:textId="77777777" w:rsidR="00A622D4" w:rsidRDefault="00A622D4" w:rsidP="00E34FB2">
          <w:pPr>
            <w:pStyle w:val="NormalWeb"/>
          </w:pPr>
          <w:r>
            <w:t>Annual capital allowance = 20% × £1,600,000 = £320,000.</w:t>
          </w:r>
          <w:r>
            <w:br/>
            <w:t>Annual tax shield = 25% × £320,000 = £80,000.</w:t>
          </w:r>
        </w:p>
        <w:p w14:paraId="612669E6" w14:textId="77777777" w:rsidR="00A622D4" w:rsidRDefault="00A622D4" w:rsidP="00E34FB2">
          <w:pPr>
            <w:pStyle w:val="NormalWeb"/>
          </w:pPr>
          <w:r>
            <w:t>After-tax cash flows:</w:t>
          </w:r>
          <w:r>
            <w:br/>
            <w:t>Year 1 = £450,000 × 0.75 + £80,000 = £417,500</w:t>
          </w:r>
          <w:r>
            <w:br/>
            <w:t>Year 2 = £700,000 × 0.75 + £80,000 = £605,000</w:t>
          </w:r>
          <w:r>
            <w:br/>
            <w:t>Year 3 = £900,000 × 0.75 + £80,000 = £755,000</w:t>
          </w:r>
          <w:r>
            <w:br/>
            <w:t>Year 4 = £1,200,000 × 0.75 + £80,000 = £980,000</w:t>
          </w:r>
        </w:p>
        <w:p w14:paraId="19B990B2" w14:textId="77777777" w:rsidR="00A622D4" w:rsidRDefault="00A622D4" w:rsidP="00E34FB2">
          <w:pPr>
            <w:pStyle w:val="NormalWeb"/>
          </w:pPr>
          <w:r>
            <w:t>Present values:</w:t>
          </w:r>
          <w:r>
            <w:br/>
            <w:t>Year 1 = 417,500 × 0.9434 = 393,370</w:t>
          </w:r>
          <w:r>
            <w:br/>
            <w:t>Year 2 = 605,000 × 0.8900 = 538,450</w:t>
          </w:r>
          <w:r>
            <w:br/>
            <w:t>Year 3 = 755,000 × 0.8396 = 633,898</w:t>
          </w:r>
          <w:r>
            <w:br/>
            <w:t>Year 4 = 980,000 × 0.7921 = 776,258</w:t>
          </w:r>
        </w:p>
        <w:p w14:paraId="7EF0C4F7" w14:textId="77777777" w:rsidR="00A622D4" w:rsidRDefault="00A622D4" w:rsidP="00E34FB2">
          <w:pPr>
            <w:pStyle w:val="NormalWeb"/>
          </w:pPr>
          <w:r>
            <w:t>Total PV of inflows = £2,342,476</w:t>
          </w:r>
          <w:r>
            <w:br/>
            <w:t>Less initial investment = £1,600,000</w:t>
          </w:r>
          <w:r>
            <w:br/>
          </w:r>
          <w:r w:rsidRPr="00A622D4">
            <w:rPr>
              <w:rStyle w:val="Strong"/>
              <w:rFonts w:eastAsiaTheme="majorEastAsia"/>
              <w:b w:val="0"/>
              <w:bCs w:val="0"/>
            </w:rPr>
            <w:t>NPV = £742,476</w:t>
          </w:r>
        </w:p>
        <w:p w14:paraId="1B41DB1B" w14:textId="0C5731B1" w:rsidR="00C07A99" w:rsidRPr="00C07A99" w:rsidRDefault="00A622D4" w:rsidP="00E34FB2">
          <w:pPr>
            <w:pStyle w:val="NormalWeb"/>
          </w:pPr>
          <w:r>
            <w:t>All three projects produce positive NPVs, meaning all three would add value if capital were freely available and the forecasts were reliable. Ranking by NPV gives Project B first, Project C second and Project A third. The best single project is therefore Project B because it creates the largest absolute increase in shareholder wealth at the given 6% cost of capital. This is the correct criterion for mutually comparable value-based decision-making because NPV measures pounds of wealth created rather than percentage return alone.</w:t>
          </w:r>
        </w:p>
        <w:p w14:paraId="01C89CDB" w14:textId="4C98F7F0" w:rsidR="004B4A25" w:rsidRDefault="004B4A25" w:rsidP="004B4A25">
          <w:pPr>
            <w:pStyle w:val="Heading2"/>
            <w:numPr>
              <w:ilvl w:val="1"/>
              <w:numId w:val="1"/>
            </w:numPr>
          </w:pPr>
          <w:bookmarkStart w:id="17" w:name="_Toc226410224"/>
          <w:r w:rsidRPr="00AE61F1">
            <w:lastRenderedPageBreak/>
            <w:t>NPV Analysis</w:t>
          </w:r>
          <w:bookmarkEnd w:id="17"/>
        </w:p>
        <w:p w14:paraId="761FA465" w14:textId="4DF7E765" w:rsidR="00694C10" w:rsidRPr="00694C10" w:rsidRDefault="007152CC" w:rsidP="00694C10">
          <w:r w:rsidRPr="007152CC">
            <w:t xml:space="preserve">Westwood Plc should undertake </w:t>
          </w:r>
          <w:r w:rsidRPr="006236E3">
            <w:t>Project B, the development of internet sales,</w:t>
          </w:r>
          <w:r w:rsidRPr="007152CC">
            <w:t xml:space="preserve"> if it intends to select one project only. Although Project C generates larger total cash inflows, its higher initial investment means it creates less present value than Project B after adjusting for cost of capital and tax. Project A has the lowest investment requirement and the highest value created per pound invested, but it does not create the highest absolute NPV. Since the objective of corporate finance is to maximise shareholder wealth, Project B is the most attractive stand-alone option. It generates an NPV of approximately £792,000 compared with around £742,000 for Project C and £643,000 for Project A. The Board should therefore proceed with Project B unless strategic, operational or risk considerations materially change the qualitative assessment.</w:t>
          </w:r>
        </w:p>
        <w:p w14:paraId="4DFF4C0D" w14:textId="700CBF6C" w:rsidR="004B4A25" w:rsidRDefault="004B4A25" w:rsidP="004B4A25">
          <w:pPr>
            <w:pStyle w:val="Heading2"/>
            <w:numPr>
              <w:ilvl w:val="1"/>
              <w:numId w:val="1"/>
            </w:numPr>
          </w:pPr>
          <w:bookmarkStart w:id="18" w:name="_Toc226410225"/>
          <w:r w:rsidRPr="00AE61F1">
            <w:t>Approximate IRR of Project</w:t>
          </w:r>
          <w:bookmarkEnd w:id="18"/>
        </w:p>
        <w:p w14:paraId="60CA4FE5" w14:textId="0E0872FF" w:rsidR="006236E3" w:rsidRPr="006236E3" w:rsidRDefault="000A3E8F" w:rsidP="006236E3">
          <w:r w:rsidRPr="000A3E8F">
            <w:t>The approximate internal rate of return for Project B is about 32.1%. This can be obtained either by iterative calculation or by interpolation between discount rates that produce positive and negative NPVs. Since the NPV at 6% is strongly positive and falls toward zero only at a much higher rate, the project clearly earns well above the company’s 6% cost of capital. An IRR of roughly 32% means the project’s expected annualised return substantially exceeds the required return, confirming the acceptability of Project B. However, the IRR should be used as a supporting indicator rather than the main decision rule. Percentage returns can be attractive but still misleading where projects differ in size, duration or timing of cash flows, which is why Project B is recommended primarily because of its superior NPV, not simply because it has a high IRR.</w:t>
          </w:r>
        </w:p>
        <w:p w14:paraId="1A98A750" w14:textId="16BA0434" w:rsidR="004B4A25" w:rsidRDefault="004B4A25" w:rsidP="004B4A25">
          <w:pPr>
            <w:pStyle w:val="Heading2"/>
            <w:numPr>
              <w:ilvl w:val="1"/>
              <w:numId w:val="1"/>
            </w:numPr>
          </w:pPr>
          <w:bookmarkStart w:id="19" w:name="_Toc226410226"/>
          <w:r w:rsidRPr="00AE61F1">
            <w:t>Why NPV Is the Best Method</w:t>
          </w:r>
          <w:bookmarkEnd w:id="19"/>
        </w:p>
        <w:p w14:paraId="1A8DDA43" w14:textId="275125F5" w:rsidR="00397B51" w:rsidRDefault="004260B2" w:rsidP="00397B51">
          <w:r w:rsidRPr="004260B2">
            <w:t>The theoretical arguments for choosing NPV as the best investment appraisal method are strong. First, NPV recognises the time value of money by discounting future cash flows to their present value. Second, it uses all relevant project cash flows rather than focusing only on early recovery. Third, it incorporates risk through the discount rate, linking investment analysis to the firm’s opportunity cost of capital. Fourth, NPV gives a direct measure of value added in monetary terms, making it fully consistent with shareholder wealth maximisation. Fifth, when projects are mutually exclusive, NPV gives the correct ranking where IRR and other methods may conflict because NPV favours the project that adds the most wealth, not merely the highest percentage return. These properties explain why modern corporate-finance theory treats NPV as the primary decision criterion.</w:t>
          </w:r>
        </w:p>
        <w:p w14:paraId="350AFD9D" w14:textId="03B2DBB7" w:rsidR="00722968" w:rsidRDefault="00722968" w:rsidP="00397B51">
          <w:r w:rsidRPr="00722968">
            <w:t>The superiority of NPV becomes especially clear when projects differ in scale, as here. Project A may deliver the highest return per pound invested, and Project B may have a slightly lower percentage yield than Project A, but Project B creates more absolute value. Since shareholders benefit from value creation in pounds, not merely percentages, the Board should use NPV as the principal ranking tool. Academic discussion of the NPV–IRR debate repeatedly concludes that NPV dominates where ranking conflicts arise, especially under mutually exclusive choice, unconventional timing patterns, or differing investment size. Therefore, management should view IRR as a supplementary communication device, useful for intuitive interpretation, but not as the final arbiter of project choice.</w:t>
          </w:r>
        </w:p>
        <w:p w14:paraId="4F5B9D43" w14:textId="77777777" w:rsidR="0029088D" w:rsidRPr="00397B51" w:rsidRDefault="0029088D" w:rsidP="00397B51"/>
        <w:p w14:paraId="7C7E5CC6" w14:textId="665F995E" w:rsidR="004B4A25" w:rsidRDefault="004B4A25" w:rsidP="004B4A25">
          <w:pPr>
            <w:pStyle w:val="Heading2"/>
            <w:numPr>
              <w:ilvl w:val="1"/>
              <w:numId w:val="1"/>
            </w:numPr>
          </w:pPr>
          <w:bookmarkStart w:id="20" w:name="_Toc226410227"/>
          <w:r w:rsidRPr="00AE61F1">
            <w:lastRenderedPageBreak/>
            <w:t>Why Non-Discounting Methods Remain Popular</w:t>
          </w:r>
          <w:bookmarkEnd w:id="20"/>
        </w:p>
        <w:p w14:paraId="7E8D6AEA" w14:textId="77777777" w:rsidR="0029088D" w:rsidRDefault="0029088D" w:rsidP="00A821B4">
          <w:pPr>
            <w:pStyle w:val="NormalWeb"/>
            <w:ind w:left="360"/>
          </w:pPr>
          <w:r>
            <w:t xml:space="preserve">Despite the theoretical superiority of NPV, non-discounting methods such as payback period and accounting rate of return remain popular among managers. One reason is simplicity: they are easy to calculate, easy to explain and easy to compare across projects. A second reason is liquidity concern; managers often like payback because it shows how quickly cash is recovered, which matters in uncertain or constrained environments. A third reason is behavioural: decision makers may prefer familiar and intuitive tools, especially where data quality is weak or where they want a quick first screen before applying more sophisticated appraisal methods. A fourth reason is </w:t>
          </w:r>
          <w:proofErr w:type="spellStart"/>
          <w:r>
            <w:t>organisational</w:t>
          </w:r>
          <w:proofErr w:type="spellEnd"/>
          <w:r>
            <w:t xml:space="preserve"> practice, as some firms continue to use these methods because they are embedded in internal approval systems. </w:t>
          </w:r>
        </w:p>
        <w:p w14:paraId="1FC4580E" w14:textId="60854C5F" w:rsidR="002825CE" w:rsidRPr="002825CE" w:rsidRDefault="0029088D" w:rsidP="00A821B4">
          <w:pPr>
            <w:pStyle w:val="NormalWeb"/>
            <w:ind w:left="360"/>
          </w:pPr>
          <w:r>
            <w:t xml:space="preserve">However, their popularity does not make them better. Payback ignores value created after the cutoff period and, in its simple form, ignores discounting altogether. Accounting rate of return depends on accounting profits rather than cash flows and can therefore be distorted by depreciation policies and non-cash items. These weaknesses mean such methods are best used as secondary tools, for example to assess liquidity risk or managerial preference for early cash recovery, while NPV remains the main basis for final approval. In practice, many companies use a combination: NPV for value, IRR for communication, and payback for liquidity awareness. That blended approach is acceptable </w:t>
          </w:r>
          <w:proofErr w:type="gramStart"/>
          <w:r>
            <w:t>as long as</w:t>
          </w:r>
          <w:proofErr w:type="gramEnd"/>
          <w:r>
            <w:t xml:space="preserve"> NPV still drives the final decision.</w:t>
          </w:r>
        </w:p>
        <w:p w14:paraId="75840FD0" w14:textId="51EBB4E5" w:rsidR="004B4A25" w:rsidRDefault="004B4A25" w:rsidP="004B4A25">
          <w:pPr>
            <w:pStyle w:val="Heading2"/>
            <w:numPr>
              <w:ilvl w:val="1"/>
              <w:numId w:val="1"/>
            </w:numPr>
          </w:pPr>
          <w:bookmarkStart w:id="21" w:name="_Toc226410228"/>
          <w:r w:rsidRPr="00AE61F1">
            <w:t>Other Factors Before the Final Investment Decision</w:t>
          </w:r>
          <w:bookmarkEnd w:id="21"/>
        </w:p>
        <w:p w14:paraId="7512C706" w14:textId="77777777" w:rsidR="009757EA" w:rsidRDefault="009757EA" w:rsidP="004661CD">
          <w:pPr>
            <w:pStyle w:val="NormalWeb"/>
            <w:ind w:left="360"/>
          </w:pPr>
          <w:r>
            <w:t xml:space="preserve">Before final approval, Westwood Plc should consider several qualitative and strategic factors beyond </w:t>
          </w:r>
          <w:proofErr w:type="gramStart"/>
          <w:r>
            <w:t>the numerical</w:t>
          </w:r>
          <w:proofErr w:type="gramEnd"/>
          <w:r>
            <w:t xml:space="preserve"> appraisal. First, forecast reliability matters: internet sales may have stronger upside but also greater uncertainty in customer acquisition costs, fulfilment capability and competitive pricing pressure. Second, strategic fit is critical: if the firm’s existing strengths are store operations or product craftsmanship, certain projects may be easier to execute successfully than others. Third, operational capability must be assessed, including technology readiness, supplier capacity, staff skills and management attention. Fourth, the Board should consider risk concentration: the blinds project may involve higher capital commitment and more manufacturing complexity, while internet expansion may expose the business to cybersecurity, returns management and digital marketing volatility. Fifth, flexibility has value; projects that create options for later expansion may be strategically preferable even if headline NPV differences are moderate. </w:t>
          </w:r>
        </w:p>
        <w:p w14:paraId="1B3105EF" w14:textId="0A03246B" w:rsidR="00A821B4" w:rsidRPr="00A821B4" w:rsidRDefault="009757EA" w:rsidP="004661CD">
          <w:pPr>
            <w:pStyle w:val="NormalWeb"/>
            <w:ind w:left="360"/>
          </w:pPr>
          <w:r>
            <w:t xml:space="preserve">Environmental shifts should also be considered. Consumer demand, competitor reaction, logistics costs, inflation, taxation and financing conditions can all alter </w:t>
          </w:r>
          <w:proofErr w:type="spellStart"/>
          <w:r>
            <w:t>realised</w:t>
          </w:r>
          <w:proofErr w:type="spellEnd"/>
          <w:r>
            <w:t xml:space="preserve"> returns. The Board should therefore complement the base-case NPV with sensitivity analysis on sales volume, price, margin and terminal assumptions. Management should also test downside scenarios, because a project with the highest expected NPV is not automatically the best if its risk-adjusted downside is materially worse than alternatives. For Westwood Plc, Project B remains the strongest recommendation on the evidence given, but implementation should still be conditional on realistic stress testing and operational readiness.</w:t>
          </w:r>
        </w:p>
        <w:p w14:paraId="1F1A6043" w14:textId="2DD70BC1" w:rsidR="004B4A25" w:rsidRDefault="004B4A25" w:rsidP="004B4A25">
          <w:pPr>
            <w:pStyle w:val="Heading2"/>
            <w:numPr>
              <w:ilvl w:val="1"/>
              <w:numId w:val="1"/>
            </w:numPr>
          </w:pPr>
          <w:bookmarkStart w:id="22" w:name="_Toc226410229"/>
          <w:r w:rsidRPr="00AE61F1">
            <w:lastRenderedPageBreak/>
            <w:t>Capital Rationing: Optimal Investment Policy with £2.5 Million and Divisible Projects</w:t>
          </w:r>
          <w:bookmarkEnd w:id="22"/>
        </w:p>
        <w:p w14:paraId="78DF1FEC" w14:textId="77777777" w:rsidR="000C37D4" w:rsidRPr="000C37D4" w:rsidRDefault="000C37D4" w:rsidP="000C37D4">
          <w:pPr>
            <w:pStyle w:val="NormalWeb"/>
            <w:ind w:left="360"/>
          </w:pPr>
          <w:r w:rsidRPr="000C37D4">
            <w:t xml:space="preserve">Where total funds are limited to £2.5 million and projects are divisible, the correct approach is to rank projects by </w:t>
          </w:r>
          <w:r w:rsidRPr="000C37D4">
            <w:rPr>
              <w:rStyle w:val="Strong"/>
              <w:rFonts w:eastAsiaTheme="majorEastAsia"/>
              <w:b w:val="0"/>
              <w:bCs w:val="0"/>
            </w:rPr>
            <w:t>profitability index (PI)</w:t>
          </w:r>
          <w:r w:rsidRPr="000C37D4">
            <w:t>, which is the present value of inflows divided by initial investment. The PIs are:</w:t>
          </w:r>
        </w:p>
        <w:p w14:paraId="22D88DAF" w14:textId="77777777" w:rsidR="000C37D4" w:rsidRPr="000C37D4" w:rsidRDefault="000C37D4" w:rsidP="000C37D4">
          <w:pPr>
            <w:pStyle w:val="NormalWeb"/>
            <w:ind w:left="360"/>
          </w:pPr>
          <w:r w:rsidRPr="000C37D4">
            <w:t xml:space="preserve">Project A = 1,243,166 / 600,000 = </w:t>
          </w:r>
          <w:r w:rsidRPr="000C37D4">
            <w:rPr>
              <w:rStyle w:val="Strong"/>
              <w:rFonts w:eastAsiaTheme="majorEastAsia"/>
              <w:b w:val="0"/>
              <w:bCs w:val="0"/>
            </w:rPr>
            <w:t>2.072</w:t>
          </w:r>
          <w:r w:rsidRPr="000C37D4">
            <w:br/>
            <w:t xml:space="preserve">Project B = 1,792,228 / 1,000,000 = </w:t>
          </w:r>
          <w:r w:rsidRPr="000C37D4">
            <w:rPr>
              <w:rStyle w:val="Strong"/>
              <w:rFonts w:eastAsiaTheme="majorEastAsia"/>
              <w:b w:val="0"/>
              <w:bCs w:val="0"/>
            </w:rPr>
            <w:t>1.792</w:t>
          </w:r>
          <w:r w:rsidRPr="000C37D4">
            <w:br/>
            <w:t xml:space="preserve">Project C = 2,342,476 / 1,600,000 = </w:t>
          </w:r>
          <w:r w:rsidRPr="000C37D4">
            <w:rPr>
              <w:rStyle w:val="Strong"/>
              <w:rFonts w:eastAsiaTheme="majorEastAsia"/>
              <w:b w:val="0"/>
              <w:bCs w:val="0"/>
            </w:rPr>
            <w:t>1.464</w:t>
          </w:r>
        </w:p>
        <w:p w14:paraId="68C02A3E" w14:textId="77777777" w:rsidR="000C37D4" w:rsidRPr="000C37D4" w:rsidRDefault="000C37D4" w:rsidP="000C37D4">
          <w:pPr>
            <w:pStyle w:val="NormalWeb"/>
            <w:ind w:left="360"/>
          </w:pPr>
          <w:r w:rsidRPr="000C37D4">
            <w:t xml:space="preserve">Ranking by PI therefore gives A first, B second and C third. With £2.5 million available, the optimal divisible investment policy is to invest fully in Project A (£600,000), fully in Project B (£1,000,000), and the remaining £900,000 in Project C. Since Project C costs £1.6 million in total, this means undertaking </w:t>
          </w:r>
          <w:r w:rsidRPr="000C37D4">
            <w:rPr>
              <w:rStyle w:val="Strong"/>
              <w:rFonts w:eastAsiaTheme="majorEastAsia"/>
              <w:b w:val="0"/>
              <w:bCs w:val="0"/>
            </w:rPr>
            <w:t>56.25%</w:t>
          </w:r>
          <w:r w:rsidRPr="000C37D4">
            <w:t xml:space="preserve"> of Project C. The resulting NPV equals full NPV of A plus full NPV of B plus 56.25% of the NPV of C:</w:t>
          </w:r>
        </w:p>
        <w:p w14:paraId="2F218B27" w14:textId="77777777" w:rsidR="000C37D4" w:rsidRPr="000C37D4" w:rsidRDefault="000C37D4" w:rsidP="000C37D4">
          <w:pPr>
            <w:pStyle w:val="NormalWeb"/>
            <w:ind w:left="360"/>
          </w:pPr>
          <w:r w:rsidRPr="000C37D4">
            <w:t>NPV from A = £643,166</w:t>
          </w:r>
          <w:r w:rsidRPr="000C37D4">
            <w:br/>
            <w:t>NPV from B = £792,228</w:t>
          </w:r>
          <w:r w:rsidRPr="000C37D4">
            <w:br/>
            <w:t>NPV from 56.25% of C = 0.5625 × 742,476 = £417,643</w:t>
          </w:r>
        </w:p>
        <w:p w14:paraId="34E42FF6" w14:textId="77777777" w:rsidR="000C37D4" w:rsidRPr="000C37D4" w:rsidRDefault="000C37D4" w:rsidP="000C37D4">
          <w:pPr>
            <w:pStyle w:val="NormalWeb"/>
            <w:ind w:left="360"/>
          </w:pPr>
          <w:r w:rsidRPr="000C37D4">
            <w:rPr>
              <w:rStyle w:val="Strong"/>
              <w:rFonts w:eastAsiaTheme="majorEastAsia"/>
              <w:b w:val="0"/>
              <w:bCs w:val="0"/>
            </w:rPr>
            <w:t>Total NPV under optimal capital rationing = £1,853,037</w:t>
          </w:r>
        </w:p>
        <w:p w14:paraId="4EE6E0B5" w14:textId="38353E18" w:rsidR="004661CD" w:rsidRPr="000C37D4" w:rsidRDefault="000C37D4" w:rsidP="000C37D4">
          <w:pPr>
            <w:pStyle w:val="NormalWeb"/>
            <w:ind w:left="360"/>
          </w:pPr>
          <w:r w:rsidRPr="000C37D4">
            <w:t>This is the best policy under divisible capital rationing because scarce funds are allocated first to the project with the highest NPV per pound invested.</w:t>
          </w:r>
        </w:p>
        <w:p w14:paraId="6300B971" w14:textId="6F399BB3" w:rsidR="004B4A25" w:rsidRPr="00AE61F1" w:rsidRDefault="004B4A25" w:rsidP="004B4A25">
          <w:pPr>
            <w:pStyle w:val="Heading2"/>
            <w:numPr>
              <w:ilvl w:val="1"/>
              <w:numId w:val="1"/>
            </w:numPr>
          </w:pPr>
          <w:bookmarkStart w:id="23" w:name="_Toc226410230"/>
          <w:r w:rsidRPr="00AE61F1">
            <w:t>Financing the Proposed Investment Programme</w:t>
          </w:r>
          <w:bookmarkEnd w:id="23"/>
        </w:p>
        <w:p w14:paraId="4587A828" w14:textId="77777777" w:rsidR="00C90BD7" w:rsidRDefault="00C90BD7" w:rsidP="00C90BD7">
          <w:pPr>
            <w:pStyle w:val="NormalWeb"/>
          </w:pPr>
          <w:r>
            <w:t xml:space="preserve">The proposed investment </w:t>
          </w:r>
          <w:proofErr w:type="spellStart"/>
          <w:r>
            <w:t>programme</w:t>
          </w:r>
          <w:proofErr w:type="spellEnd"/>
          <w:r>
            <w:t xml:space="preserve"> could be financed through retained earnings, bank borrowing, overdraft or revolving credit, term loans, new equity, leasing or asset-based finance, and potentially a hybrid combination. Retained earnings are usually the cheapest and most flexible source because they avoid flotation costs, dilution and restrictive lender covenants. They are also a strong signal that management can fund growth internally. The disadvantage is opportunity cost: using internal cash reduces liquidity reserves and may constrain other strategic options. Bank debt is attractive because interest is tax-deductible and ownership is not diluted. It can be especially suitable for projects with reasonably predictable cash flows, such as retail expansion or online platform development. Its disadvantages are fixed repayment obligations, covenant restrictions and refinancing risk if trading weakens. </w:t>
          </w:r>
        </w:p>
        <w:p w14:paraId="154C1AC5" w14:textId="0BC3C7F7" w:rsidR="00A131F2" w:rsidRPr="00C90BD7" w:rsidRDefault="00C90BD7" w:rsidP="00C90BD7">
          <w:pPr>
            <w:pStyle w:val="NormalWeb"/>
          </w:pPr>
          <w:r>
            <w:t xml:space="preserve">New equity is appropriate where the Board wants to preserve debt capacity or where project risk is too high for heavy borrowing. Equity has no mandatory repayment and strengthens the balance sheet, but it dilutes existing shareholders and may be more expensive than debt because investors require higher returns. Leasing or asset-based finance can be useful where a large part of project expenditure relates to equipment, IT systems or logistics infrastructure; this may reduce upfront cash pressure and match financing with asset usage, though total long-run cost may be higher. For Westwood Plc, the best financing choice would likely be a balanced mix: retained earnings as the core source, supplemented by medium-term bank debt for part of the </w:t>
          </w:r>
          <w:proofErr w:type="spellStart"/>
          <w:r>
            <w:t>programme</w:t>
          </w:r>
          <w:proofErr w:type="spellEnd"/>
          <w:r>
            <w:t xml:space="preserve">. This would preserve ownership, exploit the tax advantage of debt, and avoid </w:t>
          </w:r>
          <w:proofErr w:type="gramStart"/>
          <w:r>
            <w:t>over-stretching</w:t>
          </w:r>
          <w:proofErr w:type="gramEnd"/>
          <w:r>
            <w:t xml:space="preserve"> short-term liquidity. If the firm adopts the capital-rationed optimum </w:t>
          </w:r>
          <w:r>
            <w:lastRenderedPageBreak/>
            <w:t>portfolio, a staged financing plan tied to project milestones would further reduce execution risk.</w:t>
          </w:r>
          <w:r w:rsidR="00A131F2" w:rsidRPr="00AE61F1">
            <w:br w:type="page"/>
          </w:r>
        </w:p>
        <w:p w14:paraId="0DBC006D" w14:textId="17B03203" w:rsidR="00A131F2" w:rsidRPr="00AE61F1" w:rsidRDefault="00A131F2" w:rsidP="00A131F2">
          <w:pPr>
            <w:pStyle w:val="Heading1"/>
            <w:numPr>
              <w:ilvl w:val="0"/>
              <w:numId w:val="1"/>
            </w:numPr>
          </w:pPr>
          <w:bookmarkStart w:id="24" w:name="_Toc226410231"/>
          <w:r w:rsidRPr="00AE61F1">
            <w:lastRenderedPageBreak/>
            <w:t>Recommendation</w:t>
          </w:r>
          <w:bookmarkEnd w:id="24"/>
          <w:r w:rsidRPr="00AE61F1">
            <w:t xml:space="preserve"> </w:t>
          </w:r>
        </w:p>
        <w:p w14:paraId="7BE5E1E8" w14:textId="77777777" w:rsidR="00B71C2B" w:rsidRPr="00AE61F1" w:rsidRDefault="00B71C2B">
          <w:pPr>
            <w:rPr>
              <w:rFonts w:eastAsiaTheme="majorEastAsia" w:cstheme="majorBidi"/>
              <w:color w:val="2E74B5" w:themeColor="accent1" w:themeShade="BF"/>
              <w:sz w:val="28"/>
              <w:szCs w:val="32"/>
            </w:rPr>
          </w:pPr>
          <w:r w:rsidRPr="00AE61F1">
            <w:br w:type="page"/>
          </w:r>
        </w:p>
        <w:p w14:paraId="5E6FC09D" w14:textId="2D7851C6" w:rsidR="00B71C2B" w:rsidRPr="00AE61F1" w:rsidRDefault="00B71C2B" w:rsidP="00B71C2B">
          <w:pPr>
            <w:pStyle w:val="Heading1"/>
            <w:numPr>
              <w:ilvl w:val="0"/>
              <w:numId w:val="1"/>
            </w:numPr>
          </w:pPr>
          <w:bookmarkStart w:id="25" w:name="_Toc226410232"/>
          <w:r w:rsidRPr="00AE61F1">
            <w:lastRenderedPageBreak/>
            <w:t>Conclusion</w:t>
          </w:r>
          <w:bookmarkEnd w:id="25"/>
          <w:r w:rsidRPr="00AE61F1">
            <w:t xml:space="preserve"> </w:t>
          </w:r>
        </w:p>
        <w:p w14:paraId="5CA454B3" w14:textId="06B9E5F1" w:rsidR="002C2798" w:rsidRPr="00AE61F1" w:rsidRDefault="00B71C2B" w:rsidP="002C2798">
          <w:pPr>
            <w:rPr>
              <w:rFonts w:eastAsiaTheme="majorEastAsia" w:cstheme="majorBidi"/>
              <w:color w:val="2E74B5" w:themeColor="accent1" w:themeShade="BF"/>
              <w:sz w:val="28"/>
              <w:szCs w:val="32"/>
            </w:rPr>
          </w:pPr>
          <w:r w:rsidRPr="00AE61F1">
            <w:br w:type="page"/>
          </w:r>
        </w:p>
        <w:bookmarkStart w:id="26" w:name="_Toc226410233" w:displacedByCustomXml="next"/>
        <w:sdt>
          <w:sdtPr>
            <w:rPr>
              <w:rFonts w:eastAsiaTheme="minorHAnsi" w:cstheme="minorBidi"/>
              <w:color w:val="auto"/>
              <w:sz w:val="24"/>
              <w:szCs w:val="22"/>
            </w:rPr>
            <w:id w:val="1599145909"/>
            <w:docPartObj>
              <w:docPartGallery w:val="Bibliographies"/>
              <w:docPartUnique/>
            </w:docPartObj>
          </w:sdtPr>
          <w:sdtContent>
            <w:p w14:paraId="27524B05" w14:textId="6155B261" w:rsidR="002C2798" w:rsidRPr="00AE61F1" w:rsidRDefault="002C2798">
              <w:pPr>
                <w:pStyle w:val="Heading1"/>
              </w:pPr>
              <w:r w:rsidRPr="00AE61F1">
                <w:t>References</w:t>
              </w:r>
              <w:bookmarkEnd w:id="26"/>
            </w:p>
            <w:sdt>
              <w:sdtPr>
                <w:id w:val="-573587230"/>
                <w:bibliography/>
              </w:sdtPr>
              <w:sdtContent>
                <w:p w14:paraId="7ED5889A" w14:textId="77777777" w:rsidR="00D6234B" w:rsidRDefault="002C2798" w:rsidP="00D6234B">
                  <w:pPr>
                    <w:pStyle w:val="Bibliography"/>
                    <w:rPr>
                      <w:noProof/>
                      <w:szCs w:val="24"/>
                    </w:rPr>
                  </w:pPr>
                  <w:r w:rsidRPr="00AE61F1">
                    <w:fldChar w:fldCharType="begin"/>
                  </w:r>
                  <w:r w:rsidRPr="00AE61F1">
                    <w:instrText xml:space="preserve"> BIBLIOGRAPHY </w:instrText>
                  </w:r>
                  <w:r w:rsidRPr="00AE61F1">
                    <w:fldChar w:fldCharType="separate"/>
                  </w:r>
                  <w:r w:rsidR="00D6234B">
                    <w:rPr>
                      <w:noProof/>
                    </w:rPr>
                    <w:t xml:space="preserve">Damodaran, A., 2026. </w:t>
                  </w:r>
                  <w:r w:rsidR="00D6234B">
                    <w:rPr>
                      <w:i/>
                      <w:iCs/>
                      <w:noProof/>
                    </w:rPr>
                    <w:t xml:space="preserve">Operating and Net Margins. </w:t>
                  </w:r>
                  <w:r w:rsidR="00D6234B">
                    <w:rPr>
                      <w:noProof/>
                    </w:rPr>
                    <w:t xml:space="preserve">[Online] </w:t>
                  </w:r>
                  <w:r w:rsidR="00D6234B">
                    <w:rPr>
                      <w:noProof/>
                    </w:rPr>
                    <w:br/>
                    <w:t xml:space="preserve">Available at: </w:t>
                  </w:r>
                  <w:r w:rsidR="00D6234B">
                    <w:rPr>
                      <w:noProof/>
                      <w:u w:val="single"/>
                    </w:rPr>
                    <w:t>https://pages.stern.nyu.edu/~adamodar/New_Home_Page/datafile/margin.html</w:t>
                  </w:r>
                  <w:r w:rsidR="00D6234B">
                    <w:rPr>
                      <w:noProof/>
                    </w:rPr>
                    <w:br/>
                    <w:t>[Accessed 01 04 2026].</w:t>
                  </w:r>
                </w:p>
                <w:p w14:paraId="60E679E6" w14:textId="77777777" w:rsidR="00D6234B" w:rsidRDefault="00D6234B" w:rsidP="00D6234B">
                  <w:pPr>
                    <w:pStyle w:val="Bibliography"/>
                    <w:rPr>
                      <w:noProof/>
                    </w:rPr>
                  </w:pPr>
                  <w:r>
                    <w:rPr>
                      <w:noProof/>
                    </w:rPr>
                    <w:t xml:space="preserve">John Nkeobuna Nnah Ugoani, 18. Performance Ratio Analysis and Management Effectiveness. </w:t>
                  </w:r>
                  <w:r>
                    <w:rPr>
                      <w:i/>
                      <w:iCs/>
                      <w:noProof/>
                    </w:rPr>
                    <w:t xml:space="preserve">Business, Management and Economics Research, </w:t>
                  </w:r>
                  <w:r>
                    <w:rPr>
                      <w:noProof/>
                    </w:rPr>
                    <w:t>04(12), pp. 171-177.</w:t>
                  </w:r>
                </w:p>
                <w:p w14:paraId="04DF536F" w14:textId="77777777" w:rsidR="00D6234B" w:rsidRDefault="00D6234B" w:rsidP="00D6234B">
                  <w:pPr>
                    <w:pStyle w:val="Bibliography"/>
                    <w:rPr>
                      <w:noProof/>
                    </w:rPr>
                  </w:pPr>
                  <w:r>
                    <w:rPr>
                      <w:noProof/>
                    </w:rPr>
                    <w:t xml:space="preserve">John Wild, Krishnamurthy R. Subramanyam, 2008. </w:t>
                  </w:r>
                  <w:r>
                    <w:rPr>
                      <w:i/>
                      <w:iCs/>
                      <w:noProof/>
                    </w:rPr>
                    <w:t xml:space="preserve">Financial Statement Analysis. </w:t>
                  </w:r>
                  <w:r>
                    <w:rPr>
                      <w:noProof/>
                    </w:rPr>
                    <w:t>10, illustrated ed. New York: McGraw-Hill Education, 2008.</w:t>
                  </w:r>
                </w:p>
                <w:p w14:paraId="06908BDD" w14:textId="77777777" w:rsidR="00D6234B" w:rsidRDefault="00D6234B" w:rsidP="00D6234B">
                  <w:pPr>
                    <w:pStyle w:val="Bibliography"/>
                    <w:rPr>
                      <w:noProof/>
                    </w:rPr>
                  </w:pPr>
                  <w:r>
                    <w:rPr>
                      <w:noProof/>
                    </w:rPr>
                    <w:t xml:space="preserve">Rajesh Kumar Bhaskaran, Koyilathumpaday Sukumaran Sujit, and Kareem Abdul Waheed, 2023. Linkage Between Brand Value and Firm Performance: An Empirical Examination Using Fuzzy Set Qualitative Comparative Analysis. </w:t>
                  </w:r>
                  <w:r>
                    <w:rPr>
                      <w:i/>
                      <w:iCs/>
                      <w:noProof/>
                    </w:rPr>
                    <w:t xml:space="preserve">SAGE Open, </w:t>
                  </w:r>
                  <w:r>
                    <w:rPr>
                      <w:noProof/>
                    </w:rPr>
                    <w:t>13(3), pp. 1-16.</w:t>
                  </w:r>
                </w:p>
                <w:p w14:paraId="72525C26" w14:textId="77777777" w:rsidR="00D6234B" w:rsidRDefault="00D6234B" w:rsidP="00D6234B">
                  <w:pPr>
                    <w:pStyle w:val="Bibliography"/>
                    <w:rPr>
                      <w:noProof/>
                    </w:rPr>
                  </w:pPr>
                  <w:r>
                    <w:rPr>
                      <w:noProof/>
                    </w:rPr>
                    <w:t xml:space="preserve">Richa Naidu and Dominique Vidalon, 2024. </w:t>
                  </w:r>
                  <w:r>
                    <w:rPr>
                      <w:i/>
                      <w:iCs/>
                      <w:noProof/>
                    </w:rPr>
                    <w:t xml:space="preserve">Nestle, Danone see price hikes slowing after years of sharp increases. </w:t>
                  </w:r>
                  <w:r>
                    <w:rPr>
                      <w:noProof/>
                    </w:rPr>
                    <w:t xml:space="preserve">[Online] </w:t>
                  </w:r>
                  <w:r>
                    <w:rPr>
                      <w:noProof/>
                    </w:rPr>
                    <w:br/>
                    <w:t xml:space="preserve">Available at: </w:t>
                  </w:r>
                  <w:r>
                    <w:rPr>
                      <w:noProof/>
                      <w:u w:val="single"/>
                    </w:rPr>
                    <w:t>https://www.reuters.com/business/retail-consumer/nestle-danone-see-price-hikes-slowing-after-years-sharp-increases-2024-02-22/</w:t>
                  </w:r>
                  <w:r>
                    <w:rPr>
                      <w:noProof/>
                    </w:rPr>
                    <w:br/>
                    <w:t>[Accessed 03 04 2026].</w:t>
                  </w:r>
                </w:p>
                <w:p w14:paraId="5CA606DA" w14:textId="77777777" w:rsidR="00D6234B" w:rsidRDefault="00D6234B" w:rsidP="00D6234B">
                  <w:pPr>
                    <w:pStyle w:val="Bibliography"/>
                    <w:rPr>
                      <w:noProof/>
                    </w:rPr>
                  </w:pPr>
                  <w:r>
                    <w:rPr>
                      <w:noProof/>
                    </w:rPr>
                    <w:t xml:space="preserve">Richa Naidu; Eva Mathews, 2024. Unilever to spin off ice cream business, cut 7,500 jobs for cost savings. </w:t>
                  </w:r>
                  <w:r>
                    <w:rPr>
                      <w:i/>
                      <w:iCs/>
                      <w:noProof/>
                    </w:rPr>
                    <w:t>Reuters</w:t>
                  </w:r>
                  <w:r>
                    <w:rPr>
                      <w:noProof/>
                    </w:rPr>
                    <w:t xml:space="preserve">, 19 March. </w:t>
                  </w:r>
                </w:p>
                <w:p w14:paraId="6861CC82" w14:textId="77777777" w:rsidR="00D6234B" w:rsidRDefault="00D6234B" w:rsidP="00D6234B">
                  <w:pPr>
                    <w:pStyle w:val="Bibliography"/>
                    <w:rPr>
                      <w:noProof/>
                    </w:rPr>
                  </w:pPr>
                  <w:r>
                    <w:rPr>
                      <w:noProof/>
                    </w:rPr>
                    <w:t xml:space="preserve">Unilever PLC, 2024. </w:t>
                  </w:r>
                  <w:r>
                    <w:rPr>
                      <w:i/>
                      <w:iCs/>
                      <w:noProof/>
                    </w:rPr>
                    <w:t xml:space="preserve">Annual Report and Accounts 2023, </w:t>
                  </w:r>
                  <w:r>
                    <w:rPr>
                      <w:noProof/>
                    </w:rPr>
                    <w:t>London: Unilever PLC.</w:t>
                  </w:r>
                </w:p>
                <w:p w14:paraId="0AEF85F9" w14:textId="77777777" w:rsidR="00D6234B" w:rsidRDefault="00D6234B" w:rsidP="00D6234B">
                  <w:pPr>
                    <w:pStyle w:val="Bibliography"/>
                    <w:rPr>
                      <w:noProof/>
                    </w:rPr>
                  </w:pPr>
                  <w:r>
                    <w:rPr>
                      <w:noProof/>
                    </w:rPr>
                    <w:t xml:space="preserve">Unilever PLC, 2024. </w:t>
                  </w:r>
                  <w:r>
                    <w:rPr>
                      <w:i/>
                      <w:iCs/>
                      <w:noProof/>
                    </w:rPr>
                    <w:t xml:space="preserve">Full year and fourth quarter 2023 results, </w:t>
                  </w:r>
                  <w:r>
                    <w:rPr>
                      <w:noProof/>
                    </w:rPr>
                    <w:t>London: Unilever PLC.</w:t>
                  </w:r>
                </w:p>
                <w:p w14:paraId="21F366C5" w14:textId="77777777" w:rsidR="00D6234B" w:rsidRDefault="00D6234B" w:rsidP="00D6234B">
                  <w:pPr>
                    <w:pStyle w:val="Bibliography"/>
                    <w:rPr>
                      <w:noProof/>
                    </w:rPr>
                  </w:pPr>
                  <w:r>
                    <w:rPr>
                      <w:noProof/>
                    </w:rPr>
                    <w:t xml:space="preserve">Unilever PLC, 2025. </w:t>
                  </w:r>
                  <w:r>
                    <w:rPr>
                      <w:i/>
                      <w:iCs/>
                      <w:noProof/>
                    </w:rPr>
                    <w:t xml:space="preserve">Full year and fourth quarter 2024 results, </w:t>
                  </w:r>
                  <w:r>
                    <w:rPr>
                      <w:noProof/>
                    </w:rPr>
                    <w:t>London (Corporate Headquarters): Unilever PLC.</w:t>
                  </w:r>
                </w:p>
                <w:p w14:paraId="11BA47B8" w14:textId="77777777" w:rsidR="00D6234B" w:rsidRDefault="00D6234B" w:rsidP="00D6234B">
                  <w:pPr>
                    <w:pStyle w:val="Bibliography"/>
                    <w:rPr>
                      <w:noProof/>
                    </w:rPr>
                  </w:pPr>
                  <w:r>
                    <w:rPr>
                      <w:noProof/>
                    </w:rPr>
                    <w:t xml:space="preserve">Unilever PLC, 2025. </w:t>
                  </w:r>
                  <w:r>
                    <w:rPr>
                      <w:i/>
                      <w:iCs/>
                      <w:noProof/>
                    </w:rPr>
                    <w:t xml:space="preserve">Q4 2024 results. </w:t>
                  </w:r>
                  <w:r>
                    <w:rPr>
                      <w:noProof/>
                    </w:rPr>
                    <w:t xml:space="preserve">[Online] </w:t>
                  </w:r>
                  <w:r>
                    <w:rPr>
                      <w:noProof/>
                    </w:rPr>
                    <w:br/>
                    <w:t xml:space="preserve">Available at: </w:t>
                  </w:r>
                  <w:r>
                    <w:rPr>
                      <w:noProof/>
                      <w:u w:val="single"/>
                    </w:rPr>
                    <w:t>https://www.unilever.com/investors/results-events/results-events-webcasts/overview-q4-2024/</w:t>
                  </w:r>
                  <w:r>
                    <w:rPr>
                      <w:noProof/>
                    </w:rPr>
                    <w:br/>
                    <w:t>[Accessed 28 March 2026].</w:t>
                  </w:r>
                </w:p>
                <w:p w14:paraId="325E2181" w14:textId="77777777" w:rsidR="00D6234B" w:rsidRDefault="00D6234B" w:rsidP="00D6234B">
                  <w:pPr>
                    <w:pStyle w:val="Bibliography"/>
                    <w:rPr>
                      <w:noProof/>
                    </w:rPr>
                  </w:pPr>
                  <w:r>
                    <w:rPr>
                      <w:noProof/>
                    </w:rPr>
                    <w:t xml:space="preserve">Unilever PLC, 2025. </w:t>
                  </w:r>
                  <w:r>
                    <w:rPr>
                      <w:i/>
                      <w:iCs/>
                      <w:noProof/>
                    </w:rPr>
                    <w:t xml:space="preserve">Unilever Annual Report and Accounts 2024, </w:t>
                  </w:r>
                  <w:r>
                    <w:rPr>
                      <w:noProof/>
                    </w:rPr>
                    <w:t>London (Corporate Headquarters): Unilever PLC.</w:t>
                  </w:r>
                </w:p>
                <w:p w14:paraId="60382C86" w14:textId="77777777" w:rsidR="00D6234B" w:rsidRDefault="00D6234B" w:rsidP="00D6234B">
                  <w:pPr>
                    <w:pStyle w:val="Bibliography"/>
                    <w:rPr>
                      <w:noProof/>
                    </w:rPr>
                  </w:pPr>
                  <w:r>
                    <w:rPr>
                      <w:noProof/>
                    </w:rPr>
                    <w:t xml:space="preserve">Unilever PLC, 2025. </w:t>
                  </w:r>
                  <w:r>
                    <w:rPr>
                      <w:i/>
                      <w:iCs/>
                      <w:noProof/>
                    </w:rPr>
                    <w:t xml:space="preserve">Unilever Annual Report and Accounts 2024. </w:t>
                  </w:r>
                  <w:r>
                    <w:rPr>
                      <w:noProof/>
                    </w:rPr>
                    <w:t xml:space="preserve">[Online] </w:t>
                  </w:r>
                  <w:r>
                    <w:rPr>
                      <w:noProof/>
                    </w:rPr>
                    <w:br/>
                    <w:t xml:space="preserve">Available at: </w:t>
                  </w:r>
                  <w:r>
                    <w:rPr>
                      <w:noProof/>
                      <w:u w:val="single"/>
                    </w:rPr>
                    <w:t>https://www.unilever.com/files/unilever-annual-report-and-accounts-2024.pdf</w:t>
                  </w:r>
                  <w:r>
                    <w:rPr>
                      <w:noProof/>
                    </w:rPr>
                    <w:br/>
                    <w:t>[Accessed 28 March 2026].</w:t>
                  </w:r>
                </w:p>
                <w:p w14:paraId="661108A3" w14:textId="77777777" w:rsidR="00D6234B" w:rsidRDefault="00D6234B" w:rsidP="00D6234B">
                  <w:pPr>
                    <w:pStyle w:val="Bibliography"/>
                    <w:rPr>
                      <w:noProof/>
                    </w:rPr>
                  </w:pPr>
                  <w:r>
                    <w:rPr>
                      <w:noProof/>
                    </w:rPr>
                    <w:t xml:space="preserve">Unilever PLC, 2026. </w:t>
                  </w:r>
                  <w:r>
                    <w:rPr>
                      <w:i/>
                      <w:iCs/>
                      <w:noProof/>
                    </w:rPr>
                    <w:t xml:space="preserve">Dividend calculator and history. </w:t>
                  </w:r>
                  <w:r>
                    <w:rPr>
                      <w:noProof/>
                    </w:rPr>
                    <w:t xml:space="preserve">[Online] </w:t>
                  </w:r>
                  <w:r>
                    <w:rPr>
                      <w:noProof/>
                    </w:rPr>
                    <w:br/>
                    <w:t xml:space="preserve">Available at: </w:t>
                  </w:r>
                  <w:r>
                    <w:rPr>
                      <w:noProof/>
                      <w:u w:val="single"/>
                    </w:rPr>
                    <w:t>https://www.unilever.com/investors/investor-centre/dividends/dividend-calculator-and-history/</w:t>
                  </w:r>
                  <w:r>
                    <w:rPr>
                      <w:noProof/>
                    </w:rPr>
                    <w:br/>
                    <w:t>[Accessed 2 04 2026].</w:t>
                  </w:r>
                </w:p>
                <w:p w14:paraId="36854E00" w14:textId="77777777" w:rsidR="00D6234B" w:rsidRDefault="00D6234B" w:rsidP="00D6234B">
                  <w:pPr>
                    <w:pStyle w:val="Bibliography"/>
                    <w:rPr>
                      <w:noProof/>
                    </w:rPr>
                  </w:pPr>
                  <w:r>
                    <w:rPr>
                      <w:noProof/>
                    </w:rPr>
                    <w:t xml:space="preserve">Zhang, Yi; Silva, Beatriz; Moreau, Élodie; T¯ane, Hinewera, 2025. </w:t>
                  </w:r>
                  <w:r>
                    <w:rPr>
                      <w:i/>
                      <w:iCs/>
                      <w:noProof/>
                    </w:rPr>
                    <w:t xml:space="preserve">Financial Ratio Analysis: A literature Review Working Paper, </w:t>
                  </w:r>
                  <w:r>
                    <w:rPr>
                      <w:noProof/>
                    </w:rPr>
                    <w:t>Munish: Unversity Library of Munish.</w:t>
                  </w:r>
                </w:p>
                <w:p w14:paraId="33EE4EC3" w14:textId="77777777" w:rsidR="00E1529C" w:rsidRPr="00AE61F1" w:rsidRDefault="002C2798" w:rsidP="00D6234B">
                  <w:pPr>
                    <w:rPr>
                      <w:b/>
                      <w:bCs/>
                    </w:rPr>
                  </w:pPr>
                  <w:r w:rsidRPr="00AE61F1">
                    <w:rPr>
                      <w:b/>
                      <w:bCs/>
                    </w:rPr>
                    <w:fldChar w:fldCharType="end"/>
                  </w:r>
                </w:p>
                <w:p w14:paraId="5EE4CC52" w14:textId="0241DE00" w:rsidR="00B71C2B" w:rsidRPr="00AE61F1" w:rsidRDefault="00000000" w:rsidP="00B5076F"/>
              </w:sdtContent>
            </w:sdt>
          </w:sdtContent>
        </w:sdt>
        <w:p w14:paraId="19C5E466" w14:textId="77777777" w:rsidR="00B71C2B" w:rsidRPr="00AE61F1" w:rsidRDefault="00B71C2B">
          <w:pPr>
            <w:rPr>
              <w:rFonts w:eastAsiaTheme="majorEastAsia" w:cstheme="majorBidi"/>
              <w:color w:val="2E74B5" w:themeColor="accent1" w:themeShade="BF"/>
              <w:sz w:val="28"/>
              <w:szCs w:val="32"/>
            </w:rPr>
          </w:pPr>
          <w:r w:rsidRPr="00AE61F1">
            <w:br w:type="page"/>
          </w:r>
        </w:p>
        <w:p w14:paraId="19A9BF1D" w14:textId="55A443B2" w:rsidR="00B71C2B" w:rsidRPr="00AE61F1" w:rsidRDefault="00B71C2B" w:rsidP="00B71C2B">
          <w:pPr>
            <w:pStyle w:val="Heading1"/>
            <w:numPr>
              <w:ilvl w:val="0"/>
              <w:numId w:val="1"/>
            </w:numPr>
          </w:pPr>
          <w:bookmarkStart w:id="27" w:name="_Toc226410234"/>
          <w:r w:rsidRPr="00AE61F1">
            <w:lastRenderedPageBreak/>
            <w:t>Appendix</w:t>
          </w:r>
          <w:bookmarkEnd w:id="27"/>
          <w:r w:rsidRPr="00AE61F1">
            <w:t xml:space="preserve"> </w:t>
          </w:r>
        </w:p>
        <w:p w14:paraId="3CA0875A" w14:textId="77777777" w:rsidR="004B4A25" w:rsidRPr="00AE61F1" w:rsidRDefault="004B4A25" w:rsidP="004B4A25"/>
        <w:p w14:paraId="48A03CFD" w14:textId="77777777" w:rsidR="0071417F" w:rsidRPr="00AE61F1" w:rsidRDefault="0071417F" w:rsidP="0071417F"/>
        <w:p w14:paraId="7D4FC40A" w14:textId="77777777" w:rsidR="00480872" w:rsidRPr="00AE61F1" w:rsidRDefault="00480872" w:rsidP="00AA2A91">
          <w:pPr>
            <w:pStyle w:val="Heading1"/>
          </w:pPr>
        </w:p>
        <w:p w14:paraId="7820AD2A" w14:textId="77777777" w:rsidR="00480872" w:rsidRPr="00AE61F1" w:rsidRDefault="00480872" w:rsidP="00AA2A91">
          <w:pPr>
            <w:pStyle w:val="Heading1"/>
          </w:pPr>
        </w:p>
        <w:p w14:paraId="18A01614" w14:textId="77777777" w:rsidR="00480872" w:rsidRPr="00AE61F1" w:rsidRDefault="00480872" w:rsidP="00AA2A91">
          <w:pPr>
            <w:pStyle w:val="Heading1"/>
          </w:pPr>
        </w:p>
        <w:p w14:paraId="507BAD72" w14:textId="77777777" w:rsidR="00480872" w:rsidRPr="00AE61F1" w:rsidRDefault="00480872" w:rsidP="00AA2A91">
          <w:pPr>
            <w:pStyle w:val="Heading1"/>
          </w:pPr>
        </w:p>
        <w:p w14:paraId="33B9C063" w14:textId="77777777" w:rsidR="00480872" w:rsidRPr="00AE61F1" w:rsidRDefault="00480872" w:rsidP="00AA2A91">
          <w:pPr>
            <w:pStyle w:val="Heading1"/>
          </w:pPr>
        </w:p>
        <w:p w14:paraId="781664DC" w14:textId="77777777" w:rsidR="00480872" w:rsidRPr="00AE61F1" w:rsidRDefault="00480872" w:rsidP="00AA2A91">
          <w:pPr>
            <w:pStyle w:val="Heading1"/>
          </w:pPr>
        </w:p>
        <w:p w14:paraId="0E285665" w14:textId="77777777" w:rsidR="00480872" w:rsidRPr="00AE61F1" w:rsidRDefault="00480872" w:rsidP="00AA2A91">
          <w:pPr>
            <w:pStyle w:val="Heading1"/>
          </w:pPr>
        </w:p>
        <w:p w14:paraId="3C870794" w14:textId="77777777" w:rsidR="00480872" w:rsidRPr="00AE61F1" w:rsidRDefault="00480872" w:rsidP="00AA2A91">
          <w:pPr>
            <w:pStyle w:val="Heading1"/>
          </w:pPr>
        </w:p>
        <w:p w14:paraId="233A9D06" w14:textId="77777777" w:rsidR="00480872" w:rsidRPr="00AE61F1" w:rsidRDefault="00480872" w:rsidP="00AA2A91">
          <w:pPr>
            <w:pStyle w:val="Heading1"/>
          </w:pPr>
        </w:p>
        <w:p w14:paraId="1AA6A402" w14:textId="77777777" w:rsidR="00480872" w:rsidRPr="00AE61F1" w:rsidRDefault="00480872" w:rsidP="00AA2A91">
          <w:pPr>
            <w:pStyle w:val="Heading1"/>
          </w:pPr>
        </w:p>
        <w:p w14:paraId="05EE9661" w14:textId="77777777" w:rsidR="00480872" w:rsidRPr="00AE61F1" w:rsidRDefault="00480872" w:rsidP="00AA2A91">
          <w:pPr>
            <w:pStyle w:val="Heading1"/>
          </w:pPr>
        </w:p>
        <w:p w14:paraId="2D0BBCD0" w14:textId="77777777" w:rsidR="00480872" w:rsidRPr="00AE61F1" w:rsidRDefault="00480872" w:rsidP="00AA2A91">
          <w:pPr>
            <w:pStyle w:val="Heading1"/>
          </w:pPr>
        </w:p>
        <w:p w14:paraId="36574C88" w14:textId="77777777" w:rsidR="00480872" w:rsidRPr="00AE61F1" w:rsidRDefault="00480872" w:rsidP="00AA2A91">
          <w:pPr>
            <w:pStyle w:val="Heading1"/>
          </w:pPr>
        </w:p>
        <w:p w14:paraId="4E1FD67F" w14:textId="77777777" w:rsidR="00480872" w:rsidRPr="00AE61F1" w:rsidRDefault="00480872" w:rsidP="00AA2A91">
          <w:pPr>
            <w:pStyle w:val="Heading1"/>
          </w:pPr>
        </w:p>
        <w:p w14:paraId="36749EDA" w14:textId="77777777" w:rsidR="00480872" w:rsidRPr="00AE61F1" w:rsidRDefault="00480872" w:rsidP="00AA2A91">
          <w:pPr>
            <w:pStyle w:val="Heading1"/>
          </w:pPr>
        </w:p>
        <w:p w14:paraId="32FEED6F" w14:textId="77777777" w:rsidR="00480872" w:rsidRPr="00AE61F1" w:rsidRDefault="00480872" w:rsidP="00AA2A91">
          <w:pPr>
            <w:pStyle w:val="Heading1"/>
          </w:pPr>
        </w:p>
        <w:p w14:paraId="78E785CD" w14:textId="77777777" w:rsidR="00480872" w:rsidRPr="00AE61F1" w:rsidRDefault="00480872" w:rsidP="00AA2A91">
          <w:pPr>
            <w:pStyle w:val="Heading1"/>
          </w:pPr>
        </w:p>
        <w:p w14:paraId="6504F871" w14:textId="77777777" w:rsidR="00480872" w:rsidRPr="00AE61F1" w:rsidRDefault="00480872" w:rsidP="00AA2A91">
          <w:pPr>
            <w:pStyle w:val="Heading1"/>
          </w:pPr>
        </w:p>
        <w:p w14:paraId="7246D263" w14:textId="77777777" w:rsidR="00AA2A91" w:rsidRPr="00AE61F1" w:rsidRDefault="00AA2A91" w:rsidP="00AA2A91"/>
        <w:p w14:paraId="22020C63" w14:textId="77777777" w:rsidR="00AA2A91" w:rsidRPr="00AE61F1" w:rsidRDefault="00AA2A91" w:rsidP="00AA2A91"/>
        <w:p w14:paraId="43A20583" w14:textId="77777777" w:rsidR="00AA2A91" w:rsidRPr="00AE61F1" w:rsidRDefault="00AA2A91" w:rsidP="00AA2A91"/>
        <w:p w14:paraId="39BA3A5F" w14:textId="77777777" w:rsidR="00AA2A91" w:rsidRPr="00AE61F1" w:rsidRDefault="00AA2A91" w:rsidP="00AA2A91"/>
        <w:p w14:paraId="385E28CD" w14:textId="77777777" w:rsidR="00AA2A91" w:rsidRPr="00AE61F1" w:rsidRDefault="00AA2A91" w:rsidP="00AA2A91"/>
        <w:p w14:paraId="0F501598" w14:textId="77777777" w:rsidR="00AA2A91" w:rsidRPr="00AE61F1" w:rsidRDefault="00AA2A91" w:rsidP="00AA2A91"/>
        <w:p w14:paraId="0E5928E3" w14:textId="77777777" w:rsidR="00AA2A91" w:rsidRPr="00AE61F1" w:rsidRDefault="00AA2A91" w:rsidP="00AA2A91"/>
        <w:p w14:paraId="0D823694" w14:textId="77777777" w:rsidR="00AA2A91" w:rsidRPr="00AE61F1" w:rsidRDefault="00AA2A91" w:rsidP="00AA2A91"/>
        <w:p w14:paraId="57748263" w14:textId="77777777" w:rsidR="00AA2A91" w:rsidRPr="00AE61F1" w:rsidRDefault="00AA2A91" w:rsidP="00AA2A91"/>
        <w:p w14:paraId="2BBAF9C4" w14:textId="77777777" w:rsidR="00AA2A91" w:rsidRPr="00AE61F1" w:rsidRDefault="00AA2A91" w:rsidP="00AA2A91"/>
        <w:p w14:paraId="3F0C99F6" w14:textId="77777777" w:rsidR="00AA2A91" w:rsidRPr="00AE61F1" w:rsidRDefault="00AA2A91" w:rsidP="00AA2A91"/>
        <w:p w14:paraId="617B5053" w14:textId="77777777" w:rsidR="00AA2A91" w:rsidRPr="00AE61F1" w:rsidRDefault="00AA2A91" w:rsidP="00AA2A91"/>
        <w:p w14:paraId="52C577D0" w14:textId="77777777" w:rsidR="00AA2A91" w:rsidRPr="00AE61F1" w:rsidRDefault="00AA2A91" w:rsidP="00AA2A91"/>
        <w:p w14:paraId="7C924378" w14:textId="77777777" w:rsidR="00AA2A91" w:rsidRPr="00AE61F1" w:rsidRDefault="00AA2A91" w:rsidP="00AA2A91"/>
        <w:p w14:paraId="12335BCA" w14:textId="77777777" w:rsidR="00AA2A91" w:rsidRPr="00AE61F1" w:rsidRDefault="00AA2A91" w:rsidP="00AA2A91"/>
        <w:p w14:paraId="57551E56" w14:textId="77777777" w:rsidR="00AA2A91" w:rsidRPr="00AE61F1" w:rsidRDefault="00AA2A91" w:rsidP="00AA2A91"/>
        <w:p w14:paraId="7779ADCB" w14:textId="77777777" w:rsidR="00AA2A91" w:rsidRPr="00AE61F1" w:rsidRDefault="00AA2A91" w:rsidP="00AA2A91"/>
        <w:p w14:paraId="120D3BCF" w14:textId="77777777" w:rsidR="00AA2A91" w:rsidRPr="00AE61F1" w:rsidRDefault="00AA2A91" w:rsidP="00AA2A91"/>
        <w:p w14:paraId="20BC3FCE" w14:textId="77777777" w:rsidR="00AA2A91" w:rsidRPr="00AE61F1" w:rsidRDefault="00AA2A91" w:rsidP="00AA2A91"/>
        <w:p w14:paraId="70E87FE0" w14:textId="77777777" w:rsidR="00AA2A91" w:rsidRPr="00AE61F1" w:rsidRDefault="00AA2A91" w:rsidP="00AA2A91"/>
        <w:p w14:paraId="227E9D80" w14:textId="77777777" w:rsidR="00AA2A91" w:rsidRPr="00AE61F1" w:rsidRDefault="00AA2A91" w:rsidP="00AA2A91"/>
        <w:p w14:paraId="6E6D0B58" w14:textId="77777777" w:rsidR="00AA2A91" w:rsidRPr="00AE61F1" w:rsidRDefault="00AA2A91" w:rsidP="00AA2A91"/>
        <w:p w14:paraId="6859129F" w14:textId="77777777" w:rsidR="00AA2A91" w:rsidRPr="00AE61F1" w:rsidRDefault="00AA2A91" w:rsidP="00AA2A91"/>
        <w:p w14:paraId="3C2C4E14" w14:textId="77777777" w:rsidR="00AA2A91" w:rsidRPr="00AE61F1" w:rsidRDefault="00AA2A91" w:rsidP="00AA2A91"/>
        <w:p w14:paraId="0ABC39D3" w14:textId="77777777" w:rsidR="00AA2A91" w:rsidRPr="00AE61F1" w:rsidRDefault="00AA2A91" w:rsidP="00AA2A91"/>
        <w:p w14:paraId="77D69E6F" w14:textId="77777777" w:rsidR="004A11F6" w:rsidRPr="00AE61F1" w:rsidRDefault="004A11F6"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B5773" w14:textId="77777777" w:rsidR="00CC27CF" w:rsidRPr="00AE61F1" w:rsidRDefault="00CC27CF" w:rsidP="003F7E7E">
      <w:pPr>
        <w:spacing w:after="0" w:line="240" w:lineRule="auto"/>
      </w:pPr>
      <w:r w:rsidRPr="00AE61F1">
        <w:separator/>
      </w:r>
    </w:p>
  </w:endnote>
  <w:endnote w:type="continuationSeparator" w:id="0">
    <w:p w14:paraId="4E1A7D7F" w14:textId="77777777" w:rsidR="00CC27CF" w:rsidRPr="00AE61F1" w:rsidRDefault="00CC27CF" w:rsidP="003F7E7E">
      <w:pPr>
        <w:spacing w:after="0" w:line="240" w:lineRule="auto"/>
      </w:pPr>
      <w:r w:rsidRPr="00AE61F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54C28" w14:textId="77777777" w:rsidR="00CC27CF" w:rsidRPr="00AE61F1" w:rsidRDefault="00CC27CF" w:rsidP="003F7E7E">
      <w:pPr>
        <w:spacing w:after="0" w:line="240" w:lineRule="auto"/>
      </w:pPr>
      <w:r w:rsidRPr="00AE61F1">
        <w:separator/>
      </w:r>
    </w:p>
  </w:footnote>
  <w:footnote w:type="continuationSeparator" w:id="0">
    <w:p w14:paraId="2B0E8943" w14:textId="77777777" w:rsidR="00CC27CF" w:rsidRPr="00AE61F1" w:rsidRDefault="00CC27CF" w:rsidP="003F7E7E">
      <w:pPr>
        <w:spacing w:after="0" w:line="240" w:lineRule="auto"/>
      </w:pPr>
      <w:r w:rsidRPr="00AE61F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861AB2"/>
    <w:multiLevelType w:val="multilevel"/>
    <w:tmpl w:val="6056593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88826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E37"/>
    <w:rsid w:val="00003F17"/>
    <w:rsid w:val="000062A7"/>
    <w:rsid w:val="0003659A"/>
    <w:rsid w:val="00043603"/>
    <w:rsid w:val="000514B1"/>
    <w:rsid w:val="00052719"/>
    <w:rsid w:val="00066CCF"/>
    <w:rsid w:val="000879CD"/>
    <w:rsid w:val="00097F20"/>
    <w:rsid w:val="000A3E8F"/>
    <w:rsid w:val="000A5E2A"/>
    <w:rsid w:val="000B67BD"/>
    <w:rsid w:val="000C1191"/>
    <w:rsid w:val="000C2A2D"/>
    <w:rsid w:val="000C37D4"/>
    <w:rsid w:val="000D047B"/>
    <w:rsid w:val="000E6341"/>
    <w:rsid w:val="000E77CB"/>
    <w:rsid w:val="001045BD"/>
    <w:rsid w:val="00104A0B"/>
    <w:rsid w:val="00105514"/>
    <w:rsid w:val="00107936"/>
    <w:rsid w:val="001137A3"/>
    <w:rsid w:val="00115B96"/>
    <w:rsid w:val="00116076"/>
    <w:rsid w:val="00124B0D"/>
    <w:rsid w:val="00130FF7"/>
    <w:rsid w:val="0013174D"/>
    <w:rsid w:val="001334E0"/>
    <w:rsid w:val="0014255C"/>
    <w:rsid w:val="001643A6"/>
    <w:rsid w:val="00171B11"/>
    <w:rsid w:val="00171D97"/>
    <w:rsid w:val="00172CD9"/>
    <w:rsid w:val="001828E8"/>
    <w:rsid w:val="00182FD4"/>
    <w:rsid w:val="00195C23"/>
    <w:rsid w:val="001A2959"/>
    <w:rsid w:val="001A715F"/>
    <w:rsid w:val="001E1411"/>
    <w:rsid w:val="001F008C"/>
    <w:rsid w:val="001F5B4C"/>
    <w:rsid w:val="001F5F2E"/>
    <w:rsid w:val="002176AD"/>
    <w:rsid w:val="002249D8"/>
    <w:rsid w:val="0022751D"/>
    <w:rsid w:val="00235D3F"/>
    <w:rsid w:val="00236DB1"/>
    <w:rsid w:val="00243C5B"/>
    <w:rsid w:val="00244DE0"/>
    <w:rsid w:val="00250973"/>
    <w:rsid w:val="002659B8"/>
    <w:rsid w:val="00271A7F"/>
    <w:rsid w:val="002762CF"/>
    <w:rsid w:val="002825CE"/>
    <w:rsid w:val="0029088D"/>
    <w:rsid w:val="0029398E"/>
    <w:rsid w:val="00296962"/>
    <w:rsid w:val="002A6827"/>
    <w:rsid w:val="002B4548"/>
    <w:rsid w:val="002C2798"/>
    <w:rsid w:val="002D70B3"/>
    <w:rsid w:val="002E1D53"/>
    <w:rsid w:val="002E1E61"/>
    <w:rsid w:val="002E47CD"/>
    <w:rsid w:val="002E68E4"/>
    <w:rsid w:val="002F7CF1"/>
    <w:rsid w:val="00301C95"/>
    <w:rsid w:val="00307803"/>
    <w:rsid w:val="00307A75"/>
    <w:rsid w:val="00314414"/>
    <w:rsid w:val="0031522C"/>
    <w:rsid w:val="003233E1"/>
    <w:rsid w:val="00324C63"/>
    <w:rsid w:val="00324CCD"/>
    <w:rsid w:val="003258E1"/>
    <w:rsid w:val="0032678A"/>
    <w:rsid w:val="00326E76"/>
    <w:rsid w:val="00332AAF"/>
    <w:rsid w:val="003454B2"/>
    <w:rsid w:val="00356B2A"/>
    <w:rsid w:val="003624CE"/>
    <w:rsid w:val="00375A64"/>
    <w:rsid w:val="003801FB"/>
    <w:rsid w:val="00390661"/>
    <w:rsid w:val="00397B51"/>
    <w:rsid w:val="003A1566"/>
    <w:rsid w:val="003B068B"/>
    <w:rsid w:val="003B4DB6"/>
    <w:rsid w:val="003B7C73"/>
    <w:rsid w:val="003C0292"/>
    <w:rsid w:val="003D2C19"/>
    <w:rsid w:val="003D3992"/>
    <w:rsid w:val="003E31DB"/>
    <w:rsid w:val="003F1463"/>
    <w:rsid w:val="003F7E7E"/>
    <w:rsid w:val="00410898"/>
    <w:rsid w:val="00413F03"/>
    <w:rsid w:val="004239B9"/>
    <w:rsid w:val="0042479D"/>
    <w:rsid w:val="004248BF"/>
    <w:rsid w:val="004260B2"/>
    <w:rsid w:val="00433029"/>
    <w:rsid w:val="0044567F"/>
    <w:rsid w:val="004472EB"/>
    <w:rsid w:val="004503E5"/>
    <w:rsid w:val="00450568"/>
    <w:rsid w:val="0045514D"/>
    <w:rsid w:val="0046161B"/>
    <w:rsid w:val="004637B6"/>
    <w:rsid w:val="004661CD"/>
    <w:rsid w:val="00480872"/>
    <w:rsid w:val="004835A5"/>
    <w:rsid w:val="00492EB6"/>
    <w:rsid w:val="004A11F6"/>
    <w:rsid w:val="004B10E2"/>
    <w:rsid w:val="004B4A25"/>
    <w:rsid w:val="004B5477"/>
    <w:rsid w:val="004C43AE"/>
    <w:rsid w:val="004D0501"/>
    <w:rsid w:val="004D496D"/>
    <w:rsid w:val="004D519C"/>
    <w:rsid w:val="004F68BF"/>
    <w:rsid w:val="004F68C9"/>
    <w:rsid w:val="005132AD"/>
    <w:rsid w:val="00516E65"/>
    <w:rsid w:val="00517172"/>
    <w:rsid w:val="0052676C"/>
    <w:rsid w:val="00530AB1"/>
    <w:rsid w:val="00535116"/>
    <w:rsid w:val="0053625A"/>
    <w:rsid w:val="00556AF3"/>
    <w:rsid w:val="00561A58"/>
    <w:rsid w:val="00563821"/>
    <w:rsid w:val="00571B1F"/>
    <w:rsid w:val="00576646"/>
    <w:rsid w:val="00582988"/>
    <w:rsid w:val="00584246"/>
    <w:rsid w:val="0059742B"/>
    <w:rsid w:val="005B054F"/>
    <w:rsid w:val="005B64AD"/>
    <w:rsid w:val="005D6A06"/>
    <w:rsid w:val="005D6A08"/>
    <w:rsid w:val="005F1D53"/>
    <w:rsid w:val="00616FC1"/>
    <w:rsid w:val="00617D98"/>
    <w:rsid w:val="006236E3"/>
    <w:rsid w:val="006315D1"/>
    <w:rsid w:val="0064105B"/>
    <w:rsid w:val="00641EC6"/>
    <w:rsid w:val="00647E5F"/>
    <w:rsid w:val="00652B5A"/>
    <w:rsid w:val="00656790"/>
    <w:rsid w:val="0066131B"/>
    <w:rsid w:val="0067368B"/>
    <w:rsid w:val="0067395B"/>
    <w:rsid w:val="00681F3E"/>
    <w:rsid w:val="00684C43"/>
    <w:rsid w:val="006865D5"/>
    <w:rsid w:val="00687633"/>
    <w:rsid w:val="00694C10"/>
    <w:rsid w:val="006A2C3E"/>
    <w:rsid w:val="006A6E83"/>
    <w:rsid w:val="006C4019"/>
    <w:rsid w:val="006D00E3"/>
    <w:rsid w:val="006D0565"/>
    <w:rsid w:val="006E10B5"/>
    <w:rsid w:val="006E23DB"/>
    <w:rsid w:val="006E7934"/>
    <w:rsid w:val="006F4EEA"/>
    <w:rsid w:val="006F65AE"/>
    <w:rsid w:val="0071417F"/>
    <w:rsid w:val="007152CC"/>
    <w:rsid w:val="00722968"/>
    <w:rsid w:val="00724701"/>
    <w:rsid w:val="00724BB4"/>
    <w:rsid w:val="007267FC"/>
    <w:rsid w:val="0072772E"/>
    <w:rsid w:val="007357E9"/>
    <w:rsid w:val="00745B2A"/>
    <w:rsid w:val="00746F02"/>
    <w:rsid w:val="0075369E"/>
    <w:rsid w:val="007549AC"/>
    <w:rsid w:val="00755DB4"/>
    <w:rsid w:val="0076639F"/>
    <w:rsid w:val="00766FCF"/>
    <w:rsid w:val="007717CF"/>
    <w:rsid w:val="007837A9"/>
    <w:rsid w:val="007A2892"/>
    <w:rsid w:val="007B34D3"/>
    <w:rsid w:val="007B5B9A"/>
    <w:rsid w:val="007C0037"/>
    <w:rsid w:val="007C63ED"/>
    <w:rsid w:val="007D1947"/>
    <w:rsid w:val="007D1F6D"/>
    <w:rsid w:val="007D7E80"/>
    <w:rsid w:val="007E3296"/>
    <w:rsid w:val="0081769F"/>
    <w:rsid w:val="00823BDA"/>
    <w:rsid w:val="008461EE"/>
    <w:rsid w:val="00846F4D"/>
    <w:rsid w:val="00847A4D"/>
    <w:rsid w:val="00867D09"/>
    <w:rsid w:val="00872806"/>
    <w:rsid w:val="0088317D"/>
    <w:rsid w:val="00884A08"/>
    <w:rsid w:val="00891717"/>
    <w:rsid w:val="008A1D19"/>
    <w:rsid w:val="008C4D72"/>
    <w:rsid w:val="008F5559"/>
    <w:rsid w:val="009015D8"/>
    <w:rsid w:val="009029C5"/>
    <w:rsid w:val="009152DF"/>
    <w:rsid w:val="00921235"/>
    <w:rsid w:val="00924D61"/>
    <w:rsid w:val="00926632"/>
    <w:rsid w:val="00931CAA"/>
    <w:rsid w:val="00932538"/>
    <w:rsid w:val="00961D30"/>
    <w:rsid w:val="009630C8"/>
    <w:rsid w:val="009657E0"/>
    <w:rsid w:val="009726CC"/>
    <w:rsid w:val="00972B23"/>
    <w:rsid w:val="009757EA"/>
    <w:rsid w:val="00982F32"/>
    <w:rsid w:val="009A5390"/>
    <w:rsid w:val="009B4FB4"/>
    <w:rsid w:val="009C06D9"/>
    <w:rsid w:val="009C5A76"/>
    <w:rsid w:val="00A014EE"/>
    <w:rsid w:val="00A02D5D"/>
    <w:rsid w:val="00A07D54"/>
    <w:rsid w:val="00A12B58"/>
    <w:rsid w:val="00A131F2"/>
    <w:rsid w:val="00A526B0"/>
    <w:rsid w:val="00A622D4"/>
    <w:rsid w:val="00A6255C"/>
    <w:rsid w:val="00A71E78"/>
    <w:rsid w:val="00A81355"/>
    <w:rsid w:val="00A821B4"/>
    <w:rsid w:val="00A86556"/>
    <w:rsid w:val="00A923A6"/>
    <w:rsid w:val="00A94F92"/>
    <w:rsid w:val="00AA2A91"/>
    <w:rsid w:val="00AB0975"/>
    <w:rsid w:val="00AB195B"/>
    <w:rsid w:val="00AB670A"/>
    <w:rsid w:val="00AC25F1"/>
    <w:rsid w:val="00AC5DF2"/>
    <w:rsid w:val="00AD149D"/>
    <w:rsid w:val="00AD47C1"/>
    <w:rsid w:val="00AD4AB9"/>
    <w:rsid w:val="00AD6AE1"/>
    <w:rsid w:val="00AE421F"/>
    <w:rsid w:val="00AE4697"/>
    <w:rsid w:val="00AE4D0E"/>
    <w:rsid w:val="00AE5B43"/>
    <w:rsid w:val="00AE61F1"/>
    <w:rsid w:val="00AE747A"/>
    <w:rsid w:val="00AF06B9"/>
    <w:rsid w:val="00AF3C6D"/>
    <w:rsid w:val="00B06DF6"/>
    <w:rsid w:val="00B15D2B"/>
    <w:rsid w:val="00B1781A"/>
    <w:rsid w:val="00B231A5"/>
    <w:rsid w:val="00B35957"/>
    <w:rsid w:val="00B4291B"/>
    <w:rsid w:val="00B4521E"/>
    <w:rsid w:val="00B464A5"/>
    <w:rsid w:val="00B5076F"/>
    <w:rsid w:val="00B5145C"/>
    <w:rsid w:val="00B53DFD"/>
    <w:rsid w:val="00B63720"/>
    <w:rsid w:val="00B64C3E"/>
    <w:rsid w:val="00B6793B"/>
    <w:rsid w:val="00B710BB"/>
    <w:rsid w:val="00B71C2B"/>
    <w:rsid w:val="00B7447A"/>
    <w:rsid w:val="00B7724C"/>
    <w:rsid w:val="00B81B57"/>
    <w:rsid w:val="00B81E61"/>
    <w:rsid w:val="00BC0DA5"/>
    <w:rsid w:val="00BC11BA"/>
    <w:rsid w:val="00BD18DB"/>
    <w:rsid w:val="00BD6056"/>
    <w:rsid w:val="00BE1766"/>
    <w:rsid w:val="00BE3934"/>
    <w:rsid w:val="00BF35B6"/>
    <w:rsid w:val="00C07A99"/>
    <w:rsid w:val="00C111B9"/>
    <w:rsid w:val="00C1607F"/>
    <w:rsid w:val="00C20E2D"/>
    <w:rsid w:val="00C21D3B"/>
    <w:rsid w:val="00C47360"/>
    <w:rsid w:val="00C6057E"/>
    <w:rsid w:val="00C63DD8"/>
    <w:rsid w:val="00C77951"/>
    <w:rsid w:val="00C90BD7"/>
    <w:rsid w:val="00C942ED"/>
    <w:rsid w:val="00CA0574"/>
    <w:rsid w:val="00CA09F3"/>
    <w:rsid w:val="00CA2682"/>
    <w:rsid w:val="00CA653A"/>
    <w:rsid w:val="00CB6FFA"/>
    <w:rsid w:val="00CC27CF"/>
    <w:rsid w:val="00CD1C88"/>
    <w:rsid w:val="00CE33BD"/>
    <w:rsid w:val="00CF1186"/>
    <w:rsid w:val="00CF4C23"/>
    <w:rsid w:val="00D02D2E"/>
    <w:rsid w:val="00D03899"/>
    <w:rsid w:val="00D05D91"/>
    <w:rsid w:val="00D07DC6"/>
    <w:rsid w:val="00D3085D"/>
    <w:rsid w:val="00D35438"/>
    <w:rsid w:val="00D429A6"/>
    <w:rsid w:val="00D44342"/>
    <w:rsid w:val="00D503F6"/>
    <w:rsid w:val="00D613D4"/>
    <w:rsid w:val="00D6234B"/>
    <w:rsid w:val="00D62823"/>
    <w:rsid w:val="00D854A5"/>
    <w:rsid w:val="00D85CA4"/>
    <w:rsid w:val="00D965DA"/>
    <w:rsid w:val="00DA13BC"/>
    <w:rsid w:val="00DB3271"/>
    <w:rsid w:val="00DB39CF"/>
    <w:rsid w:val="00DC0477"/>
    <w:rsid w:val="00DC1C7B"/>
    <w:rsid w:val="00DD2D22"/>
    <w:rsid w:val="00DD4EC7"/>
    <w:rsid w:val="00DE00DF"/>
    <w:rsid w:val="00DE7982"/>
    <w:rsid w:val="00DF1023"/>
    <w:rsid w:val="00E00270"/>
    <w:rsid w:val="00E0032B"/>
    <w:rsid w:val="00E0068E"/>
    <w:rsid w:val="00E1529C"/>
    <w:rsid w:val="00E15338"/>
    <w:rsid w:val="00E33121"/>
    <w:rsid w:val="00E34FB2"/>
    <w:rsid w:val="00E429DA"/>
    <w:rsid w:val="00E43286"/>
    <w:rsid w:val="00E753C5"/>
    <w:rsid w:val="00E95C5C"/>
    <w:rsid w:val="00E96EA3"/>
    <w:rsid w:val="00EA0D4D"/>
    <w:rsid w:val="00EC07E0"/>
    <w:rsid w:val="00EC3D3F"/>
    <w:rsid w:val="00EC3DD5"/>
    <w:rsid w:val="00EC65E6"/>
    <w:rsid w:val="00EC79B6"/>
    <w:rsid w:val="00ED01F0"/>
    <w:rsid w:val="00ED3261"/>
    <w:rsid w:val="00ED5DC9"/>
    <w:rsid w:val="00EE0233"/>
    <w:rsid w:val="00EE428B"/>
    <w:rsid w:val="00F123A6"/>
    <w:rsid w:val="00F268E8"/>
    <w:rsid w:val="00F30924"/>
    <w:rsid w:val="00F31994"/>
    <w:rsid w:val="00F3603B"/>
    <w:rsid w:val="00F36DB8"/>
    <w:rsid w:val="00F6322F"/>
    <w:rsid w:val="00F74169"/>
    <w:rsid w:val="00F77128"/>
    <w:rsid w:val="00F81C43"/>
    <w:rsid w:val="00F84A53"/>
    <w:rsid w:val="00F863D9"/>
    <w:rsid w:val="00F90D74"/>
    <w:rsid w:val="00F94DB4"/>
    <w:rsid w:val="00F97582"/>
    <w:rsid w:val="00FA08E7"/>
    <w:rsid w:val="00FA0F86"/>
    <w:rsid w:val="00FA4CA8"/>
    <w:rsid w:val="00FA7A82"/>
    <w:rsid w:val="00FB3796"/>
    <w:rsid w:val="00FD308F"/>
    <w:rsid w:val="00FD3F15"/>
    <w:rsid w:val="00FE0736"/>
    <w:rsid w:val="00FF30E6"/>
    <w:rsid w:val="00FF7C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3AE"/>
    <w:rPr>
      <w:rFonts w:ascii="Times New Roman" w:hAnsi="Times New Roman"/>
      <w:sz w:val="24"/>
    </w:rPr>
  </w:style>
  <w:style w:type="paragraph" w:styleId="Heading1">
    <w:name w:val="heading 1"/>
    <w:basedOn w:val="Normal"/>
    <w:next w:val="Normal"/>
    <w:link w:val="Heading1Char"/>
    <w:uiPriority w:val="9"/>
    <w:qFormat/>
    <w:rsid w:val="004C43AE"/>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4C43AE"/>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4C43A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4C43AE"/>
    <w:rPr>
      <w:rFonts w:ascii="Times New Roman" w:eastAsiaTheme="majorEastAsia" w:hAnsi="Times New Roman"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C43AE"/>
    <w:rPr>
      <w:rFonts w:ascii="Times New Roman" w:eastAsiaTheme="majorEastAsia" w:hAnsi="Times New Roman" w:cstheme="majorBidi"/>
      <w:color w:val="2E74B5" w:themeColor="accent1" w:themeShade="BF"/>
      <w:sz w:val="24"/>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4C43AE"/>
    <w:rPr>
      <w:rFonts w:ascii="Times New Roman" w:eastAsiaTheme="majorEastAsia" w:hAnsi="Times New Roman" w:cstheme="majorBidi"/>
      <w:color w:val="1F4D78" w:themeColor="accent1" w:themeShade="7F"/>
      <w:sz w:val="24"/>
      <w:szCs w:val="24"/>
    </w:rPr>
  </w:style>
  <w:style w:type="paragraph" w:styleId="ListParagraph">
    <w:name w:val="List Paragraph"/>
    <w:basedOn w:val="Normal"/>
    <w:uiPriority w:val="34"/>
    <w:qFormat/>
    <w:rsid w:val="0071417F"/>
    <w:pPr>
      <w:ind w:left="720"/>
      <w:contextualSpacing/>
    </w:pPr>
  </w:style>
  <w:style w:type="paragraph" w:styleId="NormalWeb">
    <w:name w:val="Normal (Web)"/>
    <w:basedOn w:val="Normal"/>
    <w:uiPriority w:val="99"/>
    <w:unhideWhenUsed/>
    <w:rsid w:val="00B71C2B"/>
    <w:pPr>
      <w:spacing w:before="100" w:beforeAutospacing="1" w:after="100" w:afterAutospacing="1" w:line="240" w:lineRule="auto"/>
    </w:pPr>
    <w:rPr>
      <w:rFonts w:eastAsia="Times New Roman" w:cs="Times New Roman"/>
      <w:szCs w:val="24"/>
      <w:lang w:val="en-US"/>
    </w:rPr>
  </w:style>
  <w:style w:type="paragraph" w:styleId="Bibliography">
    <w:name w:val="Bibliography"/>
    <w:basedOn w:val="Normal"/>
    <w:next w:val="Normal"/>
    <w:uiPriority w:val="37"/>
    <w:unhideWhenUsed/>
    <w:rsid w:val="002C2798"/>
  </w:style>
  <w:style w:type="paragraph" w:styleId="TOC3">
    <w:name w:val="toc 3"/>
    <w:basedOn w:val="Normal"/>
    <w:next w:val="Normal"/>
    <w:autoRedefine/>
    <w:uiPriority w:val="39"/>
    <w:unhideWhenUsed/>
    <w:rsid w:val="002C2798"/>
    <w:pPr>
      <w:spacing w:after="100"/>
      <w:ind w:left="480"/>
    </w:pPr>
  </w:style>
  <w:style w:type="paragraph" w:styleId="Header">
    <w:name w:val="header"/>
    <w:basedOn w:val="Normal"/>
    <w:link w:val="HeaderChar"/>
    <w:uiPriority w:val="99"/>
    <w:unhideWhenUsed/>
    <w:rsid w:val="003F7E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7E7E"/>
    <w:rPr>
      <w:rFonts w:ascii="Times New Roman" w:hAnsi="Times New Roman"/>
      <w:sz w:val="24"/>
    </w:rPr>
  </w:style>
  <w:style w:type="paragraph" w:styleId="Footer">
    <w:name w:val="footer"/>
    <w:basedOn w:val="Normal"/>
    <w:link w:val="FooterChar"/>
    <w:uiPriority w:val="99"/>
    <w:unhideWhenUsed/>
    <w:rsid w:val="003F7E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7E7E"/>
    <w:rPr>
      <w:rFonts w:ascii="Times New Roman" w:hAnsi="Times New Roman"/>
      <w:sz w:val="24"/>
    </w:rPr>
  </w:style>
  <w:style w:type="character" w:styleId="Strong">
    <w:name w:val="Strong"/>
    <w:basedOn w:val="DefaultParagraphFont"/>
    <w:uiPriority w:val="22"/>
    <w:qFormat/>
    <w:rsid w:val="00DE7982"/>
    <w:rPr>
      <w:b/>
      <w:bCs/>
    </w:rPr>
  </w:style>
  <w:style w:type="character" w:styleId="Emphasis">
    <w:name w:val="Emphasis"/>
    <w:basedOn w:val="DefaultParagraphFont"/>
    <w:uiPriority w:val="20"/>
    <w:qFormat/>
    <w:rsid w:val="00DE79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202">
      <w:bodyDiv w:val="1"/>
      <w:marLeft w:val="0"/>
      <w:marRight w:val="0"/>
      <w:marTop w:val="0"/>
      <w:marBottom w:val="0"/>
      <w:divBdr>
        <w:top w:val="none" w:sz="0" w:space="0" w:color="auto"/>
        <w:left w:val="none" w:sz="0" w:space="0" w:color="auto"/>
        <w:bottom w:val="none" w:sz="0" w:space="0" w:color="auto"/>
        <w:right w:val="none" w:sz="0" w:space="0" w:color="auto"/>
      </w:divBdr>
    </w:div>
    <w:div w:id="2246001">
      <w:bodyDiv w:val="1"/>
      <w:marLeft w:val="0"/>
      <w:marRight w:val="0"/>
      <w:marTop w:val="0"/>
      <w:marBottom w:val="0"/>
      <w:divBdr>
        <w:top w:val="none" w:sz="0" w:space="0" w:color="auto"/>
        <w:left w:val="none" w:sz="0" w:space="0" w:color="auto"/>
        <w:bottom w:val="none" w:sz="0" w:space="0" w:color="auto"/>
        <w:right w:val="none" w:sz="0" w:space="0" w:color="auto"/>
      </w:divBdr>
    </w:div>
    <w:div w:id="6375066">
      <w:bodyDiv w:val="1"/>
      <w:marLeft w:val="0"/>
      <w:marRight w:val="0"/>
      <w:marTop w:val="0"/>
      <w:marBottom w:val="0"/>
      <w:divBdr>
        <w:top w:val="none" w:sz="0" w:space="0" w:color="auto"/>
        <w:left w:val="none" w:sz="0" w:space="0" w:color="auto"/>
        <w:bottom w:val="none" w:sz="0" w:space="0" w:color="auto"/>
        <w:right w:val="none" w:sz="0" w:space="0" w:color="auto"/>
      </w:divBdr>
    </w:div>
    <w:div w:id="6831015">
      <w:bodyDiv w:val="1"/>
      <w:marLeft w:val="0"/>
      <w:marRight w:val="0"/>
      <w:marTop w:val="0"/>
      <w:marBottom w:val="0"/>
      <w:divBdr>
        <w:top w:val="none" w:sz="0" w:space="0" w:color="auto"/>
        <w:left w:val="none" w:sz="0" w:space="0" w:color="auto"/>
        <w:bottom w:val="none" w:sz="0" w:space="0" w:color="auto"/>
        <w:right w:val="none" w:sz="0" w:space="0" w:color="auto"/>
      </w:divBdr>
    </w:div>
    <w:div w:id="12541818">
      <w:bodyDiv w:val="1"/>
      <w:marLeft w:val="0"/>
      <w:marRight w:val="0"/>
      <w:marTop w:val="0"/>
      <w:marBottom w:val="0"/>
      <w:divBdr>
        <w:top w:val="none" w:sz="0" w:space="0" w:color="auto"/>
        <w:left w:val="none" w:sz="0" w:space="0" w:color="auto"/>
        <w:bottom w:val="none" w:sz="0" w:space="0" w:color="auto"/>
        <w:right w:val="none" w:sz="0" w:space="0" w:color="auto"/>
      </w:divBdr>
    </w:div>
    <w:div w:id="22902766">
      <w:bodyDiv w:val="1"/>
      <w:marLeft w:val="0"/>
      <w:marRight w:val="0"/>
      <w:marTop w:val="0"/>
      <w:marBottom w:val="0"/>
      <w:divBdr>
        <w:top w:val="none" w:sz="0" w:space="0" w:color="auto"/>
        <w:left w:val="none" w:sz="0" w:space="0" w:color="auto"/>
        <w:bottom w:val="none" w:sz="0" w:space="0" w:color="auto"/>
        <w:right w:val="none" w:sz="0" w:space="0" w:color="auto"/>
      </w:divBdr>
    </w:div>
    <w:div w:id="24183453">
      <w:bodyDiv w:val="1"/>
      <w:marLeft w:val="0"/>
      <w:marRight w:val="0"/>
      <w:marTop w:val="0"/>
      <w:marBottom w:val="0"/>
      <w:divBdr>
        <w:top w:val="none" w:sz="0" w:space="0" w:color="auto"/>
        <w:left w:val="none" w:sz="0" w:space="0" w:color="auto"/>
        <w:bottom w:val="none" w:sz="0" w:space="0" w:color="auto"/>
        <w:right w:val="none" w:sz="0" w:space="0" w:color="auto"/>
      </w:divBdr>
    </w:div>
    <w:div w:id="30807692">
      <w:bodyDiv w:val="1"/>
      <w:marLeft w:val="0"/>
      <w:marRight w:val="0"/>
      <w:marTop w:val="0"/>
      <w:marBottom w:val="0"/>
      <w:divBdr>
        <w:top w:val="none" w:sz="0" w:space="0" w:color="auto"/>
        <w:left w:val="none" w:sz="0" w:space="0" w:color="auto"/>
        <w:bottom w:val="none" w:sz="0" w:space="0" w:color="auto"/>
        <w:right w:val="none" w:sz="0" w:space="0" w:color="auto"/>
      </w:divBdr>
    </w:div>
    <w:div w:id="31929025">
      <w:bodyDiv w:val="1"/>
      <w:marLeft w:val="0"/>
      <w:marRight w:val="0"/>
      <w:marTop w:val="0"/>
      <w:marBottom w:val="0"/>
      <w:divBdr>
        <w:top w:val="none" w:sz="0" w:space="0" w:color="auto"/>
        <w:left w:val="none" w:sz="0" w:space="0" w:color="auto"/>
        <w:bottom w:val="none" w:sz="0" w:space="0" w:color="auto"/>
        <w:right w:val="none" w:sz="0" w:space="0" w:color="auto"/>
      </w:divBdr>
    </w:div>
    <w:div w:id="35589622">
      <w:bodyDiv w:val="1"/>
      <w:marLeft w:val="0"/>
      <w:marRight w:val="0"/>
      <w:marTop w:val="0"/>
      <w:marBottom w:val="0"/>
      <w:divBdr>
        <w:top w:val="none" w:sz="0" w:space="0" w:color="auto"/>
        <w:left w:val="none" w:sz="0" w:space="0" w:color="auto"/>
        <w:bottom w:val="none" w:sz="0" w:space="0" w:color="auto"/>
        <w:right w:val="none" w:sz="0" w:space="0" w:color="auto"/>
      </w:divBdr>
    </w:div>
    <w:div w:id="37055136">
      <w:bodyDiv w:val="1"/>
      <w:marLeft w:val="0"/>
      <w:marRight w:val="0"/>
      <w:marTop w:val="0"/>
      <w:marBottom w:val="0"/>
      <w:divBdr>
        <w:top w:val="none" w:sz="0" w:space="0" w:color="auto"/>
        <w:left w:val="none" w:sz="0" w:space="0" w:color="auto"/>
        <w:bottom w:val="none" w:sz="0" w:space="0" w:color="auto"/>
        <w:right w:val="none" w:sz="0" w:space="0" w:color="auto"/>
      </w:divBdr>
    </w:div>
    <w:div w:id="42021192">
      <w:bodyDiv w:val="1"/>
      <w:marLeft w:val="0"/>
      <w:marRight w:val="0"/>
      <w:marTop w:val="0"/>
      <w:marBottom w:val="0"/>
      <w:divBdr>
        <w:top w:val="none" w:sz="0" w:space="0" w:color="auto"/>
        <w:left w:val="none" w:sz="0" w:space="0" w:color="auto"/>
        <w:bottom w:val="none" w:sz="0" w:space="0" w:color="auto"/>
        <w:right w:val="none" w:sz="0" w:space="0" w:color="auto"/>
      </w:divBdr>
    </w:div>
    <w:div w:id="48379794">
      <w:bodyDiv w:val="1"/>
      <w:marLeft w:val="0"/>
      <w:marRight w:val="0"/>
      <w:marTop w:val="0"/>
      <w:marBottom w:val="0"/>
      <w:divBdr>
        <w:top w:val="none" w:sz="0" w:space="0" w:color="auto"/>
        <w:left w:val="none" w:sz="0" w:space="0" w:color="auto"/>
        <w:bottom w:val="none" w:sz="0" w:space="0" w:color="auto"/>
        <w:right w:val="none" w:sz="0" w:space="0" w:color="auto"/>
      </w:divBdr>
    </w:div>
    <w:div w:id="69429917">
      <w:bodyDiv w:val="1"/>
      <w:marLeft w:val="0"/>
      <w:marRight w:val="0"/>
      <w:marTop w:val="0"/>
      <w:marBottom w:val="0"/>
      <w:divBdr>
        <w:top w:val="none" w:sz="0" w:space="0" w:color="auto"/>
        <w:left w:val="none" w:sz="0" w:space="0" w:color="auto"/>
        <w:bottom w:val="none" w:sz="0" w:space="0" w:color="auto"/>
        <w:right w:val="none" w:sz="0" w:space="0" w:color="auto"/>
      </w:divBdr>
    </w:div>
    <w:div w:id="73665856">
      <w:bodyDiv w:val="1"/>
      <w:marLeft w:val="0"/>
      <w:marRight w:val="0"/>
      <w:marTop w:val="0"/>
      <w:marBottom w:val="0"/>
      <w:divBdr>
        <w:top w:val="none" w:sz="0" w:space="0" w:color="auto"/>
        <w:left w:val="none" w:sz="0" w:space="0" w:color="auto"/>
        <w:bottom w:val="none" w:sz="0" w:space="0" w:color="auto"/>
        <w:right w:val="none" w:sz="0" w:space="0" w:color="auto"/>
      </w:divBdr>
    </w:div>
    <w:div w:id="74209597">
      <w:bodyDiv w:val="1"/>
      <w:marLeft w:val="0"/>
      <w:marRight w:val="0"/>
      <w:marTop w:val="0"/>
      <w:marBottom w:val="0"/>
      <w:divBdr>
        <w:top w:val="none" w:sz="0" w:space="0" w:color="auto"/>
        <w:left w:val="none" w:sz="0" w:space="0" w:color="auto"/>
        <w:bottom w:val="none" w:sz="0" w:space="0" w:color="auto"/>
        <w:right w:val="none" w:sz="0" w:space="0" w:color="auto"/>
      </w:divBdr>
    </w:div>
    <w:div w:id="77793124">
      <w:bodyDiv w:val="1"/>
      <w:marLeft w:val="0"/>
      <w:marRight w:val="0"/>
      <w:marTop w:val="0"/>
      <w:marBottom w:val="0"/>
      <w:divBdr>
        <w:top w:val="none" w:sz="0" w:space="0" w:color="auto"/>
        <w:left w:val="none" w:sz="0" w:space="0" w:color="auto"/>
        <w:bottom w:val="none" w:sz="0" w:space="0" w:color="auto"/>
        <w:right w:val="none" w:sz="0" w:space="0" w:color="auto"/>
      </w:divBdr>
    </w:div>
    <w:div w:id="78989957">
      <w:bodyDiv w:val="1"/>
      <w:marLeft w:val="0"/>
      <w:marRight w:val="0"/>
      <w:marTop w:val="0"/>
      <w:marBottom w:val="0"/>
      <w:divBdr>
        <w:top w:val="none" w:sz="0" w:space="0" w:color="auto"/>
        <w:left w:val="none" w:sz="0" w:space="0" w:color="auto"/>
        <w:bottom w:val="none" w:sz="0" w:space="0" w:color="auto"/>
        <w:right w:val="none" w:sz="0" w:space="0" w:color="auto"/>
      </w:divBdr>
    </w:div>
    <w:div w:id="94372431">
      <w:bodyDiv w:val="1"/>
      <w:marLeft w:val="0"/>
      <w:marRight w:val="0"/>
      <w:marTop w:val="0"/>
      <w:marBottom w:val="0"/>
      <w:divBdr>
        <w:top w:val="none" w:sz="0" w:space="0" w:color="auto"/>
        <w:left w:val="none" w:sz="0" w:space="0" w:color="auto"/>
        <w:bottom w:val="none" w:sz="0" w:space="0" w:color="auto"/>
        <w:right w:val="none" w:sz="0" w:space="0" w:color="auto"/>
      </w:divBdr>
    </w:div>
    <w:div w:id="95366554">
      <w:bodyDiv w:val="1"/>
      <w:marLeft w:val="0"/>
      <w:marRight w:val="0"/>
      <w:marTop w:val="0"/>
      <w:marBottom w:val="0"/>
      <w:divBdr>
        <w:top w:val="none" w:sz="0" w:space="0" w:color="auto"/>
        <w:left w:val="none" w:sz="0" w:space="0" w:color="auto"/>
        <w:bottom w:val="none" w:sz="0" w:space="0" w:color="auto"/>
        <w:right w:val="none" w:sz="0" w:space="0" w:color="auto"/>
      </w:divBdr>
    </w:div>
    <w:div w:id="95567161">
      <w:bodyDiv w:val="1"/>
      <w:marLeft w:val="0"/>
      <w:marRight w:val="0"/>
      <w:marTop w:val="0"/>
      <w:marBottom w:val="0"/>
      <w:divBdr>
        <w:top w:val="none" w:sz="0" w:space="0" w:color="auto"/>
        <w:left w:val="none" w:sz="0" w:space="0" w:color="auto"/>
        <w:bottom w:val="none" w:sz="0" w:space="0" w:color="auto"/>
        <w:right w:val="none" w:sz="0" w:space="0" w:color="auto"/>
      </w:divBdr>
    </w:div>
    <w:div w:id="95949563">
      <w:bodyDiv w:val="1"/>
      <w:marLeft w:val="0"/>
      <w:marRight w:val="0"/>
      <w:marTop w:val="0"/>
      <w:marBottom w:val="0"/>
      <w:divBdr>
        <w:top w:val="none" w:sz="0" w:space="0" w:color="auto"/>
        <w:left w:val="none" w:sz="0" w:space="0" w:color="auto"/>
        <w:bottom w:val="none" w:sz="0" w:space="0" w:color="auto"/>
        <w:right w:val="none" w:sz="0" w:space="0" w:color="auto"/>
      </w:divBdr>
    </w:div>
    <w:div w:id="102310603">
      <w:bodyDiv w:val="1"/>
      <w:marLeft w:val="0"/>
      <w:marRight w:val="0"/>
      <w:marTop w:val="0"/>
      <w:marBottom w:val="0"/>
      <w:divBdr>
        <w:top w:val="none" w:sz="0" w:space="0" w:color="auto"/>
        <w:left w:val="none" w:sz="0" w:space="0" w:color="auto"/>
        <w:bottom w:val="none" w:sz="0" w:space="0" w:color="auto"/>
        <w:right w:val="none" w:sz="0" w:space="0" w:color="auto"/>
      </w:divBdr>
    </w:div>
    <w:div w:id="111169838">
      <w:bodyDiv w:val="1"/>
      <w:marLeft w:val="0"/>
      <w:marRight w:val="0"/>
      <w:marTop w:val="0"/>
      <w:marBottom w:val="0"/>
      <w:divBdr>
        <w:top w:val="none" w:sz="0" w:space="0" w:color="auto"/>
        <w:left w:val="none" w:sz="0" w:space="0" w:color="auto"/>
        <w:bottom w:val="none" w:sz="0" w:space="0" w:color="auto"/>
        <w:right w:val="none" w:sz="0" w:space="0" w:color="auto"/>
      </w:divBdr>
    </w:div>
    <w:div w:id="112864551">
      <w:bodyDiv w:val="1"/>
      <w:marLeft w:val="0"/>
      <w:marRight w:val="0"/>
      <w:marTop w:val="0"/>
      <w:marBottom w:val="0"/>
      <w:divBdr>
        <w:top w:val="none" w:sz="0" w:space="0" w:color="auto"/>
        <w:left w:val="none" w:sz="0" w:space="0" w:color="auto"/>
        <w:bottom w:val="none" w:sz="0" w:space="0" w:color="auto"/>
        <w:right w:val="none" w:sz="0" w:space="0" w:color="auto"/>
      </w:divBdr>
    </w:div>
    <w:div w:id="122844630">
      <w:bodyDiv w:val="1"/>
      <w:marLeft w:val="0"/>
      <w:marRight w:val="0"/>
      <w:marTop w:val="0"/>
      <w:marBottom w:val="0"/>
      <w:divBdr>
        <w:top w:val="none" w:sz="0" w:space="0" w:color="auto"/>
        <w:left w:val="none" w:sz="0" w:space="0" w:color="auto"/>
        <w:bottom w:val="none" w:sz="0" w:space="0" w:color="auto"/>
        <w:right w:val="none" w:sz="0" w:space="0" w:color="auto"/>
      </w:divBdr>
    </w:div>
    <w:div w:id="131749757">
      <w:bodyDiv w:val="1"/>
      <w:marLeft w:val="0"/>
      <w:marRight w:val="0"/>
      <w:marTop w:val="0"/>
      <w:marBottom w:val="0"/>
      <w:divBdr>
        <w:top w:val="none" w:sz="0" w:space="0" w:color="auto"/>
        <w:left w:val="none" w:sz="0" w:space="0" w:color="auto"/>
        <w:bottom w:val="none" w:sz="0" w:space="0" w:color="auto"/>
        <w:right w:val="none" w:sz="0" w:space="0" w:color="auto"/>
      </w:divBdr>
    </w:div>
    <w:div w:id="142359157">
      <w:bodyDiv w:val="1"/>
      <w:marLeft w:val="0"/>
      <w:marRight w:val="0"/>
      <w:marTop w:val="0"/>
      <w:marBottom w:val="0"/>
      <w:divBdr>
        <w:top w:val="none" w:sz="0" w:space="0" w:color="auto"/>
        <w:left w:val="none" w:sz="0" w:space="0" w:color="auto"/>
        <w:bottom w:val="none" w:sz="0" w:space="0" w:color="auto"/>
        <w:right w:val="none" w:sz="0" w:space="0" w:color="auto"/>
      </w:divBdr>
    </w:div>
    <w:div w:id="143356633">
      <w:bodyDiv w:val="1"/>
      <w:marLeft w:val="0"/>
      <w:marRight w:val="0"/>
      <w:marTop w:val="0"/>
      <w:marBottom w:val="0"/>
      <w:divBdr>
        <w:top w:val="none" w:sz="0" w:space="0" w:color="auto"/>
        <w:left w:val="none" w:sz="0" w:space="0" w:color="auto"/>
        <w:bottom w:val="none" w:sz="0" w:space="0" w:color="auto"/>
        <w:right w:val="none" w:sz="0" w:space="0" w:color="auto"/>
      </w:divBdr>
    </w:div>
    <w:div w:id="149104881">
      <w:bodyDiv w:val="1"/>
      <w:marLeft w:val="0"/>
      <w:marRight w:val="0"/>
      <w:marTop w:val="0"/>
      <w:marBottom w:val="0"/>
      <w:divBdr>
        <w:top w:val="none" w:sz="0" w:space="0" w:color="auto"/>
        <w:left w:val="none" w:sz="0" w:space="0" w:color="auto"/>
        <w:bottom w:val="none" w:sz="0" w:space="0" w:color="auto"/>
        <w:right w:val="none" w:sz="0" w:space="0" w:color="auto"/>
      </w:divBdr>
    </w:div>
    <w:div w:id="157427080">
      <w:bodyDiv w:val="1"/>
      <w:marLeft w:val="0"/>
      <w:marRight w:val="0"/>
      <w:marTop w:val="0"/>
      <w:marBottom w:val="0"/>
      <w:divBdr>
        <w:top w:val="none" w:sz="0" w:space="0" w:color="auto"/>
        <w:left w:val="none" w:sz="0" w:space="0" w:color="auto"/>
        <w:bottom w:val="none" w:sz="0" w:space="0" w:color="auto"/>
        <w:right w:val="none" w:sz="0" w:space="0" w:color="auto"/>
      </w:divBdr>
    </w:div>
    <w:div w:id="160051222">
      <w:bodyDiv w:val="1"/>
      <w:marLeft w:val="0"/>
      <w:marRight w:val="0"/>
      <w:marTop w:val="0"/>
      <w:marBottom w:val="0"/>
      <w:divBdr>
        <w:top w:val="none" w:sz="0" w:space="0" w:color="auto"/>
        <w:left w:val="none" w:sz="0" w:space="0" w:color="auto"/>
        <w:bottom w:val="none" w:sz="0" w:space="0" w:color="auto"/>
        <w:right w:val="none" w:sz="0" w:space="0" w:color="auto"/>
      </w:divBdr>
    </w:div>
    <w:div w:id="162667695">
      <w:bodyDiv w:val="1"/>
      <w:marLeft w:val="0"/>
      <w:marRight w:val="0"/>
      <w:marTop w:val="0"/>
      <w:marBottom w:val="0"/>
      <w:divBdr>
        <w:top w:val="none" w:sz="0" w:space="0" w:color="auto"/>
        <w:left w:val="none" w:sz="0" w:space="0" w:color="auto"/>
        <w:bottom w:val="none" w:sz="0" w:space="0" w:color="auto"/>
        <w:right w:val="none" w:sz="0" w:space="0" w:color="auto"/>
      </w:divBdr>
    </w:div>
    <w:div w:id="174464707">
      <w:bodyDiv w:val="1"/>
      <w:marLeft w:val="0"/>
      <w:marRight w:val="0"/>
      <w:marTop w:val="0"/>
      <w:marBottom w:val="0"/>
      <w:divBdr>
        <w:top w:val="none" w:sz="0" w:space="0" w:color="auto"/>
        <w:left w:val="none" w:sz="0" w:space="0" w:color="auto"/>
        <w:bottom w:val="none" w:sz="0" w:space="0" w:color="auto"/>
        <w:right w:val="none" w:sz="0" w:space="0" w:color="auto"/>
      </w:divBdr>
    </w:div>
    <w:div w:id="187641172">
      <w:bodyDiv w:val="1"/>
      <w:marLeft w:val="0"/>
      <w:marRight w:val="0"/>
      <w:marTop w:val="0"/>
      <w:marBottom w:val="0"/>
      <w:divBdr>
        <w:top w:val="none" w:sz="0" w:space="0" w:color="auto"/>
        <w:left w:val="none" w:sz="0" w:space="0" w:color="auto"/>
        <w:bottom w:val="none" w:sz="0" w:space="0" w:color="auto"/>
        <w:right w:val="none" w:sz="0" w:space="0" w:color="auto"/>
      </w:divBdr>
    </w:div>
    <w:div w:id="192117406">
      <w:bodyDiv w:val="1"/>
      <w:marLeft w:val="0"/>
      <w:marRight w:val="0"/>
      <w:marTop w:val="0"/>
      <w:marBottom w:val="0"/>
      <w:divBdr>
        <w:top w:val="none" w:sz="0" w:space="0" w:color="auto"/>
        <w:left w:val="none" w:sz="0" w:space="0" w:color="auto"/>
        <w:bottom w:val="none" w:sz="0" w:space="0" w:color="auto"/>
        <w:right w:val="none" w:sz="0" w:space="0" w:color="auto"/>
      </w:divBdr>
    </w:div>
    <w:div w:id="196358013">
      <w:bodyDiv w:val="1"/>
      <w:marLeft w:val="0"/>
      <w:marRight w:val="0"/>
      <w:marTop w:val="0"/>
      <w:marBottom w:val="0"/>
      <w:divBdr>
        <w:top w:val="none" w:sz="0" w:space="0" w:color="auto"/>
        <w:left w:val="none" w:sz="0" w:space="0" w:color="auto"/>
        <w:bottom w:val="none" w:sz="0" w:space="0" w:color="auto"/>
        <w:right w:val="none" w:sz="0" w:space="0" w:color="auto"/>
      </w:divBdr>
    </w:div>
    <w:div w:id="199050772">
      <w:bodyDiv w:val="1"/>
      <w:marLeft w:val="0"/>
      <w:marRight w:val="0"/>
      <w:marTop w:val="0"/>
      <w:marBottom w:val="0"/>
      <w:divBdr>
        <w:top w:val="none" w:sz="0" w:space="0" w:color="auto"/>
        <w:left w:val="none" w:sz="0" w:space="0" w:color="auto"/>
        <w:bottom w:val="none" w:sz="0" w:space="0" w:color="auto"/>
        <w:right w:val="none" w:sz="0" w:space="0" w:color="auto"/>
      </w:divBdr>
    </w:div>
    <w:div w:id="202980539">
      <w:bodyDiv w:val="1"/>
      <w:marLeft w:val="0"/>
      <w:marRight w:val="0"/>
      <w:marTop w:val="0"/>
      <w:marBottom w:val="0"/>
      <w:divBdr>
        <w:top w:val="none" w:sz="0" w:space="0" w:color="auto"/>
        <w:left w:val="none" w:sz="0" w:space="0" w:color="auto"/>
        <w:bottom w:val="none" w:sz="0" w:space="0" w:color="auto"/>
        <w:right w:val="none" w:sz="0" w:space="0" w:color="auto"/>
      </w:divBdr>
    </w:div>
    <w:div w:id="211426369">
      <w:bodyDiv w:val="1"/>
      <w:marLeft w:val="0"/>
      <w:marRight w:val="0"/>
      <w:marTop w:val="0"/>
      <w:marBottom w:val="0"/>
      <w:divBdr>
        <w:top w:val="none" w:sz="0" w:space="0" w:color="auto"/>
        <w:left w:val="none" w:sz="0" w:space="0" w:color="auto"/>
        <w:bottom w:val="none" w:sz="0" w:space="0" w:color="auto"/>
        <w:right w:val="none" w:sz="0" w:space="0" w:color="auto"/>
      </w:divBdr>
    </w:div>
    <w:div w:id="212666115">
      <w:bodyDiv w:val="1"/>
      <w:marLeft w:val="0"/>
      <w:marRight w:val="0"/>
      <w:marTop w:val="0"/>
      <w:marBottom w:val="0"/>
      <w:divBdr>
        <w:top w:val="none" w:sz="0" w:space="0" w:color="auto"/>
        <w:left w:val="none" w:sz="0" w:space="0" w:color="auto"/>
        <w:bottom w:val="none" w:sz="0" w:space="0" w:color="auto"/>
        <w:right w:val="none" w:sz="0" w:space="0" w:color="auto"/>
      </w:divBdr>
    </w:div>
    <w:div w:id="233052751">
      <w:bodyDiv w:val="1"/>
      <w:marLeft w:val="0"/>
      <w:marRight w:val="0"/>
      <w:marTop w:val="0"/>
      <w:marBottom w:val="0"/>
      <w:divBdr>
        <w:top w:val="none" w:sz="0" w:space="0" w:color="auto"/>
        <w:left w:val="none" w:sz="0" w:space="0" w:color="auto"/>
        <w:bottom w:val="none" w:sz="0" w:space="0" w:color="auto"/>
        <w:right w:val="none" w:sz="0" w:space="0" w:color="auto"/>
      </w:divBdr>
    </w:div>
    <w:div w:id="248734973">
      <w:bodyDiv w:val="1"/>
      <w:marLeft w:val="0"/>
      <w:marRight w:val="0"/>
      <w:marTop w:val="0"/>
      <w:marBottom w:val="0"/>
      <w:divBdr>
        <w:top w:val="none" w:sz="0" w:space="0" w:color="auto"/>
        <w:left w:val="none" w:sz="0" w:space="0" w:color="auto"/>
        <w:bottom w:val="none" w:sz="0" w:space="0" w:color="auto"/>
        <w:right w:val="none" w:sz="0" w:space="0" w:color="auto"/>
      </w:divBdr>
    </w:div>
    <w:div w:id="248776236">
      <w:bodyDiv w:val="1"/>
      <w:marLeft w:val="0"/>
      <w:marRight w:val="0"/>
      <w:marTop w:val="0"/>
      <w:marBottom w:val="0"/>
      <w:divBdr>
        <w:top w:val="none" w:sz="0" w:space="0" w:color="auto"/>
        <w:left w:val="none" w:sz="0" w:space="0" w:color="auto"/>
        <w:bottom w:val="none" w:sz="0" w:space="0" w:color="auto"/>
        <w:right w:val="none" w:sz="0" w:space="0" w:color="auto"/>
      </w:divBdr>
    </w:div>
    <w:div w:id="252932439">
      <w:bodyDiv w:val="1"/>
      <w:marLeft w:val="0"/>
      <w:marRight w:val="0"/>
      <w:marTop w:val="0"/>
      <w:marBottom w:val="0"/>
      <w:divBdr>
        <w:top w:val="none" w:sz="0" w:space="0" w:color="auto"/>
        <w:left w:val="none" w:sz="0" w:space="0" w:color="auto"/>
        <w:bottom w:val="none" w:sz="0" w:space="0" w:color="auto"/>
        <w:right w:val="none" w:sz="0" w:space="0" w:color="auto"/>
      </w:divBdr>
    </w:div>
    <w:div w:id="253050124">
      <w:bodyDiv w:val="1"/>
      <w:marLeft w:val="0"/>
      <w:marRight w:val="0"/>
      <w:marTop w:val="0"/>
      <w:marBottom w:val="0"/>
      <w:divBdr>
        <w:top w:val="none" w:sz="0" w:space="0" w:color="auto"/>
        <w:left w:val="none" w:sz="0" w:space="0" w:color="auto"/>
        <w:bottom w:val="none" w:sz="0" w:space="0" w:color="auto"/>
        <w:right w:val="none" w:sz="0" w:space="0" w:color="auto"/>
      </w:divBdr>
    </w:div>
    <w:div w:id="261568138">
      <w:bodyDiv w:val="1"/>
      <w:marLeft w:val="0"/>
      <w:marRight w:val="0"/>
      <w:marTop w:val="0"/>
      <w:marBottom w:val="0"/>
      <w:divBdr>
        <w:top w:val="none" w:sz="0" w:space="0" w:color="auto"/>
        <w:left w:val="none" w:sz="0" w:space="0" w:color="auto"/>
        <w:bottom w:val="none" w:sz="0" w:space="0" w:color="auto"/>
        <w:right w:val="none" w:sz="0" w:space="0" w:color="auto"/>
      </w:divBdr>
    </w:div>
    <w:div w:id="284891352">
      <w:bodyDiv w:val="1"/>
      <w:marLeft w:val="0"/>
      <w:marRight w:val="0"/>
      <w:marTop w:val="0"/>
      <w:marBottom w:val="0"/>
      <w:divBdr>
        <w:top w:val="none" w:sz="0" w:space="0" w:color="auto"/>
        <w:left w:val="none" w:sz="0" w:space="0" w:color="auto"/>
        <w:bottom w:val="none" w:sz="0" w:space="0" w:color="auto"/>
        <w:right w:val="none" w:sz="0" w:space="0" w:color="auto"/>
      </w:divBdr>
    </w:div>
    <w:div w:id="286816608">
      <w:bodyDiv w:val="1"/>
      <w:marLeft w:val="0"/>
      <w:marRight w:val="0"/>
      <w:marTop w:val="0"/>
      <w:marBottom w:val="0"/>
      <w:divBdr>
        <w:top w:val="none" w:sz="0" w:space="0" w:color="auto"/>
        <w:left w:val="none" w:sz="0" w:space="0" w:color="auto"/>
        <w:bottom w:val="none" w:sz="0" w:space="0" w:color="auto"/>
        <w:right w:val="none" w:sz="0" w:space="0" w:color="auto"/>
      </w:divBdr>
    </w:div>
    <w:div w:id="291642747">
      <w:bodyDiv w:val="1"/>
      <w:marLeft w:val="0"/>
      <w:marRight w:val="0"/>
      <w:marTop w:val="0"/>
      <w:marBottom w:val="0"/>
      <w:divBdr>
        <w:top w:val="none" w:sz="0" w:space="0" w:color="auto"/>
        <w:left w:val="none" w:sz="0" w:space="0" w:color="auto"/>
        <w:bottom w:val="none" w:sz="0" w:space="0" w:color="auto"/>
        <w:right w:val="none" w:sz="0" w:space="0" w:color="auto"/>
      </w:divBdr>
    </w:div>
    <w:div w:id="291790105">
      <w:bodyDiv w:val="1"/>
      <w:marLeft w:val="0"/>
      <w:marRight w:val="0"/>
      <w:marTop w:val="0"/>
      <w:marBottom w:val="0"/>
      <w:divBdr>
        <w:top w:val="none" w:sz="0" w:space="0" w:color="auto"/>
        <w:left w:val="none" w:sz="0" w:space="0" w:color="auto"/>
        <w:bottom w:val="none" w:sz="0" w:space="0" w:color="auto"/>
        <w:right w:val="none" w:sz="0" w:space="0" w:color="auto"/>
      </w:divBdr>
    </w:div>
    <w:div w:id="293828542">
      <w:bodyDiv w:val="1"/>
      <w:marLeft w:val="0"/>
      <w:marRight w:val="0"/>
      <w:marTop w:val="0"/>
      <w:marBottom w:val="0"/>
      <w:divBdr>
        <w:top w:val="none" w:sz="0" w:space="0" w:color="auto"/>
        <w:left w:val="none" w:sz="0" w:space="0" w:color="auto"/>
        <w:bottom w:val="none" w:sz="0" w:space="0" w:color="auto"/>
        <w:right w:val="none" w:sz="0" w:space="0" w:color="auto"/>
      </w:divBdr>
    </w:div>
    <w:div w:id="300228520">
      <w:bodyDiv w:val="1"/>
      <w:marLeft w:val="0"/>
      <w:marRight w:val="0"/>
      <w:marTop w:val="0"/>
      <w:marBottom w:val="0"/>
      <w:divBdr>
        <w:top w:val="none" w:sz="0" w:space="0" w:color="auto"/>
        <w:left w:val="none" w:sz="0" w:space="0" w:color="auto"/>
        <w:bottom w:val="none" w:sz="0" w:space="0" w:color="auto"/>
        <w:right w:val="none" w:sz="0" w:space="0" w:color="auto"/>
      </w:divBdr>
    </w:div>
    <w:div w:id="305159811">
      <w:bodyDiv w:val="1"/>
      <w:marLeft w:val="0"/>
      <w:marRight w:val="0"/>
      <w:marTop w:val="0"/>
      <w:marBottom w:val="0"/>
      <w:divBdr>
        <w:top w:val="none" w:sz="0" w:space="0" w:color="auto"/>
        <w:left w:val="none" w:sz="0" w:space="0" w:color="auto"/>
        <w:bottom w:val="none" w:sz="0" w:space="0" w:color="auto"/>
        <w:right w:val="none" w:sz="0" w:space="0" w:color="auto"/>
      </w:divBdr>
    </w:div>
    <w:div w:id="312608296">
      <w:bodyDiv w:val="1"/>
      <w:marLeft w:val="0"/>
      <w:marRight w:val="0"/>
      <w:marTop w:val="0"/>
      <w:marBottom w:val="0"/>
      <w:divBdr>
        <w:top w:val="none" w:sz="0" w:space="0" w:color="auto"/>
        <w:left w:val="none" w:sz="0" w:space="0" w:color="auto"/>
        <w:bottom w:val="none" w:sz="0" w:space="0" w:color="auto"/>
        <w:right w:val="none" w:sz="0" w:space="0" w:color="auto"/>
      </w:divBdr>
    </w:div>
    <w:div w:id="316765276">
      <w:bodyDiv w:val="1"/>
      <w:marLeft w:val="0"/>
      <w:marRight w:val="0"/>
      <w:marTop w:val="0"/>
      <w:marBottom w:val="0"/>
      <w:divBdr>
        <w:top w:val="none" w:sz="0" w:space="0" w:color="auto"/>
        <w:left w:val="none" w:sz="0" w:space="0" w:color="auto"/>
        <w:bottom w:val="none" w:sz="0" w:space="0" w:color="auto"/>
        <w:right w:val="none" w:sz="0" w:space="0" w:color="auto"/>
      </w:divBdr>
    </w:div>
    <w:div w:id="328483895">
      <w:bodyDiv w:val="1"/>
      <w:marLeft w:val="0"/>
      <w:marRight w:val="0"/>
      <w:marTop w:val="0"/>
      <w:marBottom w:val="0"/>
      <w:divBdr>
        <w:top w:val="none" w:sz="0" w:space="0" w:color="auto"/>
        <w:left w:val="none" w:sz="0" w:space="0" w:color="auto"/>
        <w:bottom w:val="none" w:sz="0" w:space="0" w:color="auto"/>
        <w:right w:val="none" w:sz="0" w:space="0" w:color="auto"/>
      </w:divBdr>
    </w:div>
    <w:div w:id="329523275">
      <w:bodyDiv w:val="1"/>
      <w:marLeft w:val="0"/>
      <w:marRight w:val="0"/>
      <w:marTop w:val="0"/>
      <w:marBottom w:val="0"/>
      <w:divBdr>
        <w:top w:val="none" w:sz="0" w:space="0" w:color="auto"/>
        <w:left w:val="none" w:sz="0" w:space="0" w:color="auto"/>
        <w:bottom w:val="none" w:sz="0" w:space="0" w:color="auto"/>
        <w:right w:val="none" w:sz="0" w:space="0" w:color="auto"/>
      </w:divBdr>
    </w:div>
    <w:div w:id="329723116">
      <w:bodyDiv w:val="1"/>
      <w:marLeft w:val="0"/>
      <w:marRight w:val="0"/>
      <w:marTop w:val="0"/>
      <w:marBottom w:val="0"/>
      <w:divBdr>
        <w:top w:val="none" w:sz="0" w:space="0" w:color="auto"/>
        <w:left w:val="none" w:sz="0" w:space="0" w:color="auto"/>
        <w:bottom w:val="none" w:sz="0" w:space="0" w:color="auto"/>
        <w:right w:val="none" w:sz="0" w:space="0" w:color="auto"/>
      </w:divBdr>
    </w:div>
    <w:div w:id="330528858">
      <w:bodyDiv w:val="1"/>
      <w:marLeft w:val="0"/>
      <w:marRight w:val="0"/>
      <w:marTop w:val="0"/>
      <w:marBottom w:val="0"/>
      <w:divBdr>
        <w:top w:val="none" w:sz="0" w:space="0" w:color="auto"/>
        <w:left w:val="none" w:sz="0" w:space="0" w:color="auto"/>
        <w:bottom w:val="none" w:sz="0" w:space="0" w:color="auto"/>
        <w:right w:val="none" w:sz="0" w:space="0" w:color="auto"/>
      </w:divBdr>
    </w:div>
    <w:div w:id="335809957">
      <w:bodyDiv w:val="1"/>
      <w:marLeft w:val="0"/>
      <w:marRight w:val="0"/>
      <w:marTop w:val="0"/>
      <w:marBottom w:val="0"/>
      <w:divBdr>
        <w:top w:val="none" w:sz="0" w:space="0" w:color="auto"/>
        <w:left w:val="none" w:sz="0" w:space="0" w:color="auto"/>
        <w:bottom w:val="none" w:sz="0" w:space="0" w:color="auto"/>
        <w:right w:val="none" w:sz="0" w:space="0" w:color="auto"/>
      </w:divBdr>
    </w:div>
    <w:div w:id="340855399">
      <w:bodyDiv w:val="1"/>
      <w:marLeft w:val="0"/>
      <w:marRight w:val="0"/>
      <w:marTop w:val="0"/>
      <w:marBottom w:val="0"/>
      <w:divBdr>
        <w:top w:val="none" w:sz="0" w:space="0" w:color="auto"/>
        <w:left w:val="none" w:sz="0" w:space="0" w:color="auto"/>
        <w:bottom w:val="none" w:sz="0" w:space="0" w:color="auto"/>
        <w:right w:val="none" w:sz="0" w:space="0" w:color="auto"/>
      </w:divBdr>
    </w:div>
    <w:div w:id="341857327">
      <w:bodyDiv w:val="1"/>
      <w:marLeft w:val="0"/>
      <w:marRight w:val="0"/>
      <w:marTop w:val="0"/>
      <w:marBottom w:val="0"/>
      <w:divBdr>
        <w:top w:val="none" w:sz="0" w:space="0" w:color="auto"/>
        <w:left w:val="none" w:sz="0" w:space="0" w:color="auto"/>
        <w:bottom w:val="none" w:sz="0" w:space="0" w:color="auto"/>
        <w:right w:val="none" w:sz="0" w:space="0" w:color="auto"/>
      </w:divBdr>
    </w:div>
    <w:div w:id="345595175">
      <w:bodyDiv w:val="1"/>
      <w:marLeft w:val="0"/>
      <w:marRight w:val="0"/>
      <w:marTop w:val="0"/>
      <w:marBottom w:val="0"/>
      <w:divBdr>
        <w:top w:val="none" w:sz="0" w:space="0" w:color="auto"/>
        <w:left w:val="none" w:sz="0" w:space="0" w:color="auto"/>
        <w:bottom w:val="none" w:sz="0" w:space="0" w:color="auto"/>
        <w:right w:val="none" w:sz="0" w:space="0" w:color="auto"/>
      </w:divBdr>
    </w:div>
    <w:div w:id="348065034">
      <w:bodyDiv w:val="1"/>
      <w:marLeft w:val="0"/>
      <w:marRight w:val="0"/>
      <w:marTop w:val="0"/>
      <w:marBottom w:val="0"/>
      <w:divBdr>
        <w:top w:val="none" w:sz="0" w:space="0" w:color="auto"/>
        <w:left w:val="none" w:sz="0" w:space="0" w:color="auto"/>
        <w:bottom w:val="none" w:sz="0" w:space="0" w:color="auto"/>
        <w:right w:val="none" w:sz="0" w:space="0" w:color="auto"/>
      </w:divBdr>
    </w:div>
    <w:div w:id="353505284">
      <w:bodyDiv w:val="1"/>
      <w:marLeft w:val="0"/>
      <w:marRight w:val="0"/>
      <w:marTop w:val="0"/>
      <w:marBottom w:val="0"/>
      <w:divBdr>
        <w:top w:val="none" w:sz="0" w:space="0" w:color="auto"/>
        <w:left w:val="none" w:sz="0" w:space="0" w:color="auto"/>
        <w:bottom w:val="none" w:sz="0" w:space="0" w:color="auto"/>
        <w:right w:val="none" w:sz="0" w:space="0" w:color="auto"/>
      </w:divBdr>
    </w:div>
    <w:div w:id="354381803">
      <w:bodyDiv w:val="1"/>
      <w:marLeft w:val="0"/>
      <w:marRight w:val="0"/>
      <w:marTop w:val="0"/>
      <w:marBottom w:val="0"/>
      <w:divBdr>
        <w:top w:val="none" w:sz="0" w:space="0" w:color="auto"/>
        <w:left w:val="none" w:sz="0" w:space="0" w:color="auto"/>
        <w:bottom w:val="none" w:sz="0" w:space="0" w:color="auto"/>
        <w:right w:val="none" w:sz="0" w:space="0" w:color="auto"/>
      </w:divBdr>
    </w:div>
    <w:div w:id="356152843">
      <w:bodyDiv w:val="1"/>
      <w:marLeft w:val="0"/>
      <w:marRight w:val="0"/>
      <w:marTop w:val="0"/>
      <w:marBottom w:val="0"/>
      <w:divBdr>
        <w:top w:val="none" w:sz="0" w:space="0" w:color="auto"/>
        <w:left w:val="none" w:sz="0" w:space="0" w:color="auto"/>
        <w:bottom w:val="none" w:sz="0" w:space="0" w:color="auto"/>
        <w:right w:val="none" w:sz="0" w:space="0" w:color="auto"/>
      </w:divBdr>
    </w:div>
    <w:div w:id="361320302">
      <w:bodyDiv w:val="1"/>
      <w:marLeft w:val="0"/>
      <w:marRight w:val="0"/>
      <w:marTop w:val="0"/>
      <w:marBottom w:val="0"/>
      <w:divBdr>
        <w:top w:val="none" w:sz="0" w:space="0" w:color="auto"/>
        <w:left w:val="none" w:sz="0" w:space="0" w:color="auto"/>
        <w:bottom w:val="none" w:sz="0" w:space="0" w:color="auto"/>
        <w:right w:val="none" w:sz="0" w:space="0" w:color="auto"/>
      </w:divBdr>
    </w:div>
    <w:div w:id="363332403">
      <w:bodyDiv w:val="1"/>
      <w:marLeft w:val="0"/>
      <w:marRight w:val="0"/>
      <w:marTop w:val="0"/>
      <w:marBottom w:val="0"/>
      <w:divBdr>
        <w:top w:val="none" w:sz="0" w:space="0" w:color="auto"/>
        <w:left w:val="none" w:sz="0" w:space="0" w:color="auto"/>
        <w:bottom w:val="none" w:sz="0" w:space="0" w:color="auto"/>
        <w:right w:val="none" w:sz="0" w:space="0" w:color="auto"/>
      </w:divBdr>
    </w:div>
    <w:div w:id="369493931">
      <w:bodyDiv w:val="1"/>
      <w:marLeft w:val="0"/>
      <w:marRight w:val="0"/>
      <w:marTop w:val="0"/>
      <w:marBottom w:val="0"/>
      <w:divBdr>
        <w:top w:val="none" w:sz="0" w:space="0" w:color="auto"/>
        <w:left w:val="none" w:sz="0" w:space="0" w:color="auto"/>
        <w:bottom w:val="none" w:sz="0" w:space="0" w:color="auto"/>
        <w:right w:val="none" w:sz="0" w:space="0" w:color="auto"/>
      </w:divBdr>
    </w:div>
    <w:div w:id="370568333">
      <w:bodyDiv w:val="1"/>
      <w:marLeft w:val="0"/>
      <w:marRight w:val="0"/>
      <w:marTop w:val="0"/>
      <w:marBottom w:val="0"/>
      <w:divBdr>
        <w:top w:val="none" w:sz="0" w:space="0" w:color="auto"/>
        <w:left w:val="none" w:sz="0" w:space="0" w:color="auto"/>
        <w:bottom w:val="none" w:sz="0" w:space="0" w:color="auto"/>
        <w:right w:val="none" w:sz="0" w:space="0" w:color="auto"/>
      </w:divBdr>
    </w:div>
    <w:div w:id="377126896">
      <w:bodyDiv w:val="1"/>
      <w:marLeft w:val="0"/>
      <w:marRight w:val="0"/>
      <w:marTop w:val="0"/>
      <w:marBottom w:val="0"/>
      <w:divBdr>
        <w:top w:val="none" w:sz="0" w:space="0" w:color="auto"/>
        <w:left w:val="none" w:sz="0" w:space="0" w:color="auto"/>
        <w:bottom w:val="none" w:sz="0" w:space="0" w:color="auto"/>
        <w:right w:val="none" w:sz="0" w:space="0" w:color="auto"/>
      </w:divBdr>
    </w:div>
    <w:div w:id="387657231">
      <w:bodyDiv w:val="1"/>
      <w:marLeft w:val="0"/>
      <w:marRight w:val="0"/>
      <w:marTop w:val="0"/>
      <w:marBottom w:val="0"/>
      <w:divBdr>
        <w:top w:val="none" w:sz="0" w:space="0" w:color="auto"/>
        <w:left w:val="none" w:sz="0" w:space="0" w:color="auto"/>
        <w:bottom w:val="none" w:sz="0" w:space="0" w:color="auto"/>
        <w:right w:val="none" w:sz="0" w:space="0" w:color="auto"/>
      </w:divBdr>
    </w:div>
    <w:div w:id="394086042">
      <w:bodyDiv w:val="1"/>
      <w:marLeft w:val="0"/>
      <w:marRight w:val="0"/>
      <w:marTop w:val="0"/>
      <w:marBottom w:val="0"/>
      <w:divBdr>
        <w:top w:val="none" w:sz="0" w:space="0" w:color="auto"/>
        <w:left w:val="none" w:sz="0" w:space="0" w:color="auto"/>
        <w:bottom w:val="none" w:sz="0" w:space="0" w:color="auto"/>
        <w:right w:val="none" w:sz="0" w:space="0" w:color="auto"/>
      </w:divBdr>
    </w:div>
    <w:div w:id="395864634">
      <w:bodyDiv w:val="1"/>
      <w:marLeft w:val="0"/>
      <w:marRight w:val="0"/>
      <w:marTop w:val="0"/>
      <w:marBottom w:val="0"/>
      <w:divBdr>
        <w:top w:val="none" w:sz="0" w:space="0" w:color="auto"/>
        <w:left w:val="none" w:sz="0" w:space="0" w:color="auto"/>
        <w:bottom w:val="none" w:sz="0" w:space="0" w:color="auto"/>
        <w:right w:val="none" w:sz="0" w:space="0" w:color="auto"/>
      </w:divBdr>
    </w:div>
    <w:div w:id="396053639">
      <w:bodyDiv w:val="1"/>
      <w:marLeft w:val="0"/>
      <w:marRight w:val="0"/>
      <w:marTop w:val="0"/>
      <w:marBottom w:val="0"/>
      <w:divBdr>
        <w:top w:val="none" w:sz="0" w:space="0" w:color="auto"/>
        <w:left w:val="none" w:sz="0" w:space="0" w:color="auto"/>
        <w:bottom w:val="none" w:sz="0" w:space="0" w:color="auto"/>
        <w:right w:val="none" w:sz="0" w:space="0" w:color="auto"/>
      </w:divBdr>
    </w:div>
    <w:div w:id="396053911">
      <w:bodyDiv w:val="1"/>
      <w:marLeft w:val="0"/>
      <w:marRight w:val="0"/>
      <w:marTop w:val="0"/>
      <w:marBottom w:val="0"/>
      <w:divBdr>
        <w:top w:val="none" w:sz="0" w:space="0" w:color="auto"/>
        <w:left w:val="none" w:sz="0" w:space="0" w:color="auto"/>
        <w:bottom w:val="none" w:sz="0" w:space="0" w:color="auto"/>
        <w:right w:val="none" w:sz="0" w:space="0" w:color="auto"/>
      </w:divBdr>
    </w:div>
    <w:div w:id="398291425">
      <w:bodyDiv w:val="1"/>
      <w:marLeft w:val="0"/>
      <w:marRight w:val="0"/>
      <w:marTop w:val="0"/>
      <w:marBottom w:val="0"/>
      <w:divBdr>
        <w:top w:val="none" w:sz="0" w:space="0" w:color="auto"/>
        <w:left w:val="none" w:sz="0" w:space="0" w:color="auto"/>
        <w:bottom w:val="none" w:sz="0" w:space="0" w:color="auto"/>
        <w:right w:val="none" w:sz="0" w:space="0" w:color="auto"/>
      </w:divBdr>
    </w:div>
    <w:div w:id="405538847">
      <w:bodyDiv w:val="1"/>
      <w:marLeft w:val="0"/>
      <w:marRight w:val="0"/>
      <w:marTop w:val="0"/>
      <w:marBottom w:val="0"/>
      <w:divBdr>
        <w:top w:val="none" w:sz="0" w:space="0" w:color="auto"/>
        <w:left w:val="none" w:sz="0" w:space="0" w:color="auto"/>
        <w:bottom w:val="none" w:sz="0" w:space="0" w:color="auto"/>
        <w:right w:val="none" w:sz="0" w:space="0" w:color="auto"/>
      </w:divBdr>
    </w:div>
    <w:div w:id="413666734">
      <w:bodyDiv w:val="1"/>
      <w:marLeft w:val="0"/>
      <w:marRight w:val="0"/>
      <w:marTop w:val="0"/>
      <w:marBottom w:val="0"/>
      <w:divBdr>
        <w:top w:val="none" w:sz="0" w:space="0" w:color="auto"/>
        <w:left w:val="none" w:sz="0" w:space="0" w:color="auto"/>
        <w:bottom w:val="none" w:sz="0" w:space="0" w:color="auto"/>
        <w:right w:val="none" w:sz="0" w:space="0" w:color="auto"/>
      </w:divBdr>
    </w:div>
    <w:div w:id="415059247">
      <w:bodyDiv w:val="1"/>
      <w:marLeft w:val="0"/>
      <w:marRight w:val="0"/>
      <w:marTop w:val="0"/>
      <w:marBottom w:val="0"/>
      <w:divBdr>
        <w:top w:val="none" w:sz="0" w:space="0" w:color="auto"/>
        <w:left w:val="none" w:sz="0" w:space="0" w:color="auto"/>
        <w:bottom w:val="none" w:sz="0" w:space="0" w:color="auto"/>
        <w:right w:val="none" w:sz="0" w:space="0" w:color="auto"/>
      </w:divBdr>
    </w:div>
    <w:div w:id="418721313">
      <w:bodyDiv w:val="1"/>
      <w:marLeft w:val="0"/>
      <w:marRight w:val="0"/>
      <w:marTop w:val="0"/>
      <w:marBottom w:val="0"/>
      <w:divBdr>
        <w:top w:val="none" w:sz="0" w:space="0" w:color="auto"/>
        <w:left w:val="none" w:sz="0" w:space="0" w:color="auto"/>
        <w:bottom w:val="none" w:sz="0" w:space="0" w:color="auto"/>
        <w:right w:val="none" w:sz="0" w:space="0" w:color="auto"/>
      </w:divBdr>
    </w:div>
    <w:div w:id="420685341">
      <w:bodyDiv w:val="1"/>
      <w:marLeft w:val="0"/>
      <w:marRight w:val="0"/>
      <w:marTop w:val="0"/>
      <w:marBottom w:val="0"/>
      <w:divBdr>
        <w:top w:val="none" w:sz="0" w:space="0" w:color="auto"/>
        <w:left w:val="none" w:sz="0" w:space="0" w:color="auto"/>
        <w:bottom w:val="none" w:sz="0" w:space="0" w:color="auto"/>
        <w:right w:val="none" w:sz="0" w:space="0" w:color="auto"/>
      </w:divBdr>
    </w:div>
    <w:div w:id="445270841">
      <w:bodyDiv w:val="1"/>
      <w:marLeft w:val="0"/>
      <w:marRight w:val="0"/>
      <w:marTop w:val="0"/>
      <w:marBottom w:val="0"/>
      <w:divBdr>
        <w:top w:val="none" w:sz="0" w:space="0" w:color="auto"/>
        <w:left w:val="none" w:sz="0" w:space="0" w:color="auto"/>
        <w:bottom w:val="none" w:sz="0" w:space="0" w:color="auto"/>
        <w:right w:val="none" w:sz="0" w:space="0" w:color="auto"/>
      </w:divBdr>
    </w:div>
    <w:div w:id="448665671">
      <w:bodyDiv w:val="1"/>
      <w:marLeft w:val="0"/>
      <w:marRight w:val="0"/>
      <w:marTop w:val="0"/>
      <w:marBottom w:val="0"/>
      <w:divBdr>
        <w:top w:val="none" w:sz="0" w:space="0" w:color="auto"/>
        <w:left w:val="none" w:sz="0" w:space="0" w:color="auto"/>
        <w:bottom w:val="none" w:sz="0" w:space="0" w:color="auto"/>
        <w:right w:val="none" w:sz="0" w:space="0" w:color="auto"/>
      </w:divBdr>
    </w:div>
    <w:div w:id="456995923">
      <w:bodyDiv w:val="1"/>
      <w:marLeft w:val="0"/>
      <w:marRight w:val="0"/>
      <w:marTop w:val="0"/>
      <w:marBottom w:val="0"/>
      <w:divBdr>
        <w:top w:val="none" w:sz="0" w:space="0" w:color="auto"/>
        <w:left w:val="none" w:sz="0" w:space="0" w:color="auto"/>
        <w:bottom w:val="none" w:sz="0" w:space="0" w:color="auto"/>
        <w:right w:val="none" w:sz="0" w:space="0" w:color="auto"/>
      </w:divBdr>
    </w:div>
    <w:div w:id="457072503">
      <w:bodyDiv w:val="1"/>
      <w:marLeft w:val="0"/>
      <w:marRight w:val="0"/>
      <w:marTop w:val="0"/>
      <w:marBottom w:val="0"/>
      <w:divBdr>
        <w:top w:val="none" w:sz="0" w:space="0" w:color="auto"/>
        <w:left w:val="none" w:sz="0" w:space="0" w:color="auto"/>
        <w:bottom w:val="none" w:sz="0" w:space="0" w:color="auto"/>
        <w:right w:val="none" w:sz="0" w:space="0" w:color="auto"/>
      </w:divBdr>
    </w:div>
    <w:div w:id="458575060">
      <w:bodyDiv w:val="1"/>
      <w:marLeft w:val="0"/>
      <w:marRight w:val="0"/>
      <w:marTop w:val="0"/>
      <w:marBottom w:val="0"/>
      <w:divBdr>
        <w:top w:val="none" w:sz="0" w:space="0" w:color="auto"/>
        <w:left w:val="none" w:sz="0" w:space="0" w:color="auto"/>
        <w:bottom w:val="none" w:sz="0" w:space="0" w:color="auto"/>
        <w:right w:val="none" w:sz="0" w:space="0" w:color="auto"/>
      </w:divBdr>
    </w:div>
    <w:div w:id="461118055">
      <w:bodyDiv w:val="1"/>
      <w:marLeft w:val="0"/>
      <w:marRight w:val="0"/>
      <w:marTop w:val="0"/>
      <w:marBottom w:val="0"/>
      <w:divBdr>
        <w:top w:val="none" w:sz="0" w:space="0" w:color="auto"/>
        <w:left w:val="none" w:sz="0" w:space="0" w:color="auto"/>
        <w:bottom w:val="none" w:sz="0" w:space="0" w:color="auto"/>
        <w:right w:val="none" w:sz="0" w:space="0" w:color="auto"/>
      </w:divBdr>
    </w:div>
    <w:div w:id="464857819">
      <w:bodyDiv w:val="1"/>
      <w:marLeft w:val="0"/>
      <w:marRight w:val="0"/>
      <w:marTop w:val="0"/>
      <w:marBottom w:val="0"/>
      <w:divBdr>
        <w:top w:val="none" w:sz="0" w:space="0" w:color="auto"/>
        <w:left w:val="none" w:sz="0" w:space="0" w:color="auto"/>
        <w:bottom w:val="none" w:sz="0" w:space="0" w:color="auto"/>
        <w:right w:val="none" w:sz="0" w:space="0" w:color="auto"/>
      </w:divBdr>
    </w:div>
    <w:div w:id="467435176">
      <w:bodyDiv w:val="1"/>
      <w:marLeft w:val="0"/>
      <w:marRight w:val="0"/>
      <w:marTop w:val="0"/>
      <w:marBottom w:val="0"/>
      <w:divBdr>
        <w:top w:val="none" w:sz="0" w:space="0" w:color="auto"/>
        <w:left w:val="none" w:sz="0" w:space="0" w:color="auto"/>
        <w:bottom w:val="none" w:sz="0" w:space="0" w:color="auto"/>
        <w:right w:val="none" w:sz="0" w:space="0" w:color="auto"/>
      </w:divBdr>
    </w:div>
    <w:div w:id="467943219">
      <w:bodyDiv w:val="1"/>
      <w:marLeft w:val="0"/>
      <w:marRight w:val="0"/>
      <w:marTop w:val="0"/>
      <w:marBottom w:val="0"/>
      <w:divBdr>
        <w:top w:val="none" w:sz="0" w:space="0" w:color="auto"/>
        <w:left w:val="none" w:sz="0" w:space="0" w:color="auto"/>
        <w:bottom w:val="none" w:sz="0" w:space="0" w:color="auto"/>
        <w:right w:val="none" w:sz="0" w:space="0" w:color="auto"/>
      </w:divBdr>
    </w:div>
    <w:div w:id="477655399">
      <w:bodyDiv w:val="1"/>
      <w:marLeft w:val="0"/>
      <w:marRight w:val="0"/>
      <w:marTop w:val="0"/>
      <w:marBottom w:val="0"/>
      <w:divBdr>
        <w:top w:val="none" w:sz="0" w:space="0" w:color="auto"/>
        <w:left w:val="none" w:sz="0" w:space="0" w:color="auto"/>
        <w:bottom w:val="none" w:sz="0" w:space="0" w:color="auto"/>
        <w:right w:val="none" w:sz="0" w:space="0" w:color="auto"/>
      </w:divBdr>
    </w:div>
    <w:div w:id="482282108">
      <w:bodyDiv w:val="1"/>
      <w:marLeft w:val="0"/>
      <w:marRight w:val="0"/>
      <w:marTop w:val="0"/>
      <w:marBottom w:val="0"/>
      <w:divBdr>
        <w:top w:val="none" w:sz="0" w:space="0" w:color="auto"/>
        <w:left w:val="none" w:sz="0" w:space="0" w:color="auto"/>
        <w:bottom w:val="none" w:sz="0" w:space="0" w:color="auto"/>
        <w:right w:val="none" w:sz="0" w:space="0" w:color="auto"/>
      </w:divBdr>
    </w:div>
    <w:div w:id="492530711">
      <w:bodyDiv w:val="1"/>
      <w:marLeft w:val="0"/>
      <w:marRight w:val="0"/>
      <w:marTop w:val="0"/>
      <w:marBottom w:val="0"/>
      <w:divBdr>
        <w:top w:val="none" w:sz="0" w:space="0" w:color="auto"/>
        <w:left w:val="none" w:sz="0" w:space="0" w:color="auto"/>
        <w:bottom w:val="none" w:sz="0" w:space="0" w:color="auto"/>
        <w:right w:val="none" w:sz="0" w:space="0" w:color="auto"/>
      </w:divBdr>
    </w:div>
    <w:div w:id="492842120">
      <w:bodyDiv w:val="1"/>
      <w:marLeft w:val="0"/>
      <w:marRight w:val="0"/>
      <w:marTop w:val="0"/>
      <w:marBottom w:val="0"/>
      <w:divBdr>
        <w:top w:val="none" w:sz="0" w:space="0" w:color="auto"/>
        <w:left w:val="none" w:sz="0" w:space="0" w:color="auto"/>
        <w:bottom w:val="none" w:sz="0" w:space="0" w:color="auto"/>
        <w:right w:val="none" w:sz="0" w:space="0" w:color="auto"/>
      </w:divBdr>
    </w:div>
    <w:div w:id="493840745">
      <w:bodyDiv w:val="1"/>
      <w:marLeft w:val="0"/>
      <w:marRight w:val="0"/>
      <w:marTop w:val="0"/>
      <w:marBottom w:val="0"/>
      <w:divBdr>
        <w:top w:val="none" w:sz="0" w:space="0" w:color="auto"/>
        <w:left w:val="none" w:sz="0" w:space="0" w:color="auto"/>
        <w:bottom w:val="none" w:sz="0" w:space="0" w:color="auto"/>
        <w:right w:val="none" w:sz="0" w:space="0" w:color="auto"/>
      </w:divBdr>
    </w:div>
    <w:div w:id="494690142">
      <w:bodyDiv w:val="1"/>
      <w:marLeft w:val="0"/>
      <w:marRight w:val="0"/>
      <w:marTop w:val="0"/>
      <w:marBottom w:val="0"/>
      <w:divBdr>
        <w:top w:val="none" w:sz="0" w:space="0" w:color="auto"/>
        <w:left w:val="none" w:sz="0" w:space="0" w:color="auto"/>
        <w:bottom w:val="none" w:sz="0" w:space="0" w:color="auto"/>
        <w:right w:val="none" w:sz="0" w:space="0" w:color="auto"/>
      </w:divBdr>
    </w:div>
    <w:div w:id="496456254">
      <w:bodyDiv w:val="1"/>
      <w:marLeft w:val="0"/>
      <w:marRight w:val="0"/>
      <w:marTop w:val="0"/>
      <w:marBottom w:val="0"/>
      <w:divBdr>
        <w:top w:val="none" w:sz="0" w:space="0" w:color="auto"/>
        <w:left w:val="none" w:sz="0" w:space="0" w:color="auto"/>
        <w:bottom w:val="none" w:sz="0" w:space="0" w:color="auto"/>
        <w:right w:val="none" w:sz="0" w:space="0" w:color="auto"/>
      </w:divBdr>
    </w:div>
    <w:div w:id="500781457">
      <w:bodyDiv w:val="1"/>
      <w:marLeft w:val="0"/>
      <w:marRight w:val="0"/>
      <w:marTop w:val="0"/>
      <w:marBottom w:val="0"/>
      <w:divBdr>
        <w:top w:val="none" w:sz="0" w:space="0" w:color="auto"/>
        <w:left w:val="none" w:sz="0" w:space="0" w:color="auto"/>
        <w:bottom w:val="none" w:sz="0" w:space="0" w:color="auto"/>
        <w:right w:val="none" w:sz="0" w:space="0" w:color="auto"/>
      </w:divBdr>
    </w:div>
    <w:div w:id="502820312">
      <w:bodyDiv w:val="1"/>
      <w:marLeft w:val="0"/>
      <w:marRight w:val="0"/>
      <w:marTop w:val="0"/>
      <w:marBottom w:val="0"/>
      <w:divBdr>
        <w:top w:val="none" w:sz="0" w:space="0" w:color="auto"/>
        <w:left w:val="none" w:sz="0" w:space="0" w:color="auto"/>
        <w:bottom w:val="none" w:sz="0" w:space="0" w:color="auto"/>
        <w:right w:val="none" w:sz="0" w:space="0" w:color="auto"/>
      </w:divBdr>
    </w:div>
    <w:div w:id="503132142">
      <w:bodyDiv w:val="1"/>
      <w:marLeft w:val="0"/>
      <w:marRight w:val="0"/>
      <w:marTop w:val="0"/>
      <w:marBottom w:val="0"/>
      <w:divBdr>
        <w:top w:val="none" w:sz="0" w:space="0" w:color="auto"/>
        <w:left w:val="none" w:sz="0" w:space="0" w:color="auto"/>
        <w:bottom w:val="none" w:sz="0" w:space="0" w:color="auto"/>
        <w:right w:val="none" w:sz="0" w:space="0" w:color="auto"/>
      </w:divBdr>
    </w:div>
    <w:div w:id="504053419">
      <w:bodyDiv w:val="1"/>
      <w:marLeft w:val="0"/>
      <w:marRight w:val="0"/>
      <w:marTop w:val="0"/>
      <w:marBottom w:val="0"/>
      <w:divBdr>
        <w:top w:val="none" w:sz="0" w:space="0" w:color="auto"/>
        <w:left w:val="none" w:sz="0" w:space="0" w:color="auto"/>
        <w:bottom w:val="none" w:sz="0" w:space="0" w:color="auto"/>
        <w:right w:val="none" w:sz="0" w:space="0" w:color="auto"/>
      </w:divBdr>
    </w:div>
    <w:div w:id="512913191">
      <w:bodyDiv w:val="1"/>
      <w:marLeft w:val="0"/>
      <w:marRight w:val="0"/>
      <w:marTop w:val="0"/>
      <w:marBottom w:val="0"/>
      <w:divBdr>
        <w:top w:val="none" w:sz="0" w:space="0" w:color="auto"/>
        <w:left w:val="none" w:sz="0" w:space="0" w:color="auto"/>
        <w:bottom w:val="none" w:sz="0" w:space="0" w:color="auto"/>
        <w:right w:val="none" w:sz="0" w:space="0" w:color="auto"/>
      </w:divBdr>
    </w:div>
    <w:div w:id="515458459">
      <w:bodyDiv w:val="1"/>
      <w:marLeft w:val="0"/>
      <w:marRight w:val="0"/>
      <w:marTop w:val="0"/>
      <w:marBottom w:val="0"/>
      <w:divBdr>
        <w:top w:val="none" w:sz="0" w:space="0" w:color="auto"/>
        <w:left w:val="none" w:sz="0" w:space="0" w:color="auto"/>
        <w:bottom w:val="none" w:sz="0" w:space="0" w:color="auto"/>
        <w:right w:val="none" w:sz="0" w:space="0" w:color="auto"/>
      </w:divBdr>
    </w:div>
    <w:div w:id="528033697">
      <w:bodyDiv w:val="1"/>
      <w:marLeft w:val="0"/>
      <w:marRight w:val="0"/>
      <w:marTop w:val="0"/>
      <w:marBottom w:val="0"/>
      <w:divBdr>
        <w:top w:val="none" w:sz="0" w:space="0" w:color="auto"/>
        <w:left w:val="none" w:sz="0" w:space="0" w:color="auto"/>
        <w:bottom w:val="none" w:sz="0" w:space="0" w:color="auto"/>
        <w:right w:val="none" w:sz="0" w:space="0" w:color="auto"/>
      </w:divBdr>
    </w:div>
    <w:div w:id="532884058">
      <w:bodyDiv w:val="1"/>
      <w:marLeft w:val="0"/>
      <w:marRight w:val="0"/>
      <w:marTop w:val="0"/>
      <w:marBottom w:val="0"/>
      <w:divBdr>
        <w:top w:val="none" w:sz="0" w:space="0" w:color="auto"/>
        <w:left w:val="none" w:sz="0" w:space="0" w:color="auto"/>
        <w:bottom w:val="none" w:sz="0" w:space="0" w:color="auto"/>
        <w:right w:val="none" w:sz="0" w:space="0" w:color="auto"/>
      </w:divBdr>
    </w:div>
    <w:div w:id="533540918">
      <w:bodyDiv w:val="1"/>
      <w:marLeft w:val="0"/>
      <w:marRight w:val="0"/>
      <w:marTop w:val="0"/>
      <w:marBottom w:val="0"/>
      <w:divBdr>
        <w:top w:val="none" w:sz="0" w:space="0" w:color="auto"/>
        <w:left w:val="none" w:sz="0" w:space="0" w:color="auto"/>
        <w:bottom w:val="none" w:sz="0" w:space="0" w:color="auto"/>
        <w:right w:val="none" w:sz="0" w:space="0" w:color="auto"/>
      </w:divBdr>
    </w:div>
    <w:div w:id="539049508">
      <w:bodyDiv w:val="1"/>
      <w:marLeft w:val="0"/>
      <w:marRight w:val="0"/>
      <w:marTop w:val="0"/>
      <w:marBottom w:val="0"/>
      <w:divBdr>
        <w:top w:val="none" w:sz="0" w:space="0" w:color="auto"/>
        <w:left w:val="none" w:sz="0" w:space="0" w:color="auto"/>
        <w:bottom w:val="none" w:sz="0" w:space="0" w:color="auto"/>
        <w:right w:val="none" w:sz="0" w:space="0" w:color="auto"/>
      </w:divBdr>
    </w:div>
    <w:div w:id="541939757">
      <w:bodyDiv w:val="1"/>
      <w:marLeft w:val="0"/>
      <w:marRight w:val="0"/>
      <w:marTop w:val="0"/>
      <w:marBottom w:val="0"/>
      <w:divBdr>
        <w:top w:val="none" w:sz="0" w:space="0" w:color="auto"/>
        <w:left w:val="none" w:sz="0" w:space="0" w:color="auto"/>
        <w:bottom w:val="none" w:sz="0" w:space="0" w:color="auto"/>
        <w:right w:val="none" w:sz="0" w:space="0" w:color="auto"/>
      </w:divBdr>
    </w:div>
    <w:div w:id="541985553">
      <w:bodyDiv w:val="1"/>
      <w:marLeft w:val="0"/>
      <w:marRight w:val="0"/>
      <w:marTop w:val="0"/>
      <w:marBottom w:val="0"/>
      <w:divBdr>
        <w:top w:val="none" w:sz="0" w:space="0" w:color="auto"/>
        <w:left w:val="none" w:sz="0" w:space="0" w:color="auto"/>
        <w:bottom w:val="none" w:sz="0" w:space="0" w:color="auto"/>
        <w:right w:val="none" w:sz="0" w:space="0" w:color="auto"/>
      </w:divBdr>
    </w:div>
    <w:div w:id="542985143">
      <w:bodyDiv w:val="1"/>
      <w:marLeft w:val="0"/>
      <w:marRight w:val="0"/>
      <w:marTop w:val="0"/>
      <w:marBottom w:val="0"/>
      <w:divBdr>
        <w:top w:val="none" w:sz="0" w:space="0" w:color="auto"/>
        <w:left w:val="none" w:sz="0" w:space="0" w:color="auto"/>
        <w:bottom w:val="none" w:sz="0" w:space="0" w:color="auto"/>
        <w:right w:val="none" w:sz="0" w:space="0" w:color="auto"/>
      </w:divBdr>
    </w:div>
    <w:div w:id="543100306">
      <w:bodyDiv w:val="1"/>
      <w:marLeft w:val="0"/>
      <w:marRight w:val="0"/>
      <w:marTop w:val="0"/>
      <w:marBottom w:val="0"/>
      <w:divBdr>
        <w:top w:val="none" w:sz="0" w:space="0" w:color="auto"/>
        <w:left w:val="none" w:sz="0" w:space="0" w:color="auto"/>
        <w:bottom w:val="none" w:sz="0" w:space="0" w:color="auto"/>
        <w:right w:val="none" w:sz="0" w:space="0" w:color="auto"/>
      </w:divBdr>
    </w:div>
    <w:div w:id="543253777">
      <w:bodyDiv w:val="1"/>
      <w:marLeft w:val="0"/>
      <w:marRight w:val="0"/>
      <w:marTop w:val="0"/>
      <w:marBottom w:val="0"/>
      <w:divBdr>
        <w:top w:val="none" w:sz="0" w:space="0" w:color="auto"/>
        <w:left w:val="none" w:sz="0" w:space="0" w:color="auto"/>
        <w:bottom w:val="none" w:sz="0" w:space="0" w:color="auto"/>
        <w:right w:val="none" w:sz="0" w:space="0" w:color="auto"/>
      </w:divBdr>
    </w:div>
    <w:div w:id="543635588">
      <w:bodyDiv w:val="1"/>
      <w:marLeft w:val="0"/>
      <w:marRight w:val="0"/>
      <w:marTop w:val="0"/>
      <w:marBottom w:val="0"/>
      <w:divBdr>
        <w:top w:val="none" w:sz="0" w:space="0" w:color="auto"/>
        <w:left w:val="none" w:sz="0" w:space="0" w:color="auto"/>
        <w:bottom w:val="none" w:sz="0" w:space="0" w:color="auto"/>
        <w:right w:val="none" w:sz="0" w:space="0" w:color="auto"/>
      </w:divBdr>
    </w:div>
    <w:div w:id="543754296">
      <w:bodyDiv w:val="1"/>
      <w:marLeft w:val="0"/>
      <w:marRight w:val="0"/>
      <w:marTop w:val="0"/>
      <w:marBottom w:val="0"/>
      <w:divBdr>
        <w:top w:val="none" w:sz="0" w:space="0" w:color="auto"/>
        <w:left w:val="none" w:sz="0" w:space="0" w:color="auto"/>
        <w:bottom w:val="none" w:sz="0" w:space="0" w:color="auto"/>
        <w:right w:val="none" w:sz="0" w:space="0" w:color="auto"/>
      </w:divBdr>
    </w:div>
    <w:div w:id="551769366">
      <w:bodyDiv w:val="1"/>
      <w:marLeft w:val="0"/>
      <w:marRight w:val="0"/>
      <w:marTop w:val="0"/>
      <w:marBottom w:val="0"/>
      <w:divBdr>
        <w:top w:val="none" w:sz="0" w:space="0" w:color="auto"/>
        <w:left w:val="none" w:sz="0" w:space="0" w:color="auto"/>
        <w:bottom w:val="none" w:sz="0" w:space="0" w:color="auto"/>
        <w:right w:val="none" w:sz="0" w:space="0" w:color="auto"/>
      </w:divBdr>
    </w:div>
    <w:div w:id="557018162">
      <w:bodyDiv w:val="1"/>
      <w:marLeft w:val="0"/>
      <w:marRight w:val="0"/>
      <w:marTop w:val="0"/>
      <w:marBottom w:val="0"/>
      <w:divBdr>
        <w:top w:val="none" w:sz="0" w:space="0" w:color="auto"/>
        <w:left w:val="none" w:sz="0" w:space="0" w:color="auto"/>
        <w:bottom w:val="none" w:sz="0" w:space="0" w:color="auto"/>
        <w:right w:val="none" w:sz="0" w:space="0" w:color="auto"/>
      </w:divBdr>
    </w:div>
    <w:div w:id="561914322">
      <w:bodyDiv w:val="1"/>
      <w:marLeft w:val="0"/>
      <w:marRight w:val="0"/>
      <w:marTop w:val="0"/>
      <w:marBottom w:val="0"/>
      <w:divBdr>
        <w:top w:val="none" w:sz="0" w:space="0" w:color="auto"/>
        <w:left w:val="none" w:sz="0" w:space="0" w:color="auto"/>
        <w:bottom w:val="none" w:sz="0" w:space="0" w:color="auto"/>
        <w:right w:val="none" w:sz="0" w:space="0" w:color="auto"/>
      </w:divBdr>
    </w:div>
    <w:div w:id="569583155">
      <w:bodyDiv w:val="1"/>
      <w:marLeft w:val="0"/>
      <w:marRight w:val="0"/>
      <w:marTop w:val="0"/>
      <w:marBottom w:val="0"/>
      <w:divBdr>
        <w:top w:val="none" w:sz="0" w:space="0" w:color="auto"/>
        <w:left w:val="none" w:sz="0" w:space="0" w:color="auto"/>
        <w:bottom w:val="none" w:sz="0" w:space="0" w:color="auto"/>
        <w:right w:val="none" w:sz="0" w:space="0" w:color="auto"/>
      </w:divBdr>
    </w:div>
    <w:div w:id="569731699">
      <w:bodyDiv w:val="1"/>
      <w:marLeft w:val="0"/>
      <w:marRight w:val="0"/>
      <w:marTop w:val="0"/>
      <w:marBottom w:val="0"/>
      <w:divBdr>
        <w:top w:val="none" w:sz="0" w:space="0" w:color="auto"/>
        <w:left w:val="none" w:sz="0" w:space="0" w:color="auto"/>
        <w:bottom w:val="none" w:sz="0" w:space="0" w:color="auto"/>
        <w:right w:val="none" w:sz="0" w:space="0" w:color="auto"/>
      </w:divBdr>
    </w:div>
    <w:div w:id="570584990">
      <w:bodyDiv w:val="1"/>
      <w:marLeft w:val="0"/>
      <w:marRight w:val="0"/>
      <w:marTop w:val="0"/>
      <w:marBottom w:val="0"/>
      <w:divBdr>
        <w:top w:val="none" w:sz="0" w:space="0" w:color="auto"/>
        <w:left w:val="none" w:sz="0" w:space="0" w:color="auto"/>
        <w:bottom w:val="none" w:sz="0" w:space="0" w:color="auto"/>
        <w:right w:val="none" w:sz="0" w:space="0" w:color="auto"/>
      </w:divBdr>
    </w:div>
    <w:div w:id="575164521">
      <w:bodyDiv w:val="1"/>
      <w:marLeft w:val="0"/>
      <w:marRight w:val="0"/>
      <w:marTop w:val="0"/>
      <w:marBottom w:val="0"/>
      <w:divBdr>
        <w:top w:val="none" w:sz="0" w:space="0" w:color="auto"/>
        <w:left w:val="none" w:sz="0" w:space="0" w:color="auto"/>
        <w:bottom w:val="none" w:sz="0" w:space="0" w:color="auto"/>
        <w:right w:val="none" w:sz="0" w:space="0" w:color="auto"/>
      </w:divBdr>
    </w:div>
    <w:div w:id="575555474">
      <w:bodyDiv w:val="1"/>
      <w:marLeft w:val="0"/>
      <w:marRight w:val="0"/>
      <w:marTop w:val="0"/>
      <w:marBottom w:val="0"/>
      <w:divBdr>
        <w:top w:val="none" w:sz="0" w:space="0" w:color="auto"/>
        <w:left w:val="none" w:sz="0" w:space="0" w:color="auto"/>
        <w:bottom w:val="none" w:sz="0" w:space="0" w:color="auto"/>
        <w:right w:val="none" w:sz="0" w:space="0" w:color="auto"/>
      </w:divBdr>
    </w:div>
    <w:div w:id="576134894">
      <w:bodyDiv w:val="1"/>
      <w:marLeft w:val="0"/>
      <w:marRight w:val="0"/>
      <w:marTop w:val="0"/>
      <w:marBottom w:val="0"/>
      <w:divBdr>
        <w:top w:val="none" w:sz="0" w:space="0" w:color="auto"/>
        <w:left w:val="none" w:sz="0" w:space="0" w:color="auto"/>
        <w:bottom w:val="none" w:sz="0" w:space="0" w:color="auto"/>
        <w:right w:val="none" w:sz="0" w:space="0" w:color="auto"/>
      </w:divBdr>
    </w:div>
    <w:div w:id="582253102">
      <w:bodyDiv w:val="1"/>
      <w:marLeft w:val="0"/>
      <w:marRight w:val="0"/>
      <w:marTop w:val="0"/>
      <w:marBottom w:val="0"/>
      <w:divBdr>
        <w:top w:val="none" w:sz="0" w:space="0" w:color="auto"/>
        <w:left w:val="none" w:sz="0" w:space="0" w:color="auto"/>
        <w:bottom w:val="none" w:sz="0" w:space="0" w:color="auto"/>
        <w:right w:val="none" w:sz="0" w:space="0" w:color="auto"/>
      </w:divBdr>
    </w:div>
    <w:div w:id="586767801">
      <w:bodyDiv w:val="1"/>
      <w:marLeft w:val="0"/>
      <w:marRight w:val="0"/>
      <w:marTop w:val="0"/>
      <w:marBottom w:val="0"/>
      <w:divBdr>
        <w:top w:val="none" w:sz="0" w:space="0" w:color="auto"/>
        <w:left w:val="none" w:sz="0" w:space="0" w:color="auto"/>
        <w:bottom w:val="none" w:sz="0" w:space="0" w:color="auto"/>
        <w:right w:val="none" w:sz="0" w:space="0" w:color="auto"/>
      </w:divBdr>
    </w:div>
    <w:div w:id="587925621">
      <w:bodyDiv w:val="1"/>
      <w:marLeft w:val="0"/>
      <w:marRight w:val="0"/>
      <w:marTop w:val="0"/>
      <w:marBottom w:val="0"/>
      <w:divBdr>
        <w:top w:val="none" w:sz="0" w:space="0" w:color="auto"/>
        <w:left w:val="none" w:sz="0" w:space="0" w:color="auto"/>
        <w:bottom w:val="none" w:sz="0" w:space="0" w:color="auto"/>
        <w:right w:val="none" w:sz="0" w:space="0" w:color="auto"/>
      </w:divBdr>
    </w:div>
    <w:div w:id="588083813">
      <w:bodyDiv w:val="1"/>
      <w:marLeft w:val="0"/>
      <w:marRight w:val="0"/>
      <w:marTop w:val="0"/>
      <w:marBottom w:val="0"/>
      <w:divBdr>
        <w:top w:val="none" w:sz="0" w:space="0" w:color="auto"/>
        <w:left w:val="none" w:sz="0" w:space="0" w:color="auto"/>
        <w:bottom w:val="none" w:sz="0" w:space="0" w:color="auto"/>
        <w:right w:val="none" w:sz="0" w:space="0" w:color="auto"/>
      </w:divBdr>
    </w:div>
    <w:div w:id="589505684">
      <w:bodyDiv w:val="1"/>
      <w:marLeft w:val="0"/>
      <w:marRight w:val="0"/>
      <w:marTop w:val="0"/>
      <w:marBottom w:val="0"/>
      <w:divBdr>
        <w:top w:val="none" w:sz="0" w:space="0" w:color="auto"/>
        <w:left w:val="none" w:sz="0" w:space="0" w:color="auto"/>
        <w:bottom w:val="none" w:sz="0" w:space="0" w:color="auto"/>
        <w:right w:val="none" w:sz="0" w:space="0" w:color="auto"/>
      </w:divBdr>
    </w:div>
    <w:div w:id="595552628">
      <w:bodyDiv w:val="1"/>
      <w:marLeft w:val="0"/>
      <w:marRight w:val="0"/>
      <w:marTop w:val="0"/>
      <w:marBottom w:val="0"/>
      <w:divBdr>
        <w:top w:val="none" w:sz="0" w:space="0" w:color="auto"/>
        <w:left w:val="none" w:sz="0" w:space="0" w:color="auto"/>
        <w:bottom w:val="none" w:sz="0" w:space="0" w:color="auto"/>
        <w:right w:val="none" w:sz="0" w:space="0" w:color="auto"/>
      </w:divBdr>
    </w:div>
    <w:div w:id="595939317">
      <w:bodyDiv w:val="1"/>
      <w:marLeft w:val="0"/>
      <w:marRight w:val="0"/>
      <w:marTop w:val="0"/>
      <w:marBottom w:val="0"/>
      <w:divBdr>
        <w:top w:val="none" w:sz="0" w:space="0" w:color="auto"/>
        <w:left w:val="none" w:sz="0" w:space="0" w:color="auto"/>
        <w:bottom w:val="none" w:sz="0" w:space="0" w:color="auto"/>
        <w:right w:val="none" w:sz="0" w:space="0" w:color="auto"/>
      </w:divBdr>
    </w:div>
    <w:div w:id="598753306">
      <w:bodyDiv w:val="1"/>
      <w:marLeft w:val="0"/>
      <w:marRight w:val="0"/>
      <w:marTop w:val="0"/>
      <w:marBottom w:val="0"/>
      <w:divBdr>
        <w:top w:val="none" w:sz="0" w:space="0" w:color="auto"/>
        <w:left w:val="none" w:sz="0" w:space="0" w:color="auto"/>
        <w:bottom w:val="none" w:sz="0" w:space="0" w:color="auto"/>
        <w:right w:val="none" w:sz="0" w:space="0" w:color="auto"/>
      </w:divBdr>
    </w:div>
    <w:div w:id="607157958">
      <w:bodyDiv w:val="1"/>
      <w:marLeft w:val="0"/>
      <w:marRight w:val="0"/>
      <w:marTop w:val="0"/>
      <w:marBottom w:val="0"/>
      <w:divBdr>
        <w:top w:val="none" w:sz="0" w:space="0" w:color="auto"/>
        <w:left w:val="none" w:sz="0" w:space="0" w:color="auto"/>
        <w:bottom w:val="none" w:sz="0" w:space="0" w:color="auto"/>
        <w:right w:val="none" w:sz="0" w:space="0" w:color="auto"/>
      </w:divBdr>
    </w:div>
    <w:div w:id="613293779">
      <w:bodyDiv w:val="1"/>
      <w:marLeft w:val="0"/>
      <w:marRight w:val="0"/>
      <w:marTop w:val="0"/>
      <w:marBottom w:val="0"/>
      <w:divBdr>
        <w:top w:val="none" w:sz="0" w:space="0" w:color="auto"/>
        <w:left w:val="none" w:sz="0" w:space="0" w:color="auto"/>
        <w:bottom w:val="none" w:sz="0" w:space="0" w:color="auto"/>
        <w:right w:val="none" w:sz="0" w:space="0" w:color="auto"/>
      </w:divBdr>
    </w:div>
    <w:div w:id="614289036">
      <w:bodyDiv w:val="1"/>
      <w:marLeft w:val="0"/>
      <w:marRight w:val="0"/>
      <w:marTop w:val="0"/>
      <w:marBottom w:val="0"/>
      <w:divBdr>
        <w:top w:val="none" w:sz="0" w:space="0" w:color="auto"/>
        <w:left w:val="none" w:sz="0" w:space="0" w:color="auto"/>
        <w:bottom w:val="none" w:sz="0" w:space="0" w:color="auto"/>
        <w:right w:val="none" w:sz="0" w:space="0" w:color="auto"/>
      </w:divBdr>
    </w:div>
    <w:div w:id="626855237">
      <w:bodyDiv w:val="1"/>
      <w:marLeft w:val="0"/>
      <w:marRight w:val="0"/>
      <w:marTop w:val="0"/>
      <w:marBottom w:val="0"/>
      <w:divBdr>
        <w:top w:val="none" w:sz="0" w:space="0" w:color="auto"/>
        <w:left w:val="none" w:sz="0" w:space="0" w:color="auto"/>
        <w:bottom w:val="none" w:sz="0" w:space="0" w:color="auto"/>
        <w:right w:val="none" w:sz="0" w:space="0" w:color="auto"/>
      </w:divBdr>
    </w:div>
    <w:div w:id="628046802">
      <w:bodyDiv w:val="1"/>
      <w:marLeft w:val="0"/>
      <w:marRight w:val="0"/>
      <w:marTop w:val="0"/>
      <w:marBottom w:val="0"/>
      <w:divBdr>
        <w:top w:val="none" w:sz="0" w:space="0" w:color="auto"/>
        <w:left w:val="none" w:sz="0" w:space="0" w:color="auto"/>
        <w:bottom w:val="none" w:sz="0" w:space="0" w:color="auto"/>
        <w:right w:val="none" w:sz="0" w:space="0" w:color="auto"/>
      </w:divBdr>
    </w:div>
    <w:div w:id="632753355">
      <w:bodyDiv w:val="1"/>
      <w:marLeft w:val="0"/>
      <w:marRight w:val="0"/>
      <w:marTop w:val="0"/>
      <w:marBottom w:val="0"/>
      <w:divBdr>
        <w:top w:val="none" w:sz="0" w:space="0" w:color="auto"/>
        <w:left w:val="none" w:sz="0" w:space="0" w:color="auto"/>
        <w:bottom w:val="none" w:sz="0" w:space="0" w:color="auto"/>
        <w:right w:val="none" w:sz="0" w:space="0" w:color="auto"/>
      </w:divBdr>
    </w:div>
    <w:div w:id="639699522">
      <w:bodyDiv w:val="1"/>
      <w:marLeft w:val="0"/>
      <w:marRight w:val="0"/>
      <w:marTop w:val="0"/>
      <w:marBottom w:val="0"/>
      <w:divBdr>
        <w:top w:val="none" w:sz="0" w:space="0" w:color="auto"/>
        <w:left w:val="none" w:sz="0" w:space="0" w:color="auto"/>
        <w:bottom w:val="none" w:sz="0" w:space="0" w:color="auto"/>
        <w:right w:val="none" w:sz="0" w:space="0" w:color="auto"/>
      </w:divBdr>
    </w:div>
    <w:div w:id="644698607">
      <w:bodyDiv w:val="1"/>
      <w:marLeft w:val="0"/>
      <w:marRight w:val="0"/>
      <w:marTop w:val="0"/>
      <w:marBottom w:val="0"/>
      <w:divBdr>
        <w:top w:val="none" w:sz="0" w:space="0" w:color="auto"/>
        <w:left w:val="none" w:sz="0" w:space="0" w:color="auto"/>
        <w:bottom w:val="none" w:sz="0" w:space="0" w:color="auto"/>
        <w:right w:val="none" w:sz="0" w:space="0" w:color="auto"/>
      </w:divBdr>
    </w:div>
    <w:div w:id="648442653">
      <w:bodyDiv w:val="1"/>
      <w:marLeft w:val="0"/>
      <w:marRight w:val="0"/>
      <w:marTop w:val="0"/>
      <w:marBottom w:val="0"/>
      <w:divBdr>
        <w:top w:val="none" w:sz="0" w:space="0" w:color="auto"/>
        <w:left w:val="none" w:sz="0" w:space="0" w:color="auto"/>
        <w:bottom w:val="none" w:sz="0" w:space="0" w:color="auto"/>
        <w:right w:val="none" w:sz="0" w:space="0" w:color="auto"/>
      </w:divBdr>
    </w:div>
    <w:div w:id="648678339">
      <w:bodyDiv w:val="1"/>
      <w:marLeft w:val="0"/>
      <w:marRight w:val="0"/>
      <w:marTop w:val="0"/>
      <w:marBottom w:val="0"/>
      <w:divBdr>
        <w:top w:val="none" w:sz="0" w:space="0" w:color="auto"/>
        <w:left w:val="none" w:sz="0" w:space="0" w:color="auto"/>
        <w:bottom w:val="none" w:sz="0" w:space="0" w:color="auto"/>
        <w:right w:val="none" w:sz="0" w:space="0" w:color="auto"/>
      </w:divBdr>
    </w:div>
    <w:div w:id="649753558">
      <w:bodyDiv w:val="1"/>
      <w:marLeft w:val="0"/>
      <w:marRight w:val="0"/>
      <w:marTop w:val="0"/>
      <w:marBottom w:val="0"/>
      <w:divBdr>
        <w:top w:val="none" w:sz="0" w:space="0" w:color="auto"/>
        <w:left w:val="none" w:sz="0" w:space="0" w:color="auto"/>
        <w:bottom w:val="none" w:sz="0" w:space="0" w:color="auto"/>
        <w:right w:val="none" w:sz="0" w:space="0" w:color="auto"/>
      </w:divBdr>
    </w:div>
    <w:div w:id="653334592">
      <w:bodyDiv w:val="1"/>
      <w:marLeft w:val="0"/>
      <w:marRight w:val="0"/>
      <w:marTop w:val="0"/>
      <w:marBottom w:val="0"/>
      <w:divBdr>
        <w:top w:val="none" w:sz="0" w:space="0" w:color="auto"/>
        <w:left w:val="none" w:sz="0" w:space="0" w:color="auto"/>
        <w:bottom w:val="none" w:sz="0" w:space="0" w:color="auto"/>
        <w:right w:val="none" w:sz="0" w:space="0" w:color="auto"/>
      </w:divBdr>
    </w:div>
    <w:div w:id="664698717">
      <w:bodyDiv w:val="1"/>
      <w:marLeft w:val="0"/>
      <w:marRight w:val="0"/>
      <w:marTop w:val="0"/>
      <w:marBottom w:val="0"/>
      <w:divBdr>
        <w:top w:val="none" w:sz="0" w:space="0" w:color="auto"/>
        <w:left w:val="none" w:sz="0" w:space="0" w:color="auto"/>
        <w:bottom w:val="none" w:sz="0" w:space="0" w:color="auto"/>
        <w:right w:val="none" w:sz="0" w:space="0" w:color="auto"/>
      </w:divBdr>
    </w:div>
    <w:div w:id="668216056">
      <w:bodyDiv w:val="1"/>
      <w:marLeft w:val="0"/>
      <w:marRight w:val="0"/>
      <w:marTop w:val="0"/>
      <w:marBottom w:val="0"/>
      <w:divBdr>
        <w:top w:val="none" w:sz="0" w:space="0" w:color="auto"/>
        <w:left w:val="none" w:sz="0" w:space="0" w:color="auto"/>
        <w:bottom w:val="none" w:sz="0" w:space="0" w:color="auto"/>
        <w:right w:val="none" w:sz="0" w:space="0" w:color="auto"/>
      </w:divBdr>
    </w:div>
    <w:div w:id="668555276">
      <w:bodyDiv w:val="1"/>
      <w:marLeft w:val="0"/>
      <w:marRight w:val="0"/>
      <w:marTop w:val="0"/>
      <w:marBottom w:val="0"/>
      <w:divBdr>
        <w:top w:val="none" w:sz="0" w:space="0" w:color="auto"/>
        <w:left w:val="none" w:sz="0" w:space="0" w:color="auto"/>
        <w:bottom w:val="none" w:sz="0" w:space="0" w:color="auto"/>
        <w:right w:val="none" w:sz="0" w:space="0" w:color="auto"/>
      </w:divBdr>
    </w:div>
    <w:div w:id="672759766">
      <w:bodyDiv w:val="1"/>
      <w:marLeft w:val="0"/>
      <w:marRight w:val="0"/>
      <w:marTop w:val="0"/>
      <w:marBottom w:val="0"/>
      <w:divBdr>
        <w:top w:val="none" w:sz="0" w:space="0" w:color="auto"/>
        <w:left w:val="none" w:sz="0" w:space="0" w:color="auto"/>
        <w:bottom w:val="none" w:sz="0" w:space="0" w:color="auto"/>
        <w:right w:val="none" w:sz="0" w:space="0" w:color="auto"/>
      </w:divBdr>
    </w:div>
    <w:div w:id="676813528">
      <w:bodyDiv w:val="1"/>
      <w:marLeft w:val="0"/>
      <w:marRight w:val="0"/>
      <w:marTop w:val="0"/>
      <w:marBottom w:val="0"/>
      <w:divBdr>
        <w:top w:val="none" w:sz="0" w:space="0" w:color="auto"/>
        <w:left w:val="none" w:sz="0" w:space="0" w:color="auto"/>
        <w:bottom w:val="none" w:sz="0" w:space="0" w:color="auto"/>
        <w:right w:val="none" w:sz="0" w:space="0" w:color="auto"/>
      </w:divBdr>
    </w:div>
    <w:div w:id="688681371">
      <w:bodyDiv w:val="1"/>
      <w:marLeft w:val="0"/>
      <w:marRight w:val="0"/>
      <w:marTop w:val="0"/>
      <w:marBottom w:val="0"/>
      <w:divBdr>
        <w:top w:val="none" w:sz="0" w:space="0" w:color="auto"/>
        <w:left w:val="none" w:sz="0" w:space="0" w:color="auto"/>
        <w:bottom w:val="none" w:sz="0" w:space="0" w:color="auto"/>
        <w:right w:val="none" w:sz="0" w:space="0" w:color="auto"/>
      </w:divBdr>
    </w:div>
    <w:div w:id="689262152">
      <w:bodyDiv w:val="1"/>
      <w:marLeft w:val="0"/>
      <w:marRight w:val="0"/>
      <w:marTop w:val="0"/>
      <w:marBottom w:val="0"/>
      <w:divBdr>
        <w:top w:val="none" w:sz="0" w:space="0" w:color="auto"/>
        <w:left w:val="none" w:sz="0" w:space="0" w:color="auto"/>
        <w:bottom w:val="none" w:sz="0" w:space="0" w:color="auto"/>
        <w:right w:val="none" w:sz="0" w:space="0" w:color="auto"/>
      </w:divBdr>
    </w:div>
    <w:div w:id="691422647">
      <w:bodyDiv w:val="1"/>
      <w:marLeft w:val="0"/>
      <w:marRight w:val="0"/>
      <w:marTop w:val="0"/>
      <w:marBottom w:val="0"/>
      <w:divBdr>
        <w:top w:val="none" w:sz="0" w:space="0" w:color="auto"/>
        <w:left w:val="none" w:sz="0" w:space="0" w:color="auto"/>
        <w:bottom w:val="none" w:sz="0" w:space="0" w:color="auto"/>
        <w:right w:val="none" w:sz="0" w:space="0" w:color="auto"/>
      </w:divBdr>
    </w:div>
    <w:div w:id="695732356">
      <w:bodyDiv w:val="1"/>
      <w:marLeft w:val="0"/>
      <w:marRight w:val="0"/>
      <w:marTop w:val="0"/>
      <w:marBottom w:val="0"/>
      <w:divBdr>
        <w:top w:val="none" w:sz="0" w:space="0" w:color="auto"/>
        <w:left w:val="none" w:sz="0" w:space="0" w:color="auto"/>
        <w:bottom w:val="none" w:sz="0" w:space="0" w:color="auto"/>
        <w:right w:val="none" w:sz="0" w:space="0" w:color="auto"/>
      </w:divBdr>
    </w:div>
    <w:div w:id="696085944">
      <w:bodyDiv w:val="1"/>
      <w:marLeft w:val="0"/>
      <w:marRight w:val="0"/>
      <w:marTop w:val="0"/>
      <w:marBottom w:val="0"/>
      <w:divBdr>
        <w:top w:val="none" w:sz="0" w:space="0" w:color="auto"/>
        <w:left w:val="none" w:sz="0" w:space="0" w:color="auto"/>
        <w:bottom w:val="none" w:sz="0" w:space="0" w:color="auto"/>
        <w:right w:val="none" w:sz="0" w:space="0" w:color="auto"/>
      </w:divBdr>
    </w:div>
    <w:div w:id="698438253">
      <w:bodyDiv w:val="1"/>
      <w:marLeft w:val="0"/>
      <w:marRight w:val="0"/>
      <w:marTop w:val="0"/>
      <w:marBottom w:val="0"/>
      <w:divBdr>
        <w:top w:val="none" w:sz="0" w:space="0" w:color="auto"/>
        <w:left w:val="none" w:sz="0" w:space="0" w:color="auto"/>
        <w:bottom w:val="none" w:sz="0" w:space="0" w:color="auto"/>
        <w:right w:val="none" w:sz="0" w:space="0" w:color="auto"/>
      </w:divBdr>
    </w:div>
    <w:div w:id="717047695">
      <w:bodyDiv w:val="1"/>
      <w:marLeft w:val="0"/>
      <w:marRight w:val="0"/>
      <w:marTop w:val="0"/>
      <w:marBottom w:val="0"/>
      <w:divBdr>
        <w:top w:val="none" w:sz="0" w:space="0" w:color="auto"/>
        <w:left w:val="none" w:sz="0" w:space="0" w:color="auto"/>
        <w:bottom w:val="none" w:sz="0" w:space="0" w:color="auto"/>
        <w:right w:val="none" w:sz="0" w:space="0" w:color="auto"/>
      </w:divBdr>
    </w:div>
    <w:div w:id="717630685">
      <w:bodyDiv w:val="1"/>
      <w:marLeft w:val="0"/>
      <w:marRight w:val="0"/>
      <w:marTop w:val="0"/>
      <w:marBottom w:val="0"/>
      <w:divBdr>
        <w:top w:val="none" w:sz="0" w:space="0" w:color="auto"/>
        <w:left w:val="none" w:sz="0" w:space="0" w:color="auto"/>
        <w:bottom w:val="none" w:sz="0" w:space="0" w:color="auto"/>
        <w:right w:val="none" w:sz="0" w:space="0" w:color="auto"/>
      </w:divBdr>
    </w:div>
    <w:div w:id="724568984">
      <w:bodyDiv w:val="1"/>
      <w:marLeft w:val="0"/>
      <w:marRight w:val="0"/>
      <w:marTop w:val="0"/>
      <w:marBottom w:val="0"/>
      <w:divBdr>
        <w:top w:val="none" w:sz="0" w:space="0" w:color="auto"/>
        <w:left w:val="none" w:sz="0" w:space="0" w:color="auto"/>
        <w:bottom w:val="none" w:sz="0" w:space="0" w:color="auto"/>
        <w:right w:val="none" w:sz="0" w:space="0" w:color="auto"/>
      </w:divBdr>
    </w:div>
    <w:div w:id="726336637">
      <w:bodyDiv w:val="1"/>
      <w:marLeft w:val="0"/>
      <w:marRight w:val="0"/>
      <w:marTop w:val="0"/>
      <w:marBottom w:val="0"/>
      <w:divBdr>
        <w:top w:val="none" w:sz="0" w:space="0" w:color="auto"/>
        <w:left w:val="none" w:sz="0" w:space="0" w:color="auto"/>
        <w:bottom w:val="none" w:sz="0" w:space="0" w:color="auto"/>
        <w:right w:val="none" w:sz="0" w:space="0" w:color="auto"/>
      </w:divBdr>
    </w:div>
    <w:div w:id="727725326">
      <w:bodyDiv w:val="1"/>
      <w:marLeft w:val="0"/>
      <w:marRight w:val="0"/>
      <w:marTop w:val="0"/>
      <w:marBottom w:val="0"/>
      <w:divBdr>
        <w:top w:val="none" w:sz="0" w:space="0" w:color="auto"/>
        <w:left w:val="none" w:sz="0" w:space="0" w:color="auto"/>
        <w:bottom w:val="none" w:sz="0" w:space="0" w:color="auto"/>
        <w:right w:val="none" w:sz="0" w:space="0" w:color="auto"/>
      </w:divBdr>
    </w:div>
    <w:div w:id="739016021">
      <w:bodyDiv w:val="1"/>
      <w:marLeft w:val="0"/>
      <w:marRight w:val="0"/>
      <w:marTop w:val="0"/>
      <w:marBottom w:val="0"/>
      <w:divBdr>
        <w:top w:val="none" w:sz="0" w:space="0" w:color="auto"/>
        <w:left w:val="none" w:sz="0" w:space="0" w:color="auto"/>
        <w:bottom w:val="none" w:sz="0" w:space="0" w:color="auto"/>
        <w:right w:val="none" w:sz="0" w:space="0" w:color="auto"/>
      </w:divBdr>
    </w:div>
    <w:div w:id="746538567">
      <w:bodyDiv w:val="1"/>
      <w:marLeft w:val="0"/>
      <w:marRight w:val="0"/>
      <w:marTop w:val="0"/>
      <w:marBottom w:val="0"/>
      <w:divBdr>
        <w:top w:val="none" w:sz="0" w:space="0" w:color="auto"/>
        <w:left w:val="none" w:sz="0" w:space="0" w:color="auto"/>
        <w:bottom w:val="none" w:sz="0" w:space="0" w:color="auto"/>
        <w:right w:val="none" w:sz="0" w:space="0" w:color="auto"/>
      </w:divBdr>
    </w:div>
    <w:div w:id="752316145">
      <w:bodyDiv w:val="1"/>
      <w:marLeft w:val="0"/>
      <w:marRight w:val="0"/>
      <w:marTop w:val="0"/>
      <w:marBottom w:val="0"/>
      <w:divBdr>
        <w:top w:val="none" w:sz="0" w:space="0" w:color="auto"/>
        <w:left w:val="none" w:sz="0" w:space="0" w:color="auto"/>
        <w:bottom w:val="none" w:sz="0" w:space="0" w:color="auto"/>
        <w:right w:val="none" w:sz="0" w:space="0" w:color="auto"/>
      </w:divBdr>
    </w:div>
    <w:div w:id="753206992">
      <w:bodyDiv w:val="1"/>
      <w:marLeft w:val="0"/>
      <w:marRight w:val="0"/>
      <w:marTop w:val="0"/>
      <w:marBottom w:val="0"/>
      <w:divBdr>
        <w:top w:val="none" w:sz="0" w:space="0" w:color="auto"/>
        <w:left w:val="none" w:sz="0" w:space="0" w:color="auto"/>
        <w:bottom w:val="none" w:sz="0" w:space="0" w:color="auto"/>
        <w:right w:val="none" w:sz="0" w:space="0" w:color="auto"/>
      </w:divBdr>
    </w:div>
    <w:div w:id="756442567">
      <w:bodyDiv w:val="1"/>
      <w:marLeft w:val="0"/>
      <w:marRight w:val="0"/>
      <w:marTop w:val="0"/>
      <w:marBottom w:val="0"/>
      <w:divBdr>
        <w:top w:val="none" w:sz="0" w:space="0" w:color="auto"/>
        <w:left w:val="none" w:sz="0" w:space="0" w:color="auto"/>
        <w:bottom w:val="none" w:sz="0" w:space="0" w:color="auto"/>
        <w:right w:val="none" w:sz="0" w:space="0" w:color="auto"/>
      </w:divBdr>
    </w:div>
    <w:div w:id="756904755">
      <w:bodyDiv w:val="1"/>
      <w:marLeft w:val="0"/>
      <w:marRight w:val="0"/>
      <w:marTop w:val="0"/>
      <w:marBottom w:val="0"/>
      <w:divBdr>
        <w:top w:val="none" w:sz="0" w:space="0" w:color="auto"/>
        <w:left w:val="none" w:sz="0" w:space="0" w:color="auto"/>
        <w:bottom w:val="none" w:sz="0" w:space="0" w:color="auto"/>
        <w:right w:val="none" w:sz="0" w:space="0" w:color="auto"/>
      </w:divBdr>
    </w:div>
    <w:div w:id="757217798">
      <w:bodyDiv w:val="1"/>
      <w:marLeft w:val="0"/>
      <w:marRight w:val="0"/>
      <w:marTop w:val="0"/>
      <w:marBottom w:val="0"/>
      <w:divBdr>
        <w:top w:val="none" w:sz="0" w:space="0" w:color="auto"/>
        <w:left w:val="none" w:sz="0" w:space="0" w:color="auto"/>
        <w:bottom w:val="none" w:sz="0" w:space="0" w:color="auto"/>
        <w:right w:val="none" w:sz="0" w:space="0" w:color="auto"/>
      </w:divBdr>
    </w:div>
    <w:div w:id="760764194">
      <w:bodyDiv w:val="1"/>
      <w:marLeft w:val="0"/>
      <w:marRight w:val="0"/>
      <w:marTop w:val="0"/>
      <w:marBottom w:val="0"/>
      <w:divBdr>
        <w:top w:val="none" w:sz="0" w:space="0" w:color="auto"/>
        <w:left w:val="none" w:sz="0" w:space="0" w:color="auto"/>
        <w:bottom w:val="none" w:sz="0" w:space="0" w:color="auto"/>
        <w:right w:val="none" w:sz="0" w:space="0" w:color="auto"/>
      </w:divBdr>
    </w:div>
    <w:div w:id="770585999">
      <w:bodyDiv w:val="1"/>
      <w:marLeft w:val="0"/>
      <w:marRight w:val="0"/>
      <w:marTop w:val="0"/>
      <w:marBottom w:val="0"/>
      <w:divBdr>
        <w:top w:val="none" w:sz="0" w:space="0" w:color="auto"/>
        <w:left w:val="none" w:sz="0" w:space="0" w:color="auto"/>
        <w:bottom w:val="none" w:sz="0" w:space="0" w:color="auto"/>
        <w:right w:val="none" w:sz="0" w:space="0" w:color="auto"/>
      </w:divBdr>
    </w:div>
    <w:div w:id="776098244">
      <w:bodyDiv w:val="1"/>
      <w:marLeft w:val="0"/>
      <w:marRight w:val="0"/>
      <w:marTop w:val="0"/>
      <w:marBottom w:val="0"/>
      <w:divBdr>
        <w:top w:val="none" w:sz="0" w:space="0" w:color="auto"/>
        <w:left w:val="none" w:sz="0" w:space="0" w:color="auto"/>
        <w:bottom w:val="none" w:sz="0" w:space="0" w:color="auto"/>
        <w:right w:val="none" w:sz="0" w:space="0" w:color="auto"/>
      </w:divBdr>
    </w:div>
    <w:div w:id="783112545">
      <w:bodyDiv w:val="1"/>
      <w:marLeft w:val="0"/>
      <w:marRight w:val="0"/>
      <w:marTop w:val="0"/>
      <w:marBottom w:val="0"/>
      <w:divBdr>
        <w:top w:val="none" w:sz="0" w:space="0" w:color="auto"/>
        <w:left w:val="none" w:sz="0" w:space="0" w:color="auto"/>
        <w:bottom w:val="none" w:sz="0" w:space="0" w:color="auto"/>
        <w:right w:val="none" w:sz="0" w:space="0" w:color="auto"/>
      </w:divBdr>
    </w:div>
    <w:div w:id="784085050">
      <w:bodyDiv w:val="1"/>
      <w:marLeft w:val="0"/>
      <w:marRight w:val="0"/>
      <w:marTop w:val="0"/>
      <w:marBottom w:val="0"/>
      <w:divBdr>
        <w:top w:val="none" w:sz="0" w:space="0" w:color="auto"/>
        <w:left w:val="none" w:sz="0" w:space="0" w:color="auto"/>
        <w:bottom w:val="none" w:sz="0" w:space="0" w:color="auto"/>
        <w:right w:val="none" w:sz="0" w:space="0" w:color="auto"/>
      </w:divBdr>
    </w:div>
    <w:div w:id="786124131">
      <w:bodyDiv w:val="1"/>
      <w:marLeft w:val="0"/>
      <w:marRight w:val="0"/>
      <w:marTop w:val="0"/>
      <w:marBottom w:val="0"/>
      <w:divBdr>
        <w:top w:val="none" w:sz="0" w:space="0" w:color="auto"/>
        <w:left w:val="none" w:sz="0" w:space="0" w:color="auto"/>
        <w:bottom w:val="none" w:sz="0" w:space="0" w:color="auto"/>
        <w:right w:val="none" w:sz="0" w:space="0" w:color="auto"/>
      </w:divBdr>
    </w:div>
    <w:div w:id="789204267">
      <w:bodyDiv w:val="1"/>
      <w:marLeft w:val="0"/>
      <w:marRight w:val="0"/>
      <w:marTop w:val="0"/>
      <w:marBottom w:val="0"/>
      <w:divBdr>
        <w:top w:val="none" w:sz="0" w:space="0" w:color="auto"/>
        <w:left w:val="none" w:sz="0" w:space="0" w:color="auto"/>
        <w:bottom w:val="none" w:sz="0" w:space="0" w:color="auto"/>
        <w:right w:val="none" w:sz="0" w:space="0" w:color="auto"/>
      </w:divBdr>
    </w:div>
    <w:div w:id="789591365">
      <w:bodyDiv w:val="1"/>
      <w:marLeft w:val="0"/>
      <w:marRight w:val="0"/>
      <w:marTop w:val="0"/>
      <w:marBottom w:val="0"/>
      <w:divBdr>
        <w:top w:val="none" w:sz="0" w:space="0" w:color="auto"/>
        <w:left w:val="none" w:sz="0" w:space="0" w:color="auto"/>
        <w:bottom w:val="none" w:sz="0" w:space="0" w:color="auto"/>
        <w:right w:val="none" w:sz="0" w:space="0" w:color="auto"/>
      </w:divBdr>
    </w:div>
    <w:div w:id="789936779">
      <w:bodyDiv w:val="1"/>
      <w:marLeft w:val="0"/>
      <w:marRight w:val="0"/>
      <w:marTop w:val="0"/>
      <w:marBottom w:val="0"/>
      <w:divBdr>
        <w:top w:val="none" w:sz="0" w:space="0" w:color="auto"/>
        <w:left w:val="none" w:sz="0" w:space="0" w:color="auto"/>
        <w:bottom w:val="none" w:sz="0" w:space="0" w:color="auto"/>
        <w:right w:val="none" w:sz="0" w:space="0" w:color="auto"/>
      </w:divBdr>
    </w:div>
    <w:div w:id="793793170">
      <w:bodyDiv w:val="1"/>
      <w:marLeft w:val="0"/>
      <w:marRight w:val="0"/>
      <w:marTop w:val="0"/>
      <w:marBottom w:val="0"/>
      <w:divBdr>
        <w:top w:val="none" w:sz="0" w:space="0" w:color="auto"/>
        <w:left w:val="none" w:sz="0" w:space="0" w:color="auto"/>
        <w:bottom w:val="none" w:sz="0" w:space="0" w:color="auto"/>
        <w:right w:val="none" w:sz="0" w:space="0" w:color="auto"/>
      </w:divBdr>
    </w:div>
    <w:div w:id="794712855">
      <w:bodyDiv w:val="1"/>
      <w:marLeft w:val="0"/>
      <w:marRight w:val="0"/>
      <w:marTop w:val="0"/>
      <w:marBottom w:val="0"/>
      <w:divBdr>
        <w:top w:val="none" w:sz="0" w:space="0" w:color="auto"/>
        <w:left w:val="none" w:sz="0" w:space="0" w:color="auto"/>
        <w:bottom w:val="none" w:sz="0" w:space="0" w:color="auto"/>
        <w:right w:val="none" w:sz="0" w:space="0" w:color="auto"/>
      </w:divBdr>
    </w:div>
    <w:div w:id="795949808">
      <w:bodyDiv w:val="1"/>
      <w:marLeft w:val="0"/>
      <w:marRight w:val="0"/>
      <w:marTop w:val="0"/>
      <w:marBottom w:val="0"/>
      <w:divBdr>
        <w:top w:val="none" w:sz="0" w:space="0" w:color="auto"/>
        <w:left w:val="none" w:sz="0" w:space="0" w:color="auto"/>
        <w:bottom w:val="none" w:sz="0" w:space="0" w:color="auto"/>
        <w:right w:val="none" w:sz="0" w:space="0" w:color="auto"/>
      </w:divBdr>
    </w:div>
    <w:div w:id="807405921">
      <w:bodyDiv w:val="1"/>
      <w:marLeft w:val="0"/>
      <w:marRight w:val="0"/>
      <w:marTop w:val="0"/>
      <w:marBottom w:val="0"/>
      <w:divBdr>
        <w:top w:val="none" w:sz="0" w:space="0" w:color="auto"/>
        <w:left w:val="none" w:sz="0" w:space="0" w:color="auto"/>
        <w:bottom w:val="none" w:sz="0" w:space="0" w:color="auto"/>
        <w:right w:val="none" w:sz="0" w:space="0" w:color="auto"/>
      </w:divBdr>
    </w:div>
    <w:div w:id="809592058">
      <w:bodyDiv w:val="1"/>
      <w:marLeft w:val="0"/>
      <w:marRight w:val="0"/>
      <w:marTop w:val="0"/>
      <w:marBottom w:val="0"/>
      <w:divBdr>
        <w:top w:val="none" w:sz="0" w:space="0" w:color="auto"/>
        <w:left w:val="none" w:sz="0" w:space="0" w:color="auto"/>
        <w:bottom w:val="none" w:sz="0" w:space="0" w:color="auto"/>
        <w:right w:val="none" w:sz="0" w:space="0" w:color="auto"/>
      </w:divBdr>
    </w:div>
    <w:div w:id="815299020">
      <w:bodyDiv w:val="1"/>
      <w:marLeft w:val="0"/>
      <w:marRight w:val="0"/>
      <w:marTop w:val="0"/>
      <w:marBottom w:val="0"/>
      <w:divBdr>
        <w:top w:val="none" w:sz="0" w:space="0" w:color="auto"/>
        <w:left w:val="none" w:sz="0" w:space="0" w:color="auto"/>
        <w:bottom w:val="none" w:sz="0" w:space="0" w:color="auto"/>
        <w:right w:val="none" w:sz="0" w:space="0" w:color="auto"/>
      </w:divBdr>
    </w:div>
    <w:div w:id="817109521">
      <w:bodyDiv w:val="1"/>
      <w:marLeft w:val="0"/>
      <w:marRight w:val="0"/>
      <w:marTop w:val="0"/>
      <w:marBottom w:val="0"/>
      <w:divBdr>
        <w:top w:val="none" w:sz="0" w:space="0" w:color="auto"/>
        <w:left w:val="none" w:sz="0" w:space="0" w:color="auto"/>
        <w:bottom w:val="none" w:sz="0" w:space="0" w:color="auto"/>
        <w:right w:val="none" w:sz="0" w:space="0" w:color="auto"/>
      </w:divBdr>
    </w:div>
    <w:div w:id="822621555">
      <w:bodyDiv w:val="1"/>
      <w:marLeft w:val="0"/>
      <w:marRight w:val="0"/>
      <w:marTop w:val="0"/>
      <w:marBottom w:val="0"/>
      <w:divBdr>
        <w:top w:val="none" w:sz="0" w:space="0" w:color="auto"/>
        <w:left w:val="none" w:sz="0" w:space="0" w:color="auto"/>
        <w:bottom w:val="none" w:sz="0" w:space="0" w:color="auto"/>
        <w:right w:val="none" w:sz="0" w:space="0" w:color="auto"/>
      </w:divBdr>
    </w:div>
    <w:div w:id="822740820">
      <w:bodyDiv w:val="1"/>
      <w:marLeft w:val="0"/>
      <w:marRight w:val="0"/>
      <w:marTop w:val="0"/>
      <w:marBottom w:val="0"/>
      <w:divBdr>
        <w:top w:val="none" w:sz="0" w:space="0" w:color="auto"/>
        <w:left w:val="none" w:sz="0" w:space="0" w:color="auto"/>
        <w:bottom w:val="none" w:sz="0" w:space="0" w:color="auto"/>
        <w:right w:val="none" w:sz="0" w:space="0" w:color="auto"/>
      </w:divBdr>
    </w:div>
    <w:div w:id="823204242">
      <w:bodyDiv w:val="1"/>
      <w:marLeft w:val="0"/>
      <w:marRight w:val="0"/>
      <w:marTop w:val="0"/>
      <w:marBottom w:val="0"/>
      <w:divBdr>
        <w:top w:val="none" w:sz="0" w:space="0" w:color="auto"/>
        <w:left w:val="none" w:sz="0" w:space="0" w:color="auto"/>
        <w:bottom w:val="none" w:sz="0" w:space="0" w:color="auto"/>
        <w:right w:val="none" w:sz="0" w:space="0" w:color="auto"/>
      </w:divBdr>
    </w:div>
    <w:div w:id="823592670">
      <w:bodyDiv w:val="1"/>
      <w:marLeft w:val="0"/>
      <w:marRight w:val="0"/>
      <w:marTop w:val="0"/>
      <w:marBottom w:val="0"/>
      <w:divBdr>
        <w:top w:val="none" w:sz="0" w:space="0" w:color="auto"/>
        <w:left w:val="none" w:sz="0" w:space="0" w:color="auto"/>
        <w:bottom w:val="none" w:sz="0" w:space="0" w:color="auto"/>
        <w:right w:val="none" w:sz="0" w:space="0" w:color="auto"/>
      </w:divBdr>
    </w:div>
    <w:div w:id="825391008">
      <w:bodyDiv w:val="1"/>
      <w:marLeft w:val="0"/>
      <w:marRight w:val="0"/>
      <w:marTop w:val="0"/>
      <w:marBottom w:val="0"/>
      <w:divBdr>
        <w:top w:val="none" w:sz="0" w:space="0" w:color="auto"/>
        <w:left w:val="none" w:sz="0" w:space="0" w:color="auto"/>
        <w:bottom w:val="none" w:sz="0" w:space="0" w:color="auto"/>
        <w:right w:val="none" w:sz="0" w:space="0" w:color="auto"/>
      </w:divBdr>
    </w:div>
    <w:div w:id="828137160">
      <w:bodyDiv w:val="1"/>
      <w:marLeft w:val="0"/>
      <w:marRight w:val="0"/>
      <w:marTop w:val="0"/>
      <w:marBottom w:val="0"/>
      <w:divBdr>
        <w:top w:val="none" w:sz="0" w:space="0" w:color="auto"/>
        <w:left w:val="none" w:sz="0" w:space="0" w:color="auto"/>
        <w:bottom w:val="none" w:sz="0" w:space="0" w:color="auto"/>
        <w:right w:val="none" w:sz="0" w:space="0" w:color="auto"/>
      </w:divBdr>
    </w:div>
    <w:div w:id="830290869">
      <w:bodyDiv w:val="1"/>
      <w:marLeft w:val="0"/>
      <w:marRight w:val="0"/>
      <w:marTop w:val="0"/>
      <w:marBottom w:val="0"/>
      <w:divBdr>
        <w:top w:val="none" w:sz="0" w:space="0" w:color="auto"/>
        <w:left w:val="none" w:sz="0" w:space="0" w:color="auto"/>
        <w:bottom w:val="none" w:sz="0" w:space="0" w:color="auto"/>
        <w:right w:val="none" w:sz="0" w:space="0" w:color="auto"/>
      </w:divBdr>
    </w:div>
    <w:div w:id="836114905">
      <w:bodyDiv w:val="1"/>
      <w:marLeft w:val="0"/>
      <w:marRight w:val="0"/>
      <w:marTop w:val="0"/>
      <w:marBottom w:val="0"/>
      <w:divBdr>
        <w:top w:val="none" w:sz="0" w:space="0" w:color="auto"/>
        <w:left w:val="none" w:sz="0" w:space="0" w:color="auto"/>
        <w:bottom w:val="none" w:sz="0" w:space="0" w:color="auto"/>
        <w:right w:val="none" w:sz="0" w:space="0" w:color="auto"/>
      </w:divBdr>
    </w:div>
    <w:div w:id="842084987">
      <w:bodyDiv w:val="1"/>
      <w:marLeft w:val="0"/>
      <w:marRight w:val="0"/>
      <w:marTop w:val="0"/>
      <w:marBottom w:val="0"/>
      <w:divBdr>
        <w:top w:val="none" w:sz="0" w:space="0" w:color="auto"/>
        <w:left w:val="none" w:sz="0" w:space="0" w:color="auto"/>
        <w:bottom w:val="none" w:sz="0" w:space="0" w:color="auto"/>
        <w:right w:val="none" w:sz="0" w:space="0" w:color="auto"/>
      </w:divBdr>
    </w:div>
    <w:div w:id="842162614">
      <w:bodyDiv w:val="1"/>
      <w:marLeft w:val="0"/>
      <w:marRight w:val="0"/>
      <w:marTop w:val="0"/>
      <w:marBottom w:val="0"/>
      <w:divBdr>
        <w:top w:val="none" w:sz="0" w:space="0" w:color="auto"/>
        <w:left w:val="none" w:sz="0" w:space="0" w:color="auto"/>
        <w:bottom w:val="none" w:sz="0" w:space="0" w:color="auto"/>
        <w:right w:val="none" w:sz="0" w:space="0" w:color="auto"/>
      </w:divBdr>
    </w:div>
    <w:div w:id="847672499">
      <w:bodyDiv w:val="1"/>
      <w:marLeft w:val="0"/>
      <w:marRight w:val="0"/>
      <w:marTop w:val="0"/>
      <w:marBottom w:val="0"/>
      <w:divBdr>
        <w:top w:val="none" w:sz="0" w:space="0" w:color="auto"/>
        <w:left w:val="none" w:sz="0" w:space="0" w:color="auto"/>
        <w:bottom w:val="none" w:sz="0" w:space="0" w:color="auto"/>
        <w:right w:val="none" w:sz="0" w:space="0" w:color="auto"/>
      </w:divBdr>
    </w:div>
    <w:div w:id="850921572">
      <w:bodyDiv w:val="1"/>
      <w:marLeft w:val="0"/>
      <w:marRight w:val="0"/>
      <w:marTop w:val="0"/>
      <w:marBottom w:val="0"/>
      <w:divBdr>
        <w:top w:val="none" w:sz="0" w:space="0" w:color="auto"/>
        <w:left w:val="none" w:sz="0" w:space="0" w:color="auto"/>
        <w:bottom w:val="none" w:sz="0" w:space="0" w:color="auto"/>
        <w:right w:val="none" w:sz="0" w:space="0" w:color="auto"/>
      </w:divBdr>
    </w:div>
    <w:div w:id="856963098">
      <w:bodyDiv w:val="1"/>
      <w:marLeft w:val="0"/>
      <w:marRight w:val="0"/>
      <w:marTop w:val="0"/>
      <w:marBottom w:val="0"/>
      <w:divBdr>
        <w:top w:val="none" w:sz="0" w:space="0" w:color="auto"/>
        <w:left w:val="none" w:sz="0" w:space="0" w:color="auto"/>
        <w:bottom w:val="none" w:sz="0" w:space="0" w:color="auto"/>
        <w:right w:val="none" w:sz="0" w:space="0" w:color="auto"/>
      </w:divBdr>
    </w:div>
    <w:div w:id="857428676">
      <w:bodyDiv w:val="1"/>
      <w:marLeft w:val="0"/>
      <w:marRight w:val="0"/>
      <w:marTop w:val="0"/>
      <w:marBottom w:val="0"/>
      <w:divBdr>
        <w:top w:val="none" w:sz="0" w:space="0" w:color="auto"/>
        <w:left w:val="none" w:sz="0" w:space="0" w:color="auto"/>
        <w:bottom w:val="none" w:sz="0" w:space="0" w:color="auto"/>
        <w:right w:val="none" w:sz="0" w:space="0" w:color="auto"/>
      </w:divBdr>
    </w:div>
    <w:div w:id="863326173">
      <w:bodyDiv w:val="1"/>
      <w:marLeft w:val="0"/>
      <w:marRight w:val="0"/>
      <w:marTop w:val="0"/>
      <w:marBottom w:val="0"/>
      <w:divBdr>
        <w:top w:val="none" w:sz="0" w:space="0" w:color="auto"/>
        <w:left w:val="none" w:sz="0" w:space="0" w:color="auto"/>
        <w:bottom w:val="none" w:sz="0" w:space="0" w:color="auto"/>
        <w:right w:val="none" w:sz="0" w:space="0" w:color="auto"/>
      </w:divBdr>
    </w:div>
    <w:div w:id="868108032">
      <w:bodyDiv w:val="1"/>
      <w:marLeft w:val="0"/>
      <w:marRight w:val="0"/>
      <w:marTop w:val="0"/>
      <w:marBottom w:val="0"/>
      <w:divBdr>
        <w:top w:val="none" w:sz="0" w:space="0" w:color="auto"/>
        <w:left w:val="none" w:sz="0" w:space="0" w:color="auto"/>
        <w:bottom w:val="none" w:sz="0" w:space="0" w:color="auto"/>
        <w:right w:val="none" w:sz="0" w:space="0" w:color="auto"/>
      </w:divBdr>
    </w:div>
    <w:div w:id="868883716">
      <w:bodyDiv w:val="1"/>
      <w:marLeft w:val="0"/>
      <w:marRight w:val="0"/>
      <w:marTop w:val="0"/>
      <w:marBottom w:val="0"/>
      <w:divBdr>
        <w:top w:val="none" w:sz="0" w:space="0" w:color="auto"/>
        <w:left w:val="none" w:sz="0" w:space="0" w:color="auto"/>
        <w:bottom w:val="none" w:sz="0" w:space="0" w:color="auto"/>
        <w:right w:val="none" w:sz="0" w:space="0" w:color="auto"/>
      </w:divBdr>
    </w:div>
    <w:div w:id="869269717">
      <w:bodyDiv w:val="1"/>
      <w:marLeft w:val="0"/>
      <w:marRight w:val="0"/>
      <w:marTop w:val="0"/>
      <w:marBottom w:val="0"/>
      <w:divBdr>
        <w:top w:val="none" w:sz="0" w:space="0" w:color="auto"/>
        <w:left w:val="none" w:sz="0" w:space="0" w:color="auto"/>
        <w:bottom w:val="none" w:sz="0" w:space="0" w:color="auto"/>
        <w:right w:val="none" w:sz="0" w:space="0" w:color="auto"/>
      </w:divBdr>
    </w:div>
    <w:div w:id="880553697">
      <w:bodyDiv w:val="1"/>
      <w:marLeft w:val="0"/>
      <w:marRight w:val="0"/>
      <w:marTop w:val="0"/>
      <w:marBottom w:val="0"/>
      <w:divBdr>
        <w:top w:val="none" w:sz="0" w:space="0" w:color="auto"/>
        <w:left w:val="none" w:sz="0" w:space="0" w:color="auto"/>
        <w:bottom w:val="none" w:sz="0" w:space="0" w:color="auto"/>
        <w:right w:val="none" w:sz="0" w:space="0" w:color="auto"/>
      </w:divBdr>
    </w:div>
    <w:div w:id="880941852">
      <w:bodyDiv w:val="1"/>
      <w:marLeft w:val="0"/>
      <w:marRight w:val="0"/>
      <w:marTop w:val="0"/>
      <w:marBottom w:val="0"/>
      <w:divBdr>
        <w:top w:val="none" w:sz="0" w:space="0" w:color="auto"/>
        <w:left w:val="none" w:sz="0" w:space="0" w:color="auto"/>
        <w:bottom w:val="none" w:sz="0" w:space="0" w:color="auto"/>
        <w:right w:val="none" w:sz="0" w:space="0" w:color="auto"/>
      </w:divBdr>
    </w:div>
    <w:div w:id="886382301">
      <w:bodyDiv w:val="1"/>
      <w:marLeft w:val="0"/>
      <w:marRight w:val="0"/>
      <w:marTop w:val="0"/>
      <w:marBottom w:val="0"/>
      <w:divBdr>
        <w:top w:val="none" w:sz="0" w:space="0" w:color="auto"/>
        <w:left w:val="none" w:sz="0" w:space="0" w:color="auto"/>
        <w:bottom w:val="none" w:sz="0" w:space="0" w:color="auto"/>
        <w:right w:val="none" w:sz="0" w:space="0" w:color="auto"/>
      </w:divBdr>
    </w:div>
    <w:div w:id="892934537">
      <w:bodyDiv w:val="1"/>
      <w:marLeft w:val="0"/>
      <w:marRight w:val="0"/>
      <w:marTop w:val="0"/>
      <w:marBottom w:val="0"/>
      <w:divBdr>
        <w:top w:val="none" w:sz="0" w:space="0" w:color="auto"/>
        <w:left w:val="none" w:sz="0" w:space="0" w:color="auto"/>
        <w:bottom w:val="none" w:sz="0" w:space="0" w:color="auto"/>
        <w:right w:val="none" w:sz="0" w:space="0" w:color="auto"/>
      </w:divBdr>
    </w:div>
    <w:div w:id="900364383">
      <w:bodyDiv w:val="1"/>
      <w:marLeft w:val="0"/>
      <w:marRight w:val="0"/>
      <w:marTop w:val="0"/>
      <w:marBottom w:val="0"/>
      <w:divBdr>
        <w:top w:val="none" w:sz="0" w:space="0" w:color="auto"/>
        <w:left w:val="none" w:sz="0" w:space="0" w:color="auto"/>
        <w:bottom w:val="none" w:sz="0" w:space="0" w:color="auto"/>
        <w:right w:val="none" w:sz="0" w:space="0" w:color="auto"/>
      </w:divBdr>
    </w:div>
    <w:div w:id="902914593">
      <w:bodyDiv w:val="1"/>
      <w:marLeft w:val="0"/>
      <w:marRight w:val="0"/>
      <w:marTop w:val="0"/>
      <w:marBottom w:val="0"/>
      <w:divBdr>
        <w:top w:val="none" w:sz="0" w:space="0" w:color="auto"/>
        <w:left w:val="none" w:sz="0" w:space="0" w:color="auto"/>
        <w:bottom w:val="none" w:sz="0" w:space="0" w:color="auto"/>
        <w:right w:val="none" w:sz="0" w:space="0" w:color="auto"/>
      </w:divBdr>
    </w:div>
    <w:div w:id="905261220">
      <w:bodyDiv w:val="1"/>
      <w:marLeft w:val="0"/>
      <w:marRight w:val="0"/>
      <w:marTop w:val="0"/>
      <w:marBottom w:val="0"/>
      <w:divBdr>
        <w:top w:val="none" w:sz="0" w:space="0" w:color="auto"/>
        <w:left w:val="none" w:sz="0" w:space="0" w:color="auto"/>
        <w:bottom w:val="none" w:sz="0" w:space="0" w:color="auto"/>
        <w:right w:val="none" w:sz="0" w:space="0" w:color="auto"/>
      </w:divBdr>
    </w:div>
    <w:div w:id="909732049">
      <w:bodyDiv w:val="1"/>
      <w:marLeft w:val="0"/>
      <w:marRight w:val="0"/>
      <w:marTop w:val="0"/>
      <w:marBottom w:val="0"/>
      <w:divBdr>
        <w:top w:val="none" w:sz="0" w:space="0" w:color="auto"/>
        <w:left w:val="none" w:sz="0" w:space="0" w:color="auto"/>
        <w:bottom w:val="none" w:sz="0" w:space="0" w:color="auto"/>
        <w:right w:val="none" w:sz="0" w:space="0" w:color="auto"/>
      </w:divBdr>
    </w:div>
    <w:div w:id="913199961">
      <w:bodyDiv w:val="1"/>
      <w:marLeft w:val="0"/>
      <w:marRight w:val="0"/>
      <w:marTop w:val="0"/>
      <w:marBottom w:val="0"/>
      <w:divBdr>
        <w:top w:val="none" w:sz="0" w:space="0" w:color="auto"/>
        <w:left w:val="none" w:sz="0" w:space="0" w:color="auto"/>
        <w:bottom w:val="none" w:sz="0" w:space="0" w:color="auto"/>
        <w:right w:val="none" w:sz="0" w:space="0" w:color="auto"/>
      </w:divBdr>
    </w:div>
    <w:div w:id="916593387">
      <w:bodyDiv w:val="1"/>
      <w:marLeft w:val="0"/>
      <w:marRight w:val="0"/>
      <w:marTop w:val="0"/>
      <w:marBottom w:val="0"/>
      <w:divBdr>
        <w:top w:val="none" w:sz="0" w:space="0" w:color="auto"/>
        <w:left w:val="none" w:sz="0" w:space="0" w:color="auto"/>
        <w:bottom w:val="none" w:sz="0" w:space="0" w:color="auto"/>
        <w:right w:val="none" w:sz="0" w:space="0" w:color="auto"/>
      </w:divBdr>
    </w:div>
    <w:div w:id="919486161">
      <w:bodyDiv w:val="1"/>
      <w:marLeft w:val="0"/>
      <w:marRight w:val="0"/>
      <w:marTop w:val="0"/>
      <w:marBottom w:val="0"/>
      <w:divBdr>
        <w:top w:val="none" w:sz="0" w:space="0" w:color="auto"/>
        <w:left w:val="none" w:sz="0" w:space="0" w:color="auto"/>
        <w:bottom w:val="none" w:sz="0" w:space="0" w:color="auto"/>
        <w:right w:val="none" w:sz="0" w:space="0" w:color="auto"/>
      </w:divBdr>
    </w:div>
    <w:div w:id="921255992">
      <w:bodyDiv w:val="1"/>
      <w:marLeft w:val="0"/>
      <w:marRight w:val="0"/>
      <w:marTop w:val="0"/>
      <w:marBottom w:val="0"/>
      <w:divBdr>
        <w:top w:val="none" w:sz="0" w:space="0" w:color="auto"/>
        <w:left w:val="none" w:sz="0" w:space="0" w:color="auto"/>
        <w:bottom w:val="none" w:sz="0" w:space="0" w:color="auto"/>
        <w:right w:val="none" w:sz="0" w:space="0" w:color="auto"/>
      </w:divBdr>
    </w:div>
    <w:div w:id="922180308">
      <w:bodyDiv w:val="1"/>
      <w:marLeft w:val="0"/>
      <w:marRight w:val="0"/>
      <w:marTop w:val="0"/>
      <w:marBottom w:val="0"/>
      <w:divBdr>
        <w:top w:val="none" w:sz="0" w:space="0" w:color="auto"/>
        <w:left w:val="none" w:sz="0" w:space="0" w:color="auto"/>
        <w:bottom w:val="none" w:sz="0" w:space="0" w:color="auto"/>
        <w:right w:val="none" w:sz="0" w:space="0" w:color="auto"/>
      </w:divBdr>
    </w:div>
    <w:div w:id="923806304">
      <w:bodyDiv w:val="1"/>
      <w:marLeft w:val="0"/>
      <w:marRight w:val="0"/>
      <w:marTop w:val="0"/>
      <w:marBottom w:val="0"/>
      <w:divBdr>
        <w:top w:val="none" w:sz="0" w:space="0" w:color="auto"/>
        <w:left w:val="none" w:sz="0" w:space="0" w:color="auto"/>
        <w:bottom w:val="none" w:sz="0" w:space="0" w:color="auto"/>
        <w:right w:val="none" w:sz="0" w:space="0" w:color="auto"/>
      </w:divBdr>
    </w:div>
    <w:div w:id="938025789">
      <w:bodyDiv w:val="1"/>
      <w:marLeft w:val="0"/>
      <w:marRight w:val="0"/>
      <w:marTop w:val="0"/>
      <w:marBottom w:val="0"/>
      <w:divBdr>
        <w:top w:val="none" w:sz="0" w:space="0" w:color="auto"/>
        <w:left w:val="none" w:sz="0" w:space="0" w:color="auto"/>
        <w:bottom w:val="none" w:sz="0" w:space="0" w:color="auto"/>
        <w:right w:val="none" w:sz="0" w:space="0" w:color="auto"/>
      </w:divBdr>
    </w:div>
    <w:div w:id="939020973">
      <w:bodyDiv w:val="1"/>
      <w:marLeft w:val="0"/>
      <w:marRight w:val="0"/>
      <w:marTop w:val="0"/>
      <w:marBottom w:val="0"/>
      <w:divBdr>
        <w:top w:val="none" w:sz="0" w:space="0" w:color="auto"/>
        <w:left w:val="none" w:sz="0" w:space="0" w:color="auto"/>
        <w:bottom w:val="none" w:sz="0" w:space="0" w:color="auto"/>
        <w:right w:val="none" w:sz="0" w:space="0" w:color="auto"/>
      </w:divBdr>
    </w:div>
    <w:div w:id="941062631">
      <w:bodyDiv w:val="1"/>
      <w:marLeft w:val="0"/>
      <w:marRight w:val="0"/>
      <w:marTop w:val="0"/>
      <w:marBottom w:val="0"/>
      <w:divBdr>
        <w:top w:val="none" w:sz="0" w:space="0" w:color="auto"/>
        <w:left w:val="none" w:sz="0" w:space="0" w:color="auto"/>
        <w:bottom w:val="none" w:sz="0" w:space="0" w:color="auto"/>
        <w:right w:val="none" w:sz="0" w:space="0" w:color="auto"/>
      </w:divBdr>
    </w:div>
    <w:div w:id="941570344">
      <w:bodyDiv w:val="1"/>
      <w:marLeft w:val="0"/>
      <w:marRight w:val="0"/>
      <w:marTop w:val="0"/>
      <w:marBottom w:val="0"/>
      <w:divBdr>
        <w:top w:val="none" w:sz="0" w:space="0" w:color="auto"/>
        <w:left w:val="none" w:sz="0" w:space="0" w:color="auto"/>
        <w:bottom w:val="none" w:sz="0" w:space="0" w:color="auto"/>
        <w:right w:val="none" w:sz="0" w:space="0" w:color="auto"/>
      </w:divBdr>
    </w:div>
    <w:div w:id="951941315">
      <w:bodyDiv w:val="1"/>
      <w:marLeft w:val="0"/>
      <w:marRight w:val="0"/>
      <w:marTop w:val="0"/>
      <w:marBottom w:val="0"/>
      <w:divBdr>
        <w:top w:val="none" w:sz="0" w:space="0" w:color="auto"/>
        <w:left w:val="none" w:sz="0" w:space="0" w:color="auto"/>
        <w:bottom w:val="none" w:sz="0" w:space="0" w:color="auto"/>
        <w:right w:val="none" w:sz="0" w:space="0" w:color="auto"/>
      </w:divBdr>
    </w:div>
    <w:div w:id="957641679">
      <w:bodyDiv w:val="1"/>
      <w:marLeft w:val="0"/>
      <w:marRight w:val="0"/>
      <w:marTop w:val="0"/>
      <w:marBottom w:val="0"/>
      <w:divBdr>
        <w:top w:val="none" w:sz="0" w:space="0" w:color="auto"/>
        <w:left w:val="none" w:sz="0" w:space="0" w:color="auto"/>
        <w:bottom w:val="none" w:sz="0" w:space="0" w:color="auto"/>
        <w:right w:val="none" w:sz="0" w:space="0" w:color="auto"/>
      </w:divBdr>
    </w:div>
    <w:div w:id="966079954">
      <w:bodyDiv w:val="1"/>
      <w:marLeft w:val="0"/>
      <w:marRight w:val="0"/>
      <w:marTop w:val="0"/>
      <w:marBottom w:val="0"/>
      <w:divBdr>
        <w:top w:val="none" w:sz="0" w:space="0" w:color="auto"/>
        <w:left w:val="none" w:sz="0" w:space="0" w:color="auto"/>
        <w:bottom w:val="none" w:sz="0" w:space="0" w:color="auto"/>
        <w:right w:val="none" w:sz="0" w:space="0" w:color="auto"/>
      </w:divBdr>
    </w:div>
    <w:div w:id="973100812">
      <w:bodyDiv w:val="1"/>
      <w:marLeft w:val="0"/>
      <w:marRight w:val="0"/>
      <w:marTop w:val="0"/>
      <w:marBottom w:val="0"/>
      <w:divBdr>
        <w:top w:val="none" w:sz="0" w:space="0" w:color="auto"/>
        <w:left w:val="none" w:sz="0" w:space="0" w:color="auto"/>
        <w:bottom w:val="none" w:sz="0" w:space="0" w:color="auto"/>
        <w:right w:val="none" w:sz="0" w:space="0" w:color="auto"/>
      </w:divBdr>
    </w:div>
    <w:div w:id="974144417">
      <w:bodyDiv w:val="1"/>
      <w:marLeft w:val="0"/>
      <w:marRight w:val="0"/>
      <w:marTop w:val="0"/>
      <w:marBottom w:val="0"/>
      <w:divBdr>
        <w:top w:val="none" w:sz="0" w:space="0" w:color="auto"/>
        <w:left w:val="none" w:sz="0" w:space="0" w:color="auto"/>
        <w:bottom w:val="none" w:sz="0" w:space="0" w:color="auto"/>
        <w:right w:val="none" w:sz="0" w:space="0" w:color="auto"/>
      </w:divBdr>
    </w:div>
    <w:div w:id="981155659">
      <w:bodyDiv w:val="1"/>
      <w:marLeft w:val="0"/>
      <w:marRight w:val="0"/>
      <w:marTop w:val="0"/>
      <w:marBottom w:val="0"/>
      <w:divBdr>
        <w:top w:val="none" w:sz="0" w:space="0" w:color="auto"/>
        <w:left w:val="none" w:sz="0" w:space="0" w:color="auto"/>
        <w:bottom w:val="none" w:sz="0" w:space="0" w:color="auto"/>
        <w:right w:val="none" w:sz="0" w:space="0" w:color="auto"/>
      </w:divBdr>
    </w:div>
    <w:div w:id="992609415">
      <w:bodyDiv w:val="1"/>
      <w:marLeft w:val="0"/>
      <w:marRight w:val="0"/>
      <w:marTop w:val="0"/>
      <w:marBottom w:val="0"/>
      <w:divBdr>
        <w:top w:val="none" w:sz="0" w:space="0" w:color="auto"/>
        <w:left w:val="none" w:sz="0" w:space="0" w:color="auto"/>
        <w:bottom w:val="none" w:sz="0" w:space="0" w:color="auto"/>
        <w:right w:val="none" w:sz="0" w:space="0" w:color="auto"/>
      </w:divBdr>
    </w:div>
    <w:div w:id="993072970">
      <w:bodyDiv w:val="1"/>
      <w:marLeft w:val="0"/>
      <w:marRight w:val="0"/>
      <w:marTop w:val="0"/>
      <w:marBottom w:val="0"/>
      <w:divBdr>
        <w:top w:val="none" w:sz="0" w:space="0" w:color="auto"/>
        <w:left w:val="none" w:sz="0" w:space="0" w:color="auto"/>
        <w:bottom w:val="none" w:sz="0" w:space="0" w:color="auto"/>
        <w:right w:val="none" w:sz="0" w:space="0" w:color="auto"/>
      </w:divBdr>
    </w:div>
    <w:div w:id="1004934125">
      <w:bodyDiv w:val="1"/>
      <w:marLeft w:val="0"/>
      <w:marRight w:val="0"/>
      <w:marTop w:val="0"/>
      <w:marBottom w:val="0"/>
      <w:divBdr>
        <w:top w:val="none" w:sz="0" w:space="0" w:color="auto"/>
        <w:left w:val="none" w:sz="0" w:space="0" w:color="auto"/>
        <w:bottom w:val="none" w:sz="0" w:space="0" w:color="auto"/>
        <w:right w:val="none" w:sz="0" w:space="0" w:color="auto"/>
      </w:divBdr>
    </w:div>
    <w:div w:id="1007908322">
      <w:bodyDiv w:val="1"/>
      <w:marLeft w:val="0"/>
      <w:marRight w:val="0"/>
      <w:marTop w:val="0"/>
      <w:marBottom w:val="0"/>
      <w:divBdr>
        <w:top w:val="none" w:sz="0" w:space="0" w:color="auto"/>
        <w:left w:val="none" w:sz="0" w:space="0" w:color="auto"/>
        <w:bottom w:val="none" w:sz="0" w:space="0" w:color="auto"/>
        <w:right w:val="none" w:sz="0" w:space="0" w:color="auto"/>
      </w:divBdr>
    </w:div>
    <w:div w:id="1008212575">
      <w:bodyDiv w:val="1"/>
      <w:marLeft w:val="0"/>
      <w:marRight w:val="0"/>
      <w:marTop w:val="0"/>
      <w:marBottom w:val="0"/>
      <w:divBdr>
        <w:top w:val="none" w:sz="0" w:space="0" w:color="auto"/>
        <w:left w:val="none" w:sz="0" w:space="0" w:color="auto"/>
        <w:bottom w:val="none" w:sz="0" w:space="0" w:color="auto"/>
        <w:right w:val="none" w:sz="0" w:space="0" w:color="auto"/>
      </w:divBdr>
    </w:div>
    <w:div w:id="1008672655">
      <w:bodyDiv w:val="1"/>
      <w:marLeft w:val="0"/>
      <w:marRight w:val="0"/>
      <w:marTop w:val="0"/>
      <w:marBottom w:val="0"/>
      <w:divBdr>
        <w:top w:val="none" w:sz="0" w:space="0" w:color="auto"/>
        <w:left w:val="none" w:sz="0" w:space="0" w:color="auto"/>
        <w:bottom w:val="none" w:sz="0" w:space="0" w:color="auto"/>
        <w:right w:val="none" w:sz="0" w:space="0" w:color="auto"/>
      </w:divBdr>
    </w:div>
    <w:div w:id="1013268561">
      <w:bodyDiv w:val="1"/>
      <w:marLeft w:val="0"/>
      <w:marRight w:val="0"/>
      <w:marTop w:val="0"/>
      <w:marBottom w:val="0"/>
      <w:divBdr>
        <w:top w:val="none" w:sz="0" w:space="0" w:color="auto"/>
        <w:left w:val="none" w:sz="0" w:space="0" w:color="auto"/>
        <w:bottom w:val="none" w:sz="0" w:space="0" w:color="auto"/>
        <w:right w:val="none" w:sz="0" w:space="0" w:color="auto"/>
      </w:divBdr>
    </w:div>
    <w:div w:id="1031305314">
      <w:bodyDiv w:val="1"/>
      <w:marLeft w:val="0"/>
      <w:marRight w:val="0"/>
      <w:marTop w:val="0"/>
      <w:marBottom w:val="0"/>
      <w:divBdr>
        <w:top w:val="none" w:sz="0" w:space="0" w:color="auto"/>
        <w:left w:val="none" w:sz="0" w:space="0" w:color="auto"/>
        <w:bottom w:val="none" w:sz="0" w:space="0" w:color="auto"/>
        <w:right w:val="none" w:sz="0" w:space="0" w:color="auto"/>
      </w:divBdr>
    </w:div>
    <w:div w:id="1032681614">
      <w:bodyDiv w:val="1"/>
      <w:marLeft w:val="0"/>
      <w:marRight w:val="0"/>
      <w:marTop w:val="0"/>
      <w:marBottom w:val="0"/>
      <w:divBdr>
        <w:top w:val="none" w:sz="0" w:space="0" w:color="auto"/>
        <w:left w:val="none" w:sz="0" w:space="0" w:color="auto"/>
        <w:bottom w:val="none" w:sz="0" w:space="0" w:color="auto"/>
        <w:right w:val="none" w:sz="0" w:space="0" w:color="auto"/>
      </w:divBdr>
    </w:div>
    <w:div w:id="1046834215">
      <w:bodyDiv w:val="1"/>
      <w:marLeft w:val="0"/>
      <w:marRight w:val="0"/>
      <w:marTop w:val="0"/>
      <w:marBottom w:val="0"/>
      <w:divBdr>
        <w:top w:val="none" w:sz="0" w:space="0" w:color="auto"/>
        <w:left w:val="none" w:sz="0" w:space="0" w:color="auto"/>
        <w:bottom w:val="none" w:sz="0" w:space="0" w:color="auto"/>
        <w:right w:val="none" w:sz="0" w:space="0" w:color="auto"/>
      </w:divBdr>
    </w:div>
    <w:div w:id="1048260500">
      <w:bodyDiv w:val="1"/>
      <w:marLeft w:val="0"/>
      <w:marRight w:val="0"/>
      <w:marTop w:val="0"/>
      <w:marBottom w:val="0"/>
      <w:divBdr>
        <w:top w:val="none" w:sz="0" w:space="0" w:color="auto"/>
        <w:left w:val="none" w:sz="0" w:space="0" w:color="auto"/>
        <w:bottom w:val="none" w:sz="0" w:space="0" w:color="auto"/>
        <w:right w:val="none" w:sz="0" w:space="0" w:color="auto"/>
      </w:divBdr>
    </w:div>
    <w:div w:id="1049307333">
      <w:bodyDiv w:val="1"/>
      <w:marLeft w:val="0"/>
      <w:marRight w:val="0"/>
      <w:marTop w:val="0"/>
      <w:marBottom w:val="0"/>
      <w:divBdr>
        <w:top w:val="none" w:sz="0" w:space="0" w:color="auto"/>
        <w:left w:val="none" w:sz="0" w:space="0" w:color="auto"/>
        <w:bottom w:val="none" w:sz="0" w:space="0" w:color="auto"/>
        <w:right w:val="none" w:sz="0" w:space="0" w:color="auto"/>
      </w:divBdr>
    </w:div>
    <w:div w:id="1059862211">
      <w:bodyDiv w:val="1"/>
      <w:marLeft w:val="0"/>
      <w:marRight w:val="0"/>
      <w:marTop w:val="0"/>
      <w:marBottom w:val="0"/>
      <w:divBdr>
        <w:top w:val="none" w:sz="0" w:space="0" w:color="auto"/>
        <w:left w:val="none" w:sz="0" w:space="0" w:color="auto"/>
        <w:bottom w:val="none" w:sz="0" w:space="0" w:color="auto"/>
        <w:right w:val="none" w:sz="0" w:space="0" w:color="auto"/>
      </w:divBdr>
    </w:div>
    <w:div w:id="1066027030">
      <w:bodyDiv w:val="1"/>
      <w:marLeft w:val="0"/>
      <w:marRight w:val="0"/>
      <w:marTop w:val="0"/>
      <w:marBottom w:val="0"/>
      <w:divBdr>
        <w:top w:val="none" w:sz="0" w:space="0" w:color="auto"/>
        <w:left w:val="none" w:sz="0" w:space="0" w:color="auto"/>
        <w:bottom w:val="none" w:sz="0" w:space="0" w:color="auto"/>
        <w:right w:val="none" w:sz="0" w:space="0" w:color="auto"/>
      </w:divBdr>
    </w:div>
    <w:div w:id="1070616960">
      <w:bodyDiv w:val="1"/>
      <w:marLeft w:val="0"/>
      <w:marRight w:val="0"/>
      <w:marTop w:val="0"/>
      <w:marBottom w:val="0"/>
      <w:divBdr>
        <w:top w:val="none" w:sz="0" w:space="0" w:color="auto"/>
        <w:left w:val="none" w:sz="0" w:space="0" w:color="auto"/>
        <w:bottom w:val="none" w:sz="0" w:space="0" w:color="auto"/>
        <w:right w:val="none" w:sz="0" w:space="0" w:color="auto"/>
      </w:divBdr>
    </w:div>
    <w:div w:id="1071274214">
      <w:bodyDiv w:val="1"/>
      <w:marLeft w:val="0"/>
      <w:marRight w:val="0"/>
      <w:marTop w:val="0"/>
      <w:marBottom w:val="0"/>
      <w:divBdr>
        <w:top w:val="none" w:sz="0" w:space="0" w:color="auto"/>
        <w:left w:val="none" w:sz="0" w:space="0" w:color="auto"/>
        <w:bottom w:val="none" w:sz="0" w:space="0" w:color="auto"/>
        <w:right w:val="none" w:sz="0" w:space="0" w:color="auto"/>
      </w:divBdr>
    </w:div>
    <w:div w:id="1083189030">
      <w:bodyDiv w:val="1"/>
      <w:marLeft w:val="0"/>
      <w:marRight w:val="0"/>
      <w:marTop w:val="0"/>
      <w:marBottom w:val="0"/>
      <w:divBdr>
        <w:top w:val="none" w:sz="0" w:space="0" w:color="auto"/>
        <w:left w:val="none" w:sz="0" w:space="0" w:color="auto"/>
        <w:bottom w:val="none" w:sz="0" w:space="0" w:color="auto"/>
        <w:right w:val="none" w:sz="0" w:space="0" w:color="auto"/>
      </w:divBdr>
    </w:div>
    <w:div w:id="1087384942">
      <w:bodyDiv w:val="1"/>
      <w:marLeft w:val="0"/>
      <w:marRight w:val="0"/>
      <w:marTop w:val="0"/>
      <w:marBottom w:val="0"/>
      <w:divBdr>
        <w:top w:val="none" w:sz="0" w:space="0" w:color="auto"/>
        <w:left w:val="none" w:sz="0" w:space="0" w:color="auto"/>
        <w:bottom w:val="none" w:sz="0" w:space="0" w:color="auto"/>
        <w:right w:val="none" w:sz="0" w:space="0" w:color="auto"/>
      </w:divBdr>
    </w:div>
    <w:div w:id="1092435549">
      <w:bodyDiv w:val="1"/>
      <w:marLeft w:val="0"/>
      <w:marRight w:val="0"/>
      <w:marTop w:val="0"/>
      <w:marBottom w:val="0"/>
      <w:divBdr>
        <w:top w:val="none" w:sz="0" w:space="0" w:color="auto"/>
        <w:left w:val="none" w:sz="0" w:space="0" w:color="auto"/>
        <w:bottom w:val="none" w:sz="0" w:space="0" w:color="auto"/>
        <w:right w:val="none" w:sz="0" w:space="0" w:color="auto"/>
      </w:divBdr>
    </w:div>
    <w:div w:id="1099330124">
      <w:bodyDiv w:val="1"/>
      <w:marLeft w:val="0"/>
      <w:marRight w:val="0"/>
      <w:marTop w:val="0"/>
      <w:marBottom w:val="0"/>
      <w:divBdr>
        <w:top w:val="none" w:sz="0" w:space="0" w:color="auto"/>
        <w:left w:val="none" w:sz="0" w:space="0" w:color="auto"/>
        <w:bottom w:val="none" w:sz="0" w:space="0" w:color="auto"/>
        <w:right w:val="none" w:sz="0" w:space="0" w:color="auto"/>
      </w:divBdr>
    </w:div>
    <w:div w:id="1099522123">
      <w:bodyDiv w:val="1"/>
      <w:marLeft w:val="0"/>
      <w:marRight w:val="0"/>
      <w:marTop w:val="0"/>
      <w:marBottom w:val="0"/>
      <w:divBdr>
        <w:top w:val="none" w:sz="0" w:space="0" w:color="auto"/>
        <w:left w:val="none" w:sz="0" w:space="0" w:color="auto"/>
        <w:bottom w:val="none" w:sz="0" w:space="0" w:color="auto"/>
        <w:right w:val="none" w:sz="0" w:space="0" w:color="auto"/>
      </w:divBdr>
    </w:div>
    <w:div w:id="1103498636">
      <w:bodyDiv w:val="1"/>
      <w:marLeft w:val="0"/>
      <w:marRight w:val="0"/>
      <w:marTop w:val="0"/>
      <w:marBottom w:val="0"/>
      <w:divBdr>
        <w:top w:val="none" w:sz="0" w:space="0" w:color="auto"/>
        <w:left w:val="none" w:sz="0" w:space="0" w:color="auto"/>
        <w:bottom w:val="none" w:sz="0" w:space="0" w:color="auto"/>
        <w:right w:val="none" w:sz="0" w:space="0" w:color="auto"/>
      </w:divBdr>
    </w:div>
    <w:div w:id="1107627573">
      <w:bodyDiv w:val="1"/>
      <w:marLeft w:val="0"/>
      <w:marRight w:val="0"/>
      <w:marTop w:val="0"/>
      <w:marBottom w:val="0"/>
      <w:divBdr>
        <w:top w:val="none" w:sz="0" w:space="0" w:color="auto"/>
        <w:left w:val="none" w:sz="0" w:space="0" w:color="auto"/>
        <w:bottom w:val="none" w:sz="0" w:space="0" w:color="auto"/>
        <w:right w:val="none" w:sz="0" w:space="0" w:color="auto"/>
      </w:divBdr>
    </w:div>
    <w:div w:id="1110513198">
      <w:bodyDiv w:val="1"/>
      <w:marLeft w:val="0"/>
      <w:marRight w:val="0"/>
      <w:marTop w:val="0"/>
      <w:marBottom w:val="0"/>
      <w:divBdr>
        <w:top w:val="none" w:sz="0" w:space="0" w:color="auto"/>
        <w:left w:val="none" w:sz="0" w:space="0" w:color="auto"/>
        <w:bottom w:val="none" w:sz="0" w:space="0" w:color="auto"/>
        <w:right w:val="none" w:sz="0" w:space="0" w:color="auto"/>
      </w:divBdr>
    </w:div>
    <w:div w:id="1110927276">
      <w:bodyDiv w:val="1"/>
      <w:marLeft w:val="0"/>
      <w:marRight w:val="0"/>
      <w:marTop w:val="0"/>
      <w:marBottom w:val="0"/>
      <w:divBdr>
        <w:top w:val="none" w:sz="0" w:space="0" w:color="auto"/>
        <w:left w:val="none" w:sz="0" w:space="0" w:color="auto"/>
        <w:bottom w:val="none" w:sz="0" w:space="0" w:color="auto"/>
        <w:right w:val="none" w:sz="0" w:space="0" w:color="auto"/>
      </w:divBdr>
    </w:div>
    <w:div w:id="1125274088">
      <w:bodyDiv w:val="1"/>
      <w:marLeft w:val="0"/>
      <w:marRight w:val="0"/>
      <w:marTop w:val="0"/>
      <w:marBottom w:val="0"/>
      <w:divBdr>
        <w:top w:val="none" w:sz="0" w:space="0" w:color="auto"/>
        <w:left w:val="none" w:sz="0" w:space="0" w:color="auto"/>
        <w:bottom w:val="none" w:sz="0" w:space="0" w:color="auto"/>
        <w:right w:val="none" w:sz="0" w:space="0" w:color="auto"/>
      </w:divBdr>
    </w:div>
    <w:div w:id="1125999538">
      <w:bodyDiv w:val="1"/>
      <w:marLeft w:val="0"/>
      <w:marRight w:val="0"/>
      <w:marTop w:val="0"/>
      <w:marBottom w:val="0"/>
      <w:divBdr>
        <w:top w:val="none" w:sz="0" w:space="0" w:color="auto"/>
        <w:left w:val="none" w:sz="0" w:space="0" w:color="auto"/>
        <w:bottom w:val="none" w:sz="0" w:space="0" w:color="auto"/>
        <w:right w:val="none" w:sz="0" w:space="0" w:color="auto"/>
      </w:divBdr>
    </w:div>
    <w:div w:id="1127893189">
      <w:bodyDiv w:val="1"/>
      <w:marLeft w:val="0"/>
      <w:marRight w:val="0"/>
      <w:marTop w:val="0"/>
      <w:marBottom w:val="0"/>
      <w:divBdr>
        <w:top w:val="none" w:sz="0" w:space="0" w:color="auto"/>
        <w:left w:val="none" w:sz="0" w:space="0" w:color="auto"/>
        <w:bottom w:val="none" w:sz="0" w:space="0" w:color="auto"/>
        <w:right w:val="none" w:sz="0" w:space="0" w:color="auto"/>
      </w:divBdr>
    </w:div>
    <w:div w:id="1128662990">
      <w:bodyDiv w:val="1"/>
      <w:marLeft w:val="0"/>
      <w:marRight w:val="0"/>
      <w:marTop w:val="0"/>
      <w:marBottom w:val="0"/>
      <w:divBdr>
        <w:top w:val="none" w:sz="0" w:space="0" w:color="auto"/>
        <w:left w:val="none" w:sz="0" w:space="0" w:color="auto"/>
        <w:bottom w:val="none" w:sz="0" w:space="0" w:color="auto"/>
        <w:right w:val="none" w:sz="0" w:space="0" w:color="auto"/>
      </w:divBdr>
    </w:div>
    <w:div w:id="1134249980">
      <w:bodyDiv w:val="1"/>
      <w:marLeft w:val="0"/>
      <w:marRight w:val="0"/>
      <w:marTop w:val="0"/>
      <w:marBottom w:val="0"/>
      <w:divBdr>
        <w:top w:val="none" w:sz="0" w:space="0" w:color="auto"/>
        <w:left w:val="none" w:sz="0" w:space="0" w:color="auto"/>
        <w:bottom w:val="none" w:sz="0" w:space="0" w:color="auto"/>
        <w:right w:val="none" w:sz="0" w:space="0" w:color="auto"/>
      </w:divBdr>
    </w:div>
    <w:div w:id="1143427598">
      <w:bodyDiv w:val="1"/>
      <w:marLeft w:val="0"/>
      <w:marRight w:val="0"/>
      <w:marTop w:val="0"/>
      <w:marBottom w:val="0"/>
      <w:divBdr>
        <w:top w:val="none" w:sz="0" w:space="0" w:color="auto"/>
        <w:left w:val="none" w:sz="0" w:space="0" w:color="auto"/>
        <w:bottom w:val="none" w:sz="0" w:space="0" w:color="auto"/>
        <w:right w:val="none" w:sz="0" w:space="0" w:color="auto"/>
      </w:divBdr>
    </w:div>
    <w:div w:id="1146162320">
      <w:bodyDiv w:val="1"/>
      <w:marLeft w:val="0"/>
      <w:marRight w:val="0"/>
      <w:marTop w:val="0"/>
      <w:marBottom w:val="0"/>
      <w:divBdr>
        <w:top w:val="none" w:sz="0" w:space="0" w:color="auto"/>
        <w:left w:val="none" w:sz="0" w:space="0" w:color="auto"/>
        <w:bottom w:val="none" w:sz="0" w:space="0" w:color="auto"/>
        <w:right w:val="none" w:sz="0" w:space="0" w:color="auto"/>
      </w:divBdr>
    </w:div>
    <w:div w:id="1147631130">
      <w:bodyDiv w:val="1"/>
      <w:marLeft w:val="0"/>
      <w:marRight w:val="0"/>
      <w:marTop w:val="0"/>
      <w:marBottom w:val="0"/>
      <w:divBdr>
        <w:top w:val="none" w:sz="0" w:space="0" w:color="auto"/>
        <w:left w:val="none" w:sz="0" w:space="0" w:color="auto"/>
        <w:bottom w:val="none" w:sz="0" w:space="0" w:color="auto"/>
        <w:right w:val="none" w:sz="0" w:space="0" w:color="auto"/>
      </w:divBdr>
    </w:div>
    <w:div w:id="1155605521">
      <w:bodyDiv w:val="1"/>
      <w:marLeft w:val="0"/>
      <w:marRight w:val="0"/>
      <w:marTop w:val="0"/>
      <w:marBottom w:val="0"/>
      <w:divBdr>
        <w:top w:val="none" w:sz="0" w:space="0" w:color="auto"/>
        <w:left w:val="none" w:sz="0" w:space="0" w:color="auto"/>
        <w:bottom w:val="none" w:sz="0" w:space="0" w:color="auto"/>
        <w:right w:val="none" w:sz="0" w:space="0" w:color="auto"/>
      </w:divBdr>
    </w:div>
    <w:div w:id="1157654094">
      <w:bodyDiv w:val="1"/>
      <w:marLeft w:val="0"/>
      <w:marRight w:val="0"/>
      <w:marTop w:val="0"/>
      <w:marBottom w:val="0"/>
      <w:divBdr>
        <w:top w:val="none" w:sz="0" w:space="0" w:color="auto"/>
        <w:left w:val="none" w:sz="0" w:space="0" w:color="auto"/>
        <w:bottom w:val="none" w:sz="0" w:space="0" w:color="auto"/>
        <w:right w:val="none" w:sz="0" w:space="0" w:color="auto"/>
      </w:divBdr>
    </w:div>
    <w:div w:id="1159417103">
      <w:bodyDiv w:val="1"/>
      <w:marLeft w:val="0"/>
      <w:marRight w:val="0"/>
      <w:marTop w:val="0"/>
      <w:marBottom w:val="0"/>
      <w:divBdr>
        <w:top w:val="none" w:sz="0" w:space="0" w:color="auto"/>
        <w:left w:val="none" w:sz="0" w:space="0" w:color="auto"/>
        <w:bottom w:val="none" w:sz="0" w:space="0" w:color="auto"/>
        <w:right w:val="none" w:sz="0" w:space="0" w:color="auto"/>
      </w:divBdr>
    </w:div>
    <w:div w:id="1164979952">
      <w:bodyDiv w:val="1"/>
      <w:marLeft w:val="0"/>
      <w:marRight w:val="0"/>
      <w:marTop w:val="0"/>
      <w:marBottom w:val="0"/>
      <w:divBdr>
        <w:top w:val="none" w:sz="0" w:space="0" w:color="auto"/>
        <w:left w:val="none" w:sz="0" w:space="0" w:color="auto"/>
        <w:bottom w:val="none" w:sz="0" w:space="0" w:color="auto"/>
        <w:right w:val="none" w:sz="0" w:space="0" w:color="auto"/>
      </w:divBdr>
    </w:div>
    <w:div w:id="1182815202">
      <w:bodyDiv w:val="1"/>
      <w:marLeft w:val="0"/>
      <w:marRight w:val="0"/>
      <w:marTop w:val="0"/>
      <w:marBottom w:val="0"/>
      <w:divBdr>
        <w:top w:val="none" w:sz="0" w:space="0" w:color="auto"/>
        <w:left w:val="none" w:sz="0" w:space="0" w:color="auto"/>
        <w:bottom w:val="none" w:sz="0" w:space="0" w:color="auto"/>
        <w:right w:val="none" w:sz="0" w:space="0" w:color="auto"/>
      </w:divBdr>
    </w:div>
    <w:div w:id="1183714058">
      <w:bodyDiv w:val="1"/>
      <w:marLeft w:val="0"/>
      <w:marRight w:val="0"/>
      <w:marTop w:val="0"/>
      <w:marBottom w:val="0"/>
      <w:divBdr>
        <w:top w:val="none" w:sz="0" w:space="0" w:color="auto"/>
        <w:left w:val="none" w:sz="0" w:space="0" w:color="auto"/>
        <w:bottom w:val="none" w:sz="0" w:space="0" w:color="auto"/>
        <w:right w:val="none" w:sz="0" w:space="0" w:color="auto"/>
      </w:divBdr>
    </w:div>
    <w:div w:id="1187448632">
      <w:bodyDiv w:val="1"/>
      <w:marLeft w:val="0"/>
      <w:marRight w:val="0"/>
      <w:marTop w:val="0"/>
      <w:marBottom w:val="0"/>
      <w:divBdr>
        <w:top w:val="none" w:sz="0" w:space="0" w:color="auto"/>
        <w:left w:val="none" w:sz="0" w:space="0" w:color="auto"/>
        <w:bottom w:val="none" w:sz="0" w:space="0" w:color="auto"/>
        <w:right w:val="none" w:sz="0" w:space="0" w:color="auto"/>
      </w:divBdr>
    </w:div>
    <w:div w:id="1188178897">
      <w:bodyDiv w:val="1"/>
      <w:marLeft w:val="0"/>
      <w:marRight w:val="0"/>
      <w:marTop w:val="0"/>
      <w:marBottom w:val="0"/>
      <w:divBdr>
        <w:top w:val="none" w:sz="0" w:space="0" w:color="auto"/>
        <w:left w:val="none" w:sz="0" w:space="0" w:color="auto"/>
        <w:bottom w:val="none" w:sz="0" w:space="0" w:color="auto"/>
        <w:right w:val="none" w:sz="0" w:space="0" w:color="auto"/>
      </w:divBdr>
    </w:div>
    <w:div w:id="1192187298">
      <w:bodyDiv w:val="1"/>
      <w:marLeft w:val="0"/>
      <w:marRight w:val="0"/>
      <w:marTop w:val="0"/>
      <w:marBottom w:val="0"/>
      <w:divBdr>
        <w:top w:val="none" w:sz="0" w:space="0" w:color="auto"/>
        <w:left w:val="none" w:sz="0" w:space="0" w:color="auto"/>
        <w:bottom w:val="none" w:sz="0" w:space="0" w:color="auto"/>
        <w:right w:val="none" w:sz="0" w:space="0" w:color="auto"/>
      </w:divBdr>
    </w:div>
    <w:div w:id="1207178311">
      <w:bodyDiv w:val="1"/>
      <w:marLeft w:val="0"/>
      <w:marRight w:val="0"/>
      <w:marTop w:val="0"/>
      <w:marBottom w:val="0"/>
      <w:divBdr>
        <w:top w:val="none" w:sz="0" w:space="0" w:color="auto"/>
        <w:left w:val="none" w:sz="0" w:space="0" w:color="auto"/>
        <w:bottom w:val="none" w:sz="0" w:space="0" w:color="auto"/>
        <w:right w:val="none" w:sz="0" w:space="0" w:color="auto"/>
      </w:divBdr>
    </w:div>
    <w:div w:id="1209950737">
      <w:bodyDiv w:val="1"/>
      <w:marLeft w:val="0"/>
      <w:marRight w:val="0"/>
      <w:marTop w:val="0"/>
      <w:marBottom w:val="0"/>
      <w:divBdr>
        <w:top w:val="none" w:sz="0" w:space="0" w:color="auto"/>
        <w:left w:val="none" w:sz="0" w:space="0" w:color="auto"/>
        <w:bottom w:val="none" w:sz="0" w:space="0" w:color="auto"/>
        <w:right w:val="none" w:sz="0" w:space="0" w:color="auto"/>
      </w:divBdr>
    </w:div>
    <w:div w:id="1213615746">
      <w:bodyDiv w:val="1"/>
      <w:marLeft w:val="0"/>
      <w:marRight w:val="0"/>
      <w:marTop w:val="0"/>
      <w:marBottom w:val="0"/>
      <w:divBdr>
        <w:top w:val="none" w:sz="0" w:space="0" w:color="auto"/>
        <w:left w:val="none" w:sz="0" w:space="0" w:color="auto"/>
        <w:bottom w:val="none" w:sz="0" w:space="0" w:color="auto"/>
        <w:right w:val="none" w:sz="0" w:space="0" w:color="auto"/>
      </w:divBdr>
    </w:div>
    <w:div w:id="1218708906">
      <w:bodyDiv w:val="1"/>
      <w:marLeft w:val="0"/>
      <w:marRight w:val="0"/>
      <w:marTop w:val="0"/>
      <w:marBottom w:val="0"/>
      <w:divBdr>
        <w:top w:val="none" w:sz="0" w:space="0" w:color="auto"/>
        <w:left w:val="none" w:sz="0" w:space="0" w:color="auto"/>
        <w:bottom w:val="none" w:sz="0" w:space="0" w:color="auto"/>
        <w:right w:val="none" w:sz="0" w:space="0" w:color="auto"/>
      </w:divBdr>
    </w:div>
    <w:div w:id="1219973956">
      <w:bodyDiv w:val="1"/>
      <w:marLeft w:val="0"/>
      <w:marRight w:val="0"/>
      <w:marTop w:val="0"/>
      <w:marBottom w:val="0"/>
      <w:divBdr>
        <w:top w:val="none" w:sz="0" w:space="0" w:color="auto"/>
        <w:left w:val="none" w:sz="0" w:space="0" w:color="auto"/>
        <w:bottom w:val="none" w:sz="0" w:space="0" w:color="auto"/>
        <w:right w:val="none" w:sz="0" w:space="0" w:color="auto"/>
      </w:divBdr>
    </w:div>
    <w:div w:id="1227106326">
      <w:bodyDiv w:val="1"/>
      <w:marLeft w:val="0"/>
      <w:marRight w:val="0"/>
      <w:marTop w:val="0"/>
      <w:marBottom w:val="0"/>
      <w:divBdr>
        <w:top w:val="none" w:sz="0" w:space="0" w:color="auto"/>
        <w:left w:val="none" w:sz="0" w:space="0" w:color="auto"/>
        <w:bottom w:val="none" w:sz="0" w:space="0" w:color="auto"/>
        <w:right w:val="none" w:sz="0" w:space="0" w:color="auto"/>
      </w:divBdr>
    </w:div>
    <w:div w:id="1235697387">
      <w:bodyDiv w:val="1"/>
      <w:marLeft w:val="0"/>
      <w:marRight w:val="0"/>
      <w:marTop w:val="0"/>
      <w:marBottom w:val="0"/>
      <w:divBdr>
        <w:top w:val="none" w:sz="0" w:space="0" w:color="auto"/>
        <w:left w:val="none" w:sz="0" w:space="0" w:color="auto"/>
        <w:bottom w:val="none" w:sz="0" w:space="0" w:color="auto"/>
        <w:right w:val="none" w:sz="0" w:space="0" w:color="auto"/>
      </w:divBdr>
    </w:div>
    <w:div w:id="1253204070">
      <w:bodyDiv w:val="1"/>
      <w:marLeft w:val="0"/>
      <w:marRight w:val="0"/>
      <w:marTop w:val="0"/>
      <w:marBottom w:val="0"/>
      <w:divBdr>
        <w:top w:val="none" w:sz="0" w:space="0" w:color="auto"/>
        <w:left w:val="none" w:sz="0" w:space="0" w:color="auto"/>
        <w:bottom w:val="none" w:sz="0" w:space="0" w:color="auto"/>
        <w:right w:val="none" w:sz="0" w:space="0" w:color="auto"/>
      </w:divBdr>
    </w:div>
    <w:div w:id="1257443023">
      <w:bodyDiv w:val="1"/>
      <w:marLeft w:val="0"/>
      <w:marRight w:val="0"/>
      <w:marTop w:val="0"/>
      <w:marBottom w:val="0"/>
      <w:divBdr>
        <w:top w:val="none" w:sz="0" w:space="0" w:color="auto"/>
        <w:left w:val="none" w:sz="0" w:space="0" w:color="auto"/>
        <w:bottom w:val="none" w:sz="0" w:space="0" w:color="auto"/>
        <w:right w:val="none" w:sz="0" w:space="0" w:color="auto"/>
      </w:divBdr>
    </w:div>
    <w:div w:id="1258752422">
      <w:bodyDiv w:val="1"/>
      <w:marLeft w:val="0"/>
      <w:marRight w:val="0"/>
      <w:marTop w:val="0"/>
      <w:marBottom w:val="0"/>
      <w:divBdr>
        <w:top w:val="none" w:sz="0" w:space="0" w:color="auto"/>
        <w:left w:val="none" w:sz="0" w:space="0" w:color="auto"/>
        <w:bottom w:val="none" w:sz="0" w:space="0" w:color="auto"/>
        <w:right w:val="none" w:sz="0" w:space="0" w:color="auto"/>
      </w:divBdr>
    </w:div>
    <w:div w:id="1266615131">
      <w:bodyDiv w:val="1"/>
      <w:marLeft w:val="0"/>
      <w:marRight w:val="0"/>
      <w:marTop w:val="0"/>
      <w:marBottom w:val="0"/>
      <w:divBdr>
        <w:top w:val="none" w:sz="0" w:space="0" w:color="auto"/>
        <w:left w:val="none" w:sz="0" w:space="0" w:color="auto"/>
        <w:bottom w:val="none" w:sz="0" w:space="0" w:color="auto"/>
        <w:right w:val="none" w:sz="0" w:space="0" w:color="auto"/>
      </w:divBdr>
    </w:div>
    <w:div w:id="1277903104">
      <w:bodyDiv w:val="1"/>
      <w:marLeft w:val="0"/>
      <w:marRight w:val="0"/>
      <w:marTop w:val="0"/>
      <w:marBottom w:val="0"/>
      <w:divBdr>
        <w:top w:val="none" w:sz="0" w:space="0" w:color="auto"/>
        <w:left w:val="none" w:sz="0" w:space="0" w:color="auto"/>
        <w:bottom w:val="none" w:sz="0" w:space="0" w:color="auto"/>
        <w:right w:val="none" w:sz="0" w:space="0" w:color="auto"/>
      </w:divBdr>
    </w:div>
    <w:div w:id="1280456139">
      <w:bodyDiv w:val="1"/>
      <w:marLeft w:val="0"/>
      <w:marRight w:val="0"/>
      <w:marTop w:val="0"/>
      <w:marBottom w:val="0"/>
      <w:divBdr>
        <w:top w:val="none" w:sz="0" w:space="0" w:color="auto"/>
        <w:left w:val="none" w:sz="0" w:space="0" w:color="auto"/>
        <w:bottom w:val="none" w:sz="0" w:space="0" w:color="auto"/>
        <w:right w:val="none" w:sz="0" w:space="0" w:color="auto"/>
      </w:divBdr>
    </w:div>
    <w:div w:id="1281034082">
      <w:bodyDiv w:val="1"/>
      <w:marLeft w:val="0"/>
      <w:marRight w:val="0"/>
      <w:marTop w:val="0"/>
      <w:marBottom w:val="0"/>
      <w:divBdr>
        <w:top w:val="none" w:sz="0" w:space="0" w:color="auto"/>
        <w:left w:val="none" w:sz="0" w:space="0" w:color="auto"/>
        <w:bottom w:val="none" w:sz="0" w:space="0" w:color="auto"/>
        <w:right w:val="none" w:sz="0" w:space="0" w:color="auto"/>
      </w:divBdr>
    </w:div>
    <w:div w:id="1286472042">
      <w:bodyDiv w:val="1"/>
      <w:marLeft w:val="0"/>
      <w:marRight w:val="0"/>
      <w:marTop w:val="0"/>
      <w:marBottom w:val="0"/>
      <w:divBdr>
        <w:top w:val="none" w:sz="0" w:space="0" w:color="auto"/>
        <w:left w:val="none" w:sz="0" w:space="0" w:color="auto"/>
        <w:bottom w:val="none" w:sz="0" w:space="0" w:color="auto"/>
        <w:right w:val="none" w:sz="0" w:space="0" w:color="auto"/>
      </w:divBdr>
    </w:div>
    <w:div w:id="1296909971">
      <w:bodyDiv w:val="1"/>
      <w:marLeft w:val="0"/>
      <w:marRight w:val="0"/>
      <w:marTop w:val="0"/>
      <w:marBottom w:val="0"/>
      <w:divBdr>
        <w:top w:val="none" w:sz="0" w:space="0" w:color="auto"/>
        <w:left w:val="none" w:sz="0" w:space="0" w:color="auto"/>
        <w:bottom w:val="none" w:sz="0" w:space="0" w:color="auto"/>
        <w:right w:val="none" w:sz="0" w:space="0" w:color="auto"/>
      </w:divBdr>
    </w:div>
    <w:div w:id="1301570664">
      <w:bodyDiv w:val="1"/>
      <w:marLeft w:val="0"/>
      <w:marRight w:val="0"/>
      <w:marTop w:val="0"/>
      <w:marBottom w:val="0"/>
      <w:divBdr>
        <w:top w:val="none" w:sz="0" w:space="0" w:color="auto"/>
        <w:left w:val="none" w:sz="0" w:space="0" w:color="auto"/>
        <w:bottom w:val="none" w:sz="0" w:space="0" w:color="auto"/>
        <w:right w:val="none" w:sz="0" w:space="0" w:color="auto"/>
      </w:divBdr>
    </w:div>
    <w:div w:id="1311406387">
      <w:bodyDiv w:val="1"/>
      <w:marLeft w:val="0"/>
      <w:marRight w:val="0"/>
      <w:marTop w:val="0"/>
      <w:marBottom w:val="0"/>
      <w:divBdr>
        <w:top w:val="none" w:sz="0" w:space="0" w:color="auto"/>
        <w:left w:val="none" w:sz="0" w:space="0" w:color="auto"/>
        <w:bottom w:val="none" w:sz="0" w:space="0" w:color="auto"/>
        <w:right w:val="none" w:sz="0" w:space="0" w:color="auto"/>
      </w:divBdr>
    </w:div>
    <w:div w:id="1313408961">
      <w:bodyDiv w:val="1"/>
      <w:marLeft w:val="0"/>
      <w:marRight w:val="0"/>
      <w:marTop w:val="0"/>
      <w:marBottom w:val="0"/>
      <w:divBdr>
        <w:top w:val="none" w:sz="0" w:space="0" w:color="auto"/>
        <w:left w:val="none" w:sz="0" w:space="0" w:color="auto"/>
        <w:bottom w:val="none" w:sz="0" w:space="0" w:color="auto"/>
        <w:right w:val="none" w:sz="0" w:space="0" w:color="auto"/>
      </w:divBdr>
    </w:div>
    <w:div w:id="1314022515">
      <w:bodyDiv w:val="1"/>
      <w:marLeft w:val="0"/>
      <w:marRight w:val="0"/>
      <w:marTop w:val="0"/>
      <w:marBottom w:val="0"/>
      <w:divBdr>
        <w:top w:val="none" w:sz="0" w:space="0" w:color="auto"/>
        <w:left w:val="none" w:sz="0" w:space="0" w:color="auto"/>
        <w:bottom w:val="none" w:sz="0" w:space="0" w:color="auto"/>
        <w:right w:val="none" w:sz="0" w:space="0" w:color="auto"/>
      </w:divBdr>
    </w:div>
    <w:div w:id="1318221904">
      <w:bodyDiv w:val="1"/>
      <w:marLeft w:val="0"/>
      <w:marRight w:val="0"/>
      <w:marTop w:val="0"/>
      <w:marBottom w:val="0"/>
      <w:divBdr>
        <w:top w:val="none" w:sz="0" w:space="0" w:color="auto"/>
        <w:left w:val="none" w:sz="0" w:space="0" w:color="auto"/>
        <w:bottom w:val="none" w:sz="0" w:space="0" w:color="auto"/>
        <w:right w:val="none" w:sz="0" w:space="0" w:color="auto"/>
      </w:divBdr>
    </w:div>
    <w:div w:id="1319114450">
      <w:bodyDiv w:val="1"/>
      <w:marLeft w:val="0"/>
      <w:marRight w:val="0"/>
      <w:marTop w:val="0"/>
      <w:marBottom w:val="0"/>
      <w:divBdr>
        <w:top w:val="none" w:sz="0" w:space="0" w:color="auto"/>
        <w:left w:val="none" w:sz="0" w:space="0" w:color="auto"/>
        <w:bottom w:val="none" w:sz="0" w:space="0" w:color="auto"/>
        <w:right w:val="none" w:sz="0" w:space="0" w:color="auto"/>
      </w:divBdr>
    </w:div>
    <w:div w:id="1331912450">
      <w:bodyDiv w:val="1"/>
      <w:marLeft w:val="0"/>
      <w:marRight w:val="0"/>
      <w:marTop w:val="0"/>
      <w:marBottom w:val="0"/>
      <w:divBdr>
        <w:top w:val="none" w:sz="0" w:space="0" w:color="auto"/>
        <w:left w:val="none" w:sz="0" w:space="0" w:color="auto"/>
        <w:bottom w:val="none" w:sz="0" w:space="0" w:color="auto"/>
        <w:right w:val="none" w:sz="0" w:space="0" w:color="auto"/>
      </w:divBdr>
    </w:div>
    <w:div w:id="1343168224">
      <w:bodyDiv w:val="1"/>
      <w:marLeft w:val="0"/>
      <w:marRight w:val="0"/>
      <w:marTop w:val="0"/>
      <w:marBottom w:val="0"/>
      <w:divBdr>
        <w:top w:val="none" w:sz="0" w:space="0" w:color="auto"/>
        <w:left w:val="none" w:sz="0" w:space="0" w:color="auto"/>
        <w:bottom w:val="none" w:sz="0" w:space="0" w:color="auto"/>
        <w:right w:val="none" w:sz="0" w:space="0" w:color="auto"/>
      </w:divBdr>
    </w:div>
    <w:div w:id="1346203820">
      <w:bodyDiv w:val="1"/>
      <w:marLeft w:val="0"/>
      <w:marRight w:val="0"/>
      <w:marTop w:val="0"/>
      <w:marBottom w:val="0"/>
      <w:divBdr>
        <w:top w:val="none" w:sz="0" w:space="0" w:color="auto"/>
        <w:left w:val="none" w:sz="0" w:space="0" w:color="auto"/>
        <w:bottom w:val="none" w:sz="0" w:space="0" w:color="auto"/>
        <w:right w:val="none" w:sz="0" w:space="0" w:color="auto"/>
      </w:divBdr>
    </w:div>
    <w:div w:id="1346982022">
      <w:bodyDiv w:val="1"/>
      <w:marLeft w:val="0"/>
      <w:marRight w:val="0"/>
      <w:marTop w:val="0"/>
      <w:marBottom w:val="0"/>
      <w:divBdr>
        <w:top w:val="none" w:sz="0" w:space="0" w:color="auto"/>
        <w:left w:val="none" w:sz="0" w:space="0" w:color="auto"/>
        <w:bottom w:val="none" w:sz="0" w:space="0" w:color="auto"/>
        <w:right w:val="none" w:sz="0" w:space="0" w:color="auto"/>
      </w:divBdr>
    </w:div>
    <w:div w:id="1350909114">
      <w:bodyDiv w:val="1"/>
      <w:marLeft w:val="0"/>
      <w:marRight w:val="0"/>
      <w:marTop w:val="0"/>
      <w:marBottom w:val="0"/>
      <w:divBdr>
        <w:top w:val="none" w:sz="0" w:space="0" w:color="auto"/>
        <w:left w:val="none" w:sz="0" w:space="0" w:color="auto"/>
        <w:bottom w:val="none" w:sz="0" w:space="0" w:color="auto"/>
        <w:right w:val="none" w:sz="0" w:space="0" w:color="auto"/>
      </w:divBdr>
    </w:div>
    <w:div w:id="1351833854">
      <w:bodyDiv w:val="1"/>
      <w:marLeft w:val="0"/>
      <w:marRight w:val="0"/>
      <w:marTop w:val="0"/>
      <w:marBottom w:val="0"/>
      <w:divBdr>
        <w:top w:val="none" w:sz="0" w:space="0" w:color="auto"/>
        <w:left w:val="none" w:sz="0" w:space="0" w:color="auto"/>
        <w:bottom w:val="none" w:sz="0" w:space="0" w:color="auto"/>
        <w:right w:val="none" w:sz="0" w:space="0" w:color="auto"/>
      </w:divBdr>
    </w:div>
    <w:div w:id="1356691361">
      <w:bodyDiv w:val="1"/>
      <w:marLeft w:val="0"/>
      <w:marRight w:val="0"/>
      <w:marTop w:val="0"/>
      <w:marBottom w:val="0"/>
      <w:divBdr>
        <w:top w:val="none" w:sz="0" w:space="0" w:color="auto"/>
        <w:left w:val="none" w:sz="0" w:space="0" w:color="auto"/>
        <w:bottom w:val="none" w:sz="0" w:space="0" w:color="auto"/>
        <w:right w:val="none" w:sz="0" w:space="0" w:color="auto"/>
      </w:divBdr>
    </w:div>
    <w:div w:id="1363214978">
      <w:bodyDiv w:val="1"/>
      <w:marLeft w:val="0"/>
      <w:marRight w:val="0"/>
      <w:marTop w:val="0"/>
      <w:marBottom w:val="0"/>
      <w:divBdr>
        <w:top w:val="none" w:sz="0" w:space="0" w:color="auto"/>
        <w:left w:val="none" w:sz="0" w:space="0" w:color="auto"/>
        <w:bottom w:val="none" w:sz="0" w:space="0" w:color="auto"/>
        <w:right w:val="none" w:sz="0" w:space="0" w:color="auto"/>
      </w:divBdr>
    </w:div>
    <w:div w:id="1363557793">
      <w:bodyDiv w:val="1"/>
      <w:marLeft w:val="0"/>
      <w:marRight w:val="0"/>
      <w:marTop w:val="0"/>
      <w:marBottom w:val="0"/>
      <w:divBdr>
        <w:top w:val="none" w:sz="0" w:space="0" w:color="auto"/>
        <w:left w:val="none" w:sz="0" w:space="0" w:color="auto"/>
        <w:bottom w:val="none" w:sz="0" w:space="0" w:color="auto"/>
        <w:right w:val="none" w:sz="0" w:space="0" w:color="auto"/>
      </w:divBdr>
    </w:div>
    <w:div w:id="1371103567">
      <w:bodyDiv w:val="1"/>
      <w:marLeft w:val="0"/>
      <w:marRight w:val="0"/>
      <w:marTop w:val="0"/>
      <w:marBottom w:val="0"/>
      <w:divBdr>
        <w:top w:val="none" w:sz="0" w:space="0" w:color="auto"/>
        <w:left w:val="none" w:sz="0" w:space="0" w:color="auto"/>
        <w:bottom w:val="none" w:sz="0" w:space="0" w:color="auto"/>
        <w:right w:val="none" w:sz="0" w:space="0" w:color="auto"/>
      </w:divBdr>
    </w:div>
    <w:div w:id="1384020277">
      <w:bodyDiv w:val="1"/>
      <w:marLeft w:val="0"/>
      <w:marRight w:val="0"/>
      <w:marTop w:val="0"/>
      <w:marBottom w:val="0"/>
      <w:divBdr>
        <w:top w:val="none" w:sz="0" w:space="0" w:color="auto"/>
        <w:left w:val="none" w:sz="0" w:space="0" w:color="auto"/>
        <w:bottom w:val="none" w:sz="0" w:space="0" w:color="auto"/>
        <w:right w:val="none" w:sz="0" w:space="0" w:color="auto"/>
      </w:divBdr>
    </w:div>
    <w:div w:id="1393311619">
      <w:bodyDiv w:val="1"/>
      <w:marLeft w:val="0"/>
      <w:marRight w:val="0"/>
      <w:marTop w:val="0"/>
      <w:marBottom w:val="0"/>
      <w:divBdr>
        <w:top w:val="none" w:sz="0" w:space="0" w:color="auto"/>
        <w:left w:val="none" w:sz="0" w:space="0" w:color="auto"/>
        <w:bottom w:val="none" w:sz="0" w:space="0" w:color="auto"/>
        <w:right w:val="none" w:sz="0" w:space="0" w:color="auto"/>
      </w:divBdr>
    </w:div>
    <w:div w:id="1396005882">
      <w:bodyDiv w:val="1"/>
      <w:marLeft w:val="0"/>
      <w:marRight w:val="0"/>
      <w:marTop w:val="0"/>
      <w:marBottom w:val="0"/>
      <w:divBdr>
        <w:top w:val="none" w:sz="0" w:space="0" w:color="auto"/>
        <w:left w:val="none" w:sz="0" w:space="0" w:color="auto"/>
        <w:bottom w:val="none" w:sz="0" w:space="0" w:color="auto"/>
        <w:right w:val="none" w:sz="0" w:space="0" w:color="auto"/>
      </w:divBdr>
    </w:div>
    <w:div w:id="1402367443">
      <w:bodyDiv w:val="1"/>
      <w:marLeft w:val="0"/>
      <w:marRight w:val="0"/>
      <w:marTop w:val="0"/>
      <w:marBottom w:val="0"/>
      <w:divBdr>
        <w:top w:val="none" w:sz="0" w:space="0" w:color="auto"/>
        <w:left w:val="none" w:sz="0" w:space="0" w:color="auto"/>
        <w:bottom w:val="none" w:sz="0" w:space="0" w:color="auto"/>
        <w:right w:val="none" w:sz="0" w:space="0" w:color="auto"/>
      </w:divBdr>
    </w:div>
    <w:div w:id="1404909991">
      <w:bodyDiv w:val="1"/>
      <w:marLeft w:val="0"/>
      <w:marRight w:val="0"/>
      <w:marTop w:val="0"/>
      <w:marBottom w:val="0"/>
      <w:divBdr>
        <w:top w:val="none" w:sz="0" w:space="0" w:color="auto"/>
        <w:left w:val="none" w:sz="0" w:space="0" w:color="auto"/>
        <w:bottom w:val="none" w:sz="0" w:space="0" w:color="auto"/>
        <w:right w:val="none" w:sz="0" w:space="0" w:color="auto"/>
      </w:divBdr>
    </w:div>
    <w:div w:id="1406493914">
      <w:bodyDiv w:val="1"/>
      <w:marLeft w:val="0"/>
      <w:marRight w:val="0"/>
      <w:marTop w:val="0"/>
      <w:marBottom w:val="0"/>
      <w:divBdr>
        <w:top w:val="none" w:sz="0" w:space="0" w:color="auto"/>
        <w:left w:val="none" w:sz="0" w:space="0" w:color="auto"/>
        <w:bottom w:val="none" w:sz="0" w:space="0" w:color="auto"/>
        <w:right w:val="none" w:sz="0" w:space="0" w:color="auto"/>
      </w:divBdr>
    </w:div>
    <w:div w:id="1418743022">
      <w:bodyDiv w:val="1"/>
      <w:marLeft w:val="0"/>
      <w:marRight w:val="0"/>
      <w:marTop w:val="0"/>
      <w:marBottom w:val="0"/>
      <w:divBdr>
        <w:top w:val="none" w:sz="0" w:space="0" w:color="auto"/>
        <w:left w:val="none" w:sz="0" w:space="0" w:color="auto"/>
        <w:bottom w:val="none" w:sz="0" w:space="0" w:color="auto"/>
        <w:right w:val="none" w:sz="0" w:space="0" w:color="auto"/>
      </w:divBdr>
    </w:div>
    <w:div w:id="1418865629">
      <w:bodyDiv w:val="1"/>
      <w:marLeft w:val="0"/>
      <w:marRight w:val="0"/>
      <w:marTop w:val="0"/>
      <w:marBottom w:val="0"/>
      <w:divBdr>
        <w:top w:val="none" w:sz="0" w:space="0" w:color="auto"/>
        <w:left w:val="none" w:sz="0" w:space="0" w:color="auto"/>
        <w:bottom w:val="none" w:sz="0" w:space="0" w:color="auto"/>
        <w:right w:val="none" w:sz="0" w:space="0" w:color="auto"/>
      </w:divBdr>
    </w:div>
    <w:div w:id="1424689580">
      <w:bodyDiv w:val="1"/>
      <w:marLeft w:val="0"/>
      <w:marRight w:val="0"/>
      <w:marTop w:val="0"/>
      <w:marBottom w:val="0"/>
      <w:divBdr>
        <w:top w:val="none" w:sz="0" w:space="0" w:color="auto"/>
        <w:left w:val="none" w:sz="0" w:space="0" w:color="auto"/>
        <w:bottom w:val="none" w:sz="0" w:space="0" w:color="auto"/>
        <w:right w:val="none" w:sz="0" w:space="0" w:color="auto"/>
      </w:divBdr>
    </w:div>
    <w:div w:id="1437168354">
      <w:bodyDiv w:val="1"/>
      <w:marLeft w:val="0"/>
      <w:marRight w:val="0"/>
      <w:marTop w:val="0"/>
      <w:marBottom w:val="0"/>
      <w:divBdr>
        <w:top w:val="none" w:sz="0" w:space="0" w:color="auto"/>
        <w:left w:val="none" w:sz="0" w:space="0" w:color="auto"/>
        <w:bottom w:val="none" w:sz="0" w:space="0" w:color="auto"/>
        <w:right w:val="none" w:sz="0" w:space="0" w:color="auto"/>
      </w:divBdr>
    </w:div>
    <w:div w:id="1452747971">
      <w:bodyDiv w:val="1"/>
      <w:marLeft w:val="0"/>
      <w:marRight w:val="0"/>
      <w:marTop w:val="0"/>
      <w:marBottom w:val="0"/>
      <w:divBdr>
        <w:top w:val="none" w:sz="0" w:space="0" w:color="auto"/>
        <w:left w:val="none" w:sz="0" w:space="0" w:color="auto"/>
        <w:bottom w:val="none" w:sz="0" w:space="0" w:color="auto"/>
        <w:right w:val="none" w:sz="0" w:space="0" w:color="auto"/>
      </w:divBdr>
    </w:div>
    <w:div w:id="1452895683">
      <w:bodyDiv w:val="1"/>
      <w:marLeft w:val="0"/>
      <w:marRight w:val="0"/>
      <w:marTop w:val="0"/>
      <w:marBottom w:val="0"/>
      <w:divBdr>
        <w:top w:val="none" w:sz="0" w:space="0" w:color="auto"/>
        <w:left w:val="none" w:sz="0" w:space="0" w:color="auto"/>
        <w:bottom w:val="none" w:sz="0" w:space="0" w:color="auto"/>
        <w:right w:val="none" w:sz="0" w:space="0" w:color="auto"/>
      </w:divBdr>
    </w:div>
    <w:div w:id="1455102239">
      <w:bodyDiv w:val="1"/>
      <w:marLeft w:val="0"/>
      <w:marRight w:val="0"/>
      <w:marTop w:val="0"/>
      <w:marBottom w:val="0"/>
      <w:divBdr>
        <w:top w:val="none" w:sz="0" w:space="0" w:color="auto"/>
        <w:left w:val="none" w:sz="0" w:space="0" w:color="auto"/>
        <w:bottom w:val="none" w:sz="0" w:space="0" w:color="auto"/>
        <w:right w:val="none" w:sz="0" w:space="0" w:color="auto"/>
      </w:divBdr>
    </w:div>
    <w:div w:id="1455830395">
      <w:bodyDiv w:val="1"/>
      <w:marLeft w:val="0"/>
      <w:marRight w:val="0"/>
      <w:marTop w:val="0"/>
      <w:marBottom w:val="0"/>
      <w:divBdr>
        <w:top w:val="none" w:sz="0" w:space="0" w:color="auto"/>
        <w:left w:val="none" w:sz="0" w:space="0" w:color="auto"/>
        <w:bottom w:val="none" w:sz="0" w:space="0" w:color="auto"/>
        <w:right w:val="none" w:sz="0" w:space="0" w:color="auto"/>
      </w:divBdr>
    </w:div>
    <w:div w:id="1460415476">
      <w:bodyDiv w:val="1"/>
      <w:marLeft w:val="0"/>
      <w:marRight w:val="0"/>
      <w:marTop w:val="0"/>
      <w:marBottom w:val="0"/>
      <w:divBdr>
        <w:top w:val="none" w:sz="0" w:space="0" w:color="auto"/>
        <w:left w:val="none" w:sz="0" w:space="0" w:color="auto"/>
        <w:bottom w:val="none" w:sz="0" w:space="0" w:color="auto"/>
        <w:right w:val="none" w:sz="0" w:space="0" w:color="auto"/>
      </w:divBdr>
    </w:div>
    <w:div w:id="1464426667">
      <w:bodyDiv w:val="1"/>
      <w:marLeft w:val="0"/>
      <w:marRight w:val="0"/>
      <w:marTop w:val="0"/>
      <w:marBottom w:val="0"/>
      <w:divBdr>
        <w:top w:val="none" w:sz="0" w:space="0" w:color="auto"/>
        <w:left w:val="none" w:sz="0" w:space="0" w:color="auto"/>
        <w:bottom w:val="none" w:sz="0" w:space="0" w:color="auto"/>
        <w:right w:val="none" w:sz="0" w:space="0" w:color="auto"/>
      </w:divBdr>
    </w:div>
    <w:div w:id="1464882844">
      <w:bodyDiv w:val="1"/>
      <w:marLeft w:val="0"/>
      <w:marRight w:val="0"/>
      <w:marTop w:val="0"/>
      <w:marBottom w:val="0"/>
      <w:divBdr>
        <w:top w:val="none" w:sz="0" w:space="0" w:color="auto"/>
        <w:left w:val="none" w:sz="0" w:space="0" w:color="auto"/>
        <w:bottom w:val="none" w:sz="0" w:space="0" w:color="auto"/>
        <w:right w:val="none" w:sz="0" w:space="0" w:color="auto"/>
      </w:divBdr>
    </w:div>
    <w:div w:id="1465276667">
      <w:bodyDiv w:val="1"/>
      <w:marLeft w:val="0"/>
      <w:marRight w:val="0"/>
      <w:marTop w:val="0"/>
      <w:marBottom w:val="0"/>
      <w:divBdr>
        <w:top w:val="none" w:sz="0" w:space="0" w:color="auto"/>
        <w:left w:val="none" w:sz="0" w:space="0" w:color="auto"/>
        <w:bottom w:val="none" w:sz="0" w:space="0" w:color="auto"/>
        <w:right w:val="none" w:sz="0" w:space="0" w:color="auto"/>
      </w:divBdr>
    </w:div>
    <w:div w:id="1474060791">
      <w:bodyDiv w:val="1"/>
      <w:marLeft w:val="0"/>
      <w:marRight w:val="0"/>
      <w:marTop w:val="0"/>
      <w:marBottom w:val="0"/>
      <w:divBdr>
        <w:top w:val="none" w:sz="0" w:space="0" w:color="auto"/>
        <w:left w:val="none" w:sz="0" w:space="0" w:color="auto"/>
        <w:bottom w:val="none" w:sz="0" w:space="0" w:color="auto"/>
        <w:right w:val="none" w:sz="0" w:space="0" w:color="auto"/>
      </w:divBdr>
    </w:div>
    <w:div w:id="1480415943">
      <w:bodyDiv w:val="1"/>
      <w:marLeft w:val="0"/>
      <w:marRight w:val="0"/>
      <w:marTop w:val="0"/>
      <w:marBottom w:val="0"/>
      <w:divBdr>
        <w:top w:val="none" w:sz="0" w:space="0" w:color="auto"/>
        <w:left w:val="none" w:sz="0" w:space="0" w:color="auto"/>
        <w:bottom w:val="none" w:sz="0" w:space="0" w:color="auto"/>
        <w:right w:val="none" w:sz="0" w:space="0" w:color="auto"/>
      </w:divBdr>
    </w:div>
    <w:div w:id="1496187046">
      <w:bodyDiv w:val="1"/>
      <w:marLeft w:val="0"/>
      <w:marRight w:val="0"/>
      <w:marTop w:val="0"/>
      <w:marBottom w:val="0"/>
      <w:divBdr>
        <w:top w:val="none" w:sz="0" w:space="0" w:color="auto"/>
        <w:left w:val="none" w:sz="0" w:space="0" w:color="auto"/>
        <w:bottom w:val="none" w:sz="0" w:space="0" w:color="auto"/>
        <w:right w:val="none" w:sz="0" w:space="0" w:color="auto"/>
      </w:divBdr>
    </w:div>
    <w:div w:id="1496654285">
      <w:bodyDiv w:val="1"/>
      <w:marLeft w:val="0"/>
      <w:marRight w:val="0"/>
      <w:marTop w:val="0"/>
      <w:marBottom w:val="0"/>
      <w:divBdr>
        <w:top w:val="none" w:sz="0" w:space="0" w:color="auto"/>
        <w:left w:val="none" w:sz="0" w:space="0" w:color="auto"/>
        <w:bottom w:val="none" w:sz="0" w:space="0" w:color="auto"/>
        <w:right w:val="none" w:sz="0" w:space="0" w:color="auto"/>
      </w:divBdr>
    </w:div>
    <w:div w:id="1504781209">
      <w:bodyDiv w:val="1"/>
      <w:marLeft w:val="0"/>
      <w:marRight w:val="0"/>
      <w:marTop w:val="0"/>
      <w:marBottom w:val="0"/>
      <w:divBdr>
        <w:top w:val="none" w:sz="0" w:space="0" w:color="auto"/>
        <w:left w:val="none" w:sz="0" w:space="0" w:color="auto"/>
        <w:bottom w:val="none" w:sz="0" w:space="0" w:color="auto"/>
        <w:right w:val="none" w:sz="0" w:space="0" w:color="auto"/>
      </w:divBdr>
    </w:div>
    <w:div w:id="1507279915">
      <w:bodyDiv w:val="1"/>
      <w:marLeft w:val="0"/>
      <w:marRight w:val="0"/>
      <w:marTop w:val="0"/>
      <w:marBottom w:val="0"/>
      <w:divBdr>
        <w:top w:val="none" w:sz="0" w:space="0" w:color="auto"/>
        <w:left w:val="none" w:sz="0" w:space="0" w:color="auto"/>
        <w:bottom w:val="none" w:sz="0" w:space="0" w:color="auto"/>
        <w:right w:val="none" w:sz="0" w:space="0" w:color="auto"/>
      </w:divBdr>
    </w:div>
    <w:div w:id="1508669709">
      <w:bodyDiv w:val="1"/>
      <w:marLeft w:val="0"/>
      <w:marRight w:val="0"/>
      <w:marTop w:val="0"/>
      <w:marBottom w:val="0"/>
      <w:divBdr>
        <w:top w:val="none" w:sz="0" w:space="0" w:color="auto"/>
        <w:left w:val="none" w:sz="0" w:space="0" w:color="auto"/>
        <w:bottom w:val="none" w:sz="0" w:space="0" w:color="auto"/>
        <w:right w:val="none" w:sz="0" w:space="0" w:color="auto"/>
      </w:divBdr>
    </w:div>
    <w:div w:id="1514345959">
      <w:bodyDiv w:val="1"/>
      <w:marLeft w:val="0"/>
      <w:marRight w:val="0"/>
      <w:marTop w:val="0"/>
      <w:marBottom w:val="0"/>
      <w:divBdr>
        <w:top w:val="none" w:sz="0" w:space="0" w:color="auto"/>
        <w:left w:val="none" w:sz="0" w:space="0" w:color="auto"/>
        <w:bottom w:val="none" w:sz="0" w:space="0" w:color="auto"/>
        <w:right w:val="none" w:sz="0" w:space="0" w:color="auto"/>
      </w:divBdr>
    </w:div>
    <w:div w:id="1521384841">
      <w:bodyDiv w:val="1"/>
      <w:marLeft w:val="0"/>
      <w:marRight w:val="0"/>
      <w:marTop w:val="0"/>
      <w:marBottom w:val="0"/>
      <w:divBdr>
        <w:top w:val="none" w:sz="0" w:space="0" w:color="auto"/>
        <w:left w:val="none" w:sz="0" w:space="0" w:color="auto"/>
        <w:bottom w:val="none" w:sz="0" w:space="0" w:color="auto"/>
        <w:right w:val="none" w:sz="0" w:space="0" w:color="auto"/>
      </w:divBdr>
    </w:div>
    <w:div w:id="1527404311">
      <w:bodyDiv w:val="1"/>
      <w:marLeft w:val="0"/>
      <w:marRight w:val="0"/>
      <w:marTop w:val="0"/>
      <w:marBottom w:val="0"/>
      <w:divBdr>
        <w:top w:val="none" w:sz="0" w:space="0" w:color="auto"/>
        <w:left w:val="none" w:sz="0" w:space="0" w:color="auto"/>
        <w:bottom w:val="none" w:sz="0" w:space="0" w:color="auto"/>
        <w:right w:val="none" w:sz="0" w:space="0" w:color="auto"/>
      </w:divBdr>
    </w:div>
    <w:div w:id="1527938949">
      <w:bodyDiv w:val="1"/>
      <w:marLeft w:val="0"/>
      <w:marRight w:val="0"/>
      <w:marTop w:val="0"/>
      <w:marBottom w:val="0"/>
      <w:divBdr>
        <w:top w:val="none" w:sz="0" w:space="0" w:color="auto"/>
        <w:left w:val="none" w:sz="0" w:space="0" w:color="auto"/>
        <w:bottom w:val="none" w:sz="0" w:space="0" w:color="auto"/>
        <w:right w:val="none" w:sz="0" w:space="0" w:color="auto"/>
      </w:divBdr>
    </w:div>
    <w:div w:id="1529949125">
      <w:bodyDiv w:val="1"/>
      <w:marLeft w:val="0"/>
      <w:marRight w:val="0"/>
      <w:marTop w:val="0"/>
      <w:marBottom w:val="0"/>
      <w:divBdr>
        <w:top w:val="none" w:sz="0" w:space="0" w:color="auto"/>
        <w:left w:val="none" w:sz="0" w:space="0" w:color="auto"/>
        <w:bottom w:val="none" w:sz="0" w:space="0" w:color="auto"/>
        <w:right w:val="none" w:sz="0" w:space="0" w:color="auto"/>
      </w:divBdr>
    </w:div>
    <w:div w:id="1530029126">
      <w:bodyDiv w:val="1"/>
      <w:marLeft w:val="0"/>
      <w:marRight w:val="0"/>
      <w:marTop w:val="0"/>
      <w:marBottom w:val="0"/>
      <w:divBdr>
        <w:top w:val="none" w:sz="0" w:space="0" w:color="auto"/>
        <w:left w:val="none" w:sz="0" w:space="0" w:color="auto"/>
        <w:bottom w:val="none" w:sz="0" w:space="0" w:color="auto"/>
        <w:right w:val="none" w:sz="0" w:space="0" w:color="auto"/>
      </w:divBdr>
    </w:div>
    <w:div w:id="1536189572">
      <w:bodyDiv w:val="1"/>
      <w:marLeft w:val="0"/>
      <w:marRight w:val="0"/>
      <w:marTop w:val="0"/>
      <w:marBottom w:val="0"/>
      <w:divBdr>
        <w:top w:val="none" w:sz="0" w:space="0" w:color="auto"/>
        <w:left w:val="none" w:sz="0" w:space="0" w:color="auto"/>
        <w:bottom w:val="none" w:sz="0" w:space="0" w:color="auto"/>
        <w:right w:val="none" w:sz="0" w:space="0" w:color="auto"/>
      </w:divBdr>
    </w:div>
    <w:div w:id="1538278256">
      <w:bodyDiv w:val="1"/>
      <w:marLeft w:val="0"/>
      <w:marRight w:val="0"/>
      <w:marTop w:val="0"/>
      <w:marBottom w:val="0"/>
      <w:divBdr>
        <w:top w:val="none" w:sz="0" w:space="0" w:color="auto"/>
        <w:left w:val="none" w:sz="0" w:space="0" w:color="auto"/>
        <w:bottom w:val="none" w:sz="0" w:space="0" w:color="auto"/>
        <w:right w:val="none" w:sz="0" w:space="0" w:color="auto"/>
      </w:divBdr>
    </w:div>
    <w:div w:id="1539582029">
      <w:bodyDiv w:val="1"/>
      <w:marLeft w:val="0"/>
      <w:marRight w:val="0"/>
      <w:marTop w:val="0"/>
      <w:marBottom w:val="0"/>
      <w:divBdr>
        <w:top w:val="none" w:sz="0" w:space="0" w:color="auto"/>
        <w:left w:val="none" w:sz="0" w:space="0" w:color="auto"/>
        <w:bottom w:val="none" w:sz="0" w:space="0" w:color="auto"/>
        <w:right w:val="none" w:sz="0" w:space="0" w:color="auto"/>
      </w:divBdr>
    </w:div>
    <w:div w:id="1544095798">
      <w:bodyDiv w:val="1"/>
      <w:marLeft w:val="0"/>
      <w:marRight w:val="0"/>
      <w:marTop w:val="0"/>
      <w:marBottom w:val="0"/>
      <w:divBdr>
        <w:top w:val="none" w:sz="0" w:space="0" w:color="auto"/>
        <w:left w:val="none" w:sz="0" w:space="0" w:color="auto"/>
        <w:bottom w:val="none" w:sz="0" w:space="0" w:color="auto"/>
        <w:right w:val="none" w:sz="0" w:space="0" w:color="auto"/>
      </w:divBdr>
    </w:div>
    <w:div w:id="1548713118">
      <w:bodyDiv w:val="1"/>
      <w:marLeft w:val="0"/>
      <w:marRight w:val="0"/>
      <w:marTop w:val="0"/>
      <w:marBottom w:val="0"/>
      <w:divBdr>
        <w:top w:val="none" w:sz="0" w:space="0" w:color="auto"/>
        <w:left w:val="none" w:sz="0" w:space="0" w:color="auto"/>
        <w:bottom w:val="none" w:sz="0" w:space="0" w:color="auto"/>
        <w:right w:val="none" w:sz="0" w:space="0" w:color="auto"/>
      </w:divBdr>
    </w:div>
    <w:div w:id="1550655157">
      <w:bodyDiv w:val="1"/>
      <w:marLeft w:val="0"/>
      <w:marRight w:val="0"/>
      <w:marTop w:val="0"/>
      <w:marBottom w:val="0"/>
      <w:divBdr>
        <w:top w:val="none" w:sz="0" w:space="0" w:color="auto"/>
        <w:left w:val="none" w:sz="0" w:space="0" w:color="auto"/>
        <w:bottom w:val="none" w:sz="0" w:space="0" w:color="auto"/>
        <w:right w:val="none" w:sz="0" w:space="0" w:color="auto"/>
      </w:divBdr>
    </w:div>
    <w:div w:id="1552497644">
      <w:bodyDiv w:val="1"/>
      <w:marLeft w:val="0"/>
      <w:marRight w:val="0"/>
      <w:marTop w:val="0"/>
      <w:marBottom w:val="0"/>
      <w:divBdr>
        <w:top w:val="none" w:sz="0" w:space="0" w:color="auto"/>
        <w:left w:val="none" w:sz="0" w:space="0" w:color="auto"/>
        <w:bottom w:val="none" w:sz="0" w:space="0" w:color="auto"/>
        <w:right w:val="none" w:sz="0" w:space="0" w:color="auto"/>
      </w:divBdr>
    </w:div>
    <w:div w:id="1561288888">
      <w:bodyDiv w:val="1"/>
      <w:marLeft w:val="0"/>
      <w:marRight w:val="0"/>
      <w:marTop w:val="0"/>
      <w:marBottom w:val="0"/>
      <w:divBdr>
        <w:top w:val="none" w:sz="0" w:space="0" w:color="auto"/>
        <w:left w:val="none" w:sz="0" w:space="0" w:color="auto"/>
        <w:bottom w:val="none" w:sz="0" w:space="0" w:color="auto"/>
        <w:right w:val="none" w:sz="0" w:space="0" w:color="auto"/>
      </w:divBdr>
    </w:div>
    <w:div w:id="1561332059">
      <w:bodyDiv w:val="1"/>
      <w:marLeft w:val="0"/>
      <w:marRight w:val="0"/>
      <w:marTop w:val="0"/>
      <w:marBottom w:val="0"/>
      <w:divBdr>
        <w:top w:val="none" w:sz="0" w:space="0" w:color="auto"/>
        <w:left w:val="none" w:sz="0" w:space="0" w:color="auto"/>
        <w:bottom w:val="none" w:sz="0" w:space="0" w:color="auto"/>
        <w:right w:val="none" w:sz="0" w:space="0" w:color="auto"/>
      </w:divBdr>
    </w:div>
    <w:div w:id="1563255768">
      <w:bodyDiv w:val="1"/>
      <w:marLeft w:val="0"/>
      <w:marRight w:val="0"/>
      <w:marTop w:val="0"/>
      <w:marBottom w:val="0"/>
      <w:divBdr>
        <w:top w:val="none" w:sz="0" w:space="0" w:color="auto"/>
        <w:left w:val="none" w:sz="0" w:space="0" w:color="auto"/>
        <w:bottom w:val="none" w:sz="0" w:space="0" w:color="auto"/>
        <w:right w:val="none" w:sz="0" w:space="0" w:color="auto"/>
      </w:divBdr>
    </w:div>
    <w:div w:id="1571191122">
      <w:bodyDiv w:val="1"/>
      <w:marLeft w:val="0"/>
      <w:marRight w:val="0"/>
      <w:marTop w:val="0"/>
      <w:marBottom w:val="0"/>
      <w:divBdr>
        <w:top w:val="none" w:sz="0" w:space="0" w:color="auto"/>
        <w:left w:val="none" w:sz="0" w:space="0" w:color="auto"/>
        <w:bottom w:val="none" w:sz="0" w:space="0" w:color="auto"/>
        <w:right w:val="none" w:sz="0" w:space="0" w:color="auto"/>
      </w:divBdr>
    </w:div>
    <w:div w:id="1577746375">
      <w:bodyDiv w:val="1"/>
      <w:marLeft w:val="0"/>
      <w:marRight w:val="0"/>
      <w:marTop w:val="0"/>
      <w:marBottom w:val="0"/>
      <w:divBdr>
        <w:top w:val="none" w:sz="0" w:space="0" w:color="auto"/>
        <w:left w:val="none" w:sz="0" w:space="0" w:color="auto"/>
        <w:bottom w:val="none" w:sz="0" w:space="0" w:color="auto"/>
        <w:right w:val="none" w:sz="0" w:space="0" w:color="auto"/>
      </w:divBdr>
    </w:div>
    <w:div w:id="1584492372">
      <w:bodyDiv w:val="1"/>
      <w:marLeft w:val="0"/>
      <w:marRight w:val="0"/>
      <w:marTop w:val="0"/>
      <w:marBottom w:val="0"/>
      <w:divBdr>
        <w:top w:val="none" w:sz="0" w:space="0" w:color="auto"/>
        <w:left w:val="none" w:sz="0" w:space="0" w:color="auto"/>
        <w:bottom w:val="none" w:sz="0" w:space="0" w:color="auto"/>
        <w:right w:val="none" w:sz="0" w:space="0" w:color="auto"/>
      </w:divBdr>
    </w:div>
    <w:div w:id="1584993635">
      <w:bodyDiv w:val="1"/>
      <w:marLeft w:val="0"/>
      <w:marRight w:val="0"/>
      <w:marTop w:val="0"/>
      <w:marBottom w:val="0"/>
      <w:divBdr>
        <w:top w:val="none" w:sz="0" w:space="0" w:color="auto"/>
        <w:left w:val="none" w:sz="0" w:space="0" w:color="auto"/>
        <w:bottom w:val="none" w:sz="0" w:space="0" w:color="auto"/>
        <w:right w:val="none" w:sz="0" w:space="0" w:color="auto"/>
      </w:divBdr>
    </w:div>
    <w:div w:id="1595939390">
      <w:bodyDiv w:val="1"/>
      <w:marLeft w:val="0"/>
      <w:marRight w:val="0"/>
      <w:marTop w:val="0"/>
      <w:marBottom w:val="0"/>
      <w:divBdr>
        <w:top w:val="none" w:sz="0" w:space="0" w:color="auto"/>
        <w:left w:val="none" w:sz="0" w:space="0" w:color="auto"/>
        <w:bottom w:val="none" w:sz="0" w:space="0" w:color="auto"/>
        <w:right w:val="none" w:sz="0" w:space="0" w:color="auto"/>
      </w:divBdr>
    </w:div>
    <w:div w:id="1604071824">
      <w:bodyDiv w:val="1"/>
      <w:marLeft w:val="0"/>
      <w:marRight w:val="0"/>
      <w:marTop w:val="0"/>
      <w:marBottom w:val="0"/>
      <w:divBdr>
        <w:top w:val="none" w:sz="0" w:space="0" w:color="auto"/>
        <w:left w:val="none" w:sz="0" w:space="0" w:color="auto"/>
        <w:bottom w:val="none" w:sz="0" w:space="0" w:color="auto"/>
        <w:right w:val="none" w:sz="0" w:space="0" w:color="auto"/>
      </w:divBdr>
    </w:div>
    <w:div w:id="1609777967">
      <w:bodyDiv w:val="1"/>
      <w:marLeft w:val="0"/>
      <w:marRight w:val="0"/>
      <w:marTop w:val="0"/>
      <w:marBottom w:val="0"/>
      <w:divBdr>
        <w:top w:val="none" w:sz="0" w:space="0" w:color="auto"/>
        <w:left w:val="none" w:sz="0" w:space="0" w:color="auto"/>
        <w:bottom w:val="none" w:sz="0" w:space="0" w:color="auto"/>
        <w:right w:val="none" w:sz="0" w:space="0" w:color="auto"/>
      </w:divBdr>
    </w:div>
    <w:div w:id="1611544497">
      <w:bodyDiv w:val="1"/>
      <w:marLeft w:val="0"/>
      <w:marRight w:val="0"/>
      <w:marTop w:val="0"/>
      <w:marBottom w:val="0"/>
      <w:divBdr>
        <w:top w:val="none" w:sz="0" w:space="0" w:color="auto"/>
        <w:left w:val="none" w:sz="0" w:space="0" w:color="auto"/>
        <w:bottom w:val="none" w:sz="0" w:space="0" w:color="auto"/>
        <w:right w:val="none" w:sz="0" w:space="0" w:color="auto"/>
      </w:divBdr>
    </w:div>
    <w:div w:id="1612930648">
      <w:bodyDiv w:val="1"/>
      <w:marLeft w:val="0"/>
      <w:marRight w:val="0"/>
      <w:marTop w:val="0"/>
      <w:marBottom w:val="0"/>
      <w:divBdr>
        <w:top w:val="none" w:sz="0" w:space="0" w:color="auto"/>
        <w:left w:val="none" w:sz="0" w:space="0" w:color="auto"/>
        <w:bottom w:val="none" w:sz="0" w:space="0" w:color="auto"/>
        <w:right w:val="none" w:sz="0" w:space="0" w:color="auto"/>
      </w:divBdr>
    </w:div>
    <w:div w:id="1615209738">
      <w:bodyDiv w:val="1"/>
      <w:marLeft w:val="0"/>
      <w:marRight w:val="0"/>
      <w:marTop w:val="0"/>
      <w:marBottom w:val="0"/>
      <w:divBdr>
        <w:top w:val="none" w:sz="0" w:space="0" w:color="auto"/>
        <w:left w:val="none" w:sz="0" w:space="0" w:color="auto"/>
        <w:bottom w:val="none" w:sz="0" w:space="0" w:color="auto"/>
        <w:right w:val="none" w:sz="0" w:space="0" w:color="auto"/>
      </w:divBdr>
    </w:div>
    <w:div w:id="1624925206">
      <w:bodyDiv w:val="1"/>
      <w:marLeft w:val="0"/>
      <w:marRight w:val="0"/>
      <w:marTop w:val="0"/>
      <w:marBottom w:val="0"/>
      <w:divBdr>
        <w:top w:val="none" w:sz="0" w:space="0" w:color="auto"/>
        <w:left w:val="none" w:sz="0" w:space="0" w:color="auto"/>
        <w:bottom w:val="none" w:sz="0" w:space="0" w:color="auto"/>
        <w:right w:val="none" w:sz="0" w:space="0" w:color="auto"/>
      </w:divBdr>
    </w:div>
    <w:div w:id="1628782311">
      <w:bodyDiv w:val="1"/>
      <w:marLeft w:val="0"/>
      <w:marRight w:val="0"/>
      <w:marTop w:val="0"/>
      <w:marBottom w:val="0"/>
      <w:divBdr>
        <w:top w:val="none" w:sz="0" w:space="0" w:color="auto"/>
        <w:left w:val="none" w:sz="0" w:space="0" w:color="auto"/>
        <w:bottom w:val="none" w:sz="0" w:space="0" w:color="auto"/>
        <w:right w:val="none" w:sz="0" w:space="0" w:color="auto"/>
      </w:divBdr>
    </w:div>
    <w:div w:id="1630356001">
      <w:bodyDiv w:val="1"/>
      <w:marLeft w:val="0"/>
      <w:marRight w:val="0"/>
      <w:marTop w:val="0"/>
      <w:marBottom w:val="0"/>
      <w:divBdr>
        <w:top w:val="none" w:sz="0" w:space="0" w:color="auto"/>
        <w:left w:val="none" w:sz="0" w:space="0" w:color="auto"/>
        <w:bottom w:val="none" w:sz="0" w:space="0" w:color="auto"/>
        <w:right w:val="none" w:sz="0" w:space="0" w:color="auto"/>
      </w:divBdr>
    </w:div>
    <w:div w:id="1638953667">
      <w:bodyDiv w:val="1"/>
      <w:marLeft w:val="0"/>
      <w:marRight w:val="0"/>
      <w:marTop w:val="0"/>
      <w:marBottom w:val="0"/>
      <w:divBdr>
        <w:top w:val="none" w:sz="0" w:space="0" w:color="auto"/>
        <w:left w:val="none" w:sz="0" w:space="0" w:color="auto"/>
        <w:bottom w:val="none" w:sz="0" w:space="0" w:color="auto"/>
        <w:right w:val="none" w:sz="0" w:space="0" w:color="auto"/>
      </w:divBdr>
    </w:div>
    <w:div w:id="1639989441">
      <w:bodyDiv w:val="1"/>
      <w:marLeft w:val="0"/>
      <w:marRight w:val="0"/>
      <w:marTop w:val="0"/>
      <w:marBottom w:val="0"/>
      <w:divBdr>
        <w:top w:val="none" w:sz="0" w:space="0" w:color="auto"/>
        <w:left w:val="none" w:sz="0" w:space="0" w:color="auto"/>
        <w:bottom w:val="none" w:sz="0" w:space="0" w:color="auto"/>
        <w:right w:val="none" w:sz="0" w:space="0" w:color="auto"/>
      </w:divBdr>
    </w:div>
    <w:div w:id="1643465282">
      <w:bodyDiv w:val="1"/>
      <w:marLeft w:val="0"/>
      <w:marRight w:val="0"/>
      <w:marTop w:val="0"/>
      <w:marBottom w:val="0"/>
      <w:divBdr>
        <w:top w:val="none" w:sz="0" w:space="0" w:color="auto"/>
        <w:left w:val="none" w:sz="0" w:space="0" w:color="auto"/>
        <w:bottom w:val="none" w:sz="0" w:space="0" w:color="auto"/>
        <w:right w:val="none" w:sz="0" w:space="0" w:color="auto"/>
      </w:divBdr>
    </w:div>
    <w:div w:id="1644965526">
      <w:bodyDiv w:val="1"/>
      <w:marLeft w:val="0"/>
      <w:marRight w:val="0"/>
      <w:marTop w:val="0"/>
      <w:marBottom w:val="0"/>
      <w:divBdr>
        <w:top w:val="none" w:sz="0" w:space="0" w:color="auto"/>
        <w:left w:val="none" w:sz="0" w:space="0" w:color="auto"/>
        <w:bottom w:val="none" w:sz="0" w:space="0" w:color="auto"/>
        <w:right w:val="none" w:sz="0" w:space="0" w:color="auto"/>
      </w:divBdr>
    </w:div>
    <w:div w:id="1647512942">
      <w:bodyDiv w:val="1"/>
      <w:marLeft w:val="0"/>
      <w:marRight w:val="0"/>
      <w:marTop w:val="0"/>
      <w:marBottom w:val="0"/>
      <w:divBdr>
        <w:top w:val="none" w:sz="0" w:space="0" w:color="auto"/>
        <w:left w:val="none" w:sz="0" w:space="0" w:color="auto"/>
        <w:bottom w:val="none" w:sz="0" w:space="0" w:color="auto"/>
        <w:right w:val="none" w:sz="0" w:space="0" w:color="auto"/>
      </w:divBdr>
    </w:div>
    <w:div w:id="1654531563">
      <w:bodyDiv w:val="1"/>
      <w:marLeft w:val="0"/>
      <w:marRight w:val="0"/>
      <w:marTop w:val="0"/>
      <w:marBottom w:val="0"/>
      <w:divBdr>
        <w:top w:val="none" w:sz="0" w:space="0" w:color="auto"/>
        <w:left w:val="none" w:sz="0" w:space="0" w:color="auto"/>
        <w:bottom w:val="none" w:sz="0" w:space="0" w:color="auto"/>
        <w:right w:val="none" w:sz="0" w:space="0" w:color="auto"/>
      </w:divBdr>
    </w:div>
    <w:div w:id="1660692110">
      <w:bodyDiv w:val="1"/>
      <w:marLeft w:val="0"/>
      <w:marRight w:val="0"/>
      <w:marTop w:val="0"/>
      <w:marBottom w:val="0"/>
      <w:divBdr>
        <w:top w:val="none" w:sz="0" w:space="0" w:color="auto"/>
        <w:left w:val="none" w:sz="0" w:space="0" w:color="auto"/>
        <w:bottom w:val="none" w:sz="0" w:space="0" w:color="auto"/>
        <w:right w:val="none" w:sz="0" w:space="0" w:color="auto"/>
      </w:divBdr>
    </w:div>
    <w:div w:id="1679044492">
      <w:bodyDiv w:val="1"/>
      <w:marLeft w:val="0"/>
      <w:marRight w:val="0"/>
      <w:marTop w:val="0"/>
      <w:marBottom w:val="0"/>
      <w:divBdr>
        <w:top w:val="none" w:sz="0" w:space="0" w:color="auto"/>
        <w:left w:val="none" w:sz="0" w:space="0" w:color="auto"/>
        <w:bottom w:val="none" w:sz="0" w:space="0" w:color="auto"/>
        <w:right w:val="none" w:sz="0" w:space="0" w:color="auto"/>
      </w:divBdr>
    </w:div>
    <w:div w:id="1685664388">
      <w:bodyDiv w:val="1"/>
      <w:marLeft w:val="0"/>
      <w:marRight w:val="0"/>
      <w:marTop w:val="0"/>
      <w:marBottom w:val="0"/>
      <w:divBdr>
        <w:top w:val="none" w:sz="0" w:space="0" w:color="auto"/>
        <w:left w:val="none" w:sz="0" w:space="0" w:color="auto"/>
        <w:bottom w:val="none" w:sz="0" w:space="0" w:color="auto"/>
        <w:right w:val="none" w:sz="0" w:space="0" w:color="auto"/>
      </w:divBdr>
    </w:div>
    <w:div w:id="1692730393">
      <w:bodyDiv w:val="1"/>
      <w:marLeft w:val="0"/>
      <w:marRight w:val="0"/>
      <w:marTop w:val="0"/>
      <w:marBottom w:val="0"/>
      <w:divBdr>
        <w:top w:val="none" w:sz="0" w:space="0" w:color="auto"/>
        <w:left w:val="none" w:sz="0" w:space="0" w:color="auto"/>
        <w:bottom w:val="none" w:sz="0" w:space="0" w:color="auto"/>
        <w:right w:val="none" w:sz="0" w:space="0" w:color="auto"/>
      </w:divBdr>
    </w:div>
    <w:div w:id="1695183084">
      <w:bodyDiv w:val="1"/>
      <w:marLeft w:val="0"/>
      <w:marRight w:val="0"/>
      <w:marTop w:val="0"/>
      <w:marBottom w:val="0"/>
      <w:divBdr>
        <w:top w:val="none" w:sz="0" w:space="0" w:color="auto"/>
        <w:left w:val="none" w:sz="0" w:space="0" w:color="auto"/>
        <w:bottom w:val="none" w:sz="0" w:space="0" w:color="auto"/>
        <w:right w:val="none" w:sz="0" w:space="0" w:color="auto"/>
      </w:divBdr>
    </w:div>
    <w:div w:id="1700275320">
      <w:bodyDiv w:val="1"/>
      <w:marLeft w:val="0"/>
      <w:marRight w:val="0"/>
      <w:marTop w:val="0"/>
      <w:marBottom w:val="0"/>
      <w:divBdr>
        <w:top w:val="none" w:sz="0" w:space="0" w:color="auto"/>
        <w:left w:val="none" w:sz="0" w:space="0" w:color="auto"/>
        <w:bottom w:val="none" w:sz="0" w:space="0" w:color="auto"/>
        <w:right w:val="none" w:sz="0" w:space="0" w:color="auto"/>
      </w:divBdr>
    </w:div>
    <w:div w:id="1706055055">
      <w:bodyDiv w:val="1"/>
      <w:marLeft w:val="0"/>
      <w:marRight w:val="0"/>
      <w:marTop w:val="0"/>
      <w:marBottom w:val="0"/>
      <w:divBdr>
        <w:top w:val="none" w:sz="0" w:space="0" w:color="auto"/>
        <w:left w:val="none" w:sz="0" w:space="0" w:color="auto"/>
        <w:bottom w:val="none" w:sz="0" w:space="0" w:color="auto"/>
        <w:right w:val="none" w:sz="0" w:space="0" w:color="auto"/>
      </w:divBdr>
    </w:div>
    <w:div w:id="1707292945">
      <w:bodyDiv w:val="1"/>
      <w:marLeft w:val="0"/>
      <w:marRight w:val="0"/>
      <w:marTop w:val="0"/>
      <w:marBottom w:val="0"/>
      <w:divBdr>
        <w:top w:val="none" w:sz="0" w:space="0" w:color="auto"/>
        <w:left w:val="none" w:sz="0" w:space="0" w:color="auto"/>
        <w:bottom w:val="none" w:sz="0" w:space="0" w:color="auto"/>
        <w:right w:val="none" w:sz="0" w:space="0" w:color="auto"/>
      </w:divBdr>
    </w:div>
    <w:div w:id="1714424566">
      <w:bodyDiv w:val="1"/>
      <w:marLeft w:val="0"/>
      <w:marRight w:val="0"/>
      <w:marTop w:val="0"/>
      <w:marBottom w:val="0"/>
      <w:divBdr>
        <w:top w:val="none" w:sz="0" w:space="0" w:color="auto"/>
        <w:left w:val="none" w:sz="0" w:space="0" w:color="auto"/>
        <w:bottom w:val="none" w:sz="0" w:space="0" w:color="auto"/>
        <w:right w:val="none" w:sz="0" w:space="0" w:color="auto"/>
      </w:divBdr>
    </w:div>
    <w:div w:id="1716194289">
      <w:bodyDiv w:val="1"/>
      <w:marLeft w:val="0"/>
      <w:marRight w:val="0"/>
      <w:marTop w:val="0"/>
      <w:marBottom w:val="0"/>
      <w:divBdr>
        <w:top w:val="none" w:sz="0" w:space="0" w:color="auto"/>
        <w:left w:val="none" w:sz="0" w:space="0" w:color="auto"/>
        <w:bottom w:val="none" w:sz="0" w:space="0" w:color="auto"/>
        <w:right w:val="none" w:sz="0" w:space="0" w:color="auto"/>
      </w:divBdr>
    </w:div>
    <w:div w:id="1716274724">
      <w:bodyDiv w:val="1"/>
      <w:marLeft w:val="0"/>
      <w:marRight w:val="0"/>
      <w:marTop w:val="0"/>
      <w:marBottom w:val="0"/>
      <w:divBdr>
        <w:top w:val="none" w:sz="0" w:space="0" w:color="auto"/>
        <w:left w:val="none" w:sz="0" w:space="0" w:color="auto"/>
        <w:bottom w:val="none" w:sz="0" w:space="0" w:color="auto"/>
        <w:right w:val="none" w:sz="0" w:space="0" w:color="auto"/>
      </w:divBdr>
    </w:div>
    <w:div w:id="1722513675">
      <w:bodyDiv w:val="1"/>
      <w:marLeft w:val="0"/>
      <w:marRight w:val="0"/>
      <w:marTop w:val="0"/>
      <w:marBottom w:val="0"/>
      <w:divBdr>
        <w:top w:val="none" w:sz="0" w:space="0" w:color="auto"/>
        <w:left w:val="none" w:sz="0" w:space="0" w:color="auto"/>
        <w:bottom w:val="none" w:sz="0" w:space="0" w:color="auto"/>
        <w:right w:val="none" w:sz="0" w:space="0" w:color="auto"/>
      </w:divBdr>
    </w:div>
    <w:div w:id="1723017242">
      <w:bodyDiv w:val="1"/>
      <w:marLeft w:val="0"/>
      <w:marRight w:val="0"/>
      <w:marTop w:val="0"/>
      <w:marBottom w:val="0"/>
      <w:divBdr>
        <w:top w:val="none" w:sz="0" w:space="0" w:color="auto"/>
        <w:left w:val="none" w:sz="0" w:space="0" w:color="auto"/>
        <w:bottom w:val="none" w:sz="0" w:space="0" w:color="auto"/>
        <w:right w:val="none" w:sz="0" w:space="0" w:color="auto"/>
      </w:divBdr>
    </w:div>
    <w:div w:id="1728452620">
      <w:bodyDiv w:val="1"/>
      <w:marLeft w:val="0"/>
      <w:marRight w:val="0"/>
      <w:marTop w:val="0"/>
      <w:marBottom w:val="0"/>
      <w:divBdr>
        <w:top w:val="none" w:sz="0" w:space="0" w:color="auto"/>
        <w:left w:val="none" w:sz="0" w:space="0" w:color="auto"/>
        <w:bottom w:val="none" w:sz="0" w:space="0" w:color="auto"/>
        <w:right w:val="none" w:sz="0" w:space="0" w:color="auto"/>
      </w:divBdr>
    </w:div>
    <w:div w:id="1728801257">
      <w:bodyDiv w:val="1"/>
      <w:marLeft w:val="0"/>
      <w:marRight w:val="0"/>
      <w:marTop w:val="0"/>
      <w:marBottom w:val="0"/>
      <w:divBdr>
        <w:top w:val="none" w:sz="0" w:space="0" w:color="auto"/>
        <w:left w:val="none" w:sz="0" w:space="0" w:color="auto"/>
        <w:bottom w:val="none" w:sz="0" w:space="0" w:color="auto"/>
        <w:right w:val="none" w:sz="0" w:space="0" w:color="auto"/>
      </w:divBdr>
    </w:div>
    <w:div w:id="1731810121">
      <w:bodyDiv w:val="1"/>
      <w:marLeft w:val="0"/>
      <w:marRight w:val="0"/>
      <w:marTop w:val="0"/>
      <w:marBottom w:val="0"/>
      <w:divBdr>
        <w:top w:val="none" w:sz="0" w:space="0" w:color="auto"/>
        <w:left w:val="none" w:sz="0" w:space="0" w:color="auto"/>
        <w:bottom w:val="none" w:sz="0" w:space="0" w:color="auto"/>
        <w:right w:val="none" w:sz="0" w:space="0" w:color="auto"/>
      </w:divBdr>
    </w:div>
    <w:div w:id="1733190516">
      <w:bodyDiv w:val="1"/>
      <w:marLeft w:val="0"/>
      <w:marRight w:val="0"/>
      <w:marTop w:val="0"/>
      <w:marBottom w:val="0"/>
      <w:divBdr>
        <w:top w:val="none" w:sz="0" w:space="0" w:color="auto"/>
        <w:left w:val="none" w:sz="0" w:space="0" w:color="auto"/>
        <w:bottom w:val="none" w:sz="0" w:space="0" w:color="auto"/>
        <w:right w:val="none" w:sz="0" w:space="0" w:color="auto"/>
      </w:divBdr>
    </w:div>
    <w:div w:id="1738435096">
      <w:bodyDiv w:val="1"/>
      <w:marLeft w:val="0"/>
      <w:marRight w:val="0"/>
      <w:marTop w:val="0"/>
      <w:marBottom w:val="0"/>
      <w:divBdr>
        <w:top w:val="none" w:sz="0" w:space="0" w:color="auto"/>
        <w:left w:val="none" w:sz="0" w:space="0" w:color="auto"/>
        <w:bottom w:val="none" w:sz="0" w:space="0" w:color="auto"/>
        <w:right w:val="none" w:sz="0" w:space="0" w:color="auto"/>
      </w:divBdr>
    </w:div>
    <w:div w:id="1739815721">
      <w:bodyDiv w:val="1"/>
      <w:marLeft w:val="0"/>
      <w:marRight w:val="0"/>
      <w:marTop w:val="0"/>
      <w:marBottom w:val="0"/>
      <w:divBdr>
        <w:top w:val="none" w:sz="0" w:space="0" w:color="auto"/>
        <w:left w:val="none" w:sz="0" w:space="0" w:color="auto"/>
        <w:bottom w:val="none" w:sz="0" w:space="0" w:color="auto"/>
        <w:right w:val="none" w:sz="0" w:space="0" w:color="auto"/>
      </w:divBdr>
    </w:div>
    <w:div w:id="1741832510">
      <w:bodyDiv w:val="1"/>
      <w:marLeft w:val="0"/>
      <w:marRight w:val="0"/>
      <w:marTop w:val="0"/>
      <w:marBottom w:val="0"/>
      <w:divBdr>
        <w:top w:val="none" w:sz="0" w:space="0" w:color="auto"/>
        <w:left w:val="none" w:sz="0" w:space="0" w:color="auto"/>
        <w:bottom w:val="none" w:sz="0" w:space="0" w:color="auto"/>
        <w:right w:val="none" w:sz="0" w:space="0" w:color="auto"/>
      </w:divBdr>
    </w:div>
    <w:div w:id="1742676980">
      <w:bodyDiv w:val="1"/>
      <w:marLeft w:val="0"/>
      <w:marRight w:val="0"/>
      <w:marTop w:val="0"/>
      <w:marBottom w:val="0"/>
      <w:divBdr>
        <w:top w:val="none" w:sz="0" w:space="0" w:color="auto"/>
        <w:left w:val="none" w:sz="0" w:space="0" w:color="auto"/>
        <w:bottom w:val="none" w:sz="0" w:space="0" w:color="auto"/>
        <w:right w:val="none" w:sz="0" w:space="0" w:color="auto"/>
      </w:divBdr>
    </w:div>
    <w:div w:id="1745638468">
      <w:bodyDiv w:val="1"/>
      <w:marLeft w:val="0"/>
      <w:marRight w:val="0"/>
      <w:marTop w:val="0"/>
      <w:marBottom w:val="0"/>
      <w:divBdr>
        <w:top w:val="none" w:sz="0" w:space="0" w:color="auto"/>
        <w:left w:val="none" w:sz="0" w:space="0" w:color="auto"/>
        <w:bottom w:val="none" w:sz="0" w:space="0" w:color="auto"/>
        <w:right w:val="none" w:sz="0" w:space="0" w:color="auto"/>
      </w:divBdr>
    </w:div>
    <w:div w:id="1747528113">
      <w:bodyDiv w:val="1"/>
      <w:marLeft w:val="0"/>
      <w:marRight w:val="0"/>
      <w:marTop w:val="0"/>
      <w:marBottom w:val="0"/>
      <w:divBdr>
        <w:top w:val="none" w:sz="0" w:space="0" w:color="auto"/>
        <w:left w:val="none" w:sz="0" w:space="0" w:color="auto"/>
        <w:bottom w:val="none" w:sz="0" w:space="0" w:color="auto"/>
        <w:right w:val="none" w:sz="0" w:space="0" w:color="auto"/>
      </w:divBdr>
    </w:div>
    <w:div w:id="1748644747">
      <w:bodyDiv w:val="1"/>
      <w:marLeft w:val="0"/>
      <w:marRight w:val="0"/>
      <w:marTop w:val="0"/>
      <w:marBottom w:val="0"/>
      <w:divBdr>
        <w:top w:val="none" w:sz="0" w:space="0" w:color="auto"/>
        <w:left w:val="none" w:sz="0" w:space="0" w:color="auto"/>
        <w:bottom w:val="none" w:sz="0" w:space="0" w:color="auto"/>
        <w:right w:val="none" w:sz="0" w:space="0" w:color="auto"/>
      </w:divBdr>
    </w:div>
    <w:div w:id="1759866452">
      <w:bodyDiv w:val="1"/>
      <w:marLeft w:val="0"/>
      <w:marRight w:val="0"/>
      <w:marTop w:val="0"/>
      <w:marBottom w:val="0"/>
      <w:divBdr>
        <w:top w:val="none" w:sz="0" w:space="0" w:color="auto"/>
        <w:left w:val="none" w:sz="0" w:space="0" w:color="auto"/>
        <w:bottom w:val="none" w:sz="0" w:space="0" w:color="auto"/>
        <w:right w:val="none" w:sz="0" w:space="0" w:color="auto"/>
      </w:divBdr>
    </w:div>
    <w:div w:id="1767188909">
      <w:bodyDiv w:val="1"/>
      <w:marLeft w:val="0"/>
      <w:marRight w:val="0"/>
      <w:marTop w:val="0"/>
      <w:marBottom w:val="0"/>
      <w:divBdr>
        <w:top w:val="none" w:sz="0" w:space="0" w:color="auto"/>
        <w:left w:val="none" w:sz="0" w:space="0" w:color="auto"/>
        <w:bottom w:val="none" w:sz="0" w:space="0" w:color="auto"/>
        <w:right w:val="none" w:sz="0" w:space="0" w:color="auto"/>
      </w:divBdr>
    </w:div>
    <w:div w:id="1768888016">
      <w:bodyDiv w:val="1"/>
      <w:marLeft w:val="0"/>
      <w:marRight w:val="0"/>
      <w:marTop w:val="0"/>
      <w:marBottom w:val="0"/>
      <w:divBdr>
        <w:top w:val="none" w:sz="0" w:space="0" w:color="auto"/>
        <w:left w:val="none" w:sz="0" w:space="0" w:color="auto"/>
        <w:bottom w:val="none" w:sz="0" w:space="0" w:color="auto"/>
        <w:right w:val="none" w:sz="0" w:space="0" w:color="auto"/>
      </w:divBdr>
    </w:div>
    <w:div w:id="1771192755">
      <w:bodyDiv w:val="1"/>
      <w:marLeft w:val="0"/>
      <w:marRight w:val="0"/>
      <w:marTop w:val="0"/>
      <w:marBottom w:val="0"/>
      <w:divBdr>
        <w:top w:val="none" w:sz="0" w:space="0" w:color="auto"/>
        <w:left w:val="none" w:sz="0" w:space="0" w:color="auto"/>
        <w:bottom w:val="none" w:sz="0" w:space="0" w:color="auto"/>
        <w:right w:val="none" w:sz="0" w:space="0" w:color="auto"/>
      </w:divBdr>
    </w:div>
    <w:div w:id="1773279888">
      <w:bodyDiv w:val="1"/>
      <w:marLeft w:val="0"/>
      <w:marRight w:val="0"/>
      <w:marTop w:val="0"/>
      <w:marBottom w:val="0"/>
      <w:divBdr>
        <w:top w:val="none" w:sz="0" w:space="0" w:color="auto"/>
        <w:left w:val="none" w:sz="0" w:space="0" w:color="auto"/>
        <w:bottom w:val="none" w:sz="0" w:space="0" w:color="auto"/>
        <w:right w:val="none" w:sz="0" w:space="0" w:color="auto"/>
      </w:divBdr>
    </w:div>
    <w:div w:id="1774587173">
      <w:bodyDiv w:val="1"/>
      <w:marLeft w:val="0"/>
      <w:marRight w:val="0"/>
      <w:marTop w:val="0"/>
      <w:marBottom w:val="0"/>
      <w:divBdr>
        <w:top w:val="none" w:sz="0" w:space="0" w:color="auto"/>
        <w:left w:val="none" w:sz="0" w:space="0" w:color="auto"/>
        <w:bottom w:val="none" w:sz="0" w:space="0" w:color="auto"/>
        <w:right w:val="none" w:sz="0" w:space="0" w:color="auto"/>
      </w:divBdr>
    </w:div>
    <w:div w:id="1776779101">
      <w:bodyDiv w:val="1"/>
      <w:marLeft w:val="0"/>
      <w:marRight w:val="0"/>
      <w:marTop w:val="0"/>
      <w:marBottom w:val="0"/>
      <w:divBdr>
        <w:top w:val="none" w:sz="0" w:space="0" w:color="auto"/>
        <w:left w:val="none" w:sz="0" w:space="0" w:color="auto"/>
        <w:bottom w:val="none" w:sz="0" w:space="0" w:color="auto"/>
        <w:right w:val="none" w:sz="0" w:space="0" w:color="auto"/>
      </w:divBdr>
    </w:div>
    <w:div w:id="1777603347">
      <w:bodyDiv w:val="1"/>
      <w:marLeft w:val="0"/>
      <w:marRight w:val="0"/>
      <w:marTop w:val="0"/>
      <w:marBottom w:val="0"/>
      <w:divBdr>
        <w:top w:val="none" w:sz="0" w:space="0" w:color="auto"/>
        <w:left w:val="none" w:sz="0" w:space="0" w:color="auto"/>
        <w:bottom w:val="none" w:sz="0" w:space="0" w:color="auto"/>
        <w:right w:val="none" w:sz="0" w:space="0" w:color="auto"/>
      </w:divBdr>
    </w:div>
    <w:div w:id="1779374041">
      <w:bodyDiv w:val="1"/>
      <w:marLeft w:val="0"/>
      <w:marRight w:val="0"/>
      <w:marTop w:val="0"/>
      <w:marBottom w:val="0"/>
      <w:divBdr>
        <w:top w:val="none" w:sz="0" w:space="0" w:color="auto"/>
        <w:left w:val="none" w:sz="0" w:space="0" w:color="auto"/>
        <w:bottom w:val="none" w:sz="0" w:space="0" w:color="auto"/>
        <w:right w:val="none" w:sz="0" w:space="0" w:color="auto"/>
      </w:divBdr>
    </w:div>
    <w:div w:id="1792279856">
      <w:bodyDiv w:val="1"/>
      <w:marLeft w:val="0"/>
      <w:marRight w:val="0"/>
      <w:marTop w:val="0"/>
      <w:marBottom w:val="0"/>
      <w:divBdr>
        <w:top w:val="none" w:sz="0" w:space="0" w:color="auto"/>
        <w:left w:val="none" w:sz="0" w:space="0" w:color="auto"/>
        <w:bottom w:val="none" w:sz="0" w:space="0" w:color="auto"/>
        <w:right w:val="none" w:sz="0" w:space="0" w:color="auto"/>
      </w:divBdr>
    </w:div>
    <w:div w:id="1802918885">
      <w:bodyDiv w:val="1"/>
      <w:marLeft w:val="0"/>
      <w:marRight w:val="0"/>
      <w:marTop w:val="0"/>
      <w:marBottom w:val="0"/>
      <w:divBdr>
        <w:top w:val="none" w:sz="0" w:space="0" w:color="auto"/>
        <w:left w:val="none" w:sz="0" w:space="0" w:color="auto"/>
        <w:bottom w:val="none" w:sz="0" w:space="0" w:color="auto"/>
        <w:right w:val="none" w:sz="0" w:space="0" w:color="auto"/>
      </w:divBdr>
    </w:div>
    <w:div w:id="1807772412">
      <w:bodyDiv w:val="1"/>
      <w:marLeft w:val="0"/>
      <w:marRight w:val="0"/>
      <w:marTop w:val="0"/>
      <w:marBottom w:val="0"/>
      <w:divBdr>
        <w:top w:val="none" w:sz="0" w:space="0" w:color="auto"/>
        <w:left w:val="none" w:sz="0" w:space="0" w:color="auto"/>
        <w:bottom w:val="none" w:sz="0" w:space="0" w:color="auto"/>
        <w:right w:val="none" w:sz="0" w:space="0" w:color="auto"/>
      </w:divBdr>
    </w:div>
    <w:div w:id="1813323702">
      <w:bodyDiv w:val="1"/>
      <w:marLeft w:val="0"/>
      <w:marRight w:val="0"/>
      <w:marTop w:val="0"/>
      <w:marBottom w:val="0"/>
      <w:divBdr>
        <w:top w:val="none" w:sz="0" w:space="0" w:color="auto"/>
        <w:left w:val="none" w:sz="0" w:space="0" w:color="auto"/>
        <w:bottom w:val="none" w:sz="0" w:space="0" w:color="auto"/>
        <w:right w:val="none" w:sz="0" w:space="0" w:color="auto"/>
      </w:divBdr>
    </w:div>
    <w:div w:id="1813861521">
      <w:bodyDiv w:val="1"/>
      <w:marLeft w:val="0"/>
      <w:marRight w:val="0"/>
      <w:marTop w:val="0"/>
      <w:marBottom w:val="0"/>
      <w:divBdr>
        <w:top w:val="none" w:sz="0" w:space="0" w:color="auto"/>
        <w:left w:val="none" w:sz="0" w:space="0" w:color="auto"/>
        <w:bottom w:val="none" w:sz="0" w:space="0" w:color="auto"/>
        <w:right w:val="none" w:sz="0" w:space="0" w:color="auto"/>
      </w:divBdr>
    </w:div>
    <w:div w:id="1821002091">
      <w:bodyDiv w:val="1"/>
      <w:marLeft w:val="0"/>
      <w:marRight w:val="0"/>
      <w:marTop w:val="0"/>
      <w:marBottom w:val="0"/>
      <w:divBdr>
        <w:top w:val="none" w:sz="0" w:space="0" w:color="auto"/>
        <w:left w:val="none" w:sz="0" w:space="0" w:color="auto"/>
        <w:bottom w:val="none" w:sz="0" w:space="0" w:color="auto"/>
        <w:right w:val="none" w:sz="0" w:space="0" w:color="auto"/>
      </w:divBdr>
    </w:div>
    <w:div w:id="1828520771">
      <w:bodyDiv w:val="1"/>
      <w:marLeft w:val="0"/>
      <w:marRight w:val="0"/>
      <w:marTop w:val="0"/>
      <w:marBottom w:val="0"/>
      <w:divBdr>
        <w:top w:val="none" w:sz="0" w:space="0" w:color="auto"/>
        <w:left w:val="none" w:sz="0" w:space="0" w:color="auto"/>
        <w:bottom w:val="none" w:sz="0" w:space="0" w:color="auto"/>
        <w:right w:val="none" w:sz="0" w:space="0" w:color="auto"/>
      </w:divBdr>
    </w:div>
    <w:div w:id="1841502358">
      <w:bodyDiv w:val="1"/>
      <w:marLeft w:val="0"/>
      <w:marRight w:val="0"/>
      <w:marTop w:val="0"/>
      <w:marBottom w:val="0"/>
      <w:divBdr>
        <w:top w:val="none" w:sz="0" w:space="0" w:color="auto"/>
        <w:left w:val="none" w:sz="0" w:space="0" w:color="auto"/>
        <w:bottom w:val="none" w:sz="0" w:space="0" w:color="auto"/>
        <w:right w:val="none" w:sz="0" w:space="0" w:color="auto"/>
      </w:divBdr>
    </w:div>
    <w:div w:id="1842768579">
      <w:bodyDiv w:val="1"/>
      <w:marLeft w:val="0"/>
      <w:marRight w:val="0"/>
      <w:marTop w:val="0"/>
      <w:marBottom w:val="0"/>
      <w:divBdr>
        <w:top w:val="none" w:sz="0" w:space="0" w:color="auto"/>
        <w:left w:val="none" w:sz="0" w:space="0" w:color="auto"/>
        <w:bottom w:val="none" w:sz="0" w:space="0" w:color="auto"/>
        <w:right w:val="none" w:sz="0" w:space="0" w:color="auto"/>
      </w:divBdr>
    </w:div>
    <w:div w:id="1843928862">
      <w:bodyDiv w:val="1"/>
      <w:marLeft w:val="0"/>
      <w:marRight w:val="0"/>
      <w:marTop w:val="0"/>
      <w:marBottom w:val="0"/>
      <w:divBdr>
        <w:top w:val="none" w:sz="0" w:space="0" w:color="auto"/>
        <w:left w:val="none" w:sz="0" w:space="0" w:color="auto"/>
        <w:bottom w:val="none" w:sz="0" w:space="0" w:color="auto"/>
        <w:right w:val="none" w:sz="0" w:space="0" w:color="auto"/>
      </w:divBdr>
    </w:div>
    <w:div w:id="1846356511">
      <w:bodyDiv w:val="1"/>
      <w:marLeft w:val="0"/>
      <w:marRight w:val="0"/>
      <w:marTop w:val="0"/>
      <w:marBottom w:val="0"/>
      <w:divBdr>
        <w:top w:val="none" w:sz="0" w:space="0" w:color="auto"/>
        <w:left w:val="none" w:sz="0" w:space="0" w:color="auto"/>
        <w:bottom w:val="none" w:sz="0" w:space="0" w:color="auto"/>
        <w:right w:val="none" w:sz="0" w:space="0" w:color="auto"/>
      </w:divBdr>
    </w:div>
    <w:div w:id="1879202360">
      <w:bodyDiv w:val="1"/>
      <w:marLeft w:val="0"/>
      <w:marRight w:val="0"/>
      <w:marTop w:val="0"/>
      <w:marBottom w:val="0"/>
      <w:divBdr>
        <w:top w:val="none" w:sz="0" w:space="0" w:color="auto"/>
        <w:left w:val="none" w:sz="0" w:space="0" w:color="auto"/>
        <w:bottom w:val="none" w:sz="0" w:space="0" w:color="auto"/>
        <w:right w:val="none" w:sz="0" w:space="0" w:color="auto"/>
      </w:divBdr>
    </w:div>
    <w:div w:id="1881553346">
      <w:bodyDiv w:val="1"/>
      <w:marLeft w:val="0"/>
      <w:marRight w:val="0"/>
      <w:marTop w:val="0"/>
      <w:marBottom w:val="0"/>
      <w:divBdr>
        <w:top w:val="none" w:sz="0" w:space="0" w:color="auto"/>
        <w:left w:val="none" w:sz="0" w:space="0" w:color="auto"/>
        <w:bottom w:val="none" w:sz="0" w:space="0" w:color="auto"/>
        <w:right w:val="none" w:sz="0" w:space="0" w:color="auto"/>
      </w:divBdr>
    </w:div>
    <w:div w:id="1882476454">
      <w:bodyDiv w:val="1"/>
      <w:marLeft w:val="0"/>
      <w:marRight w:val="0"/>
      <w:marTop w:val="0"/>
      <w:marBottom w:val="0"/>
      <w:divBdr>
        <w:top w:val="none" w:sz="0" w:space="0" w:color="auto"/>
        <w:left w:val="none" w:sz="0" w:space="0" w:color="auto"/>
        <w:bottom w:val="none" w:sz="0" w:space="0" w:color="auto"/>
        <w:right w:val="none" w:sz="0" w:space="0" w:color="auto"/>
      </w:divBdr>
    </w:div>
    <w:div w:id="1882739376">
      <w:bodyDiv w:val="1"/>
      <w:marLeft w:val="0"/>
      <w:marRight w:val="0"/>
      <w:marTop w:val="0"/>
      <w:marBottom w:val="0"/>
      <w:divBdr>
        <w:top w:val="none" w:sz="0" w:space="0" w:color="auto"/>
        <w:left w:val="none" w:sz="0" w:space="0" w:color="auto"/>
        <w:bottom w:val="none" w:sz="0" w:space="0" w:color="auto"/>
        <w:right w:val="none" w:sz="0" w:space="0" w:color="auto"/>
      </w:divBdr>
    </w:div>
    <w:div w:id="1883519827">
      <w:bodyDiv w:val="1"/>
      <w:marLeft w:val="0"/>
      <w:marRight w:val="0"/>
      <w:marTop w:val="0"/>
      <w:marBottom w:val="0"/>
      <w:divBdr>
        <w:top w:val="none" w:sz="0" w:space="0" w:color="auto"/>
        <w:left w:val="none" w:sz="0" w:space="0" w:color="auto"/>
        <w:bottom w:val="none" w:sz="0" w:space="0" w:color="auto"/>
        <w:right w:val="none" w:sz="0" w:space="0" w:color="auto"/>
      </w:divBdr>
    </w:div>
    <w:div w:id="1886674758">
      <w:bodyDiv w:val="1"/>
      <w:marLeft w:val="0"/>
      <w:marRight w:val="0"/>
      <w:marTop w:val="0"/>
      <w:marBottom w:val="0"/>
      <w:divBdr>
        <w:top w:val="none" w:sz="0" w:space="0" w:color="auto"/>
        <w:left w:val="none" w:sz="0" w:space="0" w:color="auto"/>
        <w:bottom w:val="none" w:sz="0" w:space="0" w:color="auto"/>
        <w:right w:val="none" w:sz="0" w:space="0" w:color="auto"/>
      </w:divBdr>
    </w:div>
    <w:div w:id="1890650690">
      <w:bodyDiv w:val="1"/>
      <w:marLeft w:val="0"/>
      <w:marRight w:val="0"/>
      <w:marTop w:val="0"/>
      <w:marBottom w:val="0"/>
      <w:divBdr>
        <w:top w:val="none" w:sz="0" w:space="0" w:color="auto"/>
        <w:left w:val="none" w:sz="0" w:space="0" w:color="auto"/>
        <w:bottom w:val="none" w:sz="0" w:space="0" w:color="auto"/>
        <w:right w:val="none" w:sz="0" w:space="0" w:color="auto"/>
      </w:divBdr>
    </w:div>
    <w:div w:id="1894997811">
      <w:bodyDiv w:val="1"/>
      <w:marLeft w:val="0"/>
      <w:marRight w:val="0"/>
      <w:marTop w:val="0"/>
      <w:marBottom w:val="0"/>
      <w:divBdr>
        <w:top w:val="none" w:sz="0" w:space="0" w:color="auto"/>
        <w:left w:val="none" w:sz="0" w:space="0" w:color="auto"/>
        <w:bottom w:val="none" w:sz="0" w:space="0" w:color="auto"/>
        <w:right w:val="none" w:sz="0" w:space="0" w:color="auto"/>
      </w:divBdr>
    </w:div>
    <w:div w:id="1898122921">
      <w:bodyDiv w:val="1"/>
      <w:marLeft w:val="0"/>
      <w:marRight w:val="0"/>
      <w:marTop w:val="0"/>
      <w:marBottom w:val="0"/>
      <w:divBdr>
        <w:top w:val="none" w:sz="0" w:space="0" w:color="auto"/>
        <w:left w:val="none" w:sz="0" w:space="0" w:color="auto"/>
        <w:bottom w:val="none" w:sz="0" w:space="0" w:color="auto"/>
        <w:right w:val="none" w:sz="0" w:space="0" w:color="auto"/>
      </w:divBdr>
    </w:div>
    <w:div w:id="1905337006">
      <w:bodyDiv w:val="1"/>
      <w:marLeft w:val="0"/>
      <w:marRight w:val="0"/>
      <w:marTop w:val="0"/>
      <w:marBottom w:val="0"/>
      <w:divBdr>
        <w:top w:val="none" w:sz="0" w:space="0" w:color="auto"/>
        <w:left w:val="none" w:sz="0" w:space="0" w:color="auto"/>
        <w:bottom w:val="none" w:sz="0" w:space="0" w:color="auto"/>
        <w:right w:val="none" w:sz="0" w:space="0" w:color="auto"/>
      </w:divBdr>
    </w:div>
    <w:div w:id="1917781406">
      <w:bodyDiv w:val="1"/>
      <w:marLeft w:val="0"/>
      <w:marRight w:val="0"/>
      <w:marTop w:val="0"/>
      <w:marBottom w:val="0"/>
      <w:divBdr>
        <w:top w:val="none" w:sz="0" w:space="0" w:color="auto"/>
        <w:left w:val="none" w:sz="0" w:space="0" w:color="auto"/>
        <w:bottom w:val="none" w:sz="0" w:space="0" w:color="auto"/>
        <w:right w:val="none" w:sz="0" w:space="0" w:color="auto"/>
      </w:divBdr>
    </w:div>
    <w:div w:id="1928659445">
      <w:bodyDiv w:val="1"/>
      <w:marLeft w:val="0"/>
      <w:marRight w:val="0"/>
      <w:marTop w:val="0"/>
      <w:marBottom w:val="0"/>
      <w:divBdr>
        <w:top w:val="none" w:sz="0" w:space="0" w:color="auto"/>
        <w:left w:val="none" w:sz="0" w:space="0" w:color="auto"/>
        <w:bottom w:val="none" w:sz="0" w:space="0" w:color="auto"/>
        <w:right w:val="none" w:sz="0" w:space="0" w:color="auto"/>
      </w:divBdr>
    </w:div>
    <w:div w:id="1931351542">
      <w:bodyDiv w:val="1"/>
      <w:marLeft w:val="0"/>
      <w:marRight w:val="0"/>
      <w:marTop w:val="0"/>
      <w:marBottom w:val="0"/>
      <w:divBdr>
        <w:top w:val="none" w:sz="0" w:space="0" w:color="auto"/>
        <w:left w:val="none" w:sz="0" w:space="0" w:color="auto"/>
        <w:bottom w:val="none" w:sz="0" w:space="0" w:color="auto"/>
        <w:right w:val="none" w:sz="0" w:space="0" w:color="auto"/>
      </w:divBdr>
    </w:div>
    <w:div w:id="1932002865">
      <w:bodyDiv w:val="1"/>
      <w:marLeft w:val="0"/>
      <w:marRight w:val="0"/>
      <w:marTop w:val="0"/>
      <w:marBottom w:val="0"/>
      <w:divBdr>
        <w:top w:val="none" w:sz="0" w:space="0" w:color="auto"/>
        <w:left w:val="none" w:sz="0" w:space="0" w:color="auto"/>
        <w:bottom w:val="none" w:sz="0" w:space="0" w:color="auto"/>
        <w:right w:val="none" w:sz="0" w:space="0" w:color="auto"/>
      </w:divBdr>
    </w:div>
    <w:div w:id="1932004930">
      <w:bodyDiv w:val="1"/>
      <w:marLeft w:val="0"/>
      <w:marRight w:val="0"/>
      <w:marTop w:val="0"/>
      <w:marBottom w:val="0"/>
      <w:divBdr>
        <w:top w:val="none" w:sz="0" w:space="0" w:color="auto"/>
        <w:left w:val="none" w:sz="0" w:space="0" w:color="auto"/>
        <w:bottom w:val="none" w:sz="0" w:space="0" w:color="auto"/>
        <w:right w:val="none" w:sz="0" w:space="0" w:color="auto"/>
      </w:divBdr>
    </w:div>
    <w:div w:id="1934820182">
      <w:bodyDiv w:val="1"/>
      <w:marLeft w:val="0"/>
      <w:marRight w:val="0"/>
      <w:marTop w:val="0"/>
      <w:marBottom w:val="0"/>
      <w:divBdr>
        <w:top w:val="none" w:sz="0" w:space="0" w:color="auto"/>
        <w:left w:val="none" w:sz="0" w:space="0" w:color="auto"/>
        <w:bottom w:val="none" w:sz="0" w:space="0" w:color="auto"/>
        <w:right w:val="none" w:sz="0" w:space="0" w:color="auto"/>
      </w:divBdr>
    </w:div>
    <w:div w:id="1939483028">
      <w:bodyDiv w:val="1"/>
      <w:marLeft w:val="0"/>
      <w:marRight w:val="0"/>
      <w:marTop w:val="0"/>
      <w:marBottom w:val="0"/>
      <w:divBdr>
        <w:top w:val="none" w:sz="0" w:space="0" w:color="auto"/>
        <w:left w:val="none" w:sz="0" w:space="0" w:color="auto"/>
        <w:bottom w:val="none" w:sz="0" w:space="0" w:color="auto"/>
        <w:right w:val="none" w:sz="0" w:space="0" w:color="auto"/>
      </w:divBdr>
    </w:div>
    <w:div w:id="1940991720">
      <w:bodyDiv w:val="1"/>
      <w:marLeft w:val="0"/>
      <w:marRight w:val="0"/>
      <w:marTop w:val="0"/>
      <w:marBottom w:val="0"/>
      <w:divBdr>
        <w:top w:val="none" w:sz="0" w:space="0" w:color="auto"/>
        <w:left w:val="none" w:sz="0" w:space="0" w:color="auto"/>
        <w:bottom w:val="none" w:sz="0" w:space="0" w:color="auto"/>
        <w:right w:val="none" w:sz="0" w:space="0" w:color="auto"/>
      </w:divBdr>
    </w:div>
    <w:div w:id="1941797193">
      <w:bodyDiv w:val="1"/>
      <w:marLeft w:val="0"/>
      <w:marRight w:val="0"/>
      <w:marTop w:val="0"/>
      <w:marBottom w:val="0"/>
      <w:divBdr>
        <w:top w:val="none" w:sz="0" w:space="0" w:color="auto"/>
        <w:left w:val="none" w:sz="0" w:space="0" w:color="auto"/>
        <w:bottom w:val="none" w:sz="0" w:space="0" w:color="auto"/>
        <w:right w:val="none" w:sz="0" w:space="0" w:color="auto"/>
      </w:divBdr>
    </w:div>
    <w:div w:id="1944460319">
      <w:bodyDiv w:val="1"/>
      <w:marLeft w:val="0"/>
      <w:marRight w:val="0"/>
      <w:marTop w:val="0"/>
      <w:marBottom w:val="0"/>
      <w:divBdr>
        <w:top w:val="none" w:sz="0" w:space="0" w:color="auto"/>
        <w:left w:val="none" w:sz="0" w:space="0" w:color="auto"/>
        <w:bottom w:val="none" w:sz="0" w:space="0" w:color="auto"/>
        <w:right w:val="none" w:sz="0" w:space="0" w:color="auto"/>
      </w:divBdr>
    </w:div>
    <w:div w:id="1946038592">
      <w:bodyDiv w:val="1"/>
      <w:marLeft w:val="0"/>
      <w:marRight w:val="0"/>
      <w:marTop w:val="0"/>
      <w:marBottom w:val="0"/>
      <w:divBdr>
        <w:top w:val="none" w:sz="0" w:space="0" w:color="auto"/>
        <w:left w:val="none" w:sz="0" w:space="0" w:color="auto"/>
        <w:bottom w:val="none" w:sz="0" w:space="0" w:color="auto"/>
        <w:right w:val="none" w:sz="0" w:space="0" w:color="auto"/>
      </w:divBdr>
    </w:div>
    <w:div w:id="1947536560">
      <w:bodyDiv w:val="1"/>
      <w:marLeft w:val="0"/>
      <w:marRight w:val="0"/>
      <w:marTop w:val="0"/>
      <w:marBottom w:val="0"/>
      <w:divBdr>
        <w:top w:val="none" w:sz="0" w:space="0" w:color="auto"/>
        <w:left w:val="none" w:sz="0" w:space="0" w:color="auto"/>
        <w:bottom w:val="none" w:sz="0" w:space="0" w:color="auto"/>
        <w:right w:val="none" w:sz="0" w:space="0" w:color="auto"/>
      </w:divBdr>
    </w:div>
    <w:div w:id="1950772840">
      <w:bodyDiv w:val="1"/>
      <w:marLeft w:val="0"/>
      <w:marRight w:val="0"/>
      <w:marTop w:val="0"/>
      <w:marBottom w:val="0"/>
      <w:divBdr>
        <w:top w:val="none" w:sz="0" w:space="0" w:color="auto"/>
        <w:left w:val="none" w:sz="0" w:space="0" w:color="auto"/>
        <w:bottom w:val="none" w:sz="0" w:space="0" w:color="auto"/>
        <w:right w:val="none" w:sz="0" w:space="0" w:color="auto"/>
      </w:divBdr>
    </w:div>
    <w:div w:id="1953511998">
      <w:bodyDiv w:val="1"/>
      <w:marLeft w:val="0"/>
      <w:marRight w:val="0"/>
      <w:marTop w:val="0"/>
      <w:marBottom w:val="0"/>
      <w:divBdr>
        <w:top w:val="none" w:sz="0" w:space="0" w:color="auto"/>
        <w:left w:val="none" w:sz="0" w:space="0" w:color="auto"/>
        <w:bottom w:val="none" w:sz="0" w:space="0" w:color="auto"/>
        <w:right w:val="none" w:sz="0" w:space="0" w:color="auto"/>
      </w:divBdr>
    </w:div>
    <w:div w:id="1963266644">
      <w:bodyDiv w:val="1"/>
      <w:marLeft w:val="0"/>
      <w:marRight w:val="0"/>
      <w:marTop w:val="0"/>
      <w:marBottom w:val="0"/>
      <w:divBdr>
        <w:top w:val="none" w:sz="0" w:space="0" w:color="auto"/>
        <w:left w:val="none" w:sz="0" w:space="0" w:color="auto"/>
        <w:bottom w:val="none" w:sz="0" w:space="0" w:color="auto"/>
        <w:right w:val="none" w:sz="0" w:space="0" w:color="auto"/>
      </w:divBdr>
    </w:div>
    <w:div w:id="1970092706">
      <w:bodyDiv w:val="1"/>
      <w:marLeft w:val="0"/>
      <w:marRight w:val="0"/>
      <w:marTop w:val="0"/>
      <w:marBottom w:val="0"/>
      <w:divBdr>
        <w:top w:val="none" w:sz="0" w:space="0" w:color="auto"/>
        <w:left w:val="none" w:sz="0" w:space="0" w:color="auto"/>
        <w:bottom w:val="none" w:sz="0" w:space="0" w:color="auto"/>
        <w:right w:val="none" w:sz="0" w:space="0" w:color="auto"/>
      </w:divBdr>
    </w:div>
    <w:div w:id="1979676502">
      <w:bodyDiv w:val="1"/>
      <w:marLeft w:val="0"/>
      <w:marRight w:val="0"/>
      <w:marTop w:val="0"/>
      <w:marBottom w:val="0"/>
      <w:divBdr>
        <w:top w:val="none" w:sz="0" w:space="0" w:color="auto"/>
        <w:left w:val="none" w:sz="0" w:space="0" w:color="auto"/>
        <w:bottom w:val="none" w:sz="0" w:space="0" w:color="auto"/>
        <w:right w:val="none" w:sz="0" w:space="0" w:color="auto"/>
      </w:divBdr>
    </w:div>
    <w:div w:id="1987276181">
      <w:bodyDiv w:val="1"/>
      <w:marLeft w:val="0"/>
      <w:marRight w:val="0"/>
      <w:marTop w:val="0"/>
      <w:marBottom w:val="0"/>
      <w:divBdr>
        <w:top w:val="none" w:sz="0" w:space="0" w:color="auto"/>
        <w:left w:val="none" w:sz="0" w:space="0" w:color="auto"/>
        <w:bottom w:val="none" w:sz="0" w:space="0" w:color="auto"/>
        <w:right w:val="none" w:sz="0" w:space="0" w:color="auto"/>
      </w:divBdr>
    </w:div>
    <w:div w:id="2002346754">
      <w:bodyDiv w:val="1"/>
      <w:marLeft w:val="0"/>
      <w:marRight w:val="0"/>
      <w:marTop w:val="0"/>
      <w:marBottom w:val="0"/>
      <w:divBdr>
        <w:top w:val="none" w:sz="0" w:space="0" w:color="auto"/>
        <w:left w:val="none" w:sz="0" w:space="0" w:color="auto"/>
        <w:bottom w:val="none" w:sz="0" w:space="0" w:color="auto"/>
        <w:right w:val="none" w:sz="0" w:space="0" w:color="auto"/>
      </w:divBdr>
    </w:div>
    <w:div w:id="2021810413">
      <w:bodyDiv w:val="1"/>
      <w:marLeft w:val="0"/>
      <w:marRight w:val="0"/>
      <w:marTop w:val="0"/>
      <w:marBottom w:val="0"/>
      <w:divBdr>
        <w:top w:val="none" w:sz="0" w:space="0" w:color="auto"/>
        <w:left w:val="none" w:sz="0" w:space="0" w:color="auto"/>
        <w:bottom w:val="none" w:sz="0" w:space="0" w:color="auto"/>
        <w:right w:val="none" w:sz="0" w:space="0" w:color="auto"/>
      </w:divBdr>
    </w:div>
    <w:div w:id="2027946134">
      <w:bodyDiv w:val="1"/>
      <w:marLeft w:val="0"/>
      <w:marRight w:val="0"/>
      <w:marTop w:val="0"/>
      <w:marBottom w:val="0"/>
      <w:divBdr>
        <w:top w:val="none" w:sz="0" w:space="0" w:color="auto"/>
        <w:left w:val="none" w:sz="0" w:space="0" w:color="auto"/>
        <w:bottom w:val="none" w:sz="0" w:space="0" w:color="auto"/>
        <w:right w:val="none" w:sz="0" w:space="0" w:color="auto"/>
      </w:divBdr>
    </w:div>
    <w:div w:id="2028485055">
      <w:bodyDiv w:val="1"/>
      <w:marLeft w:val="0"/>
      <w:marRight w:val="0"/>
      <w:marTop w:val="0"/>
      <w:marBottom w:val="0"/>
      <w:divBdr>
        <w:top w:val="none" w:sz="0" w:space="0" w:color="auto"/>
        <w:left w:val="none" w:sz="0" w:space="0" w:color="auto"/>
        <w:bottom w:val="none" w:sz="0" w:space="0" w:color="auto"/>
        <w:right w:val="none" w:sz="0" w:space="0" w:color="auto"/>
      </w:divBdr>
    </w:div>
    <w:div w:id="2032681591">
      <w:bodyDiv w:val="1"/>
      <w:marLeft w:val="0"/>
      <w:marRight w:val="0"/>
      <w:marTop w:val="0"/>
      <w:marBottom w:val="0"/>
      <w:divBdr>
        <w:top w:val="none" w:sz="0" w:space="0" w:color="auto"/>
        <w:left w:val="none" w:sz="0" w:space="0" w:color="auto"/>
        <w:bottom w:val="none" w:sz="0" w:space="0" w:color="auto"/>
        <w:right w:val="none" w:sz="0" w:space="0" w:color="auto"/>
      </w:divBdr>
    </w:div>
    <w:div w:id="2032682115">
      <w:bodyDiv w:val="1"/>
      <w:marLeft w:val="0"/>
      <w:marRight w:val="0"/>
      <w:marTop w:val="0"/>
      <w:marBottom w:val="0"/>
      <w:divBdr>
        <w:top w:val="none" w:sz="0" w:space="0" w:color="auto"/>
        <w:left w:val="none" w:sz="0" w:space="0" w:color="auto"/>
        <w:bottom w:val="none" w:sz="0" w:space="0" w:color="auto"/>
        <w:right w:val="none" w:sz="0" w:space="0" w:color="auto"/>
      </w:divBdr>
    </w:div>
    <w:div w:id="2033870455">
      <w:bodyDiv w:val="1"/>
      <w:marLeft w:val="0"/>
      <w:marRight w:val="0"/>
      <w:marTop w:val="0"/>
      <w:marBottom w:val="0"/>
      <w:divBdr>
        <w:top w:val="none" w:sz="0" w:space="0" w:color="auto"/>
        <w:left w:val="none" w:sz="0" w:space="0" w:color="auto"/>
        <w:bottom w:val="none" w:sz="0" w:space="0" w:color="auto"/>
        <w:right w:val="none" w:sz="0" w:space="0" w:color="auto"/>
      </w:divBdr>
    </w:div>
    <w:div w:id="2036223683">
      <w:bodyDiv w:val="1"/>
      <w:marLeft w:val="0"/>
      <w:marRight w:val="0"/>
      <w:marTop w:val="0"/>
      <w:marBottom w:val="0"/>
      <w:divBdr>
        <w:top w:val="none" w:sz="0" w:space="0" w:color="auto"/>
        <w:left w:val="none" w:sz="0" w:space="0" w:color="auto"/>
        <w:bottom w:val="none" w:sz="0" w:space="0" w:color="auto"/>
        <w:right w:val="none" w:sz="0" w:space="0" w:color="auto"/>
      </w:divBdr>
    </w:div>
    <w:div w:id="2046640016">
      <w:bodyDiv w:val="1"/>
      <w:marLeft w:val="0"/>
      <w:marRight w:val="0"/>
      <w:marTop w:val="0"/>
      <w:marBottom w:val="0"/>
      <w:divBdr>
        <w:top w:val="none" w:sz="0" w:space="0" w:color="auto"/>
        <w:left w:val="none" w:sz="0" w:space="0" w:color="auto"/>
        <w:bottom w:val="none" w:sz="0" w:space="0" w:color="auto"/>
        <w:right w:val="none" w:sz="0" w:space="0" w:color="auto"/>
      </w:divBdr>
    </w:div>
    <w:div w:id="2051801952">
      <w:bodyDiv w:val="1"/>
      <w:marLeft w:val="0"/>
      <w:marRight w:val="0"/>
      <w:marTop w:val="0"/>
      <w:marBottom w:val="0"/>
      <w:divBdr>
        <w:top w:val="none" w:sz="0" w:space="0" w:color="auto"/>
        <w:left w:val="none" w:sz="0" w:space="0" w:color="auto"/>
        <w:bottom w:val="none" w:sz="0" w:space="0" w:color="auto"/>
        <w:right w:val="none" w:sz="0" w:space="0" w:color="auto"/>
      </w:divBdr>
    </w:div>
    <w:div w:id="2052416534">
      <w:bodyDiv w:val="1"/>
      <w:marLeft w:val="0"/>
      <w:marRight w:val="0"/>
      <w:marTop w:val="0"/>
      <w:marBottom w:val="0"/>
      <w:divBdr>
        <w:top w:val="none" w:sz="0" w:space="0" w:color="auto"/>
        <w:left w:val="none" w:sz="0" w:space="0" w:color="auto"/>
        <w:bottom w:val="none" w:sz="0" w:space="0" w:color="auto"/>
        <w:right w:val="none" w:sz="0" w:space="0" w:color="auto"/>
      </w:divBdr>
    </w:div>
    <w:div w:id="2066752219">
      <w:bodyDiv w:val="1"/>
      <w:marLeft w:val="0"/>
      <w:marRight w:val="0"/>
      <w:marTop w:val="0"/>
      <w:marBottom w:val="0"/>
      <w:divBdr>
        <w:top w:val="none" w:sz="0" w:space="0" w:color="auto"/>
        <w:left w:val="none" w:sz="0" w:space="0" w:color="auto"/>
        <w:bottom w:val="none" w:sz="0" w:space="0" w:color="auto"/>
        <w:right w:val="none" w:sz="0" w:space="0" w:color="auto"/>
      </w:divBdr>
    </w:div>
    <w:div w:id="2068721667">
      <w:bodyDiv w:val="1"/>
      <w:marLeft w:val="0"/>
      <w:marRight w:val="0"/>
      <w:marTop w:val="0"/>
      <w:marBottom w:val="0"/>
      <w:divBdr>
        <w:top w:val="none" w:sz="0" w:space="0" w:color="auto"/>
        <w:left w:val="none" w:sz="0" w:space="0" w:color="auto"/>
        <w:bottom w:val="none" w:sz="0" w:space="0" w:color="auto"/>
        <w:right w:val="none" w:sz="0" w:space="0" w:color="auto"/>
      </w:divBdr>
    </w:div>
    <w:div w:id="2069377368">
      <w:bodyDiv w:val="1"/>
      <w:marLeft w:val="0"/>
      <w:marRight w:val="0"/>
      <w:marTop w:val="0"/>
      <w:marBottom w:val="0"/>
      <w:divBdr>
        <w:top w:val="none" w:sz="0" w:space="0" w:color="auto"/>
        <w:left w:val="none" w:sz="0" w:space="0" w:color="auto"/>
        <w:bottom w:val="none" w:sz="0" w:space="0" w:color="auto"/>
        <w:right w:val="none" w:sz="0" w:space="0" w:color="auto"/>
      </w:divBdr>
    </w:div>
    <w:div w:id="2072848765">
      <w:bodyDiv w:val="1"/>
      <w:marLeft w:val="0"/>
      <w:marRight w:val="0"/>
      <w:marTop w:val="0"/>
      <w:marBottom w:val="0"/>
      <w:divBdr>
        <w:top w:val="none" w:sz="0" w:space="0" w:color="auto"/>
        <w:left w:val="none" w:sz="0" w:space="0" w:color="auto"/>
        <w:bottom w:val="none" w:sz="0" w:space="0" w:color="auto"/>
        <w:right w:val="none" w:sz="0" w:space="0" w:color="auto"/>
      </w:divBdr>
    </w:div>
    <w:div w:id="2079860841">
      <w:bodyDiv w:val="1"/>
      <w:marLeft w:val="0"/>
      <w:marRight w:val="0"/>
      <w:marTop w:val="0"/>
      <w:marBottom w:val="0"/>
      <w:divBdr>
        <w:top w:val="none" w:sz="0" w:space="0" w:color="auto"/>
        <w:left w:val="none" w:sz="0" w:space="0" w:color="auto"/>
        <w:bottom w:val="none" w:sz="0" w:space="0" w:color="auto"/>
        <w:right w:val="none" w:sz="0" w:space="0" w:color="auto"/>
      </w:divBdr>
    </w:div>
    <w:div w:id="2080055172">
      <w:bodyDiv w:val="1"/>
      <w:marLeft w:val="0"/>
      <w:marRight w:val="0"/>
      <w:marTop w:val="0"/>
      <w:marBottom w:val="0"/>
      <w:divBdr>
        <w:top w:val="none" w:sz="0" w:space="0" w:color="auto"/>
        <w:left w:val="none" w:sz="0" w:space="0" w:color="auto"/>
        <w:bottom w:val="none" w:sz="0" w:space="0" w:color="auto"/>
        <w:right w:val="none" w:sz="0" w:space="0" w:color="auto"/>
      </w:divBdr>
    </w:div>
    <w:div w:id="2080126757">
      <w:bodyDiv w:val="1"/>
      <w:marLeft w:val="0"/>
      <w:marRight w:val="0"/>
      <w:marTop w:val="0"/>
      <w:marBottom w:val="0"/>
      <w:divBdr>
        <w:top w:val="none" w:sz="0" w:space="0" w:color="auto"/>
        <w:left w:val="none" w:sz="0" w:space="0" w:color="auto"/>
        <w:bottom w:val="none" w:sz="0" w:space="0" w:color="auto"/>
        <w:right w:val="none" w:sz="0" w:space="0" w:color="auto"/>
      </w:divBdr>
    </w:div>
    <w:div w:id="2081171283">
      <w:bodyDiv w:val="1"/>
      <w:marLeft w:val="0"/>
      <w:marRight w:val="0"/>
      <w:marTop w:val="0"/>
      <w:marBottom w:val="0"/>
      <w:divBdr>
        <w:top w:val="none" w:sz="0" w:space="0" w:color="auto"/>
        <w:left w:val="none" w:sz="0" w:space="0" w:color="auto"/>
        <w:bottom w:val="none" w:sz="0" w:space="0" w:color="auto"/>
        <w:right w:val="none" w:sz="0" w:space="0" w:color="auto"/>
      </w:divBdr>
    </w:div>
    <w:div w:id="2081906410">
      <w:bodyDiv w:val="1"/>
      <w:marLeft w:val="0"/>
      <w:marRight w:val="0"/>
      <w:marTop w:val="0"/>
      <w:marBottom w:val="0"/>
      <w:divBdr>
        <w:top w:val="none" w:sz="0" w:space="0" w:color="auto"/>
        <w:left w:val="none" w:sz="0" w:space="0" w:color="auto"/>
        <w:bottom w:val="none" w:sz="0" w:space="0" w:color="auto"/>
        <w:right w:val="none" w:sz="0" w:space="0" w:color="auto"/>
      </w:divBdr>
    </w:div>
    <w:div w:id="2083528010">
      <w:bodyDiv w:val="1"/>
      <w:marLeft w:val="0"/>
      <w:marRight w:val="0"/>
      <w:marTop w:val="0"/>
      <w:marBottom w:val="0"/>
      <w:divBdr>
        <w:top w:val="none" w:sz="0" w:space="0" w:color="auto"/>
        <w:left w:val="none" w:sz="0" w:space="0" w:color="auto"/>
        <w:bottom w:val="none" w:sz="0" w:space="0" w:color="auto"/>
        <w:right w:val="none" w:sz="0" w:space="0" w:color="auto"/>
      </w:divBdr>
    </w:div>
    <w:div w:id="2085837751">
      <w:bodyDiv w:val="1"/>
      <w:marLeft w:val="0"/>
      <w:marRight w:val="0"/>
      <w:marTop w:val="0"/>
      <w:marBottom w:val="0"/>
      <w:divBdr>
        <w:top w:val="none" w:sz="0" w:space="0" w:color="auto"/>
        <w:left w:val="none" w:sz="0" w:space="0" w:color="auto"/>
        <w:bottom w:val="none" w:sz="0" w:space="0" w:color="auto"/>
        <w:right w:val="none" w:sz="0" w:space="0" w:color="auto"/>
      </w:divBdr>
    </w:div>
    <w:div w:id="2087800171">
      <w:bodyDiv w:val="1"/>
      <w:marLeft w:val="0"/>
      <w:marRight w:val="0"/>
      <w:marTop w:val="0"/>
      <w:marBottom w:val="0"/>
      <w:divBdr>
        <w:top w:val="none" w:sz="0" w:space="0" w:color="auto"/>
        <w:left w:val="none" w:sz="0" w:space="0" w:color="auto"/>
        <w:bottom w:val="none" w:sz="0" w:space="0" w:color="auto"/>
        <w:right w:val="none" w:sz="0" w:space="0" w:color="auto"/>
      </w:divBdr>
    </w:div>
    <w:div w:id="2091461154">
      <w:bodyDiv w:val="1"/>
      <w:marLeft w:val="0"/>
      <w:marRight w:val="0"/>
      <w:marTop w:val="0"/>
      <w:marBottom w:val="0"/>
      <w:divBdr>
        <w:top w:val="none" w:sz="0" w:space="0" w:color="auto"/>
        <w:left w:val="none" w:sz="0" w:space="0" w:color="auto"/>
        <w:bottom w:val="none" w:sz="0" w:space="0" w:color="auto"/>
        <w:right w:val="none" w:sz="0" w:space="0" w:color="auto"/>
      </w:divBdr>
    </w:div>
    <w:div w:id="2094012869">
      <w:bodyDiv w:val="1"/>
      <w:marLeft w:val="0"/>
      <w:marRight w:val="0"/>
      <w:marTop w:val="0"/>
      <w:marBottom w:val="0"/>
      <w:divBdr>
        <w:top w:val="none" w:sz="0" w:space="0" w:color="auto"/>
        <w:left w:val="none" w:sz="0" w:space="0" w:color="auto"/>
        <w:bottom w:val="none" w:sz="0" w:space="0" w:color="auto"/>
        <w:right w:val="none" w:sz="0" w:space="0" w:color="auto"/>
      </w:divBdr>
    </w:div>
    <w:div w:id="2095277205">
      <w:bodyDiv w:val="1"/>
      <w:marLeft w:val="0"/>
      <w:marRight w:val="0"/>
      <w:marTop w:val="0"/>
      <w:marBottom w:val="0"/>
      <w:divBdr>
        <w:top w:val="none" w:sz="0" w:space="0" w:color="auto"/>
        <w:left w:val="none" w:sz="0" w:space="0" w:color="auto"/>
        <w:bottom w:val="none" w:sz="0" w:space="0" w:color="auto"/>
        <w:right w:val="none" w:sz="0" w:space="0" w:color="auto"/>
      </w:divBdr>
    </w:div>
    <w:div w:id="2096197453">
      <w:bodyDiv w:val="1"/>
      <w:marLeft w:val="0"/>
      <w:marRight w:val="0"/>
      <w:marTop w:val="0"/>
      <w:marBottom w:val="0"/>
      <w:divBdr>
        <w:top w:val="none" w:sz="0" w:space="0" w:color="auto"/>
        <w:left w:val="none" w:sz="0" w:space="0" w:color="auto"/>
        <w:bottom w:val="none" w:sz="0" w:space="0" w:color="auto"/>
        <w:right w:val="none" w:sz="0" w:space="0" w:color="auto"/>
      </w:divBdr>
    </w:div>
    <w:div w:id="2101682363">
      <w:bodyDiv w:val="1"/>
      <w:marLeft w:val="0"/>
      <w:marRight w:val="0"/>
      <w:marTop w:val="0"/>
      <w:marBottom w:val="0"/>
      <w:divBdr>
        <w:top w:val="none" w:sz="0" w:space="0" w:color="auto"/>
        <w:left w:val="none" w:sz="0" w:space="0" w:color="auto"/>
        <w:bottom w:val="none" w:sz="0" w:space="0" w:color="auto"/>
        <w:right w:val="none" w:sz="0" w:space="0" w:color="auto"/>
      </w:divBdr>
    </w:div>
    <w:div w:id="2105952798">
      <w:bodyDiv w:val="1"/>
      <w:marLeft w:val="0"/>
      <w:marRight w:val="0"/>
      <w:marTop w:val="0"/>
      <w:marBottom w:val="0"/>
      <w:divBdr>
        <w:top w:val="none" w:sz="0" w:space="0" w:color="auto"/>
        <w:left w:val="none" w:sz="0" w:space="0" w:color="auto"/>
        <w:bottom w:val="none" w:sz="0" w:space="0" w:color="auto"/>
        <w:right w:val="none" w:sz="0" w:space="0" w:color="auto"/>
      </w:divBdr>
    </w:div>
    <w:div w:id="2107654215">
      <w:bodyDiv w:val="1"/>
      <w:marLeft w:val="0"/>
      <w:marRight w:val="0"/>
      <w:marTop w:val="0"/>
      <w:marBottom w:val="0"/>
      <w:divBdr>
        <w:top w:val="none" w:sz="0" w:space="0" w:color="auto"/>
        <w:left w:val="none" w:sz="0" w:space="0" w:color="auto"/>
        <w:bottom w:val="none" w:sz="0" w:space="0" w:color="auto"/>
        <w:right w:val="none" w:sz="0" w:space="0" w:color="auto"/>
      </w:divBdr>
    </w:div>
    <w:div w:id="2109154360">
      <w:bodyDiv w:val="1"/>
      <w:marLeft w:val="0"/>
      <w:marRight w:val="0"/>
      <w:marTop w:val="0"/>
      <w:marBottom w:val="0"/>
      <w:divBdr>
        <w:top w:val="none" w:sz="0" w:space="0" w:color="auto"/>
        <w:left w:val="none" w:sz="0" w:space="0" w:color="auto"/>
        <w:bottom w:val="none" w:sz="0" w:space="0" w:color="auto"/>
        <w:right w:val="none" w:sz="0" w:space="0" w:color="auto"/>
      </w:divBdr>
    </w:div>
    <w:div w:id="2109690503">
      <w:bodyDiv w:val="1"/>
      <w:marLeft w:val="0"/>
      <w:marRight w:val="0"/>
      <w:marTop w:val="0"/>
      <w:marBottom w:val="0"/>
      <w:divBdr>
        <w:top w:val="none" w:sz="0" w:space="0" w:color="auto"/>
        <w:left w:val="none" w:sz="0" w:space="0" w:color="auto"/>
        <w:bottom w:val="none" w:sz="0" w:space="0" w:color="auto"/>
        <w:right w:val="none" w:sz="0" w:space="0" w:color="auto"/>
      </w:divBdr>
    </w:div>
    <w:div w:id="2112236293">
      <w:bodyDiv w:val="1"/>
      <w:marLeft w:val="0"/>
      <w:marRight w:val="0"/>
      <w:marTop w:val="0"/>
      <w:marBottom w:val="0"/>
      <w:divBdr>
        <w:top w:val="none" w:sz="0" w:space="0" w:color="auto"/>
        <w:left w:val="none" w:sz="0" w:space="0" w:color="auto"/>
        <w:bottom w:val="none" w:sz="0" w:space="0" w:color="auto"/>
        <w:right w:val="none" w:sz="0" w:space="0" w:color="auto"/>
      </w:divBdr>
    </w:div>
    <w:div w:id="2121416893">
      <w:bodyDiv w:val="1"/>
      <w:marLeft w:val="0"/>
      <w:marRight w:val="0"/>
      <w:marTop w:val="0"/>
      <w:marBottom w:val="0"/>
      <w:divBdr>
        <w:top w:val="none" w:sz="0" w:space="0" w:color="auto"/>
        <w:left w:val="none" w:sz="0" w:space="0" w:color="auto"/>
        <w:bottom w:val="none" w:sz="0" w:space="0" w:color="auto"/>
        <w:right w:val="none" w:sz="0" w:space="0" w:color="auto"/>
      </w:divBdr>
    </w:div>
    <w:div w:id="2126459660">
      <w:bodyDiv w:val="1"/>
      <w:marLeft w:val="0"/>
      <w:marRight w:val="0"/>
      <w:marTop w:val="0"/>
      <w:marBottom w:val="0"/>
      <w:divBdr>
        <w:top w:val="none" w:sz="0" w:space="0" w:color="auto"/>
        <w:left w:val="none" w:sz="0" w:space="0" w:color="auto"/>
        <w:bottom w:val="none" w:sz="0" w:space="0" w:color="auto"/>
        <w:right w:val="none" w:sz="0" w:space="0" w:color="auto"/>
      </w:divBdr>
    </w:div>
    <w:div w:id="2128891436">
      <w:bodyDiv w:val="1"/>
      <w:marLeft w:val="0"/>
      <w:marRight w:val="0"/>
      <w:marTop w:val="0"/>
      <w:marBottom w:val="0"/>
      <w:divBdr>
        <w:top w:val="none" w:sz="0" w:space="0" w:color="auto"/>
        <w:left w:val="none" w:sz="0" w:space="0" w:color="auto"/>
        <w:bottom w:val="none" w:sz="0" w:space="0" w:color="auto"/>
        <w:right w:val="none" w:sz="0" w:space="0" w:color="auto"/>
      </w:divBdr>
    </w:div>
    <w:div w:id="2136828529">
      <w:bodyDiv w:val="1"/>
      <w:marLeft w:val="0"/>
      <w:marRight w:val="0"/>
      <w:marTop w:val="0"/>
      <w:marBottom w:val="0"/>
      <w:divBdr>
        <w:top w:val="none" w:sz="0" w:space="0" w:color="auto"/>
        <w:left w:val="none" w:sz="0" w:space="0" w:color="auto"/>
        <w:bottom w:val="none" w:sz="0" w:space="0" w:color="auto"/>
        <w:right w:val="none" w:sz="0" w:space="0" w:color="auto"/>
      </w:divBdr>
    </w:div>
    <w:div w:id="2137479990">
      <w:bodyDiv w:val="1"/>
      <w:marLeft w:val="0"/>
      <w:marRight w:val="0"/>
      <w:marTop w:val="0"/>
      <w:marBottom w:val="0"/>
      <w:divBdr>
        <w:top w:val="none" w:sz="0" w:space="0" w:color="auto"/>
        <w:left w:val="none" w:sz="0" w:space="0" w:color="auto"/>
        <w:bottom w:val="none" w:sz="0" w:space="0" w:color="auto"/>
        <w:right w:val="none" w:sz="0" w:space="0" w:color="auto"/>
      </w:divBdr>
    </w:div>
    <w:div w:id="2141146339">
      <w:bodyDiv w:val="1"/>
      <w:marLeft w:val="0"/>
      <w:marRight w:val="0"/>
      <w:marTop w:val="0"/>
      <w:marBottom w:val="0"/>
      <w:divBdr>
        <w:top w:val="none" w:sz="0" w:space="0" w:color="auto"/>
        <w:left w:val="none" w:sz="0" w:space="0" w:color="auto"/>
        <w:bottom w:val="none" w:sz="0" w:space="0" w:color="auto"/>
        <w:right w:val="none" w:sz="0" w:space="0" w:color="auto"/>
      </w:divBdr>
    </w:div>
    <w:div w:id="2144734637">
      <w:bodyDiv w:val="1"/>
      <w:marLeft w:val="0"/>
      <w:marRight w:val="0"/>
      <w:marTop w:val="0"/>
      <w:marBottom w:val="0"/>
      <w:divBdr>
        <w:top w:val="none" w:sz="0" w:space="0" w:color="auto"/>
        <w:left w:val="none" w:sz="0" w:space="0" w:color="auto"/>
        <w:bottom w:val="none" w:sz="0" w:space="0" w:color="auto"/>
        <w:right w:val="none" w:sz="0" w:space="0" w:color="auto"/>
      </w:divBdr>
    </w:div>
    <w:div w:id="214684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1561"/>
    <w:rsid w:val="00145AD8"/>
    <w:rsid w:val="001556D1"/>
    <w:rsid w:val="00242260"/>
    <w:rsid w:val="002450A7"/>
    <w:rsid w:val="003203C2"/>
    <w:rsid w:val="003234DF"/>
    <w:rsid w:val="003D2C19"/>
    <w:rsid w:val="00432E3F"/>
    <w:rsid w:val="004D25D2"/>
    <w:rsid w:val="005A3050"/>
    <w:rsid w:val="00652B5A"/>
    <w:rsid w:val="00856BDA"/>
    <w:rsid w:val="009152DF"/>
    <w:rsid w:val="00A34C42"/>
    <w:rsid w:val="00A615F1"/>
    <w:rsid w:val="00AD6AE1"/>
    <w:rsid w:val="00AE747A"/>
    <w:rsid w:val="00B1781A"/>
    <w:rsid w:val="00B7724C"/>
    <w:rsid w:val="00BA72F8"/>
    <w:rsid w:val="00BC1251"/>
    <w:rsid w:val="00C67429"/>
    <w:rsid w:val="00CE7D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Uni251</b:Tag>
    <b:SourceType>Report</b:SourceType>
    <b:Guid>{34B038F6-A352-4B69-A51B-2588F1C32D66}</b:Guid>
    <b:Title>Unilever Annual Report and Accounts 2024</b:Title>
    <b:Year>2025</b:Year>
    <b:Author>
      <b:Author>
        <b:Corporate>Unilever PLC</b:Corporate>
      </b:Author>
    </b:Author>
    <b:Publisher>Unilever PLC</b:Publisher>
    <b:City>London (Corporate Headquarters)</b:City>
    <b:RefOrder>1</b:RefOrder>
  </b:Source>
  <b:Source>
    <b:Tag>Uni252</b:Tag>
    <b:SourceType>InternetSite</b:SourceType>
    <b:Guid>{623756F2-71DC-4916-892B-E09C91C75E30}</b:Guid>
    <b:Title>Q4 2024 results</b:Title>
    <b:Year>2025</b:Year>
    <b:Author>
      <b:Author>
        <b:Corporate>Unilever PLC</b:Corporate>
      </b:Author>
    </b:Author>
    <b:YearAccessed>2026</b:YearAccessed>
    <b:MonthAccessed>March</b:MonthAccessed>
    <b:DayAccessed>28</b:DayAccessed>
    <b:URL>https://www.unilever.com/investors/results-events/results-events-webcasts/overview-q4-2024/</b:URL>
    <b:RefOrder>3</b:RefOrder>
  </b:Source>
  <b:Source>
    <b:Tag>Uni25</b:Tag>
    <b:SourceType>DocumentFromInternetSite</b:SourceType>
    <b:Guid>{49C5955F-7901-43B3-A43B-3CA7B3B0A448}</b:Guid>
    <b:Title>Unilever Annual Report and Accounts 2024</b:Title>
    <b:Year>2025</b:Year>
    <b:Author>
      <b:Author>
        <b:Corporate>Unilever PLC</b:Corporate>
      </b:Author>
    </b:Author>
    <b:Month>March</b:Month>
    <b:Day>05</b:Day>
    <b:YearAccessed>2026</b:YearAccessed>
    <b:MonthAccessed>March</b:MonthAccessed>
    <b:DayAccessed>28</b:DayAccessed>
    <b:URL>https://www.unilever.com/files/unilever-annual-report-and-accounts-2024.pdf</b:URL>
    <b:RefOrder>4</b:RefOrder>
  </b:Source>
  <b:Source>
    <b:Tag>Uni24</b:Tag>
    <b:SourceType>Report</b:SourceType>
    <b:Guid>{8D0AE828-2BAA-4F8D-ADE4-146FBCFCB871}</b:Guid>
    <b:Title>Annual Report and Accounts 2023</b:Title>
    <b:Year>2024</b:Year>
    <b:Author>
      <b:Author>
        <b:Corporate>Unilever PLC</b:Corporate>
      </b:Author>
    </b:Author>
    <b:Publisher>Unilever PLC</b:Publisher>
    <b:City>London</b:City>
    <b:RefOrder>2</b:RefOrder>
  </b:Source>
  <b:Source>
    <b:Tag>Asw26</b:Tag>
    <b:SourceType>InternetSite</b:SourceType>
    <b:Guid>{B73F9925-26D4-437B-883F-812CF0FD289E}</b:Guid>
    <b:Title>Operating and Net Margins</b:Title>
    <b:Year>2026</b:Year>
    <b:Author>
      <b:Author>
        <b:NameList>
          <b:Person>
            <b:Last>Damodaran</b:Last>
            <b:First>Aswath</b:First>
          </b:Person>
        </b:NameList>
      </b:Author>
    </b:Author>
    <b:YearAccessed>2026</b:YearAccessed>
    <b:MonthAccessed>04</b:MonthAccessed>
    <b:DayAccessed>01</b:DayAccessed>
    <b:URL>https://pages.stern.nyu.edu/~adamodar/New_Home_Page/datafile/margin.html</b:URL>
    <b:RefOrder>9</b:RefOrder>
  </b:Source>
  <b:Source>
    <b:Tag>Joh18</b:Tag>
    <b:SourceType>JournalArticle</b:SourceType>
    <b:Guid>{31334E78-48D0-4E52-A4F9-560EFB28EE2B}</b:Guid>
    <b:Title>Performance Ratio Analysis and Management Effectiveness</b:Title>
    <b:Year>18</b:Year>
    <b:Author>
      <b:Author>
        <b:Corporate>John Nkeobuna Nnah Ugoani</b:Corporate>
      </b:Author>
    </b:Author>
    <b:JournalName>Business, Management and Economics Research</b:JournalName>
    <b:Pages>171-177</b:Pages>
    <b:Volume>04</b:Volume>
    <b:Issue>12</b:Issue>
    <b:RefOrder>5</b:RefOrder>
  </b:Source>
  <b:Source>
    <b:Tag>Zha25</b:Tag>
    <b:SourceType>Report</b:SourceType>
    <b:Guid>{BE11143C-9CC2-474A-8A7C-A979DC1AC8BB}</b:Guid>
    <b:Title>Financial Ratio Analysis: A literature Review Working Paper</b:Title>
    <b:Year>2025</b:Year>
    <b:City>Munish</b:City>
    <b:Publisher>Unversity Library of Munish</b:Publisher>
    <b:Author>
      <b:Author>
        <b:Corporate>Zhang, Yi; Silva, Beatriz;  Moreau, Élodie;  T¯ane, Hinewera</b:Corporate>
      </b:Author>
    </b:Author>
    <b:RefOrder>6</b:RefOrder>
  </b:Source>
  <b:Source>
    <b:Tag>Uni253</b:Tag>
    <b:SourceType>Report</b:SourceType>
    <b:Guid>{043174CC-6350-40C3-A787-DDD47A210879}</b:Guid>
    <b:Author>
      <b:Author>
        <b:Corporate>Unilever PLC</b:Corporate>
      </b:Author>
    </b:Author>
    <b:Title>Full year and fourth quarter 2024 results</b:Title>
    <b:Year>2025</b:Year>
    <b:Publisher>Unilever PLC</b:Publisher>
    <b:City>London (Corporate Headquarters)</b:City>
    <b:RefOrder>7</b:RefOrder>
  </b:Source>
  <b:Source>
    <b:Tag>Uni26</b:Tag>
    <b:SourceType>InternetSite</b:SourceType>
    <b:Guid>{D27377D0-C851-453E-A939-23672A830AA5}</b:Guid>
    <b:Title>Dividend calculator and history</b:Title>
    <b:Year>2026</b:Year>
    <b:Author>
      <b:Author>
        <b:Corporate>Unilever PLC</b:Corporate>
      </b:Author>
    </b:Author>
    <b:YearAccessed>2026</b:YearAccessed>
    <b:MonthAccessed>04</b:MonthAccessed>
    <b:DayAccessed>2</b:DayAccessed>
    <b:URL>https://www.unilever.com/investors/investor-centre/dividends/dividend-calculator-and-history/</b:URL>
    <b:RefOrder>10</b:RefOrder>
  </b:Source>
  <b:Source>
    <b:Tag>Uni242</b:Tag>
    <b:SourceType>Report</b:SourceType>
    <b:Guid>{0B711445-C996-4942-9957-23181B6EBC65}</b:Guid>
    <b:Title>Full year and fourth quarter 2023 results</b:Title>
    <b:Year>2024</b:Year>
    <b:Author>
      <b:Author>
        <b:Corporate>Unilever PLC</b:Corporate>
      </b:Author>
    </b:Author>
    <b:Publisher>Unilever PLC</b:Publisher>
    <b:City>London</b:City>
    <b:RefOrder>8</b:RefOrder>
  </b:Source>
  <b:Source>
    <b:Tag>Joh08</b:Tag>
    <b:SourceType>Book</b:SourceType>
    <b:Guid>{E4192301-EF75-470F-BEF4-DDA3E5AC034A}</b:Guid>
    <b:Author>
      <b:Author>
        <b:Corporate>John Wild, Krishnamurthy R. Subramanyam</b:Corporate>
      </b:Author>
    </b:Author>
    <b:Title>Financial Statement Analysis</b:Title>
    <b:Year>2008</b:Year>
    <b:City>New York</b:City>
    <b:Publisher>McGraw-Hill Education, 2008</b:Publisher>
    <b:Edition>10, illustrated</b:Edition>
    <b:RefOrder>12</b:RefOrder>
  </b:Source>
  <b:Source>
    <b:Tag>Raj23</b:Tag>
    <b:SourceType>JournalArticle</b:SourceType>
    <b:Guid>{B022E575-0E7F-4031-A453-A98C944B8EC5}</b:Guid>
    <b:Title>Linkage Between Brand Value and Firm Performance: An Empirical Examination Using Fuzzy Set Qualitative Comparative Analysis</b:Title>
    <b:Year>2023</b:Year>
    <b:Author>
      <b:Author>
        <b:Corporate>Rajesh Kumar Bhaskaran, Koyilathumpaday Sukumaran Sujit, and Kareem Abdul Waheed</b:Corporate>
      </b:Author>
    </b:Author>
    <b:JournalName>SAGE Open</b:JournalName>
    <b:Pages>1-16</b:Pages>
    <b:Volume>13</b:Volume>
    <b:Issue>3</b:Issue>
    <b:RefOrder>13</b:RefOrder>
  </b:Source>
  <b:Source>
    <b:Tag>Ric241</b:Tag>
    <b:SourceType>ArticleInAPeriodical</b:SourceType>
    <b:Guid>{E91E54F2-7D55-4A40-8F02-C620AF048463}</b:Guid>
    <b:Title>Unilever to spin off ice cream business, cut 7,500 jobs for cost savings</b:Title>
    <b:Year>2024</b:Year>
    <b:Month>March</b:Month>
    <b:Day>19</b:Day>
    <b:Author>
      <b:Author>
        <b:Corporate>Richa Naidu; Eva Mathews</b:Corporate>
      </b:Author>
    </b:Author>
    <b:PeriodicalTitle>Reuters</b:PeriodicalTitle>
    <b:RefOrder>14</b:RefOrder>
  </b:Source>
  <b:Source>
    <b:Tag>Kir12</b:Tag>
    <b:SourceType>DocumentFromInternetSite</b:SourceType>
    <b:Guid>{369108C7-2BDE-4AA1-B8EB-5A6B82FF5FD4}</b:Guid>
    <b:Title>UniSC</b:Title>
    <b:Year>2012</b:Year>
    <b:Author>
      <b:Author>
        <b:Corporate>Kirkham, Ross</b:Corporate>
      </b:Author>
    </b:Author>
    <b:YearAccessed>2026</b:YearAccessed>
    <b:MonthAccessed>April</b:MonthAccessed>
    <b:DayAccessed>05</b:DayAccessed>
    <b:URL>https://research.usc.edu.au/esploro/outputs/journalArticle/Liquidity-Analysis-Using-Cash-Flow-Ratios/99450390202621/filesAndLinks?index=0</b:URL>
    <b:RefOrder>15</b:RefOrder>
  </b:Source>
  <b:Source>
    <b:Tag>Ogb20</b:Tag>
    <b:SourceType>JournalArticle</b:SourceType>
    <b:Guid>{9CE4A1FC-3874-495E-8D14-7258E5A3937C}</b:Guid>
    <b:Title>Impact of Corporate Social Responsibility on a Firm’s Financial Performance: Evidence from the Nigerian Financial Sector</b:Title>
    <b:Year>2020</b:Year>
    <b:Author>
      <b:Author>
        <b:Corporate>Ogbuigwe, Micheal and Aluya, Samson and John, Edidiong</b:Corporate>
      </b:Author>
    </b:Author>
    <b:JournalName>International Journal of Financial Research</b:JournalName>
    <b:Pages>220-232</b:Pages>
    <b:Volume>11</b:Volume>
    <b:Issue>2</b:Issue>
    <b:RefOrder>16</b:RefOrder>
  </b:Source>
  <b:Source>
    <b:Tag>Ric24</b:Tag>
    <b:SourceType>InternetSite</b:SourceType>
    <b:Guid>{71811DC2-1BC0-4DE0-82A2-69E1607CE3E5}</b:Guid>
    <b:Author>
      <b:Author>
        <b:Corporate> Jessica DiNapoli, Svea Herbst-Bayliss, Siddharth Cavale and Abigail Summerville</b:Corporate>
      </b:Author>
    </b:Author>
    <b:Title>Reuters</b:Title>
    <b:Year>2025</b:Year>
    <b:YearAccessed>2026</b:YearAccessed>
    <b:MonthAccessed>04</b:MonthAccessed>
    <b:DayAccessed>03</b:DayAccessed>
    <b:URL>https://www.reuters.com/business/retail-consumer/nestle-danone-see-price-hikes-slowing-after-years-sharp-increases-2024-02-22/</b:URL>
    <b:RefOrder>11</b:RefOrder>
  </b:Source>
  <b:Source>
    <b:Tag>Ros19</b:Tag>
    <b:SourceType>Book</b:SourceType>
    <b:Guid>{AD8E7A10-F5B1-481F-B6AB-2FE2EEF73026}</b:Guid>
    <b:Title>Fundamentals of Corporate Finance</b:Title>
    <b:Year>2019</b:Year>
    <b:Author>
      <b:Author>
        <b:Corporate>Ross, S.A.; Westerfield, R.W.; Jordan, B.D.</b:Corporate>
      </b:Author>
    </b:Author>
    <b:City>New York</b:City>
    <b:Publisher>McGraw-Hill Education</b:Publisher>
    <b:Edition>13</b:Edition>
    <b:RefOrder>17</b:RefOrder>
  </b:Source>
  <b:Source>
    <b:Tag>Ric23</b:Tag>
    <b:SourceType>JournalArticle</b:SourceType>
    <b:Guid>{86C2B89B-53F2-4CA0-B356-AB51E7F34BF4}</b:Guid>
    <b:Title>The Impact of Financial Leverage on the Financial Performance of the Firms Listed on the Tokyo Stock Exchange</b:Title>
    <b:Year>2023</b:Year>
    <b:Author>
      <b:Author>
        <b:Corporate>Richard Arhinful; Mehrshad Radmehr</b:Corporate>
      </b:Author>
    </b:Author>
    <b:JournalName>Sage Open</b:JournalName>
    <b:Volume>13</b:Volume>
    <b:Issue>04</b:Issue>
    <b:RefOrder>18</b:RefOrder>
  </b:Source>
  <b:Source>
    <b:Tag>Sun20</b:Tag>
    <b:SourceType>BookSection</b:SourceType>
    <b:Guid>{8DF6DB5E-800D-4873-80EA-B260F488C258}</b:Guid>
    <b:Title>Ratio Analysis</b:Title>
    <b:Year>2020</b:Year>
    <b:Pages>299 - 315</b:Pages>
    <b:Publisher>Cambridge University Press</b:Publisher>
    <b:Author>
      <b:Author>
        <b:Corporate>Sunil Mahajan</b:Corporate>
      </b:Author>
    </b:Author>
    <b:BookTitle>Corporate Finance: Theory and Practice in Emerging Economies</b:BookTitle>
    <b:RefOrder>19</b:RefOrder>
  </b:Source>
  <b:Source>
    <b:Tag>Hal24</b:Tag>
    <b:SourceType>JournalArticle</b:SourceType>
    <b:Guid>{B831F918-8DF3-4565-896F-6C477F343ACF}</b:Guid>
    <b:Title>Working capital management and firm performance: A comparative analysis of developed and emerging economies</b:Title>
    <b:Year>2024</b:Year>
    <b:Pages>634–642</b:Pages>
    <b:Author>
      <b:Author>
        <b:Corporate>Halil Kiymaz, Samina Haque, Ahmed Abir Choudhury</b:Corporate>
      </b:Author>
    </b:Author>
    <b:JournalName>Borsa Istanbul Review</b:JournalName>
    <b:Volume>24</b:Volume>
    <b:Issue>3</b:Issue>
    <b:RefOrder>20</b:RefOrder>
  </b:Source>
  <b:Source>
    <b:Tag>Ope26</b:Tag>
    <b:SourceType>DocumentFromInternetSite</b:SourceType>
    <b:Guid>{D0FDA35B-5498-4F82-B08B-F455F05DB036}</b:Guid>
    <b:Title>Open Stax</b:Title>
    <b:Year>2026</b:Year>
    <b:Author>
      <b:Author>
        <b:Corporate>OpenStax</b:Corporate>
      </b:Author>
    </b:Author>
    <b:YearAccessed>2026</b:YearAccessed>
    <b:MonthAccessed>04</b:MonthAccessed>
    <b:DayAccessed>06</b:DayAccessed>
    <b:URL>https://openstax.org/books/principles-financial-accounting/pages/a-financial-statement-analysis</b:URL>
    <b:RefOrder>21</b:RefOrder>
  </b:Source>
  <b:Source>
    <b:Tag>HKe11</b:Tag>
    <b:SourceType>Book</b:SourceType>
    <b:Guid>{DCC1A5C8-E645-462A-949A-CFB02C806BF5}</b:Guid>
    <b:Title>H. Kent Baker and Philip English</b:Title>
    <b:Year>2011</b:Year>
    <b:Author>
      <b:Author>
        <b:NameList>
          <b:Person>
            <b:Last>H. Kent Baker</b:Last>
            <b:First>Philip</b:First>
            <b:Middle>English</b:Middle>
          </b:Person>
        </b:NameList>
      </b:Author>
    </b:Author>
    <b:City>Hoboken</b:City>
    <b:Publisher>John Wiley &amp; Sons</b:Publisher>
    <b:Edition>01</b:Edition>
    <b:RefOrder>22</b:RefOrder>
  </b:Source>
  <b:Source>
    <b:Tag>ACC23</b:Tag>
    <b:SourceType>InternetSite</b:SourceType>
    <b:Guid>{70861ECC-A529-41E3-ACD3-19B71BE39FC3}</b:Guid>
    <b:Title>ACCA Global</b:Title>
    <b:Year>2023</b:Year>
    <b:YearAccessed>2026</b:YearAccessed>
    <b:MonthAccessed>04</b:MonthAccessed>
    <b:DayAccessed>06</b:DayAccessed>
    <b:URL>https://www.accaglobal.com/gb/en/student/exam-support-resources/fundamentals-exams-study-resources/f2/technical-articles/ratio-analysis.html</b:URL>
    <b:Author>
      <b:Author>
        <b:Corporate>ACCA Global</b:Corporate>
      </b:Author>
    </b:Author>
    <b:RefOrder>23</b:RefOrder>
  </b:Source>
  <b:Source>
    <b:Tag>Uni255</b:Tag>
    <b:SourceType>InternetSite</b:SourceType>
    <b:Guid>{587BC025-6DD6-4E27-A12D-BAC61E322713}</b:Guid>
    <b:Title>What’s behind Unilever’s full year results</b:Title>
    <b:Year>2025b</b:Year>
    <b:Author>
      <b:Author>
        <b:Corporate>Unilever PLC</b:Corporate>
      </b:Author>
    </b:Author>
    <b:YearAccessed>2026</b:YearAccessed>
    <b:MonthAccessed>04</b:MonthAccessed>
    <b:DayAccessed>09</b:DayAccessed>
    <b:URL>https://www.unilever.com/news/news-search/2025/whats-behind-unilevers-full-year-results/</b:URL>
    <b:RefOrder>24</b:RefOrder>
  </b:Source>
  <b:Source>
    <b:Tag>Wan22</b:Tag>
    <b:SourceType>DocumentFromInternetSite</b:SourceType>
    <b:Guid>{7530B5E7-2CA6-481B-84F7-C2D8CE859AB5}</b:Guid>
    <b:Title>Pressbooks</b:Title>
    <b:Year>2022</b:Year>
    <b:YearAccessed>2026</b:YearAccessed>
    <b:MonthAccessed>04</b:MonthAccessed>
    <b:DayAccessed>09</b:DayAccessed>
    <b:URL>https://pressbooks.pub/fundamentaloffinance/chapter/chapter-2-financial-statement-analysis/</b:URL>
    <b:BookTitle>Chapter 2: Financial Statement Analysis’, Fundamentals of Finance.</b:BookTitle>
    <b:Author>
      <b:Author>
        <b:NameList>
          <b:Person>
            <b:Last>Wang-Nava</b:Last>
            <b:First>Kevin</b:First>
          </b:Person>
        </b:NameList>
      </b:Author>
    </b:Author>
    <b:RefOrder>25</b:RefOrder>
  </b:Source>
</b:Sources>
</file>

<file path=customXml/itemProps1.xml><?xml version="1.0" encoding="utf-8"?>
<ds:datastoreItem xmlns:ds="http://schemas.openxmlformats.org/officeDocument/2006/customXml" ds:itemID="{82305EEB-1DAF-4F05-B4BD-56E07B5C5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1839</TotalTime>
  <Pages>24</Pages>
  <Words>6204</Words>
  <Characters>35364</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Unilever</vt:lpstr>
    </vt:vector>
  </TitlesOfParts>
  <Company>University of Wales Trinity Saint David</Company>
  <LinksUpToDate>false</LinksUpToDate>
  <CharactersWithSpaces>41486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Unilever</dc:title>
  <dc:subject>FINANCE FOR BUSINSS MANAGER (BMMB7005)                                                 MOHD RAVISH</dc:subject>
  <dc:creator>Marie Pitson</dc:creator>
  <cp:keywords/>
  <dc:description/>
  <cp:lastModifiedBy>Mohd Ravish</cp:lastModifiedBy>
  <cp:revision>91</cp:revision>
  <dcterms:created xsi:type="dcterms:W3CDTF">2026-04-09T21:19:00Z</dcterms:created>
  <dcterms:modified xsi:type="dcterms:W3CDTF">2026-04-14T14:13:00Z</dcterms:modified>
</cp:coreProperties>
</file>