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DB467" w14:textId="16F3D9E4" w:rsidR="006576D4" w:rsidRDefault="006576D4">
      <w:pPr>
        <w:rPr>
          <w:color w:val="000000" w:themeColor="text1"/>
        </w:rPr>
      </w:pPr>
    </w:p>
    <w:p w14:paraId="7A88C78C" w14:textId="71DF50CB" w:rsidR="006576D4" w:rsidRDefault="006576D4">
      <w:pPr>
        <w:rPr>
          <w:color w:val="000000" w:themeColor="text1"/>
        </w:rPr>
      </w:pPr>
    </w:p>
    <w:p w14:paraId="2C6E54C0" w14:textId="6337D555" w:rsidR="006576D4" w:rsidRDefault="00FB5A66">
      <w:pPr>
        <w:rPr>
          <w:color w:val="000000" w:themeColor="text1"/>
        </w:rPr>
      </w:pPr>
      <w:r w:rsidRPr="00FB5A66">
        <w:rPr>
          <w:noProof/>
        </w:rPr>
        <w:drawing>
          <wp:anchor distT="0" distB="0" distL="114300" distR="114300" simplePos="0" relativeHeight="251658240" behindDoc="0" locked="0" layoutInCell="1" allowOverlap="1" wp14:anchorId="203CF36F" wp14:editId="3F4AA590">
            <wp:simplePos x="0" y="0"/>
            <wp:positionH relativeFrom="column">
              <wp:posOffset>-128572</wp:posOffset>
            </wp:positionH>
            <wp:positionV relativeFrom="paragraph">
              <wp:posOffset>332105</wp:posOffset>
            </wp:positionV>
            <wp:extent cx="5934075" cy="3933825"/>
            <wp:effectExtent l="0" t="0" r="0" b="3175"/>
            <wp:wrapSquare wrapText="bothSides"/>
            <wp:docPr id="8" name="Picture 8" descr="KLZT Law| CRIMINAL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LZT Law| CRIMINAL LA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933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11E09" w14:textId="2F15BFFB" w:rsidR="006576D4" w:rsidRDefault="006576D4">
      <w:pPr>
        <w:rPr>
          <w:color w:val="000000" w:themeColor="text1"/>
        </w:rPr>
      </w:pPr>
    </w:p>
    <w:p w14:paraId="5D53BD9E" w14:textId="7FAAEA55" w:rsidR="00FB5A66" w:rsidRPr="00FB5A66" w:rsidRDefault="00FB5A66" w:rsidP="00FB5A66">
      <w:r w:rsidRPr="00FB5A66">
        <w:fldChar w:fldCharType="begin"/>
      </w:r>
      <w:r w:rsidR="002D3D0D">
        <w:instrText xml:space="preserve"> INCLUDEPICTURE "C:\\var\\folders\\65\\lvjw7mgs3lnd1j0slhdyr05w0000gn\\T\\com.microsoft.Word\\WebArchiveCopyPasteTempFiles\\giGo5pRL0PnxxIdUAubTMnHdJqZUiYCAcEIfaOq7BxIP4k5pBlYERAfbiazXvLIG2tS9VNIGRQ-n-9yZK8MbwpCUuw" \* MERGEFORMAT </w:instrText>
      </w:r>
      <w:r w:rsidR="002D3D0D">
        <w:fldChar w:fldCharType="separate"/>
      </w:r>
      <w:r w:rsidRPr="00FB5A66">
        <w:fldChar w:fldCharType="end"/>
      </w:r>
    </w:p>
    <w:p w14:paraId="6EF7B339" w14:textId="77777777" w:rsidR="006576D4" w:rsidRDefault="006576D4">
      <w:pPr>
        <w:rPr>
          <w:color w:val="000000" w:themeColor="text1"/>
        </w:rPr>
      </w:pPr>
    </w:p>
    <w:p w14:paraId="665EC1CB" w14:textId="6B2F70B2" w:rsidR="006576D4" w:rsidRDefault="00FB5A66" w:rsidP="00FB5A66">
      <w:pPr>
        <w:jc w:val="center"/>
        <w:rPr>
          <w:color w:val="000000" w:themeColor="text1"/>
        </w:rPr>
      </w:pPr>
      <w:r>
        <w:rPr>
          <w:color w:val="000000" w:themeColor="text1"/>
        </w:rPr>
        <w:t>Module: Criminal Law</w:t>
      </w:r>
    </w:p>
    <w:p w14:paraId="16035AD9" w14:textId="22CD0CC4" w:rsidR="00FB5A66" w:rsidRDefault="00FB5A66" w:rsidP="00FB5A66">
      <w:pPr>
        <w:jc w:val="center"/>
        <w:rPr>
          <w:color w:val="000000" w:themeColor="text1"/>
        </w:rPr>
      </w:pPr>
      <w:r>
        <w:rPr>
          <w:color w:val="000000" w:themeColor="text1"/>
        </w:rPr>
        <w:t xml:space="preserve">Lecturer: Laura Knight </w:t>
      </w:r>
    </w:p>
    <w:p w14:paraId="2F6F6E75" w14:textId="4F123134" w:rsidR="00FB5A66" w:rsidRDefault="00FB5A66" w:rsidP="00FB5A66">
      <w:pPr>
        <w:jc w:val="center"/>
        <w:rPr>
          <w:color w:val="000000" w:themeColor="text1"/>
        </w:rPr>
      </w:pPr>
      <w:r>
        <w:rPr>
          <w:color w:val="000000" w:themeColor="text1"/>
        </w:rPr>
        <w:t>Name: Olivia Saunders</w:t>
      </w:r>
    </w:p>
    <w:p w14:paraId="07F6648C" w14:textId="0AEBA0D3" w:rsidR="00FB5A66" w:rsidRDefault="00FB5A66" w:rsidP="00FB5A66">
      <w:pPr>
        <w:jc w:val="center"/>
        <w:rPr>
          <w:color w:val="000000" w:themeColor="text1"/>
        </w:rPr>
      </w:pPr>
      <w:r>
        <w:rPr>
          <w:color w:val="000000" w:themeColor="text1"/>
        </w:rPr>
        <w:t>Module Code:</w:t>
      </w:r>
      <w:r w:rsidRPr="00FB5A66">
        <w:t xml:space="preserve"> </w:t>
      </w:r>
      <w:r>
        <w:t>BMLW4005/BMPL4009</w:t>
      </w:r>
    </w:p>
    <w:p w14:paraId="3CB666BD" w14:textId="77777777" w:rsidR="006576D4" w:rsidRDefault="006576D4">
      <w:pPr>
        <w:rPr>
          <w:color w:val="000000" w:themeColor="text1"/>
        </w:rPr>
      </w:pPr>
    </w:p>
    <w:p w14:paraId="037779CE" w14:textId="77777777" w:rsidR="006576D4" w:rsidRDefault="006576D4">
      <w:pPr>
        <w:rPr>
          <w:color w:val="000000" w:themeColor="text1"/>
        </w:rPr>
      </w:pPr>
    </w:p>
    <w:p w14:paraId="279BE424" w14:textId="77777777" w:rsidR="006576D4" w:rsidRDefault="006576D4">
      <w:pPr>
        <w:rPr>
          <w:color w:val="000000" w:themeColor="text1"/>
        </w:rPr>
      </w:pPr>
    </w:p>
    <w:p w14:paraId="6D46B206" w14:textId="77777777" w:rsidR="006576D4" w:rsidRDefault="006576D4">
      <w:pPr>
        <w:rPr>
          <w:color w:val="000000" w:themeColor="text1"/>
        </w:rPr>
      </w:pPr>
    </w:p>
    <w:p w14:paraId="47359F98" w14:textId="77777777" w:rsidR="006576D4" w:rsidRDefault="006576D4">
      <w:pPr>
        <w:rPr>
          <w:color w:val="000000" w:themeColor="text1"/>
        </w:rPr>
      </w:pPr>
    </w:p>
    <w:p w14:paraId="5FAB98E8" w14:textId="77777777" w:rsidR="006576D4" w:rsidRDefault="006576D4">
      <w:pPr>
        <w:rPr>
          <w:color w:val="000000" w:themeColor="text1"/>
        </w:rPr>
      </w:pPr>
    </w:p>
    <w:p w14:paraId="4436D8BE" w14:textId="77777777" w:rsidR="006576D4" w:rsidRDefault="006576D4">
      <w:pPr>
        <w:rPr>
          <w:color w:val="000000" w:themeColor="text1"/>
        </w:rPr>
      </w:pPr>
    </w:p>
    <w:p w14:paraId="4D6BEE68" w14:textId="77777777" w:rsidR="006576D4" w:rsidRDefault="006576D4">
      <w:pPr>
        <w:rPr>
          <w:color w:val="000000" w:themeColor="text1"/>
        </w:rPr>
      </w:pPr>
    </w:p>
    <w:p w14:paraId="3AF8ED4F" w14:textId="77777777" w:rsidR="006576D4" w:rsidRDefault="006576D4">
      <w:pPr>
        <w:rPr>
          <w:color w:val="000000" w:themeColor="text1"/>
        </w:rPr>
      </w:pPr>
    </w:p>
    <w:p w14:paraId="03A79030" w14:textId="77777777" w:rsidR="006576D4" w:rsidRDefault="006576D4">
      <w:pPr>
        <w:rPr>
          <w:color w:val="000000" w:themeColor="text1"/>
        </w:rPr>
      </w:pPr>
    </w:p>
    <w:p w14:paraId="6BB12931" w14:textId="77777777" w:rsidR="006576D4" w:rsidRDefault="006576D4">
      <w:pPr>
        <w:rPr>
          <w:color w:val="000000" w:themeColor="text1"/>
        </w:rPr>
      </w:pPr>
    </w:p>
    <w:p w14:paraId="63F98279" w14:textId="77777777" w:rsidR="006576D4" w:rsidRDefault="006576D4">
      <w:pPr>
        <w:rPr>
          <w:color w:val="000000" w:themeColor="text1"/>
        </w:rPr>
      </w:pPr>
    </w:p>
    <w:p w14:paraId="45A5CA32" w14:textId="77777777" w:rsidR="006576D4" w:rsidRDefault="006576D4">
      <w:pPr>
        <w:rPr>
          <w:color w:val="000000" w:themeColor="text1"/>
        </w:rPr>
      </w:pPr>
    </w:p>
    <w:p w14:paraId="43B1744F" w14:textId="77777777" w:rsidR="006576D4" w:rsidRDefault="006576D4">
      <w:pPr>
        <w:rPr>
          <w:color w:val="000000" w:themeColor="text1"/>
        </w:rPr>
      </w:pPr>
    </w:p>
    <w:p w14:paraId="51DB47AF" w14:textId="77777777" w:rsidR="006576D4" w:rsidRDefault="006576D4">
      <w:pPr>
        <w:rPr>
          <w:color w:val="000000" w:themeColor="text1"/>
        </w:rPr>
      </w:pPr>
    </w:p>
    <w:p w14:paraId="67ECCC36" w14:textId="77777777" w:rsidR="006576D4" w:rsidRDefault="006576D4">
      <w:pPr>
        <w:rPr>
          <w:color w:val="000000" w:themeColor="text1"/>
        </w:rPr>
      </w:pPr>
    </w:p>
    <w:p w14:paraId="4D01EE4D" w14:textId="77777777" w:rsidR="0066257F" w:rsidRDefault="0066257F" w:rsidP="00FB5A66">
      <w:pPr>
        <w:rPr>
          <w:color w:val="000000" w:themeColor="text1"/>
        </w:rPr>
      </w:pPr>
    </w:p>
    <w:p w14:paraId="05A9411C" w14:textId="77777777" w:rsidR="0066257F" w:rsidRDefault="0066257F" w:rsidP="00FB5A66">
      <w:pPr>
        <w:rPr>
          <w:color w:val="000000" w:themeColor="text1"/>
        </w:rPr>
      </w:pPr>
    </w:p>
    <w:p w14:paraId="5A1EF558" w14:textId="77777777" w:rsidR="0066257F" w:rsidRDefault="0066257F" w:rsidP="00FB5A66">
      <w:pPr>
        <w:rPr>
          <w:color w:val="000000" w:themeColor="text1"/>
        </w:rPr>
      </w:pPr>
    </w:p>
    <w:p w14:paraId="3A3D4C54" w14:textId="2BED862C" w:rsidR="0066257F" w:rsidRDefault="0066257F" w:rsidP="00FB5A66">
      <w:pPr>
        <w:rPr>
          <w:color w:val="000000" w:themeColor="text1"/>
        </w:rPr>
      </w:pPr>
      <w:r>
        <w:rPr>
          <w:color w:val="000000" w:themeColor="text1"/>
        </w:rPr>
        <w:t>Contents page</w:t>
      </w:r>
    </w:p>
    <w:p w14:paraId="5241175B" w14:textId="2629E1F1" w:rsidR="0066257F" w:rsidRDefault="0066257F" w:rsidP="00FB5A66">
      <w:pPr>
        <w:rPr>
          <w:color w:val="000000" w:themeColor="text1"/>
        </w:rPr>
      </w:pPr>
    </w:p>
    <w:p w14:paraId="2FCD92E6" w14:textId="7D2EC9FD" w:rsidR="0066257F" w:rsidRDefault="0066257F" w:rsidP="00FB5A66">
      <w:pPr>
        <w:rPr>
          <w:color w:val="000000" w:themeColor="text1"/>
        </w:rPr>
      </w:pPr>
      <w:r>
        <w:rPr>
          <w:color w:val="000000" w:themeColor="text1"/>
        </w:rPr>
        <w:t>Current law governing homicide in England and Wales ………………. 3</w:t>
      </w:r>
    </w:p>
    <w:p w14:paraId="0707EA2C" w14:textId="55AF45D1" w:rsidR="0066257F" w:rsidRDefault="0066257F" w:rsidP="00FB5A66">
      <w:pPr>
        <w:rPr>
          <w:color w:val="000000" w:themeColor="text1"/>
        </w:rPr>
      </w:pPr>
    </w:p>
    <w:p w14:paraId="401646BB" w14:textId="14012B2E" w:rsidR="0066257F" w:rsidRDefault="0066257F" w:rsidP="00FB5A66">
      <w:pPr>
        <w:rPr>
          <w:color w:val="000000" w:themeColor="text1"/>
        </w:rPr>
      </w:pPr>
      <w:r>
        <w:rPr>
          <w:color w:val="000000" w:themeColor="text1"/>
        </w:rPr>
        <w:t xml:space="preserve">Partial defences to murder …………….………………………….……..4 </w:t>
      </w:r>
    </w:p>
    <w:p w14:paraId="09CD727E" w14:textId="29ADFE34" w:rsidR="0066257F" w:rsidRDefault="0066257F" w:rsidP="00FB5A66">
      <w:pPr>
        <w:rPr>
          <w:color w:val="000000" w:themeColor="text1"/>
        </w:rPr>
      </w:pPr>
    </w:p>
    <w:p w14:paraId="46EDF0AF" w14:textId="77777777" w:rsidR="0066257F" w:rsidRDefault="0066257F" w:rsidP="00FB5A66">
      <w:pPr>
        <w:rPr>
          <w:color w:val="000000" w:themeColor="text1"/>
        </w:rPr>
      </w:pPr>
      <w:r>
        <w:rPr>
          <w:color w:val="000000" w:themeColor="text1"/>
        </w:rPr>
        <w:t>The key issues with the current law of homicide ……………………….5</w:t>
      </w:r>
    </w:p>
    <w:p w14:paraId="308F4644" w14:textId="77777777" w:rsidR="0066257F" w:rsidRDefault="0066257F" w:rsidP="00FB5A66">
      <w:pPr>
        <w:rPr>
          <w:color w:val="000000" w:themeColor="text1"/>
        </w:rPr>
      </w:pPr>
    </w:p>
    <w:p w14:paraId="12FDCDBC" w14:textId="4C8B302B" w:rsidR="0066257F" w:rsidRDefault="0066257F" w:rsidP="00FB5A66">
      <w:pPr>
        <w:rPr>
          <w:color w:val="000000" w:themeColor="text1"/>
        </w:rPr>
      </w:pPr>
      <w:r>
        <w:rPr>
          <w:color w:val="000000" w:themeColor="text1"/>
        </w:rPr>
        <w:t xml:space="preserve">Law reform and the arguments …………………………………………6 </w:t>
      </w:r>
    </w:p>
    <w:p w14:paraId="66BC6D2E" w14:textId="77777777" w:rsidR="0066257F" w:rsidRDefault="0066257F" w:rsidP="00FB5A66">
      <w:pPr>
        <w:rPr>
          <w:color w:val="000000" w:themeColor="text1"/>
        </w:rPr>
      </w:pPr>
    </w:p>
    <w:p w14:paraId="6349224B" w14:textId="7152956C" w:rsidR="002E300B" w:rsidRDefault="002E300B" w:rsidP="002E300B">
      <w:pPr>
        <w:rPr>
          <w:color w:val="000000" w:themeColor="text1"/>
        </w:rPr>
      </w:pPr>
      <w:r>
        <w:rPr>
          <w:color w:val="000000" w:themeColor="text1"/>
        </w:rPr>
        <w:t>References……………………………………………………………….7</w:t>
      </w:r>
    </w:p>
    <w:p w14:paraId="7C7EA4C4" w14:textId="77777777" w:rsidR="0066257F" w:rsidRDefault="0066257F" w:rsidP="00FB5A66">
      <w:pPr>
        <w:rPr>
          <w:color w:val="000000" w:themeColor="text1"/>
        </w:rPr>
      </w:pPr>
    </w:p>
    <w:p w14:paraId="5D20B9E8" w14:textId="77777777" w:rsidR="0066257F" w:rsidRDefault="0066257F" w:rsidP="00FB5A66">
      <w:pPr>
        <w:rPr>
          <w:color w:val="000000" w:themeColor="text1"/>
        </w:rPr>
      </w:pPr>
    </w:p>
    <w:p w14:paraId="5EAD14AD" w14:textId="77777777" w:rsidR="0066257F" w:rsidRDefault="0066257F" w:rsidP="00FB5A66">
      <w:pPr>
        <w:rPr>
          <w:color w:val="000000" w:themeColor="text1"/>
        </w:rPr>
      </w:pPr>
    </w:p>
    <w:p w14:paraId="476E83E3" w14:textId="77777777" w:rsidR="0066257F" w:rsidRDefault="0066257F" w:rsidP="00FB5A66">
      <w:pPr>
        <w:rPr>
          <w:color w:val="000000" w:themeColor="text1"/>
        </w:rPr>
      </w:pPr>
    </w:p>
    <w:p w14:paraId="5B918BDB" w14:textId="77777777" w:rsidR="0066257F" w:rsidRDefault="0066257F" w:rsidP="00FB5A66">
      <w:pPr>
        <w:rPr>
          <w:color w:val="000000" w:themeColor="text1"/>
        </w:rPr>
      </w:pPr>
    </w:p>
    <w:p w14:paraId="545B6A4A" w14:textId="77777777" w:rsidR="0066257F" w:rsidRDefault="0066257F" w:rsidP="00FB5A66">
      <w:pPr>
        <w:rPr>
          <w:color w:val="000000" w:themeColor="text1"/>
        </w:rPr>
      </w:pPr>
    </w:p>
    <w:p w14:paraId="500CEEAC" w14:textId="77777777" w:rsidR="0066257F" w:rsidRDefault="0066257F" w:rsidP="00FB5A66">
      <w:pPr>
        <w:rPr>
          <w:color w:val="000000" w:themeColor="text1"/>
        </w:rPr>
      </w:pPr>
    </w:p>
    <w:p w14:paraId="2AC70AF3" w14:textId="77777777" w:rsidR="0066257F" w:rsidRDefault="0066257F" w:rsidP="00FB5A66">
      <w:pPr>
        <w:rPr>
          <w:color w:val="000000" w:themeColor="text1"/>
        </w:rPr>
      </w:pPr>
    </w:p>
    <w:p w14:paraId="464591C9" w14:textId="77777777" w:rsidR="0066257F" w:rsidRDefault="0066257F" w:rsidP="00FB5A66">
      <w:pPr>
        <w:rPr>
          <w:color w:val="000000" w:themeColor="text1"/>
        </w:rPr>
      </w:pPr>
    </w:p>
    <w:p w14:paraId="0F8E19E5" w14:textId="77777777" w:rsidR="0066257F" w:rsidRDefault="0066257F" w:rsidP="00FB5A66">
      <w:pPr>
        <w:rPr>
          <w:color w:val="000000" w:themeColor="text1"/>
        </w:rPr>
      </w:pPr>
    </w:p>
    <w:p w14:paraId="3BC287D4" w14:textId="77777777" w:rsidR="0066257F" w:rsidRDefault="0066257F" w:rsidP="00FB5A66">
      <w:pPr>
        <w:rPr>
          <w:color w:val="000000" w:themeColor="text1"/>
        </w:rPr>
      </w:pPr>
    </w:p>
    <w:p w14:paraId="5B5DD251" w14:textId="77777777" w:rsidR="0066257F" w:rsidRDefault="0066257F" w:rsidP="00FB5A66">
      <w:pPr>
        <w:rPr>
          <w:color w:val="000000" w:themeColor="text1"/>
        </w:rPr>
      </w:pPr>
    </w:p>
    <w:p w14:paraId="5989350F" w14:textId="77777777" w:rsidR="0066257F" w:rsidRDefault="0066257F" w:rsidP="00FB5A66">
      <w:pPr>
        <w:rPr>
          <w:color w:val="000000" w:themeColor="text1"/>
        </w:rPr>
      </w:pPr>
    </w:p>
    <w:p w14:paraId="55B4A60C" w14:textId="77777777" w:rsidR="0066257F" w:rsidRDefault="0066257F" w:rsidP="00FB5A66">
      <w:pPr>
        <w:rPr>
          <w:color w:val="000000" w:themeColor="text1"/>
        </w:rPr>
      </w:pPr>
    </w:p>
    <w:p w14:paraId="2197015F" w14:textId="77777777" w:rsidR="0066257F" w:rsidRDefault="0066257F" w:rsidP="00FB5A66">
      <w:pPr>
        <w:rPr>
          <w:color w:val="000000" w:themeColor="text1"/>
        </w:rPr>
      </w:pPr>
    </w:p>
    <w:p w14:paraId="0FD8FF88" w14:textId="77777777" w:rsidR="0066257F" w:rsidRDefault="0066257F" w:rsidP="00FB5A66">
      <w:pPr>
        <w:rPr>
          <w:color w:val="000000" w:themeColor="text1"/>
        </w:rPr>
      </w:pPr>
    </w:p>
    <w:p w14:paraId="45D9AA42" w14:textId="77777777" w:rsidR="0066257F" w:rsidRDefault="0066257F" w:rsidP="00FB5A66">
      <w:pPr>
        <w:rPr>
          <w:color w:val="000000" w:themeColor="text1"/>
        </w:rPr>
      </w:pPr>
    </w:p>
    <w:p w14:paraId="305BA3D4" w14:textId="77777777" w:rsidR="0066257F" w:rsidRDefault="0066257F" w:rsidP="00FB5A66">
      <w:pPr>
        <w:rPr>
          <w:color w:val="000000" w:themeColor="text1"/>
        </w:rPr>
      </w:pPr>
    </w:p>
    <w:p w14:paraId="51E834DB" w14:textId="77777777" w:rsidR="0066257F" w:rsidRDefault="0066257F" w:rsidP="00FB5A66">
      <w:pPr>
        <w:rPr>
          <w:color w:val="000000" w:themeColor="text1"/>
        </w:rPr>
      </w:pPr>
    </w:p>
    <w:p w14:paraId="4DF7B4A3" w14:textId="77777777" w:rsidR="0066257F" w:rsidRDefault="0066257F" w:rsidP="00FB5A66">
      <w:pPr>
        <w:rPr>
          <w:color w:val="000000" w:themeColor="text1"/>
        </w:rPr>
      </w:pPr>
    </w:p>
    <w:p w14:paraId="645E7FED" w14:textId="77777777" w:rsidR="0066257F" w:rsidRDefault="0066257F" w:rsidP="00FB5A66">
      <w:pPr>
        <w:rPr>
          <w:color w:val="000000" w:themeColor="text1"/>
        </w:rPr>
      </w:pPr>
    </w:p>
    <w:p w14:paraId="0142524A" w14:textId="77777777" w:rsidR="0066257F" w:rsidRDefault="0066257F" w:rsidP="00FB5A66">
      <w:pPr>
        <w:rPr>
          <w:color w:val="000000" w:themeColor="text1"/>
        </w:rPr>
      </w:pPr>
    </w:p>
    <w:p w14:paraId="1A5D75DC" w14:textId="77777777" w:rsidR="0066257F" w:rsidRDefault="0066257F" w:rsidP="00FB5A66">
      <w:pPr>
        <w:rPr>
          <w:color w:val="000000" w:themeColor="text1"/>
        </w:rPr>
      </w:pPr>
    </w:p>
    <w:p w14:paraId="40F3A9EC" w14:textId="77777777" w:rsidR="0066257F" w:rsidRDefault="0066257F" w:rsidP="00FB5A66">
      <w:pPr>
        <w:rPr>
          <w:color w:val="000000" w:themeColor="text1"/>
        </w:rPr>
      </w:pPr>
    </w:p>
    <w:p w14:paraId="1FEDCDAB" w14:textId="77777777" w:rsidR="0066257F" w:rsidRDefault="0066257F" w:rsidP="00FB5A66">
      <w:pPr>
        <w:rPr>
          <w:color w:val="000000" w:themeColor="text1"/>
        </w:rPr>
      </w:pPr>
    </w:p>
    <w:p w14:paraId="4092D72C" w14:textId="77777777" w:rsidR="0066257F" w:rsidRDefault="0066257F" w:rsidP="00FB5A66">
      <w:pPr>
        <w:rPr>
          <w:color w:val="000000" w:themeColor="text1"/>
        </w:rPr>
      </w:pPr>
    </w:p>
    <w:p w14:paraId="592236A0" w14:textId="77777777" w:rsidR="0066257F" w:rsidRDefault="0066257F" w:rsidP="00FB5A66">
      <w:pPr>
        <w:rPr>
          <w:color w:val="000000" w:themeColor="text1"/>
        </w:rPr>
      </w:pPr>
    </w:p>
    <w:p w14:paraId="758AEED1" w14:textId="77777777" w:rsidR="0066257F" w:rsidRDefault="0066257F" w:rsidP="00FB5A66">
      <w:pPr>
        <w:rPr>
          <w:color w:val="000000" w:themeColor="text1"/>
        </w:rPr>
      </w:pPr>
    </w:p>
    <w:p w14:paraId="781D5A08" w14:textId="77777777" w:rsidR="0066257F" w:rsidRDefault="0066257F" w:rsidP="00FB5A66">
      <w:pPr>
        <w:rPr>
          <w:color w:val="000000" w:themeColor="text1"/>
        </w:rPr>
      </w:pPr>
    </w:p>
    <w:p w14:paraId="29270D7E" w14:textId="77777777" w:rsidR="0066257F" w:rsidRDefault="0066257F" w:rsidP="00FB5A66">
      <w:pPr>
        <w:rPr>
          <w:color w:val="000000" w:themeColor="text1"/>
        </w:rPr>
      </w:pPr>
    </w:p>
    <w:p w14:paraId="00457884" w14:textId="77777777" w:rsidR="0066257F" w:rsidRDefault="0066257F" w:rsidP="00FB5A66">
      <w:pPr>
        <w:rPr>
          <w:color w:val="000000" w:themeColor="text1"/>
        </w:rPr>
      </w:pPr>
    </w:p>
    <w:p w14:paraId="50CACF13" w14:textId="77777777" w:rsidR="0066257F" w:rsidRDefault="0066257F" w:rsidP="00FB5A66">
      <w:pPr>
        <w:rPr>
          <w:color w:val="000000" w:themeColor="text1"/>
        </w:rPr>
      </w:pPr>
    </w:p>
    <w:p w14:paraId="5DDF62B1" w14:textId="77777777" w:rsidR="0066257F" w:rsidRDefault="0066257F" w:rsidP="00FB5A66">
      <w:pPr>
        <w:rPr>
          <w:color w:val="000000" w:themeColor="text1"/>
        </w:rPr>
      </w:pPr>
    </w:p>
    <w:p w14:paraId="12299D0A" w14:textId="77777777" w:rsidR="0066257F" w:rsidRDefault="0066257F" w:rsidP="00FB5A66">
      <w:pPr>
        <w:rPr>
          <w:color w:val="000000" w:themeColor="text1"/>
        </w:rPr>
      </w:pPr>
    </w:p>
    <w:p w14:paraId="2D4922D7" w14:textId="77777777" w:rsidR="0066257F" w:rsidRDefault="0066257F" w:rsidP="00FB5A66">
      <w:pPr>
        <w:rPr>
          <w:color w:val="000000" w:themeColor="text1"/>
        </w:rPr>
      </w:pPr>
    </w:p>
    <w:p w14:paraId="13574EB6" w14:textId="77777777" w:rsidR="0066257F" w:rsidRDefault="0066257F" w:rsidP="00FB5A66">
      <w:pPr>
        <w:rPr>
          <w:color w:val="000000" w:themeColor="text1"/>
        </w:rPr>
      </w:pPr>
    </w:p>
    <w:p w14:paraId="41B51E5E" w14:textId="77777777" w:rsidR="0066257F" w:rsidRDefault="0066257F" w:rsidP="00FB5A66">
      <w:pPr>
        <w:rPr>
          <w:color w:val="000000" w:themeColor="text1"/>
        </w:rPr>
      </w:pPr>
    </w:p>
    <w:p w14:paraId="24D2D0F2" w14:textId="77777777" w:rsidR="0066257F" w:rsidRDefault="0066257F" w:rsidP="00FB5A66">
      <w:pPr>
        <w:rPr>
          <w:color w:val="000000" w:themeColor="text1"/>
        </w:rPr>
      </w:pPr>
    </w:p>
    <w:p w14:paraId="0B3809EF" w14:textId="3DA87C42" w:rsidR="00FB5A66" w:rsidRDefault="00FB5A66" w:rsidP="00FB5A66">
      <w:pPr>
        <w:rPr>
          <w:color w:val="000000" w:themeColor="text1"/>
        </w:rPr>
      </w:pPr>
      <w:r>
        <w:rPr>
          <w:color w:val="000000" w:themeColor="text1"/>
        </w:rPr>
        <w:t>‘</w:t>
      </w:r>
      <w:r w:rsidRPr="00534D90">
        <w:rPr>
          <w:color w:val="000000" w:themeColor="text1"/>
        </w:rPr>
        <w:t>The law governing homicide in England and Wales is a rickety structure set up on shaky foundations</w:t>
      </w:r>
      <w:r>
        <w:rPr>
          <w:color w:val="000000" w:themeColor="text1"/>
        </w:rPr>
        <w:t xml:space="preserve">. </w:t>
      </w:r>
      <w:r w:rsidRPr="00534D90">
        <w:rPr>
          <w:color w:val="000000" w:themeColor="text1"/>
        </w:rPr>
        <w:t xml:space="preserve">Some of its rules have been unaltered since the </w:t>
      </w:r>
      <w:r>
        <w:rPr>
          <w:color w:val="000000" w:themeColor="text1"/>
        </w:rPr>
        <w:t>seventeenth</w:t>
      </w:r>
      <w:r w:rsidRPr="00534D90">
        <w:rPr>
          <w:color w:val="000000" w:themeColor="text1"/>
        </w:rPr>
        <w:t xml:space="preserve"> century</w:t>
      </w:r>
      <w:r>
        <w:rPr>
          <w:color w:val="000000" w:themeColor="text1"/>
        </w:rPr>
        <w:t xml:space="preserve">, </w:t>
      </w:r>
      <w:r w:rsidRPr="00534D90">
        <w:rPr>
          <w:color w:val="000000" w:themeColor="text1"/>
        </w:rPr>
        <w:t xml:space="preserve">even though it has long been in knowledge that there are </w:t>
      </w:r>
      <w:r>
        <w:rPr>
          <w:color w:val="000000" w:themeColor="text1"/>
        </w:rPr>
        <w:t>in dire</w:t>
      </w:r>
      <w:r w:rsidRPr="00534D90">
        <w:rPr>
          <w:color w:val="000000" w:themeColor="text1"/>
        </w:rPr>
        <w:t xml:space="preserve"> need of reform</w:t>
      </w:r>
      <w:r>
        <w:rPr>
          <w:color w:val="000000" w:themeColor="text1"/>
        </w:rPr>
        <w:t>'(Law Comission,2005)</w:t>
      </w:r>
      <w:r w:rsidRPr="00534D90">
        <w:rPr>
          <w:color w:val="000000" w:themeColor="text1"/>
        </w:rPr>
        <w:t xml:space="preserve"> </w:t>
      </w:r>
    </w:p>
    <w:p w14:paraId="4FD1E4D8" w14:textId="77777777" w:rsidR="00FB5A66" w:rsidRDefault="00FB5A66">
      <w:pPr>
        <w:rPr>
          <w:color w:val="000000" w:themeColor="text1"/>
        </w:rPr>
      </w:pPr>
    </w:p>
    <w:p w14:paraId="6E354186" w14:textId="77777777" w:rsidR="00FB5A66" w:rsidRDefault="00FB5A66">
      <w:pPr>
        <w:rPr>
          <w:color w:val="000000" w:themeColor="text1"/>
        </w:rPr>
      </w:pPr>
    </w:p>
    <w:p w14:paraId="1905B844" w14:textId="77777777" w:rsidR="006576D4" w:rsidRDefault="006576D4">
      <w:pPr>
        <w:rPr>
          <w:color w:val="000000" w:themeColor="text1"/>
        </w:rPr>
      </w:pPr>
    </w:p>
    <w:p w14:paraId="7228B94D" w14:textId="1BA0268F" w:rsidR="00FB5A66" w:rsidRPr="00356787" w:rsidRDefault="008C143A" w:rsidP="00534D90">
      <w:pPr>
        <w:rPr>
          <w:b/>
          <w:bCs/>
          <w:color w:val="000000" w:themeColor="text1"/>
          <w:sz w:val="28"/>
          <w:szCs w:val="28"/>
          <w:u w:val="single"/>
        </w:rPr>
      </w:pPr>
      <w:r>
        <w:rPr>
          <w:color w:val="000000" w:themeColor="text1"/>
        </w:rPr>
        <w:t xml:space="preserve">              </w:t>
      </w:r>
      <w:r w:rsidR="00FB5A66" w:rsidRPr="00356787">
        <w:rPr>
          <w:b/>
          <w:bCs/>
          <w:color w:val="000000" w:themeColor="text1"/>
          <w:sz w:val="28"/>
          <w:szCs w:val="28"/>
          <w:u w:val="single"/>
        </w:rPr>
        <w:t>Current Law governing Homicide in England and Wales</w:t>
      </w:r>
    </w:p>
    <w:p w14:paraId="340E817D" w14:textId="2B8A631E" w:rsidR="003512E1" w:rsidRDefault="003512E1">
      <w:pPr>
        <w:rPr>
          <w:color w:val="000000" w:themeColor="text1"/>
        </w:rPr>
      </w:pPr>
    </w:p>
    <w:p w14:paraId="6581D1D0" w14:textId="77777777" w:rsidR="00BC3220" w:rsidRDefault="00BC3220" w:rsidP="00BC3220">
      <w:pPr>
        <w:rPr>
          <w:color w:val="000000" w:themeColor="text1"/>
        </w:rPr>
      </w:pPr>
    </w:p>
    <w:p w14:paraId="1D6E66D0" w14:textId="08968498" w:rsidR="00BC3220" w:rsidRDefault="00BC3220" w:rsidP="00BC3220">
      <w:pPr>
        <w:rPr>
          <w:color w:val="000000" w:themeColor="text1"/>
        </w:rPr>
      </w:pPr>
      <w:r>
        <w:rPr>
          <w:color w:val="000000" w:themeColor="text1"/>
        </w:rPr>
        <w:t xml:space="preserve">The current Law governing Homicide in England and Wales is a killing of a human being by another human being. </w:t>
      </w:r>
      <w:r w:rsidR="00D21751" w:rsidRPr="00D21751">
        <w:rPr>
          <w:color w:val="000000" w:themeColor="text1"/>
        </w:rPr>
        <w:t>Murder is defined as the unlawful killing of another person under the Queen's peace with the intent to kill or cause GBH (serious bodily harm)</w:t>
      </w:r>
      <w:r>
        <w:rPr>
          <w:color w:val="000000" w:themeColor="text1"/>
        </w:rPr>
        <w:t xml:space="preserve">. </w:t>
      </w:r>
      <w:r w:rsidR="001F0CB1" w:rsidRPr="001F0CB1">
        <w:rPr>
          <w:color w:val="000000" w:themeColor="text1"/>
        </w:rPr>
        <w:t>English common law Wales is a more serious type of homicide in which someone kills someone else with the aim to cause death or serious injury.</w:t>
      </w:r>
      <w:r>
        <w:rPr>
          <w:color w:val="000000" w:themeColor="text1"/>
        </w:rPr>
        <w:t xml:space="preserve"> </w:t>
      </w:r>
    </w:p>
    <w:p w14:paraId="3F7F93CB" w14:textId="7390FFF6" w:rsidR="00BC3220" w:rsidRDefault="008C4C39" w:rsidP="00BC3220">
      <w:pPr>
        <w:rPr>
          <w:rFonts w:ascii="Arial,Bold" w:hAnsi="Arial,Bold"/>
          <w:sz w:val="22"/>
          <w:szCs w:val="22"/>
        </w:rPr>
      </w:pPr>
      <w:r w:rsidRPr="008C4C39">
        <w:rPr>
          <w:color w:val="000000" w:themeColor="text1"/>
        </w:rPr>
        <w:t xml:space="preserve">Other homicides, such as those committed in </w:t>
      </w:r>
      <w:r w:rsidR="002E300B" w:rsidRPr="008C4C39">
        <w:rPr>
          <w:color w:val="000000" w:themeColor="text1"/>
        </w:rPr>
        <w:t>self-defence</w:t>
      </w:r>
      <w:r w:rsidRPr="008C4C39">
        <w:rPr>
          <w:color w:val="000000" w:themeColor="text1"/>
        </w:rPr>
        <w:t>, are regarded to be excusable.</w:t>
      </w:r>
      <w:r w:rsidRPr="008C4C39">
        <w:rPr>
          <w:rFonts w:ascii="Georgia" w:hAnsi="Georgia"/>
          <w:color w:val="1A1A1A"/>
          <w:sz w:val="30"/>
          <w:szCs w:val="30"/>
          <w:shd w:val="clear" w:color="auto" w:fill="FFFFFF"/>
        </w:rPr>
        <w:t xml:space="preserve"> </w:t>
      </w:r>
      <w:r w:rsidRPr="008C4C39">
        <w:rPr>
          <w:color w:val="1A1A1A"/>
          <w:shd w:val="clear" w:color="auto" w:fill="FFFFFF"/>
        </w:rPr>
        <w:t>During criminal law, a criminal homicide is one that is not regarded by the applicable criminal code as justifiable or excusable.  All legal systems make distinctions between different types of homicide, and punishments vary according to the intent of the killer, the dangerousness of the killer's conduct, and the circumstances of the act.</w:t>
      </w:r>
      <w:r w:rsidR="00BC3220">
        <w:rPr>
          <w:color w:val="1A1A1A"/>
          <w:shd w:val="clear" w:color="auto" w:fill="FFFFFF"/>
        </w:rPr>
        <w:t xml:space="preserve"> The </w:t>
      </w:r>
      <w:r w:rsidR="001F0CB1">
        <w:rPr>
          <w:rFonts w:ascii="Arial,Bold" w:hAnsi="Arial,Bold"/>
          <w:sz w:val="22"/>
          <w:szCs w:val="22"/>
        </w:rPr>
        <w:t xml:space="preserve">Actus Reus is the internal elements and structure of a crime which is the guilty act. </w:t>
      </w:r>
      <w:r w:rsidR="000414CB" w:rsidRPr="000414CB">
        <w:rPr>
          <w:rFonts w:ascii="Arial,Bold" w:hAnsi="Arial,Bold"/>
          <w:sz w:val="22"/>
          <w:szCs w:val="22"/>
        </w:rPr>
        <w:t>The actus reus of a crime is limited to voluntary bodily movements, which is a crime society has a strong interest in preventing.</w:t>
      </w:r>
      <w:r w:rsidR="000414CB">
        <w:rPr>
          <w:rFonts w:ascii="Arial,Bold" w:hAnsi="Arial,Bold"/>
          <w:sz w:val="22"/>
          <w:szCs w:val="22"/>
        </w:rPr>
        <w:t xml:space="preserve"> </w:t>
      </w:r>
    </w:p>
    <w:p w14:paraId="1EF2DAD9" w14:textId="77777777" w:rsidR="00BC3220" w:rsidRDefault="00BC3220" w:rsidP="00BC3220">
      <w:pPr>
        <w:rPr>
          <w:rFonts w:ascii="Arial,Bold" w:hAnsi="Arial,Bold"/>
          <w:sz w:val="22"/>
          <w:szCs w:val="22"/>
        </w:rPr>
      </w:pPr>
    </w:p>
    <w:p w14:paraId="6E050F6A" w14:textId="6CDE7625" w:rsidR="00BC3220" w:rsidRDefault="000414CB" w:rsidP="00BC3220">
      <w:pPr>
        <w:rPr>
          <w:rFonts w:ascii="Arial,Bold" w:hAnsi="Arial,Bold"/>
          <w:sz w:val="22"/>
          <w:szCs w:val="22"/>
        </w:rPr>
      </w:pPr>
      <w:r w:rsidRPr="000414CB">
        <w:rPr>
          <w:rFonts w:ascii="Arial,Bold" w:hAnsi="Arial,Bold"/>
          <w:sz w:val="22"/>
          <w:szCs w:val="22"/>
        </w:rPr>
        <w:t xml:space="preserve">The actus reus requirement can also be satisfied by an omission.  This is true when a person has a duty, and fails to </w:t>
      </w:r>
      <w:r w:rsidR="002E300B" w:rsidRPr="000414CB">
        <w:rPr>
          <w:rFonts w:ascii="Arial,Bold" w:hAnsi="Arial,Bold"/>
          <w:sz w:val="22"/>
          <w:szCs w:val="22"/>
        </w:rPr>
        <w:t>fulfil</w:t>
      </w:r>
      <w:r w:rsidRPr="000414CB">
        <w:rPr>
          <w:rFonts w:ascii="Arial,Bold" w:hAnsi="Arial,Bold"/>
          <w:sz w:val="22"/>
          <w:szCs w:val="22"/>
        </w:rPr>
        <w:t xml:space="preserve"> that duty.</w:t>
      </w:r>
      <w:r>
        <w:rPr>
          <w:rFonts w:ascii="Arial,Bold" w:hAnsi="Arial,Bold"/>
          <w:sz w:val="22"/>
          <w:szCs w:val="22"/>
        </w:rPr>
        <w:t xml:space="preserve"> </w:t>
      </w:r>
      <w:r w:rsidR="00C81C40" w:rsidRPr="00C81C40">
        <w:rPr>
          <w:rFonts w:ascii="Arial,Bold" w:hAnsi="Arial,Bold"/>
          <w:sz w:val="22"/>
          <w:szCs w:val="22"/>
        </w:rPr>
        <w:t xml:space="preserve">The elements of actus reus of a crime can be divided into three types: </w:t>
      </w:r>
      <w:r w:rsidR="00C81C40">
        <w:rPr>
          <w:rFonts w:ascii="Arial,Bold" w:hAnsi="Arial,Bold"/>
          <w:sz w:val="22"/>
          <w:szCs w:val="22"/>
        </w:rPr>
        <w:t xml:space="preserve">Conduct, Consequence and </w:t>
      </w:r>
      <w:r w:rsidR="00C81C40" w:rsidRPr="00C81C40">
        <w:rPr>
          <w:rFonts w:ascii="Arial,Bold" w:hAnsi="Arial,Bold"/>
          <w:sz w:val="22"/>
          <w:szCs w:val="22"/>
        </w:rPr>
        <w:t>Circumstances.</w:t>
      </w:r>
      <w:r w:rsidR="00BC3220">
        <w:rPr>
          <w:rFonts w:ascii="Arial,Bold" w:hAnsi="Arial,Bold"/>
          <w:sz w:val="22"/>
          <w:szCs w:val="22"/>
        </w:rPr>
        <w:t xml:space="preserve"> </w:t>
      </w:r>
    </w:p>
    <w:p w14:paraId="0883CF64" w14:textId="77777777" w:rsidR="00BC3220" w:rsidRDefault="00BC3220" w:rsidP="00BC3220">
      <w:pPr>
        <w:rPr>
          <w:rFonts w:ascii="Arial,Bold" w:hAnsi="Arial,Bold"/>
          <w:sz w:val="22"/>
          <w:szCs w:val="22"/>
        </w:rPr>
      </w:pPr>
    </w:p>
    <w:p w14:paraId="1E0F9DA0" w14:textId="581ECBCE" w:rsidR="00BC3220" w:rsidRPr="00BC3220" w:rsidRDefault="000F2FA3" w:rsidP="00BC3220">
      <w:pPr>
        <w:rPr>
          <w:rFonts w:ascii="Arial,Bold" w:hAnsi="Arial,Bold"/>
          <w:sz w:val="22"/>
          <w:szCs w:val="22"/>
        </w:rPr>
      </w:pPr>
      <w:proofErr w:type="spellStart"/>
      <w:r>
        <w:rPr>
          <w:rFonts w:ascii="Arial,Bold" w:hAnsi="Arial,Bold"/>
          <w:sz w:val="22"/>
          <w:szCs w:val="22"/>
        </w:rPr>
        <w:t>Mens</w:t>
      </w:r>
      <w:proofErr w:type="spellEnd"/>
      <w:r>
        <w:rPr>
          <w:rFonts w:ascii="Arial,Bold" w:hAnsi="Arial,Bold"/>
          <w:sz w:val="22"/>
          <w:szCs w:val="22"/>
        </w:rPr>
        <w:t xml:space="preserve"> Rea</w:t>
      </w:r>
      <w:r w:rsidR="00C81C40">
        <w:rPr>
          <w:rFonts w:ascii="Arial,Bold" w:hAnsi="Arial,Bold"/>
          <w:sz w:val="22"/>
          <w:szCs w:val="22"/>
        </w:rPr>
        <w:t xml:space="preserve"> of crime</w:t>
      </w:r>
      <w:r w:rsidR="00BC3220">
        <w:rPr>
          <w:rFonts w:ascii="Arial,Bold" w:hAnsi="Arial,Bold"/>
          <w:sz w:val="22"/>
          <w:szCs w:val="22"/>
        </w:rPr>
        <w:t xml:space="preserve"> a</w:t>
      </w:r>
      <w:r w:rsidR="00C81C40" w:rsidRPr="00C81C40">
        <w:rPr>
          <w:rFonts w:ascii="Arial,Bold" w:hAnsi="Arial,Bold"/>
          <w:sz w:val="22"/>
          <w:szCs w:val="22"/>
        </w:rPr>
        <w:t xml:space="preserve"> defendant's state of mind or reason for breaking the law. The Latin literal translation is "guilt". The plural form of </w:t>
      </w:r>
      <w:proofErr w:type="spellStart"/>
      <w:r w:rsidR="00C81C40" w:rsidRPr="00C81C40">
        <w:rPr>
          <w:rFonts w:ascii="Arial,Bold" w:hAnsi="Arial,Bold"/>
          <w:sz w:val="22"/>
          <w:szCs w:val="22"/>
        </w:rPr>
        <w:t>mens</w:t>
      </w:r>
      <w:proofErr w:type="spellEnd"/>
      <w:r w:rsidR="00C81C40" w:rsidRPr="00C81C40">
        <w:rPr>
          <w:rFonts w:ascii="Arial,Bold" w:hAnsi="Arial,Bold"/>
          <w:sz w:val="22"/>
          <w:szCs w:val="22"/>
        </w:rPr>
        <w:t xml:space="preserve"> rea is </w:t>
      </w:r>
      <w:proofErr w:type="spellStart"/>
      <w:r w:rsidR="00C81C40" w:rsidRPr="00C81C40">
        <w:rPr>
          <w:rFonts w:ascii="Arial,Bold" w:hAnsi="Arial,Bold"/>
          <w:sz w:val="22"/>
          <w:szCs w:val="22"/>
        </w:rPr>
        <w:t>mentes</w:t>
      </w:r>
      <w:proofErr w:type="spellEnd"/>
      <w:r w:rsidR="00C81C40" w:rsidRPr="00C81C40">
        <w:rPr>
          <w:rFonts w:ascii="Arial,Bold" w:hAnsi="Arial,Bold"/>
          <w:sz w:val="22"/>
          <w:szCs w:val="22"/>
        </w:rPr>
        <w:t xml:space="preserve"> </w:t>
      </w:r>
      <w:proofErr w:type="spellStart"/>
      <w:r w:rsidR="00C81C40" w:rsidRPr="00C81C40">
        <w:rPr>
          <w:rFonts w:ascii="Arial,Bold" w:hAnsi="Arial,Bold"/>
          <w:sz w:val="22"/>
          <w:szCs w:val="22"/>
        </w:rPr>
        <w:t>reae</w:t>
      </w:r>
      <w:proofErr w:type="spellEnd"/>
      <w:r w:rsidR="00C81C40" w:rsidRPr="00C81C40">
        <w:rPr>
          <w:rFonts w:ascii="Arial,Bold" w:hAnsi="Arial,Bold"/>
          <w:sz w:val="22"/>
          <w:szCs w:val="22"/>
        </w:rPr>
        <w:t xml:space="preserve">. The state of mind required to convict a particular defendant of a particular crime is known as the </w:t>
      </w:r>
      <w:proofErr w:type="spellStart"/>
      <w:r w:rsidR="00C81C40" w:rsidRPr="00C81C40">
        <w:rPr>
          <w:rFonts w:ascii="Arial,Bold" w:hAnsi="Arial,Bold"/>
          <w:sz w:val="22"/>
          <w:szCs w:val="22"/>
        </w:rPr>
        <w:t>mens</w:t>
      </w:r>
      <w:proofErr w:type="spellEnd"/>
      <w:r w:rsidR="00C81C40" w:rsidRPr="00C81C40">
        <w:rPr>
          <w:rFonts w:ascii="Arial,Bold" w:hAnsi="Arial,Bold"/>
          <w:sz w:val="22"/>
          <w:szCs w:val="22"/>
        </w:rPr>
        <w:t xml:space="preserve"> rea.</w:t>
      </w:r>
      <w:r w:rsidR="00C81C40">
        <w:rPr>
          <w:rFonts w:ascii="Arial,Bold" w:hAnsi="Arial,Bold"/>
          <w:sz w:val="22"/>
          <w:szCs w:val="22"/>
        </w:rPr>
        <w:t xml:space="preserve"> </w:t>
      </w:r>
      <w:r w:rsidR="00BC341A">
        <w:rPr>
          <w:rFonts w:ascii="Arial,Bold" w:hAnsi="Arial,Bold"/>
          <w:sz w:val="22"/>
          <w:szCs w:val="22"/>
        </w:rPr>
        <w:t>A</w:t>
      </w:r>
      <w:r w:rsidR="00C81C40" w:rsidRPr="00C81C40">
        <w:rPr>
          <w:rFonts w:ascii="Arial,Bold" w:hAnsi="Arial,Bold"/>
          <w:sz w:val="22"/>
          <w:szCs w:val="22"/>
        </w:rPr>
        <w:t xml:space="preserve"> defendant's state</w:t>
      </w:r>
      <w:r w:rsidR="00BC3220">
        <w:rPr>
          <w:rFonts w:ascii="Arial,Bold" w:hAnsi="Arial,Bold"/>
          <w:sz w:val="22"/>
          <w:szCs w:val="22"/>
        </w:rPr>
        <w:t xml:space="preserve"> </w:t>
      </w:r>
      <w:r w:rsidR="00C81C40" w:rsidRPr="00C81C40">
        <w:rPr>
          <w:rFonts w:ascii="Arial,Bold" w:hAnsi="Arial,Bold"/>
          <w:sz w:val="22"/>
          <w:szCs w:val="22"/>
        </w:rPr>
        <w:t xml:space="preserve">mind or reason for breaking the law.  A person's state of mind when committing a crime is called the perpetrator's </w:t>
      </w:r>
      <w:proofErr w:type="spellStart"/>
      <w:r w:rsidR="00C81C40" w:rsidRPr="00C81C40">
        <w:rPr>
          <w:rFonts w:ascii="Arial,Bold" w:hAnsi="Arial,Bold"/>
          <w:sz w:val="22"/>
          <w:szCs w:val="22"/>
        </w:rPr>
        <w:t>mens</w:t>
      </w:r>
      <w:proofErr w:type="spellEnd"/>
      <w:r w:rsidR="00C81C40" w:rsidRPr="00C81C40">
        <w:rPr>
          <w:rFonts w:ascii="Arial,Bold" w:hAnsi="Arial,Bold"/>
          <w:sz w:val="22"/>
          <w:szCs w:val="22"/>
        </w:rPr>
        <w:t xml:space="preserve"> rea.</w:t>
      </w:r>
      <w:r w:rsidR="00BC3220">
        <w:rPr>
          <w:rFonts w:ascii="Arial,Bold" w:hAnsi="Arial,Bold"/>
          <w:sz w:val="22"/>
          <w:szCs w:val="22"/>
        </w:rPr>
        <w:t xml:space="preserve"> </w:t>
      </w:r>
    </w:p>
    <w:p w14:paraId="4C49D977" w14:textId="77777777" w:rsidR="00356787" w:rsidRDefault="00356787" w:rsidP="00FB5A66">
      <w:pPr>
        <w:pStyle w:val="NormalWeb"/>
        <w:rPr>
          <w:rFonts w:ascii="Arial,Bold" w:hAnsi="Arial,Bold"/>
          <w:sz w:val="22"/>
          <w:szCs w:val="22"/>
        </w:rPr>
      </w:pPr>
    </w:p>
    <w:p w14:paraId="597EACD8" w14:textId="77777777" w:rsidR="00BC3220" w:rsidRDefault="008C143A" w:rsidP="00FB5A66">
      <w:pPr>
        <w:pStyle w:val="NormalWeb"/>
        <w:rPr>
          <w:rFonts w:ascii="Arial,Bold" w:hAnsi="Arial,Bold"/>
          <w:sz w:val="22"/>
          <w:szCs w:val="22"/>
        </w:rPr>
      </w:pPr>
      <w:r>
        <w:rPr>
          <w:rFonts w:ascii="Arial,Bold" w:hAnsi="Arial,Bold"/>
          <w:sz w:val="22"/>
          <w:szCs w:val="22"/>
        </w:rPr>
        <w:t xml:space="preserve">                                     </w:t>
      </w:r>
    </w:p>
    <w:p w14:paraId="50ED6DD9" w14:textId="77777777" w:rsidR="00BC3220" w:rsidRDefault="00BC3220" w:rsidP="00FB5A66">
      <w:pPr>
        <w:pStyle w:val="NormalWeb"/>
        <w:rPr>
          <w:rFonts w:ascii="Arial,Bold" w:hAnsi="Arial,Bold"/>
          <w:sz w:val="22"/>
          <w:szCs w:val="22"/>
        </w:rPr>
      </w:pPr>
    </w:p>
    <w:p w14:paraId="612828BC" w14:textId="77777777" w:rsidR="00BC3220" w:rsidRDefault="00BC3220" w:rsidP="00FB5A66">
      <w:pPr>
        <w:pStyle w:val="NormalWeb"/>
        <w:rPr>
          <w:rFonts w:ascii="Arial,Bold" w:hAnsi="Arial,Bold"/>
          <w:sz w:val="22"/>
          <w:szCs w:val="22"/>
        </w:rPr>
      </w:pPr>
    </w:p>
    <w:p w14:paraId="5A423477" w14:textId="77777777" w:rsidR="00BC3220" w:rsidRDefault="00BC3220" w:rsidP="00FB5A66">
      <w:pPr>
        <w:pStyle w:val="NormalWeb"/>
        <w:rPr>
          <w:rFonts w:ascii="Arial,Bold" w:hAnsi="Arial,Bold"/>
          <w:sz w:val="22"/>
          <w:szCs w:val="22"/>
        </w:rPr>
      </w:pPr>
    </w:p>
    <w:p w14:paraId="1090488E" w14:textId="77777777" w:rsidR="00BC3220" w:rsidRDefault="00BC3220" w:rsidP="00FB5A66">
      <w:pPr>
        <w:pStyle w:val="NormalWeb"/>
        <w:rPr>
          <w:rFonts w:ascii="Arial,Bold" w:hAnsi="Arial,Bold"/>
          <w:sz w:val="22"/>
          <w:szCs w:val="22"/>
        </w:rPr>
      </w:pPr>
    </w:p>
    <w:p w14:paraId="413F214B" w14:textId="77777777" w:rsidR="00BC3220" w:rsidRDefault="00BC3220" w:rsidP="00FB5A66">
      <w:pPr>
        <w:pStyle w:val="NormalWeb"/>
        <w:rPr>
          <w:rFonts w:ascii="Arial,Bold" w:hAnsi="Arial,Bold"/>
          <w:sz w:val="22"/>
          <w:szCs w:val="22"/>
        </w:rPr>
      </w:pPr>
    </w:p>
    <w:p w14:paraId="7B565F97" w14:textId="77777777" w:rsidR="00BC3220" w:rsidRDefault="00BC3220" w:rsidP="00FB5A66">
      <w:pPr>
        <w:pStyle w:val="NormalWeb"/>
        <w:rPr>
          <w:rFonts w:ascii="Arial,Bold" w:hAnsi="Arial,Bold"/>
          <w:sz w:val="22"/>
          <w:szCs w:val="22"/>
        </w:rPr>
      </w:pPr>
    </w:p>
    <w:p w14:paraId="3E66D359" w14:textId="77777777" w:rsidR="00BC3220" w:rsidRDefault="00BC3220" w:rsidP="00FB5A66">
      <w:pPr>
        <w:pStyle w:val="NormalWeb"/>
        <w:rPr>
          <w:rFonts w:ascii="Arial,Bold" w:hAnsi="Arial,Bold"/>
          <w:sz w:val="22"/>
          <w:szCs w:val="22"/>
        </w:rPr>
      </w:pPr>
    </w:p>
    <w:p w14:paraId="2E364DC4" w14:textId="77777777" w:rsidR="00BC3220" w:rsidRDefault="00BC3220" w:rsidP="00FB5A66">
      <w:pPr>
        <w:pStyle w:val="NormalWeb"/>
        <w:rPr>
          <w:rFonts w:ascii="Arial,Bold" w:hAnsi="Arial,Bold"/>
          <w:sz w:val="22"/>
          <w:szCs w:val="22"/>
        </w:rPr>
      </w:pPr>
    </w:p>
    <w:p w14:paraId="6A4D1B22" w14:textId="77777777" w:rsidR="00BC3220" w:rsidRDefault="00BC3220" w:rsidP="00FB5A66">
      <w:pPr>
        <w:pStyle w:val="NormalWeb"/>
        <w:rPr>
          <w:rFonts w:ascii="Arial,Bold" w:hAnsi="Arial,Bold"/>
          <w:sz w:val="22"/>
          <w:szCs w:val="22"/>
        </w:rPr>
      </w:pPr>
      <w:r>
        <w:rPr>
          <w:rFonts w:ascii="Arial,Bold" w:hAnsi="Arial,Bold"/>
          <w:sz w:val="22"/>
          <w:szCs w:val="22"/>
        </w:rPr>
        <w:t xml:space="preserve">                                    </w:t>
      </w:r>
    </w:p>
    <w:p w14:paraId="5FE6C41F" w14:textId="2BBC1A63" w:rsidR="00BC341A" w:rsidRPr="00356787" w:rsidRDefault="008C143A" w:rsidP="00FB5A66">
      <w:pPr>
        <w:pStyle w:val="NormalWeb"/>
        <w:rPr>
          <w:rFonts w:ascii="Arial,Bold" w:hAnsi="Arial,Bold"/>
          <w:b/>
          <w:bCs/>
          <w:sz w:val="26"/>
          <w:szCs w:val="28"/>
          <w:u w:val="single"/>
        </w:rPr>
      </w:pPr>
      <w:r>
        <w:rPr>
          <w:rFonts w:ascii="Arial,Bold" w:hAnsi="Arial,Bold"/>
          <w:sz w:val="22"/>
          <w:szCs w:val="22"/>
        </w:rPr>
        <w:t xml:space="preserve">  </w:t>
      </w:r>
      <w:r w:rsidR="00BC341A" w:rsidRPr="00356787">
        <w:rPr>
          <w:rFonts w:ascii="Arial,Bold" w:hAnsi="Arial,Bold"/>
          <w:b/>
          <w:bCs/>
          <w:sz w:val="26"/>
          <w:szCs w:val="28"/>
          <w:u w:val="single"/>
        </w:rPr>
        <w:t xml:space="preserve">Partial Defences to murder </w:t>
      </w:r>
    </w:p>
    <w:p w14:paraId="1154D82E" w14:textId="15288E82" w:rsidR="00BC341A" w:rsidRPr="004E5BFE" w:rsidRDefault="00275020" w:rsidP="00FB5A66">
      <w:pPr>
        <w:pStyle w:val="NormalWeb"/>
        <w:rPr>
          <w:rFonts w:asciiTheme="majorHAnsi" w:hAnsiTheme="majorHAnsi" w:cstheme="majorHAnsi"/>
        </w:rPr>
      </w:pPr>
      <w:r>
        <w:rPr>
          <w:rFonts w:ascii="Arial,Bold" w:hAnsi="Arial,Bold"/>
          <w:sz w:val="22"/>
          <w:szCs w:val="22"/>
        </w:rPr>
        <w:t>Diminished responsibility</w:t>
      </w:r>
    </w:p>
    <w:p w14:paraId="58BCE9B3" w14:textId="73161311" w:rsidR="002E300B" w:rsidRPr="002E300B" w:rsidRDefault="00863F15" w:rsidP="002E300B">
      <w:pPr>
        <w:spacing w:before="240"/>
      </w:pPr>
      <w:r w:rsidRPr="004E5BFE">
        <w:rPr>
          <w:rFonts w:asciiTheme="majorHAnsi" w:hAnsiTheme="majorHAnsi" w:cstheme="majorHAnsi"/>
        </w:rPr>
        <w:t>A defence to murder is “diminished responsibility”. The defendant bears the burden of proof in demonstrating  that he suffered from such mental aberration that, having unlawfully killed another person, his conviction should be for manslaughter rather than murder</w:t>
      </w:r>
      <w:r w:rsidR="00275020" w:rsidRPr="008D787F">
        <w:rPr>
          <w:rFonts w:asciiTheme="majorHAnsi" w:hAnsiTheme="majorHAnsi" w:cstheme="majorHAnsi"/>
        </w:rPr>
        <w:t>. It is most often related to murders that require proof of the defendant's specific mental state</w:t>
      </w:r>
      <w:r w:rsidR="00356787" w:rsidRPr="008D787F">
        <w:rPr>
          <w:rFonts w:asciiTheme="majorHAnsi" w:hAnsiTheme="majorHAnsi" w:cstheme="majorHAnsi"/>
          <w:color w:val="1A1A1A"/>
          <w:shd w:val="clear" w:color="auto" w:fill="FFFFFF"/>
        </w:rPr>
        <w:t>.</w:t>
      </w:r>
      <w:r w:rsidR="001F47A8" w:rsidRPr="004E5BFE">
        <w:rPr>
          <w:rFonts w:asciiTheme="majorHAnsi" w:hAnsiTheme="majorHAnsi" w:cstheme="majorHAnsi"/>
          <w:color w:val="1A1A1A"/>
          <w:shd w:val="clear" w:color="auto" w:fill="FFFFFF"/>
        </w:rPr>
        <w:t xml:space="preserve"> </w:t>
      </w:r>
      <w:r w:rsidR="004E5BFE" w:rsidRPr="004E5BFE">
        <w:rPr>
          <w:rFonts w:asciiTheme="majorHAnsi" w:hAnsiTheme="majorHAnsi" w:cstheme="majorHAnsi"/>
          <w:shd w:val="clear" w:color="auto" w:fill="FFFFFF"/>
        </w:rPr>
        <w:t xml:space="preserve">The trouble of development immaturity is additionally a problem for the defence of diminished </w:t>
      </w:r>
      <w:r w:rsidR="002E300B" w:rsidRPr="004E5BFE">
        <w:rPr>
          <w:rFonts w:asciiTheme="majorHAnsi" w:hAnsiTheme="majorHAnsi" w:cstheme="majorHAnsi"/>
          <w:shd w:val="clear" w:color="auto" w:fill="FFFFFF"/>
        </w:rPr>
        <w:t>responsibility</w:t>
      </w:r>
      <w:r w:rsidR="004E5BFE">
        <w:rPr>
          <w:rFonts w:asciiTheme="majorHAnsi" w:hAnsiTheme="majorHAnsi" w:cstheme="majorHAnsi"/>
          <w:shd w:val="clear" w:color="auto" w:fill="FFFFFF"/>
        </w:rPr>
        <w:t xml:space="preserve">. </w:t>
      </w:r>
      <w:r w:rsidR="00A7764B">
        <w:rPr>
          <w:rFonts w:asciiTheme="majorHAnsi" w:hAnsiTheme="majorHAnsi" w:cstheme="majorHAnsi"/>
          <w:shd w:val="clear" w:color="auto" w:fill="FFFFFF"/>
        </w:rPr>
        <w:t>The Issues with diminished responsibility is t</w:t>
      </w:r>
      <w:r w:rsidR="00A7764B" w:rsidRPr="00A7764B">
        <w:rPr>
          <w:rFonts w:asciiTheme="majorHAnsi" w:hAnsiTheme="majorHAnsi" w:cstheme="majorHAnsi"/>
          <w:shd w:val="clear" w:color="auto" w:fill="FFFFFF"/>
        </w:rPr>
        <w:t>here has been concern that limiting the scope of the plea will result in more contested cases and murder convictions. Cases like mercy killing and abusive spouses, which may previously be addressed with 'compassionately,' may now be excluded</w:t>
      </w:r>
      <w:r w:rsidR="002E300B">
        <w:rPr>
          <w:rFonts w:asciiTheme="majorHAnsi" w:hAnsiTheme="majorHAnsi" w:cstheme="majorHAnsi"/>
          <w:shd w:val="clear" w:color="auto" w:fill="FFFFFF"/>
        </w:rPr>
        <w:t>. (</w:t>
      </w:r>
      <w:r w:rsidR="002E300B">
        <w:t xml:space="preserve">P. Patil N. </w:t>
      </w:r>
      <w:proofErr w:type="spellStart"/>
      <w:r w:rsidR="002E300B">
        <w:t>Rasquinha</w:t>
      </w:r>
      <w:proofErr w:type="spellEnd"/>
      <w:r w:rsidR="002E300B">
        <w:t xml:space="preserve"> 2013)</w:t>
      </w:r>
    </w:p>
    <w:p w14:paraId="28C982AD" w14:textId="625E572F" w:rsidR="00BC3220" w:rsidRDefault="00BC3220" w:rsidP="00624017"/>
    <w:p w14:paraId="7E0C8892" w14:textId="77777777" w:rsidR="00BC3220" w:rsidRDefault="00BC3220" w:rsidP="00624017"/>
    <w:p w14:paraId="577144D7" w14:textId="55A6E0D7" w:rsidR="004E5BFE" w:rsidRPr="00BC3220" w:rsidRDefault="004E5BFE" w:rsidP="00624017">
      <w:r>
        <w:rPr>
          <w:rFonts w:asciiTheme="majorHAnsi" w:hAnsiTheme="majorHAnsi" w:cstheme="majorHAnsi"/>
          <w:shd w:val="clear" w:color="auto" w:fill="FFFFFF"/>
        </w:rPr>
        <w:t>Example case R v Byrne (1960)</w:t>
      </w:r>
    </w:p>
    <w:p w14:paraId="79F533E6" w14:textId="12512A48" w:rsidR="00BC341A" w:rsidRPr="004E5BFE" w:rsidRDefault="00C42A10" w:rsidP="00FB5A66">
      <w:pPr>
        <w:pStyle w:val="NormalWeb"/>
        <w:rPr>
          <w:rFonts w:asciiTheme="majorHAnsi" w:hAnsiTheme="majorHAnsi" w:cstheme="majorHAnsi"/>
        </w:rPr>
      </w:pPr>
      <w:r w:rsidRPr="004E5BFE">
        <w:rPr>
          <w:rFonts w:asciiTheme="majorHAnsi" w:hAnsiTheme="majorHAnsi" w:cstheme="majorHAnsi"/>
        </w:rPr>
        <w:t xml:space="preserve">Loss of control </w:t>
      </w:r>
    </w:p>
    <w:p w14:paraId="4ECFD4E9" w14:textId="3FA3D3AF" w:rsidR="00C42A10" w:rsidRPr="004E5BFE" w:rsidRDefault="00C42A10" w:rsidP="0001377D">
      <w:pPr>
        <w:rPr>
          <w:rFonts w:asciiTheme="majorHAnsi" w:hAnsiTheme="majorHAnsi" w:cstheme="majorHAnsi"/>
        </w:rPr>
      </w:pPr>
      <w:r w:rsidRPr="004E5BFE">
        <w:rPr>
          <w:rFonts w:asciiTheme="majorHAnsi" w:hAnsiTheme="majorHAnsi" w:cstheme="majorHAnsi"/>
        </w:rPr>
        <w:t>The l</w:t>
      </w:r>
      <w:r w:rsidR="00D83F8B">
        <w:rPr>
          <w:rFonts w:asciiTheme="majorHAnsi" w:hAnsiTheme="majorHAnsi" w:cstheme="majorHAnsi"/>
        </w:rPr>
        <w:t>oss</w:t>
      </w:r>
      <w:r w:rsidRPr="004E5BFE">
        <w:rPr>
          <w:rFonts w:asciiTheme="majorHAnsi" w:hAnsiTheme="majorHAnsi" w:cstheme="majorHAnsi"/>
        </w:rPr>
        <w:t xml:space="preserve"> of control defence is a partial defence that can reduce murder responsibility to manslaughter. It does not totally exonerate the defendant of </w:t>
      </w:r>
      <w:r w:rsidR="00D83F8B" w:rsidRPr="004E5BFE">
        <w:rPr>
          <w:rFonts w:asciiTheme="majorHAnsi" w:hAnsiTheme="majorHAnsi" w:cstheme="majorHAnsi"/>
        </w:rPr>
        <w:t>responsibility. The</w:t>
      </w:r>
      <w:r w:rsidRPr="004E5BFE">
        <w:rPr>
          <w:rFonts w:asciiTheme="majorHAnsi" w:hAnsiTheme="majorHAnsi" w:cstheme="majorHAnsi"/>
        </w:rPr>
        <w:t xml:space="preserve"> loss of control defence was created in response to concerns about the provocation defence. S.54 of the Coroners and Justice Act 2009 established the loss of control defence, which took effect in October 2010</w:t>
      </w:r>
      <w:r w:rsidR="00D83F8B">
        <w:rPr>
          <w:rFonts w:asciiTheme="majorHAnsi" w:hAnsiTheme="majorHAnsi" w:cstheme="majorHAnsi"/>
        </w:rPr>
        <w:t xml:space="preserve">. </w:t>
      </w:r>
      <w:r w:rsidR="00A57BAF">
        <w:rPr>
          <w:rFonts w:asciiTheme="majorHAnsi" w:hAnsiTheme="majorHAnsi" w:cstheme="majorHAnsi"/>
        </w:rPr>
        <w:t>The first qualifying trigger is that the defendants fear of violence from v against D or another identified person.</w:t>
      </w:r>
      <w:r w:rsidR="00D83F8B">
        <w:rPr>
          <w:rFonts w:asciiTheme="majorHAnsi" w:hAnsiTheme="majorHAnsi" w:cstheme="majorHAnsi"/>
        </w:rPr>
        <w:t xml:space="preserve"> </w:t>
      </w:r>
      <w:r w:rsidR="00A57BAF">
        <w:rPr>
          <w:rFonts w:asciiTheme="majorHAnsi" w:hAnsiTheme="majorHAnsi" w:cstheme="majorHAnsi"/>
        </w:rPr>
        <w:t>Pearson [1992]</w:t>
      </w:r>
      <w:r w:rsidR="00D83F8B">
        <w:rPr>
          <w:rFonts w:asciiTheme="majorHAnsi" w:hAnsiTheme="majorHAnsi" w:cstheme="majorHAnsi"/>
        </w:rPr>
        <w:t xml:space="preserve">. </w:t>
      </w:r>
      <w:r w:rsidR="00A57BAF">
        <w:rPr>
          <w:rFonts w:asciiTheme="majorHAnsi" w:hAnsiTheme="majorHAnsi" w:cstheme="majorHAnsi"/>
        </w:rPr>
        <w:t xml:space="preserve">The fear needs to be </w:t>
      </w:r>
      <w:r w:rsidR="008A3AF9">
        <w:rPr>
          <w:rFonts w:asciiTheme="majorHAnsi" w:hAnsiTheme="majorHAnsi" w:cstheme="majorHAnsi"/>
        </w:rPr>
        <w:t xml:space="preserve">genuine. S55(3) another qualifying trigger is when the loss of control is caused by something said or done by another person. </w:t>
      </w:r>
      <w:r w:rsidR="00D83F8B">
        <w:rPr>
          <w:rFonts w:asciiTheme="majorHAnsi" w:hAnsiTheme="majorHAnsi" w:cstheme="majorHAnsi"/>
        </w:rPr>
        <w:t>Constituted</w:t>
      </w:r>
      <w:r w:rsidR="006E2764">
        <w:rPr>
          <w:rFonts w:asciiTheme="majorHAnsi" w:hAnsiTheme="majorHAnsi" w:cstheme="majorHAnsi"/>
        </w:rPr>
        <w:t xml:space="preserve"> conditions of a </w:t>
      </w:r>
      <w:r w:rsidR="00D83F8B">
        <w:rPr>
          <w:rFonts w:asciiTheme="majorHAnsi" w:hAnsiTheme="majorHAnsi" w:cstheme="majorHAnsi"/>
        </w:rPr>
        <w:t>particularly</w:t>
      </w:r>
      <w:r w:rsidR="006E2764">
        <w:rPr>
          <w:rFonts w:asciiTheme="majorHAnsi" w:hAnsiTheme="majorHAnsi" w:cstheme="majorHAnsi"/>
        </w:rPr>
        <w:t xml:space="preserve"> serious kind and, caused D to feel justified in his belief that he had been badly harmed. </w:t>
      </w:r>
      <w:r w:rsidR="00535AEB">
        <w:rPr>
          <w:rFonts w:asciiTheme="majorHAnsi" w:hAnsiTheme="majorHAnsi" w:cstheme="majorHAnsi"/>
        </w:rPr>
        <w:t xml:space="preserve">Problems surrounding the Coroners and justice Act 2009 is the meaning and nature of the word “extremely grave character” is a source of contention. </w:t>
      </w:r>
      <w:r w:rsidR="00F66054" w:rsidRPr="00F66054">
        <w:rPr>
          <w:rFonts w:asciiTheme="majorHAnsi" w:hAnsiTheme="majorHAnsi" w:cstheme="majorHAnsi"/>
        </w:rPr>
        <w:t>There is no guidance in the legislation to specify which instances this might apply to and how the judge will effectively advise the jury, especially when "the meaning of the term vary based on the defendant's life experience and culture."</w:t>
      </w:r>
      <w:r w:rsidR="00F66054">
        <w:rPr>
          <w:rFonts w:asciiTheme="majorHAnsi" w:hAnsiTheme="majorHAnsi" w:cstheme="majorHAnsi"/>
        </w:rPr>
        <w:t xml:space="preserve"> </w:t>
      </w:r>
      <w:r w:rsidR="00D83F8B">
        <w:rPr>
          <w:rFonts w:asciiTheme="majorHAnsi" w:hAnsiTheme="majorHAnsi" w:cstheme="majorHAnsi"/>
        </w:rPr>
        <w:t>Whether</w:t>
      </w:r>
      <w:r w:rsidR="00F66054">
        <w:rPr>
          <w:rFonts w:asciiTheme="majorHAnsi" w:hAnsiTheme="majorHAnsi" w:cstheme="majorHAnsi"/>
        </w:rPr>
        <w:t xml:space="preserve"> this is an objective or subjective test is a silent act. </w:t>
      </w:r>
    </w:p>
    <w:p w14:paraId="5DA6C85E" w14:textId="48E8006E" w:rsidR="004C74CF" w:rsidRDefault="00A7764B" w:rsidP="00FB5A66">
      <w:pPr>
        <w:pStyle w:val="NormalWeb"/>
        <w:rPr>
          <w:rFonts w:ascii="Arial,Bold" w:hAnsi="Arial,Bold"/>
          <w:sz w:val="22"/>
          <w:szCs w:val="22"/>
        </w:rPr>
      </w:pPr>
      <w:r>
        <w:rPr>
          <w:rFonts w:ascii="Arial,Bold" w:hAnsi="Arial,Bold"/>
          <w:sz w:val="22"/>
          <w:szCs w:val="22"/>
        </w:rPr>
        <w:t xml:space="preserve">Suicide pact </w:t>
      </w:r>
    </w:p>
    <w:p w14:paraId="7D8F2D34" w14:textId="6B84FA5B" w:rsidR="00BC3220" w:rsidRDefault="00270EC6" w:rsidP="00FB5A66">
      <w:pPr>
        <w:pStyle w:val="NormalWeb"/>
        <w:rPr>
          <w:rFonts w:ascii="Arial,Bold" w:hAnsi="Arial,Bold"/>
          <w:sz w:val="22"/>
          <w:szCs w:val="22"/>
        </w:rPr>
      </w:pPr>
      <w:r w:rsidRPr="00270EC6">
        <w:rPr>
          <w:rFonts w:ascii="Arial,Bold" w:hAnsi="Arial,Bold"/>
          <w:sz w:val="22"/>
          <w:szCs w:val="22"/>
        </w:rPr>
        <w:t xml:space="preserve">A suicide pact is an agreement between two or more people that has as </w:t>
      </w:r>
      <w:proofErr w:type="spellStart"/>
      <w:r w:rsidRPr="00270EC6">
        <w:rPr>
          <w:rFonts w:ascii="Arial,Bold" w:hAnsi="Arial,Bold"/>
          <w:sz w:val="22"/>
          <w:szCs w:val="22"/>
        </w:rPr>
        <w:t>it</w:t>
      </w:r>
      <w:r w:rsidR="00D83F8B">
        <w:rPr>
          <w:rFonts w:ascii="Arial,Bold" w:hAnsi="Arial,Bold"/>
          <w:sz w:val="22"/>
          <w:szCs w:val="22"/>
        </w:rPr>
        <w:t>’</w:t>
      </w:r>
      <w:r w:rsidRPr="00270EC6">
        <w:rPr>
          <w:rFonts w:ascii="Arial,Bold" w:hAnsi="Arial,Bold"/>
          <w:sz w:val="22"/>
          <w:szCs w:val="22"/>
        </w:rPr>
        <w:t>s</w:t>
      </w:r>
      <w:proofErr w:type="spellEnd"/>
      <w:r w:rsidRPr="00270EC6">
        <w:rPr>
          <w:rFonts w:ascii="Arial,Bold" w:hAnsi="Arial,Bold"/>
          <w:sz w:val="22"/>
          <w:szCs w:val="22"/>
        </w:rPr>
        <w:t xml:space="preserve"> goal the death of both or all of them, regardless of whether or not each person intends to commit </w:t>
      </w:r>
      <w:r w:rsidR="00293AB8" w:rsidRPr="00270EC6">
        <w:rPr>
          <w:rFonts w:ascii="Arial,Bold" w:hAnsi="Arial,Bold"/>
          <w:sz w:val="22"/>
          <w:szCs w:val="22"/>
        </w:rPr>
        <w:t>suicide</w:t>
      </w:r>
      <w:r w:rsidR="00293AB8">
        <w:rPr>
          <w:rFonts w:ascii="Arial,Bold" w:hAnsi="Arial,Bold"/>
          <w:sz w:val="22"/>
          <w:szCs w:val="22"/>
        </w:rPr>
        <w:t xml:space="preserve">. It </w:t>
      </w:r>
      <w:r w:rsidR="002F165A">
        <w:rPr>
          <w:rFonts w:ascii="Arial,Bold" w:hAnsi="Arial,Bold"/>
          <w:sz w:val="22"/>
          <w:szCs w:val="22"/>
        </w:rPr>
        <w:t xml:space="preserve">would be considered manslaughter, not murder, for a person working in furtherance of a suicide pact between that person and another to kill or be party to the other. </w:t>
      </w:r>
      <w:r w:rsidR="002F165A" w:rsidRPr="002F165A">
        <w:rPr>
          <w:rFonts w:ascii="Arial,Bold" w:hAnsi="Arial,Bold"/>
          <w:sz w:val="22"/>
          <w:szCs w:val="22"/>
        </w:rPr>
        <w:t xml:space="preserve">When it is established that a person charged with the murder of another killed or assisted in the killing of another, </w:t>
      </w:r>
      <w:r>
        <w:rPr>
          <w:rFonts w:ascii="Arial,Bold" w:hAnsi="Arial,Bold"/>
          <w:sz w:val="22"/>
          <w:szCs w:val="22"/>
        </w:rPr>
        <w:t xml:space="preserve"> the defence is unique in that it relies for </w:t>
      </w:r>
      <w:proofErr w:type="spellStart"/>
      <w:r>
        <w:rPr>
          <w:rFonts w:ascii="Arial,Bold" w:hAnsi="Arial,Bold"/>
          <w:sz w:val="22"/>
          <w:szCs w:val="22"/>
        </w:rPr>
        <w:t>it’s</w:t>
      </w:r>
      <w:proofErr w:type="spellEnd"/>
      <w:r>
        <w:rPr>
          <w:rFonts w:ascii="Arial,Bold" w:hAnsi="Arial,Bold"/>
          <w:sz w:val="22"/>
          <w:szCs w:val="22"/>
        </w:rPr>
        <w:t xml:space="preserve"> legitimacy, in part, on the fact that the victim consents to dying. It is the only instance of intentional killing where the victim’s consent is a relevant consideration.</w:t>
      </w:r>
      <w:r w:rsidR="002E300B">
        <w:rPr>
          <w:rFonts w:ascii="Arial,Bold" w:hAnsi="Arial,Bold"/>
          <w:sz w:val="22"/>
          <w:szCs w:val="22"/>
        </w:rPr>
        <w:t xml:space="preserve"> (Law of commission 28</w:t>
      </w:r>
      <w:r w:rsidR="002E300B" w:rsidRPr="002E300B">
        <w:rPr>
          <w:rFonts w:ascii="Arial,Bold" w:hAnsi="Arial,Bold"/>
          <w:sz w:val="22"/>
          <w:szCs w:val="22"/>
          <w:vertAlign w:val="superscript"/>
        </w:rPr>
        <w:t>th</w:t>
      </w:r>
      <w:r w:rsidR="002E300B">
        <w:rPr>
          <w:rFonts w:ascii="Arial,Bold" w:hAnsi="Arial,Bold"/>
          <w:sz w:val="22"/>
          <w:szCs w:val="22"/>
        </w:rPr>
        <w:t xml:space="preserve"> of November 2006)</w:t>
      </w:r>
    </w:p>
    <w:p w14:paraId="61418279" w14:textId="77777777" w:rsidR="00BC3220" w:rsidRDefault="00BC3220" w:rsidP="00FB5A66">
      <w:pPr>
        <w:pStyle w:val="NormalWeb"/>
        <w:rPr>
          <w:rFonts w:ascii="Arial,Bold" w:hAnsi="Arial,Bold"/>
          <w:sz w:val="22"/>
          <w:szCs w:val="22"/>
        </w:rPr>
      </w:pPr>
    </w:p>
    <w:p w14:paraId="056A7DA8" w14:textId="77777777" w:rsidR="00BC3220" w:rsidRDefault="00BC3220" w:rsidP="00FB5A66">
      <w:pPr>
        <w:pStyle w:val="NormalWeb"/>
        <w:rPr>
          <w:rFonts w:ascii="Arial,Bold" w:hAnsi="Arial,Bold"/>
          <w:sz w:val="22"/>
          <w:szCs w:val="22"/>
        </w:rPr>
      </w:pPr>
      <w:r>
        <w:rPr>
          <w:rFonts w:ascii="Arial,Bold" w:hAnsi="Arial,Bold"/>
          <w:sz w:val="22"/>
          <w:szCs w:val="22"/>
        </w:rPr>
        <w:t xml:space="preserve">                      </w:t>
      </w:r>
    </w:p>
    <w:p w14:paraId="6085EE5E" w14:textId="7F8A7727" w:rsidR="00FB5A66" w:rsidRPr="00BC3220" w:rsidRDefault="00BC3220" w:rsidP="00FB5A66">
      <w:pPr>
        <w:pStyle w:val="NormalWeb"/>
        <w:rPr>
          <w:rFonts w:ascii="Arial,Bold" w:hAnsi="Arial,Bold"/>
          <w:sz w:val="22"/>
          <w:szCs w:val="22"/>
        </w:rPr>
      </w:pPr>
      <w:r>
        <w:rPr>
          <w:rFonts w:ascii="Arial,Bold" w:hAnsi="Arial,Bold"/>
          <w:sz w:val="22"/>
          <w:szCs w:val="22"/>
        </w:rPr>
        <w:t xml:space="preserve">                    </w:t>
      </w:r>
      <w:r w:rsidR="004C74CF" w:rsidRPr="00AC4AA9">
        <w:rPr>
          <w:rFonts w:ascii="Arial,Bold" w:hAnsi="Arial,Bold"/>
          <w:u w:val="single"/>
        </w:rPr>
        <w:t xml:space="preserve">The key Issues with the current law of homicide. </w:t>
      </w:r>
    </w:p>
    <w:p w14:paraId="0D8BFEF5" w14:textId="4ED3E94C" w:rsidR="006E2764" w:rsidRPr="00BC3220" w:rsidRDefault="0066257F" w:rsidP="00BC3220">
      <w:pPr>
        <w:pStyle w:val="NormalWeb"/>
        <w:ind w:left="360"/>
      </w:pPr>
      <w:r w:rsidRPr="0066257F">
        <w:rPr>
          <w:rFonts w:ascii="Arial" w:hAnsi="Arial" w:cs="Arial"/>
          <w:sz w:val="22"/>
          <w:szCs w:val="22"/>
        </w:rPr>
        <w:t xml:space="preserve">The law of England and Wales categorises homicide offences in a fairly basic and straightforward manner. Murder and manslaughter are the only two types of homicides. The bulk of unjustified homicides must be classified as one of two offences. As a result, each offence has a lot of work to do, as it must accommodate a wide range of behaviour with varying degrees of criminality. </w:t>
      </w:r>
      <w:r w:rsidR="00FB5A66">
        <w:rPr>
          <w:rFonts w:ascii="Arial" w:hAnsi="Arial" w:cs="Arial"/>
          <w:sz w:val="22"/>
          <w:szCs w:val="22"/>
        </w:rPr>
        <w:t xml:space="preserve"> </w:t>
      </w:r>
      <w:r w:rsidRPr="0066257F">
        <w:rPr>
          <w:rFonts w:ascii="Arial" w:hAnsi="Arial" w:cs="Arial"/>
          <w:sz w:val="22"/>
          <w:szCs w:val="22"/>
        </w:rPr>
        <w:t>As a result, murder includes both the 'contract' killer who conducts a premeditated killing for monetary benefit and the person who, in the heat of an argument, reflexively takes up a knife and inflicts a wound that he or she did not mean to be fatal but that proves deadly. Each has been found guilty of murder and faces a mandatory life sentence. The difference in responsibility can only be expressed in the amount of time each must serve in prison before being considered for release on parole.</w:t>
      </w:r>
      <w:r w:rsidR="00FB5A66">
        <w:rPr>
          <w:rFonts w:ascii="Arial" w:hAnsi="Arial" w:cs="Arial"/>
          <w:sz w:val="22"/>
          <w:szCs w:val="22"/>
        </w:rPr>
        <w:t xml:space="preserve"> </w:t>
      </w:r>
      <w:r w:rsidRPr="0066257F">
        <w:rPr>
          <w:rFonts w:ascii="Arial" w:hAnsi="Arial" w:cs="Arial"/>
          <w:sz w:val="22"/>
          <w:szCs w:val="22"/>
        </w:rPr>
        <w:t>Manslaughter has a broader definition than murder. "It ranges in gravity from the borders of murder right down to those of accidental death," Lord Chief Justice Geoffrey Lane remarked of the offence in 1992</w:t>
      </w:r>
      <w:r w:rsidR="00BC3220">
        <w:rPr>
          <w:rFonts w:ascii="Arial" w:hAnsi="Arial" w:cs="Arial"/>
          <w:sz w:val="22"/>
          <w:szCs w:val="22"/>
        </w:rPr>
        <w:t xml:space="preserve">. </w:t>
      </w:r>
      <w:r w:rsidRPr="0066257F">
        <w:rPr>
          <w:rFonts w:ascii="Arial" w:hAnsi="Arial" w:cs="Arial"/>
          <w:sz w:val="22"/>
          <w:szCs w:val="22"/>
        </w:rPr>
        <w:t>All of this leads to a homicide statute that is fundamentally wrong. It lacks an appropriate framework, including the right sort and breadth of defences. Furthermore, the principles regulating provocation and lessened liability partial defences are complicated and, in the case of provocation, ambiguous.</w:t>
      </w:r>
      <w:r w:rsidR="00BC3220">
        <w:rPr>
          <w:rFonts w:ascii="Arial" w:hAnsi="Arial" w:cs="Arial"/>
          <w:sz w:val="22"/>
          <w:szCs w:val="22"/>
        </w:rPr>
        <w:t xml:space="preserve"> </w:t>
      </w:r>
      <w:r w:rsidR="00BC3220" w:rsidRPr="00BC3220">
        <w:rPr>
          <w:rFonts w:asciiTheme="majorHAnsi" w:hAnsiTheme="majorHAnsi" w:cstheme="majorHAnsi"/>
          <w:color w:val="000000" w:themeColor="text1"/>
        </w:rPr>
        <w:t xml:space="preserve">The </w:t>
      </w:r>
      <w:r w:rsidR="00BC3220">
        <w:rPr>
          <w:rFonts w:asciiTheme="majorHAnsi" w:hAnsiTheme="majorHAnsi" w:cstheme="majorHAnsi"/>
          <w:color w:val="000000" w:themeColor="text1"/>
        </w:rPr>
        <w:t>following</w:t>
      </w:r>
      <w:r w:rsidR="00BC3220" w:rsidRPr="00BC3220">
        <w:rPr>
          <w:rFonts w:asciiTheme="majorHAnsi" w:hAnsiTheme="majorHAnsi" w:cstheme="majorHAnsi"/>
          <w:color w:val="000000" w:themeColor="text1"/>
        </w:rPr>
        <w:t xml:space="preserve"> issue is that the current law does not reflect what Parliament thought and intended when it established the Homicide Act 1957, the last time it looked at the law of murder in depth.</w:t>
      </w:r>
      <w:r w:rsidR="00BC3220">
        <w:rPr>
          <w:rFonts w:asciiTheme="majorHAnsi" w:hAnsiTheme="majorHAnsi" w:cstheme="majorHAnsi"/>
          <w:color w:val="000000" w:themeColor="text1"/>
        </w:rPr>
        <w:t xml:space="preserve"> </w:t>
      </w:r>
      <w:r w:rsidR="00BC3220" w:rsidRPr="00BC3220">
        <w:rPr>
          <w:rFonts w:asciiTheme="majorHAnsi" w:hAnsiTheme="majorHAnsi" w:cstheme="majorHAnsi"/>
          <w:color w:val="000000" w:themeColor="text1"/>
        </w:rPr>
        <w:t>The Royal Commission on Capital Punishment's report from 1949 to 1953 had preceded the 1957 Act.</w:t>
      </w:r>
      <w:r w:rsidR="002E300B">
        <w:rPr>
          <w:rFonts w:asciiTheme="majorHAnsi" w:hAnsiTheme="majorHAnsi" w:cstheme="majorHAnsi"/>
          <w:color w:val="000000" w:themeColor="text1"/>
        </w:rPr>
        <w:t xml:space="preserve"> (Law of commission, 28</w:t>
      </w:r>
      <w:r w:rsidR="002E300B" w:rsidRPr="002E300B">
        <w:rPr>
          <w:rFonts w:asciiTheme="majorHAnsi" w:hAnsiTheme="majorHAnsi" w:cstheme="majorHAnsi"/>
          <w:color w:val="000000" w:themeColor="text1"/>
          <w:vertAlign w:val="superscript"/>
        </w:rPr>
        <w:t>th</w:t>
      </w:r>
      <w:r w:rsidR="002E300B">
        <w:rPr>
          <w:rFonts w:asciiTheme="majorHAnsi" w:hAnsiTheme="majorHAnsi" w:cstheme="majorHAnsi"/>
          <w:color w:val="000000" w:themeColor="text1"/>
        </w:rPr>
        <w:t xml:space="preserve"> of </w:t>
      </w:r>
      <w:proofErr w:type="spellStart"/>
      <w:r w:rsidR="002E300B">
        <w:rPr>
          <w:rFonts w:asciiTheme="majorHAnsi" w:hAnsiTheme="majorHAnsi" w:cstheme="majorHAnsi"/>
          <w:color w:val="000000" w:themeColor="text1"/>
        </w:rPr>
        <w:t>Novemeber</w:t>
      </w:r>
      <w:proofErr w:type="spellEnd"/>
      <w:r w:rsidR="002E300B">
        <w:rPr>
          <w:rFonts w:asciiTheme="majorHAnsi" w:hAnsiTheme="majorHAnsi" w:cstheme="majorHAnsi"/>
          <w:color w:val="000000" w:themeColor="text1"/>
        </w:rPr>
        <w:t xml:space="preserve"> 2006)</w:t>
      </w:r>
    </w:p>
    <w:p w14:paraId="52E5BD58" w14:textId="529DBA60" w:rsidR="006E2764" w:rsidRDefault="006E2764">
      <w:pPr>
        <w:rPr>
          <w:color w:val="000000" w:themeColor="text1"/>
        </w:rPr>
      </w:pPr>
    </w:p>
    <w:p w14:paraId="0803D3D0" w14:textId="15E18B5C" w:rsidR="006E2764" w:rsidRDefault="006E2764">
      <w:pPr>
        <w:rPr>
          <w:color w:val="000000" w:themeColor="text1"/>
        </w:rPr>
      </w:pPr>
    </w:p>
    <w:p w14:paraId="08AC1620" w14:textId="4CD98AF6" w:rsidR="006E2764" w:rsidRDefault="006E2764">
      <w:pPr>
        <w:rPr>
          <w:color w:val="000000" w:themeColor="text1"/>
        </w:rPr>
      </w:pPr>
    </w:p>
    <w:p w14:paraId="50B4E831" w14:textId="473C7E0F" w:rsidR="006E2764" w:rsidRDefault="006E2764">
      <w:pPr>
        <w:rPr>
          <w:color w:val="000000" w:themeColor="text1"/>
        </w:rPr>
      </w:pPr>
    </w:p>
    <w:p w14:paraId="76BCF29E" w14:textId="49B48A30" w:rsidR="006E2764" w:rsidRDefault="006E2764">
      <w:pPr>
        <w:rPr>
          <w:color w:val="000000" w:themeColor="text1"/>
        </w:rPr>
      </w:pPr>
    </w:p>
    <w:p w14:paraId="2E2637C5" w14:textId="0B363C5D" w:rsidR="006E2764" w:rsidRDefault="006E2764">
      <w:pPr>
        <w:rPr>
          <w:color w:val="000000" w:themeColor="text1"/>
        </w:rPr>
      </w:pPr>
    </w:p>
    <w:p w14:paraId="3AB66D50" w14:textId="44200BEB" w:rsidR="006E2764" w:rsidRDefault="006E2764">
      <w:pPr>
        <w:rPr>
          <w:color w:val="000000" w:themeColor="text1"/>
        </w:rPr>
      </w:pPr>
    </w:p>
    <w:p w14:paraId="1C760593" w14:textId="76C08BA6" w:rsidR="00BC3220" w:rsidRDefault="00BC3220">
      <w:pPr>
        <w:rPr>
          <w:color w:val="000000" w:themeColor="text1"/>
        </w:rPr>
      </w:pPr>
    </w:p>
    <w:p w14:paraId="53BA68CC" w14:textId="31533FF0" w:rsidR="00BC3220" w:rsidRDefault="00BC3220">
      <w:pPr>
        <w:rPr>
          <w:color w:val="000000" w:themeColor="text1"/>
        </w:rPr>
      </w:pPr>
    </w:p>
    <w:p w14:paraId="61C8AE41" w14:textId="6AD1EC2C" w:rsidR="00BC3220" w:rsidRDefault="00BC3220">
      <w:pPr>
        <w:rPr>
          <w:color w:val="000000" w:themeColor="text1"/>
        </w:rPr>
      </w:pPr>
    </w:p>
    <w:p w14:paraId="125E37CB" w14:textId="438F1820" w:rsidR="00BC3220" w:rsidRDefault="00BC3220">
      <w:pPr>
        <w:rPr>
          <w:color w:val="000000" w:themeColor="text1"/>
        </w:rPr>
      </w:pPr>
    </w:p>
    <w:p w14:paraId="639D5200" w14:textId="255FA3B1" w:rsidR="00BC3220" w:rsidRDefault="00BC3220">
      <w:pPr>
        <w:rPr>
          <w:color w:val="000000" w:themeColor="text1"/>
        </w:rPr>
      </w:pPr>
    </w:p>
    <w:p w14:paraId="61178109" w14:textId="5DBE17E6" w:rsidR="00BC3220" w:rsidRDefault="00BC3220">
      <w:pPr>
        <w:rPr>
          <w:color w:val="000000" w:themeColor="text1"/>
        </w:rPr>
      </w:pPr>
    </w:p>
    <w:p w14:paraId="60A7C664" w14:textId="1F72E37D" w:rsidR="00BC3220" w:rsidRDefault="00BC3220">
      <w:pPr>
        <w:rPr>
          <w:color w:val="000000" w:themeColor="text1"/>
        </w:rPr>
      </w:pPr>
    </w:p>
    <w:p w14:paraId="158E013D" w14:textId="03D237F0" w:rsidR="00BC3220" w:rsidRDefault="00BC3220">
      <w:pPr>
        <w:rPr>
          <w:color w:val="000000" w:themeColor="text1"/>
        </w:rPr>
      </w:pPr>
    </w:p>
    <w:p w14:paraId="32B89D33" w14:textId="6F736B0A" w:rsidR="00BC3220" w:rsidRDefault="00BC3220">
      <w:pPr>
        <w:rPr>
          <w:color w:val="000000" w:themeColor="text1"/>
        </w:rPr>
      </w:pPr>
    </w:p>
    <w:p w14:paraId="39DE63B5" w14:textId="23A3E103" w:rsidR="00BC3220" w:rsidRDefault="00BC3220">
      <w:pPr>
        <w:rPr>
          <w:color w:val="000000" w:themeColor="text1"/>
        </w:rPr>
      </w:pPr>
    </w:p>
    <w:p w14:paraId="60FBE3CA" w14:textId="3A5EA2F6" w:rsidR="00BC3220" w:rsidRDefault="00BC3220">
      <w:pPr>
        <w:rPr>
          <w:color w:val="000000" w:themeColor="text1"/>
        </w:rPr>
      </w:pPr>
    </w:p>
    <w:p w14:paraId="5B9E8464" w14:textId="6B49E60A" w:rsidR="00BC3220" w:rsidRDefault="00BC3220">
      <w:pPr>
        <w:rPr>
          <w:color w:val="000000" w:themeColor="text1"/>
        </w:rPr>
      </w:pPr>
    </w:p>
    <w:p w14:paraId="0D0AF530" w14:textId="786CE71C" w:rsidR="00BC3220" w:rsidRDefault="00BC3220">
      <w:pPr>
        <w:rPr>
          <w:color w:val="000000" w:themeColor="text1"/>
        </w:rPr>
      </w:pPr>
    </w:p>
    <w:p w14:paraId="04EB119D" w14:textId="490F7200" w:rsidR="00BC3220" w:rsidRDefault="00BC3220">
      <w:pPr>
        <w:rPr>
          <w:color w:val="000000" w:themeColor="text1"/>
        </w:rPr>
      </w:pPr>
    </w:p>
    <w:p w14:paraId="70954C27" w14:textId="2A97726C" w:rsidR="00BC3220" w:rsidRDefault="00BC3220">
      <w:pPr>
        <w:rPr>
          <w:color w:val="000000" w:themeColor="text1"/>
        </w:rPr>
      </w:pPr>
    </w:p>
    <w:p w14:paraId="0F0D75A0" w14:textId="12662D2E" w:rsidR="00BC3220" w:rsidRDefault="00BC3220">
      <w:pPr>
        <w:rPr>
          <w:color w:val="000000" w:themeColor="text1"/>
        </w:rPr>
      </w:pPr>
    </w:p>
    <w:p w14:paraId="74DFFE12" w14:textId="5022F9DD" w:rsidR="00BC3220" w:rsidRDefault="00BC3220">
      <w:pPr>
        <w:rPr>
          <w:color w:val="000000" w:themeColor="text1"/>
        </w:rPr>
      </w:pPr>
    </w:p>
    <w:p w14:paraId="68D880E7" w14:textId="54D61427" w:rsidR="00BC3220" w:rsidRDefault="00BC3220">
      <w:pPr>
        <w:rPr>
          <w:color w:val="000000" w:themeColor="text1"/>
        </w:rPr>
      </w:pPr>
    </w:p>
    <w:p w14:paraId="33D00E23" w14:textId="4FBB12C1" w:rsidR="00BC3220" w:rsidRDefault="00BC3220">
      <w:pPr>
        <w:rPr>
          <w:color w:val="000000" w:themeColor="text1"/>
        </w:rPr>
      </w:pPr>
    </w:p>
    <w:p w14:paraId="56CB5F3D" w14:textId="53117AEE" w:rsidR="00BC3220" w:rsidRDefault="00BC3220">
      <w:pPr>
        <w:rPr>
          <w:color w:val="000000" w:themeColor="text1"/>
        </w:rPr>
      </w:pPr>
    </w:p>
    <w:p w14:paraId="60A5D925" w14:textId="558854BB" w:rsidR="00BC3220" w:rsidRDefault="00BC3220">
      <w:pPr>
        <w:rPr>
          <w:color w:val="000000" w:themeColor="text1"/>
        </w:rPr>
      </w:pPr>
    </w:p>
    <w:p w14:paraId="6A27602C" w14:textId="03A17AD0" w:rsidR="00BC3220" w:rsidRDefault="00BC3220">
      <w:pPr>
        <w:rPr>
          <w:color w:val="000000" w:themeColor="text1"/>
        </w:rPr>
      </w:pPr>
    </w:p>
    <w:p w14:paraId="14B69F2C" w14:textId="77777777" w:rsidR="00BC3220" w:rsidRDefault="00BC3220">
      <w:pPr>
        <w:rPr>
          <w:color w:val="000000" w:themeColor="text1"/>
        </w:rPr>
      </w:pPr>
    </w:p>
    <w:p w14:paraId="538C5F6D" w14:textId="1667C1D6" w:rsidR="0066257F" w:rsidRPr="00BC3220" w:rsidRDefault="0066257F">
      <w:pPr>
        <w:rPr>
          <w:color w:val="000000" w:themeColor="text1"/>
        </w:rPr>
      </w:pPr>
      <w:r>
        <w:rPr>
          <w:color w:val="000000" w:themeColor="text1"/>
        </w:rPr>
        <w:t xml:space="preserve">                                          </w:t>
      </w:r>
      <w:r w:rsidRPr="0066257F">
        <w:rPr>
          <w:rFonts w:asciiTheme="majorHAnsi" w:hAnsiTheme="majorHAnsi" w:cstheme="majorHAnsi"/>
          <w:color w:val="000000" w:themeColor="text1"/>
          <w:sz w:val="28"/>
          <w:szCs w:val="28"/>
          <w:u w:val="single"/>
        </w:rPr>
        <w:t xml:space="preserve">Proposals for reform </w:t>
      </w:r>
      <w:r>
        <w:rPr>
          <w:rFonts w:asciiTheme="majorHAnsi" w:hAnsiTheme="majorHAnsi" w:cstheme="majorHAnsi"/>
          <w:color w:val="000000" w:themeColor="text1"/>
          <w:sz w:val="28"/>
          <w:szCs w:val="28"/>
          <w:u w:val="single"/>
        </w:rPr>
        <w:t>in the law</w:t>
      </w:r>
      <w:r w:rsidR="00BC3220">
        <w:rPr>
          <w:rFonts w:asciiTheme="majorHAnsi" w:hAnsiTheme="majorHAnsi" w:cstheme="majorHAnsi"/>
          <w:color w:val="000000" w:themeColor="text1"/>
          <w:sz w:val="28"/>
          <w:szCs w:val="28"/>
          <w:u w:val="single"/>
        </w:rPr>
        <w:t xml:space="preserve"> </w:t>
      </w:r>
    </w:p>
    <w:p w14:paraId="1BB4FE33" w14:textId="0988A86C" w:rsidR="0066257F" w:rsidRDefault="0066257F">
      <w:pPr>
        <w:rPr>
          <w:rFonts w:asciiTheme="majorHAnsi" w:hAnsiTheme="majorHAnsi" w:cstheme="majorHAnsi"/>
          <w:color w:val="000000" w:themeColor="text1"/>
          <w:sz w:val="28"/>
          <w:szCs w:val="28"/>
          <w:u w:val="single"/>
        </w:rPr>
      </w:pPr>
    </w:p>
    <w:p w14:paraId="5AB1EC0F" w14:textId="77777777" w:rsidR="0066257F" w:rsidRDefault="0066257F">
      <w:pPr>
        <w:rPr>
          <w:rFonts w:asciiTheme="majorHAnsi" w:hAnsiTheme="majorHAnsi" w:cstheme="majorHAnsi"/>
          <w:color w:val="000000" w:themeColor="text1"/>
        </w:rPr>
      </w:pPr>
    </w:p>
    <w:p w14:paraId="497BE78F" w14:textId="009C2E10" w:rsidR="00BC3220" w:rsidRDefault="00BC3220">
      <w:pPr>
        <w:rPr>
          <w:rFonts w:asciiTheme="majorHAnsi" w:hAnsiTheme="majorHAnsi" w:cstheme="majorHAnsi"/>
          <w:color w:val="000000" w:themeColor="text1"/>
        </w:rPr>
      </w:pPr>
      <w:r>
        <w:rPr>
          <w:rFonts w:asciiTheme="majorHAnsi" w:hAnsiTheme="majorHAnsi" w:cstheme="majorHAnsi"/>
          <w:color w:val="000000" w:themeColor="text1"/>
        </w:rPr>
        <w:t xml:space="preserve">                                    </w:t>
      </w:r>
      <w:r w:rsidR="0066257F">
        <w:rPr>
          <w:rFonts w:asciiTheme="majorHAnsi" w:hAnsiTheme="majorHAnsi" w:cstheme="majorHAnsi"/>
          <w:color w:val="000000" w:themeColor="text1"/>
        </w:rPr>
        <w:t xml:space="preserve">The Law Commission’s job is to </w:t>
      </w:r>
      <w:r w:rsidR="00A456E2">
        <w:rPr>
          <w:rFonts w:asciiTheme="majorHAnsi" w:hAnsiTheme="majorHAnsi" w:cstheme="majorHAnsi"/>
          <w:color w:val="000000" w:themeColor="text1"/>
        </w:rPr>
        <w:t>regularly</w:t>
      </w:r>
      <w:r w:rsidR="0066257F">
        <w:rPr>
          <w:rFonts w:asciiTheme="majorHAnsi" w:hAnsiTheme="majorHAnsi" w:cstheme="majorHAnsi"/>
          <w:color w:val="000000" w:themeColor="text1"/>
        </w:rPr>
        <w:t xml:space="preserve"> evaluate the English and Welsh law and make recommendations for changes as needed. </w:t>
      </w:r>
      <w:r w:rsidR="0066257F" w:rsidRPr="0066257F">
        <w:rPr>
          <w:rFonts w:asciiTheme="majorHAnsi" w:hAnsiTheme="majorHAnsi" w:cstheme="majorHAnsi"/>
          <w:color w:val="000000" w:themeColor="text1"/>
        </w:rPr>
        <w:t>It</w:t>
      </w:r>
      <w:r w:rsidR="00A456E2">
        <w:rPr>
          <w:rFonts w:asciiTheme="majorHAnsi" w:hAnsiTheme="majorHAnsi" w:cstheme="majorHAnsi"/>
          <w:color w:val="000000" w:themeColor="text1"/>
        </w:rPr>
        <w:t>’</w:t>
      </w:r>
      <w:r w:rsidR="0066257F" w:rsidRPr="0066257F">
        <w:rPr>
          <w:rFonts w:asciiTheme="majorHAnsi" w:hAnsiTheme="majorHAnsi" w:cstheme="majorHAnsi"/>
          <w:color w:val="000000" w:themeColor="text1"/>
        </w:rPr>
        <w:t xml:space="preserve">s mission is to ensure that the law is fair, straightforward, and cost-effective by conducting research and consultations in specific areas of the law and making suggestions to Parliament as </w:t>
      </w:r>
      <w:r w:rsidR="002E300B" w:rsidRPr="0066257F">
        <w:rPr>
          <w:rFonts w:asciiTheme="majorHAnsi" w:hAnsiTheme="majorHAnsi" w:cstheme="majorHAnsi"/>
          <w:color w:val="000000" w:themeColor="text1"/>
        </w:rPr>
        <w:t>necessary.</w:t>
      </w:r>
      <w:r w:rsidR="002E300B" w:rsidRPr="00A456E2">
        <w:rPr>
          <w:rFonts w:asciiTheme="majorHAnsi" w:hAnsiTheme="majorHAnsi" w:cstheme="majorHAnsi"/>
          <w:color w:val="000000" w:themeColor="text1"/>
        </w:rPr>
        <w:t xml:space="preserve"> The</w:t>
      </w:r>
      <w:r w:rsidR="00A456E2" w:rsidRPr="00A456E2">
        <w:rPr>
          <w:rFonts w:asciiTheme="majorHAnsi" w:hAnsiTheme="majorHAnsi" w:cstheme="majorHAnsi"/>
          <w:color w:val="000000" w:themeColor="text1"/>
        </w:rPr>
        <w:t xml:space="preserve"> Law Commission explains where the law of murder is too narrow and how people who would generally in public terms be thought to have committed murder end up being convicted of the lesser offence of manslaughter. </w:t>
      </w:r>
      <w:r w:rsidR="00A456E2">
        <w:rPr>
          <w:rFonts w:asciiTheme="majorHAnsi" w:hAnsiTheme="majorHAnsi" w:cstheme="majorHAnsi"/>
          <w:color w:val="000000" w:themeColor="text1"/>
        </w:rPr>
        <w:t xml:space="preserve"> </w:t>
      </w:r>
      <w:r w:rsidR="00A456E2" w:rsidRPr="00A456E2">
        <w:rPr>
          <w:rFonts w:asciiTheme="majorHAnsi" w:hAnsiTheme="majorHAnsi" w:cstheme="majorHAnsi"/>
          <w:color w:val="000000" w:themeColor="text1"/>
        </w:rPr>
        <w:t>The sentencing guidelines for murder cases adopted by Parliament recently</w:t>
      </w:r>
      <w:r w:rsidR="00A456E2">
        <w:rPr>
          <w:rFonts w:asciiTheme="majorHAnsi" w:hAnsiTheme="majorHAnsi" w:cstheme="majorHAnsi"/>
          <w:color w:val="000000" w:themeColor="text1"/>
        </w:rPr>
        <w:t xml:space="preserve"> </w:t>
      </w:r>
      <w:r w:rsidR="00A456E2" w:rsidRPr="00A456E2">
        <w:rPr>
          <w:rFonts w:asciiTheme="majorHAnsi" w:hAnsiTheme="majorHAnsi" w:cstheme="majorHAnsi"/>
          <w:color w:val="000000" w:themeColor="text1"/>
        </w:rPr>
        <w:t>assume that murder has a rational structure that accurately reflects degrees of fault and allows for adequate defences. Unfortunately, there isn't, and never has been, a system like this in the law. Correcting this is a critical part of criminal law reform.</w:t>
      </w:r>
      <w:r>
        <w:rPr>
          <w:rFonts w:asciiTheme="majorHAnsi" w:hAnsiTheme="majorHAnsi" w:cstheme="majorHAnsi"/>
          <w:color w:val="000000" w:themeColor="text1"/>
        </w:rPr>
        <w:t xml:space="preserve"> </w:t>
      </w:r>
      <w:r w:rsidRPr="00BC3220">
        <w:rPr>
          <w:rFonts w:asciiTheme="majorHAnsi" w:hAnsiTheme="majorHAnsi" w:cstheme="majorHAnsi"/>
          <w:color w:val="000000" w:themeColor="text1"/>
        </w:rPr>
        <w:t>The essence of the description is that a person must have killed with "malice aforethought" in order to be guilty of murder. Even if the description was correct at the time, it is now blatantly false.</w:t>
      </w:r>
      <w:r>
        <w:rPr>
          <w:rFonts w:asciiTheme="majorHAnsi" w:hAnsiTheme="majorHAnsi" w:cstheme="majorHAnsi"/>
          <w:color w:val="000000" w:themeColor="text1"/>
        </w:rPr>
        <w:t xml:space="preserve"> </w:t>
      </w:r>
      <w:r w:rsidRPr="00BC3220">
        <w:rPr>
          <w:rFonts w:asciiTheme="majorHAnsi" w:hAnsiTheme="majorHAnsi" w:cstheme="majorHAnsi"/>
          <w:color w:val="000000" w:themeColor="text1"/>
        </w:rPr>
        <w:t>In particular, the expression “malice aforethought” continues erroneously to exercise great influence over the public perception of murder</w:t>
      </w:r>
      <w:r>
        <w:rPr>
          <w:rFonts w:asciiTheme="majorHAnsi" w:hAnsiTheme="majorHAnsi" w:cstheme="majorHAnsi"/>
          <w:color w:val="000000" w:themeColor="text1"/>
        </w:rPr>
        <w:t xml:space="preserve">. </w:t>
      </w:r>
      <w:r w:rsidRPr="00BC3220">
        <w:rPr>
          <w:rFonts w:asciiTheme="majorHAnsi" w:hAnsiTheme="majorHAnsi" w:cstheme="majorHAnsi"/>
          <w:color w:val="000000" w:themeColor="text1"/>
        </w:rPr>
        <w:t>There does not have to be a want</w:t>
      </w:r>
      <w:r>
        <w:rPr>
          <w:rFonts w:asciiTheme="majorHAnsi" w:hAnsiTheme="majorHAnsi" w:cstheme="majorHAnsi"/>
          <w:color w:val="000000" w:themeColor="text1"/>
        </w:rPr>
        <w:t xml:space="preserve"> to kill</w:t>
      </w:r>
      <w:r w:rsidRPr="00BC3220">
        <w:rPr>
          <w:rFonts w:asciiTheme="majorHAnsi" w:hAnsiTheme="majorHAnsi" w:cstheme="majorHAnsi"/>
          <w:color w:val="000000" w:themeColor="text1"/>
        </w:rPr>
        <w:t>, much less a deliberate desire to kill. Even if there was no intent to kill, a person is guilty of murder if death follows from an act meant to cause really serious harm</w:t>
      </w:r>
      <w:r>
        <w:rPr>
          <w:rFonts w:asciiTheme="majorHAnsi" w:hAnsiTheme="majorHAnsi" w:cstheme="majorHAnsi"/>
          <w:color w:val="000000" w:themeColor="text1"/>
        </w:rPr>
        <w:t xml:space="preserve">. </w:t>
      </w:r>
      <w:r w:rsidRPr="00BC3220">
        <w:rPr>
          <w:rFonts w:asciiTheme="majorHAnsi" w:hAnsiTheme="majorHAnsi" w:cstheme="majorHAnsi"/>
          <w:color w:val="000000" w:themeColor="text1"/>
        </w:rPr>
        <w:t>Persons were not guilty of murder in England and Wales simply because they meant to cause serious injury. Persons who intended to cause substantial injury had to be aware that they were putting people's lives at jeopardy.</w:t>
      </w:r>
      <w:r>
        <w:rPr>
          <w:rFonts w:asciiTheme="majorHAnsi" w:hAnsiTheme="majorHAnsi" w:cstheme="majorHAnsi"/>
          <w:color w:val="000000" w:themeColor="text1"/>
        </w:rPr>
        <w:t xml:space="preserve"> </w:t>
      </w:r>
      <w:r w:rsidRPr="00BC3220">
        <w:rPr>
          <w:rFonts w:asciiTheme="majorHAnsi" w:hAnsiTheme="majorHAnsi" w:cstheme="majorHAnsi"/>
          <w:color w:val="000000" w:themeColor="text1"/>
        </w:rPr>
        <w:t>Murder and manslaughter are the only two types of homicides. The bulk of unjustified homicides must be classified as one of two offences. As a result, each offence has a lot of work to do, as it must accommodate a wide range of behaviour with varying degrees of criminality.</w:t>
      </w:r>
      <w:r>
        <w:rPr>
          <w:rFonts w:asciiTheme="majorHAnsi" w:hAnsiTheme="majorHAnsi" w:cstheme="majorHAnsi"/>
          <w:color w:val="000000" w:themeColor="text1"/>
        </w:rPr>
        <w:t xml:space="preserve"> </w:t>
      </w:r>
    </w:p>
    <w:p w14:paraId="3BD55F56" w14:textId="487A1AFA" w:rsidR="0066257F" w:rsidRDefault="00BC3220">
      <w:pPr>
        <w:rPr>
          <w:rFonts w:asciiTheme="majorHAnsi" w:hAnsiTheme="majorHAnsi" w:cstheme="majorHAnsi"/>
          <w:color w:val="000000" w:themeColor="text1"/>
        </w:rPr>
      </w:pPr>
      <w:r>
        <w:rPr>
          <w:rFonts w:asciiTheme="majorHAnsi" w:hAnsiTheme="majorHAnsi" w:cstheme="majorHAnsi"/>
          <w:color w:val="000000" w:themeColor="text1"/>
        </w:rPr>
        <w:t xml:space="preserve">                             Some of the benefits that would be introduced by reforming the current law of homicide are that many of the key issues as earlier discussed could be changed and bettered as they are currently outdated and unfair in some cases. By proposing a new law or changes in the current law of homicide could give defendants that have committed a crime a more relevant sentence in relation to their crime. </w:t>
      </w:r>
      <w:r w:rsidR="002E300B">
        <w:rPr>
          <w:rFonts w:asciiTheme="majorHAnsi" w:hAnsiTheme="majorHAnsi" w:cstheme="majorHAnsi"/>
          <w:color w:val="000000" w:themeColor="text1"/>
        </w:rPr>
        <w:t>(Martin Paddington 2021)</w:t>
      </w:r>
    </w:p>
    <w:p w14:paraId="0F69C67C" w14:textId="77777777" w:rsidR="002E300B" w:rsidRPr="0066257F" w:rsidRDefault="002E300B">
      <w:pPr>
        <w:rPr>
          <w:rFonts w:asciiTheme="majorHAnsi" w:hAnsiTheme="majorHAnsi" w:cstheme="majorHAnsi"/>
          <w:color w:val="000000" w:themeColor="text1"/>
        </w:rPr>
      </w:pPr>
    </w:p>
    <w:p w14:paraId="1A85CEB1" w14:textId="1A5715EC" w:rsidR="006E2764" w:rsidRDefault="006E2764">
      <w:pPr>
        <w:rPr>
          <w:color w:val="000000" w:themeColor="text1"/>
        </w:rPr>
      </w:pPr>
    </w:p>
    <w:p w14:paraId="19F0CC5D" w14:textId="45DCC627" w:rsidR="006E2764" w:rsidRDefault="006E2764">
      <w:pPr>
        <w:rPr>
          <w:color w:val="000000" w:themeColor="text1"/>
        </w:rPr>
      </w:pPr>
    </w:p>
    <w:p w14:paraId="41AAB31D" w14:textId="4CA63D6B" w:rsidR="006E2764" w:rsidRDefault="006E2764">
      <w:pPr>
        <w:rPr>
          <w:color w:val="000000" w:themeColor="text1"/>
        </w:rPr>
      </w:pPr>
    </w:p>
    <w:p w14:paraId="56B93551" w14:textId="1A3F4815" w:rsidR="00BC3220" w:rsidRDefault="00BC3220">
      <w:pPr>
        <w:rPr>
          <w:color w:val="000000" w:themeColor="text1"/>
        </w:rPr>
      </w:pPr>
    </w:p>
    <w:p w14:paraId="08BD1770" w14:textId="77777777" w:rsidR="00BC3220" w:rsidRDefault="00BC3220">
      <w:pPr>
        <w:rPr>
          <w:color w:val="000000" w:themeColor="text1"/>
        </w:rPr>
      </w:pPr>
    </w:p>
    <w:p w14:paraId="0A33AFD5" w14:textId="7BED2AF5" w:rsidR="006E2764" w:rsidRDefault="006E2764">
      <w:pPr>
        <w:rPr>
          <w:color w:val="000000" w:themeColor="text1"/>
        </w:rPr>
      </w:pPr>
    </w:p>
    <w:p w14:paraId="5495FC21" w14:textId="18F65309" w:rsidR="006E2764" w:rsidRDefault="006E2764">
      <w:pPr>
        <w:rPr>
          <w:color w:val="000000" w:themeColor="text1"/>
        </w:rPr>
      </w:pPr>
    </w:p>
    <w:p w14:paraId="3CDC39F7" w14:textId="67A88D53" w:rsidR="006E2764" w:rsidRDefault="006E2764">
      <w:pPr>
        <w:rPr>
          <w:color w:val="000000" w:themeColor="text1"/>
        </w:rPr>
      </w:pPr>
    </w:p>
    <w:p w14:paraId="484285C3" w14:textId="3B127729" w:rsidR="006E2764" w:rsidRDefault="006E2764">
      <w:pPr>
        <w:rPr>
          <w:color w:val="000000" w:themeColor="text1"/>
        </w:rPr>
      </w:pPr>
    </w:p>
    <w:p w14:paraId="182037D0" w14:textId="77777777" w:rsidR="00AC4AA9" w:rsidRDefault="00AC4AA9">
      <w:pPr>
        <w:rPr>
          <w:color w:val="000000" w:themeColor="text1"/>
        </w:rPr>
      </w:pPr>
    </w:p>
    <w:p w14:paraId="4246090D" w14:textId="77777777" w:rsidR="00AC4AA9" w:rsidRDefault="00AC4AA9">
      <w:pPr>
        <w:rPr>
          <w:color w:val="000000" w:themeColor="text1"/>
        </w:rPr>
      </w:pPr>
    </w:p>
    <w:p w14:paraId="1777E6F6" w14:textId="77777777" w:rsidR="00AC4AA9" w:rsidRDefault="00AC4AA9">
      <w:pPr>
        <w:rPr>
          <w:color w:val="000000" w:themeColor="text1"/>
        </w:rPr>
      </w:pPr>
    </w:p>
    <w:p w14:paraId="21E40793" w14:textId="7319A975" w:rsidR="00AC4AA9" w:rsidRPr="002E300B" w:rsidRDefault="002E300B" w:rsidP="002E300B">
      <w:pPr>
        <w:jc w:val="center"/>
        <w:rPr>
          <w:color w:val="000000" w:themeColor="text1"/>
          <w:sz w:val="40"/>
          <w:szCs w:val="40"/>
          <w:u w:val="single"/>
        </w:rPr>
      </w:pPr>
      <w:r w:rsidRPr="002E300B">
        <w:rPr>
          <w:color w:val="000000" w:themeColor="text1"/>
          <w:sz w:val="40"/>
          <w:szCs w:val="40"/>
          <w:u w:val="single"/>
        </w:rPr>
        <w:t>Reference</w:t>
      </w:r>
      <w:r>
        <w:rPr>
          <w:color w:val="000000" w:themeColor="text1"/>
          <w:sz w:val="40"/>
          <w:szCs w:val="40"/>
          <w:u w:val="single"/>
        </w:rPr>
        <w:t>s</w:t>
      </w:r>
    </w:p>
    <w:p w14:paraId="50962CA1" w14:textId="77777777" w:rsidR="00AC4AA9" w:rsidRDefault="00AC4AA9">
      <w:pPr>
        <w:rPr>
          <w:color w:val="000000" w:themeColor="text1"/>
        </w:rPr>
      </w:pPr>
    </w:p>
    <w:p w14:paraId="6CCF48C6" w14:textId="77777777" w:rsidR="00AC4AA9" w:rsidRDefault="00AC4AA9">
      <w:pPr>
        <w:rPr>
          <w:color w:val="000000" w:themeColor="text1"/>
        </w:rPr>
      </w:pPr>
    </w:p>
    <w:p w14:paraId="790B6742" w14:textId="77777777" w:rsidR="00AC4AA9" w:rsidRDefault="00AC4AA9">
      <w:pPr>
        <w:rPr>
          <w:color w:val="000000" w:themeColor="text1"/>
        </w:rPr>
      </w:pPr>
    </w:p>
    <w:p w14:paraId="2438E089" w14:textId="77777777" w:rsidR="00AC4AA9" w:rsidRDefault="00AC4AA9">
      <w:pPr>
        <w:rPr>
          <w:color w:val="000000" w:themeColor="text1"/>
        </w:rPr>
      </w:pPr>
    </w:p>
    <w:p w14:paraId="7431A333" w14:textId="77777777" w:rsidR="00AC4AA9" w:rsidRDefault="00AC4AA9">
      <w:pPr>
        <w:rPr>
          <w:color w:val="000000" w:themeColor="text1"/>
        </w:rPr>
      </w:pPr>
    </w:p>
    <w:p w14:paraId="05B340FE" w14:textId="16A9217E" w:rsidR="002E300B" w:rsidRDefault="006E2764">
      <w:pPr>
        <w:rPr>
          <w:color w:val="000000" w:themeColor="text1"/>
        </w:rPr>
      </w:pPr>
      <w:proofErr w:type="spellStart"/>
      <w:r w:rsidRPr="006E2764">
        <w:rPr>
          <w:color w:val="000000" w:themeColor="text1"/>
        </w:rPr>
        <w:t>LawTeacher</w:t>
      </w:r>
      <w:proofErr w:type="spellEnd"/>
      <w:r w:rsidRPr="006E2764">
        <w:rPr>
          <w:color w:val="000000" w:themeColor="text1"/>
        </w:rPr>
        <w:t>. November 2013. The Structure of the Defence [Of Loss of Control]. [online]. Available from: https://www.lawteacher.net/free-law-essays/criminology/the-structure-of-the-defence-law-essays.php?vref=1 [Accessed 25 October 2021]</w:t>
      </w:r>
    </w:p>
    <w:p w14:paraId="7D7F1741" w14:textId="0FAC13F3" w:rsidR="00A7764B" w:rsidRPr="00A7764B" w:rsidRDefault="00A7764B" w:rsidP="00A7764B"/>
    <w:p w14:paraId="57860427" w14:textId="4B5A32D2" w:rsidR="00A7764B" w:rsidRDefault="00A7764B" w:rsidP="00A7764B">
      <w:pPr>
        <w:rPr>
          <w:color w:val="000000" w:themeColor="text1"/>
        </w:rPr>
      </w:pPr>
    </w:p>
    <w:p w14:paraId="5E5C7648" w14:textId="22BE99B2" w:rsidR="00A7764B" w:rsidRDefault="002D3D0D" w:rsidP="00A7764B">
      <w:hyperlink r:id="rId9" w:history="1">
        <w:r w:rsidR="0066257F" w:rsidRPr="00CA5E8E">
          <w:rPr>
            <w:rStyle w:val="Hyperlink"/>
          </w:rPr>
          <w:t>https://www.sciencedirect.com/science/article/abs/pii/S0924933813773401</w:t>
        </w:r>
      </w:hyperlink>
    </w:p>
    <w:p w14:paraId="6CD73759" w14:textId="051AF871" w:rsidR="0066257F" w:rsidRDefault="0066257F" w:rsidP="00A7764B"/>
    <w:p w14:paraId="4F7FB4FB" w14:textId="50A986C6" w:rsidR="002E300B" w:rsidRPr="002E300B" w:rsidRDefault="002E300B" w:rsidP="002E300B">
      <w:r w:rsidRPr="002E300B">
        <w:rPr>
          <w:rFonts w:ascii="Open Sans" w:hAnsi="Open Sans" w:cs="Open Sans"/>
          <w:color w:val="000000"/>
          <w:sz w:val="20"/>
          <w:szCs w:val="20"/>
          <w:shd w:val="clear" w:color="auto" w:fill="FFFFFF"/>
        </w:rPr>
        <w:t>Ox.libguides.com. 20</w:t>
      </w:r>
      <w:r>
        <w:rPr>
          <w:rFonts w:ascii="Open Sans" w:hAnsi="Open Sans" w:cs="Open Sans"/>
          <w:color w:val="000000"/>
          <w:sz w:val="20"/>
          <w:szCs w:val="20"/>
          <w:shd w:val="clear" w:color="auto" w:fill="FFFFFF"/>
        </w:rPr>
        <w:t>13</w:t>
      </w:r>
      <w:r w:rsidRPr="002E300B">
        <w:rPr>
          <w:rFonts w:ascii="Open Sans" w:hAnsi="Open Sans" w:cs="Open Sans"/>
          <w:color w:val="000000"/>
          <w:sz w:val="20"/>
          <w:szCs w:val="20"/>
          <w:shd w:val="clear" w:color="auto" w:fill="FFFFFF"/>
        </w:rPr>
        <w:t>. </w:t>
      </w:r>
      <w:r w:rsidRPr="002E300B">
        <w:rPr>
          <w:rFonts w:ascii="Open Sans" w:hAnsi="Open Sans" w:cs="Open Sans"/>
          <w:i/>
          <w:iCs/>
          <w:color w:val="000000"/>
          <w:sz w:val="20"/>
          <w:szCs w:val="20"/>
        </w:rPr>
        <w:t xml:space="preserve">Oxford </w:t>
      </w:r>
      <w:proofErr w:type="spellStart"/>
      <w:r w:rsidRPr="002E300B">
        <w:rPr>
          <w:rFonts w:ascii="Open Sans" w:hAnsi="Open Sans" w:cs="Open Sans"/>
          <w:i/>
          <w:iCs/>
          <w:color w:val="000000"/>
          <w:sz w:val="20"/>
          <w:szCs w:val="20"/>
        </w:rPr>
        <w:t>LibGuides</w:t>
      </w:r>
      <w:proofErr w:type="spellEnd"/>
      <w:r w:rsidRPr="002E300B">
        <w:rPr>
          <w:rFonts w:ascii="Open Sans" w:hAnsi="Open Sans" w:cs="Open Sans"/>
          <w:i/>
          <w:iCs/>
          <w:color w:val="000000"/>
          <w:sz w:val="20"/>
          <w:szCs w:val="20"/>
        </w:rPr>
        <w:t>: United Kingdom Law: Law reform</w:t>
      </w:r>
      <w:r w:rsidRPr="002E300B">
        <w:rPr>
          <w:rFonts w:ascii="Open Sans" w:hAnsi="Open Sans" w:cs="Open Sans"/>
          <w:color w:val="000000"/>
          <w:sz w:val="20"/>
          <w:szCs w:val="20"/>
          <w:shd w:val="clear" w:color="auto" w:fill="FFFFFF"/>
        </w:rPr>
        <w:t>. [online] Available at: &lt;https://ox.libguides.com/c.php?g=422832&amp;p=2887393&gt; [Accessed 5 November 2021].</w:t>
      </w:r>
    </w:p>
    <w:p w14:paraId="43F83EF8" w14:textId="000625EE" w:rsidR="0066257F" w:rsidRDefault="0066257F" w:rsidP="00A7764B"/>
    <w:p w14:paraId="06E9BB76" w14:textId="77777777" w:rsidR="002E300B" w:rsidRDefault="002E300B" w:rsidP="00A7764B"/>
    <w:p w14:paraId="4A7FD325" w14:textId="77777777" w:rsidR="002E300B" w:rsidRPr="002E300B" w:rsidRDefault="002E300B" w:rsidP="002E300B">
      <w:r w:rsidRPr="002E300B">
        <w:rPr>
          <w:rFonts w:ascii="Open Sans" w:hAnsi="Open Sans" w:cs="Open Sans"/>
          <w:color w:val="000000"/>
          <w:sz w:val="20"/>
          <w:szCs w:val="20"/>
          <w:shd w:val="clear" w:color="auto" w:fill="FFFFFF"/>
        </w:rPr>
        <w:t>&lt;https://www.theosthinktank.co.uk/comment/2020/10/29/what-are-the-hate-crime-laws-and-should-they-be-reformed&gt; [Accessed 5 November 2021].</w:t>
      </w:r>
    </w:p>
    <w:p w14:paraId="0FFB308D" w14:textId="271FA780" w:rsidR="0066257F" w:rsidRDefault="0066257F" w:rsidP="00A7764B"/>
    <w:p w14:paraId="136E830E" w14:textId="786EDA64" w:rsidR="002E300B" w:rsidRPr="002E300B" w:rsidRDefault="002E300B" w:rsidP="002E300B">
      <w:r w:rsidRPr="002E300B">
        <w:rPr>
          <w:rFonts w:ascii="Open Sans" w:hAnsi="Open Sans" w:cs="Open Sans"/>
          <w:b/>
          <w:bCs/>
          <w:color w:val="666666"/>
          <w:sz w:val="20"/>
          <w:szCs w:val="20"/>
        </w:rPr>
        <w:t> </w:t>
      </w:r>
      <w:r w:rsidRPr="002E300B">
        <w:rPr>
          <w:rFonts w:ascii="Open Sans" w:hAnsi="Open Sans" w:cs="Open Sans"/>
          <w:color w:val="000000"/>
          <w:sz w:val="20"/>
          <w:szCs w:val="20"/>
        </w:rPr>
        <w:t>Lawcom.gov.uk. 20</w:t>
      </w:r>
      <w:r>
        <w:rPr>
          <w:rFonts w:ascii="Open Sans" w:hAnsi="Open Sans" w:cs="Open Sans"/>
          <w:color w:val="000000"/>
          <w:sz w:val="20"/>
          <w:szCs w:val="20"/>
        </w:rPr>
        <w:t>06</w:t>
      </w:r>
      <w:r w:rsidRPr="002E300B">
        <w:rPr>
          <w:rFonts w:ascii="Open Sans" w:hAnsi="Open Sans" w:cs="Open Sans"/>
          <w:color w:val="000000"/>
          <w:sz w:val="20"/>
          <w:szCs w:val="20"/>
        </w:rPr>
        <w:t>. </w:t>
      </w:r>
      <w:r w:rsidRPr="002E300B">
        <w:rPr>
          <w:rFonts w:ascii="Open Sans" w:hAnsi="Open Sans" w:cs="Open Sans"/>
          <w:i/>
          <w:iCs/>
          <w:color w:val="000000"/>
          <w:sz w:val="20"/>
          <w:szCs w:val="20"/>
        </w:rPr>
        <w:t>law reform | Search Results | Law Commission</w:t>
      </w:r>
      <w:r w:rsidRPr="002E300B">
        <w:rPr>
          <w:rFonts w:ascii="Open Sans" w:hAnsi="Open Sans" w:cs="Open Sans"/>
          <w:color w:val="000000"/>
          <w:sz w:val="20"/>
          <w:szCs w:val="20"/>
        </w:rPr>
        <w:t>. [online] Available at: &lt;https://www.lawcom.gov.uk/?s=law+reform&gt; [Accessed 5 November 2021].</w:t>
      </w:r>
    </w:p>
    <w:p w14:paraId="2BE5287B" w14:textId="41C99598" w:rsidR="00A456E2" w:rsidRDefault="00A456E2" w:rsidP="00A7764B"/>
    <w:p w14:paraId="2DB95072" w14:textId="6408F86D" w:rsidR="002E300B" w:rsidRPr="002E300B" w:rsidRDefault="002E300B" w:rsidP="002E300B">
      <w:r w:rsidRPr="002E300B">
        <w:rPr>
          <w:rFonts w:ascii="Open Sans" w:hAnsi="Open Sans" w:cs="Open Sans"/>
          <w:color w:val="000000"/>
          <w:sz w:val="20"/>
          <w:szCs w:val="20"/>
          <w:shd w:val="clear" w:color="auto" w:fill="FFFFFF"/>
        </w:rPr>
        <w:t>Assets.publishing.service.gov.uk. 2021. [online] Available at: &lt;https://assets.publishing.service.gov.uk/government/uploads/system/uploads/attachment_data/file/228782/0030.pdf&gt; [Accessed 5 November 2021].</w:t>
      </w:r>
    </w:p>
    <w:p w14:paraId="390A9325" w14:textId="16406AE4" w:rsidR="00A456E2" w:rsidRDefault="00A456E2" w:rsidP="00A7764B"/>
    <w:p w14:paraId="4051664C" w14:textId="77777777" w:rsidR="00A456E2" w:rsidRDefault="00A456E2" w:rsidP="00A7764B"/>
    <w:p w14:paraId="478B71E8" w14:textId="77777777" w:rsidR="00A456E2" w:rsidRDefault="00A456E2" w:rsidP="00A7764B"/>
    <w:p w14:paraId="35A6EAAD" w14:textId="77777777" w:rsidR="0066257F" w:rsidRPr="00A7764B" w:rsidRDefault="0066257F" w:rsidP="00A7764B"/>
    <w:sectPr w:rsidR="0066257F" w:rsidRPr="00A7764B" w:rsidSect="005C37EA">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BEDE7" w14:textId="77777777" w:rsidR="008B7E11" w:rsidRDefault="008B7E11" w:rsidP="00534D90">
      <w:r>
        <w:separator/>
      </w:r>
    </w:p>
  </w:endnote>
  <w:endnote w:type="continuationSeparator" w:id="0">
    <w:p w14:paraId="4024511E" w14:textId="77777777" w:rsidR="008B7E11" w:rsidRDefault="008B7E11" w:rsidP="00534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
    <w:altName w:val="Arial"/>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2990473"/>
      <w:docPartObj>
        <w:docPartGallery w:val="Page Numbers (Bottom of Page)"/>
        <w:docPartUnique/>
      </w:docPartObj>
    </w:sdtPr>
    <w:sdtEndPr>
      <w:rPr>
        <w:rStyle w:val="PageNumber"/>
      </w:rPr>
    </w:sdtEndPr>
    <w:sdtContent>
      <w:p w14:paraId="5CE9F251" w14:textId="63B2BA9F" w:rsidR="00FB5A66" w:rsidRDefault="00FB5A66" w:rsidP="00CA5E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90CBDE" w14:textId="77777777" w:rsidR="00FB5A66" w:rsidRDefault="00FB5A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4485701"/>
      <w:docPartObj>
        <w:docPartGallery w:val="Page Numbers (Bottom of Page)"/>
        <w:docPartUnique/>
      </w:docPartObj>
    </w:sdtPr>
    <w:sdtEndPr>
      <w:rPr>
        <w:rStyle w:val="PageNumber"/>
      </w:rPr>
    </w:sdtEndPr>
    <w:sdtContent>
      <w:p w14:paraId="0A3CFBB6" w14:textId="575CB014" w:rsidR="00FB5A66" w:rsidRDefault="00FB5A66" w:rsidP="00CA5E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9DD9638" w14:textId="640C11A8" w:rsidR="006576D4" w:rsidRDefault="006576D4">
    <w:pPr>
      <w:pStyle w:val="Footer"/>
    </w:pPr>
    <w:r>
      <w:rPr>
        <w:noProof/>
      </w:rPr>
      <w:drawing>
        <wp:anchor distT="0" distB="0" distL="114300" distR="114300" simplePos="0" relativeHeight="251658240" behindDoc="0" locked="0" layoutInCell="1" allowOverlap="1" wp14:anchorId="3E0E536A" wp14:editId="4D838C7C">
          <wp:simplePos x="0" y="0"/>
          <wp:positionH relativeFrom="column">
            <wp:posOffset>5553075</wp:posOffset>
          </wp:positionH>
          <wp:positionV relativeFrom="paragraph">
            <wp:posOffset>111760</wp:posOffset>
          </wp:positionV>
          <wp:extent cx="971550" cy="402590"/>
          <wp:effectExtent l="0" t="0" r="6350" b="381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71550" cy="40259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D2C45" w14:textId="77777777" w:rsidR="008B7E11" w:rsidRDefault="008B7E11" w:rsidP="00534D90">
      <w:r>
        <w:separator/>
      </w:r>
    </w:p>
  </w:footnote>
  <w:footnote w:type="continuationSeparator" w:id="0">
    <w:p w14:paraId="47C02F70" w14:textId="77777777" w:rsidR="008B7E11" w:rsidRDefault="008B7E11" w:rsidP="00534D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03C30" w14:textId="714E96CE" w:rsidR="00534D90" w:rsidRDefault="006576D4" w:rsidP="006576D4">
    <w:pPr>
      <w:pStyle w:val="Header"/>
      <w:tabs>
        <w:tab w:val="clear" w:pos="4513"/>
        <w:tab w:val="clear" w:pos="9026"/>
        <w:tab w:val="left" w:pos="6553"/>
        <w:tab w:val="right" w:pos="9020"/>
      </w:tabs>
    </w:pPr>
    <w:r>
      <w:t>BMLW4005/BMPL4009</w:t>
    </w:r>
    <w:r>
      <w:tab/>
      <w:t xml:space="preserve"> </w:t>
    </w:r>
    <w:r>
      <w:tab/>
      <w:t xml:space="preserve">Olivia </w:t>
    </w:r>
    <w:r w:rsidR="00FB5A66">
      <w:t>Saunders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B2E48"/>
    <w:multiLevelType w:val="hybridMultilevel"/>
    <w:tmpl w:val="59DCE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E788E"/>
    <w:multiLevelType w:val="multilevel"/>
    <w:tmpl w:val="5FB8B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B7494C"/>
    <w:multiLevelType w:val="multilevel"/>
    <w:tmpl w:val="685E6D9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992D06"/>
    <w:multiLevelType w:val="hybridMultilevel"/>
    <w:tmpl w:val="D648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06452"/>
    <w:multiLevelType w:val="multilevel"/>
    <w:tmpl w:val="D2849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D90"/>
    <w:rsid w:val="0001377D"/>
    <w:rsid w:val="000414CB"/>
    <w:rsid w:val="000F2FA3"/>
    <w:rsid w:val="00175F32"/>
    <w:rsid w:val="00176466"/>
    <w:rsid w:val="001F0CB1"/>
    <w:rsid w:val="001F47A8"/>
    <w:rsid w:val="00270EC6"/>
    <w:rsid w:val="00275020"/>
    <w:rsid w:val="00275D61"/>
    <w:rsid w:val="00293AB8"/>
    <w:rsid w:val="002D3D0D"/>
    <w:rsid w:val="002E300B"/>
    <w:rsid w:val="002F165A"/>
    <w:rsid w:val="003512E1"/>
    <w:rsid w:val="00356787"/>
    <w:rsid w:val="003A63E5"/>
    <w:rsid w:val="003E3611"/>
    <w:rsid w:val="004C74CF"/>
    <w:rsid w:val="004E5BFE"/>
    <w:rsid w:val="00534D90"/>
    <w:rsid w:val="00535AEB"/>
    <w:rsid w:val="005C37EA"/>
    <w:rsid w:val="005D7D49"/>
    <w:rsid w:val="00624017"/>
    <w:rsid w:val="00643906"/>
    <w:rsid w:val="006576D4"/>
    <w:rsid w:val="0066257F"/>
    <w:rsid w:val="006E2764"/>
    <w:rsid w:val="00801992"/>
    <w:rsid w:val="00862C1D"/>
    <w:rsid w:val="00863F15"/>
    <w:rsid w:val="008A3AF9"/>
    <w:rsid w:val="008B477C"/>
    <w:rsid w:val="008B7E11"/>
    <w:rsid w:val="008C0F3E"/>
    <w:rsid w:val="008C143A"/>
    <w:rsid w:val="008C4C39"/>
    <w:rsid w:val="008D787F"/>
    <w:rsid w:val="00A456E2"/>
    <w:rsid w:val="00A57BAF"/>
    <w:rsid w:val="00A7764B"/>
    <w:rsid w:val="00AC4AA9"/>
    <w:rsid w:val="00AD54D2"/>
    <w:rsid w:val="00BC3220"/>
    <w:rsid w:val="00BC341A"/>
    <w:rsid w:val="00C42A10"/>
    <w:rsid w:val="00C81C40"/>
    <w:rsid w:val="00D21751"/>
    <w:rsid w:val="00D83F8B"/>
    <w:rsid w:val="00DF5E01"/>
    <w:rsid w:val="00F66054"/>
    <w:rsid w:val="00FB5A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664511"/>
  <w15:chartTrackingRefBased/>
  <w15:docId w15:val="{41853969-19E1-4E42-9A4B-B29CBD040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01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D90"/>
    <w:pPr>
      <w:tabs>
        <w:tab w:val="center" w:pos="4513"/>
        <w:tab w:val="right" w:pos="9026"/>
      </w:tabs>
    </w:pPr>
  </w:style>
  <w:style w:type="character" w:customStyle="1" w:styleId="HeaderChar">
    <w:name w:val="Header Char"/>
    <w:basedOn w:val="DefaultParagraphFont"/>
    <w:link w:val="Header"/>
    <w:uiPriority w:val="99"/>
    <w:rsid w:val="00534D90"/>
  </w:style>
  <w:style w:type="paragraph" w:styleId="Footer">
    <w:name w:val="footer"/>
    <w:basedOn w:val="Normal"/>
    <w:link w:val="FooterChar"/>
    <w:uiPriority w:val="99"/>
    <w:unhideWhenUsed/>
    <w:rsid w:val="00534D90"/>
    <w:pPr>
      <w:tabs>
        <w:tab w:val="center" w:pos="4513"/>
        <w:tab w:val="right" w:pos="9026"/>
      </w:tabs>
    </w:pPr>
  </w:style>
  <w:style w:type="character" w:customStyle="1" w:styleId="FooterChar">
    <w:name w:val="Footer Char"/>
    <w:basedOn w:val="DefaultParagraphFont"/>
    <w:link w:val="Footer"/>
    <w:uiPriority w:val="99"/>
    <w:rsid w:val="00534D90"/>
  </w:style>
  <w:style w:type="character" w:styleId="PageNumber">
    <w:name w:val="page number"/>
    <w:basedOn w:val="DefaultParagraphFont"/>
    <w:uiPriority w:val="99"/>
    <w:semiHidden/>
    <w:unhideWhenUsed/>
    <w:rsid w:val="00FB5A66"/>
  </w:style>
  <w:style w:type="paragraph" w:styleId="NormalWeb">
    <w:name w:val="Normal (Web)"/>
    <w:basedOn w:val="Normal"/>
    <w:uiPriority w:val="99"/>
    <w:unhideWhenUsed/>
    <w:rsid w:val="00FB5A66"/>
    <w:pPr>
      <w:spacing w:before="100" w:beforeAutospacing="1" w:after="100" w:afterAutospacing="1"/>
    </w:pPr>
  </w:style>
  <w:style w:type="character" w:customStyle="1" w:styleId="apple-converted-space">
    <w:name w:val="apple-converted-space"/>
    <w:basedOn w:val="DefaultParagraphFont"/>
    <w:rsid w:val="00356787"/>
  </w:style>
  <w:style w:type="character" w:styleId="Hyperlink">
    <w:name w:val="Hyperlink"/>
    <w:basedOn w:val="DefaultParagraphFont"/>
    <w:uiPriority w:val="99"/>
    <w:unhideWhenUsed/>
    <w:rsid w:val="00356787"/>
    <w:rPr>
      <w:color w:val="0000FF"/>
      <w:u w:val="single"/>
    </w:rPr>
  </w:style>
  <w:style w:type="character" w:styleId="UnresolvedMention">
    <w:name w:val="Unresolved Mention"/>
    <w:basedOn w:val="DefaultParagraphFont"/>
    <w:uiPriority w:val="99"/>
    <w:semiHidden/>
    <w:unhideWhenUsed/>
    <w:rsid w:val="0066257F"/>
    <w:rPr>
      <w:color w:val="605E5C"/>
      <w:shd w:val="clear" w:color="auto" w:fill="E1DFDD"/>
    </w:rPr>
  </w:style>
  <w:style w:type="paragraph" w:styleId="ListParagraph">
    <w:name w:val="List Paragraph"/>
    <w:basedOn w:val="Normal"/>
    <w:uiPriority w:val="34"/>
    <w:qFormat/>
    <w:rsid w:val="0066257F"/>
    <w:pPr>
      <w:ind w:left="720"/>
      <w:contextualSpacing/>
    </w:pPr>
  </w:style>
  <w:style w:type="character" w:styleId="FollowedHyperlink">
    <w:name w:val="FollowedHyperlink"/>
    <w:basedOn w:val="DefaultParagraphFont"/>
    <w:uiPriority w:val="99"/>
    <w:semiHidden/>
    <w:unhideWhenUsed/>
    <w:rsid w:val="002E300B"/>
    <w:rPr>
      <w:color w:val="954F72" w:themeColor="followedHyperlink"/>
      <w:u w:val="single"/>
    </w:rPr>
  </w:style>
  <w:style w:type="character" w:customStyle="1" w:styleId="text">
    <w:name w:val="text"/>
    <w:basedOn w:val="DefaultParagraphFont"/>
    <w:rsid w:val="002E300B"/>
  </w:style>
  <w:style w:type="character" w:customStyle="1" w:styleId="author-ref">
    <w:name w:val="author-ref"/>
    <w:basedOn w:val="DefaultParagraphFont"/>
    <w:rsid w:val="002E300B"/>
  </w:style>
  <w:style w:type="character" w:customStyle="1" w:styleId="selectable">
    <w:name w:val="selectable"/>
    <w:basedOn w:val="DefaultParagraphFont"/>
    <w:rsid w:val="002E3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4106">
      <w:bodyDiv w:val="1"/>
      <w:marLeft w:val="0"/>
      <w:marRight w:val="0"/>
      <w:marTop w:val="0"/>
      <w:marBottom w:val="0"/>
      <w:divBdr>
        <w:top w:val="none" w:sz="0" w:space="0" w:color="auto"/>
        <w:left w:val="none" w:sz="0" w:space="0" w:color="auto"/>
        <w:bottom w:val="none" w:sz="0" w:space="0" w:color="auto"/>
        <w:right w:val="none" w:sz="0" w:space="0" w:color="auto"/>
      </w:divBdr>
    </w:div>
    <w:div w:id="270284737">
      <w:bodyDiv w:val="1"/>
      <w:marLeft w:val="0"/>
      <w:marRight w:val="0"/>
      <w:marTop w:val="0"/>
      <w:marBottom w:val="0"/>
      <w:divBdr>
        <w:top w:val="none" w:sz="0" w:space="0" w:color="auto"/>
        <w:left w:val="none" w:sz="0" w:space="0" w:color="auto"/>
        <w:bottom w:val="none" w:sz="0" w:space="0" w:color="auto"/>
        <w:right w:val="none" w:sz="0" w:space="0" w:color="auto"/>
      </w:divBdr>
    </w:div>
    <w:div w:id="426266624">
      <w:bodyDiv w:val="1"/>
      <w:marLeft w:val="0"/>
      <w:marRight w:val="0"/>
      <w:marTop w:val="0"/>
      <w:marBottom w:val="0"/>
      <w:divBdr>
        <w:top w:val="none" w:sz="0" w:space="0" w:color="auto"/>
        <w:left w:val="none" w:sz="0" w:space="0" w:color="auto"/>
        <w:bottom w:val="none" w:sz="0" w:space="0" w:color="auto"/>
        <w:right w:val="none" w:sz="0" w:space="0" w:color="auto"/>
      </w:divBdr>
    </w:div>
    <w:div w:id="500656350">
      <w:bodyDiv w:val="1"/>
      <w:marLeft w:val="0"/>
      <w:marRight w:val="0"/>
      <w:marTop w:val="0"/>
      <w:marBottom w:val="0"/>
      <w:divBdr>
        <w:top w:val="none" w:sz="0" w:space="0" w:color="auto"/>
        <w:left w:val="none" w:sz="0" w:space="0" w:color="auto"/>
        <w:bottom w:val="none" w:sz="0" w:space="0" w:color="auto"/>
        <w:right w:val="none" w:sz="0" w:space="0" w:color="auto"/>
      </w:divBdr>
    </w:div>
    <w:div w:id="541092624">
      <w:bodyDiv w:val="1"/>
      <w:marLeft w:val="0"/>
      <w:marRight w:val="0"/>
      <w:marTop w:val="0"/>
      <w:marBottom w:val="0"/>
      <w:divBdr>
        <w:top w:val="none" w:sz="0" w:space="0" w:color="auto"/>
        <w:left w:val="none" w:sz="0" w:space="0" w:color="auto"/>
        <w:bottom w:val="none" w:sz="0" w:space="0" w:color="auto"/>
        <w:right w:val="none" w:sz="0" w:space="0" w:color="auto"/>
      </w:divBdr>
    </w:div>
    <w:div w:id="588391403">
      <w:bodyDiv w:val="1"/>
      <w:marLeft w:val="0"/>
      <w:marRight w:val="0"/>
      <w:marTop w:val="0"/>
      <w:marBottom w:val="0"/>
      <w:divBdr>
        <w:top w:val="none" w:sz="0" w:space="0" w:color="auto"/>
        <w:left w:val="none" w:sz="0" w:space="0" w:color="auto"/>
        <w:bottom w:val="none" w:sz="0" w:space="0" w:color="auto"/>
        <w:right w:val="none" w:sz="0" w:space="0" w:color="auto"/>
      </w:divBdr>
      <w:divsChild>
        <w:div w:id="44987433">
          <w:marLeft w:val="0"/>
          <w:marRight w:val="0"/>
          <w:marTop w:val="0"/>
          <w:marBottom w:val="0"/>
          <w:divBdr>
            <w:top w:val="none" w:sz="0" w:space="0" w:color="auto"/>
            <w:left w:val="none" w:sz="0" w:space="0" w:color="auto"/>
            <w:bottom w:val="none" w:sz="0" w:space="0" w:color="auto"/>
            <w:right w:val="none" w:sz="0" w:space="0" w:color="auto"/>
          </w:divBdr>
          <w:divsChild>
            <w:div w:id="708258378">
              <w:marLeft w:val="0"/>
              <w:marRight w:val="0"/>
              <w:marTop w:val="0"/>
              <w:marBottom w:val="0"/>
              <w:divBdr>
                <w:top w:val="none" w:sz="0" w:space="0" w:color="auto"/>
                <w:left w:val="none" w:sz="0" w:space="0" w:color="auto"/>
                <w:bottom w:val="none" w:sz="0" w:space="0" w:color="auto"/>
                <w:right w:val="none" w:sz="0" w:space="0" w:color="auto"/>
              </w:divBdr>
              <w:divsChild>
                <w:div w:id="1048262818">
                  <w:marLeft w:val="0"/>
                  <w:marRight w:val="0"/>
                  <w:marTop w:val="0"/>
                  <w:marBottom w:val="0"/>
                  <w:divBdr>
                    <w:top w:val="none" w:sz="0" w:space="0" w:color="auto"/>
                    <w:left w:val="none" w:sz="0" w:space="0" w:color="auto"/>
                    <w:bottom w:val="none" w:sz="0" w:space="0" w:color="auto"/>
                    <w:right w:val="none" w:sz="0" w:space="0" w:color="auto"/>
                  </w:divBdr>
                </w:div>
              </w:divsChild>
            </w:div>
            <w:div w:id="460535232">
              <w:marLeft w:val="0"/>
              <w:marRight w:val="0"/>
              <w:marTop w:val="0"/>
              <w:marBottom w:val="0"/>
              <w:divBdr>
                <w:top w:val="none" w:sz="0" w:space="0" w:color="auto"/>
                <w:left w:val="none" w:sz="0" w:space="0" w:color="auto"/>
                <w:bottom w:val="none" w:sz="0" w:space="0" w:color="auto"/>
                <w:right w:val="none" w:sz="0" w:space="0" w:color="auto"/>
              </w:divBdr>
              <w:divsChild>
                <w:div w:id="1558005852">
                  <w:marLeft w:val="0"/>
                  <w:marRight w:val="0"/>
                  <w:marTop w:val="0"/>
                  <w:marBottom w:val="0"/>
                  <w:divBdr>
                    <w:top w:val="none" w:sz="0" w:space="0" w:color="auto"/>
                    <w:left w:val="none" w:sz="0" w:space="0" w:color="auto"/>
                    <w:bottom w:val="none" w:sz="0" w:space="0" w:color="auto"/>
                    <w:right w:val="none" w:sz="0" w:space="0" w:color="auto"/>
                  </w:divBdr>
                </w:div>
              </w:divsChild>
            </w:div>
            <w:div w:id="1914705434">
              <w:marLeft w:val="0"/>
              <w:marRight w:val="0"/>
              <w:marTop w:val="0"/>
              <w:marBottom w:val="0"/>
              <w:divBdr>
                <w:top w:val="none" w:sz="0" w:space="0" w:color="auto"/>
                <w:left w:val="none" w:sz="0" w:space="0" w:color="auto"/>
                <w:bottom w:val="none" w:sz="0" w:space="0" w:color="auto"/>
                <w:right w:val="none" w:sz="0" w:space="0" w:color="auto"/>
              </w:divBdr>
              <w:divsChild>
                <w:div w:id="44191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573500">
          <w:marLeft w:val="0"/>
          <w:marRight w:val="0"/>
          <w:marTop w:val="0"/>
          <w:marBottom w:val="0"/>
          <w:divBdr>
            <w:top w:val="none" w:sz="0" w:space="0" w:color="auto"/>
            <w:left w:val="none" w:sz="0" w:space="0" w:color="auto"/>
            <w:bottom w:val="none" w:sz="0" w:space="0" w:color="auto"/>
            <w:right w:val="none" w:sz="0" w:space="0" w:color="auto"/>
          </w:divBdr>
          <w:divsChild>
            <w:div w:id="1729106669">
              <w:marLeft w:val="0"/>
              <w:marRight w:val="0"/>
              <w:marTop w:val="0"/>
              <w:marBottom w:val="0"/>
              <w:divBdr>
                <w:top w:val="none" w:sz="0" w:space="0" w:color="auto"/>
                <w:left w:val="none" w:sz="0" w:space="0" w:color="auto"/>
                <w:bottom w:val="none" w:sz="0" w:space="0" w:color="auto"/>
                <w:right w:val="none" w:sz="0" w:space="0" w:color="auto"/>
              </w:divBdr>
              <w:divsChild>
                <w:div w:id="1700277664">
                  <w:marLeft w:val="0"/>
                  <w:marRight w:val="0"/>
                  <w:marTop w:val="0"/>
                  <w:marBottom w:val="0"/>
                  <w:divBdr>
                    <w:top w:val="none" w:sz="0" w:space="0" w:color="auto"/>
                    <w:left w:val="none" w:sz="0" w:space="0" w:color="auto"/>
                    <w:bottom w:val="none" w:sz="0" w:space="0" w:color="auto"/>
                    <w:right w:val="none" w:sz="0" w:space="0" w:color="auto"/>
                  </w:divBdr>
                </w:div>
              </w:divsChild>
            </w:div>
            <w:div w:id="2102026647">
              <w:marLeft w:val="0"/>
              <w:marRight w:val="0"/>
              <w:marTop w:val="0"/>
              <w:marBottom w:val="0"/>
              <w:divBdr>
                <w:top w:val="none" w:sz="0" w:space="0" w:color="auto"/>
                <w:left w:val="none" w:sz="0" w:space="0" w:color="auto"/>
                <w:bottom w:val="none" w:sz="0" w:space="0" w:color="auto"/>
                <w:right w:val="none" w:sz="0" w:space="0" w:color="auto"/>
              </w:divBdr>
              <w:divsChild>
                <w:div w:id="1551696639">
                  <w:marLeft w:val="0"/>
                  <w:marRight w:val="0"/>
                  <w:marTop w:val="0"/>
                  <w:marBottom w:val="0"/>
                  <w:divBdr>
                    <w:top w:val="none" w:sz="0" w:space="0" w:color="auto"/>
                    <w:left w:val="none" w:sz="0" w:space="0" w:color="auto"/>
                    <w:bottom w:val="none" w:sz="0" w:space="0" w:color="auto"/>
                    <w:right w:val="none" w:sz="0" w:space="0" w:color="auto"/>
                  </w:divBdr>
                  <w:divsChild>
                    <w:div w:id="70182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319478">
              <w:marLeft w:val="0"/>
              <w:marRight w:val="0"/>
              <w:marTop w:val="0"/>
              <w:marBottom w:val="0"/>
              <w:divBdr>
                <w:top w:val="none" w:sz="0" w:space="0" w:color="auto"/>
                <w:left w:val="none" w:sz="0" w:space="0" w:color="auto"/>
                <w:bottom w:val="none" w:sz="0" w:space="0" w:color="auto"/>
                <w:right w:val="none" w:sz="0" w:space="0" w:color="auto"/>
              </w:divBdr>
              <w:divsChild>
                <w:div w:id="484859096">
                  <w:marLeft w:val="0"/>
                  <w:marRight w:val="0"/>
                  <w:marTop w:val="0"/>
                  <w:marBottom w:val="0"/>
                  <w:divBdr>
                    <w:top w:val="none" w:sz="0" w:space="0" w:color="auto"/>
                    <w:left w:val="none" w:sz="0" w:space="0" w:color="auto"/>
                    <w:bottom w:val="none" w:sz="0" w:space="0" w:color="auto"/>
                    <w:right w:val="none" w:sz="0" w:space="0" w:color="auto"/>
                  </w:divBdr>
                  <w:divsChild>
                    <w:div w:id="191751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211772">
              <w:marLeft w:val="0"/>
              <w:marRight w:val="0"/>
              <w:marTop w:val="0"/>
              <w:marBottom w:val="0"/>
              <w:divBdr>
                <w:top w:val="none" w:sz="0" w:space="0" w:color="auto"/>
                <w:left w:val="none" w:sz="0" w:space="0" w:color="auto"/>
                <w:bottom w:val="none" w:sz="0" w:space="0" w:color="auto"/>
                <w:right w:val="none" w:sz="0" w:space="0" w:color="auto"/>
              </w:divBdr>
              <w:divsChild>
                <w:div w:id="42573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572077">
      <w:bodyDiv w:val="1"/>
      <w:marLeft w:val="0"/>
      <w:marRight w:val="0"/>
      <w:marTop w:val="0"/>
      <w:marBottom w:val="0"/>
      <w:divBdr>
        <w:top w:val="none" w:sz="0" w:space="0" w:color="auto"/>
        <w:left w:val="none" w:sz="0" w:space="0" w:color="auto"/>
        <w:bottom w:val="none" w:sz="0" w:space="0" w:color="auto"/>
        <w:right w:val="none" w:sz="0" w:space="0" w:color="auto"/>
      </w:divBdr>
    </w:div>
    <w:div w:id="717510898">
      <w:bodyDiv w:val="1"/>
      <w:marLeft w:val="0"/>
      <w:marRight w:val="0"/>
      <w:marTop w:val="0"/>
      <w:marBottom w:val="0"/>
      <w:divBdr>
        <w:top w:val="none" w:sz="0" w:space="0" w:color="auto"/>
        <w:left w:val="none" w:sz="0" w:space="0" w:color="auto"/>
        <w:bottom w:val="none" w:sz="0" w:space="0" w:color="auto"/>
        <w:right w:val="none" w:sz="0" w:space="0" w:color="auto"/>
      </w:divBdr>
    </w:div>
    <w:div w:id="808788652">
      <w:bodyDiv w:val="1"/>
      <w:marLeft w:val="0"/>
      <w:marRight w:val="0"/>
      <w:marTop w:val="0"/>
      <w:marBottom w:val="0"/>
      <w:divBdr>
        <w:top w:val="none" w:sz="0" w:space="0" w:color="auto"/>
        <w:left w:val="none" w:sz="0" w:space="0" w:color="auto"/>
        <w:bottom w:val="none" w:sz="0" w:space="0" w:color="auto"/>
        <w:right w:val="none" w:sz="0" w:space="0" w:color="auto"/>
      </w:divBdr>
    </w:div>
    <w:div w:id="816998506">
      <w:bodyDiv w:val="1"/>
      <w:marLeft w:val="0"/>
      <w:marRight w:val="0"/>
      <w:marTop w:val="0"/>
      <w:marBottom w:val="0"/>
      <w:divBdr>
        <w:top w:val="none" w:sz="0" w:space="0" w:color="auto"/>
        <w:left w:val="none" w:sz="0" w:space="0" w:color="auto"/>
        <w:bottom w:val="none" w:sz="0" w:space="0" w:color="auto"/>
        <w:right w:val="none" w:sz="0" w:space="0" w:color="auto"/>
      </w:divBdr>
    </w:div>
    <w:div w:id="1034304663">
      <w:bodyDiv w:val="1"/>
      <w:marLeft w:val="0"/>
      <w:marRight w:val="0"/>
      <w:marTop w:val="0"/>
      <w:marBottom w:val="0"/>
      <w:divBdr>
        <w:top w:val="none" w:sz="0" w:space="0" w:color="auto"/>
        <w:left w:val="none" w:sz="0" w:space="0" w:color="auto"/>
        <w:bottom w:val="none" w:sz="0" w:space="0" w:color="auto"/>
        <w:right w:val="none" w:sz="0" w:space="0" w:color="auto"/>
      </w:divBdr>
    </w:div>
    <w:div w:id="1042941789">
      <w:bodyDiv w:val="1"/>
      <w:marLeft w:val="0"/>
      <w:marRight w:val="0"/>
      <w:marTop w:val="0"/>
      <w:marBottom w:val="0"/>
      <w:divBdr>
        <w:top w:val="none" w:sz="0" w:space="0" w:color="auto"/>
        <w:left w:val="none" w:sz="0" w:space="0" w:color="auto"/>
        <w:bottom w:val="none" w:sz="0" w:space="0" w:color="auto"/>
        <w:right w:val="none" w:sz="0" w:space="0" w:color="auto"/>
      </w:divBdr>
    </w:div>
    <w:div w:id="1058750157">
      <w:bodyDiv w:val="1"/>
      <w:marLeft w:val="0"/>
      <w:marRight w:val="0"/>
      <w:marTop w:val="0"/>
      <w:marBottom w:val="0"/>
      <w:divBdr>
        <w:top w:val="none" w:sz="0" w:space="0" w:color="auto"/>
        <w:left w:val="none" w:sz="0" w:space="0" w:color="auto"/>
        <w:bottom w:val="none" w:sz="0" w:space="0" w:color="auto"/>
        <w:right w:val="none" w:sz="0" w:space="0" w:color="auto"/>
      </w:divBdr>
    </w:div>
    <w:div w:id="1151867104">
      <w:bodyDiv w:val="1"/>
      <w:marLeft w:val="0"/>
      <w:marRight w:val="0"/>
      <w:marTop w:val="0"/>
      <w:marBottom w:val="0"/>
      <w:divBdr>
        <w:top w:val="none" w:sz="0" w:space="0" w:color="auto"/>
        <w:left w:val="none" w:sz="0" w:space="0" w:color="auto"/>
        <w:bottom w:val="none" w:sz="0" w:space="0" w:color="auto"/>
        <w:right w:val="none" w:sz="0" w:space="0" w:color="auto"/>
      </w:divBdr>
    </w:div>
    <w:div w:id="1175610148">
      <w:bodyDiv w:val="1"/>
      <w:marLeft w:val="0"/>
      <w:marRight w:val="0"/>
      <w:marTop w:val="0"/>
      <w:marBottom w:val="0"/>
      <w:divBdr>
        <w:top w:val="none" w:sz="0" w:space="0" w:color="auto"/>
        <w:left w:val="none" w:sz="0" w:space="0" w:color="auto"/>
        <w:bottom w:val="none" w:sz="0" w:space="0" w:color="auto"/>
        <w:right w:val="none" w:sz="0" w:space="0" w:color="auto"/>
      </w:divBdr>
    </w:div>
    <w:div w:id="1217815104">
      <w:bodyDiv w:val="1"/>
      <w:marLeft w:val="0"/>
      <w:marRight w:val="0"/>
      <w:marTop w:val="0"/>
      <w:marBottom w:val="0"/>
      <w:divBdr>
        <w:top w:val="none" w:sz="0" w:space="0" w:color="auto"/>
        <w:left w:val="none" w:sz="0" w:space="0" w:color="auto"/>
        <w:bottom w:val="none" w:sz="0" w:space="0" w:color="auto"/>
        <w:right w:val="none" w:sz="0" w:space="0" w:color="auto"/>
      </w:divBdr>
    </w:div>
    <w:div w:id="1240553605">
      <w:bodyDiv w:val="1"/>
      <w:marLeft w:val="0"/>
      <w:marRight w:val="0"/>
      <w:marTop w:val="0"/>
      <w:marBottom w:val="0"/>
      <w:divBdr>
        <w:top w:val="none" w:sz="0" w:space="0" w:color="auto"/>
        <w:left w:val="none" w:sz="0" w:space="0" w:color="auto"/>
        <w:bottom w:val="none" w:sz="0" w:space="0" w:color="auto"/>
        <w:right w:val="none" w:sz="0" w:space="0" w:color="auto"/>
      </w:divBdr>
    </w:div>
    <w:div w:id="1314682263">
      <w:bodyDiv w:val="1"/>
      <w:marLeft w:val="0"/>
      <w:marRight w:val="0"/>
      <w:marTop w:val="0"/>
      <w:marBottom w:val="0"/>
      <w:divBdr>
        <w:top w:val="none" w:sz="0" w:space="0" w:color="auto"/>
        <w:left w:val="none" w:sz="0" w:space="0" w:color="auto"/>
        <w:bottom w:val="none" w:sz="0" w:space="0" w:color="auto"/>
        <w:right w:val="none" w:sz="0" w:space="0" w:color="auto"/>
      </w:divBdr>
    </w:div>
    <w:div w:id="1353071295">
      <w:bodyDiv w:val="1"/>
      <w:marLeft w:val="0"/>
      <w:marRight w:val="0"/>
      <w:marTop w:val="0"/>
      <w:marBottom w:val="0"/>
      <w:divBdr>
        <w:top w:val="none" w:sz="0" w:space="0" w:color="auto"/>
        <w:left w:val="none" w:sz="0" w:space="0" w:color="auto"/>
        <w:bottom w:val="none" w:sz="0" w:space="0" w:color="auto"/>
        <w:right w:val="none" w:sz="0" w:space="0" w:color="auto"/>
      </w:divBdr>
    </w:div>
    <w:div w:id="1447189909">
      <w:bodyDiv w:val="1"/>
      <w:marLeft w:val="0"/>
      <w:marRight w:val="0"/>
      <w:marTop w:val="0"/>
      <w:marBottom w:val="0"/>
      <w:divBdr>
        <w:top w:val="none" w:sz="0" w:space="0" w:color="auto"/>
        <w:left w:val="none" w:sz="0" w:space="0" w:color="auto"/>
        <w:bottom w:val="none" w:sz="0" w:space="0" w:color="auto"/>
        <w:right w:val="none" w:sz="0" w:space="0" w:color="auto"/>
      </w:divBdr>
    </w:div>
    <w:div w:id="1530727156">
      <w:bodyDiv w:val="1"/>
      <w:marLeft w:val="0"/>
      <w:marRight w:val="0"/>
      <w:marTop w:val="0"/>
      <w:marBottom w:val="0"/>
      <w:divBdr>
        <w:top w:val="none" w:sz="0" w:space="0" w:color="auto"/>
        <w:left w:val="none" w:sz="0" w:space="0" w:color="auto"/>
        <w:bottom w:val="none" w:sz="0" w:space="0" w:color="auto"/>
        <w:right w:val="none" w:sz="0" w:space="0" w:color="auto"/>
      </w:divBdr>
      <w:divsChild>
        <w:div w:id="1770346261">
          <w:marLeft w:val="0"/>
          <w:marRight w:val="0"/>
          <w:marTop w:val="0"/>
          <w:marBottom w:val="0"/>
          <w:divBdr>
            <w:top w:val="none" w:sz="0" w:space="0" w:color="auto"/>
            <w:left w:val="none" w:sz="0" w:space="0" w:color="auto"/>
            <w:bottom w:val="none" w:sz="0" w:space="0" w:color="auto"/>
            <w:right w:val="none" w:sz="0" w:space="0" w:color="auto"/>
          </w:divBdr>
          <w:divsChild>
            <w:div w:id="1371808947">
              <w:marLeft w:val="0"/>
              <w:marRight w:val="0"/>
              <w:marTop w:val="0"/>
              <w:marBottom w:val="0"/>
              <w:divBdr>
                <w:top w:val="none" w:sz="0" w:space="0" w:color="auto"/>
                <w:left w:val="none" w:sz="0" w:space="0" w:color="auto"/>
                <w:bottom w:val="none" w:sz="0" w:space="0" w:color="auto"/>
                <w:right w:val="none" w:sz="0" w:space="0" w:color="auto"/>
              </w:divBdr>
              <w:divsChild>
                <w:div w:id="72387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354243">
      <w:bodyDiv w:val="1"/>
      <w:marLeft w:val="0"/>
      <w:marRight w:val="0"/>
      <w:marTop w:val="0"/>
      <w:marBottom w:val="0"/>
      <w:divBdr>
        <w:top w:val="none" w:sz="0" w:space="0" w:color="auto"/>
        <w:left w:val="none" w:sz="0" w:space="0" w:color="auto"/>
        <w:bottom w:val="none" w:sz="0" w:space="0" w:color="auto"/>
        <w:right w:val="none" w:sz="0" w:space="0" w:color="auto"/>
      </w:divBdr>
      <w:divsChild>
        <w:div w:id="624892499">
          <w:marLeft w:val="0"/>
          <w:marRight w:val="0"/>
          <w:marTop w:val="0"/>
          <w:marBottom w:val="0"/>
          <w:divBdr>
            <w:top w:val="none" w:sz="0" w:space="0" w:color="auto"/>
            <w:left w:val="none" w:sz="0" w:space="0" w:color="auto"/>
            <w:bottom w:val="none" w:sz="0" w:space="0" w:color="auto"/>
            <w:right w:val="none" w:sz="0" w:space="0" w:color="auto"/>
          </w:divBdr>
          <w:divsChild>
            <w:div w:id="1043943073">
              <w:marLeft w:val="0"/>
              <w:marRight w:val="0"/>
              <w:marTop w:val="0"/>
              <w:marBottom w:val="0"/>
              <w:divBdr>
                <w:top w:val="none" w:sz="0" w:space="0" w:color="auto"/>
                <w:left w:val="none" w:sz="0" w:space="0" w:color="auto"/>
                <w:bottom w:val="none" w:sz="0" w:space="0" w:color="auto"/>
                <w:right w:val="none" w:sz="0" w:space="0" w:color="auto"/>
              </w:divBdr>
              <w:divsChild>
                <w:div w:id="123623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016503">
      <w:bodyDiv w:val="1"/>
      <w:marLeft w:val="0"/>
      <w:marRight w:val="0"/>
      <w:marTop w:val="0"/>
      <w:marBottom w:val="0"/>
      <w:divBdr>
        <w:top w:val="none" w:sz="0" w:space="0" w:color="auto"/>
        <w:left w:val="none" w:sz="0" w:space="0" w:color="auto"/>
        <w:bottom w:val="none" w:sz="0" w:space="0" w:color="auto"/>
        <w:right w:val="none" w:sz="0" w:space="0" w:color="auto"/>
      </w:divBdr>
    </w:div>
    <w:div w:id="1932273912">
      <w:bodyDiv w:val="1"/>
      <w:marLeft w:val="0"/>
      <w:marRight w:val="0"/>
      <w:marTop w:val="0"/>
      <w:marBottom w:val="0"/>
      <w:divBdr>
        <w:top w:val="none" w:sz="0" w:space="0" w:color="auto"/>
        <w:left w:val="none" w:sz="0" w:space="0" w:color="auto"/>
        <w:bottom w:val="none" w:sz="0" w:space="0" w:color="auto"/>
        <w:right w:val="none" w:sz="0" w:space="0" w:color="auto"/>
      </w:divBdr>
    </w:div>
    <w:div w:id="1941791890">
      <w:bodyDiv w:val="1"/>
      <w:marLeft w:val="0"/>
      <w:marRight w:val="0"/>
      <w:marTop w:val="0"/>
      <w:marBottom w:val="0"/>
      <w:divBdr>
        <w:top w:val="none" w:sz="0" w:space="0" w:color="auto"/>
        <w:left w:val="none" w:sz="0" w:space="0" w:color="auto"/>
        <w:bottom w:val="none" w:sz="0" w:space="0" w:color="auto"/>
        <w:right w:val="none" w:sz="0" w:space="0" w:color="auto"/>
      </w:divBdr>
    </w:div>
    <w:div w:id="2034962669">
      <w:bodyDiv w:val="1"/>
      <w:marLeft w:val="0"/>
      <w:marRight w:val="0"/>
      <w:marTop w:val="0"/>
      <w:marBottom w:val="0"/>
      <w:divBdr>
        <w:top w:val="none" w:sz="0" w:space="0" w:color="auto"/>
        <w:left w:val="none" w:sz="0" w:space="0" w:color="auto"/>
        <w:bottom w:val="none" w:sz="0" w:space="0" w:color="auto"/>
        <w:right w:val="none" w:sz="0" w:space="0" w:color="auto"/>
      </w:divBdr>
      <w:divsChild>
        <w:div w:id="1091660177">
          <w:marLeft w:val="0"/>
          <w:marRight w:val="0"/>
          <w:marTop w:val="0"/>
          <w:marBottom w:val="0"/>
          <w:divBdr>
            <w:top w:val="none" w:sz="0" w:space="0" w:color="auto"/>
            <w:left w:val="none" w:sz="0" w:space="0" w:color="auto"/>
            <w:bottom w:val="none" w:sz="0" w:space="0" w:color="auto"/>
            <w:right w:val="none" w:sz="0" w:space="0" w:color="auto"/>
          </w:divBdr>
          <w:divsChild>
            <w:div w:id="287512002">
              <w:marLeft w:val="0"/>
              <w:marRight w:val="0"/>
              <w:marTop w:val="0"/>
              <w:marBottom w:val="0"/>
              <w:divBdr>
                <w:top w:val="none" w:sz="0" w:space="0" w:color="auto"/>
                <w:left w:val="none" w:sz="0" w:space="0" w:color="auto"/>
                <w:bottom w:val="none" w:sz="0" w:space="0" w:color="auto"/>
                <w:right w:val="none" w:sz="0" w:space="0" w:color="auto"/>
              </w:divBdr>
              <w:divsChild>
                <w:div w:id="199826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165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ciencedirect.com/science/article/abs/pii/S0924933813773401" TargetMode="Externa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{F06D7CBB-6B6F-624D-A74F-E315184485B9}</b:Guid>
    <b:RefOrder>1</b:RefOrder>
  </b:Source>
  <b:Source>
    <b:Tag>Placeholder2</b:Tag>
    <b:SourceType>Book</b:SourceType>
    <b:Guid>{F85CB42E-A3D5-9542-B7A5-EBAA8136D418}</b:Guid>
    <b:RefOrder>2</b:RefOrder>
  </b:Source>
  <b:Source>
    <b:Tag>ela21</b:Tag>
    <b:SourceType>InternetSite</b:SourceType>
    <b:Guid>{E6A8B363-593F-BF4F-B31C-66CF31CF48BC}</b:Guid>
    <b:Author>
      <b:Author>
        <b:NameList>
          <b:Person>
            <b:Last>e-lawresources</b:Last>
          </b:Person>
        </b:NameList>
      </b:Author>
    </b:Author>
    <b:Title>the defence of loss of control </b:Title>
    <b:URL>http://www.e-lawresources.co.uk/Loss-of-control.php</b:URL>
    <b:YearAccessed>2021</b:YearAccessed>
    <b:MonthAccessed>october</b:MonthAccessed>
    <b:DayAccessed>25</b:DayAccessed>
    <b:RefOrder>3</b:RefOrder>
  </b:Source>
</b:Sources>
</file>

<file path=customXml/itemProps1.xml><?xml version="1.0" encoding="utf-8"?>
<ds:datastoreItem xmlns:ds="http://schemas.openxmlformats.org/officeDocument/2006/customXml" ds:itemID="{DBEB2427-D2D1-D446-95D7-4ADBC22B2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1665</Words>
  <Characters>9493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Laura Knight</cp:lastModifiedBy>
  <cp:revision>2</cp:revision>
  <dcterms:created xsi:type="dcterms:W3CDTF">2021-11-08T09:15:00Z</dcterms:created>
  <dcterms:modified xsi:type="dcterms:W3CDTF">2021-11-08T09:15:00Z</dcterms:modified>
</cp:coreProperties>
</file>