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79026D" w:rsidRDefault="0079026D" w14:paraId="25FF9CCC" w14:textId="2736968C">
      <w:pPr>
        <w:rPr>
          <w:rFonts w:ascii="Arial" w:hAnsi="Arial" w:cs="Arial"/>
          <w:sz w:val="28"/>
          <w:szCs w:val="28"/>
        </w:rPr>
      </w:pPr>
      <w:r w:rsidRPr="0079026D">
        <w:rPr>
          <w:rFonts w:ascii="Arial" w:hAnsi="Arial" w:cs="Arial"/>
          <w:sz w:val="28"/>
          <w:szCs w:val="28"/>
        </w:rPr>
        <w:t xml:space="preserve">                                                  </w:t>
      </w:r>
      <w:r>
        <w:rPr>
          <w:rFonts w:ascii="Arial" w:hAnsi="Arial" w:cs="Arial"/>
          <w:sz w:val="28"/>
          <w:szCs w:val="28"/>
        </w:rPr>
        <w:t xml:space="preserve">    </w:t>
      </w:r>
      <w:r w:rsidRPr="0079026D">
        <w:rPr>
          <w:rFonts w:ascii="Arial" w:hAnsi="Arial" w:cs="Arial"/>
          <w:sz w:val="28"/>
          <w:szCs w:val="28"/>
        </w:rPr>
        <w:t xml:space="preserve">                 Aleia Younis </w:t>
      </w:r>
      <w:r>
        <w:rPr>
          <w:rFonts w:ascii="Arial" w:hAnsi="Arial" w:cs="Arial"/>
          <w:sz w:val="28"/>
          <w:szCs w:val="28"/>
        </w:rPr>
        <w:t xml:space="preserve"> </w:t>
      </w:r>
    </w:p>
    <w:p w:rsidR="0079026D" w:rsidRDefault="0079026D" w14:paraId="7702EE11" w14:textId="48BF5C60">
      <w:pPr>
        <w:rPr>
          <w:rFonts w:ascii="Arial" w:hAnsi="Arial" w:cs="Arial"/>
          <w:sz w:val="28"/>
          <w:szCs w:val="28"/>
        </w:rPr>
      </w:pPr>
      <w:r>
        <w:rPr>
          <w:rFonts w:ascii="Arial" w:hAnsi="Arial" w:cs="Arial"/>
          <w:sz w:val="28"/>
          <w:szCs w:val="28"/>
        </w:rPr>
        <w:t xml:space="preserve">                                                                        2219526  </w:t>
      </w:r>
      <w:r w:rsidR="00963E22">
        <w:rPr>
          <w:rFonts w:ascii="Arial" w:hAnsi="Arial" w:cs="Arial"/>
          <w:sz w:val="28"/>
          <w:szCs w:val="28"/>
        </w:rPr>
        <w:t xml:space="preserve">  </w:t>
      </w:r>
    </w:p>
    <w:p w:rsidR="00963E22" w:rsidRDefault="00963E22" w14:paraId="0603DE78" w14:textId="33CF321F">
      <w:pPr>
        <w:rPr>
          <w:rFonts w:ascii="Arial" w:hAnsi="Arial" w:cs="Arial"/>
          <w:sz w:val="28"/>
          <w:szCs w:val="28"/>
        </w:rPr>
      </w:pPr>
      <w:r>
        <w:rPr>
          <w:rFonts w:ascii="Arial" w:hAnsi="Arial" w:cs="Arial"/>
          <w:sz w:val="28"/>
          <w:szCs w:val="28"/>
        </w:rPr>
        <w:t xml:space="preserve">                      </w:t>
      </w:r>
      <w:r w:rsidR="00D14D34">
        <w:rPr>
          <w:rFonts w:ascii="Arial" w:hAnsi="Arial" w:cs="Arial"/>
          <w:sz w:val="28"/>
          <w:szCs w:val="28"/>
        </w:rPr>
        <w:t xml:space="preserve">    </w:t>
      </w:r>
      <w:r>
        <w:rPr>
          <w:rFonts w:ascii="Arial" w:hAnsi="Arial" w:cs="Arial"/>
          <w:sz w:val="28"/>
          <w:szCs w:val="28"/>
        </w:rPr>
        <w:t xml:space="preserve">              </w:t>
      </w:r>
      <w:r w:rsidR="00D14D34">
        <w:rPr>
          <w:rFonts w:ascii="Arial" w:hAnsi="Arial" w:cs="Arial"/>
          <w:sz w:val="28"/>
          <w:szCs w:val="28"/>
        </w:rPr>
        <w:t xml:space="preserve">  </w:t>
      </w:r>
      <w:r>
        <w:rPr>
          <w:rFonts w:ascii="Arial" w:hAnsi="Arial" w:cs="Arial"/>
          <w:sz w:val="28"/>
          <w:szCs w:val="28"/>
        </w:rPr>
        <w:t xml:space="preserve">    </w:t>
      </w:r>
      <w:r w:rsidR="00D14D34">
        <w:rPr>
          <w:rFonts w:ascii="Arial" w:hAnsi="Arial" w:cs="Arial"/>
          <w:sz w:val="28"/>
          <w:szCs w:val="28"/>
        </w:rPr>
        <w:t xml:space="preserve">  MSc Public Health and social care in practice </w:t>
      </w:r>
    </w:p>
    <w:p w:rsidR="00D14D34" w:rsidRDefault="00D14D34" w14:paraId="2D064568" w14:textId="2B853E4A">
      <w:pPr>
        <w:rPr>
          <w:rFonts w:ascii="Arial" w:hAnsi="Arial" w:cs="Arial"/>
          <w:sz w:val="28"/>
          <w:szCs w:val="28"/>
        </w:rPr>
      </w:pPr>
      <w:r>
        <w:rPr>
          <w:rFonts w:ascii="Arial" w:hAnsi="Arial" w:cs="Arial"/>
          <w:sz w:val="28"/>
          <w:szCs w:val="28"/>
        </w:rPr>
        <w:t xml:space="preserve">                                                Population Health and Digital Health Promotion  </w:t>
      </w:r>
    </w:p>
    <w:p w:rsidR="00D14D34" w:rsidRDefault="00D14D34" w14:paraId="4661736F" w14:textId="761D8D5D">
      <w:pPr>
        <w:rPr>
          <w:rFonts w:ascii="Arial" w:hAnsi="Arial" w:cs="Arial"/>
          <w:sz w:val="28"/>
          <w:szCs w:val="28"/>
        </w:rPr>
      </w:pPr>
      <w:r>
        <w:rPr>
          <w:rFonts w:ascii="Arial" w:hAnsi="Arial" w:cs="Arial"/>
          <w:sz w:val="28"/>
          <w:szCs w:val="28"/>
        </w:rPr>
        <w:t xml:space="preserve">                                                                       LCHS7009 </w:t>
      </w:r>
    </w:p>
    <w:p w:rsidR="00D14D34" w:rsidRDefault="00D14D34" w14:paraId="350180D0" w14:textId="59FBEDF0">
      <w:pPr>
        <w:rPr>
          <w:rFonts w:ascii="Arial" w:hAnsi="Arial" w:cs="Arial"/>
          <w:sz w:val="28"/>
          <w:szCs w:val="28"/>
        </w:rPr>
      </w:pPr>
      <w:r>
        <w:rPr>
          <w:rFonts w:ascii="Arial" w:hAnsi="Arial" w:cs="Arial"/>
          <w:sz w:val="28"/>
          <w:szCs w:val="28"/>
        </w:rPr>
        <w:t xml:space="preserve">                                                               Component 2 Poster </w:t>
      </w:r>
    </w:p>
    <w:p w:rsidR="00D14D34" w:rsidRDefault="00D14D34" w14:paraId="29DA029A" w14:textId="4A0A0978">
      <w:pPr>
        <w:rPr>
          <w:rFonts w:ascii="Arial" w:hAnsi="Arial" w:cs="Arial"/>
          <w:sz w:val="28"/>
          <w:szCs w:val="28"/>
        </w:rPr>
      </w:pPr>
      <w:r>
        <w:rPr>
          <w:rFonts w:ascii="Arial" w:hAnsi="Arial" w:cs="Arial"/>
          <w:sz w:val="28"/>
          <w:szCs w:val="28"/>
        </w:rPr>
        <w:t xml:space="preserve">                                                                 Dr Raheela Shaikh</w:t>
      </w:r>
    </w:p>
    <w:p w:rsidR="0079026D" w:rsidRDefault="0079026D" w14:paraId="4D8BF032" w14:textId="37C436A7">
      <w:pPr>
        <w:rPr>
          <w:rFonts w:ascii="Arial" w:hAnsi="Arial" w:cs="Arial"/>
          <w:sz w:val="28"/>
          <w:szCs w:val="28"/>
        </w:rPr>
      </w:pPr>
      <w:r>
        <w:rPr>
          <w:rFonts w:ascii="Arial" w:hAnsi="Arial" w:cs="Arial"/>
          <w:sz w:val="28"/>
          <w:szCs w:val="28"/>
        </w:rPr>
        <w:t xml:space="preserve">                                                          </w:t>
      </w:r>
    </w:p>
    <w:p w:rsidR="0079026D" w:rsidRDefault="0079026D" w14:paraId="036E712A" w14:textId="77777777">
      <w:pPr>
        <w:rPr>
          <w:rFonts w:ascii="Arial" w:hAnsi="Arial" w:cs="Arial"/>
          <w:sz w:val="28"/>
          <w:szCs w:val="28"/>
        </w:rPr>
      </w:pPr>
    </w:p>
    <w:p w:rsidR="0079026D" w:rsidRDefault="0079026D" w14:paraId="4D9EF4B1" w14:textId="77777777">
      <w:pPr>
        <w:rPr>
          <w:rFonts w:ascii="Arial" w:hAnsi="Arial" w:cs="Arial"/>
          <w:sz w:val="28"/>
          <w:szCs w:val="28"/>
        </w:rPr>
      </w:pPr>
    </w:p>
    <w:p w:rsidR="0079026D" w:rsidRDefault="0079026D" w14:paraId="29386340" w14:textId="77777777">
      <w:pPr>
        <w:rPr>
          <w:rFonts w:ascii="Arial" w:hAnsi="Arial" w:cs="Arial"/>
          <w:sz w:val="28"/>
          <w:szCs w:val="28"/>
        </w:rPr>
      </w:pPr>
    </w:p>
    <w:p w:rsidR="0079026D" w:rsidRDefault="0079026D" w14:paraId="20F59C11" w14:textId="77777777">
      <w:pPr>
        <w:rPr>
          <w:rFonts w:ascii="Arial" w:hAnsi="Arial" w:cs="Arial"/>
          <w:sz w:val="28"/>
          <w:szCs w:val="28"/>
        </w:rPr>
      </w:pPr>
    </w:p>
    <w:p w:rsidR="0079026D" w:rsidRDefault="0079026D" w14:paraId="4DD922A6" w14:textId="77777777">
      <w:pPr>
        <w:rPr>
          <w:rFonts w:ascii="Arial" w:hAnsi="Arial" w:cs="Arial"/>
          <w:sz w:val="28"/>
          <w:szCs w:val="28"/>
        </w:rPr>
      </w:pPr>
    </w:p>
    <w:p w:rsidR="0079026D" w:rsidRDefault="0079026D" w14:paraId="5BD36E4E" w14:textId="77777777">
      <w:pPr>
        <w:rPr>
          <w:rFonts w:ascii="Arial" w:hAnsi="Arial" w:cs="Arial"/>
          <w:sz w:val="28"/>
          <w:szCs w:val="28"/>
        </w:rPr>
      </w:pPr>
    </w:p>
    <w:p w:rsidR="0079026D" w:rsidRDefault="0079026D" w14:paraId="5A6093A4" w14:textId="77777777">
      <w:pPr>
        <w:rPr>
          <w:rFonts w:ascii="Arial" w:hAnsi="Arial" w:cs="Arial"/>
          <w:sz w:val="28"/>
          <w:szCs w:val="28"/>
        </w:rPr>
      </w:pPr>
    </w:p>
    <w:p w:rsidR="0079026D" w:rsidRDefault="0079026D" w14:paraId="75381ECC" w14:textId="77777777">
      <w:pPr>
        <w:rPr>
          <w:rFonts w:ascii="Arial" w:hAnsi="Arial" w:cs="Arial"/>
          <w:sz w:val="28"/>
          <w:szCs w:val="28"/>
        </w:rPr>
      </w:pPr>
    </w:p>
    <w:p w:rsidRPr="008168DB" w:rsidR="0079026D" w:rsidRDefault="0079026D" w14:paraId="1EF5C3CD" w14:textId="4D0163B6">
      <w:pPr>
        <w:rPr>
          <w:rFonts w:ascii="ADLaM Display" w:hAnsi="ADLaM Display" w:cs="ADLaM Display"/>
          <w:b/>
          <w:bCs/>
          <w:color w:val="B1D111"/>
          <w:sz w:val="32"/>
          <w:szCs w:val="32"/>
        </w:rPr>
      </w:pPr>
      <w:r w:rsidRPr="008168DB">
        <w:rPr>
          <w:rFonts w:ascii="ADLaM Display" w:hAnsi="ADLaM Display" w:cs="ADLaM Display"/>
          <w:b/>
          <w:bCs/>
          <w:color w:val="B1D111"/>
          <w:sz w:val="32"/>
          <w:szCs w:val="32"/>
        </w:rPr>
        <w:lastRenderedPageBreak/>
        <w:t>SmartDose+</w:t>
      </w:r>
      <w:r w:rsidRPr="008168DB">
        <w:rPr>
          <w:rFonts w:ascii="ADLaM Display" w:hAnsi="ADLaM Display" w:cs="ADLaM Display"/>
          <w:b/>
          <w:bCs/>
          <w:color w:val="B1D111"/>
          <w:sz w:val="32"/>
          <w:szCs w:val="32"/>
        </w:rPr>
        <w:t xml:space="preserve"> </w:t>
      </w:r>
      <w:r w:rsidRPr="008168DB">
        <w:rPr>
          <w:rFonts w:ascii="ADLaM Display" w:hAnsi="ADLaM Display" w:cs="ADLaM Display"/>
          <w:b/>
          <w:bCs/>
          <w:color w:val="B1D111"/>
          <w:sz w:val="32"/>
          <w:szCs w:val="32"/>
        </w:rPr>
        <w:t>An Artificial Intelligence-Powered Digital Health Intervention to Improve Medication Adherence</w:t>
      </w:r>
      <w:r w:rsidRPr="008168DB">
        <w:rPr>
          <w:rFonts w:ascii="ADLaM Display" w:hAnsi="ADLaM Display" w:cs="ADLaM Display"/>
          <w:b/>
          <w:bCs/>
          <w:color w:val="B1D111"/>
          <w:sz w:val="32"/>
          <w:szCs w:val="32"/>
        </w:rPr>
        <w:t xml:space="preserve"> </w:t>
      </w:r>
      <w:r w:rsidRPr="008168DB">
        <w:rPr>
          <w:rFonts w:ascii="ADLaM Display" w:hAnsi="ADLaM Display" w:cs="ADLaM Display"/>
          <w:b/>
          <w:bCs/>
          <w:color w:val="B1D111"/>
          <w:sz w:val="32"/>
          <w:szCs w:val="32"/>
        </w:rPr>
        <w:t>Among Adults with Long-Term Conditions</w:t>
      </w:r>
      <w:r w:rsidRPr="008168DB">
        <w:rPr>
          <w:rFonts w:ascii="ADLaM Display" w:hAnsi="ADLaM Display" w:cs="ADLaM Display"/>
          <w:b/>
          <w:bCs/>
          <w:color w:val="B1D111"/>
          <w:sz w:val="32"/>
          <w:szCs w:val="32"/>
        </w:rPr>
        <w:t xml:space="preserve">    </w:t>
      </w:r>
    </w:p>
    <w:p w:rsidR="0079026D" w:rsidRDefault="0079026D" w14:paraId="09AB8778" w14:textId="5D637F55">
      <w:pPr>
        <w:rPr>
          <w:rFonts w:ascii="ADLaM Display" w:hAnsi="ADLaM Display" w:cs="ADLaM Display"/>
          <w:b/>
          <w:bCs/>
          <w:color w:val="D97828" w:themeColor="accent5"/>
          <w:sz w:val="28"/>
          <w:szCs w:val="28"/>
        </w:rPr>
      </w:pPr>
      <w:r>
        <w:rPr>
          <w:rFonts w:ascii="ADLaM Display" w:hAnsi="ADLaM Display" w:cs="ADLaM Display"/>
          <w:b/>
          <w:bCs/>
          <w:noProof/>
          <w:color w:val="D97828" w:themeColor="accent5"/>
          <w:sz w:val="28"/>
          <w:szCs w:val="28"/>
        </w:rPr>
        <w:drawing>
          <wp:inline distT="0" distB="0" distL="0" distR="0" wp14:anchorId="511E6CB1" wp14:editId="43A5C0FD">
            <wp:extent cx="2425825" cy="1600282"/>
            <wp:effectExtent l="0" t="0" r="0" b="0"/>
            <wp:docPr id="2001579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579759" name="Picture 2001579759"/>
                    <pic:cNvPicPr/>
                  </pic:nvPicPr>
                  <pic:blipFill>
                    <a:blip r:embed="rId7">
                      <a:extLst>
                        <a:ext uri="{28A0092B-C50C-407E-A947-70E740481C1C}">
                          <a14:useLocalDpi xmlns:a14="http://schemas.microsoft.com/office/drawing/2010/main" val="0"/>
                        </a:ext>
                      </a:extLst>
                    </a:blip>
                    <a:stretch>
                      <a:fillRect/>
                    </a:stretch>
                  </pic:blipFill>
                  <pic:spPr>
                    <a:xfrm>
                      <a:off x="0" y="0"/>
                      <a:ext cx="2425825" cy="1600282"/>
                    </a:xfrm>
                    <a:prstGeom prst="rect">
                      <a:avLst/>
                    </a:prstGeom>
                  </pic:spPr>
                </pic:pic>
              </a:graphicData>
            </a:graphic>
          </wp:inline>
        </w:drawing>
      </w:r>
      <w:r w:rsidR="007D527E">
        <w:rPr>
          <w:rFonts w:ascii="ADLaM Display" w:hAnsi="ADLaM Display" w:cs="ADLaM Display"/>
          <w:b/>
          <w:bCs/>
          <w:color w:val="D97828" w:themeColor="accent5"/>
          <w:sz w:val="28"/>
          <w:szCs w:val="28"/>
        </w:rPr>
        <w:t xml:space="preserve">     </w:t>
      </w:r>
      <w:r w:rsidR="007D527E">
        <w:rPr>
          <w:rFonts w:ascii="ADLaM Display" w:hAnsi="ADLaM Display" w:cs="ADLaM Display"/>
          <w:b/>
          <w:bCs/>
          <w:noProof/>
          <w:color w:val="D97828" w:themeColor="accent5"/>
          <w:sz w:val="28"/>
          <w:szCs w:val="28"/>
        </w:rPr>
        <w:drawing>
          <wp:inline distT="0" distB="0" distL="0" distR="0" wp14:anchorId="2BA0CF81" wp14:editId="5C7DC143">
            <wp:extent cx="2082978" cy="1606732"/>
            <wp:effectExtent l="0" t="0" r="0" b="0"/>
            <wp:docPr id="10947204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720443" name="Picture 1094720443"/>
                    <pic:cNvPicPr/>
                  </pic:nvPicPr>
                  <pic:blipFill>
                    <a:blip r:embed="rId8">
                      <a:extLst>
                        <a:ext uri="{28A0092B-C50C-407E-A947-70E740481C1C}">
                          <a14:useLocalDpi xmlns:a14="http://schemas.microsoft.com/office/drawing/2010/main" val="0"/>
                        </a:ext>
                      </a:extLst>
                    </a:blip>
                    <a:stretch>
                      <a:fillRect/>
                    </a:stretch>
                  </pic:blipFill>
                  <pic:spPr>
                    <a:xfrm>
                      <a:off x="0" y="0"/>
                      <a:ext cx="2112717" cy="1629672"/>
                    </a:xfrm>
                    <a:prstGeom prst="rect">
                      <a:avLst/>
                    </a:prstGeom>
                  </pic:spPr>
                </pic:pic>
              </a:graphicData>
            </a:graphic>
          </wp:inline>
        </w:drawing>
      </w:r>
      <w:r w:rsidR="007D527E">
        <w:rPr>
          <w:rFonts w:ascii="ADLaM Display" w:hAnsi="ADLaM Display" w:cs="ADLaM Display"/>
          <w:b/>
          <w:bCs/>
          <w:color w:val="D97828" w:themeColor="accent5"/>
          <w:sz w:val="28"/>
          <w:szCs w:val="28"/>
        </w:rPr>
        <w:t xml:space="preserve">           </w:t>
      </w:r>
      <w:r w:rsidR="007D527E">
        <w:rPr>
          <w:rFonts w:ascii="ADLaM Display" w:hAnsi="ADLaM Display" w:cs="ADLaM Display"/>
          <w:b/>
          <w:bCs/>
          <w:noProof/>
          <w:color w:val="D97828" w:themeColor="accent5"/>
          <w:sz w:val="28"/>
          <w:szCs w:val="28"/>
        </w:rPr>
        <w:drawing>
          <wp:inline distT="0" distB="0" distL="0" distR="0" wp14:anchorId="6EA63264" wp14:editId="69866226">
            <wp:extent cx="2208126" cy="1561465"/>
            <wp:effectExtent l="0" t="0" r="1905" b="635"/>
            <wp:docPr id="279388077" name="Picture 4" descr="Capsules and pills laid flat in symmetrical cross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88077" name="Picture 279388077" descr="Capsules and pills laid flat in symmetrical cross shap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54147" cy="1594008"/>
                    </a:xfrm>
                    <a:prstGeom prst="rect">
                      <a:avLst/>
                    </a:prstGeom>
                  </pic:spPr>
                </pic:pic>
              </a:graphicData>
            </a:graphic>
          </wp:inline>
        </w:drawing>
      </w:r>
      <w:r w:rsidR="0014531D">
        <w:rPr>
          <w:rFonts w:ascii="ADLaM Display" w:hAnsi="ADLaM Display" w:cs="ADLaM Display"/>
          <w:b/>
          <w:bCs/>
          <w:color w:val="D97828" w:themeColor="accent5"/>
          <w:sz w:val="28"/>
          <w:szCs w:val="28"/>
        </w:rPr>
        <w:t xml:space="preserve">  </w:t>
      </w:r>
      <w:r w:rsidR="00963E22">
        <w:rPr>
          <w:rFonts w:ascii="Arial" w:hAnsi="Arial" w:cs="Arial"/>
          <w:b/>
          <w:bCs/>
          <w:color w:val="212121" w:themeColor="text2"/>
          <w:sz w:val="18"/>
          <w:szCs w:val="18"/>
        </w:rPr>
        <w:t>google image used</w:t>
      </w:r>
      <w:r w:rsidR="0014531D">
        <w:rPr>
          <w:rFonts w:ascii="ADLaM Display" w:hAnsi="ADLaM Display" w:cs="ADLaM Display"/>
          <w:b/>
          <w:bCs/>
          <w:color w:val="D97828" w:themeColor="accent5"/>
          <w:sz w:val="28"/>
          <w:szCs w:val="28"/>
        </w:rPr>
        <w:t xml:space="preserve">    </w:t>
      </w:r>
    </w:p>
    <w:p w:rsidRPr="0014531D" w:rsidR="0014531D" w:rsidP="0014531D" w:rsidRDefault="0014531D" w14:paraId="41CD07FF" w14:textId="77777777">
      <w:pPr>
        <w:rPr>
          <w:rFonts w:ascii="ADLaM Display" w:hAnsi="ADLaM Display" w:cs="ADLaM Display"/>
          <w:b/>
          <w:bCs/>
          <w:color w:val="D97828" w:themeColor="accent5"/>
          <w:sz w:val="28"/>
          <w:szCs w:val="28"/>
        </w:rPr>
      </w:pPr>
      <w:r>
        <w:rPr>
          <w:rFonts w:ascii="ADLaM Display" w:hAnsi="ADLaM Display" w:cs="ADLaM Display"/>
          <w:b/>
          <w:bCs/>
          <w:color w:val="D97828" w:themeColor="accent5"/>
          <w:sz w:val="28"/>
          <w:szCs w:val="28"/>
        </w:rPr>
        <w:t xml:space="preserve">                                                            </w:t>
      </w:r>
      <w:r w:rsidRPr="0014531D">
        <w:rPr>
          <w:rFonts w:ascii="ADLaM Display" w:hAnsi="ADLaM Display" w:cs="ADLaM Display"/>
          <w:b/>
          <w:bCs/>
          <w:color w:val="D97828" w:themeColor="accent5"/>
          <w:sz w:val="28"/>
          <w:szCs w:val="28"/>
        </w:rPr>
        <w:t>The Public Health Problem</w:t>
      </w:r>
    </w:p>
    <w:p w:rsidRPr="0014531D" w:rsidR="0014531D" w:rsidP="6874A26D" w:rsidRDefault="0014531D" w14:paraId="0A0E5C37" w14:textId="0D0E6CE2">
      <w:pPr>
        <w:rPr>
          <w:rFonts w:ascii="Arial Nova" w:hAnsi="Arial Nova" w:eastAsia="Arial Nova" w:cs="Arial Nova"/>
          <w:b w:val="1"/>
          <w:bCs w:val="1"/>
          <w:color w:val="000000" w:themeColor="text1"/>
        </w:rPr>
      </w:pPr>
      <w:r w:rsidRPr="6874A26D" w:rsidR="539AF856">
        <w:rPr>
          <w:rFonts w:ascii="Arial Nova" w:hAnsi="Arial Nova" w:eastAsia="Arial Nova" w:cs="Arial Nova"/>
          <w:b w:val="1"/>
          <w:bCs w:val="1"/>
          <w:color w:val="000000" w:themeColor="text1" w:themeTint="FF" w:themeShade="FF"/>
        </w:rPr>
        <w:t>Medication non-adherence is recognised as a major public health challenge worldwide and is particularly common among adults living with long-term conditions such as hypertension, diabetes and cardiovascular disease. Long-term conditions require continuous medication management to prevent disease progression, reduce complications and improve quality of life. However, many patients fail to take their medication as prescribed due to factors including forgetfulness, complex medication regimens, poor health literacy and limited access to healthcare support. The World Health Organization (2003) estimates that approximately 50% of people living with chronic conditions do not adhere to their prescribed treatment, making medication non-adherence one of the leading causes of avoidable illness and healthcare expenditure. In England, medication-related problems contribute to preventable hospital admissions and place increasing pressure on NHS resources, particularly as the ageing population and prevalence of multiple long-term conditions continue to rise (NHS England, 2019).</w:t>
      </w:r>
    </w:p>
    <w:p w:rsidR="0014531D" w:rsidP="6874A26D" w:rsidRDefault="0014531D" w14:paraId="63F45523" w14:textId="295EF6F7">
      <w:pPr>
        <w:rPr>
          <w:rFonts w:ascii="Arial" w:hAnsi="Arial" w:eastAsia="Arial" w:cs="Arial"/>
          <w:b w:val="1"/>
          <w:bCs w:val="1"/>
          <w:color w:val="000000" w:themeColor="text1"/>
        </w:rPr>
      </w:pPr>
      <w:r w:rsidRPr="6874A26D" w:rsidR="539AF856">
        <w:rPr>
          <w:rFonts w:ascii="Arial" w:hAnsi="Arial" w:eastAsia="Arial" w:cs="Arial"/>
          <w:b w:val="1"/>
          <w:bCs w:val="1"/>
          <w:color w:val="000000" w:themeColor="text1" w:themeTint="FF" w:themeShade="FF"/>
        </w:rPr>
        <w:t xml:space="preserve">Medication non-adherence also contributes to wider health inequalities because vulnerable populations, including older adults, people with cognitive impairment and those experiencing socioeconomic disadvantage, often experience greater </w:t>
      </w:r>
      <w:r w:rsidRPr="6874A26D" w:rsidR="539AF856">
        <w:rPr>
          <w:rFonts w:ascii="Arial" w:hAnsi="Arial" w:eastAsia="Arial" w:cs="Arial"/>
          <w:b w:val="1"/>
          <w:bCs w:val="1"/>
          <w:color w:val="000000" w:themeColor="text1" w:themeTint="FF" w:themeShade="FF"/>
        </w:rPr>
        <w:t>difficulties managing complex medication regimens. Consequently, improving medication adherence is recognised as an important public health priority that has the potential to improve health outcomes while reducing unnecessary healthcare costs (World Health Organization, 2023).</w:t>
      </w:r>
      <w:r w:rsidRPr="6874A26D" w:rsidR="539AF856">
        <w:rPr>
          <w:rFonts w:ascii="Arial" w:hAnsi="Arial" w:eastAsia="Arial" w:cs="Arial"/>
          <w:b w:val="1"/>
          <w:bCs w:val="1"/>
          <w:color w:val="000000" w:themeColor="text1" w:themeTint="FF" w:themeShade="FF"/>
        </w:rPr>
        <w:t xml:space="preserve">     </w:t>
      </w:r>
    </w:p>
    <w:p w:rsidR="0014531D" w:rsidP="0014531D" w:rsidRDefault="0014531D" w14:paraId="00782D0A" w14:textId="77777777">
      <w:pPr>
        <w:rPr>
          <w:rFonts w:ascii="ADLaM Display" w:hAnsi="ADLaM Display" w:cs="ADLaM Display"/>
          <w:color w:val="000000" w:themeColor="text1"/>
        </w:rPr>
      </w:pPr>
    </w:p>
    <w:p w:rsidRPr="0014531D" w:rsidR="0014531D" w:rsidP="0014531D" w:rsidRDefault="0014531D" w14:paraId="63966A5A" w14:textId="77777777">
      <w:pPr>
        <w:rPr>
          <w:rFonts w:ascii="ADLaM Display" w:hAnsi="ADLaM Display" w:cs="ADLaM Display"/>
          <w:b/>
          <w:bCs/>
          <w:color w:val="00B050"/>
          <w:sz w:val="28"/>
          <w:szCs w:val="28"/>
        </w:rPr>
      </w:pPr>
      <w:r>
        <w:rPr>
          <w:rFonts w:ascii="ADLaM Display" w:hAnsi="ADLaM Display" w:cs="ADLaM Display"/>
          <w:b/>
          <w:bCs/>
          <w:color w:val="00B050"/>
          <w:sz w:val="28"/>
          <w:szCs w:val="28"/>
        </w:rPr>
        <w:t xml:space="preserve">                                                        </w:t>
      </w:r>
      <w:r w:rsidRPr="0014531D">
        <w:rPr>
          <w:rFonts w:ascii="ADLaM Display" w:hAnsi="ADLaM Display" w:cs="ADLaM Display"/>
          <w:b/>
          <w:bCs/>
          <w:color w:val="00B050"/>
          <w:sz w:val="28"/>
          <w:szCs w:val="28"/>
        </w:rPr>
        <w:t>Existing Public Health Interventions</w:t>
      </w:r>
    </w:p>
    <w:p w:rsidR="0014531D" w:rsidP="6874A26D" w:rsidRDefault="0014531D" w14:paraId="70C35C21" w14:textId="538EA9D3">
      <w:pPr>
        <w:rPr>
          <w:rFonts w:ascii="Arial" w:hAnsi="Arial" w:eastAsia="Arial" w:cs="Arial"/>
          <w:b w:val="1"/>
          <w:bCs w:val="1"/>
          <w:noProof/>
          <w:color w:val="44709D" w:themeColor="accent3"/>
        </w:rPr>
      </w:pPr>
      <w:r w:rsidRPr="6874A26D" w:rsidR="539AF856">
        <w:rPr>
          <w:rFonts w:ascii="Arial" w:hAnsi="Arial" w:eastAsia="Arial" w:cs="Arial"/>
          <w:b w:val="1"/>
          <w:bCs w:val="1"/>
          <w:color w:val="44709D" w:themeColor="accent3" w:themeTint="FF" w:themeShade="FF"/>
        </w:rPr>
        <w:t>A variety of interventions have been developed to improve medication adherence among people living with long-term conditions. Traditional non-digital approaches include pharmacist-led education, medication reviews, written medication schedules, pharmacist-prepared blister packs and support from family members or carers. More recently, digital interventions such as medication reminder applications, electronic pill dispensers, text message reminders and wearable health technologies have been introduced to encourage patients to take their medicines as prescribed and improve self-management. Although these interventions have demonstrated improvements in medication adherence, many rely on patients responding to reminders and remaining motivated to manage their treatment independently. In addition, most existing technologies provide limited communication between patients, carers and healthcare professionals, reducing opportunities for early intervention when medication doses are missed (National Institute for Health and Care Excellence, 2009; World Health Organization, 2021).</w:t>
      </w:r>
      <w:r w:rsidRPr="6874A26D" w:rsidR="539AF856">
        <w:rPr>
          <w:rFonts w:ascii="Arial" w:hAnsi="Arial" w:eastAsia="Arial" w:cs="Arial"/>
          <w:b w:val="1"/>
          <w:bCs w:val="1"/>
          <w:color w:val="44709D" w:themeColor="accent3" w:themeTint="FF" w:themeShade="FF"/>
        </w:rPr>
        <w:t xml:space="preserve">  </w:t>
      </w:r>
    </w:p>
    <w:p w:rsidRPr="00963E22" w:rsidR="004C70B7" w:rsidP="0014531D" w:rsidRDefault="004C70B7" w14:paraId="1B34E18C" w14:textId="7AE358DC">
      <w:pPr>
        <w:rPr>
          <w:rFonts w:ascii="Arial" w:hAnsi="Arial" w:cs="Arial"/>
          <w:color w:val="212121" w:themeColor="text2"/>
          <w:sz w:val="18"/>
          <w:szCs w:val="18"/>
        </w:rPr>
      </w:pPr>
      <w:r>
        <w:rPr>
          <w:rFonts w:ascii="ADLaM Display" w:hAnsi="ADLaM Display" w:cs="ADLaM Display"/>
          <w:noProof/>
          <w:color w:val="44709D" w:themeColor="accent3"/>
        </w:rPr>
        <w:drawing>
          <wp:inline distT="0" distB="0" distL="0" distR="0" wp14:anchorId="57048311" wp14:editId="1F3EBAC8">
            <wp:extent cx="1949550" cy="1530429"/>
            <wp:effectExtent l="0" t="0" r="0" b="0"/>
            <wp:docPr id="10999576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57634" name="Picture 1099957634"/>
                    <pic:cNvPicPr/>
                  </pic:nvPicPr>
                  <pic:blipFill>
                    <a:blip r:embed="rId10">
                      <a:extLst>
                        <a:ext uri="{28A0092B-C50C-407E-A947-70E740481C1C}">
                          <a14:useLocalDpi xmlns:a14="http://schemas.microsoft.com/office/drawing/2010/main" val="0"/>
                        </a:ext>
                      </a:extLst>
                    </a:blip>
                    <a:stretch>
                      <a:fillRect/>
                    </a:stretch>
                  </pic:blipFill>
                  <pic:spPr>
                    <a:xfrm>
                      <a:off x="0" y="0"/>
                      <a:ext cx="1949550" cy="1530429"/>
                    </a:xfrm>
                    <a:prstGeom prst="rect">
                      <a:avLst/>
                    </a:prstGeom>
                  </pic:spPr>
                </pic:pic>
              </a:graphicData>
            </a:graphic>
          </wp:inline>
        </w:drawing>
      </w:r>
      <w:r>
        <w:rPr>
          <w:rFonts w:ascii="ADLaM Display" w:hAnsi="ADLaM Display" w:cs="ADLaM Display"/>
          <w:color w:val="44709D" w:themeColor="accent3"/>
        </w:rPr>
        <w:t xml:space="preserve">             </w:t>
      </w:r>
      <w:r>
        <w:rPr>
          <w:rFonts w:ascii="ADLaM Display" w:hAnsi="ADLaM Display" w:cs="ADLaM Display"/>
          <w:noProof/>
          <w:color w:val="44709D" w:themeColor="accent3"/>
        </w:rPr>
        <w:drawing>
          <wp:inline distT="0" distB="0" distL="0" distR="0" wp14:anchorId="6FA89A46" wp14:editId="77630D38">
            <wp:extent cx="2616334" cy="1587582"/>
            <wp:effectExtent l="0" t="0" r="0" b="0"/>
            <wp:docPr id="11982015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201515" name="Picture 1198201515"/>
                    <pic:cNvPicPr/>
                  </pic:nvPicPr>
                  <pic:blipFill>
                    <a:blip r:embed="rId11">
                      <a:extLst>
                        <a:ext uri="{28A0092B-C50C-407E-A947-70E740481C1C}">
                          <a14:useLocalDpi xmlns:a14="http://schemas.microsoft.com/office/drawing/2010/main" val="0"/>
                        </a:ext>
                      </a:extLst>
                    </a:blip>
                    <a:stretch>
                      <a:fillRect/>
                    </a:stretch>
                  </pic:blipFill>
                  <pic:spPr>
                    <a:xfrm>
                      <a:off x="0" y="0"/>
                      <a:ext cx="2616334" cy="1587582"/>
                    </a:xfrm>
                    <a:prstGeom prst="rect">
                      <a:avLst/>
                    </a:prstGeom>
                  </pic:spPr>
                </pic:pic>
              </a:graphicData>
            </a:graphic>
          </wp:inline>
        </w:drawing>
      </w:r>
      <w:r>
        <w:rPr>
          <w:rFonts w:ascii="ADLaM Display" w:hAnsi="ADLaM Display" w:cs="ADLaM Display"/>
          <w:color w:val="44709D" w:themeColor="accent3"/>
        </w:rPr>
        <w:t xml:space="preserve">       </w:t>
      </w:r>
      <w:r>
        <w:rPr>
          <w:rFonts w:ascii="ADLaM Display" w:hAnsi="ADLaM Display" w:cs="ADLaM Display"/>
          <w:noProof/>
          <w:color w:val="44709D" w:themeColor="accent3"/>
        </w:rPr>
        <w:drawing>
          <wp:inline distT="0" distB="0" distL="0" distR="0" wp14:anchorId="07ADEB4A" wp14:editId="4266C96E">
            <wp:extent cx="2432050" cy="1543050"/>
            <wp:effectExtent l="0" t="0" r="6350" b="0"/>
            <wp:docPr id="4621730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173047" name="Picture 462173047"/>
                    <pic:cNvPicPr/>
                  </pic:nvPicPr>
                  <pic:blipFill>
                    <a:blip r:embed="rId12">
                      <a:extLst>
                        <a:ext uri="{28A0092B-C50C-407E-A947-70E740481C1C}">
                          <a14:useLocalDpi xmlns:a14="http://schemas.microsoft.com/office/drawing/2010/main" val="0"/>
                        </a:ext>
                      </a:extLst>
                    </a:blip>
                    <a:stretch>
                      <a:fillRect/>
                    </a:stretch>
                  </pic:blipFill>
                  <pic:spPr>
                    <a:xfrm>
                      <a:off x="0" y="0"/>
                      <a:ext cx="2432178" cy="1543131"/>
                    </a:xfrm>
                    <a:prstGeom prst="rect">
                      <a:avLst/>
                    </a:prstGeom>
                  </pic:spPr>
                </pic:pic>
              </a:graphicData>
            </a:graphic>
          </wp:inline>
        </w:drawing>
      </w:r>
      <w:r>
        <w:rPr>
          <w:rFonts w:ascii="ADLaM Display" w:hAnsi="ADLaM Display" w:cs="ADLaM Display"/>
          <w:color w:val="44709D" w:themeColor="accent3"/>
        </w:rPr>
        <w:t xml:space="preserve">     </w:t>
      </w:r>
      <w:r w:rsidR="00963E22">
        <w:rPr>
          <w:rFonts w:ascii="ADLaM Display" w:hAnsi="ADLaM Display" w:cs="ADLaM Display"/>
          <w:color w:val="44709D" w:themeColor="accent3"/>
        </w:rPr>
        <w:t xml:space="preserve">           </w:t>
      </w:r>
      <w:r>
        <w:rPr>
          <w:rFonts w:ascii="ADLaM Display" w:hAnsi="ADLaM Display" w:cs="ADLaM Display"/>
          <w:color w:val="44709D" w:themeColor="accent3"/>
        </w:rPr>
        <w:t xml:space="preserve"> </w:t>
      </w:r>
      <w:r w:rsidRPr="00963E22" w:rsidR="00963E22">
        <w:rPr>
          <w:rFonts w:ascii="Arial" w:hAnsi="Arial" w:cs="Arial"/>
          <w:color w:val="212121" w:themeColor="text2"/>
          <w:sz w:val="18"/>
          <w:szCs w:val="18"/>
        </w:rPr>
        <w:t>google image used</w:t>
      </w:r>
    </w:p>
    <w:p w:rsidR="004C70B7" w:rsidP="0014531D" w:rsidRDefault="004C70B7" w14:paraId="12A660AA" w14:textId="01099738">
      <w:pPr>
        <w:rPr>
          <w:rFonts w:ascii="ADLaM Display" w:hAnsi="ADLaM Display" w:cs="ADLaM Display"/>
          <w:color w:val="44709D" w:themeColor="accent3"/>
          <w:sz w:val="28"/>
          <w:szCs w:val="28"/>
        </w:rPr>
      </w:pPr>
      <w:r>
        <w:rPr>
          <w:rFonts w:ascii="ADLaM Display" w:hAnsi="ADLaM Display" w:cs="ADLaM Display"/>
          <w:color w:val="44709D" w:themeColor="accent3"/>
          <w:sz w:val="28"/>
          <w:szCs w:val="28"/>
        </w:rPr>
        <w:lastRenderedPageBreak/>
        <w:t xml:space="preserve">                                          </w:t>
      </w:r>
      <w:r w:rsidRPr="004C70B7">
        <w:rPr>
          <w:rFonts w:ascii="ADLaM Display" w:hAnsi="ADLaM Display" w:cs="ADLaM Display"/>
          <w:color w:val="44709D" w:themeColor="accent3"/>
          <w:sz w:val="28"/>
          <w:szCs w:val="28"/>
        </w:rPr>
        <w:t>Health Promotion Values and Principles</w:t>
      </w:r>
      <w:r>
        <w:rPr>
          <w:rFonts w:ascii="ADLaM Display" w:hAnsi="ADLaM Display" w:cs="ADLaM Display"/>
          <w:color w:val="44709D" w:themeColor="accent3"/>
          <w:sz w:val="28"/>
          <w:szCs w:val="28"/>
        </w:rPr>
        <w:t xml:space="preserve">   </w:t>
      </w:r>
    </w:p>
    <w:p w:rsidRPr="004C70B7" w:rsidR="004C70B7" w:rsidP="6874A26D" w:rsidRDefault="004C70B7" w14:paraId="23531C2B" w14:textId="51B791E0">
      <w:pPr>
        <w:rPr>
          <w:rFonts w:ascii="Arial" w:hAnsi="Arial" w:eastAsia="Arial" w:cs="Arial"/>
          <w:b w:val="1"/>
          <w:bCs w:val="1"/>
          <w:color w:val="7030A0"/>
        </w:rPr>
      </w:pPr>
      <w:r w:rsidRPr="6874A26D" w:rsidR="52660594">
        <w:rPr>
          <w:rFonts w:ascii="Arial" w:hAnsi="Arial" w:eastAsia="Arial" w:cs="Arial"/>
          <w:b w:val="1"/>
          <w:bCs w:val="1"/>
          <w:color w:val="7030A0"/>
        </w:rPr>
        <w:t>Health promotion aims to enable individuals and communities to improve control over their health and wellbeing through prevention, education and empowerment (World Health Organization, 1986). The key principles include empowerment, participation, equity and prevention, which encourage individuals to make informed decisions about their health while reducing health inequalities (Naidoo and Wills, 2016). These principles are particularly important for people living with long-term conditions, where effective self-management can improve health outcomes and reduce avoidable complications.</w:t>
      </w:r>
      <w:r w:rsidRPr="6874A26D" w:rsidR="52660594">
        <w:rPr>
          <w:rFonts w:ascii="Arial" w:hAnsi="Arial" w:eastAsia="Arial" w:cs="Arial"/>
          <w:b w:val="1"/>
          <w:bCs w:val="1"/>
          <w:color w:val="7030A0"/>
        </w:rPr>
        <w:t xml:space="preserve"> </w:t>
      </w:r>
    </w:p>
    <w:p w:rsidR="004C70B7" w:rsidP="6874A26D" w:rsidRDefault="004C70B7" w14:paraId="191FE6BC" w14:textId="142681C3">
      <w:pPr>
        <w:rPr>
          <w:rFonts w:ascii="Arial" w:hAnsi="Arial" w:eastAsia="Arial" w:cs="Arial"/>
          <w:b w:val="1"/>
          <w:bCs w:val="1"/>
          <w:color w:val="00B050"/>
        </w:rPr>
      </w:pPr>
      <w:r w:rsidRPr="6874A26D" w:rsidR="52660594">
        <w:rPr>
          <w:rFonts w:ascii="Arial" w:hAnsi="Arial" w:eastAsia="Arial" w:cs="Arial"/>
          <w:b w:val="1"/>
          <w:bCs w:val="1"/>
          <w:color w:val="00B050"/>
        </w:rPr>
        <w:t>SmartDose+ aligns with these principles by empowering patients to manage their medication safely and independently through personalised reminders, automated medication dispensing and accessible health information. The technology promotes prevention by reducing missed medication doses and medication-related harm before complications occur. Participation is encouraged through active engagement with daily medication routines, while the remote monitoring function enables carers and healthcare professionals to support patients when required. To address digital health inequalities, SmartDose+ should include a simple touchscreen interface, multilingual options, voice prompts and appropriate user training, ensuring the technology remains accessible for older adults and individuals with limited digital literacy (World Health Organization, 2021; NHS England, 2021).</w:t>
      </w:r>
      <w:r w:rsidRPr="6874A26D" w:rsidR="1A767D18">
        <w:rPr>
          <w:rFonts w:ascii="Arial" w:hAnsi="Arial" w:eastAsia="Arial" w:cs="Arial"/>
          <w:b w:val="1"/>
          <w:bCs w:val="1"/>
          <w:color w:val="00B050"/>
        </w:rPr>
        <w:t xml:space="preserve">  </w:t>
      </w:r>
    </w:p>
    <w:p w:rsidRPr="008168DB" w:rsidR="008168DB" w:rsidP="6874A26D" w:rsidRDefault="008168DB" w14:paraId="49DA29A5" w14:textId="77777777">
      <w:pPr>
        <w:rPr>
          <w:rFonts w:ascii="Arial" w:hAnsi="Arial" w:eastAsia="Arial" w:cs="Arial"/>
          <w:b w:val="1"/>
          <w:bCs w:val="1"/>
          <w:color w:val="A23C33" w:themeColor="accent4"/>
        </w:rPr>
      </w:pPr>
      <w:r w:rsidRPr="6874A26D" w:rsidR="1A767D18">
        <w:rPr>
          <w:rFonts w:ascii="Arial" w:hAnsi="Arial" w:eastAsia="Arial" w:cs="Arial"/>
          <w:b w:val="1"/>
          <w:bCs w:val="1"/>
          <w:color w:val="A23C33" w:themeColor="accent4" w:themeTint="FF" w:themeShade="FF"/>
        </w:rPr>
        <w:t>In addition, SmartDose+ supports the principles of person-centred care by recognising that patients have different needs, abilities and levels of health literacy. The technology can be adapted through personalised reminder schedules, voice prompts and multilingual options, enabling individuals to engage with medication management in a way that reflects their personal circumstances. This approach promotes greater autonomy while encouraging shared decision-making between patients, carers and healthcare professionals. Nevertheless, digital health interventions should complement rather than replace face-to-face healthcare, ensuring that patients who lack digital skills or access to technology are not excluded from receiving appropriate support (World Health Organization, 2021; National Institute for Health and Care Excellence, 2015).</w:t>
      </w:r>
    </w:p>
    <w:p w:rsidRPr="004C70B7" w:rsidR="008168DB" w:rsidP="004C70B7" w:rsidRDefault="008168DB" w14:paraId="32CDE356" w14:textId="0547B335">
      <w:pPr>
        <w:rPr>
          <w:rFonts w:ascii="ADLaM Display" w:hAnsi="ADLaM Display" w:cs="ADLaM Display"/>
          <w:color w:val="00B050"/>
        </w:rPr>
      </w:pPr>
      <w:r>
        <w:rPr>
          <w:rFonts w:ascii="ADLaM Display" w:hAnsi="ADLaM Display" w:cs="ADLaM Display"/>
          <w:color w:val="00B050"/>
        </w:rPr>
        <w:lastRenderedPageBreak/>
        <w:t xml:space="preserve"> </w:t>
      </w:r>
    </w:p>
    <w:p w:rsidR="0014531D" w:rsidRDefault="00EC4FBC" w14:paraId="7635EC5F" w14:textId="20225847">
      <w:pPr>
        <w:rPr>
          <w:rFonts w:ascii="ADLaM Display" w:hAnsi="ADLaM Display" w:cs="ADLaM Display"/>
          <w:noProof/>
          <w:color w:val="000000" w:themeColor="text1"/>
        </w:rPr>
      </w:pPr>
      <w:r>
        <w:rPr>
          <w:rFonts w:ascii="Arial" w:hAnsi="Arial" w:cs="Arial"/>
          <w:b/>
          <w:bCs/>
          <w:color w:val="000000" w:themeColor="text1"/>
        </w:rPr>
        <w:t xml:space="preserve">              </w:t>
      </w:r>
      <w:r>
        <w:rPr>
          <w:rFonts w:ascii="ADLaM Display" w:hAnsi="ADLaM Display" w:cs="ADLaM Display"/>
          <w:noProof/>
          <w:color w:val="000000" w:themeColor="text1"/>
        </w:rPr>
        <w:t xml:space="preserve">                                                           </w:t>
      </w:r>
    </w:p>
    <w:p w:rsidR="00EC4FBC" w:rsidRDefault="00EC4FBC" w14:paraId="29E05F6B" w14:textId="6CF9BDCC">
      <w:pPr>
        <w:rPr>
          <w:rFonts w:ascii="ADLaM Display" w:hAnsi="ADLaM Display" w:cs="ADLaM Display"/>
          <w:noProof/>
          <w:color w:val="A23C33" w:themeColor="accent4"/>
          <w:sz w:val="28"/>
          <w:szCs w:val="28"/>
        </w:rPr>
      </w:pPr>
      <w:r>
        <w:rPr>
          <w:rFonts w:ascii="ADLaM Display" w:hAnsi="ADLaM Display" w:cs="ADLaM Display"/>
          <w:noProof/>
          <w:color w:val="000000" w:themeColor="text1"/>
        </w:rPr>
        <w:t xml:space="preserve">                                                              </w:t>
      </w:r>
      <w:r w:rsidRPr="00EC4FBC">
        <w:rPr>
          <w:rFonts w:ascii="ADLaM Display" w:hAnsi="ADLaM Display" w:cs="ADLaM Display"/>
          <w:noProof/>
          <w:color w:val="A23C33" w:themeColor="accent4"/>
          <w:sz w:val="28"/>
          <w:szCs w:val="28"/>
        </w:rPr>
        <w:t>Behaviour Change Theory</w:t>
      </w:r>
      <w:r w:rsidRPr="00EC4FBC">
        <w:rPr>
          <w:rFonts w:ascii="ADLaM Display" w:hAnsi="ADLaM Display" w:cs="ADLaM Display"/>
          <w:noProof/>
          <w:color w:val="A23C33" w:themeColor="accent4"/>
          <w:sz w:val="28"/>
          <w:szCs w:val="28"/>
        </w:rPr>
        <w:t xml:space="preserve"> </w:t>
      </w:r>
    </w:p>
    <w:p w:rsidRPr="008168DB" w:rsidR="00EC4FBC" w:rsidP="00EC4FBC" w:rsidRDefault="00EC4FBC" w14:paraId="4F9C8D48" w14:textId="77777777">
      <w:pPr>
        <w:rPr>
          <w:rFonts w:ascii="Arial" w:hAnsi="Arial" w:cs="Arial"/>
          <w:b/>
          <w:bCs/>
          <w:color w:val="7030A0"/>
        </w:rPr>
      </w:pPr>
      <w:r w:rsidRPr="008168DB">
        <w:rPr>
          <w:rFonts w:ascii="Arial" w:hAnsi="Arial" w:cs="Arial"/>
          <w:b/>
          <w:bCs/>
          <w:color w:val="7030A0"/>
        </w:rPr>
        <w:t>The Capability, Opportunity, Motivation and Behaviour (COM-B) model was developed by Susan Michie and colleagues to explain how behaviour can be changed through interventions that influence an individual's capability, opportunity and motivation (Michie, van Stralen and West, 2011). The model proposes that behaviour occurs when individuals have the physical and psychological capability to perform a behaviour, the social and physical opportunity to carry it out, and sufficient motivation to maintain it. COM-B has been widely applied in digital health interventions because it provides a structured framework for designing technologies that support long-term behaviour change.</w:t>
      </w:r>
    </w:p>
    <w:p w:rsidR="00EC4FBC" w:rsidP="00EC4FBC" w:rsidRDefault="00EC4FBC" w14:paraId="43E4D474" w14:textId="6355FDEC">
      <w:pPr>
        <w:rPr>
          <w:rFonts w:ascii="Arial" w:hAnsi="Arial" w:cs="Arial"/>
          <w:b/>
          <w:bCs/>
          <w:color w:val="002060"/>
        </w:rPr>
      </w:pPr>
      <w:r w:rsidRPr="00CD1632">
        <w:rPr>
          <w:rFonts w:ascii="Arial" w:hAnsi="Arial" w:cs="Arial"/>
          <w:b/>
          <w:bCs/>
          <w:color w:val="002060"/>
        </w:rPr>
        <w:t>SmartDose+ applies the COM-B model by improving capability through personalised medication reminders and simple medication information displayed on the touchscreen, helping patients understand their treatment. Opportunity is enhanced through automatic medication dispensing and real-time alerts to carers, reducing practical barriers and ensuring support is available when medication is missed. Motivation is strengthened by creating consistent medication routines, providing reassurance and encouraging patients to take greater responsibility for managing their long-term condition. By addressing all three components of the COM-B model, SmartDose+ aims to improve medication adherence, promote self-management and support sustainable behaviour change while reducing medication-related harm (Michie, van Stralen and West, 2011; World Health Organization, 2021).</w:t>
      </w:r>
      <w:r w:rsidR="00CD1632">
        <w:rPr>
          <w:rFonts w:ascii="Arial" w:hAnsi="Arial" w:cs="Arial"/>
          <w:b/>
          <w:bCs/>
          <w:color w:val="002060"/>
        </w:rPr>
        <w:t xml:space="preserve">   </w:t>
      </w:r>
      <w:r w:rsidR="008168DB">
        <w:rPr>
          <w:rFonts w:ascii="Arial" w:hAnsi="Arial" w:cs="Arial"/>
          <w:b/>
          <w:bCs/>
          <w:color w:val="002060"/>
        </w:rPr>
        <w:t xml:space="preserve">  </w:t>
      </w:r>
    </w:p>
    <w:p w:rsidR="008168DB" w:rsidP="00EC4FBC" w:rsidRDefault="008168DB" w14:paraId="62486B9F" w14:textId="77777777">
      <w:pPr>
        <w:rPr>
          <w:rFonts w:ascii="Arial" w:hAnsi="Arial" w:cs="Arial"/>
          <w:b/>
          <w:bCs/>
          <w:color w:val="002060"/>
        </w:rPr>
      </w:pPr>
    </w:p>
    <w:p w:rsidRPr="008168DB" w:rsidR="008168DB" w:rsidP="008168DB" w:rsidRDefault="008168DB" w14:paraId="45C82AD8" w14:textId="77777777">
      <w:pPr>
        <w:rPr>
          <w:rFonts w:ascii="Arial" w:hAnsi="Arial" w:cs="Arial"/>
          <w:b/>
          <w:bCs/>
          <w:color w:val="414C15" w:themeColor="accent1" w:themeShade="80"/>
        </w:rPr>
      </w:pPr>
      <w:r w:rsidRPr="008168DB">
        <w:rPr>
          <w:rFonts w:ascii="Arial" w:hAnsi="Arial" w:cs="Arial"/>
          <w:b/>
          <w:bCs/>
          <w:color w:val="414C15" w:themeColor="accent1" w:themeShade="80"/>
        </w:rPr>
        <w:t xml:space="preserve">Although the COM-B model provides a comprehensive framework for supporting behaviour change, its effectiveness depends on sustained patient engagement and appropriate implementation. Individuals experiencing cognitive impairment, sensory impairment or limited digital confidence may require additional support from carers or healthcare professionals to use SmartDose+ effectively. Consequently, behavioural interventions should be accompanied by patient education, regular medication reviews and ongoing technical support to maximise long-term adherence. Combining digital innovation with personalised healthcare is likely to produce more sustainable behaviour change than relying on </w:t>
      </w:r>
      <w:r w:rsidRPr="008168DB">
        <w:rPr>
          <w:rFonts w:ascii="Arial" w:hAnsi="Arial" w:cs="Arial"/>
          <w:b/>
          <w:bCs/>
          <w:color w:val="414C15" w:themeColor="accent1" w:themeShade="80"/>
        </w:rPr>
        <w:lastRenderedPageBreak/>
        <w:t>technology alone, while reducing the risk of digital exclusion among vulnerable populations (Michie, van Stralen and West, 2011; NHS England, 2021).</w:t>
      </w:r>
    </w:p>
    <w:p w:rsidR="008168DB" w:rsidP="00EC4FBC" w:rsidRDefault="008168DB" w14:paraId="64B70B4C" w14:textId="77777777">
      <w:pPr>
        <w:rPr>
          <w:rFonts w:ascii="Arial" w:hAnsi="Arial" w:cs="Arial"/>
          <w:b/>
          <w:bCs/>
          <w:color w:val="002060"/>
        </w:rPr>
      </w:pPr>
    </w:p>
    <w:p w:rsidR="00CD1632" w:rsidP="6874A26D" w:rsidRDefault="00CD1632" w14:paraId="28CE9086" w14:textId="3DCCB72E">
      <w:pPr>
        <w:pStyle w:val="Normal"/>
        <w:rPr>
          <w:rFonts w:ascii="Arial" w:hAnsi="Arial" w:cs="Arial"/>
          <w:b w:val="1"/>
          <w:bCs w:val="1"/>
          <w:color w:val="002060"/>
          <w:sz w:val="16"/>
          <w:szCs w:val="16"/>
        </w:rPr>
      </w:pPr>
      <w:r w:rsidRPr="6874A26D" w:rsidR="40EDA3C7">
        <w:rPr>
          <w:rFonts w:ascii="Arial" w:hAnsi="Arial" w:cs="Arial"/>
          <w:b w:val="1"/>
          <w:bCs w:val="1"/>
          <w:color w:val="002060"/>
        </w:rPr>
        <w:t xml:space="preserve">                                                        </w:t>
      </w:r>
      <w:r w:rsidR="40EDA3C7">
        <w:drawing>
          <wp:inline wp14:editId="24D5F6BC" wp14:anchorId="1DDF3AE4">
            <wp:extent cx="3238666" cy="2381372"/>
            <wp:effectExtent l="0" t="0" r="0" b="0"/>
            <wp:docPr id="1320597099" name="Picture 1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0597099" name="Picture 1320597099"/>
                    <pic:cNvPicPr/>
                  </pic:nvPicPr>
                  <pic:blipFill>
                    <a:blip xmlns:r="http://schemas.openxmlformats.org/officeDocument/2006/relationships" r:embed="rId13">
                      <a:extLst>
                        <a:ext uri="{28A0092B-C50C-407E-A947-70E740481C1C}">
                          <a14:useLocalDpi xmlns:a14="http://schemas.microsoft.com/office/drawing/2010/main" val="0"/>
                        </a:ext>
                      </a:extLst>
                    </a:blip>
                    <a:stretch>
                      <a:fillRect/>
                    </a:stretch>
                  </pic:blipFill>
                  <pic:spPr>
                    <a:xfrm>
                      <a:off x="0" y="0"/>
                      <a:ext cx="3238666" cy="2381372"/>
                    </a:xfrm>
                    <a:prstGeom prst="rect">
                      <a:avLst/>
                    </a:prstGeom>
                  </pic:spPr>
                </pic:pic>
              </a:graphicData>
            </a:graphic>
          </wp:inline>
        </w:drawing>
      </w:r>
      <w:r w:rsidRPr="6874A26D" w:rsidR="40EDA3C7">
        <w:rPr>
          <w:rFonts w:ascii="Arial" w:hAnsi="Arial" w:cs="Arial"/>
          <w:b w:val="1"/>
          <w:bCs w:val="1"/>
          <w:color w:val="002060"/>
        </w:rPr>
        <w:t xml:space="preserve">       </w:t>
      </w:r>
      <w:r w:rsidRPr="6874A26D" w:rsidR="1284FF34">
        <w:rPr>
          <w:rFonts w:ascii="Arial" w:hAnsi="Arial" w:eastAsia="Arial" w:cs="Arial"/>
          <w:noProof w:val="0"/>
          <w:sz w:val="16"/>
          <w:szCs w:val="16"/>
          <w:lang w:val="en-GB"/>
        </w:rPr>
        <w:t>COM-B Behaviour Change Model. Adapted from Michie, van Stralen and West (2011).</w:t>
      </w:r>
      <w:r w:rsidRPr="6874A26D" w:rsidR="40EDA3C7">
        <w:rPr>
          <w:rFonts w:ascii="Arial" w:hAnsi="Arial" w:cs="Arial"/>
          <w:b w:val="1"/>
          <w:bCs w:val="1"/>
          <w:color w:val="002060"/>
          <w:sz w:val="16"/>
          <w:szCs w:val="16"/>
        </w:rPr>
        <w:t xml:space="preserve">            </w:t>
      </w:r>
    </w:p>
    <w:p w:rsidRPr="00CD1632" w:rsidR="00CD1632" w:rsidP="00EC4FBC" w:rsidRDefault="00CD1632" w14:paraId="68D993D8" w14:textId="43544BBD">
      <w:pPr>
        <w:rPr>
          <w:rFonts w:ascii="ADLaM Display" w:hAnsi="ADLaM Display" w:cs="ADLaM Display"/>
          <w:b/>
          <w:bCs/>
          <w:color w:val="792C26" w:themeColor="accent4" w:themeShade="BF"/>
          <w:sz w:val="28"/>
          <w:szCs w:val="28"/>
        </w:rPr>
      </w:pPr>
      <w:r w:rsidRPr="00CD1632">
        <w:rPr>
          <w:rFonts w:ascii="ADLaM Display" w:hAnsi="ADLaM Display" w:cs="ADLaM Display"/>
          <w:b/>
          <w:bCs/>
          <w:color w:val="792C26" w:themeColor="accent4" w:themeShade="BF"/>
          <w:sz w:val="28"/>
          <w:szCs w:val="28"/>
        </w:rPr>
        <w:t xml:space="preserve">                                                        </w:t>
      </w:r>
      <w:r w:rsidRPr="00CD1632">
        <w:rPr>
          <w:rFonts w:ascii="ADLaM Display" w:hAnsi="ADLaM Display" w:cs="ADLaM Display"/>
          <w:b/>
          <w:bCs/>
          <w:color w:val="792C26" w:themeColor="accent4" w:themeShade="BF"/>
          <w:sz w:val="28"/>
          <w:szCs w:val="28"/>
        </w:rPr>
        <w:t>Expected Outcomes</w:t>
      </w:r>
      <w:r w:rsidRPr="00CD1632">
        <w:rPr>
          <w:rFonts w:ascii="ADLaM Display" w:hAnsi="ADLaM Display" w:cs="ADLaM Display"/>
          <w:b/>
          <w:bCs/>
          <w:color w:val="792C26" w:themeColor="accent4" w:themeShade="BF"/>
          <w:sz w:val="28"/>
          <w:szCs w:val="28"/>
        </w:rPr>
        <w:t xml:space="preserve"> </w:t>
      </w:r>
    </w:p>
    <w:p w:rsidRPr="00CD1632" w:rsidR="00CD1632" w:rsidP="00CD1632" w:rsidRDefault="00CD1632" w14:paraId="0BAB46E1" w14:textId="645D3578">
      <w:pPr>
        <w:rPr>
          <w:rFonts w:ascii="Arial" w:hAnsi="Arial" w:cs="Arial"/>
          <w:b/>
          <w:bCs/>
          <w:color w:val="3C9770" w:themeColor="accent2"/>
        </w:rPr>
      </w:pPr>
      <w:r w:rsidRPr="00CD1632">
        <w:rPr>
          <w:rFonts w:ascii="Arial" w:hAnsi="Arial" w:cs="Arial"/>
          <w:b/>
          <w:bCs/>
          <w:color w:val="3C9770" w:themeColor="accent2"/>
        </w:rPr>
        <w:t>The implementation of SmartDose+ is expected to improve medication adherence by reducing missed doses, medication errors and treatment interruptions among adults living with long-term conditions. Improved adherence may lead to better disease control, enhanced quality of life, fewer avoidable hospital admissions and reduced healthcare costs, supporting NHS priorities for prevention and personalised care (NHS England, 2019; National Institute for Health and Care Excellence, 2015). In addition, remote monitoring and automated alerts may provide reassurance for carers while promoting patient independence.</w:t>
      </w:r>
    </w:p>
    <w:p w:rsidR="00CD1632" w:rsidP="00CD1632" w:rsidRDefault="00CD1632" w14:paraId="44CAEC2C" w14:textId="2F08C370">
      <w:pPr>
        <w:rPr>
          <w:rFonts w:ascii="Arial" w:hAnsi="Arial" w:cs="Arial"/>
          <w:b/>
          <w:bCs/>
          <w:color w:val="3C9770" w:themeColor="accent2"/>
        </w:rPr>
      </w:pPr>
      <w:r w:rsidRPr="00CD1632">
        <w:rPr>
          <w:rFonts w:ascii="Arial" w:hAnsi="Arial" w:cs="Arial"/>
          <w:b/>
          <w:bCs/>
          <w:color w:val="3C9770" w:themeColor="accent2"/>
        </w:rPr>
        <w:t xml:space="preserve">However, successful implementation may be influenced by digital health inequalities, including limited digital literacy, affordability and access to technology, particularly among older adults and disadvantaged populations. Concerns relating to data security, patient confidentiality and acceptance of artificial intelligence should also be considered. Therefore, </w:t>
      </w:r>
      <w:r w:rsidRPr="00CD1632">
        <w:rPr>
          <w:rFonts w:ascii="Arial" w:hAnsi="Arial" w:cs="Arial"/>
          <w:b/>
          <w:bCs/>
          <w:color w:val="3C9770" w:themeColor="accent2"/>
        </w:rPr>
        <w:lastRenderedPageBreak/>
        <w:t>SmartDose+ should be supported by patient education, user training, accessible design and strong data protection measures to maximise its effectiveness and reduce inequalities in access to digital healthcare (World Health Organization, 2021; NHS England, 2021).</w:t>
      </w:r>
      <w:r>
        <w:rPr>
          <w:rFonts w:ascii="Arial" w:hAnsi="Arial" w:cs="Arial"/>
          <w:b/>
          <w:bCs/>
          <w:color w:val="3C9770" w:themeColor="accent2"/>
        </w:rPr>
        <w:t xml:space="preserve">    </w:t>
      </w:r>
    </w:p>
    <w:p w:rsidR="00CD1632" w:rsidP="00CD1632" w:rsidRDefault="00CD1632" w14:paraId="3CAF4E64" w14:textId="77777777">
      <w:pPr>
        <w:rPr>
          <w:rFonts w:ascii="Arial" w:hAnsi="Arial" w:cs="Arial"/>
          <w:b/>
          <w:bCs/>
          <w:color w:val="3C9770" w:themeColor="accent2"/>
        </w:rPr>
      </w:pPr>
    </w:p>
    <w:p w:rsidRPr="001E36FA" w:rsidR="001E36FA" w:rsidP="001E36FA" w:rsidRDefault="001E36FA" w14:paraId="7E08D154" w14:textId="77777777">
      <w:pPr>
        <w:rPr>
          <w:rFonts w:ascii="ADLaM Display" w:hAnsi="ADLaM Display" w:cs="ADLaM Display"/>
          <w:b/>
          <w:bCs/>
          <w:color w:val="2D7153" w:themeColor="accent2" w:themeShade="BF"/>
          <w:sz w:val="28"/>
          <w:szCs w:val="28"/>
        </w:rPr>
      </w:pPr>
      <w:r w:rsidRPr="001E36FA">
        <w:rPr>
          <w:rFonts w:ascii="ADLaM Display" w:hAnsi="ADLaM Display" w:cs="ADLaM Display"/>
          <w:b/>
          <w:bCs/>
          <w:color w:val="2D7153" w:themeColor="accent2" w:themeShade="BF"/>
          <w:sz w:val="28"/>
          <w:szCs w:val="28"/>
        </w:rPr>
        <w:t>Expected Benefits</w:t>
      </w:r>
    </w:p>
    <w:p w:rsidRPr="001E36FA" w:rsidR="001E36FA" w:rsidP="001E36FA" w:rsidRDefault="001E36FA" w14:paraId="3353915B" w14:textId="7CD4D116">
      <w:pPr>
        <w:rPr>
          <w:rFonts w:ascii="ADLaM Display" w:hAnsi="ADLaM Display" w:cs="ADLaM Display"/>
          <w:color w:val="2D7153" w:themeColor="accent2" w:themeShade="BF"/>
          <w:sz w:val="28"/>
          <w:szCs w:val="28"/>
        </w:rPr>
      </w:pPr>
      <w:r w:rsidRPr="001E36FA">
        <w:rPr>
          <w:rFonts w:ascii="Segoe UI Emoji" w:hAnsi="Segoe UI Emoji" w:cs="Segoe UI Emoji"/>
          <w:color w:val="2D7153" w:themeColor="accent2" w:themeShade="BF"/>
          <w:sz w:val="28"/>
          <w:szCs w:val="28"/>
        </w:rPr>
        <w:t>🟢</w:t>
      </w:r>
      <w:r w:rsidRPr="001E36FA">
        <w:rPr>
          <w:rFonts w:ascii="ADLaM Display" w:hAnsi="ADLaM Display" w:cs="ADLaM Display"/>
          <w:color w:val="2D7153" w:themeColor="accent2" w:themeShade="BF"/>
          <w:sz w:val="28"/>
          <w:szCs w:val="28"/>
        </w:rPr>
        <w:t xml:space="preserve"> Improved medication adherence</w:t>
      </w:r>
      <w:r>
        <w:rPr>
          <w:rFonts w:ascii="ADLaM Display" w:hAnsi="ADLaM Display" w:cs="ADLaM Display"/>
          <w:color w:val="2D7153" w:themeColor="accent2" w:themeShade="BF"/>
          <w:sz w:val="28"/>
          <w:szCs w:val="28"/>
        </w:rPr>
        <w:t xml:space="preserve">                                  </w:t>
      </w:r>
    </w:p>
    <w:p w:rsidRPr="001E36FA" w:rsidR="001E36FA" w:rsidP="001E36FA" w:rsidRDefault="001E36FA" w14:paraId="27FC240E" w14:textId="77777777">
      <w:pPr>
        <w:rPr>
          <w:rFonts w:ascii="ADLaM Display" w:hAnsi="ADLaM Display" w:cs="ADLaM Display"/>
          <w:color w:val="2D7153" w:themeColor="accent2" w:themeShade="BF"/>
          <w:sz w:val="28"/>
          <w:szCs w:val="28"/>
        </w:rPr>
      </w:pPr>
      <w:r w:rsidRPr="001E36FA">
        <w:rPr>
          <w:rFonts w:ascii="Segoe UI Emoji" w:hAnsi="Segoe UI Emoji" w:cs="Segoe UI Emoji"/>
          <w:color w:val="2D7153" w:themeColor="accent2" w:themeShade="BF"/>
          <w:sz w:val="28"/>
          <w:szCs w:val="28"/>
        </w:rPr>
        <w:t>🟢</w:t>
      </w:r>
      <w:r w:rsidRPr="001E36FA">
        <w:rPr>
          <w:rFonts w:ascii="ADLaM Display" w:hAnsi="ADLaM Display" w:cs="ADLaM Display"/>
          <w:color w:val="2D7153" w:themeColor="accent2" w:themeShade="BF"/>
          <w:sz w:val="28"/>
          <w:szCs w:val="28"/>
        </w:rPr>
        <w:t xml:space="preserve"> Better control of long-term conditions</w:t>
      </w:r>
    </w:p>
    <w:p w:rsidRPr="001E36FA" w:rsidR="001E36FA" w:rsidP="001E36FA" w:rsidRDefault="001E36FA" w14:paraId="0EFFF851" w14:textId="77777777">
      <w:pPr>
        <w:rPr>
          <w:rFonts w:ascii="ADLaM Display" w:hAnsi="ADLaM Display" w:cs="ADLaM Display"/>
          <w:color w:val="2D7153" w:themeColor="accent2" w:themeShade="BF"/>
          <w:sz w:val="28"/>
          <w:szCs w:val="28"/>
        </w:rPr>
      </w:pPr>
      <w:r w:rsidRPr="001E36FA">
        <w:rPr>
          <w:rFonts w:ascii="Segoe UI Emoji" w:hAnsi="Segoe UI Emoji" w:cs="Segoe UI Emoji"/>
          <w:color w:val="2D7153" w:themeColor="accent2" w:themeShade="BF"/>
          <w:sz w:val="28"/>
          <w:szCs w:val="28"/>
        </w:rPr>
        <w:t>🟢</w:t>
      </w:r>
      <w:r w:rsidRPr="001E36FA">
        <w:rPr>
          <w:rFonts w:ascii="ADLaM Display" w:hAnsi="ADLaM Display" w:cs="ADLaM Display"/>
          <w:color w:val="2D7153" w:themeColor="accent2" w:themeShade="BF"/>
          <w:sz w:val="28"/>
          <w:szCs w:val="28"/>
        </w:rPr>
        <w:t xml:space="preserve"> Reduced medication errors</w:t>
      </w:r>
    </w:p>
    <w:p w:rsidRPr="001E36FA" w:rsidR="001E36FA" w:rsidP="001E36FA" w:rsidRDefault="001E36FA" w14:paraId="0CE5FCFE" w14:textId="77777777">
      <w:pPr>
        <w:rPr>
          <w:rFonts w:ascii="ADLaM Display" w:hAnsi="ADLaM Display" w:cs="ADLaM Display"/>
          <w:color w:val="2D7153" w:themeColor="accent2" w:themeShade="BF"/>
          <w:sz w:val="28"/>
          <w:szCs w:val="28"/>
        </w:rPr>
      </w:pPr>
      <w:r w:rsidRPr="001E36FA">
        <w:rPr>
          <w:rFonts w:ascii="Segoe UI Emoji" w:hAnsi="Segoe UI Emoji" w:cs="Segoe UI Emoji"/>
          <w:color w:val="2D7153" w:themeColor="accent2" w:themeShade="BF"/>
          <w:sz w:val="28"/>
          <w:szCs w:val="28"/>
        </w:rPr>
        <w:t>🟢</w:t>
      </w:r>
      <w:r w:rsidRPr="001E36FA">
        <w:rPr>
          <w:rFonts w:ascii="ADLaM Display" w:hAnsi="ADLaM Display" w:cs="ADLaM Display"/>
          <w:color w:val="2D7153" w:themeColor="accent2" w:themeShade="BF"/>
          <w:sz w:val="28"/>
          <w:szCs w:val="28"/>
        </w:rPr>
        <w:t xml:space="preserve"> Fewer avoidable hospital admissions</w:t>
      </w:r>
    </w:p>
    <w:p w:rsidRPr="001E36FA" w:rsidR="001E36FA" w:rsidP="001E36FA" w:rsidRDefault="001E36FA" w14:paraId="6E274D46" w14:textId="77777777">
      <w:pPr>
        <w:rPr>
          <w:rFonts w:ascii="ADLaM Display" w:hAnsi="ADLaM Display" w:cs="ADLaM Display"/>
          <w:color w:val="2D7153" w:themeColor="accent2" w:themeShade="BF"/>
          <w:sz w:val="28"/>
          <w:szCs w:val="28"/>
        </w:rPr>
      </w:pPr>
      <w:r w:rsidRPr="001E36FA">
        <w:rPr>
          <w:rFonts w:ascii="Segoe UI Emoji" w:hAnsi="Segoe UI Emoji" w:cs="Segoe UI Emoji"/>
          <w:color w:val="2D7153" w:themeColor="accent2" w:themeShade="BF"/>
          <w:sz w:val="28"/>
          <w:szCs w:val="28"/>
        </w:rPr>
        <w:t>🟢</w:t>
      </w:r>
      <w:r w:rsidRPr="001E36FA">
        <w:rPr>
          <w:rFonts w:ascii="ADLaM Display" w:hAnsi="ADLaM Display" w:cs="ADLaM Display"/>
          <w:color w:val="2D7153" w:themeColor="accent2" w:themeShade="BF"/>
          <w:sz w:val="28"/>
          <w:szCs w:val="28"/>
        </w:rPr>
        <w:t xml:space="preserve"> Increased patient independence</w:t>
      </w:r>
    </w:p>
    <w:p w:rsidRPr="001E36FA" w:rsidR="001E36FA" w:rsidP="001E36FA" w:rsidRDefault="001E36FA" w14:paraId="74CC6EB0" w14:textId="77777777">
      <w:pPr>
        <w:rPr>
          <w:rFonts w:ascii="ADLaM Display" w:hAnsi="ADLaM Display" w:cs="ADLaM Display"/>
          <w:color w:val="2D7153" w:themeColor="accent2" w:themeShade="BF"/>
          <w:sz w:val="28"/>
          <w:szCs w:val="28"/>
        </w:rPr>
      </w:pPr>
      <w:r w:rsidRPr="001E36FA">
        <w:rPr>
          <w:rFonts w:ascii="Segoe UI Emoji" w:hAnsi="Segoe UI Emoji" w:cs="Segoe UI Emoji"/>
          <w:color w:val="2D7153" w:themeColor="accent2" w:themeShade="BF"/>
          <w:sz w:val="28"/>
          <w:szCs w:val="28"/>
        </w:rPr>
        <w:t>🟢</w:t>
      </w:r>
      <w:r w:rsidRPr="001E36FA">
        <w:rPr>
          <w:rFonts w:ascii="ADLaM Display" w:hAnsi="ADLaM Display" w:cs="ADLaM Display"/>
          <w:color w:val="2D7153" w:themeColor="accent2" w:themeShade="BF"/>
          <w:sz w:val="28"/>
          <w:szCs w:val="28"/>
        </w:rPr>
        <w:t xml:space="preserve"> Improved quality of life</w:t>
      </w:r>
    </w:p>
    <w:p w:rsidR="001E36FA" w:rsidP="001E36FA" w:rsidRDefault="001E36FA" w14:paraId="61BF444E" w14:textId="6A4894F2">
      <w:pPr>
        <w:rPr>
          <w:rFonts w:ascii="ADLaM Display" w:hAnsi="ADLaM Display" w:cs="ADLaM Display"/>
          <w:color w:val="2D7153" w:themeColor="accent2" w:themeShade="BF"/>
          <w:sz w:val="28"/>
          <w:szCs w:val="28"/>
        </w:rPr>
      </w:pPr>
      <w:r w:rsidRPr="001E36FA">
        <w:rPr>
          <w:rFonts w:ascii="Segoe UI Emoji" w:hAnsi="Segoe UI Emoji" w:cs="Segoe UI Emoji"/>
          <w:color w:val="2D7153" w:themeColor="accent2" w:themeShade="BF"/>
          <w:sz w:val="28"/>
          <w:szCs w:val="28"/>
        </w:rPr>
        <w:t>🟢</w:t>
      </w:r>
      <w:r w:rsidRPr="001E36FA">
        <w:rPr>
          <w:rFonts w:ascii="ADLaM Display" w:hAnsi="ADLaM Display" w:cs="ADLaM Display"/>
          <w:color w:val="2D7153" w:themeColor="accent2" w:themeShade="BF"/>
          <w:sz w:val="28"/>
          <w:szCs w:val="28"/>
        </w:rPr>
        <w:t xml:space="preserve"> Reduced pressure on NHS services</w:t>
      </w:r>
      <w:r>
        <w:rPr>
          <w:rFonts w:ascii="ADLaM Display" w:hAnsi="ADLaM Display" w:cs="ADLaM Display"/>
          <w:color w:val="2D7153" w:themeColor="accent2" w:themeShade="BF"/>
          <w:sz w:val="28"/>
          <w:szCs w:val="28"/>
        </w:rPr>
        <w:t xml:space="preserve">  </w:t>
      </w:r>
    </w:p>
    <w:p w:rsidR="001E36FA" w:rsidP="001E36FA" w:rsidRDefault="001E36FA" w14:paraId="3D60FA53" w14:textId="77777777">
      <w:pPr>
        <w:rPr>
          <w:rFonts w:ascii="ADLaM Display" w:hAnsi="ADLaM Display" w:cs="ADLaM Display"/>
          <w:color w:val="2D7153" w:themeColor="accent2" w:themeShade="BF"/>
          <w:sz w:val="28"/>
          <w:szCs w:val="28"/>
        </w:rPr>
      </w:pPr>
    </w:p>
    <w:p w:rsidRPr="001E36FA" w:rsidR="001E36FA" w:rsidP="001E36FA" w:rsidRDefault="001E36FA" w14:paraId="7D70E519" w14:textId="77777777">
      <w:pPr>
        <w:rPr>
          <w:rFonts w:ascii="ADLaM Display" w:hAnsi="ADLaM Display" w:cs="ADLaM Display"/>
          <w:b/>
          <w:bCs/>
          <w:color w:val="792C26" w:themeColor="accent4" w:themeShade="BF"/>
          <w:sz w:val="28"/>
          <w:szCs w:val="28"/>
        </w:rPr>
      </w:pPr>
      <w:r w:rsidRPr="001E36FA">
        <w:rPr>
          <w:rFonts w:ascii="ADLaM Display" w:hAnsi="ADLaM Display" w:cs="ADLaM Display"/>
          <w:b/>
          <w:bCs/>
          <w:color w:val="792C26" w:themeColor="accent4" w:themeShade="BF"/>
          <w:sz w:val="28"/>
          <w:szCs w:val="28"/>
        </w:rPr>
        <w:t>Potential Challenges</w:t>
      </w:r>
    </w:p>
    <w:p w:rsidRPr="001E36FA" w:rsidR="001E36FA" w:rsidP="001E36FA" w:rsidRDefault="001E36FA" w14:paraId="6F11D8FB" w14:textId="77777777">
      <w:pPr>
        <w:rPr>
          <w:rFonts w:ascii="ADLaM Display" w:hAnsi="ADLaM Display" w:cs="ADLaM Display"/>
          <w:color w:val="792C26" w:themeColor="accent4" w:themeShade="BF"/>
          <w:sz w:val="28"/>
          <w:szCs w:val="28"/>
        </w:rPr>
      </w:pPr>
      <w:r w:rsidRPr="001E36FA">
        <w:rPr>
          <w:rFonts w:ascii="Segoe UI Emoji" w:hAnsi="Segoe UI Emoji" w:cs="Segoe UI Emoji"/>
          <w:color w:val="792C26" w:themeColor="accent4" w:themeShade="BF"/>
          <w:sz w:val="28"/>
          <w:szCs w:val="28"/>
        </w:rPr>
        <w:t>🔴</w:t>
      </w:r>
      <w:r w:rsidRPr="001E36FA">
        <w:rPr>
          <w:rFonts w:ascii="ADLaM Display" w:hAnsi="ADLaM Display" w:cs="ADLaM Display"/>
          <w:color w:val="792C26" w:themeColor="accent4" w:themeShade="BF"/>
          <w:sz w:val="28"/>
          <w:szCs w:val="28"/>
        </w:rPr>
        <w:t xml:space="preserve"> Digital exclusion</w:t>
      </w:r>
    </w:p>
    <w:p w:rsidRPr="001E36FA" w:rsidR="001E36FA" w:rsidP="001E36FA" w:rsidRDefault="001E36FA" w14:paraId="1ABDFA6A" w14:textId="77777777">
      <w:pPr>
        <w:rPr>
          <w:rFonts w:ascii="ADLaM Display" w:hAnsi="ADLaM Display" w:cs="ADLaM Display"/>
          <w:color w:val="792C26" w:themeColor="accent4" w:themeShade="BF"/>
          <w:sz w:val="28"/>
          <w:szCs w:val="28"/>
        </w:rPr>
      </w:pPr>
      <w:r w:rsidRPr="001E36FA">
        <w:rPr>
          <w:rFonts w:ascii="Segoe UI Emoji" w:hAnsi="Segoe UI Emoji" w:cs="Segoe UI Emoji"/>
          <w:color w:val="792C26" w:themeColor="accent4" w:themeShade="BF"/>
          <w:sz w:val="28"/>
          <w:szCs w:val="28"/>
        </w:rPr>
        <w:t>🔴</w:t>
      </w:r>
      <w:r w:rsidRPr="001E36FA">
        <w:rPr>
          <w:rFonts w:ascii="ADLaM Display" w:hAnsi="ADLaM Display" w:cs="ADLaM Display"/>
          <w:color w:val="792C26" w:themeColor="accent4" w:themeShade="BF"/>
          <w:sz w:val="28"/>
          <w:szCs w:val="28"/>
        </w:rPr>
        <w:t xml:space="preserve"> Limited digital literacy</w:t>
      </w:r>
    </w:p>
    <w:p w:rsidRPr="001E36FA" w:rsidR="001E36FA" w:rsidP="001E36FA" w:rsidRDefault="001E36FA" w14:paraId="053C7746" w14:textId="77777777">
      <w:pPr>
        <w:rPr>
          <w:rFonts w:ascii="ADLaM Display" w:hAnsi="ADLaM Display" w:cs="ADLaM Display"/>
          <w:color w:val="792C26" w:themeColor="accent4" w:themeShade="BF"/>
          <w:sz w:val="28"/>
          <w:szCs w:val="28"/>
        </w:rPr>
      </w:pPr>
      <w:r w:rsidRPr="001E36FA">
        <w:rPr>
          <w:rFonts w:ascii="Segoe UI Emoji" w:hAnsi="Segoe UI Emoji" w:cs="Segoe UI Emoji"/>
          <w:color w:val="792C26" w:themeColor="accent4" w:themeShade="BF"/>
          <w:sz w:val="28"/>
          <w:szCs w:val="28"/>
        </w:rPr>
        <w:lastRenderedPageBreak/>
        <w:t>🔴</w:t>
      </w:r>
      <w:r w:rsidRPr="001E36FA">
        <w:rPr>
          <w:rFonts w:ascii="ADLaM Display" w:hAnsi="ADLaM Display" w:cs="ADLaM Display"/>
          <w:color w:val="792C26" w:themeColor="accent4" w:themeShade="BF"/>
          <w:sz w:val="28"/>
          <w:szCs w:val="28"/>
        </w:rPr>
        <w:t xml:space="preserve"> Cost of SmartDose+</w:t>
      </w:r>
    </w:p>
    <w:p w:rsidRPr="001E36FA" w:rsidR="001E36FA" w:rsidP="001E36FA" w:rsidRDefault="001E36FA" w14:paraId="7BB865D5" w14:textId="77777777">
      <w:pPr>
        <w:rPr>
          <w:rFonts w:ascii="ADLaM Display" w:hAnsi="ADLaM Display" w:cs="ADLaM Display"/>
          <w:color w:val="792C26" w:themeColor="accent4" w:themeShade="BF"/>
          <w:sz w:val="28"/>
          <w:szCs w:val="28"/>
        </w:rPr>
      </w:pPr>
      <w:r w:rsidRPr="001E36FA">
        <w:rPr>
          <w:rFonts w:ascii="Segoe UI Emoji" w:hAnsi="Segoe UI Emoji" w:cs="Segoe UI Emoji"/>
          <w:color w:val="792C26" w:themeColor="accent4" w:themeShade="BF"/>
          <w:sz w:val="28"/>
          <w:szCs w:val="28"/>
        </w:rPr>
        <w:t>🔴</w:t>
      </w:r>
      <w:r w:rsidRPr="001E36FA">
        <w:rPr>
          <w:rFonts w:ascii="ADLaM Display" w:hAnsi="ADLaM Display" w:cs="ADLaM Display"/>
          <w:color w:val="792C26" w:themeColor="accent4" w:themeShade="BF"/>
          <w:sz w:val="28"/>
          <w:szCs w:val="28"/>
        </w:rPr>
        <w:t xml:space="preserve"> Data privacy and cybersecurity</w:t>
      </w:r>
    </w:p>
    <w:p w:rsidRPr="001E36FA" w:rsidR="001E36FA" w:rsidP="001E36FA" w:rsidRDefault="001E36FA" w14:paraId="6C279F6D" w14:textId="77777777">
      <w:pPr>
        <w:rPr>
          <w:rFonts w:ascii="ADLaM Display" w:hAnsi="ADLaM Display" w:cs="ADLaM Display"/>
          <w:color w:val="792C26" w:themeColor="accent4" w:themeShade="BF"/>
          <w:sz w:val="28"/>
          <w:szCs w:val="28"/>
        </w:rPr>
      </w:pPr>
      <w:r w:rsidRPr="001E36FA">
        <w:rPr>
          <w:rFonts w:ascii="Segoe UI Emoji" w:hAnsi="Segoe UI Emoji" w:cs="Segoe UI Emoji"/>
          <w:color w:val="792C26" w:themeColor="accent4" w:themeShade="BF"/>
          <w:sz w:val="28"/>
          <w:szCs w:val="28"/>
        </w:rPr>
        <w:t>🔴</w:t>
      </w:r>
      <w:r w:rsidRPr="001E36FA">
        <w:rPr>
          <w:rFonts w:ascii="ADLaM Display" w:hAnsi="ADLaM Display" w:cs="ADLaM Display"/>
          <w:color w:val="792C26" w:themeColor="accent4" w:themeShade="BF"/>
          <w:sz w:val="28"/>
          <w:szCs w:val="28"/>
        </w:rPr>
        <w:t xml:space="preserve"> Internet connectivity</w:t>
      </w:r>
    </w:p>
    <w:p w:rsidR="001E36FA" w:rsidP="001E36FA" w:rsidRDefault="001E36FA" w14:paraId="471C0CF6" w14:textId="430FE23B">
      <w:pPr>
        <w:rPr>
          <w:rFonts w:ascii="ADLaM Display" w:hAnsi="ADLaM Display" w:cs="ADLaM Display"/>
          <w:color w:val="792C26" w:themeColor="accent4" w:themeShade="BF"/>
          <w:sz w:val="28"/>
          <w:szCs w:val="28"/>
        </w:rPr>
      </w:pPr>
      <w:r w:rsidRPr="001E36FA">
        <w:rPr>
          <w:rFonts w:ascii="Segoe UI Emoji" w:hAnsi="Segoe UI Emoji" w:cs="Segoe UI Emoji"/>
          <w:color w:val="792C26" w:themeColor="accent4" w:themeShade="BF"/>
          <w:sz w:val="28"/>
          <w:szCs w:val="28"/>
        </w:rPr>
        <w:t>🔴</w:t>
      </w:r>
      <w:r w:rsidRPr="001E36FA">
        <w:rPr>
          <w:rFonts w:ascii="ADLaM Display" w:hAnsi="ADLaM Display" w:cs="ADLaM Display"/>
          <w:color w:val="792C26" w:themeColor="accent4" w:themeShade="BF"/>
          <w:sz w:val="28"/>
          <w:szCs w:val="28"/>
        </w:rPr>
        <w:t xml:space="preserve"> Acceptance of artificial intelligence</w:t>
      </w:r>
      <w:r>
        <w:rPr>
          <w:rFonts w:ascii="ADLaM Display" w:hAnsi="ADLaM Display" w:cs="ADLaM Display"/>
          <w:color w:val="792C26" w:themeColor="accent4" w:themeShade="BF"/>
          <w:sz w:val="28"/>
          <w:szCs w:val="28"/>
        </w:rPr>
        <w:t xml:space="preserve">   </w:t>
      </w:r>
      <w:r w:rsidR="00963E22">
        <w:rPr>
          <w:rFonts w:ascii="ADLaM Display" w:hAnsi="ADLaM Display" w:cs="ADLaM Display"/>
          <w:color w:val="792C26" w:themeColor="accent4" w:themeShade="BF"/>
          <w:sz w:val="28"/>
          <w:szCs w:val="28"/>
        </w:rPr>
        <w:t xml:space="preserve">  </w:t>
      </w:r>
    </w:p>
    <w:p w:rsidR="00963E22" w:rsidP="001E36FA" w:rsidRDefault="00963E22" w14:paraId="2AE43ED8" w14:textId="77777777">
      <w:pPr>
        <w:rPr>
          <w:rFonts w:ascii="ADLaM Display" w:hAnsi="ADLaM Display" w:cs="ADLaM Display"/>
          <w:color w:val="792C26" w:themeColor="accent4" w:themeShade="BF"/>
          <w:sz w:val="28"/>
          <w:szCs w:val="28"/>
        </w:rPr>
      </w:pPr>
    </w:p>
    <w:p w:rsidR="00963E22" w:rsidP="001E36FA" w:rsidRDefault="00963E22" w14:paraId="1DDCDBE5" w14:textId="77777777">
      <w:pPr>
        <w:rPr>
          <w:rFonts w:ascii="ADLaM Display" w:hAnsi="ADLaM Display" w:cs="ADLaM Display"/>
          <w:color w:val="792C26" w:themeColor="accent4" w:themeShade="BF"/>
          <w:sz w:val="28"/>
          <w:szCs w:val="28"/>
        </w:rPr>
      </w:pPr>
    </w:p>
    <w:p w:rsidR="00963E22" w:rsidP="00963E22" w:rsidRDefault="00963E22" w14:paraId="099A7EBC" w14:textId="27B3A116">
      <w:pPr>
        <w:rPr>
          <w:rFonts w:ascii="ADLaM Display" w:hAnsi="ADLaM Display" w:cs="ADLaM Display"/>
          <w:b/>
          <w:bCs/>
          <w:color w:val="00B050"/>
          <w:sz w:val="28"/>
          <w:szCs w:val="28"/>
        </w:rPr>
      </w:pPr>
      <w:r>
        <w:rPr>
          <w:rFonts w:ascii="ADLaM Display" w:hAnsi="ADLaM Display" w:cs="ADLaM Display"/>
          <w:color w:val="792C26" w:themeColor="accent4" w:themeShade="BF"/>
          <w:sz w:val="28"/>
          <w:szCs w:val="28"/>
        </w:rPr>
        <w:t xml:space="preserve">                                                       </w:t>
      </w:r>
      <w:r w:rsidRPr="00963E22">
        <w:rPr>
          <w:rFonts w:ascii="ADLaM Display" w:hAnsi="ADLaM Display" w:cs="ADLaM Display"/>
          <w:b/>
          <w:bCs/>
          <w:color w:val="00B050"/>
          <w:sz w:val="28"/>
          <w:szCs w:val="28"/>
        </w:rPr>
        <w:t>Implementation and Future Development</w:t>
      </w:r>
      <w:r>
        <w:rPr>
          <w:rFonts w:ascii="ADLaM Display" w:hAnsi="ADLaM Display" w:cs="ADLaM Display"/>
          <w:b/>
          <w:bCs/>
          <w:color w:val="00B050"/>
          <w:sz w:val="28"/>
          <w:szCs w:val="28"/>
        </w:rPr>
        <w:t xml:space="preserve">   </w:t>
      </w:r>
    </w:p>
    <w:p w:rsidRPr="00963E22" w:rsidR="00963E22" w:rsidP="00963E22" w:rsidRDefault="00963E22" w14:paraId="24D40E24" w14:textId="77777777">
      <w:pPr>
        <w:rPr>
          <w:rFonts w:ascii="Arial" w:hAnsi="Arial" w:cs="Arial"/>
          <w:b/>
          <w:bCs/>
          <w:color w:val="7030A0"/>
        </w:rPr>
      </w:pPr>
      <w:r w:rsidRPr="00963E22">
        <w:rPr>
          <w:rFonts w:ascii="Arial" w:hAnsi="Arial" w:cs="Arial"/>
          <w:b/>
          <w:bCs/>
          <w:color w:val="7030A0"/>
        </w:rPr>
        <w:t>Successful implementation of SmartDose+ will also depend on collaboration between healthcare professionals, carers and patients to ensure the technology is used safely and effectively. Healthcare professionals should receive appropriate training to support patients in using the device and interpreting adherence data, as developing the digital skills of the healthcare workforce is essential for the successful adoption of innovative technologies in clinical practice (Topol, 2019). Furthermore, involving patients in the design and ongoing development of SmartDose+ could enhance acceptability, usability and long-term engagement. Continuous monitoring and evaluation would ensure that the intervention remains evidence-based, responsive to patient needs and capable of adapting to future advances in artificial intelligence and digital healthcare technologies. Co-designing digital technologies with patients and healthcare professionals may also improve trust, accessibility and long-term implementation within routine healthcare practice (National Institute for Health and Care Research, 2022).</w:t>
      </w:r>
    </w:p>
    <w:p w:rsidRPr="00963E22" w:rsidR="00963E22" w:rsidP="00963E22" w:rsidRDefault="00963E22" w14:paraId="0B7ECB46" w14:textId="593BA4B4">
      <w:pPr>
        <w:rPr>
          <w:rFonts w:ascii="ADLaM Display" w:hAnsi="ADLaM Display" w:cs="ADLaM Display"/>
          <w:color w:val="00B050"/>
          <w:sz w:val="28"/>
          <w:szCs w:val="28"/>
        </w:rPr>
      </w:pPr>
      <w:r>
        <w:rPr>
          <w:rFonts w:ascii="ADLaM Display" w:hAnsi="ADLaM Display" w:cs="ADLaM Display"/>
          <w:color w:val="00B050"/>
          <w:sz w:val="28"/>
          <w:szCs w:val="28"/>
        </w:rPr>
        <w:t xml:space="preserve"> </w:t>
      </w:r>
    </w:p>
    <w:p w:rsidR="008168DB" w:rsidP="008168DB" w:rsidRDefault="00963E22" w14:paraId="66B8BEE3" w14:textId="39553208">
      <w:pPr>
        <w:rPr>
          <w:rFonts w:ascii="ADLaM Display" w:hAnsi="ADLaM Display" w:cs="ADLaM Display"/>
          <w:b/>
          <w:bCs/>
          <w:color w:val="0070C0"/>
          <w:sz w:val="28"/>
          <w:szCs w:val="28"/>
        </w:rPr>
      </w:pPr>
      <w:r>
        <w:rPr>
          <w:rFonts w:ascii="ADLaM Display" w:hAnsi="ADLaM Display" w:cs="ADLaM Display"/>
          <w:color w:val="792C26" w:themeColor="accent4" w:themeShade="BF"/>
          <w:sz w:val="28"/>
          <w:szCs w:val="28"/>
        </w:rPr>
        <w:t xml:space="preserve">                                                            </w:t>
      </w:r>
      <w:r w:rsidRPr="008168DB" w:rsidR="001E36FA">
        <w:rPr>
          <w:rFonts w:ascii="ADLaM Display" w:hAnsi="ADLaM Display" w:cs="ADLaM Display"/>
          <w:color w:val="0070C0"/>
          <w:sz w:val="28"/>
          <w:szCs w:val="28"/>
        </w:rPr>
        <w:t xml:space="preserve"> </w:t>
      </w:r>
      <w:r w:rsidRPr="008168DB" w:rsidR="008168DB">
        <w:rPr>
          <w:rFonts w:ascii="ADLaM Display" w:hAnsi="ADLaM Display" w:cs="ADLaM Display"/>
          <w:b/>
          <w:bCs/>
          <w:color w:val="0070C0"/>
          <w:sz w:val="28"/>
          <w:szCs w:val="28"/>
        </w:rPr>
        <w:t>Conclusion</w:t>
      </w:r>
      <w:r w:rsidR="008168DB">
        <w:rPr>
          <w:rFonts w:ascii="ADLaM Display" w:hAnsi="ADLaM Display" w:cs="ADLaM Display"/>
          <w:b/>
          <w:bCs/>
          <w:color w:val="0070C0"/>
          <w:sz w:val="28"/>
          <w:szCs w:val="28"/>
        </w:rPr>
        <w:t xml:space="preserve">  </w:t>
      </w:r>
    </w:p>
    <w:p w:rsidR="008168DB" w:rsidP="008168DB" w:rsidRDefault="008168DB" w14:paraId="5F3AE2FD" w14:textId="6DE8A9BE">
      <w:pPr>
        <w:rPr>
          <w:rFonts w:ascii="Arial" w:hAnsi="Arial" w:cs="Arial"/>
          <w:b/>
          <w:bCs/>
          <w:color w:val="414C15" w:themeColor="accent1" w:themeShade="80"/>
        </w:rPr>
      </w:pPr>
      <w:r w:rsidRPr="008168DB">
        <w:rPr>
          <w:rFonts w:ascii="Arial" w:hAnsi="Arial" w:cs="Arial"/>
          <w:b/>
          <w:bCs/>
          <w:color w:val="414C15" w:themeColor="accent1" w:themeShade="80"/>
        </w:rPr>
        <w:lastRenderedPageBreak/>
        <w:t>SmartDose+ has the potential to become an innovative digital health intervention that improves medication adherence, supports self-management and enhances health outcomes for adults living with long-term conditions. By combining artificial intelligence with personalised medication support, the technology aligns with NHS priorities to expand digital healthcare, improve patient safety and reduce avoidable hospital admissions (NHS England, 2019). Furthermore, SmartDose+ could contribute to reducing health inequalities by providing accessible medication support for older adults and individuals managing multiple long-term conditions, provided appropriate training and digital support are available. However, successful implementation will require investment in digital infrastructure, robust data protection, patient education and healthcare professional training to ensure equitable access and public trust. Future research should evaluate the effectiveness, cost-effectiveness and long-term acceptability of SmartDose+ within NHS settings, while exploring its impact on medication adherence, patient safety and health inequalities. If successfully implemented, SmartDose+ could support future public health policy by promoting preventive, patient-centred and digitally enabled healthcare across the United Kingdom (World Health Organization, 2021; NHS England, 2021).</w:t>
      </w:r>
      <w:r w:rsidR="00D14D34">
        <w:rPr>
          <w:rFonts w:ascii="Arial" w:hAnsi="Arial" w:cs="Arial"/>
          <w:b/>
          <w:bCs/>
          <w:color w:val="414C15" w:themeColor="accent1" w:themeShade="80"/>
        </w:rPr>
        <w:t xml:space="preserve">   </w:t>
      </w:r>
    </w:p>
    <w:p w:rsidR="00D14D34" w:rsidP="008168DB" w:rsidRDefault="00D14D34" w14:paraId="487FC98A" w14:textId="77777777">
      <w:pPr>
        <w:rPr>
          <w:rFonts w:ascii="Arial" w:hAnsi="Arial" w:cs="Arial"/>
          <w:b/>
          <w:bCs/>
          <w:color w:val="414C15" w:themeColor="accent1" w:themeShade="80"/>
        </w:rPr>
      </w:pPr>
    </w:p>
    <w:p w:rsidR="00D14D34" w:rsidP="008168DB" w:rsidRDefault="00D14D34" w14:paraId="2A802581" w14:textId="77777777">
      <w:pPr>
        <w:rPr>
          <w:rFonts w:ascii="Arial" w:hAnsi="Arial" w:cs="Arial"/>
          <w:b/>
          <w:bCs/>
          <w:color w:val="414C15" w:themeColor="accent1" w:themeShade="80"/>
        </w:rPr>
      </w:pPr>
    </w:p>
    <w:p w:rsidR="00D14D34" w:rsidP="008168DB" w:rsidRDefault="00D14D34" w14:paraId="4C7EA8E8" w14:textId="77777777">
      <w:pPr>
        <w:rPr>
          <w:rFonts w:ascii="Arial" w:hAnsi="Arial" w:cs="Arial"/>
          <w:b/>
          <w:bCs/>
          <w:color w:val="414C15" w:themeColor="accent1" w:themeShade="80"/>
        </w:rPr>
      </w:pPr>
    </w:p>
    <w:p w:rsidR="6874A26D" w:rsidP="6874A26D" w:rsidRDefault="6874A26D" w14:paraId="75D67FDB" w14:textId="7116B82C">
      <w:pPr>
        <w:pStyle w:val="Normal"/>
        <w:rPr>
          <w:rFonts w:ascii="Arial" w:hAnsi="Arial" w:cs="Arial"/>
          <w:b w:val="1"/>
          <w:bCs w:val="1"/>
          <w:color w:val="000000" w:themeColor="text1" w:themeTint="FF" w:themeShade="FF"/>
        </w:rPr>
      </w:pPr>
    </w:p>
    <w:p w:rsidR="6874A26D" w:rsidP="6874A26D" w:rsidRDefault="6874A26D" w14:paraId="6478614A" w14:textId="4C3F5EC8">
      <w:pPr>
        <w:pStyle w:val="Normal"/>
        <w:rPr>
          <w:rFonts w:ascii="Arial" w:hAnsi="Arial" w:cs="Arial"/>
          <w:b w:val="1"/>
          <w:bCs w:val="1"/>
          <w:color w:val="000000" w:themeColor="text1" w:themeTint="FF" w:themeShade="FF"/>
        </w:rPr>
      </w:pPr>
    </w:p>
    <w:p w:rsidR="6874A26D" w:rsidP="6874A26D" w:rsidRDefault="6874A26D" w14:paraId="63E01597" w14:textId="4AC649FD">
      <w:pPr>
        <w:pStyle w:val="Normal"/>
        <w:rPr>
          <w:rFonts w:ascii="Arial" w:hAnsi="Arial" w:cs="Arial"/>
          <w:b w:val="1"/>
          <w:bCs w:val="1"/>
          <w:color w:val="000000" w:themeColor="text1" w:themeTint="FF" w:themeShade="FF"/>
        </w:rPr>
      </w:pPr>
    </w:p>
    <w:p w:rsidR="6874A26D" w:rsidP="6874A26D" w:rsidRDefault="6874A26D" w14:paraId="1AD6A0E1" w14:textId="2AEB397A">
      <w:pPr>
        <w:pStyle w:val="Normal"/>
        <w:rPr>
          <w:rFonts w:ascii="Arial" w:hAnsi="Arial" w:cs="Arial"/>
          <w:b w:val="1"/>
          <w:bCs w:val="1"/>
          <w:color w:val="000000" w:themeColor="text1" w:themeTint="FF" w:themeShade="FF"/>
        </w:rPr>
      </w:pPr>
    </w:p>
    <w:p w:rsidR="6874A26D" w:rsidP="6874A26D" w:rsidRDefault="6874A26D" w14:paraId="4471F976" w14:textId="7BCB5642">
      <w:pPr>
        <w:pStyle w:val="Normal"/>
        <w:rPr>
          <w:rFonts w:ascii="Arial" w:hAnsi="Arial" w:cs="Arial"/>
          <w:b w:val="1"/>
          <w:bCs w:val="1"/>
          <w:color w:val="000000" w:themeColor="text1" w:themeTint="FF" w:themeShade="FF"/>
        </w:rPr>
      </w:pPr>
    </w:p>
    <w:p w:rsidR="6874A26D" w:rsidP="6874A26D" w:rsidRDefault="6874A26D" w14:paraId="6CE3B03F" w14:textId="09CC38AE">
      <w:pPr>
        <w:pStyle w:val="Normal"/>
        <w:rPr>
          <w:rFonts w:ascii="Arial" w:hAnsi="Arial" w:cs="Arial"/>
          <w:b w:val="1"/>
          <w:bCs w:val="1"/>
          <w:color w:val="000000" w:themeColor="text1" w:themeTint="FF" w:themeShade="FF"/>
        </w:rPr>
      </w:pPr>
    </w:p>
    <w:p w:rsidR="6874A26D" w:rsidP="6874A26D" w:rsidRDefault="6874A26D" w14:paraId="001D45F7" w14:textId="06CED2E1">
      <w:pPr>
        <w:pStyle w:val="Normal"/>
        <w:rPr>
          <w:rFonts w:ascii="Arial" w:hAnsi="Arial" w:cs="Arial"/>
          <w:b w:val="1"/>
          <w:bCs w:val="1"/>
          <w:color w:val="000000" w:themeColor="text1" w:themeTint="FF" w:themeShade="FF"/>
        </w:rPr>
      </w:pPr>
    </w:p>
    <w:p w:rsidR="6874A26D" w:rsidP="6874A26D" w:rsidRDefault="6874A26D" w14:paraId="44A3A452" w14:textId="1119B950">
      <w:pPr>
        <w:pStyle w:val="Normal"/>
        <w:rPr>
          <w:rFonts w:ascii="Arial" w:hAnsi="Arial" w:cs="Arial"/>
          <w:b w:val="1"/>
          <w:bCs w:val="1"/>
          <w:color w:val="000000" w:themeColor="text1" w:themeTint="FF" w:themeShade="FF"/>
        </w:rPr>
      </w:pPr>
    </w:p>
    <w:p w:rsidR="6874A26D" w:rsidP="6874A26D" w:rsidRDefault="6874A26D" w14:paraId="1FCAB607" w14:textId="45F24FFE">
      <w:pPr>
        <w:pStyle w:val="Normal"/>
        <w:rPr>
          <w:rFonts w:ascii="Arial" w:hAnsi="Arial" w:cs="Arial"/>
          <w:b w:val="1"/>
          <w:bCs w:val="1"/>
          <w:color w:val="000000" w:themeColor="text1" w:themeTint="FF" w:themeShade="FF"/>
        </w:rPr>
      </w:pPr>
    </w:p>
    <w:p w:rsidR="6874A26D" w:rsidP="6874A26D" w:rsidRDefault="6874A26D" w14:paraId="3EE0DCAB" w14:textId="5BE0C31C">
      <w:pPr>
        <w:pStyle w:val="Normal"/>
        <w:rPr>
          <w:rFonts w:ascii="Arial" w:hAnsi="Arial" w:cs="Arial"/>
          <w:b w:val="1"/>
          <w:bCs w:val="1"/>
          <w:color w:val="000000" w:themeColor="text1" w:themeTint="FF" w:themeShade="FF"/>
        </w:rPr>
      </w:pPr>
    </w:p>
    <w:p w:rsidR="00D14D34" w:rsidP="6874A26D" w:rsidRDefault="00D14D34" w14:paraId="4BA9389B" w14:textId="4640D3B7">
      <w:pPr>
        <w:pStyle w:val="Normal"/>
        <w:rPr>
          <w:rFonts w:ascii="Arial" w:hAnsi="Arial" w:cs="Arial"/>
          <w:b w:val="1"/>
          <w:bCs w:val="1"/>
          <w:color w:val="000000" w:themeColor="text1"/>
        </w:rPr>
      </w:pPr>
      <w:r w:rsidRPr="6874A26D" w:rsidR="5FEB60D5">
        <w:rPr>
          <w:rFonts w:ascii="Arial" w:hAnsi="Arial" w:cs="Arial"/>
          <w:b w:val="1"/>
          <w:bCs w:val="1"/>
          <w:color w:val="000000" w:themeColor="text1" w:themeTint="FF" w:themeShade="FF"/>
        </w:rPr>
        <w:t xml:space="preserve">Reference List </w:t>
      </w:r>
      <w:r w:rsidRPr="6874A26D" w:rsidR="5FEB60D5">
        <w:rPr>
          <w:rFonts w:ascii="Arial" w:hAnsi="Arial" w:cs="Arial"/>
          <w:b w:val="1"/>
          <w:bCs w:val="1"/>
          <w:color w:val="000000" w:themeColor="text1" w:themeTint="FF" w:themeShade="FF"/>
        </w:rPr>
        <w:t xml:space="preserve"> </w:t>
      </w:r>
    </w:p>
    <w:p w:rsidRPr="005B2398" w:rsidR="005B2398" w:rsidP="005B2398" w:rsidRDefault="005B2398" w14:paraId="4A6BCD15" w14:textId="77777777">
      <w:pPr>
        <w:rPr>
          <w:rFonts w:ascii="Arial" w:hAnsi="Arial" w:cs="Arial"/>
          <w:color w:val="000000" w:themeColor="text1"/>
        </w:rPr>
      </w:pPr>
      <w:r w:rsidRPr="005B2398">
        <w:rPr>
          <w:rFonts w:ascii="Arial" w:hAnsi="Arial" w:cs="Arial"/>
          <w:color w:val="000000" w:themeColor="text1"/>
        </w:rPr>
        <w:t xml:space="preserve">Ahmed, I., Ahmad, N.S., Ali, S., Ali, F., et al. (2018) ‘Medication adherence apps: Review and content analysis’, </w:t>
      </w:r>
      <w:r w:rsidRPr="005B2398">
        <w:rPr>
          <w:rFonts w:ascii="Arial" w:hAnsi="Arial" w:cs="Arial"/>
          <w:i/>
          <w:iCs/>
          <w:color w:val="000000" w:themeColor="text1"/>
        </w:rPr>
        <w:t xml:space="preserve">JMIR mHealth and </w:t>
      </w:r>
      <w:proofErr w:type="spellStart"/>
      <w:r w:rsidRPr="005B2398">
        <w:rPr>
          <w:rFonts w:ascii="Arial" w:hAnsi="Arial" w:cs="Arial"/>
          <w:i/>
          <w:iCs/>
          <w:color w:val="000000" w:themeColor="text1"/>
        </w:rPr>
        <w:t>uHealth</w:t>
      </w:r>
      <w:proofErr w:type="spellEnd"/>
      <w:r w:rsidRPr="005B2398">
        <w:rPr>
          <w:rFonts w:ascii="Arial" w:hAnsi="Arial" w:cs="Arial"/>
          <w:color w:val="000000" w:themeColor="text1"/>
        </w:rPr>
        <w:t>, 6(3), e62.</w:t>
      </w:r>
    </w:p>
    <w:p w:rsidRPr="005B2398" w:rsidR="005B2398" w:rsidP="005B2398" w:rsidRDefault="005B2398" w14:paraId="24A77792" w14:textId="77777777">
      <w:pPr>
        <w:rPr>
          <w:rFonts w:ascii="Arial" w:hAnsi="Arial" w:cs="Arial"/>
          <w:color w:val="000000" w:themeColor="text1"/>
        </w:rPr>
      </w:pPr>
      <w:r w:rsidRPr="005B2398">
        <w:rPr>
          <w:rFonts w:ascii="Arial" w:hAnsi="Arial" w:cs="Arial"/>
          <w:color w:val="000000" w:themeColor="text1"/>
        </w:rPr>
        <w:t xml:space="preserve">Armitage, L.C., </w:t>
      </w:r>
      <w:proofErr w:type="spellStart"/>
      <w:r w:rsidRPr="005B2398">
        <w:rPr>
          <w:rFonts w:ascii="Arial" w:hAnsi="Arial" w:cs="Arial"/>
          <w:color w:val="000000" w:themeColor="text1"/>
        </w:rPr>
        <w:t>Kassavou</w:t>
      </w:r>
      <w:proofErr w:type="spellEnd"/>
      <w:r w:rsidRPr="005B2398">
        <w:rPr>
          <w:rFonts w:ascii="Arial" w:hAnsi="Arial" w:cs="Arial"/>
          <w:color w:val="000000" w:themeColor="text1"/>
        </w:rPr>
        <w:t xml:space="preserve">, A. and Sutton, S. (2020) ‘Do mobile device apps designed to support medication adherence demonstrate efficacy? A systematic review of randomised controlled trials, with meta-analysis’, </w:t>
      </w:r>
      <w:r w:rsidRPr="005B2398">
        <w:rPr>
          <w:rFonts w:ascii="Arial" w:hAnsi="Arial" w:cs="Arial"/>
          <w:i/>
          <w:iCs/>
          <w:color w:val="000000" w:themeColor="text1"/>
        </w:rPr>
        <w:t>BMJ Open</w:t>
      </w:r>
      <w:r w:rsidRPr="005B2398">
        <w:rPr>
          <w:rFonts w:ascii="Arial" w:hAnsi="Arial" w:cs="Arial"/>
          <w:color w:val="000000" w:themeColor="text1"/>
        </w:rPr>
        <w:t>, 10(1), e032045.</w:t>
      </w:r>
    </w:p>
    <w:p w:rsidRPr="005B2398" w:rsidR="005B2398" w:rsidP="005B2398" w:rsidRDefault="005B2398" w14:paraId="47A2E6D1" w14:textId="77777777">
      <w:pPr>
        <w:rPr>
          <w:rFonts w:ascii="Arial" w:hAnsi="Arial" w:cs="Arial"/>
          <w:color w:val="000000" w:themeColor="text1"/>
        </w:rPr>
      </w:pPr>
      <w:r w:rsidRPr="005B2398">
        <w:rPr>
          <w:rFonts w:ascii="Arial" w:hAnsi="Arial" w:cs="Arial"/>
          <w:color w:val="000000" w:themeColor="text1"/>
        </w:rPr>
        <w:t xml:space="preserve">Health Education England (2019) </w:t>
      </w:r>
      <w:r w:rsidRPr="005B2398">
        <w:rPr>
          <w:rFonts w:ascii="Arial" w:hAnsi="Arial" w:cs="Arial"/>
          <w:i/>
          <w:iCs/>
          <w:color w:val="000000" w:themeColor="text1"/>
        </w:rPr>
        <w:t>The Topol Review: Preparing the healthcare workforce to deliver the digital future</w:t>
      </w:r>
      <w:r w:rsidRPr="005B2398">
        <w:rPr>
          <w:rFonts w:ascii="Arial" w:hAnsi="Arial" w:cs="Arial"/>
          <w:color w:val="000000" w:themeColor="text1"/>
        </w:rPr>
        <w:t xml:space="preserve">. London: Health Education England. </w:t>
      </w:r>
    </w:p>
    <w:p w:rsidRPr="005B2398" w:rsidR="005B2398" w:rsidP="005B2398" w:rsidRDefault="005B2398" w14:paraId="4F7DC467" w14:textId="77777777">
      <w:pPr>
        <w:rPr>
          <w:rFonts w:ascii="Arial" w:hAnsi="Arial" w:cs="Arial"/>
          <w:color w:val="000000" w:themeColor="text1"/>
        </w:rPr>
      </w:pPr>
      <w:r w:rsidRPr="005B2398">
        <w:rPr>
          <w:rFonts w:ascii="Arial" w:hAnsi="Arial" w:cs="Arial"/>
          <w:color w:val="000000" w:themeColor="text1"/>
        </w:rPr>
        <w:t xml:space="preserve">Institute of Health Equity (2020) </w:t>
      </w:r>
      <w:r w:rsidRPr="005B2398">
        <w:rPr>
          <w:rFonts w:ascii="Arial" w:hAnsi="Arial" w:cs="Arial"/>
          <w:i/>
          <w:iCs/>
          <w:color w:val="000000" w:themeColor="text1"/>
        </w:rPr>
        <w:t>Health Equity in England: The Marmot Review 10 Years On</w:t>
      </w:r>
      <w:r w:rsidRPr="005B2398">
        <w:rPr>
          <w:rFonts w:ascii="Arial" w:hAnsi="Arial" w:cs="Arial"/>
          <w:color w:val="000000" w:themeColor="text1"/>
        </w:rPr>
        <w:t>. London: Institute of Health Equity.</w:t>
      </w:r>
    </w:p>
    <w:p w:rsidRPr="005B2398" w:rsidR="005B2398" w:rsidP="005B2398" w:rsidRDefault="005B2398" w14:paraId="26E49383" w14:textId="77777777">
      <w:pPr>
        <w:rPr>
          <w:rFonts w:ascii="Arial" w:hAnsi="Arial" w:cs="Arial"/>
          <w:color w:val="000000" w:themeColor="text1"/>
        </w:rPr>
      </w:pPr>
      <w:r w:rsidRPr="005B2398">
        <w:rPr>
          <w:rFonts w:ascii="Arial" w:hAnsi="Arial" w:cs="Arial"/>
          <w:color w:val="000000" w:themeColor="text1"/>
        </w:rPr>
        <w:t xml:space="preserve">Michie, S., van Stralen, M.M. and West, R. (2011) ‘The behaviour change wheel: A new method for characterising and designing behaviour change interventions’, </w:t>
      </w:r>
      <w:r w:rsidRPr="005B2398">
        <w:rPr>
          <w:rFonts w:ascii="Arial" w:hAnsi="Arial" w:cs="Arial"/>
          <w:i/>
          <w:iCs/>
          <w:color w:val="000000" w:themeColor="text1"/>
        </w:rPr>
        <w:t>Implementation Science</w:t>
      </w:r>
      <w:r w:rsidRPr="005B2398">
        <w:rPr>
          <w:rFonts w:ascii="Arial" w:hAnsi="Arial" w:cs="Arial"/>
          <w:color w:val="000000" w:themeColor="text1"/>
        </w:rPr>
        <w:t>, 6, 42.</w:t>
      </w:r>
    </w:p>
    <w:p w:rsidRPr="005B2398" w:rsidR="005B2398" w:rsidP="005B2398" w:rsidRDefault="005B2398" w14:paraId="29FBD83E" w14:textId="77777777">
      <w:pPr>
        <w:rPr>
          <w:rFonts w:ascii="Arial" w:hAnsi="Arial" w:cs="Arial"/>
          <w:color w:val="000000" w:themeColor="text1"/>
        </w:rPr>
      </w:pPr>
      <w:r w:rsidRPr="005B2398">
        <w:rPr>
          <w:rFonts w:ascii="Arial" w:hAnsi="Arial" w:cs="Arial"/>
          <w:color w:val="000000" w:themeColor="text1"/>
        </w:rPr>
        <w:t xml:space="preserve">Naidoo, J. and Wills, J. (2016) </w:t>
      </w:r>
      <w:r w:rsidRPr="005B2398">
        <w:rPr>
          <w:rFonts w:ascii="Arial" w:hAnsi="Arial" w:cs="Arial"/>
          <w:i/>
          <w:iCs/>
          <w:color w:val="000000" w:themeColor="text1"/>
        </w:rPr>
        <w:t>Foundations for Health Promotion</w:t>
      </w:r>
      <w:r w:rsidRPr="005B2398">
        <w:rPr>
          <w:rFonts w:ascii="Arial" w:hAnsi="Arial" w:cs="Arial"/>
          <w:color w:val="000000" w:themeColor="text1"/>
        </w:rPr>
        <w:t xml:space="preserve">. 4th </w:t>
      </w:r>
      <w:proofErr w:type="spellStart"/>
      <w:r w:rsidRPr="005B2398">
        <w:rPr>
          <w:rFonts w:ascii="Arial" w:hAnsi="Arial" w:cs="Arial"/>
          <w:color w:val="000000" w:themeColor="text1"/>
        </w:rPr>
        <w:t>edn</w:t>
      </w:r>
      <w:proofErr w:type="spellEnd"/>
      <w:r w:rsidRPr="005B2398">
        <w:rPr>
          <w:rFonts w:ascii="Arial" w:hAnsi="Arial" w:cs="Arial"/>
          <w:color w:val="000000" w:themeColor="text1"/>
        </w:rPr>
        <w:t>. London: Elsevier.</w:t>
      </w:r>
    </w:p>
    <w:p w:rsidRPr="005B2398" w:rsidR="005B2398" w:rsidP="005B2398" w:rsidRDefault="005B2398" w14:paraId="3DA37939" w14:textId="77777777">
      <w:pPr>
        <w:rPr>
          <w:rFonts w:ascii="Arial" w:hAnsi="Arial" w:cs="Arial"/>
          <w:color w:val="000000" w:themeColor="text1"/>
        </w:rPr>
      </w:pPr>
      <w:r w:rsidRPr="005B2398">
        <w:rPr>
          <w:rFonts w:ascii="Arial" w:hAnsi="Arial" w:cs="Arial"/>
          <w:color w:val="000000" w:themeColor="text1"/>
        </w:rPr>
        <w:t xml:space="preserve">National Institute for Health and Care Excellence (2009) </w:t>
      </w:r>
      <w:r w:rsidRPr="005B2398">
        <w:rPr>
          <w:rFonts w:ascii="Arial" w:hAnsi="Arial" w:cs="Arial"/>
          <w:i/>
          <w:iCs/>
          <w:color w:val="000000" w:themeColor="text1"/>
        </w:rPr>
        <w:t>Medicines adherence: Involving patients in decisions about prescribed medicines and supporting adherence (CG76).</w:t>
      </w:r>
      <w:r w:rsidRPr="005B2398">
        <w:rPr>
          <w:rFonts w:ascii="Arial" w:hAnsi="Arial" w:cs="Arial"/>
          <w:color w:val="000000" w:themeColor="text1"/>
        </w:rPr>
        <w:t xml:space="preserve"> London: NICE.</w:t>
      </w:r>
    </w:p>
    <w:p w:rsidRPr="005B2398" w:rsidR="005B2398" w:rsidP="005B2398" w:rsidRDefault="005B2398" w14:paraId="436E4A1C" w14:textId="77777777">
      <w:pPr>
        <w:rPr>
          <w:rFonts w:ascii="Arial" w:hAnsi="Arial" w:cs="Arial"/>
          <w:color w:val="000000" w:themeColor="text1"/>
        </w:rPr>
      </w:pPr>
      <w:r w:rsidRPr="005B2398">
        <w:rPr>
          <w:rFonts w:ascii="Arial" w:hAnsi="Arial" w:cs="Arial"/>
          <w:color w:val="000000" w:themeColor="text1"/>
        </w:rPr>
        <w:t xml:space="preserve">National Institute for Health and Care Excellence (2015) </w:t>
      </w:r>
      <w:r w:rsidRPr="005B2398">
        <w:rPr>
          <w:rFonts w:ascii="Arial" w:hAnsi="Arial" w:cs="Arial"/>
          <w:i/>
          <w:iCs/>
          <w:color w:val="000000" w:themeColor="text1"/>
        </w:rPr>
        <w:t>Medicines optimisation: The safe and effective use of medicines to enable the best possible outcomes (NG5).</w:t>
      </w:r>
      <w:r w:rsidRPr="005B2398">
        <w:rPr>
          <w:rFonts w:ascii="Arial" w:hAnsi="Arial" w:cs="Arial"/>
          <w:color w:val="000000" w:themeColor="text1"/>
        </w:rPr>
        <w:t xml:space="preserve"> London: NICE.</w:t>
      </w:r>
    </w:p>
    <w:p w:rsidRPr="005B2398" w:rsidR="005B2398" w:rsidP="005B2398" w:rsidRDefault="005B2398" w14:paraId="791DFC2B" w14:textId="77777777">
      <w:pPr>
        <w:rPr>
          <w:rFonts w:ascii="Arial" w:hAnsi="Arial" w:cs="Arial"/>
          <w:color w:val="000000" w:themeColor="text1"/>
        </w:rPr>
      </w:pPr>
      <w:r w:rsidRPr="005B2398">
        <w:rPr>
          <w:rFonts w:ascii="Arial" w:hAnsi="Arial" w:cs="Arial"/>
          <w:color w:val="000000" w:themeColor="text1"/>
        </w:rPr>
        <w:t xml:space="preserve">NHS England (2019) </w:t>
      </w:r>
      <w:r w:rsidRPr="005B2398">
        <w:rPr>
          <w:rFonts w:ascii="Arial" w:hAnsi="Arial" w:cs="Arial"/>
          <w:i/>
          <w:iCs/>
          <w:color w:val="000000" w:themeColor="text1"/>
        </w:rPr>
        <w:t>The NHS Long Term Plan</w:t>
      </w:r>
      <w:r w:rsidRPr="005B2398">
        <w:rPr>
          <w:rFonts w:ascii="Arial" w:hAnsi="Arial" w:cs="Arial"/>
          <w:color w:val="000000" w:themeColor="text1"/>
        </w:rPr>
        <w:t>. London: NHS England.</w:t>
      </w:r>
    </w:p>
    <w:p w:rsidRPr="005B2398" w:rsidR="005B2398" w:rsidP="005B2398" w:rsidRDefault="005B2398" w14:paraId="0E600253" w14:textId="77777777">
      <w:pPr>
        <w:rPr>
          <w:rFonts w:ascii="Arial" w:hAnsi="Arial" w:cs="Arial"/>
          <w:color w:val="000000" w:themeColor="text1"/>
        </w:rPr>
      </w:pPr>
      <w:r w:rsidRPr="005B2398">
        <w:rPr>
          <w:rFonts w:ascii="Arial" w:hAnsi="Arial" w:cs="Arial"/>
          <w:color w:val="000000" w:themeColor="text1"/>
        </w:rPr>
        <w:t xml:space="preserve">NHS England (2021) </w:t>
      </w:r>
      <w:r w:rsidRPr="005B2398">
        <w:rPr>
          <w:rFonts w:ascii="Arial" w:hAnsi="Arial" w:cs="Arial"/>
          <w:i/>
          <w:iCs/>
          <w:color w:val="000000" w:themeColor="text1"/>
        </w:rPr>
        <w:t>Core20PLUS5: An Approach to Reducing Healthcare Inequalities</w:t>
      </w:r>
      <w:r w:rsidRPr="005B2398">
        <w:rPr>
          <w:rFonts w:ascii="Arial" w:hAnsi="Arial" w:cs="Arial"/>
          <w:color w:val="000000" w:themeColor="text1"/>
        </w:rPr>
        <w:t>. London: NHS England.</w:t>
      </w:r>
    </w:p>
    <w:p w:rsidRPr="005B2398" w:rsidR="005B2398" w:rsidP="005B2398" w:rsidRDefault="005B2398" w14:paraId="1445D1A4" w14:textId="77777777">
      <w:pPr>
        <w:rPr>
          <w:rFonts w:ascii="Arial" w:hAnsi="Arial" w:cs="Arial"/>
          <w:color w:val="000000" w:themeColor="text1"/>
        </w:rPr>
      </w:pPr>
      <w:r w:rsidRPr="005B2398">
        <w:rPr>
          <w:rFonts w:ascii="Arial" w:hAnsi="Arial" w:cs="Arial"/>
          <w:color w:val="000000" w:themeColor="text1"/>
        </w:rPr>
        <w:t xml:space="preserve">World Health Organization (1986) </w:t>
      </w:r>
      <w:r w:rsidRPr="005B2398">
        <w:rPr>
          <w:rFonts w:ascii="Arial" w:hAnsi="Arial" w:cs="Arial"/>
          <w:i/>
          <w:iCs/>
          <w:color w:val="000000" w:themeColor="text1"/>
        </w:rPr>
        <w:t>Ottawa Charter for Health Promotion</w:t>
      </w:r>
      <w:r w:rsidRPr="005B2398">
        <w:rPr>
          <w:rFonts w:ascii="Arial" w:hAnsi="Arial" w:cs="Arial"/>
          <w:color w:val="000000" w:themeColor="text1"/>
        </w:rPr>
        <w:t>. Geneva: World Health Organization.</w:t>
      </w:r>
    </w:p>
    <w:p w:rsidRPr="005B2398" w:rsidR="005B2398" w:rsidP="005B2398" w:rsidRDefault="005B2398" w14:paraId="55884FDA" w14:textId="77777777">
      <w:pPr>
        <w:rPr>
          <w:rFonts w:ascii="Arial" w:hAnsi="Arial" w:cs="Arial"/>
          <w:color w:val="000000" w:themeColor="text1"/>
        </w:rPr>
      </w:pPr>
      <w:r w:rsidRPr="005B2398">
        <w:rPr>
          <w:rFonts w:ascii="Arial" w:hAnsi="Arial" w:cs="Arial"/>
          <w:color w:val="000000" w:themeColor="text1"/>
        </w:rPr>
        <w:t xml:space="preserve">World Health Organization (2003) </w:t>
      </w:r>
      <w:r w:rsidRPr="005B2398">
        <w:rPr>
          <w:rFonts w:ascii="Arial" w:hAnsi="Arial" w:cs="Arial"/>
          <w:i/>
          <w:iCs/>
          <w:color w:val="000000" w:themeColor="text1"/>
        </w:rPr>
        <w:t>Adherence to Long-Term Therapies: Evidence for Action</w:t>
      </w:r>
      <w:r w:rsidRPr="005B2398">
        <w:rPr>
          <w:rFonts w:ascii="Arial" w:hAnsi="Arial" w:cs="Arial"/>
          <w:color w:val="000000" w:themeColor="text1"/>
        </w:rPr>
        <w:t>. Geneva: World Health Organization.</w:t>
      </w:r>
    </w:p>
    <w:p w:rsidRPr="005B2398" w:rsidR="005B2398" w:rsidP="005B2398" w:rsidRDefault="005B2398" w14:paraId="696C3EC7" w14:textId="77777777">
      <w:pPr>
        <w:rPr>
          <w:rFonts w:ascii="Arial" w:hAnsi="Arial" w:cs="Arial"/>
          <w:color w:val="000000" w:themeColor="text1"/>
        </w:rPr>
      </w:pPr>
      <w:r w:rsidRPr="005B2398">
        <w:rPr>
          <w:rFonts w:ascii="Arial" w:hAnsi="Arial" w:cs="Arial"/>
          <w:color w:val="000000" w:themeColor="text1"/>
        </w:rPr>
        <w:t xml:space="preserve">World Health Organization (2021) </w:t>
      </w:r>
      <w:r w:rsidRPr="005B2398">
        <w:rPr>
          <w:rFonts w:ascii="Arial" w:hAnsi="Arial" w:cs="Arial"/>
          <w:i/>
          <w:iCs/>
          <w:color w:val="000000" w:themeColor="text1"/>
        </w:rPr>
        <w:t>Global Strategy on Digital Health 2020–2025</w:t>
      </w:r>
      <w:r w:rsidRPr="005B2398">
        <w:rPr>
          <w:rFonts w:ascii="Arial" w:hAnsi="Arial" w:cs="Arial"/>
          <w:color w:val="000000" w:themeColor="text1"/>
        </w:rPr>
        <w:t xml:space="preserve">. Geneva: World Health Organization. </w:t>
      </w:r>
    </w:p>
    <w:p w:rsidRPr="005B2398" w:rsidR="005B2398" w:rsidP="005B2398" w:rsidRDefault="005B2398" w14:paraId="78B1374D" w14:textId="77777777">
      <w:pPr>
        <w:rPr>
          <w:rFonts w:ascii="Arial" w:hAnsi="Arial" w:cs="Arial"/>
          <w:color w:val="000000" w:themeColor="text1"/>
        </w:rPr>
      </w:pPr>
      <w:r w:rsidRPr="005B2398">
        <w:rPr>
          <w:rFonts w:ascii="Arial" w:hAnsi="Arial" w:cs="Arial"/>
          <w:color w:val="000000" w:themeColor="text1"/>
        </w:rPr>
        <w:lastRenderedPageBreak/>
        <w:t xml:space="preserve">World Health Organization (2023) </w:t>
      </w:r>
      <w:r w:rsidRPr="005B2398">
        <w:rPr>
          <w:rFonts w:ascii="Arial" w:hAnsi="Arial" w:cs="Arial"/>
          <w:i/>
          <w:iCs/>
          <w:color w:val="000000" w:themeColor="text1"/>
        </w:rPr>
        <w:t>Global Report on Hypertension: The Race Against a Silent Killer</w:t>
      </w:r>
      <w:r w:rsidRPr="005B2398">
        <w:rPr>
          <w:rFonts w:ascii="Arial" w:hAnsi="Arial" w:cs="Arial"/>
          <w:color w:val="000000" w:themeColor="text1"/>
        </w:rPr>
        <w:t>. Geneva: World Health Organization.</w:t>
      </w:r>
    </w:p>
    <w:p w:rsidRPr="005B2398" w:rsidR="005B2398" w:rsidP="005B2398" w:rsidRDefault="005B2398" w14:paraId="41A36B1A" w14:textId="77777777">
      <w:pPr>
        <w:rPr>
          <w:rFonts w:ascii="Arial" w:hAnsi="Arial" w:cs="Arial"/>
          <w:color w:val="000000" w:themeColor="text1"/>
        </w:rPr>
      </w:pPr>
      <w:r w:rsidRPr="005B2398">
        <w:rPr>
          <w:rFonts w:ascii="Arial" w:hAnsi="Arial" w:cs="Arial"/>
          <w:color w:val="000000" w:themeColor="text1"/>
        </w:rPr>
        <w:t xml:space="preserve">Wu, M., Xue, Y. and Ma, C. (2025) ‘The association between the digital divide and health inequalities among older adults in China: Nationally representative cross-sectional survey’, </w:t>
      </w:r>
      <w:r w:rsidRPr="005B2398">
        <w:rPr>
          <w:rFonts w:ascii="Arial" w:hAnsi="Arial" w:cs="Arial"/>
          <w:i/>
          <w:iCs/>
          <w:color w:val="000000" w:themeColor="text1"/>
        </w:rPr>
        <w:t>Journal of Medical Internet Research</w:t>
      </w:r>
      <w:r w:rsidRPr="005B2398">
        <w:rPr>
          <w:rFonts w:ascii="Arial" w:hAnsi="Arial" w:cs="Arial"/>
          <w:color w:val="000000" w:themeColor="text1"/>
        </w:rPr>
        <w:t>, 27, e62645.</w:t>
      </w:r>
    </w:p>
    <w:p w:rsidRPr="00D14D34" w:rsidR="00D14D34" w:rsidP="008168DB" w:rsidRDefault="005B2398" w14:paraId="2B873C4A" w14:textId="5F8B71E9">
      <w:pPr>
        <w:rPr>
          <w:rFonts w:ascii="Arial" w:hAnsi="Arial" w:cs="Arial"/>
          <w:b/>
          <w:bCs/>
          <w:color w:val="000000" w:themeColor="text1"/>
        </w:rPr>
      </w:pPr>
      <w:r>
        <w:rPr>
          <w:rFonts w:ascii="Arial" w:hAnsi="Arial" w:cs="Arial"/>
          <w:b/>
          <w:bCs/>
          <w:color w:val="000000" w:themeColor="text1"/>
        </w:rPr>
        <w:t xml:space="preserve"> </w:t>
      </w:r>
    </w:p>
    <w:p w:rsidRPr="008168DB" w:rsidR="00D14D34" w:rsidP="008168DB" w:rsidRDefault="00D14D34" w14:paraId="3989B99D" w14:textId="77777777">
      <w:pPr>
        <w:rPr>
          <w:rFonts w:ascii="Arial" w:hAnsi="Arial" w:cs="Arial"/>
          <w:b/>
          <w:bCs/>
          <w:color w:val="414C15" w:themeColor="accent1" w:themeShade="80"/>
        </w:rPr>
      </w:pPr>
    </w:p>
    <w:p w:rsidRPr="008168DB" w:rsidR="008168DB" w:rsidP="008168DB" w:rsidRDefault="008168DB" w14:paraId="22842941" w14:textId="02813179">
      <w:pPr>
        <w:rPr>
          <w:rFonts w:ascii="ADLaM Display" w:hAnsi="ADLaM Display" w:cs="ADLaM Display"/>
          <w:b/>
          <w:bCs/>
          <w:color w:val="0070C0"/>
          <w:sz w:val="28"/>
          <w:szCs w:val="28"/>
        </w:rPr>
      </w:pPr>
      <w:r>
        <w:rPr>
          <w:rFonts w:ascii="ADLaM Display" w:hAnsi="ADLaM Display" w:cs="ADLaM Display"/>
          <w:b/>
          <w:bCs/>
          <w:color w:val="0070C0"/>
          <w:sz w:val="28"/>
          <w:szCs w:val="28"/>
        </w:rPr>
        <w:t xml:space="preserve"> </w:t>
      </w:r>
    </w:p>
    <w:p w:rsidRPr="001E36FA" w:rsidR="001E36FA" w:rsidP="001E36FA" w:rsidRDefault="008168DB" w14:paraId="2909D10B" w14:textId="01FC35CD">
      <w:pPr>
        <w:rPr>
          <w:rFonts w:ascii="ADLaM Display" w:hAnsi="ADLaM Display" w:cs="ADLaM Display"/>
          <w:color w:val="792C26" w:themeColor="accent4" w:themeShade="BF"/>
          <w:sz w:val="28"/>
          <w:szCs w:val="28"/>
        </w:rPr>
      </w:pPr>
      <w:r>
        <w:rPr>
          <w:rFonts w:ascii="ADLaM Display" w:hAnsi="ADLaM Display" w:cs="ADLaM Display"/>
          <w:color w:val="792C26" w:themeColor="accent4" w:themeShade="BF"/>
          <w:sz w:val="28"/>
          <w:szCs w:val="28"/>
        </w:rPr>
        <w:t xml:space="preserve"> </w:t>
      </w:r>
    </w:p>
    <w:p w:rsidRPr="001E36FA" w:rsidR="001E36FA" w:rsidP="001E36FA" w:rsidRDefault="001E36FA" w14:paraId="46FCEE0F" w14:textId="33479900">
      <w:pPr>
        <w:rPr>
          <w:rFonts w:ascii="ADLaM Display" w:hAnsi="ADLaM Display" w:cs="ADLaM Display"/>
          <w:color w:val="2D7153" w:themeColor="accent2" w:themeShade="BF"/>
          <w:sz w:val="28"/>
          <w:szCs w:val="28"/>
        </w:rPr>
      </w:pPr>
      <w:r>
        <w:rPr>
          <w:rFonts w:ascii="ADLaM Display" w:hAnsi="ADLaM Display" w:cs="ADLaM Display"/>
          <w:color w:val="2D7153" w:themeColor="accent2" w:themeShade="BF"/>
          <w:sz w:val="28"/>
          <w:szCs w:val="28"/>
        </w:rPr>
        <w:t xml:space="preserve"> </w:t>
      </w:r>
    </w:p>
    <w:p w:rsidRPr="00EC4FBC" w:rsidR="00EC4FBC" w:rsidRDefault="001E36FA" w14:paraId="4597FB3C" w14:textId="49254B38">
      <w:pPr>
        <w:rPr>
          <w:rFonts w:ascii="ADLaM Display" w:hAnsi="ADLaM Display" w:cs="ADLaM Display"/>
          <w:color w:val="A23C33" w:themeColor="accent4"/>
          <w:sz w:val="28"/>
          <w:szCs w:val="28"/>
        </w:rPr>
      </w:pPr>
      <w:r>
        <w:rPr>
          <w:rFonts w:ascii="ADLaM Display" w:hAnsi="ADLaM Display" w:cs="ADLaM Display"/>
          <w:color w:val="A23C33" w:themeColor="accent4"/>
          <w:sz w:val="28"/>
          <w:szCs w:val="28"/>
        </w:rPr>
        <w:t xml:space="preserve"> </w:t>
      </w:r>
    </w:p>
    <w:sectPr w:rsidRPr="00EC4FBC" w:rsidR="00EC4FBC" w:rsidSect="0079026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26D"/>
    <w:rsid w:val="0014531D"/>
    <w:rsid w:val="001E36FA"/>
    <w:rsid w:val="004C70B7"/>
    <w:rsid w:val="005B2398"/>
    <w:rsid w:val="0079026D"/>
    <w:rsid w:val="007D527E"/>
    <w:rsid w:val="008168DB"/>
    <w:rsid w:val="00963E22"/>
    <w:rsid w:val="00C95B9A"/>
    <w:rsid w:val="00CD1632"/>
    <w:rsid w:val="00D14D34"/>
    <w:rsid w:val="00EC4FBC"/>
    <w:rsid w:val="00F15CA0"/>
    <w:rsid w:val="1284FF34"/>
    <w:rsid w:val="1A767D18"/>
    <w:rsid w:val="40EDA3C7"/>
    <w:rsid w:val="40F9EB39"/>
    <w:rsid w:val="52660594"/>
    <w:rsid w:val="539AF856"/>
    <w:rsid w:val="5E0FC91F"/>
    <w:rsid w:val="5FEB60D5"/>
    <w:rsid w:val="6874A26D"/>
    <w:rsid w:val="75A223BC"/>
    <w:rsid w:val="7ACCA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478A3"/>
  <w15:chartTrackingRefBased/>
  <w15:docId w15:val="{046D8DEF-AB25-48BD-8F31-7409D3D44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9026D"/>
    <w:pPr>
      <w:keepNext/>
      <w:keepLines/>
      <w:spacing w:before="360" w:after="80"/>
      <w:outlineLvl w:val="0"/>
    </w:pPr>
    <w:rPr>
      <w:rFonts w:asciiTheme="majorHAnsi" w:hAnsiTheme="majorHAnsi" w:eastAsiaTheme="majorEastAsia" w:cstheme="majorBidi"/>
      <w:color w:val="61721F" w:themeColor="accent1" w:themeShade="BF"/>
      <w:sz w:val="40"/>
      <w:szCs w:val="40"/>
    </w:rPr>
  </w:style>
  <w:style w:type="paragraph" w:styleId="Heading2">
    <w:name w:val="heading 2"/>
    <w:basedOn w:val="Normal"/>
    <w:next w:val="Normal"/>
    <w:link w:val="Heading2Char"/>
    <w:uiPriority w:val="9"/>
    <w:semiHidden/>
    <w:unhideWhenUsed/>
    <w:qFormat/>
    <w:rsid w:val="0079026D"/>
    <w:pPr>
      <w:keepNext/>
      <w:keepLines/>
      <w:spacing w:before="160" w:after="80"/>
      <w:outlineLvl w:val="1"/>
    </w:pPr>
    <w:rPr>
      <w:rFonts w:asciiTheme="majorHAnsi" w:hAnsiTheme="majorHAnsi" w:eastAsiaTheme="majorEastAsia" w:cstheme="majorBidi"/>
      <w:color w:val="61721F" w:themeColor="accent1" w:themeShade="BF"/>
      <w:sz w:val="32"/>
      <w:szCs w:val="32"/>
    </w:rPr>
  </w:style>
  <w:style w:type="paragraph" w:styleId="Heading3">
    <w:name w:val="heading 3"/>
    <w:basedOn w:val="Normal"/>
    <w:next w:val="Normal"/>
    <w:link w:val="Heading3Char"/>
    <w:uiPriority w:val="9"/>
    <w:semiHidden/>
    <w:unhideWhenUsed/>
    <w:qFormat/>
    <w:rsid w:val="0079026D"/>
    <w:pPr>
      <w:keepNext/>
      <w:keepLines/>
      <w:spacing w:before="160" w:after="80"/>
      <w:outlineLvl w:val="2"/>
    </w:pPr>
    <w:rPr>
      <w:rFonts w:eastAsiaTheme="majorEastAsia" w:cstheme="majorBidi"/>
      <w:color w:val="61721F" w:themeColor="accent1" w:themeShade="BF"/>
      <w:sz w:val="28"/>
      <w:szCs w:val="28"/>
    </w:rPr>
  </w:style>
  <w:style w:type="paragraph" w:styleId="Heading4">
    <w:name w:val="heading 4"/>
    <w:basedOn w:val="Normal"/>
    <w:next w:val="Normal"/>
    <w:link w:val="Heading4Char"/>
    <w:uiPriority w:val="9"/>
    <w:semiHidden/>
    <w:unhideWhenUsed/>
    <w:qFormat/>
    <w:rsid w:val="0079026D"/>
    <w:pPr>
      <w:keepNext/>
      <w:keepLines/>
      <w:spacing w:before="80" w:after="40"/>
      <w:outlineLvl w:val="3"/>
    </w:pPr>
    <w:rPr>
      <w:rFonts w:eastAsiaTheme="majorEastAsia" w:cstheme="majorBidi"/>
      <w:i/>
      <w:iCs/>
      <w:color w:val="61721F" w:themeColor="accent1" w:themeShade="BF"/>
    </w:rPr>
  </w:style>
  <w:style w:type="paragraph" w:styleId="Heading5">
    <w:name w:val="heading 5"/>
    <w:basedOn w:val="Normal"/>
    <w:next w:val="Normal"/>
    <w:link w:val="Heading5Char"/>
    <w:uiPriority w:val="9"/>
    <w:semiHidden/>
    <w:unhideWhenUsed/>
    <w:qFormat/>
    <w:rsid w:val="0079026D"/>
    <w:pPr>
      <w:keepNext/>
      <w:keepLines/>
      <w:spacing w:before="80" w:after="40"/>
      <w:outlineLvl w:val="4"/>
    </w:pPr>
    <w:rPr>
      <w:rFonts w:eastAsiaTheme="majorEastAsia" w:cstheme="majorBidi"/>
      <w:color w:val="61721F" w:themeColor="accent1" w:themeShade="BF"/>
    </w:rPr>
  </w:style>
  <w:style w:type="paragraph" w:styleId="Heading6">
    <w:name w:val="heading 6"/>
    <w:basedOn w:val="Normal"/>
    <w:next w:val="Normal"/>
    <w:link w:val="Heading6Char"/>
    <w:uiPriority w:val="9"/>
    <w:semiHidden/>
    <w:unhideWhenUsed/>
    <w:qFormat/>
    <w:rsid w:val="007902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02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02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026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9026D"/>
    <w:rPr>
      <w:rFonts w:asciiTheme="majorHAnsi" w:hAnsiTheme="majorHAnsi" w:eastAsiaTheme="majorEastAsia" w:cstheme="majorBidi"/>
      <w:color w:val="61721F" w:themeColor="accent1" w:themeShade="BF"/>
      <w:sz w:val="40"/>
      <w:szCs w:val="40"/>
    </w:rPr>
  </w:style>
  <w:style w:type="character" w:styleId="Heading2Char" w:customStyle="1">
    <w:name w:val="Heading 2 Char"/>
    <w:basedOn w:val="DefaultParagraphFont"/>
    <w:link w:val="Heading2"/>
    <w:uiPriority w:val="9"/>
    <w:semiHidden/>
    <w:rsid w:val="0079026D"/>
    <w:rPr>
      <w:rFonts w:asciiTheme="majorHAnsi" w:hAnsiTheme="majorHAnsi" w:eastAsiaTheme="majorEastAsia" w:cstheme="majorBidi"/>
      <w:color w:val="61721F" w:themeColor="accent1" w:themeShade="BF"/>
      <w:sz w:val="32"/>
      <w:szCs w:val="32"/>
    </w:rPr>
  </w:style>
  <w:style w:type="character" w:styleId="Heading3Char" w:customStyle="1">
    <w:name w:val="Heading 3 Char"/>
    <w:basedOn w:val="DefaultParagraphFont"/>
    <w:link w:val="Heading3"/>
    <w:uiPriority w:val="9"/>
    <w:semiHidden/>
    <w:rsid w:val="0079026D"/>
    <w:rPr>
      <w:rFonts w:eastAsiaTheme="majorEastAsia" w:cstheme="majorBidi"/>
      <w:color w:val="61721F" w:themeColor="accent1" w:themeShade="BF"/>
      <w:sz w:val="28"/>
      <w:szCs w:val="28"/>
    </w:rPr>
  </w:style>
  <w:style w:type="character" w:styleId="Heading4Char" w:customStyle="1">
    <w:name w:val="Heading 4 Char"/>
    <w:basedOn w:val="DefaultParagraphFont"/>
    <w:link w:val="Heading4"/>
    <w:uiPriority w:val="9"/>
    <w:semiHidden/>
    <w:rsid w:val="0079026D"/>
    <w:rPr>
      <w:rFonts w:eastAsiaTheme="majorEastAsia" w:cstheme="majorBidi"/>
      <w:i/>
      <w:iCs/>
      <w:color w:val="61721F" w:themeColor="accent1" w:themeShade="BF"/>
    </w:rPr>
  </w:style>
  <w:style w:type="character" w:styleId="Heading5Char" w:customStyle="1">
    <w:name w:val="Heading 5 Char"/>
    <w:basedOn w:val="DefaultParagraphFont"/>
    <w:link w:val="Heading5"/>
    <w:uiPriority w:val="9"/>
    <w:semiHidden/>
    <w:rsid w:val="0079026D"/>
    <w:rPr>
      <w:rFonts w:eastAsiaTheme="majorEastAsia" w:cstheme="majorBidi"/>
      <w:color w:val="61721F" w:themeColor="accent1" w:themeShade="BF"/>
    </w:rPr>
  </w:style>
  <w:style w:type="character" w:styleId="Heading6Char" w:customStyle="1">
    <w:name w:val="Heading 6 Char"/>
    <w:basedOn w:val="DefaultParagraphFont"/>
    <w:link w:val="Heading6"/>
    <w:uiPriority w:val="9"/>
    <w:semiHidden/>
    <w:rsid w:val="0079026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9026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9026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9026D"/>
    <w:rPr>
      <w:rFonts w:eastAsiaTheme="majorEastAsia" w:cstheme="majorBidi"/>
      <w:color w:val="272727" w:themeColor="text1" w:themeTint="D8"/>
    </w:rPr>
  </w:style>
  <w:style w:type="paragraph" w:styleId="Title">
    <w:name w:val="Title"/>
    <w:basedOn w:val="Normal"/>
    <w:next w:val="Normal"/>
    <w:link w:val="TitleChar"/>
    <w:uiPriority w:val="10"/>
    <w:qFormat/>
    <w:rsid w:val="0079026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9026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9026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902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026D"/>
    <w:pPr>
      <w:spacing w:before="160"/>
      <w:jc w:val="center"/>
    </w:pPr>
    <w:rPr>
      <w:i/>
      <w:iCs/>
      <w:color w:val="404040" w:themeColor="text1" w:themeTint="BF"/>
    </w:rPr>
  </w:style>
  <w:style w:type="character" w:styleId="QuoteChar" w:customStyle="1">
    <w:name w:val="Quote Char"/>
    <w:basedOn w:val="DefaultParagraphFont"/>
    <w:link w:val="Quote"/>
    <w:uiPriority w:val="29"/>
    <w:rsid w:val="0079026D"/>
    <w:rPr>
      <w:i/>
      <w:iCs/>
      <w:color w:val="404040" w:themeColor="text1" w:themeTint="BF"/>
    </w:rPr>
  </w:style>
  <w:style w:type="paragraph" w:styleId="ListParagraph">
    <w:name w:val="List Paragraph"/>
    <w:basedOn w:val="Normal"/>
    <w:uiPriority w:val="34"/>
    <w:qFormat/>
    <w:rsid w:val="0079026D"/>
    <w:pPr>
      <w:ind w:left="720"/>
      <w:contextualSpacing/>
    </w:pPr>
  </w:style>
  <w:style w:type="character" w:styleId="IntenseEmphasis">
    <w:name w:val="Intense Emphasis"/>
    <w:basedOn w:val="DefaultParagraphFont"/>
    <w:uiPriority w:val="21"/>
    <w:qFormat/>
    <w:rsid w:val="0079026D"/>
    <w:rPr>
      <w:i/>
      <w:iCs/>
      <w:color w:val="61721F" w:themeColor="accent1" w:themeShade="BF"/>
    </w:rPr>
  </w:style>
  <w:style w:type="paragraph" w:styleId="IntenseQuote">
    <w:name w:val="Intense Quote"/>
    <w:basedOn w:val="Normal"/>
    <w:next w:val="Normal"/>
    <w:link w:val="IntenseQuoteChar"/>
    <w:uiPriority w:val="30"/>
    <w:qFormat/>
    <w:rsid w:val="0079026D"/>
    <w:pPr>
      <w:pBdr>
        <w:top w:val="single" w:color="61721F" w:themeColor="accent1" w:themeShade="BF" w:sz="4" w:space="10"/>
        <w:bottom w:val="single" w:color="61721F" w:themeColor="accent1" w:themeShade="BF" w:sz="4" w:space="10"/>
      </w:pBdr>
      <w:spacing w:before="360" w:after="360"/>
      <w:ind w:left="864" w:right="864"/>
      <w:jc w:val="center"/>
    </w:pPr>
    <w:rPr>
      <w:i/>
      <w:iCs/>
      <w:color w:val="61721F" w:themeColor="accent1" w:themeShade="BF"/>
    </w:rPr>
  </w:style>
  <w:style w:type="character" w:styleId="IntenseQuoteChar" w:customStyle="1">
    <w:name w:val="Intense Quote Char"/>
    <w:basedOn w:val="DefaultParagraphFont"/>
    <w:link w:val="IntenseQuote"/>
    <w:uiPriority w:val="30"/>
    <w:rsid w:val="0079026D"/>
    <w:rPr>
      <w:i/>
      <w:iCs/>
      <w:color w:val="61721F" w:themeColor="accent1" w:themeShade="BF"/>
    </w:rPr>
  </w:style>
  <w:style w:type="character" w:styleId="IntenseReference">
    <w:name w:val="Intense Reference"/>
    <w:basedOn w:val="DefaultParagraphFont"/>
    <w:uiPriority w:val="32"/>
    <w:qFormat/>
    <w:rsid w:val="0079026D"/>
    <w:rPr>
      <w:b/>
      <w:bCs/>
      <w:smallCaps/>
      <w:color w:val="61721F"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customXml" Target="../customXml/item3.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5.png" Id="rId11" /><Relationship Type="http://schemas.openxmlformats.org/officeDocument/2006/relationships/settings" Target="settings.xml" Id="rId5" /><Relationship Type="http://schemas.openxmlformats.org/officeDocument/2006/relationships/theme" Target="theme/theme1.xml" Id="rId15" /><Relationship Type="http://schemas.openxmlformats.org/officeDocument/2006/relationships/image" Target="media/image4.png" Id="rId10" /><Relationship Type="http://schemas.openxmlformats.org/officeDocument/2006/relationships/styles" Target="styles.xml" Id="rId4" /><Relationship Type="http://schemas.openxmlformats.org/officeDocument/2006/relationships/image" Target="media/image3.jpeg" Id="rId9" /><Relationship Type="http://schemas.openxmlformats.org/officeDocument/2006/relationships/fontTable" Target="fontTable.xml" Id="rId14" /></Relationships>
</file>

<file path=word/theme/_rels/theme1.xml.rels><?xml version="1.0" encoding="UTF-8" standalone="yes"?>
<Relationships xmlns="http://schemas.openxmlformats.org/package/2006/relationships"><Relationship Id="rId2" Type="http://schemas.openxmlformats.org/officeDocument/2006/relationships/image" Target="../media/image9.jpeg"/><Relationship Id="rId1" Type="http://schemas.openxmlformats.org/officeDocument/2006/relationships/image" Target="../media/image8.jpeg"/></Relationships>
</file>

<file path=word/theme/theme1.xml><?xml version="1.0" encoding="utf-8"?>
<a:theme xmlns:a="http://schemas.openxmlformats.org/drawingml/2006/main" xmlns:r="http://schemas.openxmlformats.org/officeDocument/2006/relationships" xmlns:thm15="http://schemas.microsoft.com/office/thememl/2012/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2c61b91364747aa1cc7dc800ed9eab2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3625f68cb3abfacf8046174809d8d3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30E168DB-9656-43EC-8F7C-BAB4A0683C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203E4E-62FA-46AA-B6C6-A9757BEF1341}">
  <ds:schemaRefs>
    <ds:schemaRef ds:uri="http://schemas.microsoft.com/sharepoint/v3/contenttype/forms"/>
  </ds:schemaRefs>
</ds:datastoreItem>
</file>

<file path=customXml/itemProps3.xml><?xml version="1.0" encoding="utf-8"?>
<ds:datastoreItem xmlns:ds="http://schemas.openxmlformats.org/officeDocument/2006/customXml" ds:itemID="{472E2438-D038-47EF-91EC-B569BBF891E6}">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Aleia Younis (2219526)</dc:creator>
  <keywords/>
  <dc:description/>
  <lastModifiedBy>Aleia Younis (2219526)</lastModifiedBy>
  <revision>3</revision>
  <dcterms:created xsi:type="dcterms:W3CDTF">2026-07-01T01:40:00.0000000Z</dcterms:created>
  <dcterms:modified xsi:type="dcterms:W3CDTF">2026-07-01T02:02:47.1932898Z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