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58B22" w14:textId="0FFD14CD" w:rsidR="00BF2811" w:rsidRPr="00BF2811" w:rsidRDefault="00BF2811" w:rsidP="00BF2811">
      <w:pPr>
        <w:pStyle w:val="NormalWeb"/>
        <w:spacing w:line="360" w:lineRule="auto"/>
        <w:rPr>
          <w:rFonts w:ascii="Arial" w:eastAsia="Times New Roman" w:hAnsi="Arial" w:cs="Arial"/>
          <w:sz w:val="22"/>
          <w:szCs w:val="22"/>
          <w:lang w:eastAsia="en-GB"/>
        </w:rPr>
      </w:pPr>
      <w:r>
        <w:rPr>
          <w:rFonts w:ascii="Arial" w:hAnsi="Arial" w:cs="Arial"/>
          <w:sz w:val="22"/>
          <w:szCs w:val="22"/>
        </w:rPr>
        <w:br/>
      </w:r>
      <w:r w:rsidRPr="00BF2811">
        <w:rPr>
          <w:rFonts w:ascii="Arial" w:hAnsi="Arial" w:cs="Arial"/>
          <w:sz w:val="22"/>
          <w:szCs w:val="22"/>
        </w:rPr>
        <w:br/>
        <w:t xml:space="preserve">Module: </w:t>
      </w:r>
      <w:r w:rsidRPr="00BF2811">
        <w:rPr>
          <w:rFonts w:ascii="Arial" w:eastAsia="Times New Roman" w:hAnsi="Arial" w:cs="Arial"/>
          <w:sz w:val="22"/>
          <w:szCs w:val="22"/>
          <w:lang w:eastAsia="en-GB"/>
        </w:rPr>
        <w:t xml:space="preserve">Introduction to Health and Social Care </w:t>
      </w:r>
      <w:r w:rsidRPr="00BF2811">
        <w:rPr>
          <w:rFonts w:ascii="Arial" w:eastAsia="Times New Roman" w:hAnsi="Arial" w:cs="Arial"/>
          <w:sz w:val="22"/>
          <w:szCs w:val="22"/>
          <w:lang w:eastAsia="en-GB"/>
        </w:rPr>
        <w:br/>
      </w:r>
    </w:p>
    <w:p w14:paraId="6959F1F3" w14:textId="77777777" w:rsidR="00BF2811" w:rsidRPr="00BF2811" w:rsidRDefault="00BF2811" w:rsidP="00BF2811">
      <w:pPr>
        <w:pStyle w:val="NormalWeb"/>
        <w:spacing w:line="360" w:lineRule="auto"/>
        <w:rPr>
          <w:rFonts w:eastAsia="Times New Roman"/>
          <w:lang w:eastAsia="en-GB"/>
        </w:rPr>
      </w:pPr>
      <w:r w:rsidRPr="00BF2811">
        <w:rPr>
          <w:rFonts w:ascii="Arial" w:eastAsia="Times New Roman" w:hAnsi="Arial" w:cs="Arial"/>
          <w:sz w:val="22"/>
          <w:szCs w:val="22"/>
          <w:lang w:eastAsia="en-GB"/>
        </w:rPr>
        <w:t xml:space="preserve">Module code:  </w:t>
      </w:r>
      <w:r w:rsidRPr="00BF2811">
        <w:rPr>
          <w:rFonts w:ascii="Arial" w:eastAsia="Times New Roman" w:hAnsi="Arial" w:cs="Arial"/>
          <w:b/>
          <w:bCs/>
          <w:sz w:val="22"/>
          <w:szCs w:val="22"/>
          <w:lang w:eastAsia="en-GB"/>
        </w:rPr>
        <w:t xml:space="preserve">LCHS4003 </w:t>
      </w:r>
    </w:p>
    <w:p w14:paraId="192F4359" w14:textId="77777777" w:rsidR="00BF2811" w:rsidRPr="00BF2811" w:rsidRDefault="00BF2811" w:rsidP="00BF2811">
      <w:pPr>
        <w:spacing w:before="100" w:beforeAutospacing="1" w:after="100" w:afterAutospacing="1" w:line="360" w:lineRule="auto"/>
        <w:rPr>
          <w:rFonts w:ascii="Arial" w:hAnsi="Arial" w:cs="Arial"/>
          <w:sz w:val="22"/>
          <w:szCs w:val="22"/>
        </w:rPr>
      </w:pPr>
      <w:r w:rsidRPr="00BF2811">
        <w:rPr>
          <w:rFonts w:ascii="Arial" w:eastAsia="Times New Roman" w:hAnsi="Arial" w:cs="Arial"/>
          <w:sz w:val="22"/>
          <w:szCs w:val="22"/>
          <w:lang w:eastAsia="en-GB"/>
        </w:rPr>
        <w:t xml:space="preserve">Lecturer: </w:t>
      </w:r>
      <w:r>
        <w:rPr>
          <w:rFonts w:ascii="Arial" w:eastAsia="Times New Roman" w:hAnsi="Arial" w:cs="Arial"/>
          <w:sz w:val="22"/>
          <w:szCs w:val="22"/>
          <w:lang w:eastAsia="en-GB"/>
        </w:rPr>
        <w:t xml:space="preserve"> </w:t>
      </w:r>
      <w:r w:rsidRPr="00BF2811">
        <w:rPr>
          <w:rFonts w:ascii="Arial" w:hAnsi="Arial" w:cs="Arial"/>
          <w:b/>
          <w:bCs/>
          <w:sz w:val="22"/>
          <w:szCs w:val="22"/>
          <w:lang w:val="en-US"/>
        </w:rPr>
        <w:t>Farah Wiita</w:t>
      </w:r>
      <w:r w:rsidRPr="00BF2811">
        <w:rPr>
          <w:rFonts w:ascii="Arial" w:hAnsi="Arial" w:cs="Arial"/>
          <w:sz w:val="22"/>
          <w:szCs w:val="22"/>
          <w:lang w:val="en-US"/>
        </w:rPr>
        <w:t>​</w:t>
      </w:r>
    </w:p>
    <w:p w14:paraId="158542AB" w14:textId="77777777" w:rsidR="00BF2811" w:rsidRPr="00BF2811" w:rsidRDefault="00BF2811" w:rsidP="00BF2811">
      <w:pPr>
        <w:spacing w:before="100" w:beforeAutospacing="1" w:after="100" w:afterAutospacing="1" w:line="360" w:lineRule="auto"/>
        <w:rPr>
          <w:rFonts w:ascii="Arial" w:hAnsi="Arial" w:cs="Arial"/>
          <w:sz w:val="22"/>
          <w:szCs w:val="22"/>
        </w:rPr>
      </w:pPr>
      <w:r w:rsidRPr="00BF2811">
        <w:rPr>
          <w:rFonts w:ascii="Arial" w:eastAsia="Times New Roman" w:hAnsi="Arial" w:cs="Arial"/>
          <w:sz w:val="22"/>
          <w:szCs w:val="22"/>
          <w:lang w:eastAsia="en-GB"/>
        </w:rPr>
        <w:t xml:space="preserve">Student name: </w:t>
      </w:r>
      <w:r>
        <w:rPr>
          <w:rFonts w:ascii="Arial" w:eastAsia="Times New Roman" w:hAnsi="Arial" w:cs="Arial"/>
          <w:sz w:val="22"/>
          <w:szCs w:val="22"/>
          <w:lang w:eastAsia="en-GB"/>
        </w:rPr>
        <w:t xml:space="preserve"> </w:t>
      </w:r>
      <w:r w:rsidRPr="00BF2811">
        <w:rPr>
          <w:rFonts w:ascii="Arial" w:hAnsi="Arial" w:cs="Arial"/>
          <w:b/>
          <w:bCs/>
          <w:sz w:val="22"/>
          <w:szCs w:val="22"/>
          <w:lang w:val="en-US"/>
        </w:rPr>
        <w:t>Aladdin Mohammed</w:t>
      </w:r>
      <w:r w:rsidRPr="00BF2811">
        <w:rPr>
          <w:rFonts w:ascii="Arial" w:hAnsi="Arial" w:cs="Arial"/>
          <w:sz w:val="22"/>
          <w:szCs w:val="22"/>
          <w:lang w:val="en-US"/>
        </w:rPr>
        <w:t>​</w:t>
      </w:r>
    </w:p>
    <w:p w14:paraId="1177B531" w14:textId="77777777" w:rsidR="00BF2811" w:rsidRPr="00BF2811" w:rsidRDefault="00BF2811" w:rsidP="00BF2811">
      <w:pPr>
        <w:spacing w:before="100" w:beforeAutospacing="1" w:after="100" w:afterAutospacing="1" w:line="360" w:lineRule="auto"/>
        <w:rPr>
          <w:rFonts w:ascii="Arial" w:hAnsi="Arial" w:cs="Arial"/>
          <w:sz w:val="22"/>
          <w:szCs w:val="22"/>
        </w:rPr>
      </w:pPr>
      <w:r w:rsidRPr="00BF2811">
        <w:rPr>
          <w:rFonts w:ascii="Arial" w:eastAsia="Times New Roman" w:hAnsi="Arial" w:cs="Arial"/>
          <w:sz w:val="22"/>
          <w:szCs w:val="22"/>
          <w:lang w:eastAsia="en-GB"/>
        </w:rPr>
        <w:t xml:space="preserve">Student ID number: </w:t>
      </w:r>
      <w:r>
        <w:rPr>
          <w:rFonts w:ascii="Arial" w:eastAsia="Times New Roman" w:hAnsi="Arial" w:cs="Arial"/>
          <w:sz w:val="22"/>
          <w:szCs w:val="22"/>
          <w:lang w:eastAsia="en-GB"/>
        </w:rPr>
        <w:t xml:space="preserve"> </w:t>
      </w:r>
      <w:r w:rsidRPr="00BF2811">
        <w:rPr>
          <w:rFonts w:ascii="Arial" w:hAnsi="Arial" w:cs="Arial"/>
          <w:b/>
          <w:bCs/>
          <w:sz w:val="22"/>
          <w:szCs w:val="22"/>
          <w:lang w:val="en-US"/>
        </w:rPr>
        <w:t>2410516</w:t>
      </w:r>
      <w:r w:rsidRPr="00BF2811">
        <w:rPr>
          <w:rFonts w:ascii="Arial" w:hAnsi="Arial" w:cs="Arial"/>
          <w:sz w:val="22"/>
          <w:szCs w:val="22"/>
          <w:lang w:val="en-US"/>
        </w:rPr>
        <w:t>​</w:t>
      </w:r>
    </w:p>
    <w:p w14:paraId="20EB0F74" w14:textId="2AD2D18B" w:rsidR="00BF2811" w:rsidRPr="00BF2811" w:rsidRDefault="00BF2811" w:rsidP="00BF2811">
      <w:pPr>
        <w:spacing w:before="100" w:beforeAutospacing="1" w:after="100" w:afterAutospacing="1"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Data : </w:t>
      </w:r>
      <w:r w:rsidRPr="00BF2811">
        <w:rPr>
          <w:rFonts w:ascii="Arial" w:eastAsia="Times New Roman" w:hAnsi="Arial" w:cs="Arial"/>
          <w:b/>
          <w:bCs/>
          <w:sz w:val="22"/>
          <w:szCs w:val="22"/>
          <w:lang w:eastAsia="en-GB"/>
        </w:rPr>
        <w:t>17 / 11/ 25</w:t>
      </w:r>
    </w:p>
    <w:p w14:paraId="4BA764F5" w14:textId="3AA3DBE9" w:rsidR="00BF2811" w:rsidRDefault="00BF2811" w:rsidP="00BF2811">
      <w:pPr>
        <w:spacing w:before="100" w:beforeAutospacing="1" w:after="100" w:afterAutospacing="1" w:line="360" w:lineRule="auto"/>
        <w:rPr>
          <w:rFonts w:ascii="Arial" w:eastAsia="Times New Roman" w:hAnsi="Arial" w:cs="Arial"/>
          <w:b/>
          <w:bCs/>
          <w:sz w:val="22"/>
          <w:szCs w:val="22"/>
          <w:lang w:eastAsia="en-GB"/>
        </w:rPr>
      </w:pPr>
    </w:p>
    <w:p w14:paraId="74BC0EF3" w14:textId="77777777" w:rsidR="00BF2811" w:rsidRPr="00BF2811" w:rsidRDefault="00BF2811" w:rsidP="00BF2811">
      <w:pPr>
        <w:spacing w:before="100" w:beforeAutospacing="1" w:after="100" w:afterAutospacing="1"/>
        <w:rPr>
          <w:rFonts w:ascii="Times New Roman" w:eastAsia="Times New Roman" w:hAnsi="Times New Roman" w:cs="Times New Roman"/>
          <w:lang w:eastAsia="en-GB"/>
        </w:rPr>
      </w:pPr>
    </w:p>
    <w:p w14:paraId="7B13C18E" w14:textId="77777777" w:rsidR="00BF2811" w:rsidRPr="00BF2811" w:rsidRDefault="00BF2811" w:rsidP="00BF2811">
      <w:pPr>
        <w:pStyle w:val="NormalWeb"/>
        <w:rPr>
          <w:rFonts w:eastAsia="Times New Roman"/>
          <w:lang w:eastAsia="en-GB"/>
        </w:rPr>
      </w:pPr>
    </w:p>
    <w:p w14:paraId="35EB6BEC" w14:textId="441750AC" w:rsidR="00BF2811" w:rsidRPr="00BF2811" w:rsidRDefault="00BF2811" w:rsidP="00BF2811">
      <w:pPr>
        <w:spacing w:line="360" w:lineRule="auto"/>
        <w:ind w:left="720"/>
        <w:rPr>
          <w:rFonts w:ascii="Arial" w:hAnsi="Arial" w:cs="Arial"/>
          <w:sz w:val="22"/>
          <w:szCs w:val="22"/>
        </w:rPr>
      </w:pPr>
    </w:p>
    <w:p w14:paraId="0E8975DA" w14:textId="239806B1" w:rsidR="00BF2811" w:rsidRPr="00BF2811" w:rsidRDefault="00BF2811" w:rsidP="00BF2811">
      <w:pPr>
        <w:spacing w:line="360" w:lineRule="auto"/>
        <w:ind w:left="720"/>
        <w:rPr>
          <w:rFonts w:ascii="Arial" w:hAnsi="Arial" w:cs="Arial"/>
          <w:sz w:val="22"/>
          <w:szCs w:val="22"/>
        </w:rPr>
      </w:pPr>
      <w:r>
        <w:rPr>
          <w:rFonts w:ascii="Arial" w:hAnsi="Arial" w:cs="Arial"/>
          <w:sz w:val="22"/>
          <w:szCs w:val="22"/>
        </w:rPr>
        <w:br/>
      </w:r>
    </w:p>
    <w:p w14:paraId="0373C156" w14:textId="4A7AF0D4" w:rsidR="00B85394" w:rsidRDefault="00B85394" w:rsidP="004A4108">
      <w:pPr>
        <w:spacing w:line="360" w:lineRule="auto"/>
        <w:rPr>
          <w:rFonts w:ascii="Arial" w:hAnsi="Arial" w:cs="Arial"/>
          <w:sz w:val="22"/>
          <w:szCs w:val="22"/>
        </w:rPr>
      </w:pPr>
    </w:p>
    <w:p w14:paraId="4F84BF62" w14:textId="77777777" w:rsidR="00B85394" w:rsidRDefault="00B85394" w:rsidP="004A4108">
      <w:pPr>
        <w:spacing w:line="360" w:lineRule="auto"/>
        <w:rPr>
          <w:rFonts w:ascii="Arial" w:hAnsi="Arial" w:cs="Arial"/>
          <w:sz w:val="22"/>
          <w:szCs w:val="22"/>
        </w:rPr>
      </w:pPr>
      <w:r>
        <w:rPr>
          <w:rFonts w:ascii="Arial" w:hAnsi="Arial" w:cs="Arial"/>
          <w:sz w:val="22"/>
          <w:szCs w:val="22"/>
        </w:rPr>
        <w:br w:type="page"/>
      </w:r>
    </w:p>
    <w:p w14:paraId="1085D5D8" w14:textId="3846B7DC" w:rsidR="00B85394" w:rsidRPr="00B85394" w:rsidRDefault="00B85394" w:rsidP="004A4108">
      <w:pPr>
        <w:spacing w:line="360" w:lineRule="auto"/>
        <w:rPr>
          <w:rFonts w:ascii="Arial" w:hAnsi="Arial" w:cs="Arial"/>
          <w:sz w:val="22"/>
          <w:szCs w:val="22"/>
        </w:rPr>
      </w:pPr>
      <w:r w:rsidRPr="00B85394">
        <w:rPr>
          <w:rFonts w:ascii="Arial" w:hAnsi="Arial" w:cs="Arial"/>
          <w:b/>
          <w:bCs/>
          <w:sz w:val="22"/>
          <w:szCs w:val="22"/>
          <w:u w:val="single"/>
        </w:rPr>
        <w:t>Task 1</w:t>
      </w:r>
      <w:r w:rsidRPr="00B85394">
        <w:rPr>
          <w:rFonts w:ascii="Arial" w:hAnsi="Arial" w:cs="Arial"/>
          <w:sz w:val="22"/>
          <w:szCs w:val="22"/>
        </w:rPr>
        <w:br/>
      </w:r>
      <w:r w:rsidRPr="00B85394">
        <w:rPr>
          <w:rFonts w:ascii="Arial" w:hAnsi="Arial" w:cs="Arial"/>
          <w:sz w:val="22"/>
          <w:szCs w:val="22"/>
        </w:rPr>
        <w:br/>
        <w:t xml:space="preserve">1: Introduction </w:t>
      </w:r>
      <w:r w:rsidRPr="00B85394">
        <w:rPr>
          <w:rFonts w:ascii="Arial" w:hAnsi="Arial" w:cs="Arial"/>
          <w:sz w:val="22"/>
          <w:szCs w:val="22"/>
        </w:rPr>
        <w:br/>
      </w:r>
      <w:r>
        <w:rPr>
          <w:rFonts w:ascii="Arial" w:hAnsi="Arial" w:cs="Arial"/>
          <w:sz w:val="22"/>
          <w:szCs w:val="22"/>
        </w:rPr>
        <w:br/>
      </w:r>
      <w:r>
        <w:rPr>
          <w:rFonts w:ascii="Arial" w:hAnsi="Arial" w:cs="Arial"/>
          <w:sz w:val="22"/>
          <w:szCs w:val="22"/>
        </w:rPr>
        <w:br/>
      </w:r>
      <w:r w:rsidRPr="00B85394">
        <w:rPr>
          <w:rFonts w:ascii="Arial" w:hAnsi="Arial" w:cs="Arial"/>
          <w:sz w:val="22"/>
          <w:szCs w:val="22"/>
        </w:rPr>
        <w:t>Pharmacy services play an essential role in the UK health and social care system, providing not only medicines but also guidance, advice, and support to individuals across all stages of life. These services include community pharmacies, hospital pharmacies, and specialist provisions, all of which contribute to the safe and effective use of medications. The primary aim of pharmacy services is to promote health, prevent illness, and help patients manage both short-term and long-term health conditions. Beyond dispensing prescriptions, pharmacists advise on over-the-counter treatments, lifestyle choices, and public health initiatives, making them a vital link between patients and the wider healthcare system. The services cater to a diverse population, including children, adults, older people, and those living with chronic illnesses, ensuring that healthcare is accessible and responsive to individual needs.</w:t>
      </w:r>
    </w:p>
    <w:p w14:paraId="79697A0F" w14:textId="77777777" w:rsidR="00B85394" w:rsidRPr="00B85394" w:rsidRDefault="00B85394" w:rsidP="004A4108">
      <w:pPr>
        <w:spacing w:line="360" w:lineRule="auto"/>
        <w:rPr>
          <w:rFonts w:ascii="Arial" w:hAnsi="Arial" w:cs="Arial"/>
          <w:sz w:val="22"/>
          <w:szCs w:val="22"/>
        </w:rPr>
      </w:pPr>
      <w:r w:rsidRPr="00B85394">
        <w:rPr>
          <w:rFonts w:ascii="Arial" w:hAnsi="Arial" w:cs="Arial"/>
          <w:sz w:val="22"/>
          <w:szCs w:val="22"/>
        </w:rPr>
        <w:t>The National Health Service (NHS) forms the framework within which pharmacy services operate. Established in 1948, the NHS was created to provide universal access to healthcare, free at the point of delivery, and funded through taxation. Its foundation responded to the significant health inequalities and social challenges of post-World War II Britain, aiming to create a fair and comprehensive healthcare system for all. This essay will explore the origins of the NHS, the key principles guiding its creation, and its current organisational structure, including primary, secondary, and community care. Furthermore, it will critically examine how the NHS functions today, considering both its achievements and ongoing challenges such as workforce pressures and increasing demand for services. By connecting the role of pharmacy services to the broader NHS structure, this introduction highlights the interdependence of individual services and national systems, illustrating how both contribute to the delivery of accessible, high-quality healthcare across the United Kingdom.</w:t>
      </w:r>
    </w:p>
    <w:p w14:paraId="5E60BCD3" w14:textId="5E7C934C" w:rsidR="00B85394" w:rsidRPr="00B85394" w:rsidRDefault="00B85394" w:rsidP="004A4108">
      <w:pPr>
        <w:spacing w:line="360" w:lineRule="auto"/>
        <w:rPr>
          <w:rFonts w:ascii="Arial" w:hAnsi="Arial" w:cs="Arial"/>
          <w:sz w:val="22"/>
          <w:szCs w:val="22"/>
        </w:rPr>
      </w:pPr>
      <w:r w:rsidRPr="00B85394">
        <w:rPr>
          <w:rFonts w:ascii="Arial" w:hAnsi="Arial" w:cs="Arial"/>
          <w:sz w:val="22"/>
          <w:szCs w:val="22"/>
        </w:rPr>
        <w:br/>
      </w:r>
    </w:p>
    <w:p w14:paraId="4A65286C" w14:textId="4038E011" w:rsidR="00B85394" w:rsidRPr="00B85394" w:rsidRDefault="00B85394" w:rsidP="004A4108">
      <w:pPr>
        <w:spacing w:line="360" w:lineRule="auto"/>
        <w:rPr>
          <w:rFonts w:ascii="Arial" w:hAnsi="Arial" w:cs="Arial"/>
          <w:sz w:val="22"/>
          <w:szCs w:val="22"/>
        </w:rPr>
      </w:pPr>
    </w:p>
    <w:p w14:paraId="08CD06AC" w14:textId="77777777" w:rsidR="00193A69" w:rsidRPr="00193A69" w:rsidRDefault="00B85394" w:rsidP="004A4108">
      <w:pPr>
        <w:spacing w:line="360" w:lineRule="auto"/>
        <w:rPr>
          <w:rFonts w:ascii="Arial" w:eastAsia="Times New Roman" w:hAnsi="Arial" w:cs="Arial"/>
          <w:sz w:val="22"/>
          <w:szCs w:val="22"/>
          <w:lang w:eastAsia="en-GB"/>
        </w:rPr>
      </w:pPr>
      <w:r w:rsidRPr="00B85394">
        <w:rPr>
          <w:rFonts w:ascii="Arial" w:eastAsia="Times New Roman" w:hAnsi="Arial" w:cs="Arial"/>
          <w:sz w:val="22"/>
          <w:szCs w:val="22"/>
          <w:lang w:eastAsia="en-GB"/>
        </w:rPr>
        <w:t>2: Brief History of the Service</w:t>
      </w:r>
      <w:r w:rsidR="00193A69">
        <w:rPr>
          <w:rFonts w:ascii="Arial" w:eastAsia="Times New Roman" w:hAnsi="Arial" w:cs="Arial"/>
          <w:sz w:val="22"/>
          <w:szCs w:val="22"/>
          <w:lang w:eastAsia="en-GB"/>
        </w:rPr>
        <w:br/>
      </w:r>
      <w:r w:rsidR="00193A69">
        <w:rPr>
          <w:rFonts w:ascii="Arial" w:eastAsia="Times New Roman" w:hAnsi="Arial" w:cs="Arial"/>
          <w:sz w:val="22"/>
          <w:szCs w:val="22"/>
          <w:lang w:eastAsia="en-GB"/>
        </w:rPr>
        <w:br/>
      </w:r>
      <w:r w:rsidR="00193A69" w:rsidRPr="00193A69">
        <w:rPr>
          <w:rFonts w:ascii="Arial" w:eastAsia="Times New Roman" w:hAnsi="Arial" w:cs="Arial"/>
          <w:sz w:val="22"/>
          <w:szCs w:val="22"/>
          <w:lang w:eastAsia="en-GB"/>
        </w:rPr>
        <w:t>Pharmacy services in the UK have a long and evolving history, with roots tracing back to early apothecaries who prepared and dispensed medicines for local communities. Over time, the profession became more regulated, with key milestones including the Pharmacy Act of 1868, which formalised standards for pharmacists and the safe supply of medicines. The creation of the National Health Service (NHS) in 1948 further transformed pharmacy services, integrating them into a publicly funded healthcare system and expanding access to essential medicines for all. In recent decades, pharmacy roles have continued to develop, moving beyond dispensing to include patient counselling, vaccination programmes, and chronic disease management. Legislative changes and professional standards have ensured that pharmacy services remain safe, accessible, and central to the UK’s health and social care system.</w:t>
      </w:r>
    </w:p>
    <w:p w14:paraId="2861053A" w14:textId="4A14E194" w:rsidR="00B85394" w:rsidRPr="00B85394" w:rsidRDefault="00193A69" w:rsidP="004A4108">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br/>
      </w:r>
      <w:r>
        <w:rPr>
          <w:rFonts w:ascii="Arial" w:eastAsia="Times New Roman" w:hAnsi="Arial" w:cs="Arial"/>
          <w:sz w:val="22"/>
          <w:szCs w:val="22"/>
          <w:lang w:eastAsia="en-GB"/>
        </w:rPr>
        <w:br/>
      </w:r>
      <w:r>
        <w:rPr>
          <w:rFonts w:ascii="Arial" w:eastAsia="Times New Roman" w:hAnsi="Arial" w:cs="Arial"/>
          <w:sz w:val="22"/>
          <w:szCs w:val="22"/>
          <w:lang w:eastAsia="en-GB"/>
        </w:rPr>
        <w:br/>
      </w:r>
    </w:p>
    <w:p w14:paraId="5905E00C" w14:textId="7C8E1014" w:rsidR="00193A69" w:rsidRPr="00193A69" w:rsidRDefault="00B85394" w:rsidP="004A4108">
      <w:pPr>
        <w:pStyle w:val="NormalWeb"/>
        <w:spacing w:line="360" w:lineRule="auto"/>
        <w:rPr>
          <w:rFonts w:ascii="Arial" w:eastAsia="Times New Roman" w:hAnsi="Arial" w:cs="Arial"/>
          <w:sz w:val="22"/>
          <w:szCs w:val="22"/>
          <w:lang w:eastAsia="en-GB"/>
        </w:rPr>
      </w:pPr>
      <w:r w:rsidRPr="00B85394">
        <w:rPr>
          <w:rFonts w:ascii="Arial" w:eastAsia="Times New Roman" w:hAnsi="Arial" w:cs="Arial"/>
          <w:sz w:val="22"/>
          <w:szCs w:val="22"/>
          <w:lang w:eastAsia="en-GB"/>
        </w:rPr>
        <w:t>3: Current Functioning of the Service</w:t>
      </w:r>
      <w:r w:rsidR="00193A69" w:rsidRPr="00193A69">
        <w:rPr>
          <w:rFonts w:ascii="Arial" w:eastAsia="Times New Roman" w:hAnsi="Arial" w:cs="Arial"/>
          <w:sz w:val="22"/>
          <w:szCs w:val="22"/>
          <w:lang w:eastAsia="en-GB"/>
        </w:rPr>
        <w:br/>
      </w:r>
      <w:r w:rsidR="00193A69" w:rsidRPr="00193A69">
        <w:rPr>
          <w:rFonts w:ascii="Arial" w:eastAsia="Times New Roman" w:hAnsi="Arial" w:cs="Arial"/>
          <w:sz w:val="22"/>
          <w:szCs w:val="22"/>
          <w:lang w:eastAsia="en-GB"/>
        </w:rPr>
        <w:br/>
        <w:t>Today, pharmacy services operate as an essential and accessible point of care within the UK health and social care system. Community pharmacies are often the first place people visit for health advice, offering services such as dispensing prescriptions, providing over-the-counter treatments, and giving guidance on minor illnesses. Many pharmacies now play a more active clinical role, supporting long-term condition management, delivering vaccinations, and offering medication reviews to ensure safe and effective use. Hospital pharmacies work closely with medical teams to prepare specialised medications and support patient treatment plans. Increasingly, pharmacists collaborate with GPs, nurses, and other professionals through integrated care systems to improve continuity of care. This evolving role allows pharmacy services to reduce pressure on GP practices and hospitals, while ensuring that patients receive timely, personalised support within their own communities.</w:t>
      </w:r>
    </w:p>
    <w:p w14:paraId="2583E56C" w14:textId="51712465" w:rsidR="00B85394" w:rsidRPr="00B85394" w:rsidRDefault="00193A69" w:rsidP="004A4108">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br/>
      </w:r>
    </w:p>
    <w:p w14:paraId="654E7BC1" w14:textId="77777777" w:rsidR="00193A69" w:rsidRPr="00193A69" w:rsidRDefault="00B85394" w:rsidP="004A4108">
      <w:pPr>
        <w:spacing w:line="360" w:lineRule="auto"/>
        <w:rPr>
          <w:rFonts w:ascii="Arial" w:eastAsia="Times New Roman" w:hAnsi="Arial" w:cs="Arial"/>
          <w:sz w:val="22"/>
          <w:szCs w:val="22"/>
          <w:lang w:eastAsia="en-GB"/>
        </w:rPr>
      </w:pPr>
      <w:r w:rsidRPr="00B85394">
        <w:rPr>
          <w:rFonts w:ascii="Arial" w:eastAsia="Times New Roman" w:hAnsi="Arial" w:cs="Arial"/>
          <w:sz w:val="22"/>
          <w:szCs w:val="22"/>
          <w:lang w:eastAsia="en-GB"/>
        </w:rPr>
        <w:t>4: Two Key Challenges Faced by the Service</w:t>
      </w:r>
      <w:r w:rsidR="00193A69">
        <w:rPr>
          <w:rFonts w:ascii="Arial" w:eastAsia="Times New Roman" w:hAnsi="Arial" w:cs="Arial"/>
          <w:sz w:val="22"/>
          <w:szCs w:val="22"/>
          <w:lang w:eastAsia="en-GB"/>
        </w:rPr>
        <w:br/>
      </w:r>
      <w:r w:rsidR="00193A69">
        <w:rPr>
          <w:rFonts w:ascii="Arial" w:eastAsia="Times New Roman" w:hAnsi="Arial" w:cs="Arial"/>
          <w:sz w:val="22"/>
          <w:szCs w:val="22"/>
          <w:lang w:eastAsia="en-GB"/>
        </w:rPr>
        <w:br/>
      </w:r>
      <w:r w:rsidR="00193A69" w:rsidRPr="00193A69">
        <w:rPr>
          <w:rFonts w:ascii="Arial" w:eastAsia="Times New Roman" w:hAnsi="Arial" w:cs="Arial"/>
          <w:sz w:val="22"/>
          <w:szCs w:val="22"/>
          <w:lang w:eastAsia="en-GB"/>
        </w:rPr>
        <w:t>One significant challenge facing pharmacy services today is the ongoing workforce shortage. Many community pharmacies struggle to recruit and retain qualified pharmacists and pharmacy technicians, which can lead to reduced opening hours and increased workloads for remaining staff. This shortage not only affects the continuity of care but also limits the ability of pharmacies to expand clinical services such as vaccination programmes and medication reviews. The situation is further strained by growing demands from an ageing population and the increasing number of people living with long-term conditions.</w:t>
      </w:r>
    </w:p>
    <w:p w14:paraId="0EEE7C73" w14:textId="77777777" w:rsidR="00193A69" w:rsidRPr="00193A69" w:rsidRDefault="00193A69" w:rsidP="004A4108">
      <w:pPr>
        <w:spacing w:line="360" w:lineRule="auto"/>
        <w:rPr>
          <w:rFonts w:ascii="Arial" w:eastAsia="Times New Roman" w:hAnsi="Arial" w:cs="Arial"/>
          <w:sz w:val="22"/>
          <w:szCs w:val="22"/>
          <w:lang w:eastAsia="en-GB"/>
        </w:rPr>
      </w:pPr>
      <w:r w:rsidRPr="00193A69">
        <w:rPr>
          <w:rFonts w:ascii="Arial" w:eastAsia="Times New Roman" w:hAnsi="Arial" w:cs="Arial"/>
          <w:sz w:val="22"/>
          <w:szCs w:val="22"/>
          <w:lang w:eastAsia="en-GB"/>
        </w:rPr>
        <w:t>A second major challenge is financial pressure. Changes to funding models, rising operational costs, and limited reimbursement for essential services have placed considerable strain on community pharmacies. As a result, some pharmacies face the risk of closure, particularly in deprived or rural areas where services are already limited. These financial difficulties can reduce access to timely healthcare, increasing pressure on GPs and emergency departments.</w:t>
      </w:r>
    </w:p>
    <w:p w14:paraId="392FDE2E" w14:textId="6E28F961" w:rsidR="00B85394" w:rsidRPr="00B85394" w:rsidRDefault="00193A69" w:rsidP="004A4108">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br/>
      </w:r>
    </w:p>
    <w:p w14:paraId="5FA42386" w14:textId="2DD59049" w:rsidR="00935DDA" w:rsidRPr="00935DDA" w:rsidRDefault="00193A69" w:rsidP="004A4108">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5: </w:t>
      </w:r>
      <w:r w:rsidR="00B85394" w:rsidRPr="00B85394">
        <w:rPr>
          <w:rFonts w:ascii="Arial" w:eastAsia="Times New Roman" w:hAnsi="Arial" w:cs="Arial"/>
          <w:sz w:val="22"/>
          <w:szCs w:val="22"/>
          <w:lang w:eastAsia="en-GB"/>
        </w:rPr>
        <w:t>Visual Elements</w:t>
      </w:r>
      <w:r w:rsidR="00935DDA">
        <w:rPr>
          <w:rFonts w:ascii="Arial" w:eastAsia="Times New Roman" w:hAnsi="Arial" w:cs="Arial"/>
          <w:sz w:val="22"/>
          <w:szCs w:val="22"/>
          <w:lang w:eastAsia="en-GB"/>
        </w:rPr>
        <w:br/>
      </w:r>
      <w:r>
        <w:rPr>
          <w:rFonts w:ascii="Arial" w:eastAsia="Times New Roman" w:hAnsi="Arial" w:cs="Arial"/>
          <w:sz w:val="22"/>
          <w:szCs w:val="22"/>
          <w:lang w:eastAsia="en-GB"/>
        </w:rPr>
        <w:br/>
      </w:r>
      <w:r w:rsidR="00935DDA" w:rsidRPr="00935DDA">
        <w:rPr>
          <w:rFonts w:ascii="Arial" w:eastAsia="Times New Roman" w:hAnsi="Arial" w:cs="Arial"/>
          <w:sz w:val="22"/>
          <w:szCs w:val="22"/>
          <w:lang w:eastAsia="en-GB"/>
        </w:rPr>
        <w:t>To support clear communication and improve understanding, the poster will include a selection of simple and relevant visual elements. A timeline will illustrate the historical development of pharmacy services, highlighting key milestones such as early apothecaries, major legislation, and NHS integration. A flowchart will show how pharmacy services operate today, outlining the journey from prescribing to dispensing and patient counselling. Additionally, a small bar chart presenting recent data on staffing shortages will help visualise one of the major challenges facing the sector. These visuals are designed to make information easier to interpret, engage viewers, and reinforce the key points discussed in the poster.</w:t>
      </w:r>
    </w:p>
    <w:p w14:paraId="55675E71" w14:textId="274D30F0" w:rsidR="00B85394" w:rsidRPr="00B85394" w:rsidRDefault="00193A69" w:rsidP="004A4108">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br/>
      </w:r>
      <w:r w:rsidR="00B85394">
        <w:rPr>
          <w:rFonts w:ascii="Arial" w:eastAsia="Times New Roman" w:hAnsi="Arial" w:cs="Arial"/>
          <w:sz w:val="22"/>
          <w:szCs w:val="22"/>
          <w:lang w:eastAsia="en-GB"/>
        </w:rPr>
        <w:br/>
      </w:r>
    </w:p>
    <w:p w14:paraId="31423AB3" w14:textId="2A25D17F" w:rsidR="00935DDA" w:rsidRPr="00935DDA" w:rsidRDefault="00935DDA" w:rsidP="004A4108">
      <w:pPr>
        <w:pStyle w:val="Heading2"/>
        <w:spacing w:line="360" w:lineRule="auto"/>
        <w:rPr>
          <w:rFonts w:ascii="Arial" w:hAnsi="Arial" w:cs="Arial"/>
          <w:sz w:val="22"/>
          <w:szCs w:val="22"/>
        </w:rPr>
      </w:pPr>
      <w:r w:rsidRPr="004A4108">
        <w:rPr>
          <w:rFonts w:ascii="Arial" w:hAnsi="Arial" w:cs="Arial"/>
          <w:sz w:val="22"/>
          <w:szCs w:val="22"/>
          <w:u w:val="single"/>
        </w:rPr>
        <w:t>Task 2</w:t>
      </w:r>
      <w:r w:rsidRPr="00935DDA">
        <w:rPr>
          <w:rFonts w:ascii="Arial" w:hAnsi="Arial" w:cs="Arial"/>
          <w:sz w:val="22"/>
          <w:szCs w:val="22"/>
        </w:rPr>
        <w:t xml:space="preserve"> </w:t>
      </w:r>
      <w:r w:rsidRPr="00935DDA">
        <w:rPr>
          <w:rFonts w:ascii="Arial" w:hAnsi="Arial" w:cs="Arial"/>
          <w:sz w:val="22"/>
          <w:szCs w:val="22"/>
        </w:rPr>
        <w:br/>
      </w:r>
      <w:r w:rsidRPr="00935DDA">
        <w:rPr>
          <w:rFonts w:ascii="Arial" w:hAnsi="Arial" w:cs="Arial"/>
          <w:sz w:val="22"/>
          <w:szCs w:val="22"/>
        </w:rPr>
        <w:br/>
      </w:r>
      <w:r w:rsidRPr="00935DDA">
        <w:rPr>
          <w:rFonts w:ascii="Arial" w:hAnsi="Arial" w:cs="Arial"/>
          <w:sz w:val="22"/>
          <w:szCs w:val="22"/>
        </w:rPr>
        <w:br/>
        <w:t xml:space="preserve">Section 1: Origins of the NHS </w:t>
      </w:r>
    </w:p>
    <w:p w14:paraId="54D2C2C3" w14:textId="47AFAB66" w:rsidR="00935DDA" w:rsidRPr="00935DDA" w:rsidRDefault="00935DDA" w:rsidP="004A4108">
      <w:pPr>
        <w:spacing w:before="100" w:beforeAutospacing="1" w:after="100" w:afterAutospacing="1" w:line="360" w:lineRule="auto"/>
        <w:rPr>
          <w:rFonts w:ascii="Arial" w:eastAsia="Times New Roman" w:hAnsi="Arial" w:cs="Arial"/>
          <w:sz w:val="22"/>
          <w:szCs w:val="22"/>
          <w:lang w:eastAsia="en-GB"/>
        </w:rPr>
      </w:pPr>
      <w:r w:rsidRPr="00935DDA">
        <w:rPr>
          <w:rFonts w:ascii="Arial" w:eastAsia="Times New Roman" w:hAnsi="Arial" w:cs="Arial"/>
          <w:sz w:val="22"/>
          <w:szCs w:val="22"/>
          <w:lang w:eastAsia="en-GB"/>
        </w:rPr>
        <w:t>The National Health Service (NHS) was created in response to the difficult social and health conditions that existed in Britain before 1948, when access to medical care often depended on a person’s financial situation. Many families simply could not afford treatment, which led to deep inequalities in health outcomes. The Beveridge Report of 1942 highlighted these problems and called for a fairer system that supported people “from cradle to grave.” After the Second World War, there was a strong desire to rebuild society and improve wellbeing for everyone. This growing commitment to social welfare led to the establishment of the NHS in 1948, built on principles of universal access, free care, and public funding.</w:t>
      </w:r>
      <w:r w:rsidR="004A4108">
        <w:rPr>
          <w:rFonts w:ascii="Arial" w:eastAsia="Times New Roman" w:hAnsi="Arial" w:cs="Arial"/>
          <w:sz w:val="22"/>
          <w:szCs w:val="22"/>
          <w:lang w:eastAsia="en-GB"/>
        </w:rPr>
        <w:br/>
      </w:r>
      <w:r w:rsidR="004A4108">
        <w:rPr>
          <w:rFonts w:ascii="Arial" w:eastAsia="Times New Roman" w:hAnsi="Arial" w:cs="Arial"/>
          <w:sz w:val="22"/>
          <w:szCs w:val="22"/>
          <w:lang w:eastAsia="en-GB"/>
        </w:rPr>
        <w:br/>
      </w:r>
    </w:p>
    <w:p w14:paraId="044B2760" w14:textId="08356661" w:rsidR="004A4108" w:rsidRPr="004A4108" w:rsidRDefault="004A4108" w:rsidP="004A4108">
      <w:pPr>
        <w:spacing w:line="360" w:lineRule="auto"/>
        <w:rPr>
          <w:rFonts w:ascii="Arial" w:hAnsi="Arial" w:cs="Arial"/>
          <w:b/>
          <w:bCs/>
          <w:sz w:val="22"/>
          <w:szCs w:val="22"/>
        </w:rPr>
      </w:pPr>
      <w:r w:rsidRPr="004A4108">
        <w:rPr>
          <w:rFonts w:ascii="Arial" w:hAnsi="Arial" w:cs="Arial"/>
          <w:b/>
          <w:bCs/>
          <w:sz w:val="22"/>
          <w:szCs w:val="22"/>
        </w:rPr>
        <w:t xml:space="preserve">Section 2: Current Structure of the NHS </w:t>
      </w:r>
      <w:r>
        <w:rPr>
          <w:rFonts w:ascii="Arial" w:hAnsi="Arial" w:cs="Arial"/>
          <w:b/>
          <w:bCs/>
          <w:sz w:val="22"/>
          <w:szCs w:val="22"/>
        </w:rPr>
        <w:br/>
      </w:r>
    </w:p>
    <w:p w14:paraId="52324DCA" w14:textId="77777777" w:rsidR="004A4108" w:rsidRPr="004A4108" w:rsidRDefault="004A4108" w:rsidP="004A4108">
      <w:pPr>
        <w:spacing w:line="360" w:lineRule="auto"/>
        <w:rPr>
          <w:rFonts w:ascii="Arial" w:hAnsi="Arial" w:cs="Arial"/>
          <w:sz w:val="22"/>
          <w:szCs w:val="22"/>
        </w:rPr>
      </w:pPr>
      <w:r w:rsidRPr="004A4108">
        <w:rPr>
          <w:rFonts w:ascii="Arial" w:hAnsi="Arial" w:cs="Arial"/>
          <w:sz w:val="22"/>
          <w:szCs w:val="22"/>
        </w:rPr>
        <w:t>Today, the NHS operates through a large and interconnected structure designed to ensure that people across the UK can access healthcare when they need it. At the national level, the Department of Health and Social Care sets overall policy and funding priorities. NHS England oversees the day-to-day running of services and works closely with Integrated Care Systems (ICSs), which bring together hospitals, GP practices, community services, mental health providers, and local authorities. Primary care, such as GPs, dentists, and pharmacies, is usually the first point of contact, while hospitals provide more specialised secondary care. Community and mental health teams support people in their homes and local areas. This structure aims to coordinate care so patients receive the right support at the right time.</w:t>
      </w:r>
    </w:p>
    <w:p w14:paraId="0D739CC9" w14:textId="3377900F" w:rsidR="004A4108" w:rsidRPr="004A4108" w:rsidRDefault="004A4108" w:rsidP="004A4108">
      <w:pPr>
        <w:spacing w:line="360" w:lineRule="auto"/>
        <w:rPr>
          <w:rFonts w:ascii="Arial" w:hAnsi="Arial" w:cs="Arial"/>
          <w:b/>
          <w:bCs/>
          <w:sz w:val="22"/>
          <w:szCs w:val="22"/>
        </w:rPr>
      </w:pPr>
      <w:r>
        <w:rPr>
          <w:rFonts w:ascii="Arial" w:hAnsi="Arial" w:cs="Arial"/>
          <w:sz w:val="22"/>
          <w:szCs w:val="22"/>
        </w:rPr>
        <w:br/>
      </w:r>
      <w:r>
        <w:rPr>
          <w:rFonts w:ascii="Arial" w:hAnsi="Arial" w:cs="Arial"/>
          <w:sz w:val="22"/>
          <w:szCs w:val="22"/>
        </w:rPr>
        <w:br/>
      </w:r>
      <w:r w:rsidRPr="004A4108">
        <w:rPr>
          <w:rFonts w:ascii="Arial" w:hAnsi="Arial" w:cs="Arial"/>
          <w:b/>
          <w:bCs/>
          <w:sz w:val="22"/>
          <w:szCs w:val="22"/>
        </w:rPr>
        <w:t xml:space="preserve">Section 3: Current Functioning and Pressures of the NHS </w:t>
      </w:r>
      <w:r>
        <w:rPr>
          <w:rFonts w:ascii="Arial" w:hAnsi="Arial" w:cs="Arial"/>
          <w:b/>
          <w:bCs/>
          <w:sz w:val="22"/>
          <w:szCs w:val="22"/>
        </w:rPr>
        <w:br/>
      </w:r>
      <w:r>
        <w:rPr>
          <w:rFonts w:ascii="Arial" w:hAnsi="Arial" w:cs="Arial"/>
          <w:b/>
          <w:bCs/>
          <w:sz w:val="22"/>
          <w:szCs w:val="22"/>
        </w:rPr>
        <w:br/>
      </w:r>
    </w:p>
    <w:p w14:paraId="27528949" w14:textId="13FF7206" w:rsidR="004A4108" w:rsidRPr="004A4108" w:rsidRDefault="004A4108" w:rsidP="004A4108">
      <w:pPr>
        <w:spacing w:line="360" w:lineRule="auto"/>
        <w:rPr>
          <w:rFonts w:ascii="Arial" w:hAnsi="Arial" w:cs="Arial"/>
          <w:sz w:val="22"/>
          <w:szCs w:val="22"/>
        </w:rPr>
      </w:pPr>
      <w:r w:rsidRPr="004A4108">
        <w:rPr>
          <w:rFonts w:ascii="Arial" w:hAnsi="Arial" w:cs="Arial"/>
          <w:sz w:val="22"/>
          <w:szCs w:val="22"/>
        </w:rPr>
        <w:t>The NHS functions as a comprehensive healthcare system that provides a wide range of services, from everyday GP appointments to emergency care, surgery, maternity services, and long-term condition management. Its aim is to ensure that every individual receives safe and timely care, regardless of their financial situation. However, the NHS is currently under significant pressure. Rising demand from an ageing population, increasing rates of chronic illness, and the lasting impact of the COVID-19 pandemic have placed strain on services. Workforce shortages across many professions, including nursing, general practice, and pharmacy, further challenge the system’s ability to meet demand. Financial pressures and limited resources add to these difficulties, resulting in longer waiting times and increased pressure on frontline staff. Despite these challenges, the NHS continues to play a central and valued role in supporting the health and wellbeing of people across the UK.</w:t>
      </w:r>
      <w:r w:rsidRPr="004A4108">
        <w:rPr>
          <w:rFonts w:ascii="Arial" w:hAnsi="Arial" w:cs="Arial"/>
          <w:sz w:val="22"/>
          <w:szCs w:val="22"/>
        </w:rPr>
        <w:br/>
      </w:r>
      <w:r w:rsidRPr="004A4108">
        <w:rPr>
          <w:rFonts w:ascii="Arial" w:hAnsi="Arial" w:cs="Arial"/>
          <w:sz w:val="22"/>
          <w:szCs w:val="22"/>
        </w:rPr>
        <w:br/>
      </w:r>
      <w:r w:rsidRPr="004A4108">
        <w:rPr>
          <w:rFonts w:ascii="Arial" w:hAnsi="Arial" w:cs="Arial"/>
          <w:sz w:val="22"/>
          <w:szCs w:val="22"/>
        </w:rPr>
        <w:br/>
      </w:r>
      <w:r w:rsidRPr="004A4108">
        <w:rPr>
          <w:rFonts w:ascii="Arial" w:hAnsi="Arial" w:cs="Arial"/>
          <w:sz w:val="22"/>
          <w:szCs w:val="22"/>
        </w:rPr>
        <w:br/>
      </w:r>
    </w:p>
    <w:p w14:paraId="7124F5DC" w14:textId="4E67201B" w:rsidR="004A4108" w:rsidRPr="004A4108" w:rsidRDefault="004A4108" w:rsidP="004A4108">
      <w:pPr>
        <w:spacing w:before="100" w:beforeAutospacing="1" w:after="100" w:afterAutospacing="1" w:line="360" w:lineRule="auto"/>
        <w:outlineLvl w:val="1"/>
        <w:rPr>
          <w:rFonts w:ascii="Times New Roman" w:eastAsia="Times New Roman" w:hAnsi="Times New Roman" w:cs="Times New Roman"/>
          <w:b/>
          <w:bCs/>
          <w:sz w:val="22"/>
          <w:szCs w:val="22"/>
          <w:lang w:eastAsia="en-GB"/>
        </w:rPr>
      </w:pPr>
      <w:r w:rsidRPr="004A4108">
        <w:rPr>
          <w:rFonts w:ascii="Times New Roman" w:eastAsia="Times New Roman" w:hAnsi="Times New Roman" w:cs="Times New Roman"/>
          <w:b/>
          <w:bCs/>
          <w:sz w:val="22"/>
          <w:szCs w:val="22"/>
          <w:lang w:eastAsia="en-GB"/>
        </w:rPr>
        <w:t xml:space="preserve">Conclusion </w:t>
      </w:r>
    </w:p>
    <w:p w14:paraId="31F8F335" w14:textId="77777777" w:rsidR="004A4108" w:rsidRPr="004A4108" w:rsidRDefault="004A4108" w:rsidP="004A4108">
      <w:pPr>
        <w:spacing w:before="100" w:beforeAutospacing="1" w:after="100" w:afterAutospacing="1" w:line="360" w:lineRule="auto"/>
        <w:rPr>
          <w:rFonts w:ascii="Times New Roman" w:eastAsia="Times New Roman" w:hAnsi="Times New Roman" w:cs="Times New Roman"/>
          <w:sz w:val="22"/>
          <w:szCs w:val="22"/>
          <w:lang w:eastAsia="en-GB"/>
        </w:rPr>
      </w:pPr>
      <w:r w:rsidRPr="004A4108">
        <w:rPr>
          <w:rFonts w:ascii="Times New Roman" w:eastAsia="Times New Roman" w:hAnsi="Times New Roman" w:cs="Times New Roman"/>
          <w:sz w:val="22"/>
          <w:szCs w:val="22"/>
          <w:lang w:eastAsia="en-GB"/>
        </w:rPr>
        <w:t>Pharmacy services remain a vital part of the UK health and social care system, offering accessible support, essential medicines, and trusted guidance to people in their communities. Their expanding clinical role shows how pharmacies contribute not only to improving individual health but also to easing pressure on other parts of the system, especially GP practices and hospitals. However, challenges such as workforce shortages and financial pressures must be addressed to ensure that these services can continue to meet growing patient needs and maintain high-quality care.</w:t>
      </w:r>
    </w:p>
    <w:p w14:paraId="3696FC84" w14:textId="0426DFBF" w:rsidR="004A4108" w:rsidRPr="004A4108" w:rsidRDefault="004A4108" w:rsidP="004A4108">
      <w:pPr>
        <w:spacing w:before="100" w:beforeAutospacing="1" w:after="100" w:afterAutospacing="1" w:line="360" w:lineRule="auto"/>
        <w:rPr>
          <w:rFonts w:ascii="Times New Roman" w:eastAsia="Times New Roman" w:hAnsi="Times New Roman" w:cs="Times New Roman"/>
          <w:sz w:val="22"/>
          <w:szCs w:val="22"/>
          <w:lang w:eastAsia="en-GB"/>
        </w:rPr>
      </w:pPr>
      <w:r w:rsidRPr="004A4108">
        <w:rPr>
          <w:rFonts w:ascii="Times New Roman" w:eastAsia="Times New Roman" w:hAnsi="Times New Roman" w:cs="Times New Roman"/>
          <w:sz w:val="22"/>
          <w:szCs w:val="22"/>
          <w:lang w:eastAsia="en-GB"/>
        </w:rPr>
        <w:t>The wider context of the NHS helps explain why pharmacy services matter so deeply. Since its creation in 1948, the NHS has been guided by the principles of universal access, care based on need, and public funding</w:t>
      </w:r>
      <w:r>
        <w:rPr>
          <w:rFonts w:ascii="Times New Roman" w:eastAsia="Times New Roman" w:hAnsi="Times New Roman" w:cs="Times New Roman"/>
          <w:sz w:val="22"/>
          <w:szCs w:val="22"/>
          <w:lang w:eastAsia="en-GB"/>
        </w:rPr>
        <w:t xml:space="preserve"> </w:t>
      </w:r>
      <w:r w:rsidRPr="004A4108">
        <w:rPr>
          <w:rFonts w:ascii="Times New Roman" w:eastAsia="Times New Roman" w:hAnsi="Times New Roman" w:cs="Times New Roman"/>
          <w:sz w:val="22"/>
          <w:szCs w:val="22"/>
          <w:lang w:eastAsia="en-GB"/>
        </w:rPr>
        <w:t>values shaped by the difficult social conditions of post-war Britain. Today, the NHS still holds a central place in public life, yet it faces significant pressures, including rising demand, resource constraints, and the need to modernise services. Understanding the origins of the NHS highlights how these challenges are not new but reflect ongoing attempts to provide fair, comprehensive care for all. Supporting services like pharmacies is therefore essential to preserving the NHS's founding vision and ensuring it remains sustainable for the future.</w:t>
      </w:r>
    </w:p>
    <w:p w14:paraId="52FD6D11" w14:textId="0251F6A9" w:rsidR="00FC16EF" w:rsidRPr="00E5397E" w:rsidRDefault="00BF2811" w:rsidP="004A4108">
      <w:pPr>
        <w:spacing w:line="360" w:lineRule="auto"/>
        <w:rPr>
          <w:rFonts w:ascii="Arial" w:hAnsi="Arial" w:cs="Arial"/>
          <w:b/>
          <w:bCs/>
          <w:sz w:val="22"/>
          <w:szCs w:val="22"/>
        </w:rPr>
      </w:pPr>
      <w:r w:rsidRPr="00E5397E">
        <w:rPr>
          <w:rFonts w:ascii="Arial" w:hAnsi="Arial" w:cs="Arial"/>
          <w:b/>
          <w:bCs/>
          <w:sz w:val="22"/>
          <w:szCs w:val="22"/>
        </w:rPr>
        <w:t>R</w:t>
      </w:r>
      <w:r w:rsidR="00F23588" w:rsidRPr="00E5397E">
        <w:rPr>
          <w:rFonts w:ascii="Arial" w:hAnsi="Arial" w:cs="Arial"/>
          <w:b/>
          <w:bCs/>
          <w:sz w:val="22"/>
          <w:szCs w:val="22"/>
        </w:rPr>
        <w:t>eference</w:t>
      </w:r>
    </w:p>
    <w:p w14:paraId="7B6B0BFF" w14:textId="54B8352A" w:rsidR="00BF2811" w:rsidRDefault="00BF2811" w:rsidP="004A4108">
      <w:pPr>
        <w:spacing w:line="360" w:lineRule="auto"/>
        <w:rPr>
          <w:rFonts w:ascii="Arial" w:hAnsi="Arial" w:cs="Arial"/>
          <w:sz w:val="22"/>
          <w:szCs w:val="22"/>
        </w:rPr>
      </w:pPr>
    </w:p>
    <w:p w14:paraId="66A95C6F" w14:textId="432C13F8" w:rsidR="00E5397E" w:rsidRPr="00E5397E" w:rsidRDefault="00BF2811" w:rsidP="00E5397E">
      <w:pPr>
        <w:pStyle w:val="NormalWeb"/>
        <w:spacing w:after="240" w:line="360" w:lineRule="auto"/>
        <w:rPr>
          <w:rFonts w:eastAsia="Times New Roman"/>
          <w:lang w:eastAsia="en-GB"/>
        </w:rPr>
      </w:pPr>
      <w:r>
        <w:rPr>
          <w:rFonts w:ascii="Arial" w:hAnsi="Arial" w:cs="Arial"/>
          <w:sz w:val="22"/>
          <w:szCs w:val="22"/>
        </w:rPr>
        <w:t xml:space="preserve">1/ </w:t>
      </w:r>
      <w:r w:rsidRPr="00BF2811">
        <w:rPr>
          <w:rFonts w:eastAsia="Times New Roman"/>
          <w:lang w:eastAsia="en-GB"/>
        </w:rPr>
        <w:t xml:space="preserve">Glasby, jon (2017). </w:t>
      </w:r>
      <w:r w:rsidRPr="00BF2811">
        <w:rPr>
          <w:rFonts w:eastAsia="Times New Roman"/>
          <w:i/>
          <w:iCs/>
          <w:lang w:eastAsia="en-GB"/>
        </w:rPr>
        <w:t>Understanding Health and Social Care</w:t>
      </w:r>
      <w:r w:rsidRPr="00BF2811">
        <w:rPr>
          <w:rFonts w:eastAsia="Times New Roman"/>
          <w:lang w:eastAsia="en-GB"/>
        </w:rPr>
        <w:t xml:space="preserve">. [online] Google Books. Available at: </w:t>
      </w:r>
      <w:hyperlink r:id="rId7" w:anchor="v=onepage&amp;q=Introduction%20to%20Health%20and%20Social%20Care&amp;f=false" w:history="1">
        <w:r w:rsidR="00E5397E" w:rsidRPr="008572DD">
          <w:rPr>
            <w:rStyle w:val="Hyperlink"/>
            <w:rFonts w:eastAsia="Times New Roman"/>
            <w:lang w:eastAsia="en-GB"/>
          </w:rPr>
          <w:t>https://books.google.co.uk/books?hl=en&amp;lr=&amp;id=3gnfDQAAQBAJ&amp;oi=fnd&amp;pg=PR10&amp;dq=Introduction+to+Health+and+Social+Care&amp;ots=lNlcR5Pmxx&amp;sig=up2ek__9zVqnM_UgXayewxr7CVM&amp;redir_esc=y#v=onepage&amp;q=Introduction%20to%20Health%20and%20Social%20Care&amp;f=false</w:t>
        </w:r>
      </w:hyperlink>
      <w:r w:rsidRPr="00BF2811">
        <w:rPr>
          <w:rFonts w:eastAsia="Times New Roman"/>
          <w:lang w:eastAsia="en-GB"/>
        </w:rPr>
        <w:t>[Accessed 13 Nov. 2025].</w:t>
      </w:r>
      <w:r w:rsidR="00E5397E">
        <w:rPr>
          <w:rFonts w:eastAsia="Times New Roman"/>
          <w:lang w:eastAsia="en-GB"/>
        </w:rPr>
        <w:br/>
      </w:r>
      <w:r w:rsidR="00E5397E">
        <w:rPr>
          <w:rFonts w:eastAsia="Times New Roman"/>
          <w:lang w:eastAsia="en-GB"/>
        </w:rPr>
        <w:br/>
        <w:t xml:space="preserve">2/ </w:t>
      </w:r>
      <w:r w:rsidR="00E5397E" w:rsidRPr="00E5397E">
        <w:rPr>
          <w:rFonts w:eastAsia="Times New Roman"/>
          <w:lang w:eastAsia="en-GB"/>
        </w:rPr>
        <w:t xml:space="preserve">sturgeon, david (2013). </w:t>
      </w:r>
      <w:r w:rsidR="00E5397E" w:rsidRPr="00E5397E">
        <w:rPr>
          <w:rFonts w:eastAsia="Times New Roman"/>
          <w:i/>
          <w:iCs/>
          <w:lang w:eastAsia="en-GB"/>
        </w:rPr>
        <w:t>There and back again: a short history of health service reform in England from 1909-2012</w:t>
      </w:r>
      <w:r w:rsidR="00E5397E" w:rsidRPr="00E5397E">
        <w:rPr>
          <w:rFonts w:eastAsia="Times New Roman"/>
          <w:lang w:eastAsia="en-GB"/>
        </w:rPr>
        <w:t xml:space="preserve">. [online] International Journal of Arts &amp; Sciences. Available at: </w:t>
      </w:r>
      <w:hyperlink r:id="rId8" w:history="1">
        <w:r w:rsidR="00E5397E" w:rsidRPr="008572DD">
          <w:rPr>
            <w:rStyle w:val="Hyperlink"/>
            <w:rFonts w:eastAsia="Times New Roman"/>
            <w:lang w:eastAsia="en-GB"/>
          </w:rPr>
          <w:t>https://www.academia.edu/download/33257417/IJAS_2013.pdf</w:t>
        </w:r>
      </w:hyperlink>
      <w:r w:rsidR="00E5397E" w:rsidRPr="00E5397E">
        <w:rPr>
          <w:rFonts w:eastAsia="Times New Roman"/>
          <w:lang w:eastAsia="en-GB"/>
        </w:rPr>
        <w:t>[Accessed 13 Nov. 2025].</w:t>
      </w:r>
    </w:p>
    <w:p w14:paraId="1A180ECA" w14:textId="0A4C0AB5" w:rsidR="00BF2811" w:rsidRDefault="00BF2811" w:rsidP="00BF2811">
      <w:pPr>
        <w:pStyle w:val="NormalWeb"/>
        <w:spacing w:after="240" w:line="360" w:lineRule="auto"/>
        <w:rPr>
          <w:rFonts w:eastAsia="Times New Roman"/>
          <w:lang w:eastAsia="en-GB"/>
        </w:rPr>
      </w:pPr>
    </w:p>
    <w:p w14:paraId="13CA8E08" w14:textId="738B5F86" w:rsidR="00E5397E" w:rsidRDefault="00E5397E" w:rsidP="00E5397E">
      <w:pPr>
        <w:pStyle w:val="NormalWeb"/>
        <w:spacing w:after="240" w:line="360" w:lineRule="auto"/>
        <w:rPr>
          <w:rFonts w:eastAsia="Times New Roman"/>
          <w:lang w:eastAsia="en-GB"/>
        </w:rPr>
      </w:pPr>
      <w:r>
        <w:rPr>
          <w:rFonts w:eastAsia="Times New Roman"/>
          <w:lang w:eastAsia="en-GB"/>
        </w:rPr>
        <w:t xml:space="preserve">3/ </w:t>
      </w:r>
      <w:r w:rsidRPr="00E5397E">
        <w:rPr>
          <w:rFonts w:eastAsia="Times New Roman"/>
          <w:lang w:eastAsia="en-GB"/>
        </w:rPr>
        <w:t xml:space="preserve">Covvey, J.R., Cohron, P.P. and Mullen, A.B. (2015). Examining Pharmacy Workforce Issues in the United States and the United Kingdom. </w:t>
      </w:r>
      <w:r w:rsidRPr="00E5397E">
        <w:rPr>
          <w:rFonts w:eastAsia="Times New Roman"/>
          <w:i/>
          <w:iCs/>
          <w:lang w:eastAsia="en-GB"/>
        </w:rPr>
        <w:t>American Journal of Pharmaceutical Education</w:t>
      </w:r>
      <w:r w:rsidRPr="00E5397E">
        <w:rPr>
          <w:rFonts w:eastAsia="Times New Roman"/>
          <w:lang w:eastAsia="en-GB"/>
        </w:rPr>
        <w:t>, [online] 79(2), p.17. doi:https://doi.org/10.5688/ajpe79217.</w:t>
      </w:r>
    </w:p>
    <w:p w14:paraId="264ECED1" w14:textId="53731DFB" w:rsidR="00E5397E" w:rsidRPr="00E5397E" w:rsidRDefault="00E5397E" w:rsidP="00E5397E">
      <w:pPr>
        <w:pStyle w:val="NormalWeb"/>
        <w:spacing w:after="240" w:line="360" w:lineRule="auto"/>
        <w:rPr>
          <w:rFonts w:eastAsia="Times New Roman"/>
          <w:lang w:eastAsia="en-GB"/>
        </w:rPr>
      </w:pPr>
    </w:p>
    <w:p w14:paraId="28D7DF58" w14:textId="3EDB1DD2" w:rsidR="00E5397E" w:rsidRPr="00E5397E" w:rsidRDefault="00E5397E" w:rsidP="00E5397E">
      <w:pPr>
        <w:pStyle w:val="NormalWeb"/>
        <w:spacing w:after="240" w:line="360" w:lineRule="auto"/>
        <w:rPr>
          <w:rFonts w:eastAsia="Times New Roman"/>
          <w:lang w:eastAsia="en-GB"/>
        </w:rPr>
      </w:pPr>
      <w:r>
        <w:rPr>
          <w:rFonts w:ascii="Arial" w:hAnsi="Arial" w:cs="Arial"/>
          <w:sz w:val="22"/>
          <w:szCs w:val="22"/>
        </w:rPr>
        <w:t xml:space="preserve">4/ </w:t>
      </w:r>
      <w:r w:rsidRPr="00E5397E">
        <w:rPr>
          <w:rFonts w:eastAsia="Times New Roman"/>
          <w:lang w:eastAsia="en-GB"/>
        </w:rPr>
        <w:t xml:space="preserve">Astbury, J.L., Jacobs, S., McDermott, I., Willis, S.C., Moss, A., Stearns, S., Fenton, C., Ali, Seston, E.M. and Schafheutle, E.I. (2024). Workforce development in community pharmacies in England: Opportunities and tensions for a private sector provider of NHS services. </w:t>
      </w:r>
      <w:r w:rsidRPr="00E5397E">
        <w:rPr>
          <w:rFonts w:eastAsia="Times New Roman"/>
          <w:i/>
          <w:iCs/>
          <w:lang w:eastAsia="en-GB"/>
        </w:rPr>
        <w:t>PLoS ONE</w:t>
      </w:r>
      <w:r w:rsidRPr="00E5397E">
        <w:rPr>
          <w:rFonts w:eastAsia="Times New Roman"/>
          <w:lang w:eastAsia="en-GB"/>
        </w:rPr>
        <w:t>, 19(11), pp.e0310332–e0310332. doi:https://doi.org/10.1371/journal.pone.0310332.</w:t>
      </w:r>
    </w:p>
    <w:p w14:paraId="13C10A78" w14:textId="7C9FF474" w:rsidR="00F23588" w:rsidRPr="00935DDA" w:rsidRDefault="00F23588" w:rsidP="004A4108">
      <w:pPr>
        <w:spacing w:line="360" w:lineRule="auto"/>
        <w:rPr>
          <w:rFonts w:ascii="Arial" w:hAnsi="Arial" w:cs="Arial"/>
          <w:sz w:val="22"/>
          <w:szCs w:val="22"/>
        </w:rPr>
      </w:pPr>
    </w:p>
    <w:sectPr w:rsidR="00F23588" w:rsidRPr="00935DDA">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BCB6A" w14:textId="77777777" w:rsidR="00BB5012" w:rsidRDefault="00BB5012" w:rsidP="00BF2811">
      <w:r>
        <w:separator/>
      </w:r>
    </w:p>
  </w:endnote>
  <w:endnote w:type="continuationSeparator" w:id="0">
    <w:p w14:paraId="32F2218E" w14:textId="77777777" w:rsidR="00BB5012" w:rsidRDefault="00BB5012" w:rsidP="00BF2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56203788"/>
      <w:docPartObj>
        <w:docPartGallery w:val="Page Numbers (Bottom of Page)"/>
        <w:docPartUnique/>
      </w:docPartObj>
    </w:sdtPr>
    <w:sdtEndPr>
      <w:rPr>
        <w:rStyle w:val="PageNumber"/>
      </w:rPr>
    </w:sdtEndPr>
    <w:sdtContent>
      <w:p w14:paraId="1769589C" w14:textId="21EDBE51" w:rsidR="00BF2811" w:rsidRDefault="00BF2811" w:rsidP="008572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3AAF0D" w14:textId="77777777" w:rsidR="00BF2811" w:rsidRDefault="00BF2811" w:rsidP="00BF281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74099251"/>
      <w:docPartObj>
        <w:docPartGallery w:val="Page Numbers (Bottom of Page)"/>
        <w:docPartUnique/>
      </w:docPartObj>
    </w:sdtPr>
    <w:sdtEndPr>
      <w:rPr>
        <w:rStyle w:val="PageNumber"/>
      </w:rPr>
    </w:sdtEndPr>
    <w:sdtContent>
      <w:p w14:paraId="374C8D08" w14:textId="7C4F9902" w:rsidR="00BF2811" w:rsidRDefault="00BF2811" w:rsidP="008572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71F69F" w14:textId="77777777" w:rsidR="00BF2811" w:rsidRDefault="00BF2811" w:rsidP="00BF281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6BE85" w14:textId="77777777" w:rsidR="00BB5012" w:rsidRDefault="00BB5012" w:rsidP="00BF2811">
      <w:r>
        <w:separator/>
      </w:r>
    </w:p>
  </w:footnote>
  <w:footnote w:type="continuationSeparator" w:id="0">
    <w:p w14:paraId="5C2DA0DC" w14:textId="77777777" w:rsidR="00BB5012" w:rsidRDefault="00BB5012" w:rsidP="00BF28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FD195" w14:textId="674624E8" w:rsidR="00BF2811" w:rsidRDefault="00BF2811">
    <w:pPr>
      <w:pStyle w:val="Header"/>
    </w:pPr>
    <w:r w:rsidRPr="00BF2811">
      <w:rPr>
        <w:rFonts w:ascii="Arial" w:hAnsi="Arial" w:cs="Arial"/>
        <w:b/>
        <w:bCs/>
        <w:sz w:val="22"/>
        <w:szCs w:val="22"/>
        <w:lang w:val="en-US"/>
      </w:rPr>
      <w:t>2410516</w:t>
    </w:r>
    <w:r w:rsidRPr="00BF2811">
      <w:rPr>
        <w:rFonts w:ascii="Arial" w:hAnsi="Arial" w:cs="Arial"/>
        <w:sz w:val="22"/>
        <w:szCs w:val="22"/>
        <w:lang w:val="en-U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67176"/>
    <w:multiLevelType w:val="hybridMultilevel"/>
    <w:tmpl w:val="04B28316"/>
    <w:lvl w:ilvl="0" w:tplc="79005BBC">
      <w:start w:val="1"/>
      <w:numFmt w:val="bullet"/>
      <w:lvlText w:val="•"/>
      <w:lvlJc w:val="left"/>
      <w:pPr>
        <w:tabs>
          <w:tab w:val="num" w:pos="720"/>
        </w:tabs>
        <w:ind w:left="720" w:hanging="360"/>
      </w:pPr>
      <w:rPr>
        <w:rFonts w:ascii="Times New Roman" w:hAnsi="Times New Roman" w:hint="default"/>
      </w:rPr>
    </w:lvl>
    <w:lvl w:ilvl="1" w:tplc="A46C5AB2" w:tentative="1">
      <w:start w:val="1"/>
      <w:numFmt w:val="bullet"/>
      <w:lvlText w:val="•"/>
      <w:lvlJc w:val="left"/>
      <w:pPr>
        <w:tabs>
          <w:tab w:val="num" w:pos="1440"/>
        </w:tabs>
        <w:ind w:left="1440" w:hanging="360"/>
      </w:pPr>
      <w:rPr>
        <w:rFonts w:ascii="Times New Roman" w:hAnsi="Times New Roman" w:hint="default"/>
      </w:rPr>
    </w:lvl>
    <w:lvl w:ilvl="2" w:tplc="F09C18B6" w:tentative="1">
      <w:start w:val="1"/>
      <w:numFmt w:val="bullet"/>
      <w:lvlText w:val="•"/>
      <w:lvlJc w:val="left"/>
      <w:pPr>
        <w:tabs>
          <w:tab w:val="num" w:pos="2160"/>
        </w:tabs>
        <w:ind w:left="2160" w:hanging="360"/>
      </w:pPr>
      <w:rPr>
        <w:rFonts w:ascii="Times New Roman" w:hAnsi="Times New Roman" w:hint="default"/>
      </w:rPr>
    </w:lvl>
    <w:lvl w:ilvl="3" w:tplc="7E8676A8" w:tentative="1">
      <w:start w:val="1"/>
      <w:numFmt w:val="bullet"/>
      <w:lvlText w:val="•"/>
      <w:lvlJc w:val="left"/>
      <w:pPr>
        <w:tabs>
          <w:tab w:val="num" w:pos="2880"/>
        </w:tabs>
        <w:ind w:left="2880" w:hanging="360"/>
      </w:pPr>
      <w:rPr>
        <w:rFonts w:ascii="Times New Roman" w:hAnsi="Times New Roman" w:hint="default"/>
      </w:rPr>
    </w:lvl>
    <w:lvl w:ilvl="4" w:tplc="849CE9F8" w:tentative="1">
      <w:start w:val="1"/>
      <w:numFmt w:val="bullet"/>
      <w:lvlText w:val="•"/>
      <w:lvlJc w:val="left"/>
      <w:pPr>
        <w:tabs>
          <w:tab w:val="num" w:pos="3600"/>
        </w:tabs>
        <w:ind w:left="3600" w:hanging="360"/>
      </w:pPr>
      <w:rPr>
        <w:rFonts w:ascii="Times New Roman" w:hAnsi="Times New Roman" w:hint="default"/>
      </w:rPr>
    </w:lvl>
    <w:lvl w:ilvl="5" w:tplc="68E80E78" w:tentative="1">
      <w:start w:val="1"/>
      <w:numFmt w:val="bullet"/>
      <w:lvlText w:val="•"/>
      <w:lvlJc w:val="left"/>
      <w:pPr>
        <w:tabs>
          <w:tab w:val="num" w:pos="4320"/>
        </w:tabs>
        <w:ind w:left="4320" w:hanging="360"/>
      </w:pPr>
      <w:rPr>
        <w:rFonts w:ascii="Times New Roman" w:hAnsi="Times New Roman" w:hint="default"/>
      </w:rPr>
    </w:lvl>
    <w:lvl w:ilvl="6" w:tplc="963275A8" w:tentative="1">
      <w:start w:val="1"/>
      <w:numFmt w:val="bullet"/>
      <w:lvlText w:val="•"/>
      <w:lvlJc w:val="left"/>
      <w:pPr>
        <w:tabs>
          <w:tab w:val="num" w:pos="5040"/>
        </w:tabs>
        <w:ind w:left="5040" w:hanging="360"/>
      </w:pPr>
      <w:rPr>
        <w:rFonts w:ascii="Times New Roman" w:hAnsi="Times New Roman" w:hint="default"/>
      </w:rPr>
    </w:lvl>
    <w:lvl w:ilvl="7" w:tplc="51220644" w:tentative="1">
      <w:start w:val="1"/>
      <w:numFmt w:val="bullet"/>
      <w:lvlText w:val="•"/>
      <w:lvlJc w:val="left"/>
      <w:pPr>
        <w:tabs>
          <w:tab w:val="num" w:pos="5760"/>
        </w:tabs>
        <w:ind w:left="5760" w:hanging="360"/>
      </w:pPr>
      <w:rPr>
        <w:rFonts w:ascii="Times New Roman" w:hAnsi="Times New Roman" w:hint="default"/>
      </w:rPr>
    </w:lvl>
    <w:lvl w:ilvl="8" w:tplc="CBE6CBF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63AF759D"/>
    <w:multiLevelType w:val="hybridMultilevel"/>
    <w:tmpl w:val="D8FA784A"/>
    <w:lvl w:ilvl="0" w:tplc="198A12EC">
      <w:start w:val="1"/>
      <w:numFmt w:val="bullet"/>
      <w:lvlText w:val="•"/>
      <w:lvlJc w:val="left"/>
      <w:pPr>
        <w:tabs>
          <w:tab w:val="num" w:pos="720"/>
        </w:tabs>
        <w:ind w:left="720" w:hanging="360"/>
      </w:pPr>
      <w:rPr>
        <w:rFonts w:ascii="Times New Roman" w:hAnsi="Times New Roman" w:hint="default"/>
      </w:rPr>
    </w:lvl>
    <w:lvl w:ilvl="1" w:tplc="587CDDAE" w:tentative="1">
      <w:start w:val="1"/>
      <w:numFmt w:val="bullet"/>
      <w:lvlText w:val="•"/>
      <w:lvlJc w:val="left"/>
      <w:pPr>
        <w:tabs>
          <w:tab w:val="num" w:pos="1440"/>
        </w:tabs>
        <w:ind w:left="1440" w:hanging="360"/>
      </w:pPr>
      <w:rPr>
        <w:rFonts w:ascii="Times New Roman" w:hAnsi="Times New Roman" w:hint="default"/>
      </w:rPr>
    </w:lvl>
    <w:lvl w:ilvl="2" w:tplc="EFD4602E" w:tentative="1">
      <w:start w:val="1"/>
      <w:numFmt w:val="bullet"/>
      <w:lvlText w:val="•"/>
      <w:lvlJc w:val="left"/>
      <w:pPr>
        <w:tabs>
          <w:tab w:val="num" w:pos="2160"/>
        </w:tabs>
        <w:ind w:left="2160" w:hanging="360"/>
      </w:pPr>
      <w:rPr>
        <w:rFonts w:ascii="Times New Roman" w:hAnsi="Times New Roman" w:hint="default"/>
      </w:rPr>
    </w:lvl>
    <w:lvl w:ilvl="3" w:tplc="541064B8" w:tentative="1">
      <w:start w:val="1"/>
      <w:numFmt w:val="bullet"/>
      <w:lvlText w:val="•"/>
      <w:lvlJc w:val="left"/>
      <w:pPr>
        <w:tabs>
          <w:tab w:val="num" w:pos="2880"/>
        </w:tabs>
        <w:ind w:left="2880" w:hanging="360"/>
      </w:pPr>
      <w:rPr>
        <w:rFonts w:ascii="Times New Roman" w:hAnsi="Times New Roman" w:hint="default"/>
      </w:rPr>
    </w:lvl>
    <w:lvl w:ilvl="4" w:tplc="8040A694" w:tentative="1">
      <w:start w:val="1"/>
      <w:numFmt w:val="bullet"/>
      <w:lvlText w:val="•"/>
      <w:lvlJc w:val="left"/>
      <w:pPr>
        <w:tabs>
          <w:tab w:val="num" w:pos="3600"/>
        </w:tabs>
        <w:ind w:left="3600" w:hanging="360"/>
      </w:pPr>
      <w:rPr>
        <w:rFonts w:ascii="Times New Roman" w:hAnsi="Times New Roman" w:hint="default"/>
      </w:rPr>
    </w:lvl>
    <w:lvl w:ilvl="5" w:tplc="102A6662" w:tentative="1">
      <w:start w:val="1"/>
      <w:numFmt w:val="bullet"/>
      <w:lvlText w:val="•"/>
      <w:lvlJc w:val="left"/>
      <w:pPr>
        <w:tabs>
          <w:tab w:val="num" w:pos="4320"/>
        </w:tabs>
        <w:ind w:left="4320" w:hanging="360"/>
      </w:pPr>
      <w:rPr>
        <w:rFonts w:ascii="Times New Roman" w:hAnsi="Times New Roman" w:hint="default"/>
      </w:rPr>
    </w:lvl>
    <w:lvl w:ilvl="6" w:tplc="36F0F728" w:tentative="1">
      <w:start w:val="1"/>
      <w:numFmt w:val="bullet"/>
      <w:lvlText w:val="•"/>
      <w:lvlJc w:val="left"/>
      <w:pPr>
        <w:tabs>
          <w:tab w:val="num" w:pos="5040"/>
        </w:tabs>
        <w:ind w:left="5040" w:hanging="360"/>
      </w:pPr>
      <w:rPr>
        <w:rFonts w:ascii="Times New Roman" w:hAnsi="Times New Roman" w:hint="default"/>
      </w:rPr>
    </w:lvl>
    <w:lvl w:ilvl="7" w:tplc="8604AEBE" w:tentative="1">
      <w:start w:val="1"/>
      <w:numFmt w:val="bullet"/>
      <w:lvlText w:val="•"/>
      <w:lvlJc w:val="left"/>
      <w:pPr>
        <w:tabs>
          <w:tab w:val="num" w:pos="5760"/>
        </w:tabs>
        <w:ind w:left="5760" w:hanging="360"/>
      </w:pPr>
      <w:rPr>
        <w:rFonts w:ascii="Times New Roman" w:hAnsi="Times New Roman" w:hint="default"/>
      </w:rPr>
    </w:lvl>
    <w:lvl w:ilvl="8" w:tplc="243ED40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6E8108A0"/>
    <w:multiLevelType w:val="hybridMultilevel"/>
    <w:tmpl w:val="4344DCC6"/>
    <w:lvl w:ilvl="0" w:tplc="509609E6">
      <w:start w:val="1"/>
      <w:numFmt w:val="bullet"/>
      <w:lvlText w:val="•"/>
      <w:lvlJc w:val="left"/>
      <w:pPr>
        <w:tabs>
          <w:tab w:val="num" w:pos="720"/>
        </w:tabs>
        <w:ind w:left="720" w:hanging="360"/>
      </w:pPr>
      <w:rPr>
        <w:rFonts w:ascii="Times New Roman" w:hAnsi="Times New Roman" w:hint="default"/>
      </w:rPr>
    </w:lvl>
    <w:lvl w:ilvl="1" w:tplc="FAD08D0E" w:tentative="1">
      <w:start w:val="1"/>
      <w:numFmt w:val="bullet"/>
      <w:lvlText w:val="•"/>
      <w:lvlJc w:val="left"/>
      <w:pPr>
        <w:tabs>
          <w:tab w:val="num" w:pos="1440"/>
        </w:tabs>
        <w:ind w:left="1440" w:hanging="360"/>
      </w:pPr>
      <w:rPr>
        <w:rFonts w:ascii="Times New Roman" w:hAnsi="Times New Roman" w:hint="default"/>
      </w:rPr>
    </w:lvl>
    <w:lvl w:ilvl="2" w:tplc="D7CC550A" w:tentative="1">
      <w:start w:val="1"/>
      <w:numFmt w:val="bullet"/>
      <w:lvlText w:val="•"/>
      <w:lvlJc w:val="left"/>
      <w:pPr>
        <w:tabs>
          <w:tab w:val="num" w:pos="2160"/>
        </w:tabs>
        <w:ind w:left="2160" w:hanging="360"/>
      </w:pPr>
      <w:rPr>
        <w:rFonts w:ascii="Times New Roman" w:hAnsi="Times New Roman" w:hint="default"/>
      </w:rPr>
    </w:lvl>
    <w:lvl w:ilvl="3" w:tplc="EFB6C124" w:tentative="1">
      <w:start w:val="1"/>
      <w:numFmt w:val="bullet"/>
      <w:lvlText w:val="•"/>
      <w:lvlJc w:val="left"/>
      <w:pPr>
        <w:tabs>
          <w:tab w:val="num" w:pos="2880"/>
        </w:tabs>
        <w:ind w:left="2880" w:hanging="360"/>
      </w:pPr>
      <w:rPr>
        <w:rFonts w:ascii="Times New Roman" w:hAnsi="Times New Roman" w:hint="default"/>
      </w:rPr>
    </w:lvl>
    <w:lvl w:ilvl="4" w:tplc="136EAA16" w:tentative="1">
      <w:start w:val="1"/>
      <w:numFmt w:val="bullet"/>
      <w:lvlText w:val="•"/>
      <w:lvlJc w:val="left"/>
      <w:pPr>
        <w:tabs>
          <w:tab w:val="num" w:pos="3600"/>
        </w:tabs>
        <w:ind w:left="3600" w:hanging="360"/>
      </w:pPr>
      <w:rPr>
        <w:rFonts w:ascii="Times New Roman" w:hAnsi="Times New Roman" w:hint="default"/>
      </w:rPr>
    </w:lvl>
    <w:lvl w:ilvl="5" w:tplc="BF2EF2CE" w:tentative="1">
      <w:start w:val="1"/>
      <w:numFmt w:val="bullet"/>
      <w:lvlText w:val="•"/>
      <w:lvlJc w:val="left"/>
      <w:pPr>
        <w:tabs>
          <w:tab w:val="num" w:pos="4320"/>
        </w:tabs>
        <w:ind w:left="4320" w:hanging="360"/>
      </w:pPr>
      <w:rPr>
        <w:rFonts w:ascii="Times New Roman" w:hAnsi="Times New Roman" w:hint="default"/>
      </w:rPr>
    </w:lvl>
    <w:lvl w:ilvl="6" w:tplc="7F6AA0B4" w:tentative="1">
      <w:start w:val="1"/>
      <w:numFmt w:val="bullet"/>
      <w:lvlText w:val="•"/>
      <w:lvlJc w:val="left"/>
      <w:pPr>
        <w:tabs>
          <w:tab w:val="num" w:pos="5040"/>
        </w:tabs>
        <w:ind w:left="5040" w:hanging="360"/>
      </w:pPr>
      <w:rPr>
        <w:rFonts w:ascii="Times New Roman" w:hAnsi="Times New Roman" w:hint="default"/>
      </w:rPr>
    </w:lvl>
    <w:lvl w:ilvl="7" w:tplc="9064BDC4" w:tentative="1">
      <w:start w:val="1"/>
      <w:numFmt w:val="bullet"/>
      <w:lvlText w:val="•"/>
      <w:lvlJc w:val="left"/>
      <w:pPr>
        <w:tabs>
          <w:tab w:val="num" w:pos="5760"/>
        </w:tabs>
        <w:ind w:left="5760" w:hanging="360"/>
      </w:pPr>
      <w:rPr>
        <w:rFonts w:ascii="Times New Roman" w:hAnsi="Times New Roman" w:hint="default"/>
      </w:rPr>
    </w:lvl>
    <w:lvl w:ilvl="8" w:tplc="8F9E047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78E120CB"/>
    <w:multiLevelType w:val="hybridMultilevel"/>
    <w:tmpl w:val="7E12DF88"/>
    <w:lvl w:ilvl="0" w:tplc="F77CEF0E">
      <w:start w:val="1"/>
      <w:numFmt w:val="bullet"/>
      <w:lvlText w:val="•"/>
      <w:lvlJc w:val="left"/>
      <w:pPr>
        <w:tabs>
          <w:tab w:val="num" w:pos="720"/>
        </w:tabs>
        <w:ind w:left="720" w:hanging="360"/>
      </w:pPr>
      <w:rPr>
        <w:rFonts w:ascii="Times New Roman" w:hAnsi="Times New Roman" w:hint="default"/>
      </w:rPr>
    </w:lvl>
    <w:lvl w:ilvl="1" w:tplc="901C1644" w:tentative="1">
      <w:start w:val="1"/>
      <w:numFmt w:val="bullet"/>
      <w:lvlText w:val="•"/>
      <w:lvlJc w:val="left"/>
      <w:pPr>
        <w:tabs>
          <w:tab w:val="num" w:pos="1440"/>
        </w:tabs>
        <w:ind w:left="1440" w:hanging="360"/>
      </w:pPr>
      <w:rPr>
        <w:rFonts w:ascii="Times New Roman" w:hAnsi="Times New Roman" w:hint="default"/>
      </w:rPr>
    </w:lvl>
    <w:lvl w:ilvl="2" w:tplc="B11AC45C" w:tentative="1">
      <w:start w:val="1"/>
      <w:numFmt w:val="bullet"/>
      <w:lvlText w:val="•"/>
      <w:lvlJc w:val="left"/>
      <w:pPr>
        <w:tabs>
          <w:tab w:val="num" w:pos="2160"/>
        </w:tabs>
        <w:ind w:left="2160" w:hanging="360"/>
      </w:pPr>
      <w:rPr>
        <w:rFonts w:ascii="Times New Roman" w:hAnsi="Times New Roman" w:hint="default"/>
      </w:rPr>
    </w:lvl>
    <w:lvl w:ilvl="3" w:tplc="74E60AD4" w:tentative="1">
      <w:start w:val="1"/>
      <w:numFmt w:val="bullet"/>
      <w:lvlText w:val="•"/>
      <w:lvlJc w:val="left"/>
      <w:pPr>
        <w:tabs>
          <w:tab w:val="num" w:pos="2880"/>
        </w:tabs>
        <w:ind w:left="2880" w:hanging="360"/>
      </w:pPr>
      <w:rPr>
        <w:rFonts w:ascii="Times New Roman" w:hAnsi="Times New Roman" w:hint="default"/>
      </w:rPr>
    </w:lvl>
    <w:lvl w:ilvl="4" w:tplc="B5E24620" w:tentative="1">
      <w:start w:val="1"/>
      <w:numFmt w:val="bullet"/>
      <w:lvlText w:val="•"/>
      <w:lvlJc w:val="left"/>
      <w:pPr>
        <w:tabs>
          <w:tab w:val="num" w:pos="3600"/>
        </w:tabs>
        <w:ind w:left="3600" w:hanging="360"/>
      </w:pPr>
      <w:rPr>
        <w:rFonts w:ascii="Times New Roman" w:hAnsi="Times New Roman" w:hint="default"/>
      </w:rPr>
    </w:lvl>
    <w:lvl w:ilvl="5" w:tplc="995605D6" w:tentative="1">
      <w:start w:val="1"/>
      <w:numFmt w:val="bullet"/>
      <w:lvlText w:val="•"/>
      <w:lvlJc w:val="left"/>
      <w:pPr>
        <w:tabs>
          <w:tab w:val="num" w:pos="4320"/>
        </w:tabs>
        <w:ind w:left="4320" w:hanging="360"/>
      </w:pPr>
      <w:rPr>
        <w:rFonts w:ascii="Times New Roman" w:hAnsi="Times New Roman" w:hint="default"/>
      </w:rPr>
    </w:lvl>
    <w:lvl w:ilvl="6" w:tplc="484C04BE" w:tentative="1">
      <w:start w:val="1"/>
      <w:numFmt w:val="bullet"/>
      <w:lvlText w:val="•"/>
      <w:lvlJc w:val="left"/>
      <w:pPr>
        <w:tabs>
          <w:tab w:val="num" w:pos="5040"/>
        </w:tabs>
        <w:ind w:left="5040" w:hanging="360"/>
      </w:pPr>
      <w:rPr>
        <w:rFonts w:ascii="Times New Roman" w:hAnsi="Times New Roman" w:hint="default"/>
      </w:rPr>
    </w:lvl>
    <w:lvl w:ilvl="7" w:tplc="5F4C5ACA" w:tentative="1">
      <w:start w:val="1"/>
      <w:numFmt w:val="bullet"/>
      <w:lvlText w:val="•"/>
      <w:lvlJc w:val="left"/>
      <w:pPr>
        <w:tabs>
          <w:tab w:val="num" w:pos="5760"/>
        </w:tabs>
        <w:ind w:left="5760" w:hanging="360"/>
      </w:pPr>
      <w:rPr>
        <w:rFonts w:ascii="Times New Roman" w:hAnsi="Times New Roman" w:hint="default"/>
      </w:rPr>
    </w:lvl>
    <w:lvl w:ilvl="8" w:tplc="9514A232" w:tentative="1">
      <w:start w:val="1"/>
      <w:numFmt w:val="bullet"/>
      <w:lvlText w:val="•"/>
      <w:lvlJc w:val="left"/>
      <w:pPr>
        <w:tabs>
          <w:tab w:val="num" w:pos="6480"/>
        </w:tabs>
        <w:ind w:left="6480" w:hanging="360"/>
      </w:pPr>
      <w:rPr>
        <w:rFonts w:ascii="Times New Roman" w:hAnsi="Times New Roman" w:hint="default"/>
      </w:rPr>
    </w:lvl>
  </w:abstractNum>
  <w:num w:numId="1" w16cid:durableId="1460340677">
    <w:abstractNumId w:val="0"/>
  </w:num>
  <w:num w:numId="2" w16cid:durableId="1127743621">
    <w:abstractNumId w:val="2"/>
  </w:num>
  <w:num w:numId="3" w16cid:durableId="1401786">
    <w:abstractNumId w:val="3"/>
  </w:num>
  <w:num w:numId="4" w16cid:durableId="13655997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6EF"/>
    <w:rsid w:val="00193A69"/>
    <w:rsid w:val="001D6455"/>
    <w:rsid w:val="004A4108"/>
    <w:rsid w:val="00935DDA"/>
    <w:rsid w:val="00A06227"/>
    <w:rsid w:val="00B85394"/>
    <w:rsid w:val="00BB5012"/>
    <w:rsid w:val="00BF2811"/>
    <w:rsid w:val="00C33813"/>
    <w:rsid w:val="00E5397E"/>
    <w:rsid w:val="00F23588"/>
    <w:rsid w:val="00FC1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B58466"/>
  <w15:chartTrackingRefBased/>
  <w15:docId w15:val="{6B12C3F7-E30E-1345-AA99-525E09611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35DDA"/>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5394"/>
    <w:rPr>
      <w:rFonts w:ascii="Times New Roman" w:hAnsi="Times New Roman" w:cs="Times New Roman"/>
    </w:rPr>
  </w:style>
  <w:style w:type="character" w:customStyle="1" w:styleId="Heading2Char">
    <w:name w:val="Heading 2 Char"/>
    <w:basedOn w:val="DefaultParagraphFont"/>
    <w:link w:val="Heading2"/>
    <w:uiPriority w:val="9"/>
    <w:rsid w:val="00935DDA"/>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935DDA"/>
    <w:rPr>
      <w:b/>
      <w:bCs/>
    </w:rPr>
  </w:style>
  <w:style w:type="paragraph" w:styleId="ListParagraph">
    <w:name w:val="List Paragraph"/>
    <w:basedOn w:val="Normal"/>
    <w:uiPriority w:val="34"/>
    <w:qFormat/>
    <w:rsid w:val="00BF2811"/>
    <w:pPr>
      <w:ind w:left="720"/>
      <w:contextualSpacing/>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BF2811"/>
    <w:pPr>
      <w:tabs>
        <w:tab w:val="center" w:pos="4513"/>
        <w:tab w:val="right" w:pos="9026"/>
      </w:tabs>
    </w:pPr>
  </w:style>
  <w:style w:type="character" w:customStyle="1" w:styleId="HeaderChar">
    <w:name w:val="Header Char"/>
    <w:basedOn w:val="DefaultParagraphFont"/>
    <w:link w:val="Header"/>
    <w:uiPriority w:val="99"/>
    <w:rsid w:val="00BF2811"/>
  </w:style>
  <w:style w:type="paragraph" w:styleId="Footer">
    <w:name w:val="footer"/>
    <w:basedOn w:val="Normal"/>
    <w:link w:val="FooterChar"/>
    <w:uiPriority w:val="99"/>
    <w:unhideWhenUsed/>
    <w:rsid w:val="00BF2811"/>
    <w:pPr>
      <w:tabs>
        <w:tab w:val="center" w:pos="4513"/>
        <w:tab w:val="right" w:pos="9026"/>
      </w:tabs>
    </w:pPr>
  </w:style>
  <w:style w:type="character" w:customStyle="1" w:styleId="FooterChar">
    <w:name w:val="Footer Char"/>
    <w:basedOn w:val="DefaultParagraphFont"/>
    <w:link w:val="Footer"/>
    <w:uiPriority w:val="99"/>
    <w:rsid w:val="00BF2811"/>
  </w:style>
  <w:style w:type="character" w:styleId="PageNumber">
    <w:name w:val="page number"/>
    <w:basedOn w:val="DefaultParagraphFont"/>
    <w:uiPriority w:val="99"/>
    <w:semiHidden/>
    <w:unhideWhenUsed/>
    <w:rsid w:val="00BF2811"/>
  </w:style>
  <w:style w:type="character" w:styleId="Hyperlink">
    <w:name w:val="Hyperlink"/>
    <w:basedOn w:val="DefaultParagraphFont"/>
    <w:uiPriority w:val="99"/>
    <w:unhideWhenUsed/>
    <w:rsid w:val="00E5397E"/>
    <w:rPr>
      <w:color w:val="0563C1" w:themeColor="hyperlink"/>
      <w:u w:val="single"/>
    </w:rPr>
  </w:style>
  <w:style w:type="character" w:styleId="UnresolvedMention">
    <w:name w:val="Unresolved Mention"/>
    <w:basedOn w:val="DefaultParagraphFont"/>
    <w:uiPriority w:val="99"/>
    <w:semiHidden/>
    <w:unhideWhenUsed/>
    <w:rsid w:val="00E539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79285">
      <w:bodyDiv w:val="1"/>
      <w:marLeft w:val="0"/>
      <w:marRight w:val="0"/>
      <w:marTop w:val="0"/>
      <w:marBottom w:val="0"/>
      <w:divBdr>
        <w:top w:val="none" w:sz="0" w:space="0" w:color="auto"/>
        <w:left w:val="none" w:sz="0" w:space="0" w:color="auto"/>
        <w:bottom w:val="none" w:sz="0" w:space="0" w:color="auto"/>
        <w:right w:val="none" w:sz="0" w:space="0" w:color="auto"/>
      </w:divBdr>
    </w:div>
    <w:div w:id="69548361">
      <w:bodyDiv w:val="1"/>
      <w:marLeft w:val="0"/>
      <w:marRight w:val="0"/>
      <w:marTop w:val="0"/>
      <w:marBottom w:val="0"/>
      <w:divBdr>
        <w:top w:val="none" w:sz="0" w:space="0" w:color="auto"/>
        <w:left w:val="none" w:sz="0" w:space="0" w:color="auto"/>
        <w:bottom w:val="none" w:sz="0" w:space="0" w:color="auto"/>
        <w:right w:val="none" w:sz="0" w:space="0" w:color="auto"/>
      </w:divBdr>
      <w:divsChild>
        <w:div w:id="1589339767">
          <w:marLeft w:val="547"/>
          <w:marRight w:val="0"/>
          <w:marTop w:val="0"/>
          <w:marBottom w:val="0"/>
          <w:divBdr>
            <w:top w:val="none" w:sz="0" w:space="0" w:color="auto"/>
            <w:left w:val="none" w:sz="0" w:space="0" w:color="auto"/>
            <w:bottom w:val="none" w:sz="0" w:space="0" w:color="auto"/>
            <w:right w:val="none" w:sz="0" w:space="0" w:color="auto"/>
          </w:divBdr>
        </w:div>
      </w:divsChild>
    </w:div>
    <w:div w:id="188111557">
      <w:bodyDiv w:val="1"/>
      <w:marLeft w:val="0"/>
      <w:marRight w:val="0"/>
      <w:marTop w:val="0"/>
      <w:marBottom w:val="0"/>
      <w:divBdr>
        <w:top w:val="none" w:sz="0" w:space="0" w:color="auto"/>
        <w:left w:val="none" w:sz="0" w:space="0" w:color="auto"/>
        <w:bottom w:val="none" w:sz="0" w:space="0" w:color="auto"/>
        <w:right w:val="none" w:sz="0" w:space="0" w:color="auto"/>
      </w:divBdr>
    </w:div>
    <w:div w:id="242766549">
      <w:bodyDiv w:val="1"/>
      <w:marLeft w:val="0"/>
      <w:marRight w:val="0"/>
      <w:marTop w:val="0"/>
      <w:marBottom w:val="0"/>
      <w:divBdr>
        <w:top w:val="none" w:sz="0" w:space="0" w:color="auto"/>
        <w:left w:val="none" w:sz="0" w:space="0" w:color="auto"/>
        <w:bottom w:val="none" w:sz="0" w:space="0" w:color="auto"/>
        <w:right w:val="none" w:sz="0" w:space="0" w:color="auto"/>
      </w:divBdr>
    </w:div>
    <w:div w:id="278488089">
      <w:bodyDiv w:val="1"/>
      <w:marLeft w:val="0"/>
      <w:marRight w:val="0"/>
      <w:marTop w:val="0"/>
      <w:marBottom w:val="0"/>
      <w:divBdr>
        <w:top w:val="none" w:sz="0" w:space="0" w:color="auto"/>
        <w:left w:val="none" w:sz="0" w:space="0" w:color="auto"/>
        <w:bottom w:val="none" w:sz="0" w:space="0" w:color="auto"/>
        <w:right w:val="none" w:sz="0" w:space="0" w:color="auto"/>
      </w:divBdr>
      <w:divsChild>
        <w:div w:id="1303923074">
          <w:marLeft w:val="0"/>
          <w:marRight w:val="0"/>
          <w:marTop w:val="0"/>
          <w:marBottom w:val="0"/>
          <w:divBdr>
            <w:top w:val="none" w:sz="0" w:space="0" w:color="auto"/>
            <w:left w:val="none" w:sz="0" w:space="0" w:color="auto"/>
            <w:bottom w:val="none" w:sz="0" w:space="0" w:color="auto"/>
            <w:right w:val="none" w:sz="0" w:space="0" w:color="auto"/>
          </w:divBdr>
          <w:divsChild>
            <w:div w:id="438526648">
              <w:marLeft w:val="0"/>
              <w:marRight w:val="0"/>
              <w:marTop w:val="0"/>
              <w:marBottom w:val="0"/>
              <w:divBdr>
                <w:top w:val="none" w:sz="0" w:space="0" w:color="auto"/>
                <w:left w:val="none" w:sz="0" w:space="0" w:color="auto"/>
                <w:bottom w:val="none" w:sz="0" w:space="0" w:color="auto"/>
                <w:right w:val="none" w:sz="0" w:space="0" w:color="auto"/>
              </w:divBdr>
              <w:divsChild>
                <w:div w:id="119619489">
                  <w:marLeft w:val="0"/>
                  <w:marRight w:val="0"/>
                  <w:marTop w:val="0"/>
                  <w:marBottom w:val="0"/>
                  <w:divBdr>
                    <w:top w:val="none" w:sz="0" w:space="0" w:color="auto"/>
                    <w:left w:val="none" w:sz="0" w:space="0" w:color="auto"/>
                    <w:bottom w:val="none" w:sz="0" w:space="0" w:color="auto"/>
                    <w:right w:val="none" w:sz="0" w:space="0" w:color="auto"/>
                  </w:divBdr>
                  <w:divsChild>
                    <w:div w:id="25783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897816">
      <w:bodyDiv w:val="1"/>
      <w:marLeft w:val="0"/>
      <w:marRight w:val="0"/>
      <w:marTop w:val="0"/>
      <w:marBottom w:val="0"/>
      <w:divBdr>
        <w:top w:val="none" w:sz="0" w:space="0" w:color="auto"/>
        <w:left w:val="none" w:sz="0" w:space="0" w:color="auto"/>
        <w:bottom w:val="none" w:sz="0" w:space="0" w:color="auto"/>
        <w:right w:val="none" w:sz="0" w:space="0" w:color="auto"/>
      </w:divBdr>
    </w:div>
    <w:div w:id="357661110">
      <w:bodyDiv w:val="1"/>
      <w:marLeft w:val="0"/>
      <w:marRight w:val="0"/>
      <w:marTop w:val="0"/>
      <w:marBottom w:val="0"/>
      <w:divBdr>
        <w:top w:val="none" w:sz="0" w:space="0" w:color="auto"/>
        <w:left w:val="none" w:sz="0" w:space="0" w:color="auto"/>
        <w:bottom w:val="none" w:sz="0" w:space="0" w:color="auto"/>
        <w:right w:val="none" w:sz="0" w:space="0" w:color="auto"/>
      </w:divBdr>
      <w:divsChild>
        <w:div w:id="1001084531">
          <w:marLeft w:val="0"/>
          <w:marRight w:val="0"/>
          <w:marTop w:val="0"/>
          <w:marBottom w:val="0"/>
          <w:divBdr>
            <w:top w:val="none" w:sz="0" w:space="0" w:color="auto"/>
            <w:left w:val="none" w:sz="0" w:space="0" w:color="auto"/>
            <w:bottom w:val="none" w:sz="0" w:space="0" w:color="auto"/>
            <w:right w:val="none" w:sz="0" w:space="0" w:color="auto"/>
          </w:divBdr>
        </w:div>
      </w:divsChild>
    </w:div>
    <w:div w:id="377096584">
      <w:bodyDiv w:val="1"/>
      <w:marLeft w:val="0"/>
      <w:marRight w:val="0"/>
      <w:marTop w:val="0"/>
      <w:marBottom w:val="0"/>
      <w:divBdr>
        <w:top w:val="none" w:sz="0" w:space="0" w:color="auto"/>
        <w:left w:val="none" w:sz="0" w:space="0" w:color="auto"/>
        <w:bottom w:val="none" w:sz="0" w:space="0" w:color="auto"/>
        <w:right w:val="none" w:sz="0" w:space="0" w:color="auto"/>
      </w:divBdr>
    </w:div>
    <w:div w:id="387074675">
      <w:bodyDiv w:val="1"/>
      <w:marLeft w:val="0"/>
      <w:marRight w:val="0"/>
      <w:marTop w:val="0"/>
      <w:marBottom w:val="0"/>
      <w:divBdr>
        <w:top w:val="none" w:sz="0" w:space="0" w:color="auto"/>
        <w:left w:val="none" w:sz="0" w:space="0" w:color="auto"/>
        <w:bottom w:val="none" w:sz="0" w:space="0" w:color="auto"/>
        <w:right w:val="none" w:sz="0" w:space="0" w:color="auto"/>
      </w:divBdr>
    </w:div>
    <w:div w:id="461652348">
      <w:bodyDiv w:val="1"/>
      <w:marLeft w:val="0"/>
      <w:marRight w:val="0"/>
      <w:marTop w:val="0"/>
      <w:marBottom w:val="0"/>
      <w:divBdr>
        <w:top w:val="none" w:sz="0" w:space="0" w:color="auto"/>
        <w:left w:val="none" w:sz="0" w:space="0" w:color="auto"/>
        <w:bottom w:val="none" w:sz="0" w:space="0" w:color="auto"/>
        <w:right w:val="none" w:sz="0" w:space="0" w:color="auto"/>
      </w:divBdr>
    </w:div>
    <w:div w:id="495000500">
      <w:bodyDiv w:val="1"/>
      <w:marLeft w:val="0"/>
      <w:marRight w:val="0"/>
      <w:marTop w:val="0"/>
      <w:marBottom w:val="0"/>
      <w:divBdr>
        <w:top w:val="none" w:sz="0" w:space="0" w:color="auto"/>
        <w:left w:val="none" w:sz="0" w:space="0" w:color="auto"/>
        <w:bottom w:val="none" w:sz="0" w:space="0" w:color="auto"/>
        <w:right w:val="none" w:sz="0" w:space="0" w:color="auto"/>
      </w:divBdr>
    </w:div>
    <w:div w:id="505511631">
      <w:bodyDiv w:val="1"/>
      <w:marLeft w:val="0"/>
      <w:marRight w:val="0"/>
      <w:marTop w:val="0"/>
      <w:marBottom w:val="0"/>
      <w:divBdr>
        <w:top w:val="none" w:sz="0" w:space="0" w:color="auto"/>
        <w:left w:val="none" w:sz="0" w:space="0" w:color="auto"/>
        <w:bottom w:val="none" w:sz="0" w:space="0" w:color="auto"/>
        <w:right w:val="none" w:sz="0" w:space="0" w:color="auto"/>
      </w:divBdr>
    </w:div>
    <w:div w:id="513769373">
      <w:bodyDiv w:val="1"/>
      <w:marLeft w:val="0"/>
      <w:marRight w:val="0"/>
      <w:marTop w:val="0"/>
      <w:marBottom w:val="0"/>
      <w:divBdr>
        <w:top w:val="none" w:sz="0" w:space="0" w:color="auto"/>
        <w:left w:val="none" w:sz="0" w:space="0" w:color="auto"/>
        <w:bottom w:val="none" w:sz="0" w:space="0" w:color="auto"/>
        <w:right w:val="none" w:sz="0" w:space="0" w:color="auto"/>
      </w:divBdr>
    </w:div>
    <w:div w:id="579027214">
      <w:bodyDiv w:val="1"/>
      <w:marLeft w:val="0"/>
      <w:marRight w:val="0"/>
      <w:marTop w:val="0"/>
      <w:marBottom w:val="0"/>
      <w:divBdr>
        <w:top w:val="none" w:sz="0" w:space="0" w:color="auto"/>
        <w:left w:val="none" w:sz="0" w:space="0" w:color="auto"/>
        <w:bottom w:val="none" w:sz="0" w:space="0" w:color="auto"/>
        <w:right w:val="none" w:sz="0" w:space="0" w:color="auto"/>
      </w:divBdr>
      <w:divsChild>
        <w:div w:id="2068841253">
          <w:marLeft w:val="547"/>
          <w:marRight w:val="0"/>
          <w:marTop w:val="0"/>
          <w:marBottom w:val="0"/>
          <w:divBdr>
            <w:top w:val="none" w:sz="0" w:space="0" w:color="auto"/>
            <w:left w:val="none" w:sz="0" w:space="0" w:color="auto"/>
            <w:bottom w:val="none" w:sz="0" w:space="0" w:color="auto"/>
            <w:right w:val="none" w:sz="0" w:space="0" w:color="auto"/>
          </w:divBdr>
        </w:div>
      </w:divsChild>
    </w:div>
    <w:div w:id="675378334">
      <w:bodyDiv w:val="1"/>
      <w:marLeft w:val="0"/>
      <w:marRight w:val="0"/>
      <w:marTop w:val="0"/>
      <w:marBottom w:val="0"/>
      <w:divBdr>
        <w:top w:val="none" w:sz="0" w:space="0" w:color="auto"/>
        <w:left w:val="none" w:sz="0" w:space="0" w:color="auto"/>
        <w:bottom w:val="none" w:sz="0" w:space="0" w:color="auto"/>
        <w:right w:val="none" w:sz="0" w:space="0" w:color="auto"/>
      </w:divBdr>
    </w:div>
    <w:div w:id="687176546">
      <w:bodyDiv w:val="1"/>
      <w:marLeft w:val="0"/>
      <w:marRight w:val="0"/>
      <w:marTop w:val="0"/>
      <w:marBottom w:val="0"/>
      <w:divBdr>
        <w:top w:val="none" w:sz="0" w:space="0" w:color="auto"/>
        <w:left w:val="none" w:sz="0" w:space="0" w:color="auto"/>
        <w:bottom w:val="none" w:sz="0" w:space="0" w:color="auto"/>
        <w:right w:val="none" w:sz="0" w:space="0" w:color="auto"/>
      </w:divBdr>
      <w:divsChild>
        <w:div w:id="1388651103">
          <w:marLeft w:val="0"/>
          <w:marRight w:val="0"/>
          <w:marTop w:val="0"/>
          <w:marBottom w:val="0"/>
          <w:divBdr>
            <w:top w:val="none" w:sz="0" w:space="0" w:color="auto"/>
            <w:left w:val="none" w:sz="0" w:space="0" w:color="auto"/>
            <w:bottom w:val="none" w:sz="0" w:space="0" w:color="auto"/>
            <w:right w:val="none" w:sz="0" w:space="0" w:color="auto"/>
          </w:divBdr>
        </w:div>
      </w:divsChild>
    </w:div>
    <w:div w:id="802502767">
      <w:bodyDiv w:val="1"/>
      <w:marLeft w:val="0"/>
      <w:marRight w:val="0"/>
      <w:marTop w:val="0"/>
      <w:marBottom w:val="0"/>
      <w:divBdr>
        <w:top w:val="none" w:sz="0" w:space="0" w:color="auto"/>
        <w:left w:val="none" w:sz="0" w:space="0" w:color="auto"/>
        <w:bottom w:val="none" w:sz="0" w:space="0" w:color="auto"/>
        <w:right w:val="none" w:sz="0" w:space="0" w:color="auto"/>
      </w:divBdr>
      <w:divsChild>
        <w:div w:id="1770544546">
          <w:marLeft w:val="0"/>
          <w:marRight w:val="0"/>
          <w:marTop w:val="0"/>
          <w:marBottom w:val="0"/>
          <w:divBdr>
            <w:top w:val="none" w:sz="0" w:space="0" w:color="auto"/>
            <w:left w:val="none" w:sz="0" w:space="0" w:color="auto"/>
            <w:bottom w:val="none" w:sz="0" w:space="0" w:color="auto"/>
            <w:right w:val="none" w:sz="0" w:space="0" w:color="auto"/>
          </w:divBdr>
          <w:divsChild>
            <w:div w:id="1909344521">
              <w:marLeft w:val="0"/>
              <w:marRight w:val="0"/>
              <w:marTop w:val="0"/>
              <w:marBottom w:val="0"/>
              <w:divBdr>
                <w:top w:val="none" w:sz="0" w:space="0" w:color="auto"/>
                <w:left w:val="none" w:sz="0" w:space="0" w:color="auto"/>
                <w:bottom w:val="none" w:sz="0" w:space="0" w:color="auto"/>
                <w:right w:val="none" w:sz="0" w:space="0" w:color="auto"/>
              </w:divBdr>
              <w:divsChild>
                <w:div w:id="277295444">
                  <w:marLeft w:val="0"/>
                  <w:marRight w:val="0"/>
                  <w:marTop w:val="0"/>
                  <w:marBottom w:val="0"/>
                  <w:divBdr>
                    <w:top w:val="none" w:sz="0" w:space="0" w:color="auto"/>
                    <w:left w:val="none" w:sz="0" w:space="0" w:color="auto"/>
                    <w:bottom w:val="none" w:sz="0" w:space="0" w:color="auto"/>
                    <w:right w:val="none" w:sz="0" w:space="0" w:color="auto"/>
                  </w:divBdr>
                  <w:divsChild>
                    <w:div w:id="77178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811052">
      <w:bodyDiv w:val="1"/>
      <w:marLeft w:val="0"/>
      <w:marRight w:val="0"/>
      <w:marTop w:val="0"/>
      <w:marBottom w:val="0"/>
      <w:divBdr>
        <w:top w:val="none" w:sz="0" w:space="0" w:color="auto"/>
        <w:left w:val="none" w:sz="0" w:space="0" w:color="auto"/>
        <w:bottom w:val="none" w:sz="0" w:space="0" w:color="auto"/>
        <w:right w:val="none" w:sz="0" w:space="0" w:color="auto"/>
      </w:divBdr>
    </w:div>
    <w:div w:id="885026949">
      <w:bodyDiv w:val="1"/>
      <w:marLeft w:val="0"/>
      <w:marRight w:val="0"/>
      <w:marTop w:val="0"/>
      <w:marBottom w:val="0"/>
      <w:divBdr>
        <w:top w:val="none" w:sz="0" w:space="0" w:color="auto"/>
        <w:left w:val="none" w:sz="0" w:space="0" w:color="auto"/>
        <w:bottom w:val="none" w:sz="0" w:space="0" w:color="auto"/>
        <w:right w:val="none" w:sz="0" w:space="0" w:color="auto"/>
      </w:divBdr>
      <w:divsChild>
        <w:div w:id="131100561">
          <w:marLeft w:val="547"/>
          <w:marRight w:val="0"/>
          <w:marTop w:val="0"/>
          <w:marBottom w:val="0"/>
          <w:divBdr>
            <w:top w:val="none" w:sz="0" w:space="0" w:color="auto"/>
            <w:left w:val="none" w:sz="0" w:space="0" w:color="auto"/>
            <w:bottom w:val="none" w:sz="0" w:space="0" w:color="auto"/>
            <w:right w:val="none" w:sz="0" w:space="0" w:color="auto"/>
          </w:divBdr>
        </w:div>
      </w:divsChild>
    </w:div>
    <w:div w:id="944115868">
      <w:bodyDiv w:val="1"/>
      <w:marLeft w:val="0"/>
      <w:marRight w:val="0"/>
      <w:marTop w:val="0"/>
      <w:marBottom w:val="0"/>
      <w:divBdr>
        <w:top w:val="none" w:sz="0" w:space="0" w:color="auto"/>
        <w:left w:val="none" w:sz="0" w:space="0" w:color="auto"/>
        <w:bottom w:val="none" w:sz="0" w:space="0" w:color="auto"/>
        <w:right w:val="none" w:sz="0" w:space="0" w:color="auto"/>
      </w:divBdr>
      <w:divsChild>
        <w:div w:id="429400328">
          <w:marLeft w:val="0"/>
          <w:marRight w:val="0"/>
          <w:marTop w:val="0"/>
          <w:marBottom w:val="0"/>
          <w:divBdr>
            <w:top w:val="none" w:sz="0" w:space="0" w:color="auto"/>
            <w:left w:val="none" w:sz="0" w:space="0" w:color="auto"/>
            <w:bottom w:val="none" w:sz="0" w:space="0" w:color="auto"/>
            <w:right w:val="none" w:sz="0" w:space="0" w:color="auto"/>
          </w:divBdr>
          <w:divsChild>
            <w:div w:id="314460046">
              <w:marLeft w:val="0"/>
              <w:marRight w:val="0"/>
              <w:marTop w:val="0"/>
              <w:marBottom w:val="0"/>
              <w:divBdr>
                <w:top w:val="none" w:sz="0" w:space="0" w:color="auto"/>
                <w:left w:val="none" w:sz="0" w:space="0" w:color="auto"/>
                <w:bottom w:val="none" w:sz="0" w:space="0" w:color="auto"/>
                <w:right w:val="none" w:sz="0" w:space="0" w:color="auto"/>
              </w:divBdr>
              <w:divsChild>
                <w:div w:id="1629119929">
                  <w:marLeft w:val="0"/>
                  <w:marRight w:val="0"/>
                  <w:marTop w:val="0"/>
                  <w:marBottom w:val="0"/>
                  <w:divBdr>
                    <w:top w:val="none" w:sz="0" w:space="0" w:color="auto"/>
                    <w:left w:val="none" w:sz="0" w:space="0" w:color="auto"/>
                    <w:bottom w:val="none" w:sz="0" w:space="0" w:color="auto"/>
                    <w:right w:val="none" w:sz="0" w:space="0" w:color="auto"/>
                  </w:divBdr>
                </w:div>
              </w:divsChild>
            </w:div>
            <w:div w:id="2064139213">
              <w:marLeft w:val="0"/>
              <w:marRight w:val="0"/>
              <w:marTop w:val="0"/>
              <w:marBottom w:val="0"/>
              <w:divBdr>
                <w:top w:val="none" w:sz="0" w:space="0" w:color="auto"/>
                <w:left w:val="none" w:sz="0" w:space="0" w:color="auto"/>
                <w:bottom w:val="none" w:sz="0" w:space="0" w:color="auto"/>
                <w:right w:val="none" w:sz="0" w:space="0" w:color="auto"/>
              </w:divBdr>
              <w:divsChild>
                <w:div w:id="83692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333577">
      <w:bodyDiv w:val="1"/>
      <w:marLeft w:val="0"/>
      <w:marRight w:val="0"/>
      <w:marTop w:val="0"/>
      <w:marBottom w:val="0"/>
      <w:divBdr>
        <w:top w:val="none" w:sz="0" w:space="0" w:color="auto"/>
        <w:left w:val="none" w:sz="0" w:space="0" w:color="auto"/>
        <w:bottom w:val="none" w:sz="0" w:space="0" w:color="auto"/>
        <w:right w:val="none" w:sz="0" w:space="0" w:color="auto"/>
      </w:divBdr>
      <w:divsChild>
        <w:div w:id="2131899897">
          <w:marLeft w:val="0"/>
          <w:marRight w:val="0"/>
          <w:marTop w:val="0"/>
          <w:marBottom w:val="0"/>
          <w:divBdr>
            <w:top w:val="none" w:sz="0" w:space="0" w:color="auto"/>
            <w:left w:val="none" w:sz="0" w:space="0" w:color="auto"/>
            <w:bottom w:val="none" w:sz="0" w:space="0" w:color="auto"/>
            <w:right w:val="none" w:sz="0" w:space="0" w:color="auto"/>
          </w:divBdr>
          <w:divsChild>
            <w:div w:id="367872419">
              <w:marLeft w:val="0"/>
              <w:marRight w:val="0"/>
              <w:marTop w:val="0"/>
              <w:marBottom w:val="0"/>
              <w:divBdr>
                <w:top w:val="none" w:sz="0" w:space="0" w:color="auto"/>
                <w:left w:val="none" w:sz="0" w:space="0" w:color="auto"/>
                <w:bottom w:val="none" w:sz="0" w:space="0" w:color="auto"/>
                <w:right w:val="none" w:sz="0" w:space="0" w:color="auto"/>
              </w:divBdr>
              <w:divsChild>
                <w:div w:id="1145316819">
                  <w:marLeft w:val="0"/>
                  <w:marRight w:val="0"/>
                  <w:marTop w:val="0"/>
                  <w:marBottom w:val="0"/>
                  <w:divBdr>
                    <w:top w:val="none" w:sz="0" w:space="0" w:color="auto"/>
                    <w:left w:val="none" w:sz="0" w:space="0" w:color="auto"/>
                    <w:bottom w:val="none" w:sz="0" w:space="0" w:color="auto"/>
                    <w:right w:val="none" w:sz="0" w:space="0" w:color="auto"/>
                  </w:divBdr>
                  <w:divsChild>
                    <w:div w:id="96397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603511">
      <w:bodyDiv w:val="1"/>
      <w:marLeft w:val="0"/>
      <w:marRight w:val="0"/>
      <w:marTop w:val="0"/>
      <w:marBottom w:val="0"/>
      <w:divBdr>
        <w:top w:val="none" w:sz="0" w:space="0" w:color="auto"/>
        <w:left w:val="none" w:sz="0" w:space="0" w:color="auto"/>
        <w:bottom w:val="none" w:sz="0" w:space="0" w:color="auto"/>
        <w:right w:val="none" w:sz="0" w:space="0" w:color="auto"/>
      </w:divBdr>
    </w:div>
    <w:div w:id="1078090650">
      <w:bodyDiv w:val="1"/>
      <w:marLeft w:val="0"/>
      <w:marRight w:val="0"/>
      <w:marTop w:val="0"/>
      <w:marBottom w:val="0"/>
      <w:divBdr>
        <w:top w:val="none" w:sz="0" w:space="0" w:color="auto"/>
        <w:left w:val="none" w:sz="0" w:space="0" w:color="auto"/>
        <w:bottom w:val="none" w:sz="0" w:space="0" w:color="auto"/>
        <w:right w:val="none" w:sz="0" w:space="0" w:color="auto"/>
      </w:divBdr>
      <w:divsChild>
        <w:div w:id="375592703">
          <w:marLeft w:val="0"/>
          <w:marRight w:val="0"/>
          <w:marTop w:val="0"/>
          <w:marBottom w:val="0"/>
          <w:divBdr>
            <w:top w:val="none" w:sz="0" w:space="0" w:color="auto"/>
            <w:left w:val="none" w:sz="0" w:space="0" w:color="auto"/>
            <w:bottom w:val="none" w:sz="0" w:space="0" w:color="auto"/>
            <w:right w:val="none" w:sz="0" w:space="0" w:color="auto"/>
          </w:divBdr>
          <w:divsChild>
            <w:div w:id="796948305">
              <w:marLeft w:val="0"/>
              <w:marRight w:val="0"/>
              <w:marTop w:val="0"/>
              <w:marBottom w:val="0"/>
              <w:divBdr>
                <w:top w:val="none" w:sz="0" w:space="0" w:color="auto"/>
                <w:left w:val="none" w:sz="0" w:space="0" w:color="auto"/>
                <w:bottom w:val="none" w:sz="0" w:space="0" w:color="auto"/>
                <w:right w:val="none" w:sz="0" w:space="0" w:color="auto"/>
              </w:divBdr>
              <w:divsChild>
                <w:div w:id="446238208">
                  <w:marLeft w:val="0"/>
                  <w:marRight w:val="0"/>
                  <w:marTop w:val="0"/>
                  <w:marBottom w:val="0"/>
                  <w:divBdr>
                    <w:top w:val="none" w:sz="0" w:space="0" w:color="auto"/>
                    <w:left w:val="none" w:sz="0" w:space="0" w:color="auto"/>
                    <w:bottom w:val="none" w:sz="0" w:space="0" w:color="auto"/>
                    <w:right w:val="none" w:sz="0" w:space="0" w:color="auto"/>
                  </w:divBdr>
                  <w:divsChild>
                    <w:div w:id="115988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293671">
      <w:bodyDiv w:val="1"/>
      <w:marLeft w:val="0"/>
      <w:marRight w:val="0"/>
      <w:marTop w:val="0"/>
      <w:marBottom w:val="0"/>
      <w:divBdr>
        <w:top w:val="none" w:sz="0" w:space="0" w:color="auto"/>
        <w:left w:val="none" w:sz="0" w:space="0" w:color="auto"/>
        <w:bottom w:val="none" w:sz="0" w:space="0" w:color="auto"/>
        <w:right w:val="none" w:sz="0" w:space="0" w:color="auto"/>
      </w:divBdr>
      <w:divsChild>
        <w:div w:id="1209337081">
          <w:marLeft w:val="0"/>
          <w:marRight w:val="0"/>
          <w:marTop w:val="0"/>
          <w:marBottom w:val="0"/>
          <w:divBdr>
            <w:top w:val="none" w:sz="0" w:space="0" w:color="auto"/>
            <w:left w:val="none" w:sz="0" w:space="0" w:color="auto"/>
            <w:bottom w:val="none" w:sz="0" w:space="0" w:color="auto"/>
            <w:right w:val="none" w:sz="0" w:space="0" w:color="auto"/>
          </w:divBdr>
          <w:divsChild>
            <w:div w:id="1790969855">
              <w:marLeft w:val="0"/>
              <w:marRight w:val="0"/>
              <w:marTop w:val="0"/>
              <w:marBottom w:val="0"/>
              <w:divBdr>
                <w:top w:val="none" w:sz="0" w:space="0" w:color="auto"/>
                <w:left w:val="none" w:sz="0" w:space="0" w:color="auto"/>
                <w:bottom w:val="none" w:sz="0" w:space="0" w:color="auto"/>
                <w:right w:val="none" w:sz="0" w:space="0" w:color="auto"/>
              </w:divBdr>
              <w:divsChild>
                <w:div w:id="658853656">
                  <w:marLeft w:val="0"/>
                  <w:marRight w:val="0"/>
                  <w:marTop w:val="0"/>
                  <w:marBottom w:val="0"/>
                  <w:divBdr>
                    <w:top w:val="none" w:sz="0" w:space="0" w:color="auto"/>
                    <w:left w:val="none" w:sz="0" w:space="0" w:color="auto"/>
                    <w:bottom w:val="none" w:sz="0" w:space="0" w:color="auto"/>
                    <w:right w:val="none" w:sz="0" w:space="0" w:color="auto"/>
                  </w:divBdr>
                  <w:divsChild>
                    <w:div w:id="73682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29204">
      <w:bodyDiv w:val="1"/>
      <w:marLeft w:val="0"/>
      <w:marRight w:val="0"/>
      <w:marTop w:val="0"/>
      <w:marBottom w:val="0"/>
      <w:divBdr>
        <w:top w:val="none" w:sz="0" w:space="0" w:color="auto"/>
        <w:left w:val="none" w:sz="0" w:space="0" w:color="auto"/>
        <w:bottom w:val="none" w:sz="0" w:space="0" w:color="auto"/>
        <w:right w:val="none" w:sz="0" w:space="0" w:color="auto"/>
      </w:divBdr>
    </w:div>
    <w:div w:id="1222523969">
      <w:bodyDiv w:val="1"/>
      <w:marLeft w:val="0"/>
      <w:marRight w:val="0"/>
      <w:marTop w:val="0"/>
      <w:marBottom w:val="0"/>
      <w:divBdr>
        <w:top w:val="none" w:sz="0" w:space="0" w:color="auto"/>
        <w:left w:val="none" w:sz="0" w:space="0" w:color="auto"/>
        <w:bottom w:val="none" w:sz="0" w:space="0" w:color="auto"/>
        <w:right w:val="none" w:sz="0" w:space="0" w:color="auto"/>
      </w:divBdr>
    </w:div>
    <w:div w:id="1237016999">
      <w:bodyDiv w:val="1"/>
      <w:marLeft w:val="0"/>
      <w:marRight w:val="0"/>
      <w:marTop w:val="0"/>
      <w:marBottom w:val="0"/>
      <w:divBdr>
        <w:top w:val="none" w:sz="0" w:space="0" w:color="auto"/>
        <w:left w:val="none" w:sz="0" w:space="0" w:color="auto"/>
        <w:bottom w:val="none" w:sz="0" w:space="0" w:color="auto"/>
        <w:right w:val="none" w:sz="0" w:space="0" w:color="auto"/>
      </w:divBdr>
      <w:divsChild>
        <w:div w:id="1082068401">
          <w:marLeft w:val="0"/>
          <w:marRight w:val="0"/>
          <w:marTop w:val="0"/>
          <w:marBottom w:val="0"/>
          <w:divBdr>
            <w:top w:val="none" w:sz="0" w:space="0" w:color="auto"/>
            <w:left w:val="none" w:sz="0" w:space="0" w:color="auto"/>
            <w:bottom w:val="none" w:sz="0" w:space="0" w:color="auto"/>
            <w:right w:val="none" w:sz="0" w:space="0" w:color="auto"/>
          </w:divBdr>
          <w:divsChild>
            <w:div w:id="1776753567">
              <w:marLeft w:val="0"/>
              <w:marRight w:val="0"/>
              <w:marTop w:val="0"/>
              <w:marBottom w:val="0"/>
              <w:divBdr>
                <w:top w:val="none" w:sz="0" w:space="0" w:color="auto"/>
                <w:left w:val="none" w:sz="0" w:space="0" w:color="auto"/>
                <w:bottom w:val="none" w:sz="0" w:space="0" w:color="auto"/>
                <w:right w:val="none" w:sz="0" w:space="0" w:color="auto"/>
              </w:divBdr>
              <w:divsChild>
                <w:div w:id="1633945830">
                  <w:marLeft w:val="0"/>
                  <w:marRight w:val="0"/>
                  <w:marTop w:val="0"/>
                  <w:marBottom w:val="0"/>
                  <w:divBdr>
                    <w:top w:val="none" w:sz="0" w:space="0" w:color="auto"/>
                    <w:left w:val="none" w:sz="0" w:space="0" w:color="auto"/>
                    <w:bottom w:val="none" w:sz="0" w:space="0" w:color="auto"/>
                    <w:right w:val="none" w:sz="0" w:space="0" w:color="auto"/>
                  </w:divBdr>
                  <w:divsChild>
                    <w:div w:id="140660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578058">
      <w:bodyDiv w:val="1"/>
      <w:marLeft w:val="0"/>
      <w:marRight w:val="0"/>
      <w:marTop w:val="0"/>
      <w:marBottom w:val="0"/>
      <w:divBdr>
        <w:top w:val="none" w:sz="0" w:space="0" w:color="auto"/>
        <w:left w:val="none" w:sz="0" w:space="0" w:color="auto"/>
        <w:bottom w:val="none" w:sz="0" w:space="0" w:color="auto"/>
        <w:right w:val="none" w:sz="0" w:space="0" w:color="auto"/>
      </w:divBdr>
      <w:divsChild>
        <w:div w:id="149365888">
          <w:marLeft w:val="0"/>
          <w:marRight w:val="0"/>
          <w:marTop w:val="0"/>
          <w:marBottom w:val="0"/>
          <w:divBdr>
            <w:top w:val="none" w:sz="0" w:space="0" w:color="auto"/>
            <w:left w:val="none" w:sz="0" w:space="0" w:color="auto"/>
            <w:bottom w:val="none" w:sz="0" w:space="0" w:color="auto"/>
            <w:right w:val="none" w:sz="0" w:space="0" w:color="auto"/>
          </w:divBdr>
        </w:div>
      </w:divsChild>
    </w:div>
    <w:div w:id="1297375718">
      <w:bodyDiv w:val="1"/>
      <w:marLeft w:val="0"/>
      <w:marRight w:val="0"/>
      <w:marTop w:val="0"/>
      <w:marBottom w:val="0"/>
      <w:divBdr>
        <w:top w:val="none" w:sz="0" w:space="0" w:color="auto"/>
        <w:left w:val="none" w:sz="0" w:space="0" w:color="auto"/>
        <w:bottom w:val="none" w:sz="0" w:space="0" w:color="auto"/>
        <w:right w:val="none" w:sz="0" w:space="0" w:color="auto"/>
      </w:divBdr>
      <w:divsChild>
        <w:div w:id="373849299">
          <w:marLeft w:val="547"/>
          <w:marRight w:val="0"/>
          <w:marTop w:val="0"/>
          <w:marBottom w:val="0"/>
          <w:divBdr>
            <w:top w:val="none" w:sz="0" w:space="0" w:color="auto"/>
            <w:left w:val="none" w:sz="0" w:space="0" w:color="auto"/>
            <w:bottom w:val="none" w:sz="0" w:space="0" w:color="auto"/>
            <w:right w:val="none" w:sz="0" w:space="0" w:color="auto"/>
          </w:divBdr>
        </w:div>
      </w:divsChild>
    </w:div>
    <w:div w:id="1339887260">
      <w:bodyDiv w:val="1"/>
      <w:marLeft w:val="0"/>
      <w:marRight w:val="0"/>
      <w:marTop w:val="0"/>
      <w:marBottom w:val="0"/>
      <w:divBdr>
        <w:top w:val="none" w:sz="0" w:space="0" w:color="auto"/>
        <w:left w:val="none" w:sz="0" w:space="0" w:color="auto"/>
        <w:bottom w:val="none" w:sz="0" w:space="0" w:color="auto"/>
        <w:right w:val="none" w:sz="0" w:space="0" w:color="auto"/>
      </w:divBdr>
    </w:div>
    <w:div w:id="1391686254">
      <w:bodyDiv w:val="1"/>
      <w:marLeft w:val="0"/>
      <w:marRight w:val="0"/>
      <w:marTop w:val="0"/>
      <w:marBottom w:val="0"/>
      <w:divBdr>
        <w:top w:val="none" w:sz="0" w:space="0" w:color="auto"/>
        <w:left w:val="none" w:sz="0" w:space="0" w:color="auto"/>
        <w:bottom w:val="none" w:sz="0" w:space="0" w:color="auto"/>
        <w:right w:val="none" w:sz="0" w:space="0" w:color="auto"/>
      </w:divBdr>
    </w:div>
    <w:div w:id="1442266698">
      <w:bodyDiv w:val="1"/>
      <w:marLeft w:val="0"/>
      <w:marRight w:val="0"/>
      <w:marTop w:val="0"/>
      <w:marBottom w:val="0"/>
      <w:divBdr>
        <w:top w:val="none" w:sz="0" w:space="0" w:color="auto"/>
        <w:left w:val="none" w:sz="0" w:space="0" w:color="auto"/>
        <w:bottom w:val="none" w:sz="0" w:space="0" w:color="auto"/>
        <w:right w:val="none" w:sz="0" w:space="0" w:color="auto"/>
      </w:divBdr>
    </w:div>
    <w:div w:id="1470517121">
      <w:bodyDiv w:val="1"/>
      <w:marLeft w:val="0"/>
      <w:marRight w:val="0"/>
      <w:marTop w:val="0"/>
      <w:marBottom w:val="0"/>
      <w:divBdr>
        <w:top w:val="none" w:sz="0" w:space="0" w:color="auto"/>
        <w:left w:val="none" w:sz="0" w:space="0" w:color="auto"/>
        <w:bottom w:val="none" w:sz="0" w:space="0" w:color="auto"/>
        <w:right w:val="none" w:sz="0" w:space="0" w:color="auto"/>
      </w:divBdr>
    </w:div>
    <w:div w:id="1485897896">
      <w:bodyDiv w:val="1"/>
      <w:marLeft w:val="0"/>
      <w:marRight w:val="0"/>
      <w:marTop w:val="0"/>
      <w:marBottom w:val="0"/>
      <w:divBdr>
        <w:top w:val="none" w:sz="0" w:space="0" w:color="auto"/>
        <w:left w:val="none" w:sz="0" w:space="0" w:color="auto"/>
        <w:bottom w:val="none" w:sz="0" w:space="0" w:color="auto"/>
        <w:right w:val="none" w:sz="0" w:space="0" w:color="auto"/>
      </w:divBdr>
      <w:divsChild>
        <w:div w:id="1533760643">
          <w:marLeft w:val="0"/>
          <w:marRight w:val="0"/>
          <w:marTop w:val="0"/>
          <w:marBottom w:val="0"/>
          <w:divBdr>
            <w:top w:val="none" w:sz="0" w:space="0" w:color="auto"/>
            <w:left w:val="none" w:sz="0" w:space="0" w:color="auto"/>
            <w:bottom w:val="none" w:sz="0" w:space="0" w:color="auto"/>
            <w:right w:val="none" w:sz="0" w:space="0" w:color="auto"/>
          </w:divBdr>
        </w:div>
      </w:divsChild>
    </w:div>
    <w:div w:id="1523470736">
      <w:bodyDiv w:val="1"/>
      <w:marLeft w:val="0"/>
      <w:marRight w:val="0"/>
      <w:marTop w:val="0"/>
      <w:marBottom w:val="0"/>
      <w:divBdr>
        <w:top w:val="none" w:sz="0" w:space="0" w:color="auto"/>
        <w:left w:val="none" w:sz="0" w:space="0" w:color="auto"/>
        <w:bottom w:val="none" w:sz="0" w:space="0" w:color="auto"/>
        <w:right w:val="none" w:sz="0" w:space="0" w:color="auto"/>
      </w:divBdr>
    </w:div>
    <w:div w:id="1680430270">
      <w:bodyDiv w:val="1"/>
      <w:marLeft w:val="0"/>
      <w:marRight w:val="0"/>
      <w:marTop w:val="0"/>
      <w:marBottom w:val="0"/>
      <w:divBdr>
        <w:top w:val="none" w:sz="0" w:space="0" w:color="auto"/>
        <w:left w:val="none" w:sz="0" w:space="0" w:color="auto"/>
        <w:bottom w:val="none" w:sz="0" w:space="0" w:color="auto"/>
        <w:right w:val="none" w:sz="0" w:space="0" w:color="auto"/>
      </w:divBdr>
      <w:divsChild>
        <w:div w:id="1326588272">
          <w:marLeft w:val="0"/>
          <w:marRight w:val="0"/>
          <w:marTop w:val="0"/>
          <w:marBottom w:val="0"/>
          <w:divBdr>
            <w:top w:val="none" w:sz="0" w:space="0" w:color="auto"/>
            <w:left w:val="none" w:sz="0" w:space="0" w:color="auto"/>
            <w:bottom w:val="none" w:sz="0" w:space="0" w:color="auto"/>
            <w:right w:val="none" w:sz="0" w:space="0" w:color="auto"/>
          </w:divBdr>
          <w:divsChild>
            <w:div w:id="364865906">
              <w:marLeft w:val="0"/>
              <w:marRight w:val="0"/>
              <w:marTop w:val="0"/>
              <w:marBottom w:val="0"/>
              <w:divBdr>
                <w:top w:val="none" w:sz="0" w:space="0" w:color="auto"/>
                <w:left w:val="none" w:sz="0" w:space="0" w:color="auto"/>
                <w:bottom w:val="none" w:sz="0" w:space="0" w:color="auto"/>
                <w:right w:val="none" w:sz="0" w:space="0" w:color="auto"/>
              </w:divBdr>
              <w:divsChild>
                <w:div w:id="2078282734">
                  <w:marLeft w:val="0"/>
                  <w:marRight w:val="0"/>
                  <w:marTop w:val="0"/>
                  <w:marBottom w:val="0"/>
                  <w:divBdr>
                    <w:top w:val="none" w:sz="0" w:space="0" w:color="auto"/>
                    <w:left w:val="none" w:sz="0" w:space="0" w:color="auto"/>
                    <w:bottom w:val="none" w:sz="0" w:space="0" w:color="auto"/>
                    <w:right w:val="none" w:sz="0" w:space="0" w:color="auto"/>
                  </w:divBdr>
                  <w:divsChild>
                    <w:div w:id="163336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629832">
      <w:bodyDiv w:val="1"/>
      <w:marLeft w:val="0"/>
      <w:marRight w:val="0"/>
      <w:marTop w:val="0"/>
      <w:marBottom w:val="0"/>
      <w:divBdr>
        <w:top w:val="none" w:sz="0" w:space="0" w:color="auto"/>
        <w:left w:val="none" w:sz="0" w:space="0" w:color="auto"/>
        <w:bottom w:val="none" w:sz="0" w:space="0" w:color="auto"/>
        <w:right w:val="none" w:sz="0" w:space="0" w:color="auto"/>
      </w:divBdr>
    </w:div>
    <w:div w:id="1775858168">
      <w:bodyDiv w:val="1"/>
      <w:marLeft w:val="0"/>
      <w:marRight w:val="0"/>
      <w:marTop w:val="0"/>
      <w:marBottom w:val="0"/>
      <w:divBdr>
        <w:top w:val="none" w:sz="0" w:space="0" w:color="auto"/>
        <w:left w:val="none" w:sz="0" w:space="0" w:color="auto"/>
        <w:bottom w:val="none" w:sz="0" w:space="0" w:color="auto"/>
        <w:right w:val="none" w:sz="0" w:space="0" w:color="auto"/>
      </w:divBdr>
      <w:divsChild>
        <w:div w:id="1042901192">
          <w:marLeft w:val="0"/>
          <w:marRight w:val="0"/>
          <w:marTop w:val="0"/>
          <w:marBottom w:val="0"/>
          <w:divBdr>
            <w:top w:val="none" w:sz="0" w:space="0" w:color="auto"/>
            <w:left w:val="none" w:sz="0" w:space="0" w:color="auto"/>
            <w:bottom w:val="none" w:sz="0" w:space="0" w:color="auto"/>
            <w:right w:val="none" w:sz="0" w:space="0" w:color="auto"/>
          </w:divBdr>
          <w:divsChild>
            <w:div w:id="1403408087">
              <w:marLeft w:val="0"/>
              <w:marRight w:val="0"/>
              <w:marTop w:val="0"/>
              <w:marBottom w:val="0"/>
              <w:divBdr>
                <w:top w:val="none" w:sz="0" w:space="0" w:color="auto"/>
                <w:left w:val="none" w:sz="0" w:space="0" w:color="auto"/>
                <w:bottom w:val="none" w:sz="0" w:space="0" w:color="auto"/>
                <w:right w:val="none" w:sz="0" w:space="0" w:color="auto"/>
              </w:divBdr>
              <w:divsChild>
                <w:div w:id="1038966376">
                  <w:marLeft w:val="0"/>
                  <w:marRight w:val="0"/>
                  <w:marTop w:val="0"/>
                  <w:marBottom w:val="0"/>
                  <w:divBdr>
                    <w:top w:val="none" w:sz="0" w:space="0" w:color="auto"/>
                    <w:left w:val="none" w:sz="0" w:space="0" w:color="auto"/>
                    <w:bottom w:val="none" w:sz="0" w:space="0" w:color="auto"/>
                    <w:right w:val="none" w:sz="0" w:space="0" w:color="auto"/>
                  </w:divBdr>
                  <w:divsChild>
                    <w:div w:id="174583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540025">
      <w:bodyDiv w:val="1"/>
      <w:marLeft w:val="0"/>
      <w:marRight w:val="0"/>
      <w:marTop w:val="0"/>
      <w:marBottom w:val="0"/>
      <w:divBdr>
        <w:top w:val="none" w:sz="0" w:space="0" w:color="auto"/>
        <w:left w:val="none" w:sz="0" w:space="0" w:color="auto"/>
        <w:bottom w:val="none" w:sz="0" w:space="0" w:color="auto"/>
        <w:right w:val="none" w:sz="0" w:space="0" w:color="auto"/>
      </w:divBdr>
    </w:div>
    <w:div w:id="1843083426">
      <w:bodyDiv w:val="1"/>
      <w:marLeft w:val="0"/>
      <w:marRight w:val="0"/>
      <w:marTop w:val="0"/>
      <w:marBottom w:val="0"/>
      <w:divBdr>
        <w:top w:val="none" w:sz="0" w:space="0" w:color="auto"/>
        <w:left w:val="none" w:sz="0" w:space="0" w:color="auto"/>
        <w:bottom w:val="none" w:sz="0" w:space="0" w:color="auto"/>
        <w:right w:val="none" w:sz="0" w:space="0" w:color="auto"/>
      </w:divBdr>
      <w:divsChild>
        <w:div w:id="1496533363">
          <w:marLeft w:val="0"/>
          <w:marRight w:val="0"/>
          <w:marTop w:val="0"/>
          <w:marBottom w:val="0"/>
          <w:divBdr>
            <w:top w:val="none" w:sz="0" w:space="0" w:color="auto"/>
            <w:left w:val="none" w:sz="0" w:space="0" w:color="auto"/>
            <w:bottom w:val="none" w:sz="0" w:space="0" w:color="auto"/>
            <w:right w:val="none" w:sz="0" w:space="0" w:color="auto"/>
          </w:divBdr>
          <w:divsChild>
            <w:div w:id="485051476">
              <w:marLeft w:val="0"/>
              <w:marRight w:val="0"/>
              <w:marTop w:val="0"/>
              <w:marBottom w:val="0"/>
              <w:divBdr>
                <w:top w:val="none" w:sz="0" w:space="0" w:color="auto"/>
                <w:left w:val="none" w:sz="0" w:space="0" w:color="auto"/>
                <w:bottom w:val="none" w:sz="0" w:space="0" w:color="auto"/>
                <w:right w:val="none" w:sz="0" w:space="0" w:color="auto"/>
              </w:divBdr>
              <w:divsChild>
                <w:div w:id="691298278">
                  <w:marLeft w:val="0"/>
                  <w:marRight w:val="0"/>
                  <w:marTop w:val="0"/>
                  <w:marBottom w:val="0"/>
                  <w:divBdr>
                    <w:top w:val="none" w:sz="0" w:space="0" w:color="auto"/>
                    <w:left w:val="none" w:sz="0" w:space="0" w:color="auto"/>
                    <w:bottom w:val="none" w:sz="0" w:space="0" w:color="auto"/>
                    <w:right w:val="none" w:sz="0" w:space="0" w:color="auto"/>
                  </w:divBdr>
                  <w:divsChild>
                    <w:div w:id="11953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451459">
      <w:bodyDiv w:val="1"/>
      <w:marLeft w:val="0"/>
      <w:marRight w:val="0"/>
      <w:marTop w:val="0"/>
      <w:marBottom w:val="0"/>
      <w:divBdr>
        <w:top w:val="none" w:sz="0" w:space="0" w:color="auto"/>
        <w:left w:val="none" w:sz="0" w:space="0" w:color="auto"/>
        <w:bottom w:val="none" w:sz="0" w:space="0" w:color="auto"/>
        <w:right w:val="none" w:sz="0" w:space="0" w:color="auto"/>
      </w:divBdr>
    </w:div>
    <w:div w:id="211643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download/33257417/IJAS_2013.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ooks.google.co.uk/books?hl=en&amp;lr=&amp;id=3gnfDQAAQBAJ&amp;oi=fnd&amp;pg=PR10&amp;dq=Introduction+to+Health+and+Social+Care&amp;ots=lNlcR5Pmxx&amp;sig=up2ek__9zVqnM_UgXayewxr7CVM&amp;redir_esc=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320</TotalTime>
  <Pages>1</Pages>
  <Words>1736</Words>
  <Characters>9897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Kifah Alhassan (STU113752)</dc:creator>
  <cp:keywords/>
  <dc:description/>
  <cp:lastModifiedBy>Aladdin Hamza Ahmed Mohammed (2410516)</cp:lastModifiedBy>
  <cp:revision>2</cp:revision>
  <dcterms:created xsi:type="dcterms:W3CDTF">2025-11-17T10:07:00Z</dcterms:created>
  <dcterms:modified xsi:type="dcterms:W3CDTF">2025-11-17T10:07:00Z</dcterms:modified>
</cp:coreProperties>
</file>