
<file path=[Content_Types].xml><?xml version="1.0" encoding="utf-8"?>
<Types xmlns="http://schemas.openxmlformats.org/package/2006/content-types">
  <Default Extension="xml" ContentType="application/xml"/>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spacing w:before="0" w:beforeAutospacing="0" w:after="160" w:afterAutospacing="0" w:line="256" w:lineRule="auto"/>
        <w:ind w:left="0" w:right="0"/>
        <w:jc w:val="left"/>
        <w:rPr>
          <w:b/>
          <w:highlight w:val="lightGray"/>
          <w:lang w:val="en-US"/>
        </w:rPr>
      </w:pPr>
    </w:p>
    <w:p>
      <w:pPr>
        <w:keepNext w:val="0"/>
        <w:keepLines w:val="0"/>
        <w:widowControl/>
        <w:suppressLineNumbers w:val="0"/>
        <w:spacing w:before="0" w:beforeAutospacing="0" w:after="160" w:afterAutospacing="0" w:line="256" w:lineRule="auto"/>
        <w:ind w:left="0" w:right="0"/>
        <w:jc w:val="center"/>
        <w:rPr>
          <w:b/>
          <w:sz w:val="44"/>
          <w:szCs w:val="44"/>
          <w:highlight w:val="lightGray"/>
          <w:lang w:val="en-US"/>
        </w:rPr>
      </w:pPr>
      <w:r>
        <w:rPr>
          <w:rFonts w:hint="eastAsia" w:ascii="Calibri" w:hAnsi="Calibri" w:eastAsia="Calibri" w:cs="Times New Roman"/>
          <w:kern w:val="0"/>
          <w:sz w:val="44"/>
          <w:szCs w:val="44"/>
          <w:lang w:val="en-US" w:eastAsia="zh-CN" w:bidi="ar"/>
        </w:rPr>
        <w:t>Manufacturing Design &amp; Technology</w:t>
      </w:r>
    </w:p>
    <w:p>
      <w:pPr>
        <w:keepNext w:val="0"/>
        <w:keepLines w:val="0"/>
        <w:widowControl/>
        <w:suppressLineNumbers w:val="0"/>
        <w:spacing w:before="0" w:beforeAutospacing="0" w:after="160" w:afterAutospacing="0" w:line="256" w:lineRule="auto"/>
        <w:ind w:left="0" w:right="0"/>
        <w:jc w:val="left"/>
        <w:rPr>
          <w:b/>
          <w:highlight w:val="lightGray"/>
          <w:lang w:val="en-US"/>
        </w:rPr>
      </w:pPr>
    </w:p>
    <w:p>
      <w:pPr>
        <w:keepNext w:val="0"/>
        <w:keepLines w:val="0"/>
        <w:widowControl/>
        <w:suppressLineNumbers w:val="0"/>
        <w:spacing w:before="0" w:beforeAutospacing="0" w:after="160" w:afterAutospacing="0" w:line="256" w:lineRule="auto"/>
        <w:ind w:left="0" w:right="0"/>
        <w:jc w:val="center"/>
        <w:rPr>
          <w:sz w:val="36"/>
          <w:szCs w:val="36"/>
          <w:lang w:val="en-US"/>
        </w:rPr>
      </w:pPr>
      <w:r>
        <w:rPr>
          <w:rFonts w:hint="eastAsia" w:ascii="Calibri" w:hAnsi="Calibri" w:eastAsia="Calibri" w:cs="Times New Roman"/>
          <w:kern w:val="0"/>
          <w:sz w:val="36"/>
          <w:szCs w:val="36"/>
          <w:lang w:val="en-US" w:eastAsia="zh-CN" w:bidi="ar"/>
        </w:rPr>
        <w:t>ACMA5002</w:t>
      </w:r>
    </w:p>
    <w:p>
      <w:pPr>
        <w:keepNext w:val="0"/>
        <w:keepLines w:val="0"/>
        <w:widowControl/>
        <w:suppressLineNumbers w:val="0"/>
        <w:spacing w:before="0" w:beforeAutospacing="0" w:after="160" w:afterAutospacing="0" w:line="256" w:lineRule="auto"/>
        <w:ind w:left="0" w:right="0"/>
        <w:jc w:val="center"/>
        <w:rPr>
          <w:b/>
          <w:sz w:val="52"/>
          <w:szCs w:val="52"/>
          <w:highlight w:val="lightGray"/>
          <w:lang w:val="en-US"/>
        </w:rPr>
      </w:pPr>
    </w:p>
    <w:p>
      <w:pPr>
        <w:keepNext w:val="0"/>
        <w:keepLines w:val="0"/>
        <w:widowControl/>
        <w:suppressLineNumbers w:val="0"/>
        <w:spacing w:before="0" w:beforeAutospacing="0" w:after="160" w:afterAutospacing="0" w:line="256" w:lineRule="auto"/>
        <w:ind w:left="0" w:right="0"/>
        <w:jc w:val="center"/>
        <w:rPr>
          <w:b/>
          <w:sz w:val="40"/>
          <w:szCs w:val="40"/>
          <w:highlight w:val="lightGray"/>
          <w:lang w:val="en-US"/>
        </w:rPr>
      </w:pPr>
      <w:r>
        <w:rPr>
          <w:rFonts w:hint="eastAsia" w:ascii="Calibri" w:hAnsi="Calibri" w:eastAsia="Calibri" w:cs="Times New Roman"/>
          <w:kern w:val="0"/>
          <w:sz w:val="40"/>
          <w:szCs w:val="40"/>
          <w:lang w:val="en-US" w:eastAsia="zh-CN" w:bidi="ar"/>
        </w:rPr>
        <w:t>Design, Development and Manufacturing – 3-Jaw Cobot End-effector</w:t>
      </w:r>
    </w:p>
    <w:p>
      <w:pPr>
        <w:keepNext w:val="0"/>
        <w:keepLines w:val="0"/>
        <w:widowControl/>
        <w:suppressLineNumbers w:val="0"/>
        <w:spacing w:before="0" w:beforeAutospacing="0" w:after="160" w:afterAutospacing="0" w:line="256" w:lineRule="auto"/>
        <w:ind w:left="0" w:right="0"/>
        <w:jc w:val="left"/>
        <w:rPr>
          <w:b/>
          <w:highlight w:val="lightGray"/>
          <w:lang w:val="en-US"/>
        </w:rPr>
      </w:pPr>
    </w:p>
    <w:p>
      <w:pPr>
        <w:keepNext w:val="0"/>
        <w:keepLines w:val="0"/>
        <w:widowControl/>
        <w:suppressLineNumbers w:val="0"/>
        <w:spacing w:before="0" w:beforeAutospacing="0" w:after="160" w:afterAutospacing="0" w:line="256" w:lineRule="auto"/>
        <w:ind w:left="0" w:right="0"/>
        <w:jc w:val="left"/>
        <w:rPr>
          <w:b/>
          <w:highlight w:val="lightGray"/>
          <w:lang w:val="en-US"/>
        </w:rPr>
      </w:pPr>
    </w:p>
    <w:p>
      <w:pPr>
        <w:keepNext w:val="0"/>
        <w:keepLines w:val="0"/>
        <w:widowControl/>
        <w:suppressLineNumbers w:val="0"/>
        <w:spacing w:before="0" w:beforeAutospacing="0" w:after="160" w:afterAutospacing="0" w:line="256" w:lineRule="auto"/>
        <w:ind w:left="0" w:right="0"/>
        <w:jc w:val="center"/>
        <w:rPr>
          <w:b/>
          <w:highlight w:val="lightGray"/>
          <w:lang w:val="en-US"/>
        </w:rPr>
      </w:pPr>
      <w:r>
        <w:rPr>
          <w:rFonts w:hint="eastAsia" w:ascii="Calibri" w:hAnsi="Calibri" w:eastAsia="Calibri" w:cs="Times New Roman"/>
          <w:kern w:val="0"/>
          <w:sz w:val="24"/>
          <w:szCs w:val="24"/>
          <w:lang w:val="en-US" w:eastAsia="zh-CN" w:bidi="ar"/>
        </w:rPr>
        <w:drawing>
          <wp:inline distT="0" distB="0" distL="114300" distR="114300">
            <wp:extent cx="5156200" cy="2620645"/>
            <wp:effectExtent l="0" t="0" r="3175" b="4445"/>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
                    <pic:cNvPicPr>
                      <a:picLocks noChangeAspect="1"/>
                    </pic:cNvPicPr>
                  </pic:nvPicPr>
                  <pic:blipFill>
                    <a:blip r:embed="rId4"/>
                    <a:stretch>
                      <a:fillRect/>
                    </a:stretch>
                  </pic:blipFill>
                  <pic:spPr>
                    <a:xfrm>
                      <a:off x="0" y="0"/>
                      <a:ext cx="5156200" cy="2620645"/>
                    </a:xfrm>
                    <a:prstGeom prst="rect">
                      <a:avLst/>
                    </a:prstGeom>
                    <a:noFill/>
                    <a:ln>
                      <a:noFill/>
                    </a:ln>
                  </pic:spPr>
                </pic:pic>
              </a:graphicData>
            </a:graphic>
          </wp:inline>
        </w:drawing>
      </w:r>
    </w:p>
    <w:p>
      <w:pPr>
        <w:keepNext w:val="0"/>
        <w:keepLines w:val="0"/>
        <w:widowControl/>
        <w:suppressLineNumbers w:val="0"/>
        <w:spacing w:before="0" w:beforeAutospacing="0" w:after="160" w:afterAutospacing="0" w:line="256" w:lineRule="auto"/>
        <w:ind w:left="0" w:right="0"/>
        <w:jc w:val="center"/>
        <w:rPr>
          <w:b/>
          <w:sz w:val="44"/>
          <w:szCs w:val="44"/>
          <w:highlight w:val="lightGray"/>
          <w:lang w:val="en-US"/>
        </w:rPr>
      </w:pPr>
    </w:p>
    <w:p>
      <w:pPr>
        <w:keepNext w:val="0"/>
        <w:keepLines w:val="0"/>
        <w:widowControl/>
        <w:suppressLineNumbers w:val="0"/>
        <w:spacing w:before="0" w:beforeAutospacing="0" w:after="160" w:afterAutospacing="0" w:line="256" w:lineRule="auto"/>
        <w:ind w:left="0" w:right="0"/>
        <w:jc w:val="center"/>
        <w:rPr>
          <w:b/>
          <w:sz w:val="44"/>
          <w:szCs w:val="44"/>
          <w:highlight w:val="lightGray"/>
          <w:lang w:val="en-US"/>
        </w:rPr>
      </w:pPr>
    </w:p>
    <w:p>
      <w:pPr>
        <w:keepNext w:val="0"/>
        <w:keepLines w:val="0"/>
        <w:widowControl/>
        <w:suppressLineNumbers w:val="0"/>
        <w:spacing w:before="0" w:beforeAutospacing="0" w:after="160" w:afterAutospacing="0" w:line="256" w:lineRule="auto"/>
        <w:ind w:left="0" w:right="0"/>
        <w:jc w:val="center"/>
        <w:rPr>
          <w:sz w:val="44"/>
          <w:szCs w:val="44"/>
          <w:highlight w:val="none"/>
          <w:shd w:val="clear" w:color="auto" w:fill="auto"/>
          <w:lang w:val="en-US"/>
        </w:rPr>
      </w:pPr>
      <w:r>
        <w:rPr>
          <w:rFonts w:hint="eastAsia" w:ascii="Calibri" w:hAnsi="Calibri" w:eastAsia="Calibri" w:cs="Times New Roman"/>
          <w:kern w:val="0"/>
          <w:sz w:val="44"/>
          <w:szCs w:val="44"/>
          <w:highlight w:val="none"/>
          <w:shd w:val="clear" w:color="auto" w:fill="auto"/>
          <w:lang w:val="en-US" w:eastAsia="zh-CN" w:bidi="ar"/>
        </w:rPr>
        <w:t>Owen Evans</w:t>
      </w:r>
    </w:p>
    <w:p>
      <w:pPr>
        <w:keepNext w:val="0"/>
        <w:keepLines w:val="0"/>
        <w:widowControl/>
        <w:suppressLineNumbers w:val="0"/>
        <w:spacing w:before="0" w:beforeAutospacing="0" w:after="160" w:afterAutospacing="0" w:line="256" w:lineRule="auto"/>
        <w:ind w:left="0" w:right="0"/>
        <w:jc w:val="center"/>
        <w:rPr>
          <w:sz w:val="44"/>
          <w:szCs w:val="44"/>
          <w:highlight w:val="lightGray"/>
          <w:lang w:val="en-US"/>
        </w:rPr>
      </w:pPr>
    </w:p>
    <w:p>
      <w:pPr>
        <w:keepNext w:val="0"/>
        <w:keepLines w:val="0"/>
        <w:widowControl/>
        <w:suppressLineNumbers w:val="0"/>
        <w:spacing w:before="0" w:beforeAutospacing="0" w:after="160" w:afterAutospacing="0" w:line="256" w:lineRule="auto"/>
        <w:ind w:left="0" w:right="0"/>
        <w:jc w:val="center"/>
        <w:rPr>
          <w:b/>
          <w:highlight w:val="lightGray"/>
          <w:lang w:val="en-US"/>
        </w:rPr>
      </w:pPr>
      <w:r>
        <w:rPr>
          <w:rFonts w:hint="eastAsia" w:ascii="Calibri" w:hAnsi="Calibri" w:eastAsia="Calibri" w:cs="Times New Roman"/>
          <w:kern w:val="0"/>
          <w:sz w:val="44"/>
          <w:szCs w:val="44"/>
          <w:lang w:val="en-US" w:eastAsia="zh-CN" w:bidi="ar"/>
        </w:rPr>
        <w:t>2011680</w:t>
      </w:r>
      <w:r>
        <w:rPr>
          <w:rFonts w:hint="eastAsia" w:ascii="Calibri" w:hAnsi="Calibri" w:eastAsia="Calibri" w:cs="Times New Roman"/>
          <w:b/>
          <w:kern w:val="0"/>
          <w:sz w:val="22"/>
          <w:szCs w:val="22"/>
          <w:highlight w:val="lightGray"/>
          <w:lang w:val="en-US" w:eastAsia="zh-CN" w:bidi="ar"/>
        </w:rPr>
        <w:br w:type="page"/>
      </w:r>
    </w:p>
    <w:p>
      <w:pPr>
        <w:pStyle w:val="14"/>
        <w:widowControl/>
        <w:rPr>
          <w:lang w:val="en-US"/>
        </w:rPr>
      </w:pPr>
      <w:r>
        <w:rPr>
          <w:lang w:val="en-US"/>
        </w:rPr>
        <w:t>Contents</w:t>
      </w:r>
    </w:p>
    <w:p>
      <w:pPr>
        <w:pStyle w:val="6"/>
        <w:widowControl/>
        <w:tabs>
          <w:tab w:val="left" w:pos="440"/>
          <w:tab w:val="right" w:leader="dot" w:pos="10456"/>
        </w:tabs>
        <w:rPr>
          <w:rFonts w:eastAsia="Times New Roman"/>
          <w:lang w:val="en-US" w:eastAsia="en-US"/>
        </w:rPr>
      </w:pPr>
      <w:r>
        <w:rPr>
          <w:lang w:val="en-US"/>
        </w:rPr>
        <w:fldChar w:fldCharType="begin"/>
      </w:r>
      <w:r>
        <w:rPr>
          <w:lang w:val="en-US"/>
        </w:rPr>
        <w:instrText xml:space="preserve"> TOC \o "1-3" \h \z \u </w:instrText>
      </w:r>
      <w:r>
        <w:rPr>
          <w:lang w:val="en-US"/>
        </w:rPr>
        <w:fldChar w:fldCharType="separate"/>
      </w:r>
      <w:r>
        <w:rPr>
          <w:rStyle w:val="11"/>
          <w:lang w:val="en-US"/>
        </w:rPr>
        <w:fldChar w:fldCharType="begin"/>
      </w:r>
      <w:r>
        <w:rPr>
          <w:rStyle w:val="11"/>
          <w:lang w:val="en-US"/>
        </w:rPr>
        <w:instrText xml:space="preserve"> HYPERLINK "file:///C:/Users/owenc/Desktop/Manufacturing%20Assignment_glitter.docx" \l "_Toc75192501" </w:instrText>
      </w:r>
      <w:r>
        <w:rPr>
          <w:rStyle w:val="11"/>
          <w:lang w:val="en-US"/>
        </w:rPr>
        <w:fldChar w:fldCharType="separate"/>
      </w:r>
      <w:r>
        <w:rPr>
          <w:rStyle w:val="11"/>
          <w:b/>
          <w:u w:val="single"/>
          <w:lang w:val="en-US"/>
        </w:rPr>
        <w:t>1.</w:t>
      </w:r>
      <w:r>
        <w:rPr>
          <w:rStyle w:val="11"/>
          <w:rFonts w:eastAsia="Times New Roman"/>
          <w:color w:val="auto"/>
          <w:u w:val="none"/>
          <w:lang w:val="en-US" w:eastAsia="en-US"/>
        </w:rPr>
        <w:tab/>
      </w:r>
      <w:r>
        <w:rPr>
          <w:rStyle w:val="11"/>
          <w:b/>
          <w:u w:val="single"/>
          <w:lang w:val="en-US"/>
        </w:rPr>
        <w:t>Introduction</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_Toc75192501 \h </w:instrText>
      </w:r>
      <w:r>
        <w:rPr>
          <w:rStyle w:val="11"/>
          <w:vanish w:val="0"/>
          <w:color w:val="auto"/>
          <w:u w:val="none"/>
          <w:lang w:val="en-US"/>
        </w:rPr>
        <w:fldChar w:fldCharType="separate"/>
      </w:r>
      <w:r>
        <w:rPr>
          <w:rStyle w:val="11"/>
          <w:vanish w:val="0"/>
          <w:color w:val="auto"/>
          <w:u w:val="none"/>
          <w:lang w:val="en-US"/>
        </w:rPr>
        <w:t>3</w:t>
      </w:r>
      <w:r>
        <w:rPr>
          <w:rStyle w:val="11"/>
          <w:vanish w:val="0"/>
          <w:color w:val="auto"/>
          <w:u w:val="none"/>
          <w:lang w:val="en-US"/>
        </w:rPr>
        <w:fldChar w:fldCharType="end"/>
      </w:r>
      <w:r>
        <w:rPr>
          <w:rStyle w:val="11"/>
          <w:lang w:val="en-US"/>
        </w:rPr>
        <w:fldChar w:fldCharType="end"/>
      </w:r>
    </w:p>
    <w:p>
      <w:pPr>
        <w:pStyle w:val="6"/>
        <w:widowControl/>
        <w:tabs>
          <w:tab w:val="left" w:pos="440"/>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"_Toc75192502" </w:instrText>
      </w:r>
      <w:r>
        <w:rPr>
          <w:rStyle w:val="11"/>
          <w:lang w:val="en-US"/>
        </w:rPr>
        <w:fldChar w:fldCharType="separate"/>
      </w:r>
      <w:r>
        <w:rPr>
          <w:rStyle w:val="11"/>
          <w:b/>
          <w:u w:val="single"/>
          <w:lang w:val="en-US"/>
        </w:rPr>
        <w:t>2.</w:t>
      </w:r>
      <w:r>
        <w:rPr>
          <w:rStyle w:val="11"/>
          <w:rFonts w:eastAsia="Times New Roman"/>
          <w:color w:val="auto"/>
          <w:u w:val="none"/>
          <w:lang w:val="en-US" w:eastAsia="en-US"/>
        </w:rPr>
        <w:tab/>
      </w:r>
      <w:r>
        <w:rPr>
          <w:rStyle w:val="11"/>
          <w:b/>
          <w:u w:val="single"/>
          <w:lang w:val="en-US"/>
        </w:rPr>
        <w:t>Concept Design Appraisal</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_Toc75192502 \h </w:instrText>
      </w:r>
      <w:r>
        <w:rPr>
          <w:rStyle w:val="11"/>
          <w:vanish w:val="0"/>
          <w:color w:val="auto"/>
          <w:u w:val="none"/>
          <w:lang w:val="en-US"/>
        </w:rPr>
        <w:fldChar w:fldCharType="separate"/>
      </w:r>
      <w:r>
        <w:rPr>
          <w:rStyle w:val="11"/>
          <w:vanish w:val="0"/>
          <w:color w:val="auto"/>
          <w:u w:val="none"/>
          <w:lang w:val="en-US"/>
        </w:rPr>
        <w:t>4</w:t>
      </w:r>
      <w:r>
        <w:rPr>
          <w:rStyle w:val="11"/>
          <w:vanish w:val="0"/>
          <w:color w:val="auto"/>
          <w:u w:val="none"/>
          <w:lang w:val="en-US"/>
        </w:rPr>
        <w:fldChar w:fldCharType="end"/>
      </w:r>
      <w:r>
        <w:rPr>
          <w:rStyle w:val="11"/>
          <w:lang w:val="en-US"/>
        </w:rPr>
        <w:fldChar w:fldCharType="end"/>
      </w:r>
    </w:p>
    <w:p>
      <w:pPr>
        <w:pStyle w:val="6"/>
        <w:widowControl/>
        <w:tabs>
          <w:tab w:val="left" w:pos="440"/>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"_Toc75192503" </w:instrText>
      </w:r>
      <w:r>
        <w:rPr>
          <w:rStyle w:val="11"/>
          <w:lang w:val="en-US"/>
        </w:rPr>
        <w:fldChar w:fldCharType="separate"/>
      </w:r>
      <w:r>
        <w:rPr>
          <w:rStyle w:val="11"/>
          <w:b/>
          <w:u w:val="single"/>
          <w:lang w:val="en-US"/>
        </w:rPr>
        <w:t>3.</w:t>
      </w:r>
      <w:r>
        <w:rPr>
          <w:rStyle w:val="11"/>
          <w:rFonts w:eastAsia="Times New Roman"/>
          <w:color w:val="auto"/>
          <w:u w:val="none"/>
          <w:lang w:val="en-US" w:eastAsia="en-US"/>
        </w:rPr>
        <w:tab/>
      </w:r>
      <w:r>
        <w:rPr>
          <w:rStyle w:val="11"/>
          <w:b/>
          <w:u w:val="single"/>
          <w:lang w:val="en-US"/>
        </w:rPr>
        <w:t>Manufacturing Process Proposal</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_Toc75192503 \h </w:instrText>
      </w:r>
      <w:r>
        <w:rPr>
          <w:rStyle w:val="11"/>
          <w:vanish w:val="0"/>
          <w:color w:val="auto"/>
          <w:u w:val="none"/>
          <w:lang w:val="en-US"/>
        </w:rPr>
        <w:fldChar w:fldCharType="separate"/>
      </w:r>
      <w:r>
        <w:rPr>
          <w:rStyle w:val="11"/>
          <w:vanish w:val="0"/>
          <w:color w:val="auto"/>
          <w:u w:val="none"/>
          <w:lang w:val="en-US"/>
        </w:rPr>
        <w:t>9</w:t>
      </w:r>
      <w:r>
        <w:rPr>
          <w:rStyle w:val="11"/>
          <w:vanish w:val="0"/>
          <w:color w:val="auto"/>
          <w:u w:val="none"/>
          <w:lang w:val="en-US"/>
        </w:rPr>
        <w:fldChar w:fldCharType="end"/>
      </w:r>
      <w:r>
        <w:rPr>
          <w:rStyle w:val="11"/>
          <w:lang w:val="en-US"/>
        </w:rPr>
        <w:fldChar w:fldCharType="end"/>
      </w:r>
    </w:p>
    <w:p>
      <w:pPr>
        <w:pStyle w:val="6"/>
        <w:widowControl/>
        <w:tabs>
          <w:tab w:val="left" w:pos="440"/>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"_Toc75192504" </w:instrText>
      </w:r>
      <w:r>
        <w:rPr>
          <w:rStyle w:val="11"/>
          <w:lang w:val="en-US"/>
        </w:rPr>
        <w:fldChar w:fldCharType="separate"/>
      </w:r>
      <w:r>
        <w:rPr>
          <w:rStyle w:val="11"/>
          <w:b/>
          <w:u w:val="single"/>
          <w:lang w:val="en-US"/>
        </w:rPr>
        <w:t>4.</w:t>
      </w:r>
      <w:r>
        <w:rPr>
          <w:rStyle w:val="11"/>
          <w:rFonts w:eastAsia="Times New Roman"/>
          <w:color w:val="auto"/>
          <w:u w:val="none"/>
          <w:lang w:val="en-US" w:eastAsia="en-US"/>
        </w:rPr>
        <w:tab/>
      </w:r>
      <w:r>
        <w:rPr>
          <w:rStyle w:val="11"/>
          <w:b/>
          <w:u w:val="single"/>
          <w:lang w:val="en-US"/>
        </w:rPr>
        <w:t>Design and Development</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_Toc75192504 \h </w:instrText>
      </w:r>
      <w:r>
        <w:rPr>
          <w:rStyle w:val="11"/>
          <w:vanish w:val="0"/>
          <w:color w:val="auto"/>
          <w:u w:val="none"/>
          <w:lang w:val="en-US"/>
        </w:rPr>
        <w:fldChar w:fldCharType="separate"/>
      </w:r>
      <w:r>
        <w:rPr>
          <w:rStyle w:val="11"/>
          <w:vanish w:val="0"/>
          <w:color w:val="auto"/>
          <w:u w:val="none"/>
          <w:lang w:val="en-US"/>
        </w:rPr>
        <w:t>17</w:t>
      </w:r>
      <w:r>
        <w:rPr>
          <w:rStyle w:val="11"/>
          <w:vanish w:val="0"/>
          <w:color w:val="auto"/>
          <w:u w:val="none"/>
          <w:lang w:val="en-US"/>
        </w:rPr>
        <w:fldChar w:fldCharType="end"/>
      </w:r>
      <w:r>
        <w:rPr>
          <w:rStyle w:val="11"/>
          <w:lang w:val="en-US"/>
        </w:rPr>
        <w:fldChar w:fldCharType="end"/>
      </w:r>
    </w:p>
    <w:p>
      <w:pPr>
        <w:pStyle w:val="7"/>
        <w:widowControl/>
        <w:tabs>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"_Toc75192505" </w:instrText>
      </w:r>
      <w:r>
        <w:rPr>
          <w:rStyle w:val="11"/>
          <w:lang w:val="en-US"/>
        </w:rPr>
        <w:fldChar w:fldCharType="separate"/>
      </w:r>
      <w:r>
        <w:rPr>
          <w:rStyle w:val="11"/>
          <w:b/>
          <w:u w:val="single"/>
          <w:lang w:val="en-US"/>
        </w:rPr>
        <w:t>4.1 Design for Manufacture &amp; Assembly</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_Toc75192505 \h </w:instrText>
      </w:r>
      <w:r>
        <w:rPr>
          <w:rStyle w:val="11"/>
          <w:vanish w:val="0"/>
          <w:color w:val="auto"/>
          <w:u w:val="none"/>
          <w:lang w:val="en-US"/>
        </w:rPr>
        <w:fldChar w:fldCharType="separate"/>
      </w:r>
      <w:r>
        <w:rPr>
          <w:rStyle w:val="11"/>
          <w:vanish w:val="0"/>
          <w:color w:val="auto"/>
          <w:u w:val="none"/>
          <w:lang w:val="en-US"/>
        </w:rPr>
        <w:t>17</w:t>
      </w:r>
      <w:r>
        <w:rPr>
          <w:rStyle w:val="11"/>
          <w:vanish w:val="0"/>
          <w:color w:val="auto"/>
          <w:u w:val="none"/>
          <w:lang w:val="en-US"/>
        </w:rPr>
        <w:fldChar w:fldCharType="end"/>
      </w:r>
      <w:r>
        <w:rPr>
          <w:rStyle w:val="11"/>
          <w:lang w:val="en-US"/>
        </w:rPr>
        <w:fldChar w:fldCharType="end"/>
      </w:r>
    </w:p>
    <w:p>
      <w:pPr>
        <w:pStyle w:val="8"/>
        <w:widowControl/>
        <w:tabs>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"_Toc75192506" </w:instrText>
      </w:r>
      <w:r>
        <w:rPr>
          <w:rStyle w:val="11"/>
          <w:lang w:val="en-US"/>
        </w:rPr>
        <w:fldChar w:fldCharType="separate"/>
      </w:r>
      <w:r>
        <w:rPr>
          <w:rStyle w:val="11"/>
          <w:b/>
          <w:u w:val="single"/>
          <w:lang w:val="en-US"/>
        </w:rPr>
        <w:t>4.1.1 Simplify design and remove parts</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_Toc75192506 \h </w:instrText>
      </w:r>
      <w:r>
        <w:rPr>
          <w:rStyle w:val="11"/>
          <w:vanish w:val="0"/>
          <w:color w:val="auto"/>
          <w:u w:val="none"/>
          <w:lang w:val="en-US"/>
        </w:rPr>
        <w:fldChar w:fldCharType="separate"/>
      </w:r>
      <w:r>
        <w:rPr>
          <w:rStyle w:val="11"/>
          <w:vanish w:val="0"/>
          <w:color w:val="auto"/>
          <w:u w:val="none"/>
          <w:lang w:val="en-US"/>
        </w:rPr>
        <w:t>17</w:t>
      </w:r>
      <w:r>
        <w:rPr>
          <w:rStyle w:val="11"/>
          <w:vanish w:val="0"/>
          <w:color w:val="auto"/>
          <w:u w:val="none"/>
          <w:lang w:val="en-US"/>
        </w:rPr>
        <w:fldChar w:fldCharType="end"/>
      </w:r>
      <w:r>
        <w:rPr>
          <w:rStyle w:val="11"/>
          <w:lang w:val="en-US"/>
        </w:rPr>
        <w:fldChar w:fldCharType="end"/>
      </w:r>
    </w:p>
    <w:p>
      <w:pPr>
        <w:pStyle w:val="8"/>
        <w:widowControl/>
        <w:tabs>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"_Toc75192507" </w:instrText>
      </w:r>
      <w:r>
        <w:rPr>
          <w:rStyle w:val="11"/>
          <w:lang w:val="en-US"/>
        </w:rPr>
        <w:fldChar w:fldCharType="separate"/>
      </w:r>
      <w:r>
        <w:rPr>
          <w:rStyle w:val="11"/>
          <w:b/>
          <w:u w:val="single"/>
          <w:lang w:val="en-US"/>
        </w:rPr>
        <w:t>4.1.2 Design for Fabrication</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_Toc75192507 \h </w:instrText>
      </w:r>
      <w:r>
        <w:rPr>
          <w:rStyle w:val="11"/>
          <w:vanish w:val="0"/>
          <w:color w:val="auto"/>
          <w:u w:val="none"/>
          <w:lang w:val="en-US"/>
        </w:rPr>
        <w:fldChar w:fldCharType="separate"/>
      </w:r>
      <w:r>
        <w:rPr>
          <w:rStyle w:val="11"/>
          <w:vanish w:val="0"/>
          <w:color w:val="auto"/>
          <w:u w:val="none"/>
          <w:lang w:val="en-US"/>
        </w:rPr>
        <w:t>19</w:t>
      </w:r>
      <w:r>
        <w:rPr>
          <w:rStyle w:val="11"/>
          <w:vanish w:val="0"/>
          <w:color w:val="auto"/>
          <w:u w:val="none"/>
          <w:lang w:val="en-US"/>
        </w:rPr>
        <w:fldChar w:fldCharType="end"/>
      </w:r>
      <w:r>
        <w:rPr>
          <w:rStyle w:val="11"/>
          <w:lang w:val="en-US"/>
        </w:rPr>
        <w:fldChar w:fldCharType="end"/>
      </w:r>
    </w:p>
    <w:p>
      <w:pPr>
        <w:pStyle w:val="8"/>
        <w:widowControl/>
        <w:tabs>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"_Toc75192508" </w:instrText>
      </w:r>
      <w:r>
        <w:rPr>
          <w:rStyle w:val="11"/>
          <w:lang w:val="en-US"/>
        </w:rPr>
        <w:fldChar w:fldCharType="separate"/>
      </w:r>
      <w:r>
        <w:rPr>
          <w:rStyle w:val="11"/>
          <w:b/>
          <w:u w:val="single"/>
          <w:lang w:val="en-US"/>
        </w:rPr>
        <w:t>4.1.3 Use of Standard Components &amp; Tolerancing</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_Toc75192508 \h </w:instrText>
      </w:r>
      <w:r>
        <w:rPr>
          <w:rStyle w:val="11"/>
          <w:vanish w:val="0"/>
          <w:color w:val="auto"/>
          <w:u w:val="none"/>
          <w:lang w:val="en-US"/>
        </w:rPr>
        <w:fldChar w:fldCharType="separate"/>
      </w:r>
      <w:r>
        <w:rPr>
          <w:rStyle w:val="11"/>
          <w:vanish w:val="0"/>
          <w:color w:val="auto"/>
          <w:u w:val="none"/>
          <w:lang w:val="en-US"/>
        </w:rPr>
        <w:t>20</w:t>
      </w:r>
      <w:r>
        <w:rPr>
          <w:rStyle w:val="11"/>
          <w:vanish w:val="0"/>
          <w:color w:val="auto"/>
          <w:u w:val="none"/>
          <w:lang w:val="en-US"/>
        </w:rPr>
        <w:fldChar w:fldCharType="end"/>
      </w:r>
      <w:r>
        <w:rPr>
          <w:rStyle w:val="11"/>
          <w:lang w:val="en-US"/>
        </w:rPr>
        <w:fldChar w:fldCharType="end"/>
      </w:r>
    </w:p>
    <w:p>
      <w:pPr>
        <w:pStyle w:val="8"/>
        <w:widowControl/>
        <w:tabs>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"_Toc75192509" </w:instrText>
      </w:r>
      <w:r>
        <w:rPr>
          <w:rStyle w:val="11"/>
          <w:lang w:val="en-US"/>
        </w:rPr>
        <w:fldChar w:fldCharType="separate"/>
      </w:r>
      <w:r>
        <w:rPr>
          <w:rStyle w:val="11"/>
          <w:b/>
          <w:u w:val="single"/>
          <w:lang w:val="en-US"/>
        </w:rPr>
        <w:t>4.1.4 Design for Assembly Efficiency</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_Toc75192509 \h </w:instrText>
      </w:r>
      <w:r>
        <w:rPr>
          <w:rStyle w:val="11"/>
          <w:vanish w:val="0"/>
          <w:color w:val="auto"/>
          <w:u w:val="none"/>
          <w:lang w:val="en-US"/>
        </w:rPr>
        <w:fldChar w:fldCharType="separate"/>
      </w:r>
      <w:r>
        <w:rPr>
          <w:rStyle w:val="11"/>
          <w:vanish w:val="0"/>
          <w:color w:val="auto"/>
          <w:u w:val="none"/>
          <w:lang w:val="en-US"/>
        </w:rPr>
        <w:t>20</w:t>
      </w:r>
      <w:r>
        <w:rPr>
          <w:rStyle w:val="11"/>
          <w:vanish w:val="0"/>
          <w:color w:val="auto"/>
          <w:u w:val="none"/>
          <w:lang w:val="en-US"/>
        </w:rPr>
        <w:fldChar w:fldCharType="end"/>
      </w:r>
      <w:r>
        <w:rPr>
          <w:rStyle w:val="11"/>
          <w:lang w:val="en-US"/>
        </w:rPr>
        <w:fldChar w:fldCharType="end"/>
      </w:r>
    </w:p>
    <w:p>
      <w:pPr>
        <w:pStyle w:val="7"/>
        <w:widowControl/>
        <w:tabs>
          <w:tab w:val="left" w:pos="880"/>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"_Toc75192510" </w:instrText>
      </w:r>
      <w:r>
        <w:rPr>
          <w:rStyle w:val="11"/>
          <w:lang w:val="en-US"/>
        </w:rPr>
        <w:fldChar w:fldCharType="separate"/>
      </w:r>
      <w:r>
        <w:rPr>
          <w:rStyle w:val="11"/>
          <w:b/>
          <w:u w:val="single"/>
          <w:lang w:val="en-US"/>
        </w:rPr>
        <w:t>4.2</w:t>
      </w:r>
      <w:r>
        <w:rPr>
          <w:rStyle w:val="11"/>
          <w:rFonts w:eastAsia="Times New Roman"/>
          <w:color w:val="auto"/>
          <w:u w:val="none"/>
          <w:lang w:val="en-US" w:eastAsia="en-US"/>
        </w:rPr>
        <w:t xml:space="preserve"> </w:t>
      </w:r>
      <w:r>
        <w:rPr>
          <w:rStyle w:val="11"/>
          <w:b/>
          <w:u w:val="single"/>
          <w:lang w:val="en-US"/>
        </w:rPr>
        <w:t>FMEA</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_Toc75192510 \h </w:instrText>
      </w:r>
      <w:r>
        <w:rPr>
          <w:rStyle w:val="11"/>
          <w:vanish w:val="0"/>
          <w:color w:val="auto"/>
          <w:u w:val="none"/>
          <w:lang w:val="en-US"/>
        </w:rPr>
        <w:fldChar w:fldCharType="separate"/>
      </w:r>
      <w:r>
        <w:rPr>
          <w:rStyle w:val="11"/>
          <w:vanish w:val="0"/>
          <w:color w:val="auto"/>
          <w:u w:val="none"/>
          <w:lang w:val="en-US"/>
        </w:rPr>
        <w:t>21</w:t>
      </w:r>
      <w:r>
        <w:rPr>
          <w:rStyle w:val="11"/>
          <w:vanish w:val="0"/>
          <w:color w:val="auto"/>
          <w:u w:val="none"/>
          <w:lang w:val="en-US"/>
        </w:rPr>
        <w:fldChar w:fldCharType="end"/>
      </w:r>
      <w:r>
        <w:rPr>
          <w:rStyle w:val="11"/>
          <w:lang w:val="en-US"/>
        </w:rPr>
        <w:fldChar w:fldCharType="end"/>
      </w:r>
    </w:p>
    <w:p>
      <w:pPr>
        <w:pStyle w:val="7"/>
        <w:widowControl/>
        <w:tabs>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"_Toc75192511" </w:instrText>
      </w:r>
      <w:r>
        <w:rPr>
          <w:rStyle w:val="11"/>
          <w:lang w:val="en-US"/>
        </w:rPr>
        <w:fldChar w:fldCharType="separate"/>
      </w:r>
      <w:r>
        <w:rPr>
          <w:rStyle w:val="11"/>
          <w:b/>
          <w:u w:val="single"/>
          <w:lang w:val="en-US"/>
        </w:rPr>
        <w:t>4.3 Shipping</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_Toc75192511 \h </w:instrText>
      </w:r>
      <w:r>
        <w:rPr>
          <w:rStyle w:val="11"/>
          <w:vanish w:val="0"/>
          <w:color w:val="auto"/>
          <w:u w:val="none"/>
          <w:lang w:val="en-US"/>
        </w:rPr>
        <w:fldChar w:fldCharType="separate"/>
      </w:r>
      <w:r>
        <w:rPr>
          <w:rStyle w:val="11"/>
          <w:vanish w:val="0"/>
          <w:color w:val="auto"/>
          <w:u w:val="none"/>
          <w:lang w:val="en-US"/>
        </w:rPr>
        <w:t>23</w:t>
      </w:r>
      <w:r>
        <w:rPr>
          <w:rStyle w:val="11"/>
          <w:vanish w:val="0"/>
          <w:color w:val="auto"/>
          <w:u w:val="none"/>
          <w:lang w:val="en-US"/>
        </w:rPr>
        <w:fldChar w:fldCharType="end"/>
      </w:r>
      <w:r>
        <w:rPr>
          <w:rStyle w:val="11"/>
          <w:lang w:val="en-US"/>
        </w:rPr>
        <w:fldChar w:fldCharType="end"/>
      </w:r>
    </w:p>
    <w:p>
      <w:pPr>
        <w:pStyle w:val="6"/>
        <w:widowControl/>
        <w:tabs>
          <w:tab w:val="left" w:pos="440"/>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"_Toc75192512" </w:instrText>
      </w:r>
      <w:r>
        <w:rPr>
          <w:rStyle w:val="11"/>
          <w:lang w:val="en-US"/>
        </w:rPr>
        <w:fldChar w:fldCharType="separate"/>
      </w:r>
      <w:r>
        <w:rPr>
          <w:rStyle w:val="11"/>
          <w:b/>
          <w:u w:val="single"/>
          <w:lang w:val="en-US"/>
        </w:rPr>
        <w:t>5.</w:t>
      </w:r>
      <w:r>
        <w:rPr>
          <w:rStyle w:val="11"/>
          <w:rFonts w:eastAsia="Times New Roman"/>
          <w:color w:val="auto"/>
          <w:u w:val="none"/>
          <w:lang w:val="en-US" w:eastAsia="en-US"/>
        </w:rPr>
        <w:tab/>
      </w:r>
      <w:r>
        <w:rPr>
          <w:rStyle w:val="11"/>
          <w:b/>
          <w:u w:val="single"/>
          <w:lang w:val="en-US"/>
        </w:rPr>
        <w:t>Manufacturing Process Design</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_Toc75192512 \h </w:instrText>
      </w:r>
      <w:r>
        <w:rPr>
          <w:rStyle w:val="11"/>
          <w:vanish w:val="0"/>
          <w:color w:val="auto"/>
          <w:u w:val="none"/>
          <w:lang w:val="en-US"/>
        </w:rPr>
        <w:fldChar w:fldCharType="separate"/>
      </w:r>
      <w:r>
        <w:rPr>
          <w:rStyle w:val="11"/>
          <w:vanish w:val="0"/>
          <w:color w:val="auto"/>
          <w:u w:val="none"/>
          <w:lang w:val="en-US"/>
        </w:rPr>
        <w:t>24</w:t>
      </w:r>
      <w:r>
        <w:rPr>
          <w:rStyle w:val="11"/>
          <w:vanish w:val="0"/>
          <w:color w:val="auto"/>
          <w:u w:val="none"/>
          <w:lang w:val="en-US"/>
        </w:rPr>
        <w:fldChar w:fldCharType="end"/>
      </w:r>
      <w:r>
        <w:rPr>
          <w:rStyle w:val="11"/>
          <w:lang w:val="en-US"/>
        </w:rPr>
        <w:fldChar w:fldCharType="end"/>
      </w:r>
    </w:p>
    <w:p>
      <w:pPr>
        <w:pStyle w:val="6"/>
        <w:widowControl/>
        <w:tabs>
          <w:tab w:val="left" w:pos="440"/>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"_Toc75192513" </w:instrText>
      </w:r>
      <w:r>
        <w:rPr>
          <w:rStyle w:val="11"/>
          <w:lang w:val="en-US"/>
        </w:rPr>
        <w:fldChar w:fldCharType="separate"/>
      </w:r>
      <w:r>
        <w:rPr>
          <w:rStyle w:val="11"/>
          <w:b/>
          <w:u w:val="single"/>
          <w:lang w:val="en-US"/>
        </w:rPr>
        <w:t>6.</w:t>
      </w:r>
      <w:r>
        <w:rPr>
          <w:rStyle w:val="11"/>
          <w:rFonts w:eastAsia="Times New Roman"/>
          <w:color w:val="auto"/>
          <w:u w:val="none"/>
          <w:lang w:val="en-US" w:eastAsia="en-US"/>
        </w:rPr>
        <w:tab/>
      </w:r>
      <w:r>
        <w:rPr>
          <w:rStyle w:val="11"/>
          <w:b/>
          <w:u w:val="single"/>
          <w:lang w:val="en-US"/>
        </w:rPr>
        <w:t>Conclusion</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_Toc75192513 \h </w:instrText>
      </w:r>
      <w:r>
        <w:rPr>
          <w:rStyle w:val="11"/>
          <w:vanish w:val="0"/>
          <w:color w:val="auto"/>
          <w:u w:val="none"/>
          <w:lang w:val="en-US"/>
        </w:rPr>
        <w:fldChar w:fldCharType="separate"/>
      </w:r>
      <w:r>
        <w:rPr>
          <w:rStyle w:val="11"/>
          <w:vanish w:val="0"/>
          <w:color w:val="auto"/>
          <w:u w:val="none"/>
          <w:lang w:val="en-US"/>
        </w:rPr>
        <w:t>25</w:t>
      </w:r>
      <w:r>
        <w:rPr>
          <w:rStyle w:val="11"/>
          <w:vanish w:val="0"/>
          <w:color w:val="auto"/>
          <w:u w:val="none"/>
          <w:lang w:val="en-US"/>
        </w:rPr>
        <w:fldChar w:fldCharType="end"/>
      </w:r>
      <w:r>
        <w:rPr>
          <w:rStyle w:val="11"/>
          <w:lang w:val="en-US"/>
        </w:rPr>
        <w:fldChar w:fldCharType="end"/>
      </w:r>
    </w:p>
    <w:p>
      <w:pPr>
        <w:pStyle w:val="6"/>
        <w:widowControl/>
        <w:tabs>
          <w:tab w:val="left" w:pos="440"/>
          <w:tab w:val="right" w:leader="dot" w:pos="10456"/>
        </w:tabs>
        <w:rPr>
          <w:rFonts w:eastAsia="Times New Roman"/>
          <w:lang w:val="en-US" w:eastAsia="en-US"/>
        </w:rPr>
      </w:pPr>
      <w:r>
        <w:rPr>
          <w:rStyle w:val="11"/>
          <w:lang w:val="en-US"/>
        </w:rPr>
        <w:fldChar w:fldCharType="begin"/>
      </w:r>
      <w:r>
        <w:rPr>
          <w:rStyle w:val="11"/>
          <w:lang w:val="en-US"/>
        </w:rPr>
        <w:instrText xml:space="preserve"> HYPERLINK "file:///C:/Users/owenc/Desktop/Manufacturing%20Assignment_glitter.docx" \l "_Toc75192514" </w:instrText>
      </w:r>
      <w:r>
        <w:rPr>
          <w:rStyle w:val="11"/>
          <w:lang w:val="en-US"/>
        </w:rPr>
        <w:fldChar w:fldCharType="separate"/>
      </w:r>
      <w:r>
        <w:rPr>
          <w:rStyle w:val="11"/>
          <w:b/>
          <w:u w:val="single"/>
          <w:lang w:val="en-US"/>
        </w:rPr>
        <w:t>7.</w:t>
      </w:r>
      <w:r>
        <w:rPr>
          <w:rStyle w:val="11"/>
          <w:rFonts w:eastAsia="Times New Roman"/>
          <w:color w:val="auto"/>
          <w:u w:val="none"/>
          <w:lang w:val="en-US" w:eastAsia="en-US"/>
        </w:rPr>
        <w:tab/>
      </w:r>
      <w:r>
        <w:rPr>
          <w:rStyle w:val="11"/>
          <w:b/>
          <w:u w:val="single"/>
          <w:lang w:val="en-US"/>
        </w:rPr>
        <w:t>References</w:t>
      </w:r>
      <w:r>
        <w:rPr>
          <w:rStyle w:val="11"/>
          <w:vanish w:val="0"/>
          <w:color w:val="auto"/>
          <w:u w:val="none"/>
          <w:lang w:val="en-US"/>
        </w:rPr>
        <w:tab/>
      </w:r>
      <w:r>
        <w:rPr>
          <w:rStyle w:val="11"/>
          <w:vanish w:val="0"/>
          <w:color w:val="auto"/>
          <w:u w:val="none"/>
          <w:lang w:val="en-US"/>
        </w:rPr>
        <w:fldChar w:fldCharType="begin"/>
      </w:r>
      <w:r>
        <w:rPr>
          <w:rStyle w:val="11"/>
          <w:vanish w:val="0"/>
          <w:color w:val="auto"/>
          <w:u w:val="none"/>
          <w:lang w:val="en-US"/>
        </w:rPr>
        <w:instrText xml:space="preserve"> PAGEREF _Toc75192514 \h </w:instrText>
      </w:r>
      <w:r>
        <w:rPr>
          <w:rStyle w:val="11"/>
          <w:vanish w:val="0"/>
          <w:color w:val="auto"/>
          <w:u w:val="none"/>
          <w:lang w:val="en-US"/>
        </w:rPr>
        <w:fldChar w:fldCharType="separate"/>
      </w:r>
      <w:r>
        <w:rPr>
          <w:rStyle w:val="11"/>
          <w:vanish w:val="0"/>
          <w:color w:val="auto"/>
          <w:u w:val="none"/>
          <w:lang w:val="en-US"/>
        </w:rPr>
        <w:t>26</w:t>
      </w:r>
      <w:r>
        <w:rPr>
          <w:rStyle w:val="11"/>
          <w:vanish w:val="0"/>
          <w:color w:val="auto"/>
          <w:u w:val="none"/>
          <w:lang w:val="en-US"/>
        </w:rPr>
        <w:fldChar w:fldCharType="end"/>
      </w:r>
      <w:r>
        <w:rPr>
          <w:rStyle w:val="11"/>
          <w:lang w:val="en-US"/>
        </w:rPr>
        <w:fldChar w:fldCharType="end"/>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b/>
          <w:kern w:val="0"/>
          <w:sz w:val="22"/>
          <w:szCs w:val="22"/>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b/>
          <w:highlight w:val="lightGray"/>
          <w:lang w:val="en-US"/>
        </w:rPr>
      </w:pPr>
      <w:r>
        <w:rPr>
          <w:rFonts w:hint="eastAsia" w:ascii="Calibri" w:hAnsi="Calibri" w:eastAsia="Calibri" w:cs="Times New Roman"/>
          <w:b/>
          <w:sz w:val="22"/>
          <w:szCs w:val="22"/>
          <w:highlight w:val="lightGray"/>
          <w:lang w:val="en-US" w:eastAsia="en-US" w:bidi="ar"/>
        </w:rPr>
        <w:br w:type="page"/>
      </w:r>
    </w:p>
    <w:p>
      <w:pPr>
        <w:pStyle w:val="2"/>
        <w:widowControl/>
        <w:numPr>
          <w:ilvl w:val="0"/>
          <w:numId w:val="1"/>
        </w:numPr>
        <w:ind w:left="426" w:hanging="360"/>
        <w:rPr>
          <w:b/>
          <w:lang w:val="en-US"/>
        </w:rPr>
      </w:pPr>
      <w:bookmarkStart w:id="0" w:name="_Toc75192501"/>
      <w:r>
        <w:rPr>
          <w:b/>
          <w:lang w:val="en-US"/>
        </w:rPr>
        <w:t>Introduction</w:t>
      </w:r>
      <w:bookmarkEnd w:id="0"/>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To keep pace with increasing demand for products, manufacturing companies need to embrace technological advances to maintain a competitive edge in a high growth environment. Replacing repetitive, laborious, manual operations with Artificial Intelligence controlled robotic systems can reduce business costs over high-volume production runs, as well as decrease the number of defects in an operation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{"citationItems":[{"id":"ITEM-1","itemData":{"DOI":"10.1007/s12599-018-0542-4","ISSN":"18670202","author":[{"dropping-particle":"","family":"Aalst","given":"Wil M.P.","non-dropping-particle":"van der","parse-names":false,"suffix":""},{"dropping-particle":"","family":"Bichler","given":"Martin","non-dropping-particle":"","parse-names":false,"suffix":""},{"dropping-particle":"","family":"Heinzl","given":"Armin","non-dropping-particle":"","parse-names":false,"suffix":""}],"container-title":"Business and Information Systems Engineering","id":"ITEM-1","issue":"4","issued":{"date-parts":[["2018"]]},"page":"269-272","publisher":"Springer Fachmedien Wiesbaden","title":"Robotic Process Automation","type":"article-journal","volume":"60"},"uris":["http://www.mendeley.com/documents/?uuid=ea761824-83ef-43b7-9828-3d297bc18f48"]}],"mendeley":{"formattedCitation":"(van der Aalst, Bichler and Heinzl, 2018)","plainTextFormattedCitation":"(van der Aalst, Bichler and Heinzl, 2018)","previouslyFormattedCitation":"(van der Aalst, Bichler and Heinzl, 2018)"},"properties":{"noteIndex":0},"schema":"https://github.com/citation-style-language/schema/raw/master/csl-citation.json"}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(van der Aalst, Bichler and Heinzl, 2018)</w:t>
      </w:r>
      <w:r>
        <w:rPr>
          <w:rFonts w:hint="eastAsia" w:ascii="Calibri" w:hAnsi="Calibri" w:eastAsia="Calibri" w:cs="Times New Roman"/>
          <w:kern w:val="0"/>
          <w:sz w:val="24"/>
          <w:szCs w:val="24"/>
          <w:lang w:val="en-US" w:eastAsia="zh-CN" w:bidi="ar"/>
        </w:rPr>
        <w:fldChar w:fldCharType="end"/>
      </w:r>
      <w:r>
        <w:rPr>
          <w:rFonts w:hint="eastAsia" w:ascii="Calibri" w:hAnsi="Calibri" w:eastAsia="Calibri" w:cs="Times New Roman"/>
          <w:kern w:val="0"/>
          <w:sz w:val="24"/>
          <w:szCs w:val="24"/>
          <w:lang w:val="en-US" w:eastAsia="zh-CN" w:bidi="ar"/>
        </w:rPr>
        <w:t>.</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This paper critically assesses the concept design and machine processes for a robotic system in the form of a pick and place 3-Jaw Gripper design, Figure 1.</w:t>
      </w:r>
    </w:p>
    <w:p>
      <w:pPr>
        <w:keepNext w:val="0"/>
        <w:keepLines w:val="0"/>
        <w:widowControl/>
        <w:suppressLineNumbers w:val="0"/>
        <w:spacing w:before="0" w:beforeAutospacing="0" w:after="160" w:afterAutospacing="0" w:line="256" w:lineRule="auto"/>
        <w:ind w:left="0" w:right="0"/>
        <w:jc w:val="left"/>
        <w:rPr>
          <w:sz w:val="24"/>
          <w:szCs w:val="24"/>
          <w:highlight w:val="yellow"/>
          <w:lang w:val="en-US"/>
        </w:rPr>
      </w:pPr>
    </w:p>
    <w:p>
      <w:pPr>
        <w:keepNext w:val="0"/>
        <w:keepLines w:val="0"/>
        <w:widowControl/>
        <w:suppressLineNumbers w:val="0"/>
        <w:spacing w:before="0" w:beforeAutospacing="0" w:after="160" w:afterAutospacing="0" w:line="256" w:lineRule="auto"/>
        <w:ind w:left="0" w:right="0"/>
        <w:jc w:val="center"/>
        <w:rPr>
          <w:sz w:val="24"/>
          <w:szCs w:val="24"/>
          <w:highlight w:val="yellow"/>
          <w:lang w:val="en-US"/>
        </w:rPr>
      </w:pPr>
      <w:r>
        <w:rPr>
          <w:rFonts w:hint="eastAsia" w:ascii="Calibri" w:hAnsi="Calibri" w:eastAsia="Calibri" w:cs="Times New Roman"/>
          <w:kern w:val="0"/>
          <w:sz w:val="24"/>
          <w:szCs w:val="24"/>
          <w:lang w:val="en-US" w:eastAsia="zh-CN" w:bidi="ar"/>
        </w:rPr>
        <w:drawing>
          <wp:inline distT="0" distB="0" distL="114300" distR="114300">
            <wp:extent cx="3907155" cy="1989455"/>
            <wp:effectExtent l="0" t="0" r="571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4"/>
                    <a:stretch>
                      <a:fillRect/>
                    </a:stretch>
                  </pic:blipFill>
                  <pic:spPr>
                    <a:xfrm>
                      <a:off x="0" y="0"/>
                      <a:ext cx="3907155" cy="1989455"/>
                    </a:xfrm>
                    <a:prstGeom prst="rect">
                      <a:avLst/>
                    </a:prstGeom>
                    <a:noFill/>
                    <a:ln>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Figure 1: 3-Jaw Gripper design, SOLIDWORKS 3D CAD Model</w:t>
      </w:r>
    </w:p>
    <w:p>
      <w:pPr>
        <w:keepNext w:val="0"/>
        <w:keepLines w:val="0"/>
        <w:widowControl/>
        <w:suppressLineNumbers w:val="0"/>
        <w:spacing w:before="0" w:beforeAutospacing="0" w:after="160" w:afterAutospacing="0" w:line="256" w:lineRule="auto"/>
        <w:ind w:left="0" w:right="0"/>
        <w:jc w:val="left"/>
        <w:rPr>
          <w:sz w:val="24"/>
          <w:szCs w:val="24"/>
          <w:highlight w:val="yellow"/>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This gripper design includes these components; Jaw, Cylinder, Drive Plate, Motor, Join, Shaft and Worm.</w:t>
      </w:r>
    </w:p>
    <w:p>
      <w:pPr>
        <w:keepNext w:val="0"/>
        <w:keepLines w:val="0"/>
        <w:widowControl/>
        <w:suppressLineNumbers w:val="0"/>
        <w:spacing w:before="0" w:beforeAutospacing="0" w:after="160" w:afterAutospacing="0" w:line="240" w:lineRule="auto"/>
        <w:ind w:left="0" w:right="0"/>
        <w:jc w:val="both"/>
        <w:rPr>
          <w:sz w:val="24"/>
          <w:szCs w:val="24"/>
          <w:lang w:val="en-US"/>
        </w:rPr>
      </w:pPr>
    </w:p>
    <w:p>
      <w:pPr>
        <w:keepNext w:val="0"/>
        <w:keepLines w:val="0"/>
        <w:widowControl/>
        <w:suppressLineNumbers w:val="0"/>
        <w:spacing w:before="0" w:beforeAutospacing="0" w:after="160" w:afterAutospacing="0" w:line="240" w:lineRule="auto"/>
        <w:ind w:left="0" w:right="0"/>
        <w:jc w:val="both"/>
        <w:rPr>
          <w:sz w:val="24"/>
          <w:szCs w:val="24"/>
          <w:lang w:val="en-US"/>
        </w:rPr>
      </w:pPr>
      <w:r>
        <w:rPr>
          <w:rFonts w:hint="eastAsia" w:ascii="Calibri" w:hAnsi="Calibri" w:eastAsia="Calibri" w:cs="Times New Roman"/>
          <w:kern w:val="0"/>
          <w:sz w:val="24"/>
          <w:szCs w:val="24"/>
          <w:lang w:val="en-US" w:eastAsia="zh-CN" w:bidi="ar"/>
        </w:rPr>
        <w:t>The initial design is to be analysed in the form of a Concept Design Appraisal, examining and developing the design from the initial concept through to the completely manufactured article. The report develops the Voice of Customer (VoC) and uses the results to generate a Product Design Specification (PDS).</w:t>
      </w:r>
    </w:p>
    <w:p>
      <w:pPr>
        <w:keepNext w:val="0"/>
        <w:keepLines w:val="0"/>
        <w:widowControl/>
        <w:suppressLineNumbers w:val="0"/>
        <w:spacing w:before="0" w:beforeAutospacing="0" w:after="160" w:afterAutospacing="0" w:line="240" w:lineRule="auto"/>
        <w:ind w:left="0" w:right="0"/>
        <w:jc w:val="both"/>
        <w:rPr>
          <w:sz w:val="24"/>
          <w:szCs w:val="24"/>
          <w:lang w:val="en-US"/>
        </w:rPr>
      </w:pPr>
    </w:p>
    <w:p>
      <w:pPr>
        <w:keepNext w:val="0"/>
        <w:keepLines w:val="0"/>
        <w:widowControl/>
        <w:suppressLineNumbers w:val="0"/>
        <w:spacing w:before="0" w:beforeAutospacing="0" w:after="160" w:afterAutospacing="0" w:line="240" w:lineRule="auto"/>
        <w:ind w:left="0" w:right="0"/>
        <w:jc w:val="both"/>
        <w:rPr>
          <w:sz w:val="24"/>
          <w:szCs w:val="24"/>
          <w:lang w:val="en-US"/>
        </w:rPr>
      </w:pPr>
      <w:r>
        <w:rPr>
          <w:rFonts w:hint="eastAsia" w:ascii="Calibri" w:hAnsi="Calibri" w:eastAsia="Calibri" w:cs="Times New Roman"/>
          <w:kern w:val="0"/>
          <w:sz w:val="24"/>
          <w:szCs w:val="24"/>
          <w:lang w:val="en-US" w:eastAsia="zh-CN" w:bidi="ar"/>
        </w:rPr>
        <w:t>Once the initial requirements have been identified, the report then discusses how to adapt the design to produce a completed product that can be fully assembled. This includes analysis using standard industry tools, such as a ‘Design for Manufacture’ (DFM), Failure Mode Effect Analysis (FMEA), Fabrication process validation and assembly plan.</w:t>
      </w:r>
    </w:p>
    <w:p>
      <w:pPr>
        <w:keepNext w:val="0"/>
        <w:keepLines w:val="0"/>
        <w:widowControl/>
        <w:suppressLineNumbers w:val="0"/>
        <w:spacing w:before="0" w:beforeAutospacing="0" w:after="160" w:afterAutospacing="0" w:line="256" w:lineRule="auto"/>
        <w:ind w:left="0" w:right="0"/>
        <w:jc w:val="both"/>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The product is envisaged to be a high volume, lengthy production run of over 1000 products per week. This has been considered in the whole analysis in order to optimise the design and processes for high volume manufacturing.</w:t>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sz w:val="24"/>
          <w:szCs w:val="24"/>
          <w:lang w:val="en-US" w:eastAsia="en-US" w:bidi="ar"/>
        </w:rPr>
        <w:br w:type="page"/>
      </w:r>
    </w:p>
    <w:p>
      <w:pPr>
        <w:pStyle w:val="2"/>
        <w:widowControl/>
        <w:numPr>
          <w:ilvl w:val="0"/>
          <w:numId w:val="1"/>
        </w:numPr>
        <w:ind w:left="426" w:hanging="360"/>
        <w:rPr>
          <w:b/>
          <w:lang w:val="en-US"/>
        </w:rPr>
      </w:pPr>
      <w:bookmarkStart w:id="1" w:name="_Toc75192502"/>
      <w:r>
        <w:rPr>
          <w:b/>
          <w:lang w:val="en-US"/>
        </w:rPr>
        <w:t>Concept Design Appraisal</w:t>
      </w:r>
      <w:bookmarkEnd w:id="1"/>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In recent times, the public opinion has developed a partially negative view towards the engineering profession, mainly because of its contribution to technical advances (e.g. cars and airplanes) which are related to the climate change problem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author":[{"dropping-particle":"","family":"Marshall","given":"Helen","non-dropping-particle":"","parse-names":false,"suffix":""},{"dropping-particle":"","family":"Mcclymont","given":"Lynne","non-dropping-particle":"","parse-names":false,"suffix":""},{"dropping-particle":"","family":"Joyce","given":"Lucy","non-dropping-particle":"","parse-names":false,"suffix":""}],"id":"ITEM-1","issued":{"date-parts":[["2007"]]},"title":"Public Attitudes to and Perceptions of Engineering and Engineers 2007 A study commissioned by The Royal Academy of Engineering and Public Attitudes to and Perceptions of Engineering and Engineers 2007 Prepared by :","type":"article-journal"},"uris":["http://www.mendeley.com/documents/?uuid=ed9edf8c-100c-477f-abb6-d30ac9664cee"]}],"mendeley":{"formattedCitation":"(Marshall, Mcclymont and Joyce, 2007)","plainTextFormattedCitation":"(Marshall, Mcclymont and Joyce, 2007)","previouslyFormattedCitation":"(Marshall, Mcclymont and Joyce, 2007)"},"properties":{"noteIndex":0},"schema":"https://github.com/citation-style-language/schema/raw/master/csl-citation.json"}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(Marshall, Mcclymont and Joyce, 2007)</w:t>
      </w:r>
      <w:r>
        <w:rPr>
          <w:rFonts w:hint="eastAsia" w:ascii="Calibri" w:hAnsi="Calibri" w:eastAsia="Calibri" w:cs="Times New Roman"/>
          <w:kern w:val="0"/>
          <w:sz w:val="24"/>
          <w:szCs w:val="24"/>
          <w:lang w:val="en-US" w:eastAsia="zh-CN" w:bidi="ar"/>
        </w:rPr>
        <w:fldChar w:fldCharType="end"/>
      </w:r>
      <w:r>
        <w:rPr>
          <w:rFonts w:hint="eastAsia" w:ascii="Calibri" w:hAnsi="Calibri" w:eastAsia="Calibri" w:cs="Times New Roman"/>
          <w:kern w:val="0"/>
          <w:sz w:val="24"/>
          <w:szCs w:val="24"/>
          <w:lang w:val="en-US" w:eastAsia="zh-CN" w:bidi="ar"/>
        </w:rPr>
        <w:t xml:space="preserve">. Future engineers must consider the environmental impact of their designs, with a focus on sustainable production, taking advantage of technological progress in materials and processes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{"citationItems":[{"id":"ITEM-1","itemData":{"DOI":"10.1016/j.jclepro.2014.03.013","ISSN":"09596526","abstract":"This Special Volume of the Journal of Cleaner Production focuses on the \"Sustainability Engineering for the Future\". It highlights the roles of present and future engineers and provides guidelines and insights on how sustainability can be embedded systematically into all dimensions of engineering. Gone are the days when engineers only focus on technical and economic feasibility of a system design. The challenges of global warming brought about by widespread environmental pollution, resource depletion, rising human population, and multiple threats to food, water and energy securities require a paradigm shift in engineering thinking and ways to find and test solutions. The evolving engineering paradigm increasingly calls for engineers to consider the whole spectrum of sustainability i.e. from the economic, environmental, social and time dimensions. A selection of papers presented in the 6th International Conference of Process Systems Engineering Asia (PSE Asia) held in Kuala Lumpur, Malaysia from 25th to 27th June 2013 is included in this Special Volume. The papers in this volume focus upon:Important considerations for the planning and development of sustainable products;Models and methods designed to support sustainable planning and management;Effective sustainability assessment tools and the needs for new ones;New approaches for improved resource management;Illustrative future, sustainable technologies;Ways policies will play significant roles in promoting implementation of sustainable engineering approaches.The collection of papers as designed to provide guidelines for present and future engineers, researchers, academicians and policy makers for ways to improve current and future trends in engineering to help catalyse the transition to truly sustainable societies with improved quality of life. © 2014 Elsevier Ltd. All rights reserved.","author":[{"dropping-particle":"","family":"Wan Alwi","given":"Sharifah Rafidah","non-dropping-particle":"","parse-names":false,"suffix":""},{"dropping-particle":"","family":"Manan","given":"Zainuddin Abdul","non-dropping-particle":"","parse-names":false,"suffix":""},{"dropping-particle":"","family":"Klemeš","given":"Jiří Jaromír","non-dropping-particle":"","parse-names":false,"suffix":""},{"dropping-particle":"","family":"Huisingh","given":"Donald","non-dropping-particle":"","parse-names":false,"suffix":""}],"container-title":"Journal of Cleaner Production","id":"ITEM-1","issued":{"date-parts":[["2014"]]},"page":"1-10","title":"Sustainability engineering for the future","type":"article-journal","volume":"71"},"uris":["http://www.mendeley.com/documents/?uuid=02b394d3-0b6d-4157-b2a8-1c084f25639d"]}],"mendeley":{"formattedCitation":"(Wan Alwi &lt;i&gt;et al.&lt;/i&gt;, 2014)","plainTextFormattedCitation":"(Wan Alwi et al., 2014)","previouslyFormattedCitation":"(Wan Alwi &lt;i&gt;et al.&lt;/i&gt;, 2014)"},"properties":{"noteIndex":0},"schema":"https://github.com/citation-style-language/schema/raw/master/csl-citation.json"}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 xml:space="preserve">(Wan Alwi </w:t>
      </w:r>
      <w:r>
        <w:rPr>
          <w:rFonts w:hint="eastAsia" w:ascii="Calibri" w:hAnsi="Calibri" w:eastAsia="Calibri" w:cs="Times New Roman"/>
          <w:i/>
          <w:iCs w:val="0"/>
          <w:kern w:val="0"/>
          <w:sz w:val="24"/>
          <w:szCs w:val="24"/>
          <w:lang w:val="en-US" w:eastAsia="zh-CN" w:bidi="ar"/>
        </w:rPr>
        <w:t>et al.</w:t>
      </w:r>
      <w:r>
        <w:rPr>
          <w:rFonts w:hint="eastAsia" w:ascii="Calibri" w:hAnsi="Calibri" w:eastAsia="Calibri" w:cs="Times New Roman"/>
          <w:kern w:val="0"/>
          <w:sz w:val="24"/>
          <w:szCs w:val="24"/>
          <w:lang w:val="en-US" w:eastAsia="zh-CN" w:bidi="ar"/>
        </w:rPr>
        <w:t>, 2014)</w:t>
      </w:r>
      <w:r>
        <w:rPr>
          <w:rFonts w:hint="eastAsia" w:ascii="Calibri" w:hAnsi="Calibri" w:eastAsia="Calibri" w:cs="Times New Roman"/>
          <w:kern w:val="0"/>
          <w:sz w:val="24"/>
          <w:szCs w:val="24"/>
          <w:lang w:val="en-US" w:eastAsia="zh-CN" w:bidi="ar"/>
        </w:rPr>
        <w:fldChar w:fldCharType="end"/>
      </w:r>
      <w:r>
        <w:rPr>
          <w:rFonts w:hint="eastAsia" w:ascii="Calibri" w:hAnsi="Calibri" w:eastAsia="Calibri" w:cs="Times New Roman"/>
          <w:kern w:val="0"/>
          <w:sz w:val="24"/>
          <w:szCs w:val="24"/>
          <w:lang w:val="en-US" w:eastAsia="zh-CN" w:bidi="ar"/>
        </w:rPr>
        <w:t xml:space="preserve">. A bigger focus on sustainable engineering would also allow companies to improve the perspective the public has of their business and would protect them from any future legislation (e.g. limits, taxes and bans) aimed at limiting environmentally damaging activities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{"citationItems":[{"id":"ITEM-1","itemData":{"ISSN":"03607275","author":[{"dropping-particle":"","family":"Hecht","given":"Alan","non-dropping-particle":"","parse-names":false,"suffix":""}],"container-title":"Chemical Engineering Progress","id":"ITEM-1","issue":"1","issued":{"date-parts":[["2009"]]},"page":"41-46","title":"Government perspectives on sustainability","type":"article-journal","volume":"105"},"uris":["http://www.mendeley.com/documents/?uuid=c66a8b2f-33dd-4e21-8667-e6b59fa60aa0"]}],"mendeley":{"formattedCitation":"(Hecht, 2009)","plainTextFormattedCitation":"(Hecht, 2009)","previouslyFormattedCitation":"(Hecht, 2009)"},"properties":{"noteIndex":0},"schema":"https://github.com/citation-style-language/schema/raw/master/csl-citation.json"}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(Hecht, 2009)</w:t>
      </w:r>
      <w:r>
        <w:rPr>
          <w:rFonts w:hint="eastAsia" w:ascii="Calibri" w:hAnsi="Calibri" w:eastAsia="Calibri" w:cs="Times New Roman"/>
          <w:kern w:val="0"/>
          <w:sz w:val="24"/>
          <w:szCs w:val="24"/>
          <w:lang w:val="en-US" w:eastAsia="zh-CN" w:bidi="ar"/>
        </w:rPr>
        <w:fldChar w:fldCharType="end"/>
      </w:r>
      <w:r>
        <w:rPr>
          <w:rFonts w:hint="eastAsia" w:ascii="Calibri" w:hAnsi="Calibri" w:eastAsia="Calibri" w:cs="Times New Roman"/>
          <w:kern w:val="0"/>
          <w:sz w:val="24"/>
          <w:szCs w:val="24"/>
          <w:lang w:val="en-US" w:eastAsia="zh-CN" w:bidi="ar"/>
        </w:rPr>
        <w:t xml:space="preserve">. </w:t>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One method to build a positive perception of sustainable engineering is to support the shift towards a circular economy approach to repair and repurpose under emerging ‘Right to Repair’ legislation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{"citationItems":[{"id":"ITEM-1","itemData":{"DOI":"10.3390/su12030850","ISSN":"20711050","abstract":"Industry has been considered a major actor regarding the actions and changes needed to achieve sustainable development. Different approximations to the topic have been developed to face the challenges of having a more responsible production of goods and services. These approximations include cleaner production, green design, ecodesign, eco efficiency, design for sustainable behavior, sustainable design, and more recently concepts like circular economies among many more. In all these approaches, the attention has been mainly on the production side while consumption has been tackled indirectly. The majority of laws and ordinances that have motivated the emergence of these approaches have traditionally been oriented to producers. However, an European Union (EU) directive launched in October 2019, called \"right to repair\", could change this paradigm, empowering consumers by giving them more possibilities of repairing their products instead of discarding them. This paper presents a preliminary discussion about the effects this directive might have on how we consume products now and how we will consume them in the future.","author":[{"dropping-particle":"","family":"Hernandez","given":"Ricardo J.","non-dropping-particle":"","parse-names":false,"suffix":""},{"dropping-particle":"","family":"Miranda","given":"Constanza","non-dropping-particle":"","parse-names":false,"suffix":""},{"dropping-particle":"","family":"Goñi","given":"Julian","non-dropping-particle":"","parse-names":false,"suffix":""}],"container-title":"Sustainability (Switzerland)","id":"ITEM-1","issue":"3","issued":{"date-parts":[["2020"]]},"page":"1-16","title":"Empowering sustainable consumption by giving back to consumers the 'right to repair'","type":"article-journal","volume":"12"},"uris":["http://www.mendeley.com/documents/?uuid=5d124fb3-ef45-4a50-956b-144c1ad5a04a"]}],"mendeley":{"formattedCitation":"(Hernandez, Miranda and Goñi, 2020)","plainTextFormattedCitation":"(Hernandez, Miranda and Goñi, 2020)","previouslyFormattedCitation":"(Hernandez, Miranda and Goñi, 2020)"},"properties":{"noteIndex":0},"schema":"https://github.com/citation-style-language/schema/raw/master/csl-citation.json"}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(Hernandez, Miranda and Goñi, 2020)</w:t>
      </w:r>
      <w:r>
        <w:rPr>
          <w:rFonts w:hint="eastAsia" w:ascii="Calibri" w:hAnsi="Calibri" w:eastAsia="Calibri" w:cs="Times New Roman"/>
          <w:kern w:val="0"/>
          <w:sz w:val="24"/>
          <w:szCs w:val="24"/>
          <w:lang w:val="en-US" w:eastAsia="zh-CN" w:bidi="ar"/>
        </w:rPr>
        <w:fldChar w:fldCharType="end"/>
      </w:r>
      <w:r>
        <w:rPr>
          <w:rFonts w:hint="eastAsia" w:ascii="Calibri" w:hAnsi="Calibri" w:eastAsia="Calibri" w:cs="Times New Roman"/>
          <w:kern w:val="0"/>
          <w:sz w:val="24"/>
          <w:szCs w:val="24"/>
          <w:lang w:val="en-US" w:eastAsia="zh-CN" w:bidi="ar"/>
        </w:rPr>
        <w:t xml:space="preserve">. This approach would also be beneficial to the company by providing a lucrative aftermarket opportunity of spares and upgraded, interchangeable modular enhancements to the original design, without the added assembly costs. </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Although the design is for functional purposes rather than presentation ones, consideration for aesthetics should be made in the manufacturing, assembly, and shipping design phases. During the manufacturing phase, the tools and machinery used should be regularly cleaned and serviced to ensure consistent results in surface finish. During assembly, the parts should be protected from damage when supplied to the line as well as providing jigs to prevent the assembly impacting or rubbing on surfaces. The assembly needs to reach the end user in good conditions, so packaging methods should be robust enough to resist impact and all moving parts should be in a locked position to prevent movement in transit.</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When trying to understand how the design of a product can affect the adherence to the customer needs, it is useful to develop a Quality Function Deployment (QFD). The Customer Requirements from the Kano Model Questionnaire are used to identify how changes in any one part of the design affect both the customer needs as well as the impact of the change on other design features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{"citationItems":[{"id":"ITEM-1","itemData":{"DOI":"10.1007/s10845-018-1444-5","ISSN":"15728145","abstract":"The aesthetic appearance and features of a product are the most censorious elements for the accomplishment of a product in the industry. An aesthetic is the quality element which adds value to the product design. Product design is a basic need of every manufacturing company in which visual aspects play an important role to enhance the customer satisfaction. Therefore, Quality Function Deployment (QFD) can be considered as an effective tool for translating the customer’s voice into the design of the product and its specifications. The Kano model helps to identify the desires of a product that brings greater satisfaction or dissatisfaction level to the customer. Kano model tells the connection between the product’s attributes and its satisfaction to the customer. For achieving better results, Fuzzy Kano model has been more favorably applied over traditional Kano model. In this work, an approach of Integration of Kano model into QFD has been applied with an aim to examine the customer satisfaction based on aesthetic sentiments. A Sport Utility Vehicle has been selected for the study. The aesthetic attributes have been selected with the help of QFD and their importance and classification have been calculated using both Fuzzy Kano and Traditional Kano model. The result of Fuzzy Kano and Traditional Kano model has also been compared to calculate the effectiveness of the applied approach.","author":[{"dropping-particle":"","family":"Avikal","given":"Shwetank","non-dropping-particle":"","parse-names":false,"suffix":""},{"dropping-particle":"","family":"Singh","given":"Rohit","non-dropping-particle":"","parse-names":false,"suffix":""},{"dropping-particle":"","family":"Rashmi","given":"Rashmi","non-dropping-particle":"","parse-names":false,"suffix":""}],"container-title":"Journal of Intelligent Manufacturing","id":"ITEM-1","issue":"2","issued":{"date-parts":[["2020"]]},"page":"271-284","publisher":"Springer US","title":"QFD and Fuzzy Kano model based approach for classification of aesthetic attributes of SUV car profile","type":"article-journal","volume":"31"},"uris":["http://www.mendeley.com/documents/?uuid=53d46b53-fa52-41d3-9fac-d4f07baff1eb"]}],"mendeley":{"formattedCitation":"(Avikal, Singh and Rashmi, 2020)","plainTextFormattedCitation":"(Avikal, Singh and Rashmi, 2020)","previouslyFormattedCitation":"(Avikal, Singh and Rashmi, 2020)"},"properties":{"noteIndex":0},"schema":"https://github.com/citation-style-language/schema/raw/master/csl-citation.json"}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(Avikal, Singh and Rashmi, 2020)</w:t>
      </w:r>
      <w:r>
        <w:rPr>
          <w:rFonts w:hint="eastAsia" w:ascii="Calibri" w:hAnsi="Calibri" w:eastAsia="Calibri" w:cs="Times New Roman"/>
          <w:kern w:val="0"/>
          <w:sz w:val="24"/>
          <w:szCs w:val="24"/>
          <w:lang w:val="en-US" w:eastAsia="zh-CN" w:bidi="ar"/>
        </w:rPr>
        <w:fldChar w:fldCharType="end"/>
      </w:r>
      <w:r>
        <w:rPr>
          <w:rFonts w:hint="eastAsia" w:ascii="Calibri" w:hAnsi="Calibri" w:eastAsia="Calibri" w:cs="Times New Roman"/>
          <w:kern w:val="0"/>
          <w:sz w:val="24"/>
          <w:szCs w:val="24"/>
          <w:lang w:val="en-US" w:eastAsia="zh-CN" w:bidi="ar"/>
        </w:rPr>
        <w:t>. The Kano Model Questionnaire responses, Table 1 and QFD for the 3-Jaw Gripper, Figure 2 are completed below.</w:t>
      </w:r>
    </w:p>
    <w:tbl>
      <w:tblPr>
        <w:tblStyle w:val="12"/>
        <w:tblW w:w="7409" w:type="dxa"/>
        <w:tblInd w:w="0" w:type="dxa"/>
        <w:shd w:val="clear" w:color="auto" w:fill="auto"/>
        <w:tblLayout w:type="fixed"/>
        <w:tblCellMar>
          <w:top w:w="0" w:type="dxa"/>
          <w:left w:w="108" w:type="dxa"/>
          <w:bottom w:w="0" w:type="dxa"/>
          <w:right w:w="108" w:type="dxa"/>
        </w:tblCellMar>
      </w:tblPr>
      <w:tblGrid>
        <w:gridCol w:w="2943"/>
        <w:gridCol w:w="3119"/>
        <w:gridCol w:w="1347"/>
      </w:tblGrid>
      <w:tr>
        <w:tblPrEx>
          <w:shd w:val="clear" w:color="auto" w:fill="auto"/>
          <w:tblLayout w:type="fixed"/>
          <w:tblCellMar>
            <w:top w:w="0" w:type="dxa"/>
            <w:left w:w="108" w:type="dxa"/>
            <w:bottom w:w="0" w:type="dxa"/>
            <w:right w:w="108" w:type="dxa"/>
          </w:tblCellMar>
        </w:tblPrEx>
        <w:trPr>
          <w:trHeight w:val="287" w:hRule="atLeast"/>
        </w:trPr>
        <w:tc>
          <w:tcPr>
            <w:tcW w:w="2943" w:type="dxa"/>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b/>
                <w:color w:val="000000"/>
                <w:sz w:val="24"/>
                <w:szCs w:val="24"/>
                <w:lang w:eastAsia="en-US"/>
              </w:rPr>
            </w:pPr>
            <w:r>
              <w:rPr>
                <w:rFonts w:hint="eastAsia" w:ascii="Calibri" w:hAnsi="Calibri" w:eastAsia="Times New Roman" w:cs="Calibri"/>
                <w:b/>
                <w:color w:val="000000"/>
                <w:kern w:val="0"/>
                <w:sz w:val="24"/>
                <w:szCs w:val="24"/>
                <w:lang w:val="en-US" w:eastAsia="en-US" w:bidi="ar"/>
              </w:rPr>
              <w:t>Kano Model</w:t>
            </w:r>
          </w:p>
        </w:tc>
        <w:tc>
          <w:tcPr>
            <w:tcW w:w="3119" w:type="dxa"/>
            <w:shd w:val="clear" w:color="auto" w:fill="auto"/>
            <w:noWrap/>
            <w:vAlign w:val="bottom"/>
          </w:tcPr>
          <w:p>
            <w:pPr>
              <w:keepNext w:val="0"/>
              <w:keepLines w:val="0"/>
              <w:widowControl/>
              <w:suppressLineNumbers w:val="0"/>
              <w:spacing w:before="0" w:beforeAutospacing="0" w:after="160" w:afterAutospacing="0" w:line="256" w:lineRule="auto"/>
              <w:ind w:left="0" w:right="0"/>
              <w:rPr>
                <w:rFonts w:hint="eastAsia" w:ascii="Calibri" w:hAnsi="Calibri" w:cs="Times New Roman"/>
                <w:sz w:val="22"/>
                <w:szCs w:val="22"/>
                <w:lang w:eastAsia="en-US"/>
              </w:rPr>
            </w:pPr>
          </w:p>
        </w:tc>
        <w:tc>
          <w:tcPr>
            <w:tcW w:w="1347" w:type="dxa"/>
            <w:shd w:val="clear" w:color="auto" w:fill="auto"/>
            <w:noWrap/>
            <w:vAlign w:val="bottom"/>
          </w:tcPr>
          <w:p>
            <w:pPr>
              <w:keepNext w:val="0"/>
              <w:keepLines w:val="0"/>
              <w:widowControl/>
              <w:suppressLineNumbers w:val="0"/>
              <w:spacing w:before="0" w:beforeAutospacing="0" w:after="160" w:afterAutospacing="0" w:line="256" w:lineRule="auto"/>
              <w:ind w:left="0" w:right="0"/>
              <w:rPr>
                <w:rFonts w:hint="eastAsia" w:ascii="Calibri" w:hAnsi="Calibri" w:cs="Times New Roman"/>
                <w:sz w:val="22"/>
                <w:szCs w:val="22"/>
                <w:lang w:eastAsia="en-US"/>
              </w:rPr>
            </w:pPr>
          </w:p>
        </w:tc>
      </w:tr>
      <w:tr>
        <w:tblPrEx>
          <w:shd w:val="clear" w:color="auto" w:fill="auto"/>
          <w:tblLayout w:type="fixed"/>
          <w:tblCellMar>
            <w:top w:w="0" w:type="dxa"/>
            <w:left w:w="108" w:type="dxa"/>
            <w:bottom w:w="0" w:type="dxa"/>
            <w:right w:w="108" w:type="dxa"/>
          </w:tblCellMar>
        </w:tblPrEx>
        <w:trPr>
          <w:trHeight w:val="287" w:hRule="atLeast"/>
        </w:trPr>
        <w:tc>
          <w:tcPr>
            <w:tcW w:w="2943" w:type="dxa"/>
            <w:shd w:val="clear" w:color="auto" w:fill="auto"/>
            <w:noWrap/>
            <w:vAlign w:val="bottom"/>
          </w:tcPr>
          <w:p>
            <w:pPr>
              <w:keepNext w:val="0"/>
              <w:keepLines w:val="0"/>
              <w:widowControl/>
              <w:suppressLineNumbers w:val="0"/>
              <w:spacing w:before="0" w:beforeAutospacing="0" w:after="160" w:afterAutospacing="0" w:line="256" w:lineRule="auto"/>
              <w:ind w:left="0" w:right="0"/>
              <w:rPr>
                <w:rFonts w:hint="eastAsia" w:ascii="Calibri" w:hAnsi="Calibri" w:cs="Times New Roman"/>
                <w:sz w:val="22"/>
                <w:szCs w:val="22"/>
                <w:lang w:eastAsia="en-US"/>
              </w:rPr>
            </w:pPr>
          </w:p>
        </w:tc>
        <w:tc>
          <w:tcPr>
            <w:tcW w:w="3119" w:type="dxa"/>
            <w:shd w:val="clear" w:color="auto" w:fill="auto"/>
            <w:noWrap/>
            <w:vAlign w:val="bottom"/>
          </w:tcPr>
          <w:p>
            <w:pPr>
              <w:keepNext w:val="0"/>
              <w:keepLines w:val="0"/>
              <w:widowControl/>
              <w:suppressLineNumbers w:val="0"/>
              <w:spacing w:before="0" w:beforeAutospacing="0" w:after="160" w:afterAutospacing="0" w:line="256" w:lineRule="auto"/>
              <w:ind w:left="0" w:right="0"/>
              <w:rPr>
                <w:rFonts w:hint="eastAsia" w:ascii="Calibri" w:hAnsi="Calibri" w:cs="Times New Roman"/>
                <w:sz w:val="22"/>
                <w:szCs w:val="22"/>
                <w:lang w:eastAsia="en-US"/>
              </w:rPr>
            </w:pPr>
          </w:p>
        </w:tc>
        <w:tc>
          <w:tcPr>
            <w:tcW w:w="1347" w:type="dxa"/>
            <w:tcBorders>
              <w:top w:val="single" w:color="auto" w:sz="4" w:space="0"/>
              <w:left w:val="single" w:color="auto" w:sz="4" w:space="0"/>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Importance</w:t>
            </w:r>
          </w:p>
        </w:tc>
      </w:tr>
      <w:tr>
        <w:tblPrEx>
          <w:shd w:val="clear" w:color="auto" w:fill="auto"/>
          <w:tblLayout w:type="fixed"/>
          <w:tblCellMar>
            <w:top w:w="0" w:type="dxa"/>
            <w:left w:w="108" w:type="dxa"/>
            <w:bottom w:w="0" w:type="dxa"/>
            <w:right w:w="108" w:type="dxa"/>
          </w:tblCellMar>
        </w:tblPrEx>
        <w:trPr>
          <w:trHeight w:val="287" w:hRule="atLeast"/>
        </w:trPr>
        <w:tc>
          <w:tcPr>
            <w:tcW w:w="2943" w:type="dxa"/>
            <w:vMerge w:val="restart"/>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Basic Requirements</w:t>
            </w:r>
          </w:p>
        </w:tc>
        <w:tc>
          <w:tcPr>
            <w:tcW w:w="3119" w:type="dxa"/>
            <w:tcBorders>
              <w:top w:val="single" w:color="auto" w:sz="4" w:space="0"/>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Low Purchase Price</w:t>
            </w:r>
          </w:p>
        </w:tc>
        <w:tc>
          <w:tcPr>
            <w:tcW w:w="1347"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center"/>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6</w:t>
            </w:r>
          </w:p>
        </w:tc>
      </w:tr>
      <w:tr>
        <w:tblPrEx>
          <w:shd w:val="clear" w:color="auto" w:fill="auto"/>
          <w:tblLayout w:type="fixed"/>
          <w:tblCellMar>
            <w:top w:w="0" w:type="dxa"/>
            <w:left w:w="108" w:type="dxa"/>
            <w:bottom w:w="0" w:type="dxa"/>
            <w:right w:w="108" w:type="dxa"/>
          </w:tblCellMar>
        </w:tblPrEx>
        <w:trPr>
          <w:trHeight w:val="287" w:hRule="atLeast"/>
        </w:trPr>
        <w:tc>
          <w:tcPr>
            <w:tcW w:w="2943" w:type="dxa"/>
            <w:vMerge w:val="continue"/>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spacing w:before="0" w:beforeAutospacing="0" w:after="160" w:afterAutospacing="0" w:line="256" w:lineRule="auto"/>
              <w:ind w:left="0" w:right="0"/>
              <w:rPr>
                <w:rFonts w:hint="eastAsia" w:ascii="Calibri" w:hAnsi="Calibri" w:cs="Times New Roman"/>
                <w:sz w:val="22"/>
                <w:szCs w:val="22"/>
                <w:lang w:eastAsia="en-US"/>
              </w:rPr>
            </w:pPr>
          </w:p>
        </w:tc>
        <w:tc>
          <w:tcPr>
            <w:tcW w:w="3119"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Low Running Costs</w:t>
            </w:r>
          </w:p>
        </w:tc>
        <w:tc>
          <w:tcPr>
            <w:tcW w:w="1347"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center"/>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8</w:t>
            </w:r>
          </w:p>
        </w:tc>
      </w:tr>
      <w:tr>
        <w:tblPrEx>
          <w:tblLayout w:type="fixed"/>
          <w:tblCellMar>
            <w:top w:w="0" w:type="dxa"/>
            <w:left w:w="108" w:type="dxa"/>
            <w:bottom w:w="0" w:type="dxa"/>
            <w:right w:w="108" w:type="dxa"/>
          </w:tblCellMar>
        </w:tblPrEx>
        <w:trPr>
          <w:trHeight w:val="287" w:hRule="atLeast"/>
        </w:trPr>
        <w:tc>
          <w:tcPr>
            <w:tcW w:w="2943" w:type="dxa"/>
            <w:vMerge w:val="continue"/>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spacing w:before="0" w:beforeAutospacing="0" w:after="160" w:afterAutospacing="0" w:line="256" w:lineRule="auto"/>
              <w:ind w:left="0" w:right="0"/>
              <w:rPr>
                <w:rFonts w:hint="eastAsia" w:ascii="Calibri" w:hAnsi="Calibri" w:cs="Times New Roman"/>
                <w:sz w:val="22"/>
                <w:szCs w:val="22"/>
                <w:lang w:eastAsia="en-US"/>
              </w:rPr>
            </w:pPr>
          </w:p>
        </w:tc>
        <w:tc>
          <w:tcPr>
            <w:tcW w:w="3119"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Long Working Life</w:t>
            </w:r>
          </w:p>
        </w:tc>
        <w:tc>
          <w:tcPr>
            <w:tcW w:w="1347"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center"/>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9</w:t>
            </w:r>
          </w:p>
        </w:tc>
      </w:tr>
      <w:tr>
        <w:tblPrEx>
          <w:shd w:val="clear" w:color="auto" w:fill="auto"/>
          <w:tblLayout w:type="fixed"/>
          <w:tblCellMar>
            <w:top w:w="0" w:type="dxa"/>
            <w:left w:w="108" w:type="dxa"/>
            <w:bottom w:w="0" w:type="dxa"/>
            <w:right w:w="108" w:type="dxa"/>
          </w:tblCellMar>
        </w:tblPrEx>
        <w:trPr>
          <w:trHeight w:val="287" w:hRule="atLeast"/>
        </w:trPr>
        <w:tc>
          <w:tcPr>
            <w:tcW w:w="2943" w:type="dxa"/>
            <w:vMerge w:val="continue"/>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spacing w:before="0" w:beforeAutospacing="0" w:after="160" w:afterAutospacing="0" w:line="256" w:lineRule="auto"/>
              <w:ind w:left="0" w:right="0"/>
              <w:rPr>
                <w:rFonts w:hint="eastAsia" w:ascii="Calibri" w:hAnsi="Calibri" w:cs="Times New Roman"/>
                <w:sz w:val="22"/>
                <w:szCs w:val="22"/>
                <w:lang w:eastAsia="en-US"/>
              </w:rPr>
            </w:pPr>
          </w:p>
        </w:tc>
        <w:tc>
          <w:tcPr>
            <w:tcW w:w="3119"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Pick a Range of Products</w:t>
            </w:r>
          </w:p>
        </w:tc>
        <w:tc>
          <w:tcPr>
            <w:tcW w:w="1347"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center"/>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9</w:t>
            </w:r>
          </w:p>
        </w:tc>
      </w:tr>
      <w:tr>
        <w:tblPrEx>
          <w:shd w:val="clear" w:color="auto" w:fill="auto"/>
          <w:tblLayout w:type="fixed"/>
          <w:tblCellMar>
            <w:top w:w="0" w:type="dxa"/>
            <w:left w:w="108" w:type="dxa"/>
            <w:bottom w:w="0" w:type="dxa"/>
            <w:right w:w="108" w:type="dxa"/>
          </w:tblCellMar>
        </w:tblPrEx>
        <w:trPr>
          <w:trHeight w:val="287" w:hRule="atLeast"/>
        </w:trPr>
        <w:tc>
          <w:tcPr>
            <w:tcW w:w="2943" w:type="dxa"/>
            <w:vMerge w:val="continue"/>
            <w:tcBorders>
              <w:top w:val="single" w:color="auto" w:sz="4" w:space="0"/>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spacing w:before="0" w:beforeAutospacing="0" w:after="160" w:afterAutospacing="0" w:line="256" w:lineRule="auto"/>
              <w:ind w:left="0" w:right="0"/>
              <w:rPr>
                <w:rFonts w:hint="eastAsia" w:ascii="Calibri" w:hAnsi="Calibri" w:cs="Times New Roman"/>
                <w:sz w:val="22"/>
                <w:szCs w:val="22"/>
                <w:lang w:eastAsia="en-US"/>
              </w:rPr>
            </w:pPr>
          </w:p>
        </w:tc>
        <w:tc>
          <w:tcPr>
            <w:tcW w:w="3119"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High Maximum Gripper Force</w:t>
            </w:r>
          </w:p>
        </w:tc>
        <w:tc>
          <w:tcPr>
            <w:tcW w:w="1347"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center"/>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4</w:t>
            </w:r>
          </w:p>
        </w:tc>
      </w:tr>
      <w:tr>
        <w:tblPrEx>
          <w:shd w:val="clear" w:color="auto" w:fill="auto"/>
          <w:tblLayout w:type="fixed"/>
          <w:tblCellMar>
            <w:top w:w="0" w:type="dxa"/>
            <w:left w:w="108" w:type="dxa"/>
            <w:bottom w:w="0" w:type="dxa"/>
            <w:right w:w="108" w:type="dxa"/>
          </w:tblCellMar>
        </w:tblPrEx>
        <w:trPr>
          <w:trHeight w:val="287" w:hRule="atLeast"/>
        </w:trPr>
        <w:tc>
          <w:tcPr>
            <w:tcW w:w="2943" w:type="dxa"/>
            <w:vMerge w:val="restart"/>
            <w:tcBorders>
              <w:top w:val="nil"/>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Performance Requirements</w:t>
            </w:r>
          </w:p>
        </w:tc>
        <w:tc>
          <w:tcPr>
            <w:tcW w:w="3119"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Easily Serviceable</w:t>
            </w:r>
          </w:p>
        </w:tc>
        <w:tc>
          <w:tcPr>
            <w:tcW w:w="1347"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center"/>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7</w:t>
            </w:r>
          </w:p>
        </w:tc>
      </w:tr>
      <w:tr>
        <w:tblPrEx>
          <w:shd w:val="clear" w:color="auto" w:fill="auto"/>
          <w:tblLayout w:type="fixed"/>
          <w:tblCellMar>
            <w:top w:w="0" w:type="dxa"/>
            <w:left w:w="108" w:type="dxa"/>
            <w:bottom w:w="0" w:type="dxa"/>
            <w:right w:w="108" w:type="dxa"/>
          </w:tblCellMar>
        </w:tblPrEx>
        <w:trPr>
          <w:trHeight w:val="287" w:hRule="atLeast"/>
        </w:trPr>
        <w:tc>
          <w:tcPr>
            <w:tcW w:w="2943" w:type="dxa"/>
            <w:vMerge w:val="continue"/>
            <w:tcBorders>
              <w:top w:val="nil"/>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spacing w:before="0" w:beforeAutospacing="0" w:after="160" w:afterAutospacing="0" w:line="256" w:lineRule="auto"/>
              <w:ind w:left="0" w:right="0"/>
              <w:rPr>
                <w:rFonts w:hint="eastAsia" w:ascii="Calibri" w:hAnsi="Calibri" w:cs="Times New Roman"/>
                <w:sz w:val="22"/>
                <w:szCs w:val="22"/>
                <w:lang w:eastAsia="en-US"/>
              </w:rPr>
            </w:pPr>
          </w:p>
        </w:tc>
        <w:tc>
          <w:tcPr>
            <w:tcW w:w="3119"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Lightweight</w:t>
            </w:r>
          </w:p>
        </w:tc>
        <w:tc>
          <w:tcPr>
            <w:tcW w:w="1347"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center"/>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8</w:t>
            </w:r>
          </w:p>
        </w:tc>
      </w:tr>
      <w:tr>
        <w:tblPrEx>
          <w:shd w:val="clear" w:color="auto" w:fill="auto"/>
          <w:tblLayout w:type="fixed"/>
          <w:tblCellMar>
            <w:top w:w="0" w:type="dxa"/>
            <w:left w:w="108" w:type="dxa"/>
            <w:bottom w:w="0" w:type="dxa"/>
            <w:right w:w="108" w:type="dxa"/>
          </w:tblCellMar>
        </w:tblPrEx>
        <w:trPr>
          <w:trHeight w:val="287" w:hRule="atLeast"/>
        </w:trPr>
        <w:tc>
          <w:tcPr>
            <w:tcW w:w="2943" w:type="dxa"/>
            <w:vMerge w:val="continue"/>
            <w:tcBorders>
              <w:top w:val="nil"/>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spacing w:before="0" w:beforeAutospacing="0" w:after="160" w:afterAutospacing="0" w:line="256" w:lineRule="auto"/>
              <w:ind w:left="0" w:right="0"/>
              <w:rPr>
                <w:rFonts w:hint="eastAsia" w:ascii="Calibri" w:hAnsi="Calibri" w:cs="Times New Roman"/>
                <w:sz w:val="22"/>
                <w:szCs w:val="22"/>
                <w:lang w:eastAsia="en-US"/>
              </w:rPr>
            </w:pPr>
          </w:p>
        </w:tc>
        <w:tc>
          <w:tcPr>
            <w:tcW w:w="3119"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Adjustable Pressure on Parts</w:t>
            </w:r>
          </w:p>
        </w:tc>
        <w:tc>
          <w:tcPr>
            <w:tcW w:w="1347"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center"/>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8</w:t>
            </w:r>
          </w:p>
        </w:tc>
      </w:tr>
      <w:tr>
        <w:tblPrEx>
          <w:shd w:val="clear" w:color="auto" w:fill="auto"/>
          <w:tblLayout w:type="fixed"/>
          <w:tblCellMar>
            <w:top w:w="0" w:type="dxa"/>
            <w:left w:w="108" w:type="dxa"/>
            <w:bottom w:w="0" w:type="dxa"/>
            <w:right w:w="108" w:type="dxa"/>
          </w:tblCellMar>
        </w:tblPrEx>
        <w:trPr>
          <w:trHeight w:val="287" w:hRule="atLeast"/>
        </w:trPr>
        <w:tc>
          <w:tcPr>
            <w:tcW w:w="2943" w:type="dxa"/>
            <w:vMerge w:val="continue"/>
            <w:tcBorders>
              <w:top w:val="nil"/>
              <w:left w:val="single" w:color="auto" w:sz="4" w:space="0"/>
              <w:bottom w:val="single" w:color="auto" w:sz="4" w:space="0"/>
              <w:right w:val="single" w:color="auto" w:sz="4" w:space="0"/>
            </w:tcBorders>
            <w:shd w:val="clear" w:color="auto" w:fill="auto"/>
            <w:noWrap/>
            <w:vAlign w:val="top"/>
          </w:tcPr>
          <w:p>
            <w:pPr>
              <w:keepNext w:val="0"/>
              <w:keepLines w:val="0"/>
              <w:widowControl/>
              <w:suppressLineNumbers w:val="0"/>
              <w:spacing w:before="0" w:beforeAutospacing="0" w:after="160" w:afterAutospacing="0" w:line="256" w:lineRule="auto"/>
              <w:ind w:left="0" w:right="0"/>
              <w:rPr>
                <w:rFonts w:hint="eastAsia" w:ascii="Calibri" w:hAnsi="Calibri" w:cs="Times New Roman"/>
                <w:sz w:val="22"/>
                <w:szCs w:val="22"/>
                <w:lang w:eastAsia="en-US"/>
              </w:rPr>
            </w:pPr>
          </w:p>
        </w:tc>
        <w:tc>
          <w:tcPr>
            <w:tcW w:w="3119"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Adjustable Force Applied</w:t>
            </w:r>
          </w:p>
        </w:tc>
        <w:tc>
          <w:tcPr>
            <w:tcW w:w="1347"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center"/>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5</w:t>
            </w:r>
          </w:p>
        </w:tc>
      </w:tr>
      <w:tr>
        <w:tblPrEx>
          <w:shd w:val="clear" w:color="auto" w:fill="auto"/>
          <w:tblLayout w:type="fixed"/>
          <w:tblCellMar>
            <w:top w:w="0" w:type="dxa"/>
            <w:left w:w="108" w:type="dxa"/>
            <w:bottom w:w="0" w:type="dxa"/>
            <w:right w:w="108" w:type="dxa"/>
          </w:tblCellMar>
        </w:tblPrEx>
        <w:trPr>
          <w:trHeight w:val="287" w:hRule="atLeast"/>
        </w:trPr>
        <w:tc>
          <w:tcPr>
            <w:tcW w:w="2943" w:type="dxa"/>
            <w:tcBorders>
              <w:top w:val="nil"/>
              <w:left w:val="single" w:color="auto" w:sz="4" w:space="0"/>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Excitement Requirements</w:t>
            </w:r>
          </w:p>
        </w:tc>
        <w:tc>
          <w:tcPr>
            <w:tcW w:w="3119"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Recyclable</w:t>
            </w:r>
          </w:p>
        </w:tc>
        <w:tc>
          <w:tcPr>
            <w:tcW w:w="1347" w:type="dxa"/>
            <w:tcBorders>
              <w:top w:val="nil"/>
              <w:left w:val="nil"/>
              <w:bottom w:val="single" w:color="auto" w:sz="4" w:space="0"/>
              <w:right w:val="single" w:color="auto"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center"/>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7</w:t>
            </w:r>
          </w:p>
        </w:tc>
      </w:tr>
    </w:tbl>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Table 1: Kano Model of key Customer Requirements</w:t>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rFonts w:hint="default" w:ascii="Arial" w:hAnsi="Arial" w:eastAsia="Times New Roman" w:cs="Arial"/>
          <w:b/>
          <w:color w:val="800080"/>
          <w:sz w:val="24"/>
          <w:szCs w:val="24"/>
          <w:lang w:val="en-US" w:eastAsia="en-US"/>
        </w:rPr>
      </w:pPr>
      <w:r>
        <w:rPr>
          <w:rFonts w:hint="eastAsia" w:ascii="Calibri" w:hAnsi="Calibri" w:eastAsia="Calibri" w:cs="Times New Roman"/>
          <w:kern w:val="0"/>
          <w:sz w:val="24"/>
          <w:szCs w:val="24"/>
          <w:lang w:val="en-US" w:eastAsia="zh-CN" w:bidi="ar"/>
        </w:rPr>
        <w:drawing>
          <wp:inline distT="0" distB="0" distL="114300" distR="114300">
            <wp:extent cx="6646545" cy="4779645"/>
            <wp:effectExtent l="0" t="0" r="698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pic:cNvPicPr>
                  </pic:nvPicPr>
                  <pic:blipFill>
                    <a:blip r:embed="rId5"/>
                    <a:stretch>
                      <a:fillRect/>
                    </a:stretch>
                  </pic:blipFill>
                  <pic:spPr>
                    <a:xfrm>
                      <a:off x="0" y="0"/>
                      <a:ext cx="6646545" cy="4779645"/>
                    </a:xfrm>
                    <a:prstGeom prst="rect">
                      <a:avLst/>
                    </a:prstGeom>
                    <a:noFill/>
                    <a:ln>
                      <a:noFill/>
                    </a:ln>
                  </pic:spPr>
                </pic:pic>
              </a:graphicData>
            </a:graphic>
          </wp:inline>
        </w:drawing>
      </w:r>
    </w:p>
    <w:p>
      <w:pPr>
        <w:keepNext w:val="0"/>
        <w:keepLines w:val="0"/>
        <w:widowControl/>
        <w:suppressLineNumbers w:val="0"/>
        <w:spacing w:before="0" w:beforeAutospacing="0" w:after="0" w:afterAutospacing="0" w:line="240" w:lineRule="auto"/>
        <w:ind w:left="0" w:right="0"/>
        <w:jc w:val="left"/>
        <w:rPr>
          <w:rFonts w:hint="default" w:ascii="Arial" w:hAnsi="Arial" w:eastAsia="Times New Roman" w:cs="Arial"/>
          <w:b/>
          <w:color w:val="800080"/>
          <w:sz w:val="24"/>
          <w:szCs w:val="24"/>
          <w:lang w:val="en-US" w:eastAsia="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Figure 2: QFD developed from template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{"citationItems":[{"id":"ITEM-1","itemData":{"URL":"http://qfdonline.com/templates/","accessed":{"date-parts":[["2021","6","11"]]},"id":"ITEM-1","issued":{"date-parts":[["2010"]]},"title":"QFD Online - Free House of Quality (QFD) Templates for Excel","type":"webpage"},"uris":["http://www.mendeley.com/documents/?uuid=42a348a0-fd5b-3adc-be59-2af28692f5b5"]}],"mendeley":{"formattedCitation":"(&lt;i&gt;QFD Online - Free House of Quality (QFD) Templates for Excel&lt;/i&gt;, 2010)","plainTextFormattedCitation":"(QFD Online - Free House of Quality (QFD) Templates for Excel, 2010)","previouslyFormattedCitation":"(&lt;i&gt;QFD Online - Free House of Quality (QFD) Templates for Excel&lt;/i&gt;, 2010)"},"properties":{"noteIndex":0},"schema":"https://github.com/citation-style-language/schema/raw/master/csl-citation.json"}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w:t>
      </w:r>
      <w:r>
        <w:rPr>
          <w:rFonts w:hint="eastAsia" w:ascii="Calibri" w:hAnsi="Calibri" w:eastAsia="Calibri" w:cs="Times New Roman"/>
          <w:i/>
          <w:iCs w:val="0"/>
          <w:kern w:val="0"/>
          <w:sz w:val="24"/>
          <w:szCs w:val="24"/>
          <w:lang w:val="en-US" w:eastAsia="zh-CN" w:bidi="ar"/>
        </w:rPr>
        <w:t>QFD Online - Free House of Quality (QFD) Templates for Excel</w:t>
      </w:r>
      <w:r>
        <w:rPr>
          <w:rFonts w:hint="eastAsia" w:ascii="Calibri" w:hAnsi="Calibri" w:eastAsia="Calibri" w:cs="Times New Roman"/>
          <w:kern w:val="0"/>
          <w:sz w:val="24"/>
          <w:szCs w:val="24"/>
          <w:lang w:val="en-US" w:eastAsia="zh-CN" w:bidi="ar"/>
        </w:rPr>
        <w:t>, 2010)</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With the customer and aesthetic requirements and the need for recyclable materials established, the Product Design Specification (PDS) can be drafted. The purpose of the PDS is to help the designers understand the characteristics and requirements for the final product. A British Standard BS7373-1:2001 compliant PDS for the 3-Jaw gripper is shown below.</w:t>
      </w:r>
    </w:p>
    <w:p>
      <w:pPr>
        <w:keepNext w:val="0"/>
        <w:keepLines w:val="0"/>
        <w:widowControl/>
        <w:suppressLineNumbers w:val="0"/>
        <w:spacing w:before="0" w:beforeAutospacing="0" w:after="160" w:afterAutospacing="0" w:line="256" w:lineRule="auto"/>
        <w:ind w:left="0" w:right="0"/>
        <w:jc w:val="left"/>
        <w:rPr>
          <w:sz w:val="24"/>
          <w:szCs w:val="24"/>
          <w:lang w:val="en-US"/>
        </w:rPr>
      </w:pPr>
    </w:p>
    <w:tbl>
      <w:tblPr>
        <w:tblStyle w:val="13"/>
        <w:tblW w:w="9167" w:type="dxa"/>
        <w:jc w:val="center"/>
        <w:tblInd w:w="75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
      <w:tblGrid>
        <w:gridCol w:w="646"/>
        <w:gridCol w:w="85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1.0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Performance</w:t>
            </w:r>
          </w:p>
          <w:p>
            <w:pPr>
              <w:pStyle w:val="5"/>
              <w:keepNext w:val="0"/>
              <w:keepLines w:val="0"/>
              <w:widowControl/>
              <w:numPr>
                <w:ilvl w:val="1"/>
                <w:numId w:val="2"/>
              </w:numPr>
              <w:suppressLineNumbers w:val="0"/>
              <w:spacing w:before="0" w:beforeAutospacing="0" w:after="0" w:afterAutospacing="0" w:line="240" w:lineRule="auto"/>
              <w:ind w:left="360" w:righ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Capable of lifting a range of different item geometries</w:t>
            </w:r>
          </w:p>
          <w:p>
            <w:pPr>
              <w:pStyle w:val="5"/>
              <w:keepNext w:val="0"/>
              <w:keepLines w:val="0"/>
              <w:widowControl/>
              <w:numPr>
                <w:ilvl w:val="1"/>
                <w:numId w:val="2"/>
              </w:numPr>
              <w:suppressLineNumbers w:val="0"/>
              <w:spacing w:before="0" w:beforeAutospacing="0" w:after="0" w:afterAutospacing="0" w:line="240" w:lineRule="auto"/>
              <w:ind w:left="360" w:righ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Lift loads up to 10kg (+/- 10%)</w:t>
            </w:r>
          </w:p>
          <w:p>
            <w:pPr>
              <w:pStyle w:val="5"/>
              <w:keepNext w:val="0"/>
              <w:keepLines w:val="0"/>
              <w:widowControl/>
              <w:numPr>
                <w:ilvl w:val="1"/>
                <w:numId w:val="2"/>
              </w:numPr>
              <w:suppressLineNumbers w:val="0"/>
              <w:spacing w:before="0" w:beforeAutospacing="0" w:after="0" w:afterAutospacing="0" w:line="240" w:lineRule="auto"/>
              <w:ind w:left="360" w:righ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Lift loads up to 30mm x 30mm x 30mm (lifting area)</w:t>
            </w:r>
          </w:p>
          <w:p>
            <w:pPr>
              <w:pStyle w:val="5"/>
              <w:keepNext w:val="0"/>
              <w:keepLines w:val="0"/>
              <w:widowControl/>
              <w:numPr>
                <w:ilvl w:val="1"/>
                <w:numId w:val="2"/>
              </w:numPr>
              <w:suppressLineNumbers w:val="0"/>
              <w:spacing w:before="0" w:beforeAutospacing="0" w:after="0" w:afterAutospacing="0" w:line="240" w:lineRule="auto"/>
              <w:ind w:left="360" w:righ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Full Jaw open/close cycle under 5 seconds</w:t>
            </w:r>
          </w:p>
          <w:p>
            <w:pPr>
              <w:pStyle w:val="5"/>
              <w:keepNext w:val="0"/>
              <w:keepLines w:val="0"/>
              <w:widowControl/>
              <w:numPr>
                <w:ilvl w:val="1"/>
                <w:numId w:val="2"/>
              </w:numPr>
              <w:suppressLineNumbers w:val="0"/>
              <w:spacing w:before="0" w:beforeAutospacing="0" w:after="0" w:afterAutospacing="0" w:line="240" w:lineRule="auto"/>
              <w:ind w:left="360" w:righ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Force exerted on parts should be adjustable</w:t>
            </w:r>
          </w:p>
          <w:p>
            <w:pPr>
              <w:pStyle w:val="5"/>
              <w:keepNext w:val="0"/>
              <w:keepLines w:val="0"/>
              <w:widowControl/>
              <w:numPr>
                <w:ilvl w:val="1"/>
                <w:numId w:val="2"/>
              </w:numPr>
              <w:suppressLineNumbers w:val="0"/>
              <w:spacing w:before="0" w:beforeAutospacing="0" w:after="0" w:afterAutospacing="0" w:line="240" w:lineRule="auto"/>
              <w:ind w:left="360" w:righ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Gripping method to be a friction grip</w:t>
            </w:r>
          </w:p>
          <w:p>
            <w:pPr>
              <w:pStyle w:val="5"/>
              <w:keepNext w:val="0"/>
              <w:keepLines w:val="0"/>
              <w:widowControl/>
              <w:suppressLineNumbers w:val="0"/>
              <w:spacing w:before="0" w:beforeAutospacing="0" w:after="0" w:afterAutospacing="0" w:line="240" w:lineRule="auto"/>
              <w:ind w:left="360" w:right="0"/>
              <w:contextualSpacing w:val="0"/>
              <w:rPr>
                <w:rFonts w:hint="eastAsia" w:ascii="Calibri" w:hAnsi="Calibri" w:cs="Times New Roman"/>
                <w:sz w:val="24"/>
                <w:szCs w:val="24"/>
                <w:lang w:eastAsia="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2.0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Environment</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2.1 Gripper will operate in multiple worldwide climates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2.2 Gripper will be operated primarily in indoor situations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2.3 Temperature range expected to be 5 – 44 degrees Celsius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2.4 Product could experience temperature variations and condensation</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2.5 Corrosion resistance should be applied, either through material selection or post manufacturing treatments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2.6 Function should not exceed 85dB noise levels from 1m away</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2.7 Capable of staying in storage conditions for up to 1 month</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3.0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Product Life Span</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3.1 Product manufacture should run for 5 years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 xml:space="preserve">3.2 Aftermarket spare part provision should run for 2 years after that </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4.0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Life in Service</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4.1 Product should run for 2 hours continuous usage, 6 hours daily usage for 5 years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4.2 Spare parts should be available for Aftermarket for an additional 2 years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4.3 All considerations in sections 1 &amp; 2 should be aligned with Life in Service specifications</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5.0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Shelf Life</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5.1 Product to be stored locally for 3-4 weeks before dispatch</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5.2 Customers outside of the UK will incur additional storage time during shipping/customs</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6.0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Target Costs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6.1 Final product sale price should be around £1000 sterling</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6.2 Manufacture cost should not exceed £600 sterling</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6.3 Shipping costs should be less than 10% of the overall manufacturing costs</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7.0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Quantity</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7.1 Expected volume of 1000-2000 units a week</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8.0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Maintenance</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8.1 Low maintenance requirements with minor clean, degrease and lubrication of moving parts every 4 weeks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8.2 Annual service (preventative maintenance) recommended</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8.3 Clean, degrease and lubrication should be tool free</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8.4 Any fasteners used must be conforming to BS6105</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8.5 Any tools required for the service should be standard tooling</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9.0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Marketing</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9.1 Primary focus on building a core domestic market developing professional relationships with large, multinational organisations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9.2 Possible target markets:</w:t>
            </w:r>
          </w:p>
          <w:p>
            <w:pPr>
              <w:keepNext w:val="0"/>
              <w:keepLines w:val="0"/>
              <w:widowControl/>
              <w:suppressLineNumbers w:val="0"/>
              <w:spacing w:before="0" w:beforeAutospacing="0" w:after="0" w:afterAutospacing="0" w:line="240" w:lineRule="auto"/>
              <w:ind w:left="0" w:right="0"/>
              <w:jc w:val="left"/>
              <w:rPr>
                <w:rFonts w:hint="eastAsia"/>
                <w:sz w:val="24"/>
                <w:szCs w:val="24"/>
              </w:rPr>
            </w:pPr>
          </w:p>
          <w:p>
            <w:pPr>
              <w:pStyle w:val="5"/>
              <w:keepNext w:val="0"/>
              <w:keepLines w:val="0"/>
              <w:widowControl/>
              <w:numPr>
                <w:ilvl w:val="0"/>
                <w:numId w:val="3"/>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Testing laboratories</w:t>
            </w:r>
          </w:p>
          <w:p>
            <w:pPr>
              <w:pStyle w:val="5"/>
              <w:keepNext w:val="0"/>
              <w:keepLines w:val="0"/>
              <w:widowControl/>
              <w:numPr>
                <w:ilvl w:val="0"/>
                <w:numId w:val="3"/>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High volume manufacturing companies</w:t>
            </w:r>
          </w:p>
          <w:p>
            <w:pPr>
              <w:pStyle w:val="5"/>
              <w:keepNext w:val="0"/>
              <w:keepLines w:val="0"/>
              <w:widowControl/>
              <w:numPr>
                <w:ilvl w:val="0"/>
                <w:numId w:val="3"/>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Electronic circuit board manufacturing</w:t>
            </w:r>
          </w:p>
          <w:p>
            <w:pPr>
              <w:pStyle w:val="5"/>
              <w:keepNext w:val="0"/>
              <w:keepLines w:val="0"/>
              <w:widowControl/>
              <w:suppressLineNumbers w:val="0"/>
              <w:spacing w:after="0" w:afterAutospacing="0" w:line="240" w:lineRule="auto"/>
              <w:contextualSpacing w:val="0"/>
              <w:rPr>
                <w:rFonts w:hint="eastAsia" w:ascii="Calibri" w:hAnsi="Calibri" w:cs="Times New Roman"/>
                <w:sz w:val="24"/>
                <w:szCs w:val="24"/>
                <w:lang w:eastAsia="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10.0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Packaging</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10.1 Should prevent operation of the product during shipping</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10.2 Provide protection from reasonable impact force</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10.3 Prevent product being damaged</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10.4 Primarily made from either recyclable or returnable materials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10.5 Packaging and transport methods chosen should be minimal</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11.0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Size and Weight</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11.1 Unit weight limit &lt;5kg</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11.2 Assembly envelope &lt;120mm x 65mm x 65mm</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12.0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Shipping</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12.1 Product to be shipped by road</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12.2 For international sales outside of Europe, shipping by sea is preferred</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13.0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Manufacturing Processes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13.1 Processes should be capable of matching the 1000-2000 completed assembly requirements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13.2 Where parts are repeated in the assembly, the additional total number of parts per gripper must be factored into the manufacturing capability</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13.3 Specialist dies should be purchased from a supplier</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14.0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Aesthetics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14.1 Gripper is not a decorative part, so no specialist decorative treatments are required</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14.2 Surface finish should be in line with manufacturing process selected with only minor standard process capability surface defects permitted</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14.3 Corrosion protection must be applied to all features to prevent rusting of parts</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15.0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Ergonomics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15.1 All fasteners should be accessible without specialist tooling</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15.2 Gripper should support quick release fasteners where possible</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15.3 Gripper should be able to be installed by a single person</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16.0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Customer Requirements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16.1 Voice of Customer Requirements:</w:t>
            </w:r>
          </w:p>
          <w:p>
            <w:pPr>
              <w:pStyle w:val="5"/>
              <w:keepNext w:val="0"/>
              <w:keepLines w:val="0"/>
              <w:widowControl/>
              <w:numPr>
                <w:ilvl w:val="0"/>
                <w:numId w:val="4"/>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Low Purchase Price</w:t>
            </w:r>
          </w:p>
          <w:p>
            <w:pPr>
              <w:pStyle w:val="5"/>
              <w:keepNext w:val="0"/>
              <w:keepLines w:val="0"/>
              <w:widowControl/>
              <w:numPr>
                <w:ilvl w:val="0"/>
                <w:numId w:val="4"/>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Low Running Costs</w:t>
            </w:r>
          </w:p>
          <w:p>
            <w:pPr>
              <w:pStyle w:val="5"/>
              <w:keepNext w:val="0"/>
              <w:keepLines w:val="0"/>
              <w:widowControl/>
              <w:numPr>
                <w:ilvl w:val="0"/>
                <w:numId w:val="4"/>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Long Working Life</w:t>
            </w:r>
          </w:p>
          <w:p>
            <w:pPr>
              <w:pStyle w:val="5"/>
              <w:keepNext w:val="0"/>
              <w:keepLines w:val="0"/>
              <w:widowControl/>
              <w:numPr>
                <w:ilvl w:val="0"/>
                <w:numId w:val="4"/>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Pick a Range of Products</w:t>
            </w:r>
          </w:p>
          <w:p>
            <w:pPr>
              <w:pStyle w:val="5"/>
              <w:keepNext w:val="0"/>
              <w:keepLines w:val="0"/>
              <w:widowControl/>
              <w:numPr>
                <w:ilvl w:val="0"/>
                <w:numId w:val="4"/>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High Maximum Gripper Force</w:t>
            </w:r>
          </w:p>
          <w:p>
            <w:pPr>
              <w:pStyle w:val="5"/>
              <w:keepNext w:val="0"/>
              <w:keepLines w:val="0"/>
              <w:widowControl/>
              <w:numPr>
                <w:ilvl w:val="0"/>
                <w:numId w:val="4"/>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Easily Serviceable</w:t>
            </w:r>
          </w:p>
          <w:p>
            <w:pPr>
              <w:pStyle w:val="5"/>
              <w:keepNext w:val="0"/>
              <w:keepLines w:val="0"/>
              <w:widowControl/>
              <w:numPr>
                <w:ilvl w:val="0"/>
                <w:numId w:val="4"/>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Lightweight</w:t>
            </w:r>
          </w:p>
          <w:p>
            <w:pPr>
              <w:pStyle w:val="5"/>
              <w:keepNext w:val="0"/>
              <w:keepLines w:val="0"/>
              <w:widowControl/>
              <w:numPr>
                <w:ilvl w:val="0"/>
                <w:numId w:val="4"/>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Adjustable Pressure on Parts</w:t>
            </w:r>
          </w:p>
          <w:p>
            <w:pPr>
              <w:pStyle w:val="5"/>
              <w:keepNext w:val="0"/>
              <w:keepLines w:val="0"/>
              <w:widowControl/>
              <w:numPr>
                <w:ilvl w:val="0"/>
                <w:numId w:val="4"/>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Adjustable Force Applied</w:t>
            </w:r>
          </w:p>
          <w:p>
            <w:pPr>
              <w:pStyle w:val="5"/>
              <w:keepNext w:val="0"/>
              <w:keepLines w:val="0"/>
              <w:widowControl/>
              <w:numPr>
                <w:ilvl w:val="0"/>
                <w:numId w:val="4"/>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Recyclable</w:t>
            </w:r>
          </w:p>
          <w:p>
            <w:pPr>
              <w:pStyle w:val="5"/>
              <w:keepNext w:val="0"/>
              <w:keepLines w:val="0"/>
              <w:widowControl/>
              <w:numPr>
                <w:ilvl w:val="0"/>
                <w:numId w:val="4"/>
              </w:numPr>
              <w:suppressLineNumbers w:val="0"/>
              <w:spacing w:after="0" w:afterAutospacing="0" w:line="240" w:lineRule="auto"/>
              <w:ind w:left="0" w:hanging="360"/>
              <w:contextualSpacing w:val="0"/>
              <w:rPr>
                <w:rFonts w:hint="eastAsia" w:ascii="Calibri" w:hAnsi="Calibri" w:cs="Times New Roman"/>
                <w:sz w:val="24"/>
                <w:szCs w:val="24"/>
                <w:lang w:eastAsia="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17.0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Competition</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17.1 Potential competitors:</w:t>
            </w:r>
          </w:p>
          <w:p>
            <w:pPr>
              <w:keepNext w:val="0"/>
              <w:keepLines w:val="0"/>
              <w:widowControl/>
              <w:suppressLineNumbers w:val="0"/>
              <w:spacing w:before="0" w:beforeAutospacing="0" w:after="0" w:afterAutospacing="0" w:line="240" w:lineRule="auto"/>
              <w:ind w:left="0" w:right="0"/>
              <w:jc w:val="left"/>
              <w:rPr>
                <w:rFonts w:hint="eastAsia"/>
                <w:sz w:val="24"/>
                <w:szCs w:val="24"/>
              </w:rPr>
            </w:pPr>
          </w:p>
          <w:p>
            <w:pPr>
              <w:pStyle w:val="5"/>
              <w:keepNext w:val="0"/>
              <w:keepLines w:val="0"/>
              <w:widowControl/>
              <w:numPr>
                <w:ilvl w:val="0"/>
                <w:numId w:val="5"/>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RAR UK Automation</w:t>
            </w:r>
          </w:p>
          <w:p>
            <w:pPr>
              <w:pStyle w:val="5"/>
              <w:keepNext w:val="0"/>
              <w:keepLines w:val="0"/>
              <w:widowControl/>
              <w:numPr>
                <w:ilvl w:val="0"/>
                <w:numId w:val="5"/>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Quadratec Limited</w:t>
            </w:r>
          </w:p>
          <w:p>
            <w:pPr>
              <w:pStyle w:val="5"/>
              <w:keepNext w:val="0"/>
              <w:keepLines w:val="0"/>
              <w:widowControl/>
              <w:numPr>
                <w:ilvl w:val="0"/>
                <w:numId w:val="5"/>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OnRobot</w:t>
            </w:r>
          </w:p>
          <w:p>
            <w:pPr>
              <w:pStyle w:val="5"/>
              <w:keepNext w:val="0"/>
              <w:keepLines w:val="0"/>
              <w:widowControl/>
              <w:numPr>
                <w:ilvl w:val="0"/>
                <w:numId w:val="5"/>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Geku Automation</w:t>
            </w:r>
          </w:p>
          <w:p>
            <w:pPr>
              <w:pStyle w:val="5"/>
              <w:keepNext w:val="0"/>
              <w:keepLines w:val="0"/>
              <w:widowControl/>
              <w:suppressLineNumbers w:val="0"/>
              <w:spacing w:after="0" w:afterAutospacing="0" w:line="240" w:lineRule="auto"/>
              <w:contextualSpacing w:val="0"/>
              <w:rPr>
                <w:rFonts w:hint="eastAsia" w:ascii="Calibri" w:hAnsi="Calibri" w:cs="Times New Roman"/>
                <w:sz w:val="24"/>
                <w:szCs w:val="24"/>
                <w:lang w:eastAsia="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18.0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Quality and Reliability</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18.1 No gripper should fail with loads less than the maximum load of 10kg</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18.2 Gripper should function without failing within the first service window and only 1 in 75 should fail in year 2</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19.0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Standards and Specifications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19.1 Where applicable, the following standards shall be conformed to:</w:t>
            </w:r>
          </w:p>
          <w:p>
            <w:pPr>
              <w:keepNext w:val="0"/>
              <w:keepLines w:val="0"/>
              <w:widowControl/>
              <w:suppressLineNumbers w:val="0"/>
              <w:spacing w:before="0" w:beforeAutospacing="0" w:after="0" w:afterAutospacing="0" w:line="240" w:lineRule="auto"/>
              <w:ind w:left="0" w:right="0"/>
              <w:jc w:val="left"/>
              <w:rPr>
                <w:rFonts w:hint="eastAsia"/>
                <w:sz w:val="24"/>
                <w:szCs w:val="24"/>
              </w:rPr>
            </w:pPr>
          </w:p>
          <w:p>
            <w:pPr>
              <w:pStyle w:val="5"/>
              <w:keepNext w:val="0"/>
              <w:keepLines w:val="0"/>
              <w:widowControl/>
              <w:numPr>
                <w:ilvl w:val="0"/>
                <w:numId w:val="6"/>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BS 6105 – Corrosion Resistant Stainless Steel Fasteners</w:t>
            </w:r>
          </w:p>
          <w:p>
            <w:pPr>
              <w:pStyle w:val="5"/>
              <w:keepNext w:val="0"/>
              <w:keepLines w:val="0"/>
              <w:widowControl/>
              <w:numPr>
                <w:ilvl w:val="0"/>
                <w:numId w:val="6"/>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BS 6322(2) &amp; BS 4320 Nuts and washers</w:t>
            </w:r>
          </w:p>
          <w:p>
            <w:pPr>
              <w:pStyle w:val="5"/>
              <w:keepNext w:val="0"/>
              <w:keepLines w:val="0"/>
              <w:widowControl/>
              <w:numPr>
                <w:ilvl w:val="0"/>
                <w:numId w:val="6"/>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BS 4235 Keys and Keyways</w:t>
            </w:r>
          </w:p>
          <w:p>
            <w:pPr>
              <w:pStyle w:val="5"/>
              <w:keepNext w:val="0"/>
              <w:keepLines w:val="0"/>
              <w:widowControl/>
              <w:numPr>
                <w:ilvl w:val="0"/>
                <w:numId w:val="6"/>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ISO 14539:2000 – Manipulating Industrial Robots</w:t>
            </w:r>
          </w:p>
          <w:p>
            <w:pPr>
              <w:pStyle w:val="5"/>
              <w:keepNext w:val="0"/>
              <w:keepLines w:val="0"/>
              <w:widowControl/>
              <w:numPr>
                <w:ilvl w:val="0"/>
                <w:numId w:val="6"/>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BS 8611:2016 – Ethical design and application of robotic systems</w:t>
            </w:r>
          </w:p>
          <w:p>
            <w:pPr>
              <w:pStyle w:val="5"/>
              <w:keepNext w:val="0"/>
              <w:keepLines w:val="0"/>
              <w:widowControl/>
              <w:numPr>
                <w:ilvl w:val="0"/>
                <w:numId w:val="6"/>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BS EN 15347:2007 – Plastic Recycling</w:t>
            </w:r>
          </w:p>
          <w:p>
            <w:pPr>
              <w:pStyle w:val="5"/>
              <w:keepNext w:val="0"/>
              <w:keepLines w:val="0"/>
              <w:widowControl/>
              <w:numPr>
                <w:ilvl w:val="0"/>
                <w:numId w:val="6"/>
              </w:numPr>
              <w:suppressLineNumbers w:val="0"/>
              <w:spacing w:after="0" w:afterAutospacing="0" w:line="240" w:lineRule="auto"/>
              <w:ind w:left="0" w:hanging="360"/>
              <w:contextualSpacing w:val="0"/>
              <w:rPr>
                <w:rFonts w:hint="eastAsia" w:ascii="Calibri" w:hAnsi="Calibri" w:cs="Times New Roman"/>
                <w:sz w:val="24"/>
                <w:szCs w:val="24"/>
                <w:lang w:eastAsia="en-US"/>
              </w:rPr>
            </w:pPr>
            <w:r>
              <w:rPr>
                <w:rFonts w:hint="eastAsia" w:ascii="Calibri" w:hAnsi="Calibri" w:cs="Times New Roman"/>
                <w:sz w:val="24"/>
                <w:szCs w:val="24"/>
                <w:lang w:eastAsia="en-US"/>
              </w:rPr>
              <w:t>BS ISO 18646-3:2021 - Performance criteria and related test methods for service robots</w:t>
            </w:r>
          </w:p>
          <w:p>
            <w:pPr>
              <w:pStyle w:val="5"/>
              <w:keepNext w:val="0"/>
              <w:keepLines w:val="0"/>
              <w:widowControl/>
              <w:suppressLineNumbers w:val="0"/>
              <w:spacing w:after="0" w:afterAutospacing="0" w:line="240" w:lineRule="auto"/>
              <w:contextualSpacing w:val="0"/>
              <w:rPr>
                <w:rFonts w:hint="eastAsia" w:ascii="Calibri" w:hAnsi="Calibri" w:cs="Times New Roman"/>
                <w:sz w:val="24"/>
                <w:szCs w:val="24"/>
                <w:lang w:eastAsia="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20.0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Company Constraints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20.1 None identified outside of volume requirements</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21.0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Processes</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21.1 All process used are subject to ISO4900 fits and limits specification</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22.0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Safety</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22.1 No gripper should fail when used for loads under the safety limit</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22.2 Load limits should be identified in the manual &amp; sales documentation</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22.3 Gripper is to be used in a closed environment, so finger traps should not be considered</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23.0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Testing</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23.1 Development test must be carried out to verify maximum number of cycles and load supported</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23.2 Full First Article Inspection (FAI) should be carried out on first assembly</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23.3 Post FAI testing should be based on a sampling rate of 5%</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24.0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Legal</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24.1 Potential liability for damage to parts picked by the jaw, where it can be determined the design of the product caused the damage</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25.0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Installation</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25.1 Installation instructions to be included as part of the product inspection manual</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26.0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Documentation</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26.1 Product manual specifying installation instructions, safety information, servicing requirements and replacement parts required</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26.2 Documentation to be provided in key European languages</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37" w:hRule="atLeast"/>
          <w:jc w:val="center"/>
        </w:trPr>
        <w:tc>
          <w:tcPr>
            <w:tcW w:w="646"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27.0</w:t>
            </w:r>
          </w:p>
        </w:tc>
        <w:tc>
          <w:tcPr>
            <w:tcW w:w="8521" w:type="dxa"/>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b/>
                <w:sz w:val="24"/>
                <w:szCs w:val="24"/>
              </w:rPr>
            </w:pPr>
            <w:r>
              <w:rPr>
                <w:rFonts w:hint="eastAsia" w:ascii="Calibri" w:hAnsi="Calibri" w:eastAsia="Calibri" w:cs="Times New Roman"/>
                <w:b/>
                <w:kern w:val="0"/>
                <w:sz w:val="24"/>
                <w:szCs w:val="24"/>
                <w:lang w:val="en-US" w:eastAsia="zh-CN" w:bidi="ar"/>
              </w:rPr>
              <w:t>Disposal</w:t>
            </w:r>
          </w:p>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27.1 Recyclable parts should be identified in the manual</w:t>
            </w:r>
          </w:p>
        </w:tc>
      </w:tr>
    </w:tbl>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 </w:t>
      </w:r>
    </w:p>
    <w:p>
      <w:pPr>
        <w:pStyle w:val="2"/>
        <w:widowControl/>
        <w:numPr>
          <w:ilvl w:val="0"/>
          <w:numId w:val="1"/>
        </w:numPr>
        <w:ind w:left="426" w:hanging="426"/>
        <w:rPr>
          <w:b/>
          <w:lang w:val="en-US"/>
        </w:rPr>
      </w:pPr>
      <w:bookmarkStart w:id="2" w:name="_Toc75192503"/>
      <w:r>
        <w:rPr>
          <w:b/>
          <w:lang w:val="en-US"/>
        </w:rPr>
        <w:t>Manufacturing Process Proposal</w:t>
      </w:r>
      <w:bookmarkEnd w:id="2"/>
    </w:p>
    <w:p>
      <w:pPr>
        <w:keepNext w:val="0"/>
        <w:keepLines w:val="0"/>
        <w:widowControl/>
        <w:suppressLineNumbers w:val="0"/>
        <w:spacing w:before="0" w:beforeAutospacing="0" w:after="160" w:afterAutospacing="0" w:line="256" w:lineRule="auto"/>
        <w:ind w:left="0" w:right="0"/>
        <w:jc w:val="both"/>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When considering a product design, the business must consider these needs in its pricing:</w:t>
      </w:r>
    </w:p>
    <w:p>
      <w:pPr>
        <w:pStyle w:val="5"/>
        <w:widowControl/>
        <w:numPr>
          <w:ilvl w:val="0"/>
          <w:numId w:val="7"/>
        </w:numPr>
        <w:ind w:left="0" w:hanging="360"/>
        <w:jc w:val="both"/>
        <w:rPr>
          <w:sz w:val="24"/>
          <w:szCs w:val="24"/>
          <w:lang w:val="en-US"/>
        </w:rPr>
      </w:pPr>
      <w:r>
        <w:rPr>
          <w:sz w:val="24"/>
          <w:szCs w:val="24"/>
          <w:lang w:val="en-US"/>
        </w:rPr>
        <w:t xml:space="preserve">Direct costs: </w:t>
      </w:r>
    </w:p>
    <w:p>
      <w:pPr>
        <w:pStyle w:val="5"/>
        <w:widowControl/>
        <w:numPr>
          <w:ilvl w:val="1"/>
          <w:numId w:val="7"/>
        </w:numPr>
        <w:ind w:left="1440" w:hanging="360"/>
        <w:contextualSpacing/>
        <w:jc w:val="both"/>
        <w:rPr>
          <w:sz w:val="24"/>
          <w:szCs w:val="24"/>
          <w:lang w:val="en-US"/>
        </w:rPr>
      </w:pPr>
      <w:r>
        <w:rPr>
          <w:sz w:val="24"/>
          <w:szCs w:val="24"/>
          <w:lang w:val="en-US"/>
        </w:rPr>
        <w:t>They refer to readily measurable data for any given product and are proportional to the volume produced. To ensure that the product is profitable, the correct process should be aligned with the material used and the volume to be produced</w:t>
      </w:r>
    </w:p>
    <w:p>
      <w:pPr>
        <w:pStyle w:val="5"/>
        <w:widowControl/>
        <w:numPr>
          <w:ilvl w:val="1"/>
          <w:numId w:val="7"/>
        </w:numPr>
        <w:ind w:left="1440" w:hanging="360"/>
        <w:contextualSpacing/>
        <w:jc w:val="both"/>
        <w:rPr>
          <w:sz w:val="24"/>
          <w:szCs w:val="24"/>
          <w:lang w:val="en-US"/>
        </w:rPr>
      </w:pPr>
      <w:r>
        <w:rPr>
          <w:sz w:val="24"/>
          <w:szCs w:val="24"/>
          <w:lang w:val="en-US"/>
        </w:rPr>
        <w:t xml:space="preserve">Examples: the amount of material used per product, the machine running hours per product and the machine setup between operations </w:t>
      </w:r>
    </w:p>
    <w:p>
      <w:pPr>
        <w:pStyle w:val="5"/>
        <w:widowControl/>
        <w:numPr>
          <w:ilvl w:val="0"/>
          <w:numId w:val="8"/>
        </w:numPr>
        <w:ind w:left="827" w:hanging="360"/>
        <w:contextualSpacing/>
        <w:jc w:val="both"/>
        <w:rPr>
          <w:sz w:val="24"/>
          <w:szCs w:val="24"/>
          <w:lang w:val="en-US"/>
        </w:rPr>
      </w:pPr>
      <w:r>
        <w:rPr>
          <w:sz w:val="24"/>
          <w:szCs w:val="24"/>
          <w:lang w:val="en-US"/>
        </w:rPr>
        <w:t>Indirect costs:</w:t>
      </w:r>
    </w:p>
    <w:p>
      <w:pPr>
        <w:pStyle w:val="5"/>
        <w:widowControl/>
        <w:numPr>
          <w:ilvl w:val="1"/>
          <w:numId w:val="8"/>
        </w:numPr>
        <w:ind w:left="1547" w:hanging="360"/>
        <w:contextualSpacing/>
        <w:jc w:val="both"/>
        <w:rPr>
          <w:sz w:val="24"/>
          <w:szCs w:val="24"/>
          <w:lang w:val="en-US"/>
        </w:rPr>
      </w:pPr>
      <w:r>
        <w:rPr>
          <w:sz w:val="24"/>
          <w:szCs w:val="24"/>
          <w:lang w:val="en-US"/>
        </w:rPr>
        <w:t xml:space="preserve">They are not considered a cost that can be planned in line with the throughput of the product, but in line with the number of transactions of each that occur </w:t>
      </w:r>
      <w:r>
        <w:rPr>
          <w:sz w:val="24"/>
          <w:szCs w:val="24"/>
          <w:lang w:val="en-US"/>
        </w:rPr>
        <w:fldChar w:fldCharType="begin" w:fldLock="1"/>
      </w:r>
      <w:r>
        <w:rPr>
          <w:sz w:val="24"/>
          <w:szCs w:val="24"/>
          <w:lang w:val="en-US"/>
        </w:rPr>
        <w:instrText xml:space="preserve">ADDIN CSL_CITATION {"citationItems":[{"id":"ITEM-1","itemData":{"author":[{"dropping-particle":"","family":"Banker","given":"Rajiv","non-dropping-particle":"","parse-names":false,"suffix":""},{"dropping-particle":"","family":"Potter","given":"Gordon","non-dropping-particle":"","parse-names":false,"suffix":""},{"dropping-particle":"","family":"Schroder","given":"Roger","non-dropping-particle":"","parse-names":false,"suffix":""}],"id":"ITEM-1","issued":{"date-parts":[["1995"]]},"page":"115-137","title":"Accounting &amp; Economics","type":"article-journal","volume":"19"},"uris":["http://www.mendeley.com/documents/?uuid=0f93db24-2238-4a50-97f0-25d24604b8a9"]}],"mendeley":{"formattedCitation":"(Banker, Potter and Schroder, 1995)","plainTextFormattedCitation":"(Banker, Potter and Schroder, 1995)","previouslyFormattedCitation":"(Banker, Potter and Schroder, 1995)"},"properties":{"noteIndex":0},"schema":"https://github.com/citation-style-language/schema/raw/master/csl-citation.json"}</w:instrText>
      </w:r>
      <w:r>
        <w:rPr>
          <w:sz w:val="24"/>
          <w:szCs w:val="24"/>
          <w:lang w:val="en-US"/>
        </w:rPr>
        <w:fldChar w:fldCharType="separate"/>
      </w:r>
      <w:r>
        <w:rPr>
          <w:sz w:val="24"/>
          <w:szCs w:val="24"/>
          <w:lang w:val="en-US"/>
        </w:rPr>
        <w:t>(Banker, Potter and Schroder, 1995)</w:t>
      </w:r>
      <w:r>
        <w:rPr>
          <w:sz w:val="24"/>
          <w:szCs w:val="24"/>
          <w:lang w:val="en-US"/>
        </w:rPr>
        <w:fldChar w:fldCharType="end"/>
      </w:r>
      <w:r>
        <w:rPr>
          <w:sz w:val="24"/>
          <w:szCs w:val="24"/>
          <w:lang w:val="en-US"/>
        </w:rPr>
        <w:t xml:space="preserve">.  Although these activities are necessary, it is in the businesses interest to reduce their costs as much as possible to increase the product profit </w:t>
      </w:r>
    </w:p>
    <w:p>
      <w:pPr>
        <w:pStyle w:val="5"/>
        <w:widowControl/>
        <w:numPr>
          <w:ilvl w:val="1"/>
          <w:numId w:val="8"/>
        </w:numPr>
        <w:ind w:left="1547" w:hanging="360"/>
        <w:contextualSpacing/>
        <w:jc w:val="both"/>
        <w:rPr>
          <w:sz w:val="24"/>
          <w:szCs w:val="24"/>
          <w:lang w:val="en-US"/>
        </w:rPr>
      </w:pPr>
      <w:r>
        <w:rPr>
          <w:sz w:val="24"/>
          <w:szCs w:val="24"/>
          <w:lang w:val="en-US"/>
        </w:rPr>
        <w:t>Example: logistics and quality control. They will be different from project to project, but should be budgeted for in the sale price</w:t>
      </w:r>
    </w:p>
    <w:p>
      <w:pPr>
        <w:pStyle w:val="5"/>
        <w:widowControl/>
        <w:numPr>
          <w:ilvl w:val="0"/>
          <w:numId w:val="8"/>
        </w:numPr>
        <w:ind w:left="827" w:hanging="360"/>
        <w:contextualSpacing/>
        <w:jc w:val="both"/>
        <w:rPr>
          <w:sz w:val="24"/>
          <w:szCs w:val="24"/>
          <w:lang w:val="en-US"/>
        </w:rPr>
      </w:pPr>
      <w:r>
        <w:rPr>
          <w:sz w:val="24"/>
          <w:szCs w:val="24"/>
          <w:lang w:val="en-US"/>
        </w:rPr>
        <w:t>General costs:</w:t>
      </w:r>
    </w:p>
    <w:p>
      <w:pPr>
        <w:pStyle w:val="5"/>
        <w:widowControl/>
        <w:numPr>
          <w:ilvl w:val="1"/>
          <w:numId w:val="8"/>
        </w:numPr>
        <w:ind w:left="1547" w:hanging="360"/>
        <w:contextualSpacing/>
        <w:jc w:val="both"/>
        <w:rPr>
          <w:sz w:val="24"/>
          <w:szCs w:val="24"/>
          <w:lang w:val="en-US"/>
        </w:rPr>
      </w:pPr>
      <w:r>
        <w:rPr>
          <w:sz w:val="24"/>
          <w:szCs w:val="24"/>
          <w:lang w:val="en-US"/>
        </w:rPr>
        <w:t>They are ongoing recurring costs that exist to keep the business running and would be incurred regardless of the number of products made. These costs should be shared across all products.</w:t>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Once all these costs have been considered, there must also be an amount left as profit margin for the business as shown in the equation below:</w:t>
      </w:r>
    </w:p>
    <w:p>
      <w:pPr>
        <w:keepNext w:val="0"/>
        <w:keepLines w:val="0"/>
        <w:widowControl/>
        <w:suppressLineNumbers w:val="0"/>
        <w:pBdr>
          <w:top w:val="single" w:color="auto" w:sz="4" w:space="1"/>
          <w:left w:val="single" w:color="auto" w:sz="4" w:space="4"/>
          <w:bottom w:val="single" w:color="auto" w:sz="4" w:space="1"/>
          <w:right w:val="single" w:color="auto" w:sz="4" w:space="4"/>
        </w:pBdr>
        <w:spacing w:before="0" w:beforeAutospacing="0" w:after="160" w:afterAutospacing="0" w:line="256" w:lineRule="auto"/>
        <w:ind w:left="0" w:right="0"/>
        <w:jc w:val="center"/>
        <w:rPr>
          <w:sz w:val="24"/>
          <w:szCs w:val="24"/>
          <w:lang w:val="en-US"/>
        </w:rPr>
      </w:pPr>
      <w:r>
        <w:rPr>
          <w:rFonts w:hint="eastAsia" w:ascii="Calibri" w:hAnsi="Calibri" w:eastAsia="Calibri" w:cs="Times New Roman"/>
          <w:kern w:val="0"/>
          <w:sz w:val="24"/>
          <w:szCs w:val="24"/>
          <w:lang w:val="en-US" w:eastAsia="zh-CN" w:bidi="ar"/>
        </w:rPr>
        <w:t>Sale price = Direct Costs + Indirect Costs + General Costs + Profit Margin</w:t>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A full breakdown of costs and ways to improve performance relative to each cost are shown in Table 2.</w:t>
      </w:r>
    </w:p>
    <w:p>
      <w:pPr>
        <w:spacing w:line="256" w:lineRule="auto"/>
        <w:rPr>
          <w:rFonts w:hint="eastAsia" w:ascii="Calibri" w:hAnsi="Calibri" w:eastAsia="Calibri" w:cs="Times New Roman"/>
          <w:sz w:val="24"/>
          <w:szCs w:val="24"/>
          <w:lang w:val="en-US" w:eastAsia="en-US" w:bidi="ar"/>
        </w:rPr>
        <w:sectPr>
          <w:pgSz w:w="11906" w:h="16838"/>
          <w:pgMar w:top="720" w:right="720" w:bottom="720" w:left="720" w:header="708" w:footer="708" w:gutter="0"/>
          <w:cols w:space="720" w:num="1"/>
          <w:docGrid w:linePitch="360" w:charSpace="0"/>
        </w:sectPr>
      </w:pPr>
    </w:p>
    <w:tbl>
      <w:tblPr>
        <w:tblStyle w:val="13"/>
        <w:tblW w:w="1525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
      <w:tblGrid>
        <w:gridCol w:w="1271"/>
        <w:gridCol w:w="1271"/>
        <w:gridCol w:w="3404"/>
        <w:gridCol w:w="4654"/>
        <w:gridCol w:w="465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1271" w:type="dxa"/>
            <w:tcBorders>
              <w:top w:val="single" w:color="auto" w:sz="4" w:space="0"/>
              <w:left w:val="single" w:color="auto" w:sz="4" w:space="0"/>
              <w:bottom w:val="single" w:color="auto" w:sz="4" w:space="0"/>
              <w:right w:val="single" w:color="auto" w:sz="4" w:space="0"/>
            </w:tcBorders>
            <w:shd w:val="clear" w:color="auto" w:fill="BFBFBF"/>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Cost Type</w:t>
            </w:r>
          </w:p>
        </w:tc>
        <w:tc>
          <w:tcPr>
            <w:tcW w:w="1271" w:type="dxa"/>
            <w:tcBorders>
              <w:top w:val="single" w:color="auto" w:sz="4" w:space="0"/>
              <w:left w:val="single" w:color="auto" w:sz="4" w:space="0"/>
              <w:bottom w:val="single" w:color="auto" w:sz="4" w:space="0"/>
              <w:right w:val="single" w:color="auto" w:sz="4" w:space="0"/>
            </w:tcBorders>
            <w:shd w:val="clear" w:color="auto" w:fill="BFBFBF"/>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color w:val="auto"/>
                <w:kern w:val="0"/>
                <w:sz w:val="22"/>
                <w:szCs w:val="22"/>
                <w:lang w:val="en-US" w:eastAsia="zh-CN" w:bidi="ar"/>
              </w:rPr>
              <w:t>Transaction Cost</w:t>
            </w:r>
          </w:p>
        </w:tc>
        <w:tc>
          <w:tcPr>
            <w:tcW w:w="3404" w:type="dxa"/>
            <w:tcBorders>
              <w:top w:val="single" w:color="auto" w:sz="4" w:space="0"/>
              <w:left w:val="single" w:color="auto" w:sz="4" w:space="0"/>
              <w:bottom w:val="single" w:color="auto" w:sz="4" w:space="0"/>
              <w:right w:val="single" w:color="auto" w:sz="4" w:space="0"/>
            </w:tcBorders>
            <w:shd w:val="clear" w:color="auto" w:fill="BFBFBF"/>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color w:val="auto"/>
                <w:kern w:val="0"/>
                <w:sz w:val="22"/>
                <w:szCs w:val="22"/>
                <w:lang w:val="en-US" w:eastAsia="zh-CN" w:bidi="ar"/>
              </w:rPr>
              <w:t>Description</w:t>
            </w:r>
          </w:p>
        </w:tc>
        <w:tc>
          <w:tcPr>
            <w:tcW w:w="4654" w:type="dxa"/>
            <w:tcBorders>
              <w:top w:val="single" w:color="auto" w:sz="4" w:space="0"/>
              <w:left w:val="single" w:color="auto" w:sz="4" w:space="0"/>
              <w:bottom w:val="single" w:color="auto" w:sz="4" w:space="0"/>
              <w:right w:val="single" w:color="auto" w:sz="4" w:space="0"/>
            </w:tcBorders>
            <w:shd w:val="clear" w:color="auto" w:fill="BFBFBF"/>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color w:val="auto"/>
                <w:kern w:val="0"/>
                <w:sz w:val="22"/>
                <w:szCs w:val="22"/>
                <w:lang w:val="en-US" w:eastAsia="zh-CN" w:bidi="ar"/>
              </w:rPr>
              <w:t>Cost Contribution Activities</w:t>
            </w:r>
          </w:p>
        </w:tc>
        <w:tc>
          <w:tcPr>
            <w:tcW w:w="4654" w:type="dxa"/>
            <w:tcBorders>
              <w:top w:val="single" w:color="auto" w:sz="4" w:space="0"/>
              <w:left w:val="single" w:color="auto" w:sz="4" w:space="0"/>
              <w:bottom w:val="single" w:color="auto" w:sz="4" w:space="0"/>
              <w:right w:val="single" w:color="auto" w:sz="4" w:space="0"/>
            </w:tcBorders>
            <w:shd w:val="clear" w:color="auto" w:fill="BFBFBF"/>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color w:val="auto"/>
                <w:kern w:val="0"/>
                <w:sz w:val="22"/>
                <w:szCs w:val="22"/>
                <w:lang w:val="en-US" w:eastAsia="zh-CN" w:bidi="ar"/>
              </w:rPr>
              <w:t>Potential Cost Reduction Methods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Direct Costs</w:t>
            </w:r>
          </w:p>
        </w:tc>
        <w:tc>
          <w:tcPr>
            <w:tcW w:w="1271"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Production</w:t>
            </w:r>
          </w:p>
        </w:tc>
        <w:tc>
          <w:tcPr>
            <w:tcW w:w="3404"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Manufacturing the products for sale</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Material Type</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Design for easy to machine materials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Material Amount</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Design of minimum material amounts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Processes</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Remove unnecessary process steps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Machine Purchase</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Design for existing equipment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Tool Purchase</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Design for standard tooling use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Labour</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Speed up assembly through DFA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Machine Hours</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Remove unnecessary design features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Machine Set Up</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9"/>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Design for fewest tool changes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Indirect Costs</w:t>
            </w:r>
          </w:p>
        </w:tc>
        <w:tc>
          <w:tcPr>
            <w:tcW w:w="1271"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Logistics</w:t>
            </w:r>
          </w:p>
        </w:tc>
        <w:tc>
          <w:tcPr>
            <w:tcW w:w="3404"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Control of material and equipment outside of the assembly operations</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0"/>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Materials Handling</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0"/>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Reduce factory footprint/process steps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0"/>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Receiving Materials</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0"/>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Process in bulk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0"/>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Requisitions</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0"/>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Establish automatic ordering system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0"/>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Stores Activities</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0"/>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Reduce number of unique parts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0"/>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Inter-site/Operation Transportation</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0"/>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Reduce factory footprint/process steps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Balancing</w:t>
            </w:r>
          </w:p>
        </w:tc>
        <w:tc>
          <w:tcPr>
            <w:tcW w:w="3404"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Co-ordination of manufacturing activities to ensure supply of resources meets the demand</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1"/>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Supply of Materials</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1"/>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Adopt ‘just in time’ supply chain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1"/>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Allocation of Labour Resource</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1"/>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Effective efficiency monitoring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1"/>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Capacity Monitoring</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1"/>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Limit throughput to output capability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Quality</w:t>
            </w:r>
          </w:p>
        </w:tc>
        <w:tc>
          <w:tcPr>
            <w:tcW w:w="3404"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Ensuring products are in line with requirements</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Inspection</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Rate set to sample based on Cpk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Rework</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Design for ‘Right First Time’ assembly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Scrap</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Design for process capability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Warranty Repair</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Carry out cyclic testing to set time frame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Customer Interface</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Implement ticket system interface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Supplier Auditing</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2"/>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Compliant suppliers (NADCAP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Change</w:t>
            </w:r>
          </w:p>
        </w:tc>
        <w:tc>
          <w:tcPr>
            <w:tcW w:w="3404"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Altering the design or process beyond its initial intent</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Change of Material</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Test design for material suitability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Change of Design</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Establish customer bill back system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Change in Routing of Manufacturing</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Map efficient process layout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Change in Customer Requirements</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Incorporate Voice of Customer in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General Costs</w:t>
            </w:r>
          </w:p>
        </w:tc>
        <w:tc>
          <w:tcPr>
            <w:tcW w:w="1271"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Facilities</w:t>
            </w:r>
          </w:p>
        </w:tc>
        <w:tc>
          <w:tcPr>
            <w:tcW w:w="3404" w:type="dxa"/>
            <w:vMerge w:val="restart"/>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2"/>
                <w:szCs w:val="22"/>
              </w:rPr>
            </w:pPr>
            <w:r>
              <w:rPr>
                <w:rFonts w:hint="eastAsia" w:ascii="Calibri" w:hAnsi="Calibri" w:eastAsia="Calibri" w:cs="Times New Roman"/>
                <w:kern w:val="0"/>
                <w:sz w:val="22"/>
                <w:szCs w:val="22"/>
                <w:lang w:val="en-US" w:eastAsia="zh-CN" w:bidi="ar"/>
              </w:rPr>
              <w:t>Maintaining a factory to manufacture in</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Lease of Building</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Apply for Government grants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Insurance</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Maintain accurate inventories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Cleaning and Waste Disposal</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Outsource through tendering process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Office Materials and Staff</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Implement ‘Digital Factory’ initiatives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Building Maintenance and Improvements</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Outsource through tendering process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Printing and Copying</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Implement ‘Digital Factory’ initiatives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Cleaning</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Outsource through tendering process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280" w:hRule="atLeast"/>
        </w:trPr>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1271"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3404" w:type="dxa"/>
            <w:vMerge w:val="continue"/>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ind w:left="0" w:right="0"/>
              <w:rPr>
                <w:rFonts w:hint="eastAsia" w:ascii="Calibri" w:hAnsi="Calibri" w:cs="Times New Roman"/>
                <w:sz w:val="22"/>
                <w:szCs w:val="22"/>
                <w:lang w:eastAsia="en-US"/>
              </w:rPr>
            </w:pP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Heating</w:t>
            </w:r>
          </w:p>
        </w:tc>
        <w:tc>
          <w:tcPr>
            <w:tcW w:w="4654" w:type="dxa"/>
            <w:tcBorders>
              <w:top w:val="single" w:color="auto" w:sz="4" w:space="0"/>
              <w:left w:val="single" w:color="auto" w:sz="4" w:space="0"/>
              <w:bottom w:val="single" w:color="auto" w:sz="4" w:space="0"/>
              <w:right w:val="single" w:color="auto" w:sz="4" w:space="0"/>
            </w:tcBorders>
            <w:shd w:val="clear" w:color="auto" w:fill="auto"/>
            <w:vAlign w:val="top"/>
          </w:tcPr>
          <w:p>
            <w:pPr>
              <w:pStyle w:val="5"/>
              <w:keepNext w:val="0"/>
              <w:keepLines w:val="0"/>
              <w:widowControl/>
              <w:numPr>
                <w:ilvl w:val="0"/>
                <w:numId w:val="13"/>
              </w:numPr>
              <w:suppressLineNumbers w:val="0"/>
              <w:spacing w:after="0" w:afterAutospacing="0" w:line="240" w:lineRule="auto"/>
              <w:ind w:left="0" w:hanging="360"/>
              <w:contextualSpacing w:val="0"/>
              <w:rPr>
                <w:rFonts w:hint="eastAsia" w:ascii="Calibri" w:hAnsi="Calibri" w:cs="Times New Roman"/>
                <w:sz w:val="22"/>
                <w:szCs w:val="22"/>
                <w:lang w:eastAsia="en-US"/>
              </w:rPr>
            </w:pPr>
            <w:r>
              <w:rPr>
                <w:rFonts w:hint="eastAsia" w:ascii="Calibri" w:hAnsi="Calibri" w:cs="Times New Roman"/>
                <w:sz w:val="22"/>
                <w:szCs w:val="22"/>
                <w:lang w:eastAsia="en-US"/>
              </w:rPr>
              <w:t>Use sustainably sourced heating</w:t>
            </w:r>
          </w:p>
        </w:tc>
      </w:tr>
    </w:tbl>
    <w:p>
      <w:pPr>
        <w:spacing w:line="256" w:lineRule="auto"/>
        <w:rPr>
          <w:rFonts w:hint="eastAsia" w:ascii="Calibri" w:hAnsi="Calibri" w:eastAsia="Calibri" w:cs="Times New Roman"/>
          <w:sz w:val="24"/>
          <w:szCs w:val="24"/>
          <w:lang w:val="en-US" w:eastAsia="en-US" w:bidi="ar"/>
        </w:rPr>
        <w:sectPr>
          <w:pgSz w:w="16838" w:h="11906" w:orient="landscape"/>
          <w:pgMar w:top="720" w:right="720" w:bottom="720" w:left="720" w:header="708" w:footer="708" w:gutter="0"/>
          <w:cols w:space="720" w:num="1"/>
          <w:docGrid w:linePitch="360" w:charSpace="0"/>
        </w:sect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Table 2: Cost drivers in a manufacturing business, compiled from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{"citationItems":[{"id":"ITEM-1","itemData":{"abstract":"The operation room area is one of the most cost intensive functional entities within a hospital. Through the implementation of the German diagnosis related grouping (DRG) system and the resulting cost pressure the need for optimized use and operation of this spatial resource is growing. Thus activity based cost structures can be used. An important question then is: How much is the overall cost for providing the OR area according to the needs of the primary process and what is the relation between fix and variable cost? This abstract includes results of the facility management cost analysis for the operation room areas of four German hospitals. The operational costs of the medical and non-medical infrastructures are related to Facility Management performance products and the relevance of each product is discussed. Further focus is set on the theme of cost allocation. Allocation bases are being analyzed. A cost estimation model is developed. Finally the linkage of cost to DRG performance data enables to range the role and the influencing parameters of fix to variable cost. Motivation of this research is the primary process oriented reflection of the functional area Operation giving transparency of cost to technical coordinators, controlling and management executives in the hospital.","author":[{"dropping-particle":"","family":"Diez","given":"Karin","non-dropping-particle":"","parse-names":false,"suffix":""},{"dropping-particle":"","family":"Lennerts","given":"Kunibert","non-dropping-particle":"","parse-names":false,"suffix":""}],"id":"ITEM-1","issued":{"date-parts":[["2006"]]},"page":"1-10","title":"Facility Management cost analysis of the operation unit: using fix and variable cost for a primary performance dependent cost estimation model","type":"article-journal"},"uris":["http://www.mendeley.com/documents/?uuid=b459e98f-7e4a-4591-9834-9ae71b14e60c"]},{"id":"ITEM-2","itemData":{"DOI":"10.1108/02686909910259095","ISSN":"02686902","abstract":"The objective of a cost management system is to provide accurate and useful information to help companies in utilizing their valuable resources for producing quality goods and services in a competitive environment. Activity-based costing (ABC) has been found more appropriate for capital intensive manufacturing environments. However, there is no systemic framework for design and implementation of ABC. Realizing the importance of ABC, an attempt has been made in this paper to develop a framework for the design of an ABC system. It is based on the review of literature on the design and implementation of ABC. In ABC, the activities required to manufacture a product should be identified and then quantified by their consumption of resources. The cost of each activity that is required to produce the product/parts will be calculated in such a way that the factors causing or driving the cost (cost drivers) of the activity in question can be determined. The cost driver rate will be used to allocate the cost of activities to a product/part according to the volume of the cost driver. In addition, the advantages and limitations of ABC are also discussed. © 1999, MCB UP Limited","author":[{"dropping-particle":"","family":"Gunasekaran","given":"A.","non-dropping-particle":"","parse-names":false,"suffix":""}],"container-title":"Managerial Auditing Journal","id":"ITEM-2","issue":"3","issued":{"date-parts":[["1999"]]},"page":"118-127","title":"A framework for the design and audit of an activity-based costing system","type":"article-journal","volume":"14"},"uris":["http://www.mendeley.com/documents/?uuid=f4916cdb-96e9-4c4d-8251-8e07a30a0c9f"]},{"id":"ITEM-3","itemData":{"ISSN":"0001-4826","abstract":"Managers frequently choose the amounts to expend in various activities simultaneously rather than sequentially. Quality costs provide a common example. When managing quality, decisions to invest in different types of prevention activities are made jointly. For example, spending more on maintenance simultaneously reduced the spending necessary on supervision. Similarly, scrap costs are often traded off against the costs of prevention and appraisal activities. Our article is motivated by field observations at an automobile lamp manufacturing plant. Specifically, we estimate two observed effects: (1) the influence of lamp design on the consumption of overhead resources during manufacturing (e.g., the effect of multicolor designs on supervision costs) and (2) the interdependence among supervision, maintenance, and scrap costs. One way to understand cost drivers and manage costs is to employ an activity-based costing approach (Cooper and Kaplan 1991, chap. 5; Young and Selto 1991). With this approach, prevention costs of supervision and maintenance are allocated to products on the basis of hours of supervision and maintenance, and scarp costs are apportioned on the basis of physical scrap levels. Quality-related costs are reevaluated after products are redesigned and processes reconfigured to determine if quality related costs have indeed decreased. With such an approach, simultaneous effects of costs are not estimated. In our approach, we simultaneously estimate interdependencies among activities. Instead of supervision hours, maintenance hours, and physical scrap levels, we use product and process design variables as cost drivers of supervision, maintenance, and scrap costs. Selecting product and process variables as cost drivers allows us to estimate the effect of alternative lamp designs on quality costs incurred during manufacturing. We also explicitly consider simultaneity. For example, our estimation procedure recognizes that maintenance costs affect supervision costs and vice versa and that both costs are affected by product and process design choices. Our analysis provides valuable information to managers. At our site, designers use quality costs associated with different design features to guide future product designs and modifications. Similarly, as operations managers experiment with different methods to manage complexity, the simultaneous cost estimation enables them to evaluate which prevention activities are successful in reducing scrap.","author":[{"dropping-particle":"","family":"Kekre","given":"Sunder","non-dropping-particle":"","parse-names":false,"suffix":""},{"dropping-particle":"","family":"Datar","given":"Srikant","non-dropping-particle":"","parse-names":false,"suffix":""}],"container-title":"Accounting review: A quarterly journal of the American Accounting Association","id":"ITEM-3","issue":"3","issued":{"date-parts":[["1993"]]},"page":"602-614","title":"Simultaneous estimation of cost drivers","type":"article-journal","volume":"68"},"uris":["http://www.mendeley.com/documents/?uuid=be000702-e9a9-4c5b-aab7-2339e0871902"]},{"id":"ITEM-4","itemData":{"author":[{"dropping-particle":"","family":"Banker","given":"Rajiv","non-dropping-particle":"","parse-names":false,"suffix":""},{"dropping-particle":"","family":"Potter","given":"Gordon","non-dropping-particle":"","parse-names":false,"suffix":""},{"dropping-particle":"","family":"Schroder","given":"Roger","non-dropping-particle":"","parse-names":false,"suffix":""}],"id":"ITEM-4","issued":{"date-parts":[["1995"]]},"page":"115-137","title":"Accounting &amp; Economics","type":"article-journal","volume":"19"},"uris":["http://www.mendeley.com/documents/?uuid=0f93db24-2238-4a50-97f0-25d24604b8a9"]}],"mendeley":{"formattedCitation":"(Kekre and Datar, 1993; Banker, Potter and Schroder, 1995; Gunasekaran, 1999; Diez and Lennerts, 2006)","plainTextFormattedCitation":"(Kekre and Datar, 1993; Banker, Potter and Schroder, 1995; Gunasekaran, 1999; Diez and Lennerts, 2006)","previouslyFormattedCitation":"(Kekre and Datar, 1993; Banker, Potter and Schroder, 1995; Gunasekaran, 1999; Diez and Lennerts, 2006)"},"properties":{"noteIndex":0},"schema":"https://github.com/citation-style-language/schema/raw/master/csl-citation.json"}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(Kekre and Datar, 1993; Banker, Potter and Schroder, 1995; Gunasekaran, 1999; Diez and Lennerts, 2006)</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To guide the choice of the optimal materials and processes to use based on a manufacturing quantity, a tool called a PRIMA is used, Figure 3. Its indications should be taken with caution because, unless the tool has been recently updated, it does not consider technological advances in materials and processes:</w:t>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drawing>
          <wp:inline distT="0" distB="0" distL="114300" distR="114300">
            <wp:extent cx="6646545" cy="4170045"/>
            <wp:effectExtent l="0" t="0" r="6985" b="6985"/>
            <wp:docPr id="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2"/>
                    <pic:cNvPicPr>
                      <a:picLocks noChangeAspect="1"/>
                    </pic:cNvPicPr>
                  </pic:nvPicPr>
                  <pic:blipFill>
                    <a:blip r:embed="rId6"/>
                    <a:stretch>
                      <a:fillRect/>
                    </a:stretch>
                  </pic:blipFill>
                  <pic:spPr>
                    <a:xfrm>
                      <a:off x="0" y="0"/>
                      <a:ext cx="6646545" cy="4170045"/>
                    </a:xfrm>
                    <a:prstGeom prst="rect">
                      <a:avLst/>
                    </a:prstGeom>
                    <a:noFill/>
                    <a:ln>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Figure 3: Table illustrating process/material selection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978-981-10-6591-0_4","ISBN":"9780080993607","author":[{"dropping-particle":"","family":"Swift","given":"K.G.","non-dropping-particle":"","parse-names":false,"suffix":""},{"dropping-particle":"","family":"Booker","given":"J.D.","non-dropping-particle":"","parse-names":false,"suffix":""}],"id":"ITEM-1","issued":{"date-parts":[["2018"]]},"number-of-pages":"45-58","title":"Manufacturing Process Selection","type":"book"},"uris":["http://www.mendeley.com/documents/?uuid=5b5d5663-a7e5-4d10-a426-689734f66819"]}],"mendeley":{"formattedCitation":"(Swift and Booker, 2018)","plainTextFormattedCitation":"(Swift and Booker, 2018)","previouslyFormattedCitation":"(Swift and Booker, 2018)"},"properties":{"noteIndex":0},"schema":"https://github.com/citation-style-language/schema/raw/master/csl-citation.json"}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(Swift and Booker, 2018)</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A process review of the seven assembly components under examination is presented in the following sections:</w:t>
      </w:r>
    </w:p>
    <w:p>
      <w:pPr>
        <w:pStyle w:val="15"/>
        <w:widowControl/>
        <w:numPr>
          <w:ilvl w:val="0"/>
          <w:numId w:val="14"/>
        </w:numPr>
        <w:ind w:hanging="360"/>
        <w:rPr>
          <w:b/>
          <w:sz w:val="24"/>
          <w:szCs w:val="24"/>
          <w:lang w:val="en-US"/>
        </w:rPr>
      </w:pPr>
      <w:r>
        <w:rPr>
          <w:b/>
          <w:sz w:val="24"/>
          <w:szCs w:val="24"/>
          <w:lang w:val="en-US"/>
        </w:rPr>
        <w:t>Join</w:t>
      </w:r>
    </w:p>
    <w:tbl>
      <w:tblPr>
        <w:tblStyle w:val="13"/>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
      <w:tblGrid>
        <w:gridCol w:w="3539"/>
        <w:gridCol w:w="69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53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Part</w:t>
            </w:r>
          </w:p>
        </w:tc>
        <w:tc>
          <w:tcPr>
            <w:tcW w:w="6917"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Process: Fine Blanking Compound Die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353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2"/>
                <w:szCs w:val="22"/>
                <w:lang w:val="en-US" w:eastAsia="zh-CN" w:bidi="ar"/>
              </w:rPr>
              <w:drawing>
                <wp:anchor distT="0" distB="0" distL="114300" distR="114300" simplePos="0" relativeHeight="145752064" behindDoc="0" locked="0" layoutInCell="1" allowOverlap="1">
                  <wp:simplePos x="0" y="0"/>
                  <wp:positionH relativeFrom="column">
                    <wp:posOffset>152400</wp:posOffset>
                  </wp:positionH>
                  <wp:positionV relativeFrom="paragraph">
                    <wp:posOffset>306070</wp:posOffset>
                  </wp:positionV>
                  <wp:extent cx="1917700" cy="943610"/>
                  <wp:effectExtent l="0" t="0" r="5715" b="5715"/>
                  <wp:wrapNone/>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3"/>
                          <pic:cNvPicPr>
                            <a:picLocks noChangeAspect="1"/>
                          </pic:cNvPicPr>
                        </pic:nvPicPr>
                        <pic:blipFill>
                          <a:blip r:embed="rId7"/>
                          <a:stretch>
                            <a:fillRect/>
                          </a:stretch>
                        </pic:blipFill>
                        <pic:spPr>
                          <a:xfrm>
                            <a:off x="0" y="0"/>
                            <a:ext cx="1917700" cy="943610"/>
                          </a:xfrm>
                          <a:prstGeom prst="rect">
                            <a:avLst/>
                          </a:prstGeom>
                          <a:noFill/>
                          <a:ln>
                            <a:noFill/>
                          </a:ln>
                        </pic:spPr>
                      </pic:pic>
                    </a:graphicData>
                  </a:graphic>
                </wp:anchor>
              </w:drawing>
            </w:r>
          </w:p>
        </w:tc>
        <w:tc>
          <w:tcPr>
            <w:tcW w:w="6917"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-Quick to manufacture</w:t>
            </w:r>
            <w:r>
              <w:rPr>
                <w:rFonts w:hint="eastAsia" w:ascii="Calibri" w:hAnsi="Calibri" w:eastAsia="Calibri" w:cs="Calibri"/>
                <w:color w:val="000000"/>
                <w:kern w:val="0"/>
                <w:sz w:val="24"/>
                <w:szCs w:val="24"/>
                <w:lang w:val="en-US" w:eastAsia="zh-CN" w:bidi="ar"/>
              </w:rPr>
              <w:br w:type="textWrapping"/>
            </w:r>
            <w:r>
              <w:rPr>
                <w:rFonts w:hint="eastAsia" w:ascii="Calibri" w:hAnsi="Calibri" w:eastAsia="Calibri" w:cs="Calibri"/>
                <w:color w:val="000000"/>
                <w:kern w:val="0"/>
                <w:sz w:val="24"/>
                <w:szCs w:val="24"/>
                <w:lang w:val="en-US" w:eastAsia="zh-CN" w:bidi="ar"/>
              </w:rPr>
              <w:t>-Batch manufacture</w:t>
            </w:r>
            <w:r>
              <w:rPr>
                <w:rFonts w:hint="eastAsia" w:ascii="Calibri" w:hAnsi="Calibri" w:eastAsia="Calibri" w:cs="Calibri"/>
                <w:color w:val="000000"/>
                <w:kern w:val="0"/>
                <w:sz w:val="24"/>
                <w:szCs w:val="24"/>
                <w:lang w:val="en-US" w:eastAsia="zh-CN" w:bidi="ar"/>
              </w:rPr>
              <w:br w:type="textWrapping"/>
            </w:r>
            <w:r>
              <w:rPr>
                <w:rFonts w:hint="eastAsia" w:ascii="Calibri" w:hAnsi="Calibri" w:eastAsia="Calibri" w:cs="Calibri"/>
                <w:color w:val="000000"/>
                <w:kern w:val="0"/>
                <w:sz w:val="24"/>
                <w:szCs w:val="24"/>
                <w:lang w:val="en-US" w:eastAsia="zh-CN" w:bidi="ar"/>
              </w:rPr>
              <w:t>-Compound die cost offset by reduction in number of process steps and cycle time</w:t>
            </w:r>
            <w:r>
              <w:rPr>
                <w:rFonts w:hint="eastAsia" w:ascii="Calibri" w:hAnsi="Calibri" w:eastAsia="Calibri" w:cs="Calibri"/>
                <w:color w:val="000000"/>
                <w:kern w:val="0"/>
                <w:sz w:val="24"/>
                <w:szCs w:val="24"/>
                <w:lang w:val="en-US" w:eastAsia="zh-CN" w:bidi="ar"/>
              </w:rPr>
              <w:br w:type="textWrapping"/>
            </w:r>
            <w:r>
              <w:rPr>
                <w:rFonts w:hint="eastAsia" w:ascii="Calibri" w:hAnsi="Calibri" w:eastAsia="Calibri" w:cs="Calibri"/>
                <w:color w:val="000000"/>
                <w:kern w:val="0"/>
                <w:sz w:val="24"/>
                <w:szCs w:val="24"/>
                <w:lang w:val="en-US" w:eastAsia="zh-CN" w:bidi="ar"/>
              </w:rPr>
              <w:t>-Fine blanking produces good edge finish with no post-production deburring required</w:t>
            </w:r>
            <w:r>
              <w:rPr>
                <w:rFonts w:hint="eastAsia" w:ascii="Calibri" w:hAnsi="Calibri" w:eastAsia="Calibri" w:cs="Calibri"/>
                <w:color w:val="000000"/>
                <w:kern w:val="0"/>
                <w:sz w:val="24"/>
                <w:szCs w:val="24"/>
                <w:lang w:val="en-US" w:eastAsia="zh-CN" w:bidi="ar"/>
              </w:rPr>
              <w:br w:type="textWrapping"/>
            </w:r>
            <w:r>
              <w:rPr>
                <w:rFonts w:hint="eastAsia" w:ascii="Calibri" w:hAnsi="Calibri" w:eastAsia="Calibri" w:cs="Calibri"/>
                <w:color w:val="000000"/>
                <w:kern w:val="0"/>
                <w:sz w:val="24"/>
                <w:szCs w:val="24"/>
                <w:lang w:val="en-US" w:eastAsia="zh-CN" w:bidi="ar"/>
              </w:rPr>
              <w:t>-Square edges are permissible</w:t>
            </w:r>
            <w:r>
              <w:rPr>
                <w:rFonts w:hint="eastAsia" w:ascii="Calibri" w:hAnsi="Calibri" w:eastAsia="Calibri" w:cs="Calibri"/>
                <w:color w:val="000000"/>
                <w:kern w:val="0"/>
                <w:sz w:val="24"/>
                <w:szCs w:val="24"/>
                <w:lang w:val="en-US" w:eastAsia="zh-CN" w:bidi="ar"/>
              </w:rPr>
              <w:br w:type="textWrapping"/>
            </w:r>
            <w:r>
              <w:rPr>
                <w:rFonts w:hint="eastAsia" w:ascii="Calibri" w:hAnsi="Calibri" w:eastAsia="Calibri" w:cs="Calibri"/>
                <w:color w:val="000000"/>
                <w:kern w:val="0"/>
                <w:sz w:val="24"/>
                <w:szCs w:val="24"/>
                <w:lang w:val="en-US" w:eastAsia="zh-CN" w:bidi="ar"/>
              </w:rPr>
              <w:t>-Tighter tolerances are achievable</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bl>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As the design is 2mm thick, the part can be punched from sheet metal. This is advantageous due to the simplicity of the design and the throughput possible using this process. Fine blanking with a compound die is the preferred method as, in comparison to other types of other punch pressing, it reduces the number of operations, produces parts of a higher accuracy and produces an acceptable edge quality without further processing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978-981-10-6591-0_4","ISBN":"9780080993607","author":[{"dropping-particle":"","family":"Swift","given":"K.G.","non-dropping-particle":"","parse-names":false,"suffix":""},{"dropping-particle":"","family":"Booker","given":"J.D.","non-dropping-particle":"","parse-names":false,"suffix":""}],"id":"ITEM-1","issued":{"date-parts":[["2018"]]},"number-of-pages":"45-58","title":"Manufacturing Process Selection","type":"book"},"uris":["http://www.mendeley.com/documents/?uuid=5b5d5663-a7e5-4d10-a426-689734f66819"]},{"id":"ITEM-2","itemData":{"DOI":"10.1080/10426910903367444","ISSN":"10426914","abstract":"Fine-blanking (FB) is an effective and economical shearing process that offers a precise and clean cutting-edge finish, eliminates unnecessary secondary operations, and increases quality. In the traditional blanking product development paradigm, the design of the formed product and tooling is usually based on know-how and experience, which are generally obtained through long years of apprenticeship and skilled craftsmanship. In this study, the possibility of using finite element method (FEM) together with artificial neural networks (ANN) was investigated to analysis the fine-blanking process. Finite element analysis was used to simulate the process with an isotropic elastic-plastic material model. The results compare well with experimental results available in the literature; after confirming the validity of the model with experimental data, a number of parameters such as V-ring height effect, punch and holder force on die-roll, hydrostatic pressure status as an important factor in increasing burnish zone, and accuracy of part and radial stress status as a factor in increasing die erosion, which were also used for training the ANN, were considered. Finally, numerical data were used to train neural networks. The Levenberg-Marquardt (LM) algorithm with three neurons in the hidden layer (LM-3) appeared to be the most optimal topology and gives the best results. It was found that the coefficient of multiple determinations (R2 value) between the FEM and ANN predicted data is equal to about 0.999 for the size of die-roll, therefore indicating the possibility of FEM and ANN as a powerful design tool for the fine-blanking process. Copyright © Taylor &amp; Francis Group, LLC.","author":[{"dropping-particle":"","family":"Djavanroodi","given":"F.","non-dropping-particle":"","parse-names":false,"suffix":""},{"dropping-particle":"","family":"Pirgholi","given":"A.","non-dropping-particle":"","parse-names":false,"suffix":""},{"dropping-particle":"","family":"Derakhshani","given":"E.","non-dropping-particle":"","parse-names":false,"suffix":""}],"container-title":"Materials and Manufacturing Processes","id":"ITEM-2","issue":"8","issued":{"date-parts":[["2010"]]},"page":"864-872","title":"FEM and ANN analysis in fine-blanking process","type":"article-journal","volume":"25"},"uris":["http://www.mendeley.com/documents/?uuid=8493ea1a-bf41-42ba-81ca-aa9c72a83b49"]}],"mendeley":{"formattedCitation":"(Djavanroodi, Pirgholi and Derakhshani, 2010; Swift and Booker, 2018)","plainTextFormattedCitation":"(Djavanroodi, Pirgholi and Derakhshani, 2010; Swift and Booker, 2018)","previouslyFormattedCitation":"(Djavanroodi, Pirgholi and Derakhshani, 2010; Swift and Booker, 2018)"},"properties":{"noteIndex":0},"schema":"https://github.com/citation-style-language/schema/raw/master/csl-citation.json"}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(Djavanroodi, Pirgholi and Derakhshani, 2010; Swift and Booker, 2018)</w:t>
      </w:r>
      <w:r>
        <w:rPr>
          <w:rFonts w:hint="eastAsia" w:ascii="Calibri" w:hAnsi="Calibri" w:eastAsia="Calibri" w:cs="Times New Roman"/>
          <w:kern w:val="0"/>
          <w:sz w:val="24"/>
          <w:szCs w:val="24"/>
          <w:lang w:val="en-US" w:eastAsia="zh-CN" w:bidi="ar"/>
        </w:rPr>
        <w:fldChar w:fldCharType="end"/>
      </w:r>
      <w:r>
        <w:rPr>
          <w:rFonts w:hint="eastAsia" w:ascii="Calibri" w:hAnsi="Calibri" w:eastAsia="Calibri" w:cs="Times New Roman"/>
          <w:kern w:val="0"/>
          <w:sz w:val="24"/>
          <w:szCs w:val="24"/>
          <w:lang w:val="en-US" w:eastAsia="zh-CN" w:bidi="ar"/>
        </w:rPr>
        <w:t>. Although additional tooling costs are required, the start-up costs are offset by the volume of parts to be manufactured. Table 3 shows the process specifications.</w:t>
      </w:r>
    </w:p>
    <w:tbl>
      <w:tblPr>
        <w:tblStyle w:val="12"/>
        <w:tblW w:w="10064" w:type="dxa"/>
        <w:tblInd w:w="0" w:type="dxa"/>
        <w:shd w:val="clear" w:color="auto" w:fill="auto"/>
        <w:tblLayout w:type="fixed"/>
        <w:tblCellMar>
          <w:top w:w="0" w:type="dxa"/>
          <w:left w:w="108" w:type="dxa"/>
          <w:bottom w:w="0" w:type="dxa"/>
          <w:right w:w="108" w:type="dxa"/>
        </w:tblCellMar>
      </w:tblPr>
      <w:tblGrid>
        <w:gridCol w:w="3823"/>
        <w:gridCol w:w="6241"/>
      </w:tblGrid>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4472C4"/>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b/>
                <w:color w:val="FFFFFF"/>
                <w:sz w:val="24"/>
                <w:szCs w:val="24"/>
                <w:lang w:eastAsia="en-US"/>
              </w:rPr>
            </w:pPr>
            <w:r>
              <w:rPr>
                <w:rFonts w:hint="eastAsia" w:ascii="Calibri" w:hAnsi="Calibri" w:eastAsia="Times New Roman" w:cs="Calibri"/>
                <w:b/>
                <w:color w:val="FFFFFF"/>
                <w:kern w:val="0"/>
                <w:sz w:val="24"/>
                <w:szCs w:val="24"/>
                <w:lang w:val="en-US" w:eastAsia="en-US" w:bidi="ar"/>
              </w:rPr>
              <w:t>Parameter</w:t>
            </w:r>
          </w:p>
        </w:tc>
        <w:tc>
          <w:tcPr>
            <w:tcW w:w="6241" w:type="dxa"/>
            <w:tcBorders>
              <w:top w:val="single" w:color="8EA9DB" w:sz="4" w:space="0"/>
              <w:left w:val="nil"/>
              <w:bottom w:val="single" w:color="8EA9DB" w:sz="4" w:space="0"/>
              <w:right w:val="single" w:color="8EA9DB" w:sz="4" w:space="0"/>
            </w:tcBorders>
            <w:shd w:val="clear" w:color="auto" w:fill="4472C4"/>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b/>
                <w:color w:val="FFFFFF"/>
                <w:sz w:val="24"/>
                <w:szCs w:val="24"/>
                <w:lang w:eastAsia="en-US"/>
              </w:rPr>
            </w:pPr>
            <w:r>
              <w:rPr>
                <w:rFonts w:hint="eastAsia" w:ascii="Calibri" w:hAnsi="Calibri" w:eastAsia="Times New Roman" w:cs="Calibri"/>
                <w:b/>
                <w:color w:val="FFFFFF"/>
                <w:kern w:val="0"/>
                <w:sz w:val="24"/>
                <w:szCs w:val="24"/>
                <w:lang w:val="en-US" w:eastAsia="en-US" w:bidi="ar"/>
              </w:rPr>
              <w:t>Specification</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Method</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Compound Die Fine Blanking</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per Gripper</w:t>
            </w:r>
          </w:p>
        </w:tc>
        <w:tc>
          <w:tcPr>
            <w:tcW w:w="6241" w:type="dxa"/>
            <w:tcBorders>
              <w:top w:val="single" w:color="8EA9DB" w:sz="4" w:space="0"/>
              <w:left w:val="nil"/>
              <w:bottom w:val="single" w:color="8EA9DB" w:sz="4" w:space="0"/>
              <w:right w:val="single" w:color="8EA9DB" w:sz="4" w:space="0"/>
            </w:tcBorders>
            <w:shd w:val="clear" w:color="auto" w:fill="auto"/>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3</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of Grippers a week</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2000</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of Joins per week</w:t>
            </w:r>
          </w:p>
        </w:tc>
        <w:tc>
          <w:tcPr>
            <w:tcW w:w="6241" w:type="dxa"/>
            <w:tcBorders>
              <w:top w:val="single" w:color="8EA9DB" w:sz="4" w:space="0"/>
              <w:left w:val="nil"/>
              <w:bottom w:val="single" w:color="8EA9DB" w:sz="4" w:space="0"/>
              <w:right w:val="single" w:color="8EA9DB" w:sz="4" w:space="0"/>
            </w:tcBorders>
            <w:shd w:val="clear" w:color="auto" w:fill="auto"/>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6000</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Minimum Production Run Profitability</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2000</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Tolerance (2mm Plate)</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Up to +/-0.01mm</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Production Rates</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Up to 10,000/hr</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Costs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Low when highly automated</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Material Waste</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Low when layout of shapes is optimised for the material size</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Finishing Costs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Low to moderate</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Manufacturing Method</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Batch</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Post Production Processes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Deburring (depending on die) &amp; Cleaning</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Common Materials</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Low Carbon &amp; Stainless Steels, Aluminium Alloys</w:t>
            </w:r>
          </w:p>
        </w:tc>
      </w:tr>
    </w:tbl>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Table 3: Fine Blanking process assessment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978-981-10-6591-0_4","ISBN":"9780080993607","author":[{"dropping-particle":"","family":"Swift","given":"K.G.","non-dropping-particle":"","parse-names":false,"suffix":""},{"dropping-particle":"","family":"Booker","given":"J.D.","non-dropping-particle":"","parse-names":false,"suffix":""}],"id":"ITEM-1","issued":{"date-parts":[["2018"]]},"number-of-pages":"45-58","title":"Manufacturing Process Selection","type":"book"},"uris":["http://www.mendeley.com/documents/?uuid=5b5d5663-a7e5-4d10-a426-689734f66819"]}],"mendeley":{"formattedCitation":"(Swift and Booker, 2018)","plainTextFormattedCitation":"(Swift and Booker, 2018)","previouslyFormattedCitation":"(Swift and Booker, 2018)"},"properties":{"noteIndex":0},"schema":"https://github.com/citation-style-language/schema/raw/master/csl-citation.json"}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(Swift and Booker, 2018)</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sz w:val="24"/>
          <w:szCs w:val="24"/>
          <w:lang w:val="en-US"/>
        </w:rPr>
      </w:pPr>
    </w:p>
    <w:p>
      <w:pPr>
        <w:pStyle w:val="15"/>
        <w:widowControl/>
        <w:numPr>
          <w:ilvl w:val="0"/>
          <w:numId w:val="14"/>
        </w:numPr>
        <w:ind w:hanging="360"/>
        <w:rPr>
          <w:b/>
          <w:sz w:val="24"/>
          <w:szCs w:val="24"/>
          <w:lang w:val="en-US"/>
        </w:rPr>
      </w:pPr>
      <w:r>
        <w:rPr>
          <w:b/>
          <w:sz w:val="24"/>
          <w:szCs w:val="24"/>
          <w:lang w:val="en-US"/>
        </w:rPr>
        <w:t>Jaw</w:t>
      </w:r>
    </w:p>
    <w:tbl>
      <w:tblPr>
        <w:tblStyle w:val="13"/>
        <w:tblW w:w="1045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
      <w:tblGrid>
        <w:gridCol w:w="3539"/>
        <w:gridCol w:w="69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353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Part</w:t>
            </w:r>
          </w:p>
        </w:tc>
        <w:tc>
          <w:tcPr>
            <w:tcW w:w="6917"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Process: CNC Machine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353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2"/>
                <w:szCs w:val="22"/>
                <w:lang w:val="en-US" w:eastAsia="zh-CN" w:bidi="ar"/>
              </w:rPr>
              <w:drawing>
                <wp:anchor distT="0" distB="0" distL="114300" distR="114300" simplePos="0" relativeHeight="187695104" behindDoc="0" locked="0" layoutInCell="1" allowOverlap="1">
                  <wp:simplePos x="0" y="0"/>
                  <wp:positionH relativeFrom="column">
                    <wp:posOffset>12700</wp:posOffset>
                  </wp:positionH>
                  <wp:positionV relativeFrom="paragraph">
                    <wp:posOffset>141605</wp:posOffset>
                  </wp:positionV>
                  <wp:extent cx="2092325" cy="977900"/>
                  <wp:effectExtent l="0" t="0" r="4445" b="4445"/>
                  <wp:wrapNone/>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pic:cNvPicPr>
                        </pic:nvPicPr>
                        <pic:blipFill>
                          <a:blip r:embed="rId8"/>
                          <a:stretch>
                            <a:fillRect/>
                          </a:stretch>
                        </pic:blipFill>
                        <pic:spPr>
                          <a:xfrm>
                            <a:off x="0" y="0"/>
                            <a:ext cx="2092325" cy="977900"/>
                          </a:xfrm>
                          <a:prstGeom prst="rect">
                            <a:avLst/>
                          </a:prstGeom>
                          <a:noFill/>
                          <a:ln>
                            <a:noFill/>
                          </a:ln>
                        </pic:spPr>
                      </pic:pic>
                    </a:graphicData>
                  </a:graphic>
                </wp:anchor>
              </w:drawing>
            </w:r>
          </w:p>
        </w:tc>
        <w:tc>
          <w:tcPr>
            <w:tcW w:w="6917"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-Size of part makes casting with realistic wall thicknesses difficult to achieve</w:t>
            </w:r>
            <w:r>
              <w:rPr>
                <w:rFonts w:hint="eastAsia" w:ascii="Calibri" w:hAnsi="Calibri" w:eastAsia="Calibri" w:cs="Calibri"/>
                <w:color w:val="000000"/>
                <w:kern w:val="0"/>
                <w:sz w:val="24"/>
                <w:szCs w:val="24"/>
                <w:lang w:val="en-US" w:eastAsia="zh-CN" w:bidi="ar"/>
              </w:rPr>
              <w:br w:type="textWrapping"/>
            </w:r>
            <w:r>
              <w:rPr>
                <w:rFonts w:hint="eastAsia" w:ascii="Calibri" w:hAnsi="Calibri" w:eastAsia="Calibri" w:cs="Calibri"/>
                <w:color w:val="000000"/>
                <w:kern w:val="0"/>
                <w:sz w:val="24"/>
                <w:szCs w:val="24"/>
                <w:lang w:val="en-US" w:eastAsia="zh-CN" w:bidi="ar"/>
              </w:rPr>
              <w:t>-Machining from solid material provides strength</w:t>
            </w:r>
            <w:r>
              <w:rPr>
                <w:rFonts w:hint="eastAsia" w:ascii="Calibri" w:hAnsi="Calibri" w:eastAsia="Calibri" w:cs="Calibri"/>
                <w:color w:val="000000"/>
                <w:kern w:val="0"/>
                <w:sz w:val="24"/>
                <w:szCs w:val="24"/>
                <w:lang w:val="en-US" w:eastAsia="zh-CN" w:bidi="ar"/>
              </w:rPr>
              <w:br w:type="textWrapping"/>
            </w:r>
            <w:r>
              <w:rPr>
                <w:rFonts w:hint="eastAsia" w:ascii="Calibri" w:hAnsi="Calibri" w:eastAsia="Calibri" w:cs="Calibri"/>
                <w:color w:val="000000"/>
                <w:kern w:val="0"/>
                <w:sz w:val="24"/>
                <w:szCs w:val="24"/>
                <w:lang w:val="en-US" w:eastAsia="zh-CN" w:bidi="ar"/>
              </w:rPr>
              <w:t>-Automated process that can be run with little supervision</w:t>
            </w:r>
            <w:r>
              <w:rPr>
                <w:rFonts w:hint="eastAsia" w:ascii="Calibri" w:hAnsi="Calibri" w:eastAsia="Calibri" w:cs="Calibri"/>
                <w:color w:val="000000"/>
                <w:kern w:val="0"/>
                <w:sz w:val="24"/>
                <w:szCs w:val="24"/>
                <w:lang w:val="en-US" w:eastAsia="zh-CN" w:bidi="ar"/>
              </w:rPr>
              <w:br w:type="textWrapping"/>
            </w:r>
            <w:r>
              <w:rPr>
                <w:rFonts w:hint="eastAsia" w:ascii="Calibri" w:hAnsi="Calibri" w:eastAsia="Calibri" w:cs="Calibri"/>
                <w:color w:val="000000"/>
                <w:kern w:val="0"/>
                <w:sz w:val="24"/>
                <w:szCs w:val="24"/>
                <w:lang w:val="en-US" w:eastAsia="zh-CN" w:bidi="ar"/>
              </w:rPr>
              <w:t>-Operations can be completed in a single machine</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bl>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Although the jaws flat design means it could be considered for sheet metal punching, the more complex design would require a more expensive die. This would add additional pre-production start-up costs to the process as well as requiring maintenance of the die to keep repeatability of the parts manufactured. Therefore, a more cost-effective manufacturing process should be used. Due to the high output volumes, CNC machining is justified as a reasonable economic process to use, Table 4.</w:t>
      </w:r>
    </w:p>
    <w:tbl>
      <w:tblPr>
        <w:tblStyle w:val="12"/>
        <w:tblW w:w="10064" w:type="dxa"/>
        <w:tblInd w:w="0" w:type="dxa"/>
        <w:shd w:val="clear" w:color="auto" w:fill="auto"/>
        <w:tblLayout w:type="fixed"/>
        <w:tblCellMar>
          <w:top w:w="0" w:type="dxa"/>
          <w:left w:w="108" w:type="dxa"/>
          <w:bottom w:w="0" w:type="dxa"/>
          <w:right w:w="108" w:type="dxa"/>
        </w:tblCellMar>
      </w:tblPr>
      <w:tblGrid>
        <w:gridCol w:w="3823"/>
        <w:gridCol w:w="6241"/>
      </w:tblGrid>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4472C4"/>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b/>
                <w:color w:val="FFFFFF"/>
                <w:sz w:val="24"/>
                <w:szCs w:val="24"/>
                <w:lang w:eastAsia="en-US"/>
              </w:rPr>
            </w:pPr>
            <w:r>
              <w:rPr>
                <w:rFonts w:hint="eastAsia" w:ascii="Calibri" w:hAnsi="Calibri" w:eastAsia="Times New Roman" w:cs="Calibri"/>
                <w:b/>
                <w:color w:val="FFFFFF"/>
                <w:kern w:val="0"/>
                <w:sz w:val="24"/>
                <w:szCs w:val="24"/>
                <w:lang w:val="en-US" w:eastAsia="en-US" w:bidi="ar"/>
              </w:rPr>
              <w:t>Parameter</w:t>
            </w:r>
          </w:p>
        </w:tc>
        <w:tc>
          <w:tcPr>
            <w:tcW w:w="6241" w:type="dxa"/>
            <w:tcBorders>
              <w:top w:val="single" w:color="8EA9DB" w:sz="4" w:space="0"/>
              <w:left w:val="nil"/>
              <w:bottom w:val="single" w:color="8EA9DB" w:sz="4" w:space="0"/>
              <w:right w:val="single" w:color="8EA9DB" w:sz="4" w:space="0"/>
            </w:tcBorders>
            <w:shd w:val="clear" w:color="auto" w:fill="4472C4"/>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b/>
                <w:color w:val="FFFFFF"/>
                <w:sz w:val="24"/>
                <w:szCs w:val="24"/>
                <w:lang w:eastAsia="en-US"/>
              </w:rPr>
            </w:pPr>
            <w:r>
              <w:rPr>
                <w:rFonts w:hint="eastAsia" w:ascii="Calibri" w:hAnsi="Calibri" w:eastAsia="Times New Roman" w:cs="Calibri"/>
                <w:b/>
                <w:color w:val="FFFFFF"/>
                <w:kern w:val="0"/>
                <w:sz w:val="24"/>
                <w:szCs w:val="24"/>
                <w:lang w:val="en-US" w:eastAsia="en-US" w:bidi="ar"/>
              </w:rPr>
              <w:t>Specification</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Method</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CNC Machining</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per Gripper</w:t>
            </w:r>
          </w:p>
        </w:tc>
        <w:tc>
          <w:tcPr>
            <w:tcW w:w="6241" w:type="dxa"/>
            <w:tcBorders>
              <w:top w:val="single" w:color="8EA9DB" w:sz="4" w:space="0"/>
              <w:left w:val="nil"/>
              <w:bottom w:val="single" w:color="8EA9DB" w:sz="4" w:space="0"/>
              <w:right w:val="single" w:color="8EA9DB" w:sz="4" w:space="0"/>
            </w:tcBorders>
            <w:shd w:val="clear" w:color="auto" w:fill="auto"/>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3</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of Grippers a week</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2000</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of Joins per week</w:t>
            </w:r>
          </w:p>
        </w:tc>
        <w:tc>
          <w:tcPr>
            <w:tcW w:w="6241" w:type="dxa"/>
            <w:tcBorders>
              <w:top w:val="single" w:color="8EA9DB" w:sz="4" w:space="0"/>
              <w:left w:val="nil"/>
              <w:bottom w:val="single" w:color="8EA9DB" w:sz="4" w:space="0"/>
              <w:right w:val="single" w:color="8EA9DB" w:sz="4" w:space="0"/>
            </w:tcBorders>
            <w:shd w:val="clear" w:color="auto" w:fill="auto"/>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6000</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Minimum Production Run Profitability</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No initial tooling start up costs</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 xml:space="preserve">Tolerance </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Up to +/- 0.01mm</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Production Rates</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Up to 100/hr</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Costs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Labour costs moderate to high (Skilled Labour)</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Material Waste</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High material waste, but waste is recyclable</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Finishing Costs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Low</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Manufacturing Method</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Batch</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Post Production Processes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Cleaning and deburring</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Common Materials</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Iron, Steels and Alloys</w:t>
            </w:r>
          </w:p>
        </w:tc>
      </w:tr>
    </w:tbl>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Table 4: CNC Machining process assessment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978-981-10-6591-0_4","ISBN":"9780080993607","author":[{"dropping-particle":"","family":"Swift","given":"K.G.","non-dropping-particle":"","parse-names":false,"suffix":""},{"dropping-particle":"","family":"Booker","given":"J.D.","non-dropping-particle":"","parse-names":false,"suffix":""}],"id":"ITEM-1","issued":{"date-parts":[["2018"]]},"number-of-pages":"45-58","title":"Manufacturing Process Selection","type":"book"},"uris":["http://www.mendeley.com/documents/?uuid=5b5d5663-a7e5-4d10-a426-689734f66819"]}],"mendeley":{"formattedCitation":"(Swift and Booker, 2018)","plainTextFormattedCitation":"(Swift and Booker, 2018)","previouslyFormattedCitation":"(Swift and Booker, 2018)"},"properties":{"noteIndex":0},"schema":"https://github.com/citation-style-language/schema/raw/master/csl-citation.json"}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(Swift and Booker, 2018)</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sz w:val="24"/>
          <w:szCs w:val="24"/>
          <w:lang w:val="en-US"/>
        </w:rPr>
      </w:pPr>
    </w:p>
    <w:p>
      <w:pPr>
        <w:pStyle w:val="15"/>
        <w:widowControl/>
        <w:numPr>
          <w:ilvl w:val="0"/>
          <w:numId w:val="14"/>
        </w:numPr>
        <w:ind w:hanging="360"/>
        <w:rPr>
          <w:b/>
          <w:sz w:val="24"/>
          <w:szCs w:val="24"/>
          <w:lang w:val="en-US"/>
        </w:rPr>
      </w:pPr>
      <w:r>
        <w:rPr>
          <w:b/>
          <w:sz w:val="24"/>
          <w:szCs w:val="24"/>
          <w:lang w:val="en-US"/>
        </w:rPr>
        <w:t>Shaft</w:t>
      </w:r>
    </w:p>
    <w:tbl>
      <w:tblPr>
        <w:tblStyle w:val="13"/>
        <w:tblW w:w="1057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
      <w:tblGrid>
        <w:gridCol w:w="3579"/>
        <w:gridCol w:w="69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59" w:hRule="atLeast"/>
        </w:trPr>
        <w:tc>
          <w:tcPr>
            <w:tcW w:w="357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Part</w:t>
            </w:r>
          </w:p>
        </w:tc>
        <w:tc>
          <w:tcPr>
            <w:tcW w:w="6996"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Process: Purchased Part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1882" w:hRule="atLeast"/>
        </w:trPr>
        <w:tc>
          <w:tcPr>
            <w:tcW w:w="357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2"/>
                <w:szCs w:val="22"/>
                <w:lang w:val="en-US" w:eastAsia="zh-CN" w:bidi="ar"/>
              </w:rPr>
              <w:drawing>
                <wp:anchor distT="0" distB="0" distL="114300" distR="114300" simplePos="0" relativeHeight="229638144" behindDoc="0" locked="0" layoutInCell="1" allowOverlap="1">
                  <wp:simplePos x="0" y="0"/>
                  <wp:positionH relativeFrom="column">
                    <wp:posOffset>20955</wp:posOffset>
                  </wp:positionH>
                  <wp:positionV relativeFrom="paragraph">
                    <wp:posOffset>158115</wp:posOffset>
                  </wp:positionV>
                  <wp:extent cx="2041525" cy="901700"/>
                  <wp:effectExtent l="0" t="0" r="5715" b="6350"/>
                  <wp:wrapNone/>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pic:cNvPicPr>
                        </pic:nvPicPr>
                        <pic:blipFill>
                          <a:blip r:embed="rId9"/>
                          <a:stretch>
                            <a:fillRect/>
                          </a:stretch>
                        </pic:blipFill>
                        <pic:spPr>
                          <a:xfrm>
                            <a:off x="0" y="0"/>
                            <a:ext cx="2041525" cy="901700"/>
                          </a:xfrm>
                          <a:prstGeom prst="rect">
                            <a:avLst/>
                          </a:prstGeom>
                          <a:noFill/>
                          <a:ln>
                            <a:noFill/>
                          </a:ln>
                        </pic:spPr>
                      </pic:pic>
                    </a:graphicData>
                  </a:graphic>
                </wp:anchor>
              </w:drawing>
            </w:r>
          </w:p>
        </w:tc>
        <w:tc>
          <w:tcPr>
            <w:tcW w:w="6996"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-No design features beyond length and diameter</w:t>
            </w: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bl>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This part is a consistent diameter rod with no extra design features. It can either be bought in from supplier as a long, 3mm-diameter rod and cut to size or bought in cut into sections of the correct length. Buying the part to the correct size would mean no additional work is required for the part. No further processing would be required.</w:t>
      </w:r>
    </w:p>
    <w:p>
      <w:pPr>
        <w:keepNext w:val="0"/>
        <w:keepLines w:val="0"/>
        <w:widowControl/>
        <w:suppressLineNumbers w:val="0"/>
        <w:spacing w:before="0" w:beforeAutospacing="0" w:after="160" w:afterAutospacing="0" w:line="256" w:lineRule="auto"/>
        <w:ind w:left="0" w:right="0"/>
        <w:jc w:val="both"/>
        <w:rPr>
          <w:sz w:val="24"/>
          <w:szCs w:val="24"/>
          <w:lang w:val="en-US"/>
        </w:rPr>
      </w:pPr>
    </w:p>
    <w:p>
      <w:pPr>
        <w:pStyle w:val="15"/>
        <w:widowControl/>
        <w:numPr>
          <w:ilvl w:val="0"/>
          <w:numId w:val="14"/>
        </w:numPr>
        <w:ind w:hanging="360"/>
        <w:rPr>
          <w:b/>
          <w:sz w:val="24"/>
          <w:szCs w:val="24"/>
          <w:lang w:val="en-US"/>
        </w:rPr>
      </w:pPr>
      <w:r>
        <w:rPr>
          <w:b/>
          <w:sz w:val="24"/>
          <w:szCs w:val="24"/>
          <w:lang w:val="en-US"/>
        </w:rPr>
        <w:t>Worm</w:t>
      </w:r>
    </w:p>
    <w:tbl>
      <w:tblPr>
        <w:tblStyle w:val="13"/>
        <w:tblW w:w="1057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
      <w:tblGrid>
        <w:gridCol w:w="3579"/>
        <w:gridCol w:w="69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459" w:hRule="atLeast"/>
        </w:trPr>
        <w:tc>
          <w:tcPr>
            <w:tcW w:w="357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Part</w:t>
            </w:r>
          </w:p>
        </w:tc>
        <w:tc>
          <w:tcPr>
            <w:tcW w:w="6996"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Process: Lathe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1882" w:hRule="atLeast"/>
        </w:trPr>
        <w:tc>
          <w:tcPr>
            <w:tcW w:w="357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2"/>
                <w:szCs w:val="22"/>
                <w:lang w:val="en-US" w:eastAsia="zh-CN" w:bidi="ar"/>
              </w:rPr>
              <w:drawing>
                <wp:anchor distT="0" distB="0" distL="114300" distR="114300" simplePos="0" relativeHeight="271581184" behindDoc="0" locked="0" layoutInCell="1" allowOverlap="1">
                  <wp:simplePos x="0" y="0"/>
                  <wp:positionH relativeFrom="column">
                    <wp:posOffset>342900</wp:posOffset>
                  </wp:positionH>
                  <wp:positionV relativeFrom="paragraph">
                    <wp:posOffset>53340</wp:posOffset>
                  </wp:positionV>
                  <wp:extent cx="1350645" cy="1085215"/>
                  <wp:effectExtent l="0" t="0" r="3175" b="4445"/>
                  <wp:wrapNone/>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
                          <pic:cNvPicPr>
                            <a:picLocks noChangeAspect="1"/>
                          </pic:cNvPicPr>
                        </pic:nvPicPr>
                        <pic:blipFill>
                          <a:blip r:embed="rId10"/>
                          <a:stretch>
                            <a:fillRect/>
                          </a:stretch>
                        </pic:blipFill>
                        <pic:spPr>
                          <a:xfrm>
                            <a:off x="0" y="0"/>
                            <a:ext cx="1350645" cy="1085215"/>
                          </a:xfrm>
                          <a:prstGeom prst="rect">
                            <a:avLst/>
                          </a:prstGeom>
                          <a:noFill/>
                          <a:ln>
                            <a:noFill/>
                          </a:ln>
                        </pic:spPr>
                      </pic:pic>
                    </a:graphicData>
                  </a:graphic>
                </wp:anchor>
              </w:drawing>
            </w:r>
          </w:p>
        </w:tc>
        <w:tc>
          <w:tcPr>
            <w:tcW w:w="6996"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-All features are cylindrical</w:t>
            </w: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-Can be manufactured from rod form</w:t>
            </w: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-Features required can be manufactured with rotary motion</w:t>
            </w: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bl>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As with the Cylinder, this part can be bought in as a rod, this time with a 5mm diameter, cut to length. As all features can be created with a rotary motion, the part should be turned on a lathe. Current design would require part to be flipped so that the cored-out bolt head can be created. Table 5 provides the process analysis.</w:t>
      </w:r>
    </w:p>
    <w:tbl>
      <w:tblPr>
        <w:tblStyle w:val="12"/>
        <w:tblW w:w="10064" w:type="dxa"/>
        <w:tblInd w:w="0" w:type="dxa"/>
        <w:shd w:val="clear" w:color="auto" w:fill="auto"/>
        <w:tblLayout w:type="fixed"/>
        <w:tblCellMar>
          <w:top w:w="0" w:type="dxa"/>
          <w:left w:w="108" w:type="dxa"/>
          <w:bottom w:w="0" w:type="dxa"/>
          <w:right w:w="108" w:type="dxa"/>
        </w:tblCellMar>
      </w:tblPr>
      <w:tblGrid>
        <w:gridCol w:w="3823"/>
        <w:gridCol w:w="6241"/>
      </w:tblGrid>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4472C4"/>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b/>
                <w:color w:val="FFFFFF"/>
                <w:sz w:val="24"/>
                <w:szCs w:val="24"/>
                <w:lang w:eastAsia="en-US"/>
              </w:rPr>
            </w:pPr>
            <w:r>
              <w:rPr>
                <w:rFonts w:hint="eastAsia" w:ascii="Calibri" w:hAnsi="Calibri" w:eastAsia="Times New Roman" w:cs="Calibri"/>
                <w:b/>
                <w:color w:val="FFFFFF"/>
                <w:kern w:val="0"/>
                <w:sz w:val="24"/>
                <w:szCs w:val="24"/>
                <w:lang w:val="en-US" w:eastAsia="en-US" w:bidi="ar"/>
              </w:rPr>
              <w:t>Parameter</w:t>
            </w:r>
          </w:p>
        </w:tc>
        <w:tc>
          <w:tcPr>
            <w:tcW w:w="6241" w:type="dxa"/>
            <w:tcBorders>
              <w:top w:val="single" w:color="8EA9DB" w:sz="4" w:space="0"/>
              <w:left w:val="nil"/>
              <w:bottom w:val="single" w:color="8EA9DB" w:sz="4" w:space="0"/>
              <w:right w:val="single" w:color="8EA9DB" w:sz="4" w:space="0"/>
            </w:tcBorders>
            <w:shd w:val="clear" w:color="auto" w:fill="4472C4"/>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b/>
                <w:color w:val="FFFFFF"/>
                <w:sz w:val="24"/>
                <w:szCs w:val="24"/>
                <w:lang w:eastAsia="en-US"/>
              </w:rPr>
            </w:pPr>
            <w:r>
              <w:rPr>
                <w:rFonts w:hint="eastAsia" w:ascii="Calibri" w:hAnsi="Calibri" w:eastAsia="Times New Roman" w:cs="Calibri"/>
                <w:b/>
                <w:color w:val="FFFFFF"/>
                <w:kern w:val="0"/>
                <w:sz w:val="24"/>
                <w:szCs w:val="24"/>
                <w:lang w:val="en-US" w:eastAsia="en-US" w:bidi="ar"/>
              </w:rPr>
              <w:t>Specification</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Method</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Lathe</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per Gripper</w:t>
            </w:r>
          </w:p>
        </w:tc>
        <w:tc>
          <w:tcPr>
            <w:tcW w:w="6241" w:type="dxa"/>
            <w:tcBorders>
              <w:top w:val="single" w:color="8EA9DB" w:sz="4" w:space="0"/>
              <w:left w:val="nil"/>
              <w:bottom w:val="single" w:color="8EA9DB" w:sz="4" w:space="0"/>
              <w:right w:val="single" w:color="8EA9DB" w:sz="4" w:space="0"/>
            </w:tcBorders>
            <w:shd w:val="clear" w:color="auto" w:fill="auto"/>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1</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of Grippers a week</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2000</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of Joins per week</w:t>
            </w:r>
          </w:p>
        </w:tc>
        <w:tc>
          <w:tcPr>
            <w:tcW w:w="6241" w:type="dxa"/>
            <w:tcBorders>
              <w:top w:val="single" w:color="8EA9DB" w:sz="4" w:space="0"/>
              <w:left w:val="nil"/>
              <w:bottom w:val="single" w:color="8EA9DB" w:sz="4" w:space="0"/>
              <w:right w:val="single" w:color="8EA9DB" w:sz="4" w:space="0"/>
            </w:tcBorders>
            <w:shd w:val="clear" w:color="auto" w:fill="auto"/>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2000</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Minimum Production Run Profitability</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1000</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 xml:space="preserve">Tolerance </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Up to +/- 0.01mm</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Production Rates</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Up to 60/hr manual, up to 1000/hr automated</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Costs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High tooling cost for automated machines, but low labour costs</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Material Waste</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High material waste, but waste is recyclable</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Finishing Costs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Low</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Manufacturing Method</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Batch</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Post Production Processes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Cleaning and deburring</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Common Materials</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Iron, Steels and Alloys</w:t>
            </w:r>
          </w:p>
        </w:tc>
      </w:tr>
    </w:tbl>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Table 5: Lathe process assessment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978-981-10-6591-0_4","ISBN":"9780080993607","author":[{"dropping-particle":"","family":"Swift","given":"K.G.","non-dropping-particle":"","parse-names":false,"suffix":""},{"dropping-particle":"","family":"Booker","given":"J.D.","non-dropping-particle":"","parse-names":false,"suffix":""}],"id":"ITEM-1","issued":{"date-parts":[["2018"]]},"number-of-pages":"45-58","title":"Manufacturing Process Selection","type":"book"},"uris":["http://www.mendeley.com/documents/?uuid=5b5d5663-a7e5-4d10-a426-689734f66819"]}],"mendeley":{"formattedCitation":"(Swift and Booker, 2018)","plainTextFormattedCitation":"(Swift and Booker, 2018)","previouslyFormattedCitation":"(Swift and Booker, 2018)"},"properties":{"noteIndex":0},"schema":"https://github.com/citation-style-language/schema/raw/master/csl-citation.json"}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(Swift and Booker, 2018)</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sz w:val="24"/>
          <w:szCs w:val="24"/>
          <w:lang w:val="en-US"/>
        </w:rPr>
      </w:pPr>
    </w:p>
    <w:p>
      <w:pPr>
        <w:pStyle w:val="15"/>
        <w:widowControl/>
        <w:numPr>
          <w:ilvl w:val="0"/>
          <w:numId w:val="14"/>
        </w:numPr>
        <w:ind w:hanging="360"/>
        <w:rPr>
          <w:b/>
          <w:sz w:val="24"/>
          <w:szCs w:val="24"/>
          <w:lang w:val="en-US"/>
        </w:rPr>
      </w:pPr>
      <w:r>
        <w:rPr>
          <w:b/>
          <w:sz w:val="24"/>
          <w:szCs w:val="24"/>
          <w:lang w:val="en-US"/>
        </w:rPr>
        <w:t>Drive Plate</w:t>
      </w:r>
    </w:p>
    <w:tbl>
      <w:tblPr>
        <w:tblStyle w:val="13"/>
        <w:tblW w:w="1057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
      <w:tblGrid>
        <w:gridCol w:w="3579"/>
        <w:gridCol w:w="69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459" w:hRule="atLeast"/>
        </w:trPr>
        <w:tc>
          <w:tcPr>
            <w:tcW w:w="357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Part</w:t>
            </w:r>
          </w:p>
        </w:tc>
        <w:tc>
          <w:tcPr>
            <w:tcW w:w="6996"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Process: CNC Machine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1882" w:hRule="atLeast"/>
        </w:trPr>
        <w:tc>
          <w:tcPr>
            <w:tcW w:w="357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2"/>
                <w:szCs w:val="22"/>
                <w:lang w:val="en-US" w:eastAsia="zh-CN" w:bidi="ar"/>
              </w:rPr>
              <w:drawing>
                <wp:anchor distT="0" distB="0" distL="114300" distR="114300" simplePos="0" relativeHeight="313524224" behindDoc="0" locked="0" layoutInCell="1" allowOverlap="1">
                  <wp:simplePos x="0" y="0"/>
                  <wp:positionH relativeFrom="column">
                    <wp:posOffset>364490</wp:posOffset>
                  </wp:positionH>
                  <wp:positionV relativeFrom="paragraph">
                    <wp:posOffset>71120</wp:posOffset>
                  </wp:positionV>
                  <wp:extent cx="1346200" cy="1033145"/>
                  <wp:effectExtent l="0" t="0" r="7620" b="6985"/>
                  <wp:wrapNone/>
                  <wp:docPr id="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4"/>
                          <pic:cNvPicPr>
                            <a:picLocks noChangeAspect="1"/>
                          </pic:cNvPicPr>
                        </pic:nvPicPr>
                        <pic:blipFill>
                          <a:blip r:embed="rId11"/>
                          <a:stretch>
                            <a:fillRect/>
                          </a:stretch>
                        </pic:blipFill>
                        <pic:spPr>
                          <a:xfrm>
                            <a:off x="0" y="0"/>
                            <a:ext cx="1346200" cy="1033145"/>
                          </a:xfrm>
                          <a:prstGeom prst="rect">
                            <a:avLst/>
                          </a:prstGeom>
                          <a:noFill/>
                          <a:ln>
                            <a:noFill/>
                          </a:ln>
                        </pic:spPr>
                      </pic:pic>
                    </a:graphicData>
                  </a:graphic>
                </wp:anchor>
              </w:drawing>
            </w:r>
          </w:p>
        </w:tc>
        <w:tc>
          <w:tcPr>
            <w:tcW w:w="6996"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-No manual interaction with part during manufacture</w:t>
            </w:r>
            <w:r>
              <w:rPr>
                <w:rFonts w:hint="eastAsia" w:ascii="Calibri" w:hAnsi="Calibri" w:eastAsia="Calibri" w:cs="Calibri"/>
                <w:color w:val="000000"/>
                <w:kern w:val="0"/>
                <w:sz w:val="24"/>
                <w:szCs w:val="24"/>
                <w:lang w:val="en-US" w:eastAsia="zh-CN" w:bidi="ar"/>
              </w:rPr>
              <w:br w:type="textWrapping"/>
            </w:r>
            <w:r>
              <w:rPr>
                <w:rFonts w:hint="eastAsia" w:ascii="Calibri" w:hAnsi="Calibri" w:eastAsia="Calibri" w:cs="Calibri"/>
                <w:color w:val="000000"/>
                <w:kern w:val="0"/>
                <w:sz w:val="24"/>
                <w:szCs w:val="24"/>
                <w:lang w:val="en-US" w:eastAsia="zh-CN" w:bidi="ar"/>
              </w:rPr>
              <w:t>-Automated process that can be run with little supervision</w:t>
            </w:r>
            <w:r>
              <w:rPr>
                <w:rFonts w:hint="eastAsia" w:ascii="Calibri" w:hAnsi="Calibri" w:eastAsia="Calibri" w:cs="Calibri"/>
                <w:color w:val="000000"/>
                <w:kern w:val="0"/>
                <w:sz w:val="24"/>
                <w:szCs w:val="24"/>
                <w:lang w:val="en-US" w:eastAsia="zh-CN" w:bidi="ar"/>
              </w:rPr>
              <w:br w:type="textWrapping"/>
            </w:r>
            <w:r>
              <w:rPr>
                <w:rFonts w:hint="eastAsia" w:ascii="Calibri" w:hAnsi="Calibri" w:eastAsia="Calibri" w:cs="Calibri"/>
                <w:color w:val="000000"/>
                <w:kern w:val="0"/>
                <w:sz w:val="24"/>
                <w:szCs w:val="24"/>
                <w:lang w:val="en-US" w:eastAsia="zh-CN" w:bidi="ar"/>
              </w:rPr>
              <w:t>-Operations can be completed in a single machine</w:t>
            </w: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bl>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As the Drive Plate has a mix of a rotary feature as well as block features, this part should be manufactured from rod on a CNC machine. The rotary element would be incorporated in the shape of the purchased material. The block manufacture and holes can be cut using a 3 axis CNC machine in one part orientation.</w:t>
      </w:r>
    </w:p>
    <w:tbl>
      <w:tblPr>
        <w:tblStyle w:val="12"/>
        <w:tblW w:w="10064" w:type="dxa"/>
        <w:tblInd w:w="0" w:type="dxa"/>
        <w:shd w:val="clear" w:color="auto" w:fill="auto"/>
        <w:tblLayout w:type="fixed"/>
        <w:tblCellMar>
          <w:top w:w="0" w:type="dxa"/>
          <w:left w:w="108" w:type="dxa"/>
          <w:bottom w:w="0" w:type="dxa"/>
          <w:right w:w="108" w:type="dxa"/>
        </w:tblCellMar>
      </w:tblPr>
      <w:tblGrid>
        <w:gridCol w:w="3823"/>
        <w:gridCol w:w="6241"/>
      </w:tblGrid>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4472C4"/>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b/>
                <w:color w:val="FFFFFF"/>
                <w:sz w:val="24"/>
                <w:szCs w:val="24"/>
                <w:lang w:eastAsia="en-US"/>
              </w:rPr>
            </w:pPr>
            <w:r>
              <w:rPr>
                <w:rFonts w:hint="eastAsia" w:ascii="Calibri" w:hAnsi="Calibri" w:eastAsia="Times New Roman" w:cs="Calibri"/>
                <w:b/>
                <w:color w:val="FFFFFF"/>
                <w:kern w:val="0"/>
                <w:sz w:val="24"/>
                <w:szCs w:val="24"/>
                <w:lang w:val="en-US" w:eastAsia="en-US" w:bidi="ar"/>
              </w:rPr>
              <w:t>Parameter</w:t>
            </w:r>
          </w:p>
        </w:tc>
        <w:tc>
          <w:tcPr>
            <w:tcW w:w="6241" w:type="dxa"/>
            <w:tcBorders>
              <w:top w:val="single" w:color="8EA9DB" w:sz="4" w:space="0"/>
              <w:left w:val="nil"/>
              <w:bottom w:val="single" w:color="8EA9DB" w:sz="4" w:space="0"/>
              <w:right w:val="single" w:color="8EA9DB" w:sz="4" w:space="0"/>
            </w:tcBorders>
            <w:shd w:val="clear" w:color="auto" w:fill="4472C4"/>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b/>
                <w:color w:val="FFFFFF"/>
                <w:sz w:val="24"/>
                <w:szCs w:val="24"/>
                <w:lang w:eastAsia="en-US"/>
              </w:rPr>
            </w:pPr>
            <w:r>
              <w:rPr>
                <w:rFonts w:hint="eastAsia" w:ascii="Calibri" w:hAnsi="Calibri" w:eastAsia="Times New Roman" w:cs="Calibri"/>
                <w:b/>
                <w:color w:val="FFFFFF"/>
                <w:kern w:val="0"/>
                <w:sz w:val="24"/>
                <w:szCs w:val="24"/>
                <w:lang w:val="en-US" w:eastAsia="en-US" w:bidi="ar"/>
              </w:rPr>
              <w:t>Specification</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Method</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CNC Machining</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per Gripper</w:t>
            </w:r>
          </w:p>
        </w:tc>
        <w:tc>
          <w:tcPr>
            <w:tcW w:w="6241" w:type="dxa"/>
            <w:tcBorders>
              <w:top w:val="single" w:color="8EA9DB" w:sz="4" w:space="0"/>
              <w:left w:val="nil"/>
              <w:bottom w:val="single" w:color="8EA9DB" w:sz="4" w:space="0"/>
              <w:right w:val="single" w:color="8EA9DB" w:sz="4" w:space="0"/>
            </w:tcBorders>
            <w:shd w:val="clear" w:color="auto" w:fill="auto"/>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3</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of Grippers a week</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2000</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of Joins per week</w:t>
            </w:r>
          </w:p>
        </w:tc>
        <w:tc>
          <w:tcPr>
            <w:tcW w:w="6241" w:type="dxa"/>
            <w:tcBorders>
              <w:top w:val="single" w:color="8EA9DB" w:sz="4" w:space="0"/>
              <w:left w:val="nil"/>
              <w:bottom w:val="single" w:color="8EA9DB" w:sz="4" w:space="0"/>
              <w:right w:val="single" w:color="8EA9DB" w:sz="4" w:space="0"/>
            </w:tcBorders>
            <w:shd w:val="clear" w:color="auto" w:fill="auto"/>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6000</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Minimum Production Run Profitability</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No initial tooling start up costs</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 xml:space="preserve">Tolerance </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Up to +/- 0.01mm</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Production Rates</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Up to 100/hr</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Costs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Labour costs moderate to high (Skilled Labour)</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Material Waste</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High material waste, but waste is recyclable</w:t>
            </w:r>
          </w:p>
        </w:tc>
      </w:tr>
      <w:tr>
        <w:tblPrEx>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Finishing Costs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Low</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Manufacturing Method</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Batch</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Post Production Processes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Cleaning and deburring</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Common Materials</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Iron, Steels and Alloys</w:t>
            </w:r>
          </w:p>
        </w:tc>
      </w:tr>
    </w:tbl>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Table 6: CNC Machining process assessment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978-981-10-6591-0_4","ISBN":"9780080993607","author":[{"dropping-particle":"","family":"Swift","given":"K.G.","non-dropping-particle":"","parse-names":false,"suffix":""},{"dropping-particle":"","family":"Booker","given":"J.D.","non-dropping-particle":"","parse-names":false,"suffix":""}],"id":"ITEM-1","issued":{"date-parts":[["2018"]]},"number-of-pages":"45-58","title":"Manufacturing Process Selection","type":"book"},"uris":["http://www.mendeley.com/documents/?uuid=5b5d5663-a7e5-4d10-a426-689734f66819"]}],"mendeley":{"formattedCitation":"(Swift and Booker, 2018)","plainTextFormattedCitation":"(Swift and Booker, 2018)","previouslyFormattedCitation":"(Swift and Booker, 2018)"},"properties":{"noteIndex":0},"schema":"https://github.com/citation-style-language/schema/raw/master/csl-citation.json"}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(Swift and Booker, 2018)</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p>
    <w:p>
      <w:pPr>
        <w:pStyle w:val="15"/>
        <w:widowControl/>
        <w:numPr>
          <w:ilvl w:val="0"/>
          <w:numId w:val="14"/>
        </w:numPr>
        <w:ind w:hanging="360"/>
        <w:rPr>
          <w:b/>
          <w:sz w:val="24"/>
          <w:szCs w:val="24"/>
          <w:lang w:val="en-US"/>
        </w:rPr>
      </w:pPr>
      <w:r>
        <w:rPr>
          <w:b/>
          <w:sz w:val="24"/>
          <w:szCs w:val="24"/>
          <w:lang w:val="en-US"/>
        </w:rPr>
        <w:t>Cylinder</w:t>
      </w:r>
    </w:p>
    <w:tbl>
      <w:tblPr>
        <w:tblStyle w:val="13"/>
        <w:tblW w:w="1057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
      <w:tblGrid>
        <w:gridCol w:w="3579"/>
        <w:gridCol w:w="69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459" w:hRule="atLeast"/>
        </w:trPr>
        <w:tc>
          <w:tcPr>
            <w:tcW w:w="357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Part</w:t>
            </w:r>
          </w:p>
        </w:tc>
        <w:tc>
          <w:tcPr>
            <w:tcW w:w="6996"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Process: Die Casting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882" w:hRule="atLeast"/>
        </w:trPr>
        <w:tc>
          <w:tcPr>
            <w:tcW w:w="357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2"/>
                <w:szCs w:val="22"/>
                <w:lang w:val="en-US" w:eastAsia="zh-CN" w:bidi="ar"/>
              </w:rPr>
              <w:drawing>
                <wp:anchor distT="0" distB="0" distL="114300" distR="114300" simplePos="0" relativeHeight="355467264" behindDoc="0" locked="0" layoutInCell="1" allowOverlap="1">
                  <wp:simplePos x="0" y="0"/>
                  <wp:positionH relativeFrom="column">
                    <wp:posOffset>401955</wp:posOffset>
                  </wp:positionH>
                  <wp:positionV relativeFrom="paragraph">
                    <wp:posOffset>50165</wp:posOffset>
                  </wp:positionV>
                  <wp:extent cx="1282700" cy="1050925"/>
                  <wp:effectExtent l="0" t="0" r="5080" b="5715"/>
                  <wp:wrapNone/>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pic:cNvPicPr>
                            <a:picLocks noChangeAspect="1"/>
                          </pic:cNvPicPr>
                        </pic:nvPicPr>
                        <pic:blipFill>
                          <a:blip r:embed="rId12"/>
                          <a:stretch>
                            <a:fillRect/>
                          </a:stretch>
                        </pic:blipFill>
                        <pic:spPr>
                          <a:xfrm>
                            <a:off x="0" y="0"/>
                            <a:ext cx="1282700" cy="1050925"/>
                          </a:xfrm>
                          <a:prstGeom prst="rect">
                            <a:avLst/>
                          </a:prstGeom>
                          <a:noFill/>
                          <a:ln>
                            <a:noFill/>
                          </a:ln>
                        </pic:spPr>
                      </pic:pic>
                    </a:graphicData>
                  </a:graphic>
                </wp:anchor>
              </w:drawing>
            </w:r>
          </w:p>
        </w:tc>
        <w:tc>
          <w:tcPr>
            <w:tcW w:w="6996"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-Complex designs can be achieved</w:t>
            </w: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-High volume throughput</w:t>
            </w: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-Moulds can be reused</w:t>
            </w: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-Can produce strong, light weight components</w:t>
            </w: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-Reduces number of fixings in part can be made in a single mould</w:t>
            </w:r>
          </w:p>
          <w:p>
            <w:pPr>
              <w:keepNext w:val="0"/>
              <w:keepLines w:val="0"/>
              <w:widowControl/>
              <w:suppressLineNumbers w:val="0"/>
              <w:spacing w:before="0" w:beforeAutospacing="0" w:after="0" w:afterAutospacing="0" w:line="240" w:lineRule="auto"/>
              <w:ind w:left="0" w:right="0"/>
              <w:jc w:val="left"/>
              <w:rPr>
                <w:rFonts w:hint="eastAsia"/>
                <w:sz w:val="24"/>
                <w:szCs w:val="24"/>
              </w:rPr>
            </w:pPr>
          </w:p>
        </w:tc>
      </w:tr>
    </w:tbl>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The cylinder is a complex shape requiring multiple features in different planes. Machining from billet would achieve the results, but with a long lead time and high material costs and waste. To complete the full form in as few manufacturing process as possible, die-casting is the preferred option, although this could be achieved with injection moulding if the material were plastic.</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Once the casting process is complete, secondary machining is required to drill the holes parallel to the parting line.</w:t>
      </w:r>
    </w:p>
    <w:tbl>
      <w:tblPr>
        <w:tblStyle w:val="12"/>
        <w:tblW w:w="10064" w:type="dxa"/>
        <w:tblInd w:w="0" w:type="dxa"/>
        <w:shd w:val="clear" w:color="auto" w:fill="auto"/>
        <w:tblLayout w:type="fixed"/>
        <w:tblCellMar>
          <w:top w:w="0" w:type="dxa"/>
          <w:left w:w="108" w:type="dxa"/>
          <w:bottom w:w="0" w:type="dxa"/>
          <w:right w:w="108" w:type="dxa"/>
        </w:tblCellMar>
      </w:tblPr>
      <w:tblGrid>
        <w:gridCol w:w="3823"/>
        <w:gridCol w:w="6241"/>
      </w:tblGrid>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4472C4"/>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b/>
                <w:color w:val="FFFFFF"/>
                <w:sz w:val="24"/>
                <w:szCs w:val="24"/>
                <w:lang w:eastAsia="en-US"/>
              </w:rPr>
            </w:pPr>
            <w:r>
              <w:rPr>
                <w:rFonts w:hint="eastAsia" w:ascii="Calibri" w:hAnsi="Calibri" w:eastAsia="Times New Roman" w:cs="Calibri"/>
                <w:b/>
                <w:color w:val="FFFFFF"/>
                <w:kern w:val="0"/>
                <w:sz w:val="24"/>
                <w:szCs w:val="24"/>
                <w:lang w:val="en-US" w:eastAsia="en-US" w:bidi="ar"/>
              </w:rPr>
              <w:t>Parameter</w:t>
            </w:r>
          </w:p>
        </w:tc>
        <w:tc>
          <w:tcPr>
            <w:tcW w:w="6241" w:type="dxa"/>
            <w:tcBorders>
              <w:top w:val="single" w:color="8EA9DB" w:sz="4" w:space="0"/>
              <w:left w:val="nil"/>
              <w:bottom w:val="single" w:color="8EA9DB" w:sz="4" w:space="0"/>
              <w:right w:val="single" w:color="8EA9DB" w:sz="4" w:space="0"/>
            </w:tcBorders>
            <w:shd w:val="clear" w:color="auto" w:fill="4472C4"/>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b/>
                <w:color w:val="FFFFFF"/>
                <w:sz w:val="24"/>
                <w:szCs w:val="24"/>
                <w:lang w:eastAsia="en-US"/>
              </w:rPr>
            </w:pPr>
            <w:r>
              <w:rPr>
                <w:rFonts w:hint="eastAsia" w:ascii="Calibri" w:hAnsi="Calibri" w:eastAsia="Times New Roman" w:cs="Calibri"/>
                <w:b/>
                <w:color w:val="FFFFFF"/>
                <w:kern w:val="0"/>
                <w:sz w:val="24"/>
                <w:szCs w:val="24"/>
                <w:lang w:val="en-US" w:eastAsia="en-US" w:bidi="ar"/>
              </w:rPr>
              <w:t>Specification</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Method</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Die Casting</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per Gripper</w:t>
            </w:r>
          </w:p>
        </w:tc>
        <w:tc>
          <w:tcPr>
            <w:tcW w:w="6241" w:type="dxa"/>
            <w:tcBorders>
              <w:top w:val="single" w:color="8EA9DB" w:sz="4" w:space="0"/>
              <w:left w:val="nil"/>
              <w:bottom w:val="single" w:color="8EA9DB" w:sz="4" w:space="0"/>
              <w:right w:val="single" w:color="8EA9DB" w:sz="4" w:space="0"/>
            </w:tcBorders>
            <w:shd w:val="clear" w:color="auto" w:fill="auto"/>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1</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of Grippers a week</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2000</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Number of Joins per week</w:t>
            </w:r>
          </w:p>
        </w:tc>
        <w:tc>
          <w:tcPr>
            <w:tcW w:w="6241" w:type="dxa"/>
            <w:tcBorders>
              <w:top w:val="single" w:color="8EA9DB" w:sz="4" w:space="0"/>
              <w:left w:val="nil"/>
              <w:bottom w:val="single" w:color="8EA9DB" w:sz="4" w:space="0"/>
              <w:right w:val="single" w:color="8EA9DB" w:sz="4" w:space="0"/>
            </w:tcBorders>
            <w:shd w:val="clear" w:color="auto" w:fill="auto"/>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2000</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Minimum Production Run Profitability</w:t>
            </w:r>
          </w:p>
        </w:tc>
        <w:tc>
          <w:tcPr>
            <w:tcW w:w="6241" w:type="dxa"/>
            <w:tcBorders>
              <w:top w:val="single" w:color="8EA9DB" w:sz="4" w:space="0"/>
              <w:left w:val="nil"/>
              <w:bottom w:val="single" w:color="8EA9DB" w:sz="4" w:space="0"/>
              <w:right w:val="single" w:color="8EA9DB" w:sz="4" w:space="0"/>
            </w:tcBorders>
            <w:shd w:val="clear" w:color="auto" w:fill="D9E1F2"/>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10,000</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 xml:space="preserve">Tolerance </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Up to +/- 0.01mm</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Production Rates</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Up to 200/hr</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Costs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High initial tooling costs</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Material Waste</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Low</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Finishing Costs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Low</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Manufacturing Method</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Batch</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Post Production Processes</w:t>
            </w:r>
          </w:p>
        </w:tc>
        <w:tc>
          <w:tcPr>
            <w:tcW w:w="6241" w:type="dxa"/>
            <w:tcBorders>
              <w:top w:val="single" w:color="8EA9DB" w:sz="4" w:space="0"/>
              <w:left w:val="nil"/>
              <w:bottom w:val="single" w:color="8EA9DB" w:sz="4" w:space="0"/>
              <w:right w:val="single" w:color="8EA9DB" w:sz="4" w:space="0"/>
            </w:tcBorders>
            <w:shd w:val="clear" w:color="auto" w:fill="auto"/>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Trimming</w:t>
            </w:r>
          </w:p>
        </w:tc>
      </w:tr>
      <w:tr>
        <w:tblPrEx>
          <w:shd w:val="clear" w:color="auto" w:fill="auto"/>
          <w:tblLayout w:type="fixed"/>
          <w:tblCellMar>
            <w:top w:w="0" w:type="dxa"/>
            <w:left w:w="108" w:type="dxa"/>
            <w:bottom w:w="0" w:type="dxa"/>
            <w:right w:w="108" w:type="dxa"/>
          </w:tblCellMar>
        </w:tblPrEx>
        <w:trPr>
          <w:trHeight w:val="287" w:hRule="atLeast"/>
        </w:trPr>
        <w:tc>
          <w:tcPr>
            <w:tcW w:w="3823" w:type="dxa"/>
            <w:tcBorders>
              <w:top w:val="single" w:color="8EA9DB" w:sz="4" w:space="0"/>
              <w:left w:val="single" w:color="8EA9DB" w:sz="4" w:space="0"/>
              <w:bottom w:val="single" w:color="8EA9DB" w:sz="4" w:space="0"/>
              <w:right w:val="nil"/>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Common Materials</w:t>
            </w:r>
          </w:p>
        </w:tc>
        <w:tc>
          <w:tcPr>
            <w:tcW w:w="6241" w:type="dxa"/>
            <w:tcBorders>
              <w:top w:val="single" w:color="8EA9DB" w:sz="4" w:space="0"/>
              <w:left w:val="nil"/>
              <w:bottom w:val="single" w:color="8EA9DB" w:sz="4" w:space="0"/>
              <w:right w:val="single" w:color="8EA9DB" w:sz="4" w:space="0"/>
            </w:tcBorders>
            <w:shd w:val="clear" w:color="auto" w:fill="D9E1F2"/>
            <w:noWrap/>
            <w:vAlign w:val="bottom"/>
          </w:tcPr>
          <w:p>
            <w:pPr>
              <w:keepNext w:val="0"/>
              <w:keepLines w:val="0"/>
              <w:widowControl/>
              <w:suppressLineNumbers w:val="0"/>
              <w:spacing w:before="0" w:beforeAutospacing="0" w:after="0" w:afterAutospacing="0" w:line="240" w:lineRule="auto"/>
              <w:ind w:left="0" w:right="0"/>
              <w:jc w:val="left"/>
              <w:rPr>
                <w:rFonts w:hint="eastAsia" w:ascii="Calibri" w:hAnsi="Calibri" w:eastAsia="Times New Roman" w:cs="Calibri"/>
                <w:color w:val="000000"/>
                <w:sz w:val="24"/>
                <w:szCs w:val="24"/>
                <w:lang w:eastAsia="en-US"/>
              </w:rPr>
            </w:pPr>
            <w:r>
              <w:rPr>
                <w:rFonts w:hint="eastAsia" w:ascii="Calibri" w:hAnsi="Calibri" w:eastAsia="Times New Roman" w:cs="Calibri"/>
                <w:color w:val="000000"/>
                <w:kern w:val="0"/>
                <w:sz w:val="24"/>
                <w:szCs w:val="24"/>
                <w:lang w:val="en-US" w:eastAsia="en-US" w:bidi="ar"/>
              </w:rPr>
              <w:t>Limited to non-ferrous metals</w:t>
            </w:r>
          </w:p>
        </w:tc>
      </w:tr>
    </w:tbl>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Table 7: Die Casting process assessment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978-981-10-6591-0_4","ISBN":"9780080993607","author":[{"dropping-particle":"","family":"Swift","given":"K.G.","non-dropping-particle":"","parse-names":false,"suffix":""},{"dropping-particle":"","family":"Booker","given":"J.D.","non-dropping-particle":"","parse-names":false,"suffix":""}],"id":"ITEM-1","issued":{"date-parts":[["2018"]]},"number-of-pages":"45-58","title":"Manufacturing Process Selection","type":"book"},"uris":["http://www.mendeley.com/documents/?uuid=5b5d5663-a7e5-4d10-a426-689734f66819"]}],"mendeley":{"formattedCitation":"(Swift and Booker, 2018)","plainTextFormattedCitation":"(Swift and Booker, 2018)","previouslyFormattedCitation":"(Swift and Booker, 2018)"},"properties":{"noteIndex":0},"schema":"https://github.com/citation-style-language/schema/raw/master/csl-citation.json"}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(Swift and Booker, 2018)</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sz w:val="24"/>
          <w:szCs w:val="24"/>
          <w:lang w:val="en-US"/>
        </w:rPr>
      </w:pPr>
    </w:p>
    <w:p>
      <w:pPr>
        <w:pStyle w:val="15"/>
        <w:widowControl/>
        <w:numPr>
          <w:ilvl w:val="0"/>
          <w:numId w:val="14"/>
        </w:numPr>
        <w:ind w:hanging="360"/>
        <w:rPr>
          <w:b/>
          <w:sz w:val="24"/>
          <w:szCs w:val="24"/>
          <w:lang w:val="en-US"/>
        </w:rPr>
      </w:pPr>
      <w:r>
        <w:rPr>
          <w:b/>
          <w:sz w:val="24"/>
          <w:szCs w:val="24"/>
          <w:lang w:val="en-US"/>
        </w:rPr>
        <w:t>Motor</w:t>
      </w:r>
    </w:p>
    <w:tbl>
      <w:tblPr>
        <w:tblStyle w:val="13"/>
        <w:tblW w:w="1057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
      <w:tblGrid>
        <w:gridCol w:w="3579"/>
        <w:gridCol w:w="69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rPr>
          <w:trHeight w:val="459" w:hRule="atLeast"/>
        </w:trPr>
        <w:tc>
          <w:tcPr>
            <w:tcW w:w="357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Part</w:t>
            </w:r>
          </w:p>
        </w:tc>
        <w:tc>
          <w:tcPr>
            <w:tcW w:w="6996"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Process: Purchased Part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1882" w:hRule="atLeast"/>
        </w:trPr>
        <w:tc>
          <w:tcPr>
            <w:tcW w:w="357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2"/>
                <w:szCs w:val="22"/>
                <w:lang w:val="en-US" w:eastAsia="zh-CN" w:bidi="ar"/>
              </w:rPr>
              <w:drawing>
                <wp:anchor distT="0" distB="0" distL="114300" distR="114300" simplePos="0" relativeHeight="397410304" behindDoc="0" locked="0" layoutInCell="1" allowOverlap="1">
                  <wp:simplePos x="0" y="0"/>
                  <wp:positionH relativeFrom="column">
                    <wp:posOffset>617855</wp:posOffset>
                  </wp:positionH>
                  <wp:positionV relativeFrom="paragraph">
                    <wp:posOffset>187960</wp:posOffset>
                  </wp:positionV>
                  <wp:extent cx="969645" cy="866140"/>
                  <wp:effectExtent l="0" t="0" r="4445" b="635"/>
                  <wp:wrapNone/>
                  <wp:docPr id="1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8"/>
                          <pic:cNvPicPr>
                            <a:picLocks noChangeAspect="1"/>
                          </pic:cNvPicPr>
                        </pic:nvPicPr>
                        <pic:blipFill>
                          <a:blip r:embed="rId13"/>
                          <a:stretch>
                            <a:fillRect/>
                          </a:stretch>
                        </pic:blipFill>
                        <pic:spPr>
                          <a:xfrm>
                            <a:off x="0" y="0"/>
                            <a:ext cx="969645" cy="866140"/>
                          </a:xfrm>
                          <a:prstGeom prst="rect">
                            <a:avLst/>
                          </a:prstGeom>
                          <a:noFill/>
                          <a:ln>
                            <a:noFill/>
                          </a:ln>
                        </pic:spPr>
                      </pic:pic>
                    </a:graphicData>
                  </a:graphic>
                </wp:anchor>
              </w:drawing>
            </w:r>
          </w:p>
        </w:tc>
        <w:tc>
          <w:tcPr>
            <w:tcW w:w="6996"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-Standard parts exist in the marketplace</w:t>
            </w: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-Reduces burden on Manufacturing Processes</w:t>
            </w:r>
          </w:p>
          <w:p>
            <w:pPr>
              <w:keepNext w:val="0"/>
              <w:keepLines w:val="0"/>
              <w:widowControl/>
              <w:suppressLineNumbers w:val="0"/>
              <w:spacing w:before="0" w:beforeAutospacing="0" w:after="0" w:afterAutospacing="0" w:line="240" w:lineRule="auto"/>
              <w:ind w:left="0" w:right="0"/>
              <w:jc w:val="left"/>
              <w:rPr>
                <w:rFonts w:hint="eastAsia" w:ascii="Calibri" w:hAnsi="Calibri" w:cs="Calibri"/>
                <w:color w:val="000000"/>
                <w:sz w:val="24"/>
                <w:szCs w:val="24"/>
              </w:rPr>
            </w:pPr>
            <w:r>
              <w:rPr>
                <w:rFonts w:hint="eastAsia" w:ascii="Calibri" w:hAnsi="Calibri" w:eastAsia="Calibri" w:cs="Calibri"/>
                <w:color w:val="000000"/>
                <w:kern w:val="0"/>
                <w:sz w:val="24"/>
                <w:szCs w:val="24"/>
                <w:lang w:val="en-US" w:eastAsia="zh-CN" w:bidi="ar"/>
              </w:rPr>
              <w:t>-Can be supplied to support ‘Just in Time’ lean manufacturing processes</w:t>
            </w:r>
          </w:p>
        </w:tc>
      </w:tr>
    </w:tbl>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As the motor is a standard part in manufacturing, there is no specific requirement to manufacture a bespoke motor. Therefore, it is recommended to purchase it premade from an external supplier. This will reduce the burden of the manufacturing process in the business. The requirements for the motor will have to be flowed down to the supplier and due diligence carried out on the supplier to ensure they can produce the parts to the quality and schedule required. </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Suggested motor - McLennan Servo Supplies Servo Servo Motor, 12 W, 24 V, 13.5 Ncm, 4000 rpm, 3mm Shaft Diameter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{"citationItems":[{"id":"ITEM-1","itemData":{"URL":"https://uk.rs-online.com/web/p/dc-motors/3514669/?cm_mmc=UK-PLA-DS3A-_-google-_-CSS_UK_EN_Automation_%26_Control_Gear_Whoop-_-Servo Motors_Whoop (2)-_-3514669&amp;gclid=EAIaIQobChMIpsa06pej8QIVweh3Ch3kfAwrEAQYAiABEgJrw_D_BwE&amp;gclsrc=aw.ds&amp;matchtype=&amp;pla-493192309352","accessed":{"date-parts":[["2021","6","19"]]},"author":[{"dropping-particle":"","family":"RS Components","given":"","non-dropping-particle":"","parse-names":false,"suffix":""}],"id":"ITEM-1","issued":{"date-parts":[["2021"]]},"title":"9904 120 15211 | McLennan Servo Supplies Servo Servo Motor","type":"webpage"},"uris":["http://www.mendeley.com/documents/?uuid=dc398d61-0aec-3628-9e5f-06b4acb65ae9"]}],"mendeley":{"formattedCitation":"(RS Components, 2021)","plainTextFormattedCitation":"(RS Components, 2021)","previouslyFormattedCitation":"(RS Components, 2021)"},"properties":{"noteIndex":0},"schema":"https://github.com/citation-style-language/schema/raw/master/csl-citation.json"}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(RS Components, 2021)</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drawing>
          <wp:inline distT="0" distB="0" distL="114300" distR="114300">
            <wp:extent cx="2383155" cy="1452245"/>
            <wp:effectExtent l="0" t="0" r="2540" b="635"/>
            <wp:docPr id="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5"/>
                    <pic:cNvPicPr>
                      <a:picLocks noChangeAspect="1"/>
                    </pic:cNvPicPr>
                  </pic:nvPicPr>
                  <pic:blipFill>
                    <a:blip r:embed="rId14"/>
                    <a:stretch>
                      <a:fillRect/>
                    </a:stretch>
                  </pic:blipFill>
                  <pic:spPr>
                    <a:xfrm>
                      <a:off x="0" y="0"/>
                      <a:ext cx="2383155" cy="1452245"/>
                    </a:xfrm>
                    <a:prstGeom prst="rect">
                      <a:avLst/>
                    </a:prstGeom>
                    <a:noFill/>
                    <a:ln>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Figure 4: Chosen Motor</w:t>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sz w:val="24"/>
          <w:szCs w:val="24"/>
          <w:lang w:val="en-US" w:eastAsia="en-US" w:bidi="ar"/>
        </w:rPr>
        <w:br w:type="page"/>
      </w:r>
    </w:p>
    <w:p>
      <w:pPr>
        <w:pStyle w:val="2"/>
        <w:widowControl/>
        <w:numPr>
          <w:ilvl w:val="0"/>
          <w:numId w:val="1"/>
        </w:numPr>
        <w:ind w:left="426" w:hanging="426"/>
        <w:rPr>
          <w:b/>
          <w:lang w:val="en-US"/>
        </w:rPr>
      </w:pPr>
      <w:bookmarkStart w:id="3" w:name="_Toc75192504"/>
      <w:r>
        <w:rPr>
          <w:b/>
          <w:lang w:val="en-US"/>
        </w:rPr>
        <w:t>Design and Development</w:t>
      </w:r>
      <w:bookmarkEnd w:id="3"/>
    </w:p>
    <w:p>
      <w:pPr>
        <w:keepNext w:val="0"/>
        <w:keepLines w:val="0"/>
        <w:widowControl/>
        <w:suppressLineNumbers w:val="0"/>
        <w:spacing w:before="0" w:beforeAutospacing="0" w:after="160" w:afterAutospacing="0" w:line="256" w:lineRule="auto"/>
        <w:ind w:left="0" w:right="0"/>
        <w:jc w:val="left"/>
        <w:rPr>
          <w:lang w:val="en-US"/>
        </w:rPr>
      </w:pPr>
    </w:p>
    <w:p>
      <w:pPr>
        <w:pStyle w:val="3"/>
        <w:widowControl/>
        <w:rPr>
          <w:b/>
          <w:sz w:val="28"/>
          <w:szCs w:val="28"/>
          <w:lang w:val="en-US"/>
        </w:rPr>
      </w:pPr>
      <w:bookmarkStart w:id="4" w:name="_Toc75192505"/>
      <w:r>
        <w:rPr>
          <w:b/>
          <w:sz w:val="28"/>
          <w:szCs w:val="28"/>
          <w:lang w:val="en-US"/>
        </w:rPr>
        <w:t>4.1 Design for Manufacture &amp; Assembly</w:t>
      </w:r>
      <w:bookmarkEnd w:id="4"/>
    </w:p>
    <w:p>
      <w:pPr>
        <w:pStyle w:val="4"/>
        <w:widowControl/>
        <w:rPr>
          <w:b/>
          <w:lang w:val="en-US"/>
        </w:rPr>
      </w:pPr>
    </w:p>
    <w:p>
      <w:pPr>
        <w:pStyle w:val="4"/>
        <w:widowControl/>
        <w:rPr>
          <w:b/>
          <w:lang w:val="en-US"/>
        </w:rPr>
      </w:pPr>
      <w:bookmarkStart w:id="5" w:name="_Toc75192506"/>
      <w:r>
        <w:rPr>
          <w:b/>
          <w:lang w:val="en-US"/>
        </w:rPr>
        <w:t>4.1.1 Simplify design and remove parts</w:t>
      </w:r>
      <w:bookmarkEnd w:id="5"/>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b/>
          <w:sz w:val="24"/>
          <w:szCs w:val="24"/>
          <w:lang w:val="en-US"/>
        </w:rPr>
      </w:pPr>
      <w:r>
        <w:rPr>
          <w:rFonts w:hint="eastAsia" w:ascii="Calibri" w:hAnsi="Calibri" w:eastAsia="Calibri" w:cs="Times New Roman"/>
          <w:b/>
          <w:kern w:val="0"/>
          <w:sz w:val="24"/>
          <w:szCs w:val="24"/>
          <w:lang w:val="en-US" w:eastAsia="zh-CN" w:bidi="ar"/>
        </w:rPr>
        <w:t>Worm/Shaft Combination</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The current design requires a separate Worm and Shaft to convert the rotary motion of the motor into lateral movement of the drive plate. The drawings for each part and the overall part created when they are connected is shown in Figures 5-7.</w:t>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drawing>
          <wp:inline distT="0" distB="0" distL="114300" distR="114300">
            <wp:extent cx="2798445" cy="1587500"/>
            <wp:effectExtent l="0" t="0" r="0" b="5715"/>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15"/>
                    <a:stretch>
                      <a:fillRect/>
                    </a:stretch>
                  </pic:blipFill>
                  <pic:spPr>
                    <a:xfrm>
                      <a:off x="0" y="0"/>
                      <a:ext cx="2798445" cy="1587500"/>
                    </a:xfrm>
                    <a:prstGeom prst="rect">
                      <a:avLst/>
                    </a:prstGeom>
                    <a:noFill/>
                    <a:ln>
                      <a:noFill/>
                    </a:ln>
                  </pic:spPr>
                </pic:pic>
              </a:graphicData>
            </a:graphic>
          </wp:inline>
        </w:drawing>
      </w:r>
      <w:r>
        <w:rPr>
          <w:rFonts w:hint="eastAsia" w:ascii="Calibri" w:hAnsi="Calibri" w:eastAsia="Calibri" w:cs="Times New Roman"/>
          <w:kern w:val="0"/>
          <w:sz w:val="24"/>
          <w:szCs w:val="24"/>
          <w:lang w:val="en-US" w:eastAsia="zh-CN" w:bidi="ar"/>
        </w:rPr>
        <w:t xml:space="preserve"> </w:t>
      </w:r>
      <w:r>
        <w:rPr>
          <w:rFonts w:hint="eastAsia" w:ascii="Calibri" w:hAnsi="Calibri" w:eastAsia="Calibri" w:cs="Times New Roman"/>
          <w:kern w:val="0"/>
          <w:sz w:val="24"/>
          <w:szCs w:val="24"/>
          <w:lang w:val="en-US" w:eastAsia="zh-CN" w:bidi="ar"/>
        </w:rPr>
        <w:drawing>
          <wp:inline distT="0" distB="0" distL="114300" distR="114300">
            <wp:extent cx="3111500" cy="1595755"/>
            <wp:effectExtent l="0" t="0" r="635" b="5715"/>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pic:cNvPicPr>
                      <a:picLocks noChangeAspect="1"/>
                    </pic:cNvPicPr>
                  </pic:nvPicPr>
                  <pic:blipFill>
                    <a:blip r:embed="rId16"/>
                    <a:stretch>
                      <a:fillRect/>
                    </a:stretch>
                  </pic:blipFill>
                  <pic:spPr>
                    <a:xfrm>
                      <a:off x="0" y="0"/>
                      <a:ext cx="3111500" cy="1595755"/>
                    </a:xfrm>
                    <a:prstGeom prst="rect">
                      <a:avLst/>
                    </a:prstGeom>
                    <a:noFill/>
                    <a:ln>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Figure 5 &amp; 6: Drawings of the Shaft and Worm piece parts</w:t>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 </w:t>
      </w:r>
      <w:r>
        <w:rPr>
          <w:rFonts w:hint="eastAsia" w:ascii="Calibri" w:hAnsi="Calibri" w:eastAsia="Calibri" w:cs="Times New Roman"/>
          <w:kern w:val="0"/>
          <w:sz w:val="24"/>
          <w:szCs w:val="24"/>
          <w:lang w:val="en-US" w:eastAsia="zh-CN" w:bidi="ar"/>
        </w:rPr>
        <w:drawing>
          <wp:inline distT="0" distB="0" distL="114300" distR="114300">
            <wp:extent cx="5892800" cy="1778000"/>
            <wp:effectExtent l="0" t="0" r="1270" b="5080"/>
            <wp:docPr id="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8"/>
                    <pic:cNvPicPr>
                      <a:picLocks noChangeAspect="1"/>
                    </pic:cNvPicPr>
                  </pic:nvPicPr>
                  <pic:blipFill>
                    <a:blip r:embed="rId17"/>
                    <a:stretch>
                      <a:fillRect/>
                    </a:stretch>
                  </pic:blipFill>
                  <pic:spPr>
                    <a:xfrm>
                      <a:off x="0" y="0"/>
                      <a:ext cx="5892800" cy="1778000"/>
                    </a:xfrm>
                    <a:prstGeom prst="rect">
                      <a:avLst/>
                    </a:prstGeom>
                    <a:noFill/>
                    <a:ln>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Figure 7: Drawing of the Shaft and Worm assembled</w:t>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This method requires two separate material purchases as both parts have different largest diameters. The change transitions from 3mm-5mm-2mm, with the 5mm diameter only existing to join the two parts.</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By eliminating the 5mm diameter (as shown in Figure 8), the entire length can be incorporated into one part, all manufactured from a single 3mm diameter rod. This rod could then be machined down to a 2mm radius for 25mm and threaded for 20mm. This will decrease costs for raw materials and machining to reduce the diameter from 5mm to 2mm as well as removing the requirement to drill out the worm. </w:t>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drawing>
          <wp:inline distT="0" distB="0" distL="114300" distR="114300">
            <wp:extent cx="5812155" cy="1790700"/>
            <wp:effectExtent l="0" t="0" r="7620" b="635"/>
            <wp:docPr id="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5"/>
                    <pic:cNvPicPr>
                      <a:picLocks noChangeAspect="1"/>
                    </pic:cNvPicPr>
                  </pic:nvPicPr>
                  <pic:blipFill>
                    <a:blip r:embed="rId18"/>
                    <a:stretch>
                      <a:fillRect/>
                    </a:stretch>
                  </pic:blipFill>
                  <pic:spPr>
                    <a:xfrm>
                      <a:off x="0" y="0"/>
                      <a:ext cx="5812155" cy="1790700"/>
                    </a:xfrm>
                    <a:prstGeom prst="rect">
                      <a:avLst/>
                    </a:prstGeom>
                    <a:noFill/>
                    <a:ln>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Figure 8: Drawing of the new design Worm/Shaft Hybrid</w:t>
      </w:r>
    </w:p>
    <w:p>
      <w:pPr>
        <w:spacing w:line="256" w:lineRule="auto"/>
        <w:rPr>
          <w:rFonts w:hint="eastAsia" w:ascii="Calibri" w:hAnsi="Calibri" w:eastAsia="Calibri" w:cs="Times New Roman"/>
          <w:sz w:val="24"/>
          <w:szCs w:val="24"/>
          <w:lang w:val="en-US" w:eastAsia="en-US" w:bidi="ar"/>
        </w:rPr>
        <w:sectPr>
          <w:pgSz w:w="11906" w:h="16838"/>
          <w:pgMar w:top="720" w:right="720" w:bottom="720" w:left="720" w:header="708" w:footer="708" w:gutter="0"/>
          <w:cols w:space="720" w:num="1"/>
          <w:docGrid w:linePitch="360" w:charSpace="0"/>
        </w:sectPr>
      </w:pPr>
    </w:p>
    <w:p>
      <w:pPr>
        <w:pStyle w:val="4"/>
        <w:widowControl/>
        <w:rPr>
          <w:b/>
          <w:lang w:val="en-US"/>
        </w:rPr>
      </w:pPr>
      <w:bookmarkStart w:id="6" w:name="_Toc75192507"/>
      <w:r>
        <w:rPr>
          <w:b/>
          <w:lang w:val="en-US"/>
        </w:rPr>
        <w:t>4.1.2 Design for Fabrication</w:t>
      </w:r>
      <w:bookmarkEnd w:id="6"/>
    </w:p>
    <w:p>
      <w:pPr>
        <w:pStyle w:val="15"/>
        <w:widowControl/>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Table 8 shows the design changes required to enable each of the piece parts of the assembly to be manufactured correctly in line with the process selected.</w:t>
      </w:r>
    </w:p>
    <w:p>
      <w:pPr>
        <w:pStyle w:val="5"/>
        <w:widowControl/>
        <w:ind w:left="0"/>
        <w:contextualSpacing/>
        <w:rPr>
          <w:sz w:val="24"/>
          <w:szCs w:val="24"/>
          <w:lang w:val="en-US"/>
        </w:rPr>
      </w:pPr>
    </w:p>
    <w:p>
      <w:pPr>
        <w:pStyle w:val="5"/>
        <w:widowControl/>
        <w:ind w:left="0"/>
        <w:contextualSpacing/>
        <w:rPr>
          <w:sz w:val="24"/>
          <w:szCs w:val="24"/>
          <w:lang w:val="en-US"/>
        </w:rPr>
      </w:pPr>
      <w:r>
        <w:rPr>
          <w:sz w:val="24"/>
          <w:szCs w:val="24"/>
          <w:lang w:val="en-US"/>
        </w:rPr>
        <w:drawing>
          <wp:inline distT="0" distB="0" distL="114300" distR="114300">
            <wp:extent cx="9774555" cy="3535045"/>
            <wp:effectExtent l="0" t="0" r="7620" b="6350"/>
            <wp:docPr id="17"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48"/>
                    <pic:cNvPicPr>
                      <a:picLocks noChangeAspect="1"/>
                    </pic:cNvPicPr>
                  </pic:nvPicPr>
                  <pic:blipFill>
                    <a:blip r:embed="rId19"/>
                    <a:stretch>
                      <a:fillRect/>
                    </a:stretch>
                  </pic:blipFill>
                  <pic:spPr>
                    <a:xfrm>
                      <a:off x="0" y="0"/>
                      <a:ext cx="9774555" cy="3535045"/>
                    </a:xfrm>
                    <a:prstGeom prst="rect">
                      <a:avLst/>
                    </a:prstGeom>
                    <a:noFill/>
                    <a:ln>
                      <a:noFill/>
                    </a:ln>
                  </pic:spPr>
                </pic:pic>
              </a:graphicData>
            </a:graphic>
          </wp:inline>
        </w:drawing>
      </w:r>
    </w:p>
    <w:p>
      <w:pPr>
        <w:pStyle w:val="5"/>
        <w:widowControl/>
        <w:ind w:left="0"/>
        <w:contextualSpacing/>
        <w:rPr>
          <w:sz w:val="24"/>
          <w:szCs w:val="24"/>
          <w:lang w:val="en-US"/>
        </w:rPr>
      </w:pPr>
    </w:p>
    <w:p>
      <w:pPr>
        <w:pStyle w:val="5"/>
        <w:widowControl/>
        <w:ind w:left="0"/>
        <w:contextualSpacing/>
        <w:rPr>
          <w:sz w:val="24"/>
          <w:szCs w:val="24"/>
          <w:lang w:val="en-US"/>
        </w:rPr>
      </w:pPr>
      <w:r>
        <w:rPr>
          <w:sz w:val="24"/>
          <w:szCs w:val="24"/>
          <w:lang w:val="en-US"/>
        </w:rPr>
        <w:t xml:space="preserve">Table 8: Transition from original design concept to redesign for specified manufacturing processes (motor emitted – purchased part)  </w:t>
      </w:r>
      <w:r>
        <w:rPr>
          <w:sz w:val="24"/>
          <w:szCs w:val="24"/>
          <w:lang w:val="en-US"/>
        </w:rPr>
        <w:fldChar w:fldCharType="begin" w:fldLock="1"/>
      </w:r>
      <w:r>
        <w:rPr>
          <w:sz w:val="24"/>
          <w:szCs w:val="24"/>
          <w:lang w:val="en-US"/>
        </w:rPr>
        <w:instrText xml:space="preserve">ADDIN CSL_CITATION {"citationItems":[{"id":"ITEM-1","itemData":{"ISBN":"9788578110796","ISSN":"1098-6596","PMID":"25246403","abstract":"Predicting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metric, the success rate (RMSD ≤ 2.0 Å for the interface backbone atoms) increased from 21% with default Glide SP settings to 58% with the enhanced peptide sampling and scoring protocol in the case of redocking to the native protein structure. This approaches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approach.","author":[{"dropping-particle":"","family":"Black","given":"J T.","non-dropping-particle":"","parse-names":false,"suffix":""},{"dropping-particle":"","family":"Kohser","given":"Ronald A.","non-dropping-particle":"","parse-names":false,"suffix":""}],"container-title":"Journal of Chemical Information and Modeling","id":"ITEM-1","issue":"9","issued":{"date-parts":[["2012"]]},"number-of-pages":"1689-1699","title":"DeGarmo’s MATERIALS AND PROCESSES IN MANUFACTURING ELEVENTH EDITION","type":"book","volume":"53"},"uris":["http://www.mendeley.com/documents/?uuid=d4bd7d65-113e-45a5-abc3-55a4bc5916ca"]},{"id":"ITEM-2","itemData":{"DOI":"10.1007/978-981-10-6591-0_4","ISBN":"9780080993607","author":[{"dropping-particle":"","family":"Swift","given":"K.G.","non-dropping-particle":"","parse-names":false,"suffix":""},{"dropping-particle":"","family":"Booker","given":"J.D.","non-dropping-particle":"","parse-names":false,"suffix":""}],"id":"ITEM-2","issued":{"date-parts":[["2018"]]},"number-of-pages":"45-58","title":"Manufacturing Process Selection","type":"book"},"uris":["http://www.mendeley.com/documents/?uuid=5b5d5663-a7e5-4d10-a426-689734f66819"]}],"mendeley":{"formattedCitation":"(Black and Kohser, 2012; Swift and Booker, 2018)","plainTextFormattedCitation":"(Black and Kohser, 2012; Swift and Booker, 2018)","previouslyFormattedCitation":"(Black and Kohser, 2012; Swift and Booker, 2018)"},"properties":{"noteIndex":0},"schema":"https://github.com/citation-style-language/schema/raw/master/csl-citation.json"}</w:instrText>
      </w:r>
      <w:r>
        <w:rPr>
          <w:sz w:val="24"/>
          <w:szCs w:val="24"/>
          <w:lang w:val="en-US"/>
        </w:rPr>
        <w:fldChar w:fldCharType="separate"/>
      </w:r>
      <w:r>
        <w:rPr>
          <w:sz w:val="24"/>
          <w:szCs w:val="24"/>
          <w:lang w:val="en-US"/>
        </w:rPr>
        <w:t>(Black and Kohser, 2012; Swift and Booker, 2018)</w:t>
      </w:r>
      <w:r>
        <w:rPr>
          <w:sz w:val="24"/>
          <w:szCs w:val="24"/>
          <w:lang w:val="en-US"/>
        </w:rPr>
        <w:fldChar w:fldCharType="end"/>
      </w:r>
    </w:p>
    <w:p>
      <w:pPr>
        <w:spacing w:line="256" w:lineRule="auto"/>
        <w:rPr>
          <w:rFonts w:hint="eastAsia" w:ascii="Calibri" w:hAnsi="Calibri" w:eastAsia="Calibri" w:cs="Times New Roman"/>
          <w:sz w:val="24"/>
          <w:szCs w:val="24"/>
          <w:lang w:val="en-US" w:eastAsia="en-US" w:bidi="ar"/>
        </w:rPr>
        <w:sectPr>
          <w:pgSz w:w="16838" w:h="11906" w:orient="landscape"/>
          <w:pgMar w:top="720" w:right="720" w:bottom="720" w:left="720" w:header="709" w:footer="709" w:gutter="0"/>
          <w:cols w:space="720" w:num="1"/>
          <w:docGrid w:linePitch="360" w:charSpace="0"/>
        </w:sectPr>
      </w:pPr>
    </w:p>
    <w:p>
      <w:pPr>
        <w:pStyle w:val="5"/>
        <w:widowControl/>
        <w:ind w:left="0"/>
        <w:contextualSpacing/>
        <w:rPr>
          <w:sz w:val="24"/>
          <w:szCs w:val="24"/>
          <w:lang w:val="en-US"/>
        </w:rPr>
      </w:pPr>
    </w:p>
    <w:p>
      <w:pPr>
        <w:pStyle w:val="4"/>
        <w:widowControl/>
        <w:rPr>
          <w:b/>
          <w:lang w:val="en-US"/>
        </w:rPr>
      </w:pPr>
      <w:bookmarkStart w:id="7" w:name="_Toc75192508"/>
      <w:r>
        <w:rPr>
          <w:b/>
          <w:lang w:val="en-US"/>
        </w:rPr>
        <w:t>4.1.3 Use of Standard Components &amp; Tolerancing</w:t>
      </w:r>
      <w:bookmarkEnd w:id="7"/>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The current concept design has no fixing features to join each of the parts to each other. As such, it is not possible to assemble the product. To provide a method of assembly, Table 9 shows the standard fasteners available and the associated design change to tolerance features as stipulated.</w:t>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drawing>
          <wp:inline distT="0" distB="0" distL="114300" distR="114300">
            <wp:extent cx="6646545" cy="698500"/>
            <wp:effectExtent l="0" t="0" r="6985" b="3175"/>
            <wp:docPr id="8"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49"/>
                    <pic:cNvPicPr>
                      <a:picLocks noChangeAspect="1"/>
                    </pic:cNvPicPr>
                  </pic:nvPicPr>
                  <pic:blipFill>
                    <a:blip r:embed="rId20"/>
                    <a:stretch>
                      <a:fillRect/>
                    </a:stretch>
                  </pic:blipFill>
                  <pic:spPr>
                    <a:xfrm>
                      <a:off x="0" y="0"/>
                      <a:ext cx="6646545" cy="698500"/>
                    </a:xfrm>
                    <a:prstGeom prst="rect">
                      <a:avLst/>
                    </a:prstGeom>
                    <a:noFill/>
                    <a:ln>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Table 9: Fasteners for assembly purposes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{"citationItems":[{"id":"ITEM-1","itemData":{"URL":"https://www.essentracomponents.com/en-us/p/vibration-grommet-screws/vgs-4","accessed":{"date-parts":[["2021","6","20"]]},"author":[{"dropping-particle":"","family":"Essentra Components US","given":"","non-dropping-particle":"","parse-names":false,"suffix":""}],"id":"ITEM-1","issued":{"date-parts":[["2021"]]},"title":"Buy Shoulder Screw | VGS-4","type":"webpage"},"uris":["http://www.mendeley.com/documents/?uuid=5a3cdd27-89ae-32c8-82e4-2655790d2b4c"]},{"id":"ITEM-2","itemData":{"URL":"https://www.essentracomponents.com/en-gb/p/push-in-rivets-snap-lock-pins/slp100-307-01","accessed":{"date-parts":[["2021","6","20"]]},"author":[{"dropping-particle":"","family":"Essentra Components UK","given":"","non-dropping-particle":"","parse-names":false,"suffix":""}],"id":"ITEM-2","issued":{"date-parts":[["2021"]]},"title":"Buy Push-In Rivet | SLP100-307-01","type":"webpage"},"uris":["http://www.mendeley.com/documents/?uuid=b493b06e-b546-3313-ac4b-2bc3fa48a759"]},{"id":"ITEM-3","itemData":{"URL":"https://www.wdscomponents.com/en-gb/detent-pins-316-stainless-steel-metric-wds-957/c-611/p-1822","accessed":{"date-parts":[["2021","6","20"]]},"author":[{"dropping-particle":"","family":"WDS Components","given":"","non-dropping-particle":"","parse-names":false,"suffix":""}],"id":"ITEM-3","issued":{"date-parts":[["2021"]]},"title":"Stainless Steel Detent Pins (WDS 957) | Metric Detent Pins","type":"webpage"},"uris":["http://www.mendeley.com/documents/?uuid=4c7352bf-8df0-31c7-a919-66bcd444e59e"]},{"id":"ITEM-4","itemData":{"DOI":"10.1115/1.802612.ch6","abstract":"ANSI","author":[{"dropping-particle":"","family":"Kverneland","given":"Knut O.","non-dropping-particle":"","parse-names":false,"suffix":""}],"container-title":"Metric Standards for Worldwide Manufacturing, 2007 Edition","id":"ITEM-4","issued":{"date-parts":[["2010"]]},"page":"90-128","title":"The ISO System of Limits and Fits — Tolerances and Deviations","type":"article-journal"},"uris":["http://www.mendeley.com/documents/?uuid=295626e3-31aa-484e-b605-ecc229857742"]}],"mendeley":{"formattedCitation":"(Kverneland, 2010; Essentra Components UK, 2021; Essentra Components US, 2021; WDS Components, 2021)","plainTextFormattedCitation":"(Kverneland, 2010; Essentra Components UK, 2021; Essentra Components US, 2021; WDS Components, 2021)","previouslyFormattedCitation":"(Kverneland, 2010; &lt;i&gt;Stainless Steel Detent Pins (WDS 957) | Metric Detent Pins | WDS&lt;/i&gt;, 2021; Essentra Components UK, 2021; Essentra Components US, 2021)"},"properties":{"noteIndex":0},"schema":"https://github.com/citation-style-language/schema/raw/master/csl-citation.json"}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(Kverneland, 2010; Essentra Components UK, 2021; Essentra Components US, 2021; WDS Components, 2021)</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By using standard components, there is no requirement for expensive design and manufacture of products by the company.</w:t>
      </w:r>
    </w:p>
    <w:p>
      <w:pPr>
        <w:keepNext w:val="0"/>
        <w:keepLines w:val="0"/>
        <w:widowControl/>
        <w:suppressLineNumbers w:val="0"/>
        <w:spacing w:before="0" w:beforeAutospacing="0" w:after="160" w:afterAutospacing="0" w:line="256" w:lineRule="auto"/>
        <w:ind w:left="0" w:right="0"/>
        <w:jc w:val="left"/>
        <w:rPr>
          <w:sz w:val="24"/>
          <w:szCs w:val="24"/>
          <w:lang w:val="en-US"/>
        </w:rPr>
      </w:pPr>
    </w:p>
    <w:p>
      <w:pPr>
        <w:pStyle w:val="4"/>
        <w:widowControl/>
        <w:rPr>
          <w:b/>
          <w:lang w:val="en-US"/>
        </w:rPr>
      </w:pPr>
      <w:bookmarkStart w:id="8" w:name="_Toc75192509"/>
      <w:r>
        <w:rPr>
          <w:b/>
          <w:lang w:val="en-US"/>
        </w:rPr>
        <w:t>4.1.4 Design for Assembly Efficiency</w:t>
      </w:r>
      <w:bookmarkEnd w:id="8"/>
    </w:p>
    <w:p>
      <w:pPr>
        <w:keepNext w:val="0"/>
        <w:keepLines w:val="0"/>
        <w:widowControl/>
        <w:suppressLineNumbers w:val="0"/>
        <w:spacing w:before="0" w:beforeAutospacing="0" w:after="160" w:afterAutospacing="0" w:line="256" w:lineRule="auto"/>
        <w:ind w:left="0" w:right="0"/>
        <w:jc w:val="left"/>
        <w:rPr>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Table 10 breaks the assembly down into its constituent parts and identifies whether the parts are essential or not based on the Lucas method of assessment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{"citationItems":[{"id":"ITEM-1","itemData":{"DOI":"10.1007/s10846-017-0505-x","ISSN":"15730409","abstract":"With growing demand for flexibility in manufacturing processes, interest in dexterous industrial robots is increasing. To facilitate benchmarking, and to assess the suitability of these robots for flexible manufacturing tasks, there is a need to develop new methods of capturing the relevant performance characteristics of industrial robots. This research aims to show that the Boothroyd-Dewhurst (B-D) Design-For-Assembly method, an established method for optimizing manufacturing processes, can be effectively adopted to form the basis of a comprehensive robotic dexterity assessment within flexible manufacturing. A comparative study is conducted which shows that the B-D classification tables offer the most comprehensive solution due to the range of operations and artifacts considered. Building on these tables, a framework is developed for determining the suitability of a robot system within flexible manufacturing operations. In a sample test-case scenario involving a pick-and-place operation, the framework is shown to produce an accurate estimate of robot performance that can be easily compared to human data. The framework establishes a link between manufacturing operations and robot performance metrics, which addresses the current difficulty in robot integration and highlights the framework’s potential for adoption within flexible manufacturing.","author":[{"dropping-particle":"","family":"Culleton","given":"Mark","non-dropping-particle":"","parse-names":false,"suffix":""},{"dropping-particle":"","family":"McGinn","given":"Conor","non-dropping-particle":"","parse-names":false,"suffix":""},{"dropping-particle":"","family":"Kelly","given":"Kevin","non-dropping-particle":"","parse-names":false,"suffix":""}],"container-title":"Journal of Intelligent and Robotic Systems: Theory and Applications","id":"ITEM-1","issue":"3-4","issued":{"date-parts":[["2017"]]},"page":"507-529","publisher":"Journal of Intelligent &amp; Robotic Systems","title":"Framework for Assessing Robotic Dexterity within Flexible Manufacturing","type":"article-journal","volume":"87"},"uris":["http://www.mendeley.com/documents/?uuid=805d0615-450f-48ff-b9d4-041636de250d"]}],"mendeley":{"formattedCitation":"(Culleton, McGinn and Kelly, 2017)","plainTextFormattedCitation":"(Culleton, McGinn and Kelly, 2017)","previouslyFormattedCitation":"(Culleton, McGinn and Kelly, 2017)"},"properties":{"noteIndex":0},"schema":"https://github.com/citation-style-language/schema/raw/master/csl-citation.json"}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(Culleton, McGinn and Kelly, 2017)</w:t>
      </w:r>
      <w:r>
        <w:rPr>
          <w:rFonts w:hint="eastAsia" w:ascii="Calibri" w:hAnsi="Calibri" w:eastAsia="Calibri" w:cs="Times New Roman"/>
          <w:kern w:val="0"/>
          <w:sz w:val="24"/>
          <w:szCs w:val="24"/>
          <w:lang w:val="en-US" w:eastAsia="zh-CN" w:bidi="ar"/>
        </w:rPr>
        <w:fldChar w:fldCharType="end"/>
      </w:r>
      <w:r>
        <w:rPr>
          <w:rFonts w:hint="eastAsia" w:ascii="Calibri" w:hAnsi="Calibri" w:eastAsia="Calibri" w:cs="Times New Roman"/>
          <w:kern w:val="0"/>
          <w:sz w:val="24"/>
          <w:szCs w:val="24"/>
          <w:lang w:val="en-US" w:eastAsia="zh-CN" w:bidi="ar"/>
        </w:rPr>
        <w:t>. This method provides an overall efficiency score for the assembly process. The design under consideration achieved an efficiency score of 36%. By removing the Worm and Shaft as separate items and replacing them with the Worm/Shaft Hybrid, the score improved to 37.5%.</w:t>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center"/>
        <w:rPr>
          <w:sz w:val="24"/>
          <w:szCs w:val="24"/>
          <w:lang w:val="en-US"/>
        </w:rPr>
      </w:pPr>
      <w:r>
        <w:rPr>
          <w:rFonts w:hint="eastAsia" w:ascii="Calibri" w:hAnsi="Calibri" w:eastAsia="Calibri" w:cs="Times New Roman"/>
          <w:kern w:val="0"/>
          <w:sz w:val="24"/>
          <w:szCs w:val="24"/>
          <w:lang w:val="en-US" w:eastAsia="zh-CN" w:bidi="ar"/>
        </w:rPr>
        <w:drawing>
          <wp:inline distT="0" distB="0" distL="114300" distR="114300">
            <wp:extent cx="3403600" cy="4656455"/>
            <wp:effectExtent l="0" t="0" r="5715" b="635"/>
            <wp:docPr id="2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51"/>
                    <pic:cNvPicPr>
                      <a:picLocks noChangeAspect="1"/>
                    </pic:cNvPicPr>
                  </pic:nvPicPr>
                  <pic:blipFill>
                    <a:blip r:embed="rId21"/>
                    <a:stretch>
                      <a:fillRect/>
                    </a:stretch>
                  </pic:blipFill>
                  <pic:spPr>
                    <a:xfrm>
                      <a:off x="0" y="0"/>
                      <a:ext cx="3403600" cy="4656455"/>
                    </a:xfrm>
                    <a:prstGeom prst="rect">
                      <a:avLst/>
                    </a:prstGeom>
                    <a:noFill/>
                    <a:ln>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 xml:space="preserve">Table 10: Design efficiency rating based on Boothroyd and Dewhurst and Lucas methodologies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{"citationItems":[{"id":"ITEM-1","itemData":{"DOI":"10.1007/s10846-017-0505-x","ISSN":"15730409","abstract":"With growing demand for flexibility in manufacturing processes, interest in dexterous industrial robots is increasing. To facilitate benchmarking, and to assess the suitability of these robots for flexible manufacturing tasks, there is a need to develop new methods of capturing the relevant performance characteristics of industrial robots. This research aims to show that the Boothroyd-Dewhurst (B-D) Design-For-Assembly method, an established method for optimizing manufacturing processes, can be effectively adopted to form the basis of a comprehensive robotic dexterity assessment within flexible manufacturing. A comparative study is conducted which shows that the B-D classification tables offer the most comprehensive solution due to the range of operations and artifacts considered. Building on these tables, a framework is developed for determining the suitability of a robot system within flexible manufacturing operations. In a sample test-case scenario involving a pick-and-place operation, the framework is shown to produce an accurate estimate of robot performance that can be easily compared to human data. The framework establishes a link between manufacturing operations and robot performance metrics, which addresses the current difficulty in robot integration and highlights the framework’s potential for adoption within flexible manufacturing.","author":[{"dropping-particle":"","family":"Culleton","given":"Mark","non-dropping-particle":"","parse-names":false,"suffix":""},{"dropping-particle":"","family":"McGinn","given":"Conor","non-dropping-particle":"","parse-names":false,"suffix":""},{"dropping-particle":"","family":"Kelly","given":"Kevin","non-dropping-particle":"","parse-names":false,"suffix":""}],"container-title":"Journal of Intelligent and Robotic Systems: Theory and Applications","id":"ITEM-1","issue":"3-4","issued":{"date-parts":[["2017"]]},"page":"507-529","publisher":"Journal of Intelligent &amp; Robotic Systems","title":"Framework for Assessing Robotic Dexterity within Flexible Manufacturing","type":"article-journal","volume":"87"},"uris":["http://www.mendeley.com/documents/?uuid=805d0615-450f-48ff-b9d4-041636de250d"]}],"mendeley":{"formattedCitation":"(Culleton, McGinn and Kelly, 2017)","plainTextFormattedCitation":"(Culleton, McGinn and Kelly, 2017)","previouslyFormattedCitation":"(Culleton, McGinn and Kelly, 2017)"},"properties":{"noteIndex":0},"schema":"https://github.com/citation-style-language/schema/raw/master/csl-citation.json"}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(Culleton, McGinn and Kelly, 2017)</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left"/>
        <w:rPr>
          <w:sz w:val="24"/>
          <w:szCs w:val="24"/>
          <w:lang w:val="en-US"/>
        </w:rPr>
      </w:pPr>
    </w:p>
    <w:p>
      <w:pPr>
        <w:pStyle w:val="3"/>
        <w:widowControl/>
        <w:numPr>
          <w:ilvl w:val="1"/>
          <w:numId w:val="15"/>
        </w:numPr>
        <w:ind w:left="426" w:hanging="360"/>
        <w:rPr>
          <w:b/>
          <w:lang w:val="en-US"/>
        </w:rPr>
      </w:pPr>
      <w:bookmarkStart w:id="9" w:name="_Toc75192510"/>
      <w:r>
        <w:rPr>
          <w:b/>
          <w:lang w:val="en-US"/>
        </w:rPr>
        <w:t>FMEA</w:t>
      </w:r>
      <w:bookmarkEnd w:id="9"/>
    </w:p>
    <w:p>
      <w:pPr>
        <w:pStyle w:val="5"/>
        <w:widowControl/>
        <w:ind w:left="747"/>
        <w:contextualSpacing/>
        <w:rPr>
          <w:lang w:val="en-US"/>
        </w:rPr>
      </w:pPr>
    </w:p>
    <w:p>
      <w:pPr>
        <w:pStyle w:val="5"/>
        <w:widowControl/>
        <w:ind w:left="0"/>
        <w:contextualSpacing/>
        <w:jc w:val="both"/>
        <w:rPr>
          <w:sz w:val="24"/>
          <w:szCs w:val="24"/>
          <w:lang w:val="en-US"/>
        </w:rPr>
      </w:pPr>
      <w:r>
        <w:rPr>
          <w:sz w:val="24"/>
          <w:szCs w:val="24"/>
          <w:lang w:val="en-US"/>
        </w:rPr>
        <w:t>As part of the design process, it is important to pre-empt and design out any likely causes of failure within the product. This will help to prevent potential defects caused by design from becoming evident post manufacture. This is completed using an FMEA. The FMEA for the 3-Jaw Gripper design is shown in Table 11.</w:t>
      </w:r>
    </w:p>
    <w:p>
      <w:pPr>
        <w:pStyle w:val="5"/>
        <w:widowControl/>
        <w:ind w:left="0"/>
        <w:contextualSpacing/>
        <w:jc w:val="both"/>
        <w:rPr>
          <w:sz w:val="24"/>
          <w:szCs w:val="24"/>
          <w:lang w:val="en-US"/>
        </w:rPr>
      </w:pPr>
    </w:p>
    <w:p>
      <w:pPr>
        <w:pStyle w:val="5"/>
        <w:widowControl/>
        <w:ind w:left="0"/>
        <w:contextualSpacing/>
        <w:jc w:val="both"/>
        <w:rPr>
          <w:sz w:val="24"/>
          <w:szCs w:val="24"/>
          <w:lang w:val="en-US"/>
        </w:rPr>
      </w:pPr>
      <w:r>
        <w:rPr>
          <w:sz w:val="24"/>
          <w:szCs w:val="24"/>
          <w:lang w:val="en-US"/>
        </w:rPr>
        <w:drawing>
          <wp:inline distT="0" distB="0" distL="114300" distR="114300">
            <wp:extent cx="6642100" cy="8839200"/>
            <wp:effectExtent l="0" t="0" r="3175" b="1905"/>
            <wp:docPr id="2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7"/>
                    <pic:cNvPicPr>
                      <a:picLocks noChangeAspect="1"/>
                    </pic:cNvPicPr>
                  </pic:nvPicPr>
                  <pic:blipFill>
                    <a:blip r:embed="rId22"/>
                    <a:stretch>
                      <a:fillRect/>
                    </a:stretch>
                  </pic:blipFill>
                  <pic:spPr>
                    <a:xfrm>
                      <a:off x="0" y="0"/>
                      <a:ext cx="6642100" cy="8839200"/>
                    </a:xfrm>
                    <a:prstGeom prst="rect">
                      <a:avLst/>
                    </a:prstGeom>
                    <a:noFill/>
                    <a:ln>
                      <a:noFill/>
                    </a:ln>
                  </pic:spPr>
                </pic:pic>
              </a:graphicData>
            </a:graphic>
          </wp:inline>
        </w:drawing>
      </w:r>
    </w:p>
    <w:p>
      <w:pPr>
        <w:pStyle w:val="5"/>
        <w:widowControl/>
        <w:ind w:left="0"/>
        <w:contextualSpacing/>
        <w:rPr>
          <w:sz w:val="24"/>
          <w:szCs w:val="24"/>
          <w:lang w:val="en-US"/>
        </w:rPr>
      </w:pPr>
      <w:r>
        <w:rPr>
          <w:sz w:val="24"/>
          <w:szCs w:val="24"/>
          <w:lang w:val="en-US"/>
        </w:rPr>
        <w:t>Table 11: FMEA for concept design</w:t>
      </w:r>
    </w:p>
    <w:p>
      <w:pPr>
        <w:keepNext w:val="0"/>
        <w:keepLines w:val="0"/>
        <w:widowControl/>
        <w:suppressLineNumbers w:val="0"/>
        <w:spacing w:before="0" w:beforeAutospacing="0" w:after="160" w:afterAutospacing="0" w:line="256" w:lineRule="auto"/>
        <w:ind w:left="0" w:right="0"/>
        <w:jc w:val="left"/>
        <w:rPr>
          <w:sz w:val="24"/>
          <w:szCs w:val="24"/>
          <w:lang w:val="en-US"/>
        </w:rPr>
      </w:pPr>
    </w:p>
    <w:p>
      <w:pPr>
        <w:pStyle w:val="3"/>
        <w:widowControl/>
        <w:rPr>
          <w:b/>
          <w:lang w:val="en-US"/>
        </w:rPr>
      </w:pPr>
      <w:bookmarkStart w:id="10" w:name="_Toc75192511"/>
      <w:r>
        <w:rPr>
          <w:b/>
          <w:lang w:val="en-US"/>
        </w:rPr>
        <w:t>4.3 Shipping</w:t>
      </w:r>
      <w:bookmarkEnd w:id="10"/>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To prevent the moving parts of the arm activating and potentially damaging the product, a securing mechanism should be tied around the flats of the updated jaw design, as shown in Figure 9.</w:t>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2"/>
          <w:szCs w:val="22"/>
          <w:lang w:val="en-US" w:eastAsia="zh-CN" w:bidi="ar"/>
        </w:rPr>
        <mc:AlternateContent>
          <mc:Choice Requires="wps">
            <w:drawing>
              <wp:anchor distT="0" distB="0" distL="114300" distR="114300" simplePos="0" relativeHeight="254803968" behindDoc="0" locked="0" layoutInCell="1" allowOverlap="1">
                <wp:simplePos x="0" y="0"/>
                <wp:positionH relativeFrom="column">
                  <wp:posOffset>2600960</wp:posOffset>
                </wp:positionH>
                <wp:positionV relativeFrom="paragraph">
                  <wp:posOffset>1002665</wp:posOffset>
                </wp:positionV>
                <wp:extent cx="106045" cy="402590"/>
                <wp:effectExtent l="19050" t="19050" r="31750" b="48895"/>
                <wp:wrapNone/>
                <wp:docPr id="19" name="Rectangle 9"/>
                <wp:cNvGraphicFramePr/>
                <a:graphic xmlns:a="http://schemas.openxmlformats.org/drawingml/2006/main">
                  <a:graphicData uri="http://schemas.microsoft.com/office/word/2010/wordprocessingShape">
                    <wps:wsp>
                      <wps:cNvSpPr/>
                      <wps:spPr>
                        <a:xfrm flipH="1">
                          <a:off x="0" y="0"/>
                          <a:ext cx="106045" cy="402590"/>
                        </a:xfrm>
                        <a:prstGeom prst="rect">
                          <a:avLst/>
                        </a:prstGeom>
                        <a:solidFill>
                          <a:srgbClr val="ED7D31"/>
                        </a:solidFill>
                        <a:ln w="38100" cap="flat" cmpd="sng">
                          <a:solidFill>
                            <a:srgbClr val="F2F2F2"/>
                          </a:solidFill>
                          <a:prstDash val="solid"/>
                          <a:miter/>
                          <a:headEnd type="none" w="med" len="med"/>
                          <a:tailEnd type="none" w="med" len="med"/>
                        </a:ln>
                        <a:effectLst>
                          <a:outerShdw dist="28398" dir="3806096" algn="ctr" rotWithShape="0">
                            <a:srgbClr val="823B0B">
                              <a:alpha val="50000"/>
                            </a:srgbClr>
                          </a:outerShdw>
                        </a:effectLst>
                      </wps:spPr>
                      <wps:bodyPr upright="1"/>
                    </wps:wsp>
                  </a:graphicData>
                </a:graphic>
              </wp:anchor>
            </w:drawing>
          </mc:Choice>
          <mc:Fallback>
            <w:pict>
              <v:rect id="Rectangle 9" o:spid="_x0000_s1026" o:spt="1" style="position:absolute;left:0pt;flip:x;margin-left:204.8pt;margin-top:78.95pt;height:31.7pt;width:8.35pt;z-index:254803968;mso-width-relative:page;mso-height-relative:page;" fillcolor="#ED7D31" filled="t" stroked="t" coordsize="21600,21600" o:gfxdata="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EhCFF7ZAAAACwEAAA8AAAAAAAAAAQAgAAAAIgAAAGRycy9kb3du&#10;cmV2LnhtbFBLAQIUABQAAAAIAIdO4kA/t6tCNwIAAIUEAAAOAAAAAAAAAAEAIAAAACgBAABkcnMv&#10;ZTJvRG9jLnhtbFBLBQYAAAAABgAGAFkBAADRBQAAAAA=&#10;">
                <v:fill on="t" focussize="0,0"/>
                <v:stroke weight="3pt" color="#F2F2F2" joinstyle="miter"/>
                <v:imagedata o:title=""/>
                <o:lock v:ext="edit" aspectratio="f"/>
                <v:shadow on="t" color="#823B0B" opacity="32768f" offset="1pt,2pt" origin="0f,0f" matrix="65536f,0f,0f,65536f"/>
              </v:rect>
            </w:pict>
          </mc:Fallback>
        </mc:AlternateContent>
      </w:r>
      <w:r>
        <w:rPr>
          <w:rFonts w:hint="eastAsia" w:ascii="Calibri" w:hAnsi="Calibri" w:eastAsia="Calibri" w:cs="Times New Roman"/>
          <w:kern w:val="0"/>
          <w:sz w:val="24"/>
          <w:szCs w:val="24"/>
          <w:lang w:val="en-US" w:eastAsia="zh-CN" w:bidi="ar"/>
        </w:rPr>
        <w:drawing>
          <wp:inline distT="0" distB="0" distL="114300" distR="114300">
            <wp:extent cx="3001645" cy="1659255"/>
            <wp:effectExtent l="0" t="0" r="3175" b="0"/>
            <wp:docPr id="22"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53"/>
                    <pic:cNvPicPr>
                      <a:picLocks noChangeAspect="1"/>
                    </pic:cNvPicPr>
                  </pic:nvPicPr>
                  <pic:blipFill>
                    <a:blip r:embed="rId23"/>
                    <a:stretch>
                      <a:fillRect/>
                    </a:stretch>
                  </pic:blipFill>
                  <pic:spPr>
                    <a:xfrm>
                      <a:off x="0" y="0"/>
                      <a:ext cx="3001645" cy="1659255"/>
                    </a:xfrm>
                    <a:prstGeom prst="rect">
                      <a:avLst/>
                    </a:prstGeom>
                    <a:noFill/>
                    <a:ln>
                      <a:noFill/>
                    </a:ln>
                  </pic:spPr>
                </pic:pic>
              </a:graphicData>
            </a:graphic>
          </wp:inline>
        </w:drawing>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Figure 9: Tied Jaws preventing operation during shipping</w:t>
      </w:r>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Rubber bands are the best choice as they are quick to install, provide tension against any force and will not provide a degradation to the Jaws surface through in transit rubbing.</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The completed assembly should be shipped in a thin walled moulded pulp protective </w:t>
      </w:r>
      <w:r>
        <w:rPr>
          <w:rFonts w:hint="default" w:ascii="Calibri" w:hAnsi="Calibri" w:eastAsia="Calibri" w:cs="Times New Roman"/>
          <w:kern w:val="0"/>
          <w:sz w:val="24"/>
          <w:szCs w:val="24"/>
          <w:lang w:val="en-GB" w:eastAsia="zh-CN" w:bidi="ar"/>
        </w:rPr>
        <w:t xml:space="preserve">recyclable </w:t>
      </w:r>
      <w:r>
        <w:rPr>
          <w:rFonts w:hint="eastAsia" w:ascii="Calibri" w:hAnsi="Calibri" w:eastAsia="Calibri" w:cs="Times New Roman"/>
          <w:kern w:val="0"/>
          <w:sz w:val="24"/>
          <w:szCs w:val="24"/>
          <w:lang w:val="en-US" w:eastAsia="zh-CN" w:bidi="ar"/>
        </w:rPr>
        <w:t xml:space="preserve">casing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{"citationItems":[{"id":"ITEM-1","itemData":{"DOI":"10.1002/pts.658","ISSN":"08943214","abstract":"In this study, a structural factor approach is developed to allow a modular design method be used for the packaging design of thin-walled structures. Numerical simulations of the structural units are carried out to evaluate the influence of the structural factors under static loading, by using the commercial finite element code ABAQUS/Explicit. Empirical relations between the load-bearing capacity of structural units and structural factors are established based on numerical simulations. A database is then constructed that has the ability to provide valuable information for the loading performances of different structural units. Copyright © 2004 John Wiley &amp; Sons, Ltd.","author":[{"dropping-particle":"","family":"Ma","given":"X.","non-dropping-particle":"","parse-names":false,"suffix":""},{"dropping-particle":"","family":"Soh","given":"A. K.","non-dropping-particle":"","parse-names":false,"suffix":""},{"dropping-particle":"","family":"Wang","given":"B.","non-dropping-particle":"","parse-names":false,"suffix":""}],"container-title":"Packaging Technology and Science","id":"ITEM-1","issue":"4","issued":{"date-parts":[["2004"]]},"page":"193-204","title":"A design database for moulded pulp packaging structure","type":"article-journal","volume":"17"},"uris":["http://www.mendeley.com/documents/?uuid=de1a1d73-d38a-4594-8fcf-cccb7e78f6d3"]}],"mendeley":{"formattedCitation":"(Ma, Soh and Wang, 2004)","plainTextFormattedCitation":"(Ma, Soh and Wang, 2004)","previouslyFormattedCitation":"(Ma, Soh and Wang, 2004)"},"properties":{"noteIndex":0},"schema":"https://github.com/citation-style-language/schema/raw/master/csl-citation.json"}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(Ma, Soh and Wang, 2004)</w:t>
      </w:r>
      <w:r>
        <w:rPr>
          <w:rFonts w:hint="eastAsia" w:ascii="Calibri" w:hAnsi="Calibri" w:eastAsia="Calibri" w:cs="Times New Roman"/>
          <w:kern w:val="0"/>
          <w:sz w:val="24"/>
          <w:szCs w:val="24"/>
          <w:lang w:val="en-US" w:eastAsia="zh-CN" w:bidi="ar"/>
        </w:rPr>
        <w:fldChar w:fldCharType="end"/>
      </w:r>
      <w:r>
        <w:rPr>
          <w:rFonts w:hint="eastAsia" w:ascii="Calibri" w:hAnsi="Calibri" w:eastAsia="Calibri" w:cs="Times New Roman"/>
          <w:kern w:val="0"/>
          <w:sz w:val="24"/>
          <w:szCs w:val="24"/>
          <w:lang w:val="en-US" w:eastAsia="zh-CN" w:bidi="ar"/>
        </w:rPr>
        <w:t>. Although this approach would have an additional design phase for the mould, it would create recyclable shipping materials with a more professional look than using more standard shipping materials, such as bubble wrap. The moulded pulp would hold the assembly more closely and would be light weight, reducing shipping costs. The moulded pulp shape would then be placed inside a standard recyclable cardboard box for final shipping.</w:t>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sz w:val="24"/>
          <w:szCs w:val="24"/>
          <w:lang w:val="en-US" w:eastAsia="en-US" w:bidi="ar"/>
        </w:rPr>
        <w:br w:type="page"/>
      </w:r>
    </w:p>
    <w:p>
      <w:pPr>
        <w:pStyle w:val="2"/>
        <w:widowControl/>
        <w:numPr>
          <w:ilvl w:val="0"/>
          <w:numId w:val="1"/>
        </w:numPr>
        <w:ind w:left="426" w:hanging="426"/>
        <w:rPr>
          <w:b/>
          <w:lang w:val="en-US"/>
        </w:rPr>
      </w:pPr>
      <w:bookmarkStart w:id="11" w:name="_Toc75192512"/>
      <w:r>
        <w:rPr>
          <w:b/>
          <w:lang w:val="en-US"/>
        </w:rPr>
        <w:t>Manufacturing Process Design</w:t>
      </w:r>
      <w:bookmarkEnd w:id="11"/>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Table 12 demonstrates the steps required to take each individual component from the initial primary material to the parts that can be issued to the assembly line.</w:t>
      </w:r>
    </w:p>
    <w:tbl>
      <w:tblPr>
        <w:tblStyle w:val="13"/>
        <w:tblW w:w="1068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
      <w:tblGrid>
        <w:gridCol w:w="1430"/>
        <w:gridCol w:w="1654"/>
        <w:gridCol w:w="1985"/>
        <w:gridCol w:w="2409"/>
        <w:gridCol w:w="1702"/>
        <w:gridCol w:w="150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430" w:type="dxa"/>
            <w:tcBorders>
              <w:top w:val="single" w:color="auto" w:sz="4" w:space="0"/>
              <w:left w:val="single" w:color="auto" w:sz="4" w:space="0"/>
              <w:bottom w:val="single" w:color="auto" w:sz="4" w:space="0"/>
              <w:right w:val="single" w:color="auto" w:sz="4" w:space="0"/>
            </w:tcBorders>
            <w:shd w:val="clear" w:color="auto" w:fill="BFBFBF"/>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Part</w:t>
            </w:r>
          </w:p>
        </w:tc>
        <w:tc>
          <w:tcPr>
            <w:tcW w:w="1654" w:type="dxa"/>
            <w:tcBorders>
              <w:top w:val="single" w:color="auto" w:sz="4" w:space="0"/>
              <w:left w:val="single" w:color="auto" w:sz="4" w:space="0"/>
              <w:bottom w:val="single" w:color="auto" w:sz="4" w:space="0"/>
              <w:right w:val="single" w:color="auto" w:sz="4" w:space="0"/>
            </w:tcBorders>
            <w:shd w:val="clear" w:color="auto" w:fill="BFBFBF"/>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color w:val="auto"/>
                <w:kern w:val="0"/>
                <w:sz w:val="24"/>
                <w:szCs w:val="24"/>
                <w:lang w:val="en-US" w:eastAsia="zh-CN" w:bidi="ar"/>
              </w:rPr>
              <w:t>Material</w:t>
            </w:r>
          </w:p>
        </w:tc>
        <w:tc>
          <w:tcPr>
            <w:tcW w:w="1985" w:type="dxa"/>
            <w:tcBorders>
              <w:top w:val="single" w:color="auto" w:sz="4" w:space="0"/>
              <w:left w:val="single" w:color="auto" w:sz="4" w:space="0"/>
              <w:bottom w:val="single" w:color="auto" w:sz="4" w:space="0"/>
              <w:right w:val="single" w:color="auto" w:sz="4" w:space="0"/>
            </w:tcBorders>
            <w:shd w:val="clear" w:color="auto" w:fill="BFBFBF"/>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color w:val="auto"/>
                <w:kern w:val="0"/>
                <w:sz w:val="24"/>
                <w:szCs w:val="24"/>
                <w:lang w:val="en-US" w:eastAsia="zh-CN" w:bidi="ar"/>
              </w:rPr>
              <w:t>1</w:t>
            </w:r>
            <w:r>
              <w:rPr>
                <w:rFonts w:hint="eastAsia" w:ascii="Calibri" w:hAnsi="Calibri" w:eastAsia="Calibri" w:cs="Times New Roman"/>
                <w:color w:val="auto"/>
                <w:kern w:val="0"/>
                <w:sz w:val="24"/>
                <w:szCs w:val="24"/>
                <w:vertAlign w:val="superscript"/>
                <w:lang w:val="en-US" w:eastAsia="zh-CN" w:bidi="ar"/>
              </w:rPr>
              <w:t>st</w:t>
            </w:r>
            <w:r>
              <w:rPr>
                <w:rFonts w:hint="eastAsia" w:ascii="Calibri" w:hAnsi="Calibri" w:eastAsia="Calibri" w:cs="Times New Roman"/>
                <w:color w:val="auto"/>
                <w:kern w:val="0"/>
                <w:sz w:val="24"/>
                <w:szCs w:val="24"/>
                <w:lang w:val="en-US" w:eastAsia="zh-CN" w:bidi="ar"/>
              </w:rPr>
              <w:t xml:space="preserve"> Step</w:t>
            </w:r>
          </w:p>
        </w:tc>
        <w:tc>
          <w:tcPr>
            <w:tcW w:w="2409" w:type="dxa"/>
            <w:tcBorders>
              <w:top w:val="single" w:color="auto" w:sz="4" w:space="0"/>
              <w:left w:val="single" w:color="auto" w:sz="4" w:space="0"/>
              <w:bottom w:val="single" w:color="auto" w:sz="4" w:space="0"/>
              <w:right w:val="single" w:color="auto" w:sz="4" w:space="0"/>
            </w:tcBorders>
            <w:shd w:val="clear" w:color="auto" w:fill="BFBFBF"/>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color w:val="auto"/>
                <w:kern w:val="0"/>
                <w:sz w:val="24"/>
                <w:szCs w:val="24"/>
                <w:lang w:val="en-US" w:eastAsia="zh-CN" w:bidi="ar"/>
              </w:rPr>
              <w:t>2</w:t>
            </w:r>
            <w:r>
              <w:rPr>
                <w:rFonts w:hint="eastAsia" w:ascii="Calibri" w:hAnsi="Calibri" w:eastAsia="Calibri" w:cs="Times New Roman"/>
                <w:color w:val="auto"/>
                <w:kern w:val="0"/>
                <w:sz w:val="24"/>
                <w:szCs w:val="24"/>
                <w:vertAlign w:val="superscript"/>
                <w:lang w:val="en-US" w:eastAsia="zh-CN" w:bidi="ar"/>
              </w:rPr>
              <w:t>nd</w:t>
            </w:r>
            <w:r>
              <w:rPr>
                <w:rFonts w:hint="eastAsia" w:ascii="Calibri" w:hAnsi="Calibri" w:eastAsia="Calibri" w:cs="Times New Roman"/>
                <w:color w:val="auto"/>
                <w:kern w:val="0"/>
                <w:sz w:val="24"/>
                <w:szCs w:val="24"/>
                <w:lang w:val="en-US" w:eastAsia="zh-CN" w:bidi="ar"/>
              </w:rPr>
              <w:t xml:space="preserve"> Step</w:t>
            </w:r>
          </w:p>
        </w:tc>
        <w:tc>
          <w:tcPr>
            <w:tcW w:w="1702" w:type="dxa"/>
            <w:tcBorders>
              <w:top w:val="single" w:color="auto" w:sz="4" w:space="0"/>
              <w:left w:val="single" w:color="auto" w:sz="4" w:space="0"/>
              <w:bottom w:val="single" w:color="auto" w:sz="4" w:space="0"/>
              <w:right w:val="single" w:color="auto" w:sz="4" w:space="0"/>
            </w:tcBorders>
            <w:shd w:val="clear" w:color="auto" w:fill="BFBFBF"/>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color w:val="auto"/>
                <w:kern w:val="0"/>
                <w:sz w:val="24"/>
                <w:szCs w:val="24"/>
                <w:lang w:val="en-US" w:eastAsia="zh-CN" w:bidi="ar"/>
              </w:rPr>
              <w:t>3</w:t>
            </w:r>
            <w:r>
              <w:rPr>
                <w:rFonts w:hint="eastAsia" w:ascii="Calibri" w:hAnsi="Calibri" w:eastAsia="Calibri" w:cs="Times New Roman"/>
                <w:color w:val="auto"/>
                <w:kern w:val="0"/>
                <w:sz w:val="24"/>
                <w:szCs w:val="24"/>
                <w:vertAlign w:val="superscript"/>
                <w:lang w:val="en-US" w:eastAsia="zh-CN" w:bidi="ar"/>
              </w:rPr>
              <w:t>rd</w:t>
            </w:r>
            <w:r>
              <w:rPr>
                <w:rFonts w:hint="eastAsia" w:ascii="Calibri" w:hAnsi="Calibri" w:eastAsia="Calibri" w:cs="Times New Roman"/>
                <w:color w:val="auto"/>
                <w:kern w:val="0"/>
                <w:sz w:val="24"/>
                <w:szCs w:val="24"/>
                <w:lang w:val="en-US" w:eastAsia="zh-CN" w:bidi="ar"/>
              </w:rPr>
              <w:t xml:space="preserve"> Step</w:t>
            </w:r>
          </w:p>
        </w:tc>
        <w:tc>
          <w:tcPr>
            <w:tcW w:w="1502" w:type="dxa"/>
            <w:tcBorders>
              <w:top w:val="single" w:color="auto" w:sz="4" w:space="0"/>
              <w:left w:val="single" w:color="auto" w:sz="4" w:space="0"/>
              <w:bottom w:val="single" w:color="auto" w:sz="4" w:space="0"/>
              <w:right w:val="single" w:color="auto" w:sz="4" w:space="0"/>
            </w:tcBorders>
            <w:shd w:val="clear" w:color="auto" w:fill="BFBFBF"/>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color w:val="auto"/>
                <w:kern w:val="0"/>
                <w:sz w:val="24"/>
                <w:szCs w:val="24"/>
                <w:lang w:val="en-US" w:eastAsia="zh-CN" w:bidi="ar"/>
              </w:rPr>
              <w:t>4</w:t>
            </w:r>
            <w:r>
              <w:rPr>
                <w:rFonts w:hint="eastAsia" w:ascii="Calibri" w:hAnsi="Calibri" w:eastAsia="Calibri" w:cs="Times New Roman"/>
                <w:color w:val="auto"/>
                <w:kern w:val="0"/>
                <w:sz w:val="24"/>
                <w:szCs w:val="24"/>
                <w:vertAlign w:val="superscript"/>
                <w:lang w:val="en-US" w:eastAsia="zh-CN" w:bidi="ar"/>
              </w:rPr>
              <w:t>th</w:t>
            </w:r>
            <w:r>
              <w:rPr>
                <w:rFonts w:hint="eastAsia" w:ascii="Calibri" w:hAnsi="Calibri" w:eastAsia="Calibri" w:cs="Times New Roman"/>
                <w:color w:val="auto"/>
                <w:kern w:val="0"/>
                <w:sz w:val="24"/>
                <w:szCs w:val="24"/>
                <w:lang w:val="en-US" w:eastAsia="zh-CN" w:bidi="ar"/>
              </w:rPr>
              <w:t xml:space="preserve"> Step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Layout w:type="fixed"/>
          <w:tblCellMar>
            <w:top w:w="0" w:type="dxa"/>
            <w:left w:w="108" w:type="dxa"/>
            <w:bottom w:w="0" w:type="dxa"/>
            <w:right w:w="108" w:type="dxa"/>
          </w:tblCellMar>
        </w:tblPrEx>
        <w:tc>
          <w:tcPr>
            <w:tcW w:w="1430"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Join</w:t>
            </w:r>
          </w:p>
        </w:tc>
        <w:tc>
          <w:tcPr>
            <w:tcW w:w="1654"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Stainless Steel</w:t>
            </w:r>
          </w:p>
        </w:tc>
        <w:tc>
          <w:tcPr>
            <w:tcW w:w="1985"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Fine Blank Punch</w:t>
            </w:r>
          </w:p>
        </w:tc>
        <w:tc>
          <w:tcPr>
            <w:tcW w:w="240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Vibratory Tumbling</w:t>
            </w:r>
          </w:p>
        </w:tc>
        <w:tc>
          <w:tcPr>
            <w:tcW w:w="1702"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p>
        </w:tc>
        <w:tc>
          <w:tcPr>
            <w:tcW w:w="1502"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430"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Jaw</w:t>
            </w:r>
          </w:p>
        </w:tc>
        <w:tc>
          <w:tcPr>
            <w:tcW w:w="1654"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1060 Alloy</w:t>
            </w:r>
          </w:p>
        </w:tc>
        <w:tc>
          <w:tcPr>
            <w:tcW w:w="1985"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CNC Machine</w:t>
            </w:r>
          </w:p>
        </w:tc>
        <w:tc>
          <w:tcPr>
            <w:tcW w:w="240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Knurl</w:t>
            </w:r>
          </w:p>
        </w:tc>
        <w:tc>
          <w:tcPr>
            <w:tcW w:w="1702"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Anodise</w:t>
            </w:r>
          </w:p>
        </w:tc>
        <w:tc>
          <w:tcPr>
            <w:tcW w:w="1502"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430"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Cylinder</w:t>
            </w:r>
          </w:p>
        </w:tc>
        <w:tc>
          <w:tcPr>
            <w:tcW w:w="1654"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1060 Alloy</w:t>
            </w:r>
          </w:p>
        </w:tc>
        <w:tc>
          <w:tcPr>
            <w:tcW w:w="1985"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Casting</w:t>
            </w:r>
          </w:p>
        </w:tc>
        <w:tc>
          <w:tcPr>
            <w:tcW w:w="240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Flashing</w:t>
            </w:r>
          </w:p>
        </w:tc>
        <w:tc>
          <w:tcPr>
            <w:tcW w:w="1702"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Machine Holes</w:t>
            </w:r>
          </w:p>
        </w:tc>
        <w:tc>
          <w:tcPr>
            <w:tcW w:w="1502"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Anodise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430"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Worm/Shaft</w:t>
            </w:r>
          </w:p>
        </w:tc>
        <w:tc>
          <w:tcPr>
            <w:tcW w:w="1654"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Carbon Steel</w:t>
            </w:r>
          </w:p>
        </w:tc>
        <w:tc>
          <w:tcPr>
            <w:tcW w:w="1985"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Lathe</w:t>
            </w:r>
          </w:p>
        </w:tc>
        <w:tc>
          <w:tcPr>
            <w:tcW w:w="240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Zinc-Nickel Plating</w:t>
            </w:r>
          </w:p>
        </w:tc>
        <w:tc>
          <w:tcPr>
            <w:tcW w:w="1702"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p>
        </w:tc>
        <w:tc>
          <w:tcPr>
            <w:tcW w:w="1502"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1430"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Drive Plate</w:t>
            </w:r>
          </w:p>
        </w:tc>
        <w:tc>
          <w:tcPr>
            <w:tcW w:w="1654"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1060 Alloy</w:t>
            </w:r>
          </w:p>
        </w:tc>
        <w:tc>
          <w:tcPr>
            <w:tcW w:w="1985"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CNC Machine</w:t>
            </w:r>
          </w:p>
        </w:tc>
        <w:tc>
          <w:tcPr>
            <w:tcW w:w="2409"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Lead Thread Chamfer</w:t>
            </w:r>
          </w:p>
        </w:tc>
        <w:tc>
          <w:tcPr>
            <w:tcW w:w="1702"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Anodise</w:t>
            </w:r>
          </w:p>
        </w:tc>
        <w:tc>
          <w:tcPr>
            <w:tcW w:w="1502" w:type="dxa"/>
            <w:tcBorders>
              <w:top w:val="single" w:color="auto" w:sz="4" w:space="0"/>
              <w:left w:val="single" w:color="auto" w:sz="4" w:space="0"/>
              <w:bottom w:val="single" w:color="auto" w:sz="4" w:space="0"/>
              <w:right w:val="single" w:color="auto" w:sz="4" w:space="0"/>
            </w:tcBorders>
            <w:shd w:val="clear" w:color="auto" w:fill="auto"/>
            <w:vAlign w:val="top"/>
          </w:tcPr>
          <w:p>
            <w:pPr>
              <w:keepNext w:val="0"/>
              <w:keepLines w:val="0"/>
              <w:widowControl/>
              <w:suppressLineNumbers w:val="0"/>
              <w:spacing w:before="0" w:beforeAutospacing="0" w:after="0" w:afterAutospacing="0" w:line="240" w:lineRule="auto"/>
              <w:ind w:left="0" w:right="0"/>
              <w:jc w:val="left"/>
              <w:rPr>
                <w:rFonts w:hint="eastAsia"/>
                <w:sz w:val="24"/>
                <w:szCs w:val="24"/>
              </w:rPr>
            </w:pPr>
            <w:r>
              <w:rPr>
                <w:rFonts w:hint="eastAsia" w:ascii="Calibri" w:hAnsi="Calibri" w:eastAsia="Calibri" w:cs="Times New Roman"/>
                <w:kern w:val="0"/>
                <w:sz w:val="24"/>
                <w:szCs w:val="24"/>
                <w:lang w:val="en-US" w:eastAsia="zh-CN" w:bidi="ar"/>
              </w:rPr>
              <w:t>Ensat Insert</w:t>
            </w:r>
          </w:p>
        </w:tc>
      </w:tr>
    </w:tbl>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Table 12: Breakdown of lower-level part manufacture with treatment steps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10.1007/978-981-10-6591-0_4","ISBN":"9780080993607","author":[{"dropping-particle":"","family":"Swift","given":"K.G.","non-dropping-particle":"","parse-names":false,"suffix":""},{"dropping-particle":"","family":"Booker","given":"J.D.","non-dropping-particle":"","parse-names":false,"suffix":""}],"id":"ITEM-1","issued":{"date-parts":[["2018"]]},"number-of-pages":"45-58","title":"Manufacturing Process Selection","type":"book"},"uris":["http://www.mendeley.com/documents/?uuid=5b5d5663-a7e5-4d10-a426-689734f66819"]}],"mendeley":{"formattedCitation":"(Swift and Booker, 2018)","plainTextFormattedCitation":"(Swift and Booker, 2018)","previouslyFormattedCitation":"(Swift and Booker, 2018)"},"properties":{"noteIndex":0},"schema":"https://github.com/citation-style-language/schema/raw/master/csl-citation.json"}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(Swift and Booker, 2018)</w:t>
      </w:r>
      <w:r>
        <w:rPr>
          <w:rFonts w:hint="eastAsia" w:ascii="Calibri" w:hAnsi="Calibri" w:eastAsia="Calibri" w:cs="Times New Roman"/>
          <w:kern w:val="0"/>
          <w:sz w:val="24"/>
          <w:szCs w:val="24"/>
          <w:lang w:val="en-US" w:eastAsia="zh-CN" w:bidi="ar"/>
        </w:rPr>
        <w:fldChar w:fldCharType="end"/>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Traditional methods of manufacturing rely on the bulk processing of products in stages. This leads to long lead times for batches to be completed, high Work in Progress (WiP) and a large inventory at each stage. This approach builds waste into the process that makes assembly bloated and expensive by adding unnecessary non-value-added tasks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{"citationItems":[{"id":"ITEM-1","itemData":{"abstract":"Avoid profit busters in your business by removing unnecessary steps","author":[{"dropping-particle":"","family":"Production","given":"Lean","non-dropping-particle":"","parse-names":false,"suffix":""}],"container-title":"Michael Giarrizzo, Jr","id":"ITEM-1","issued":{"date-parts":[["2016"]]},"page":"4","title":"Create Flow By Eliminating Waste","type":"article-journal"},"uris":["http://www.mendeley.com/documents/?uuid=587f7f4b-4b0f-4549-8331-a23245b9cc46"]}],"mendeley":{"formattedCitation":"(Production, 2016)","plainTextFormattedCitation":"(Production, 2016)","previouslyFormattedCitation":"(Production, 2016)"},"properties":{"noteIndex":0},"schema":"https://github.com/citation-style-language/schema/raw/master/csl-citation.json"}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(Production, 2016)</w:t>
      </w:r>
      <w:r>
        <w:rPr>
          <w:rFonts w:hint="eastAsia" w:ascii="Calibri" w:hAnsi="Calibri" w:eastAsia="Calibri" w:cs="Times New Roman"/>
          <w:kern w:val="0"/>
          <w:sz w:val="24"/>
          <w:szCs w:val="24"/>
          <w:lang w:val="en-US" w:eastAsia="zh-CN" w:bidi="ar"/>
        </w:rPr>
        <w:fldChar w:fldCharType="end"/>
      </w:r>
      <w:r>
        <w:rPr>
          <w:rFonts w:hint="eastAsia" w:ascii="Calibri" w:hAnsi="Calibri" w:eastAsia="Calibri" w:cs="Times New Roman"/>
          <w:kern w:val="0"/>
          <w:sz w:val="24"/>
          <w:szCs w:val="24"/>
          <w:lang w:val="en-US" w:eastAsia="zh-CN" w:bidi="ar"/>
        </w:rPr>
        <w:t xml:space="preserve">. To overcome this, the assembly design should rely on a ‘Just in Time’ continuous flow line </w:t>
      </w: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CSL_CITATION {"citationItems":[{"id":"ITEM-1","itemData":{"DOI":"10.1108/JMTM-08-2016-0112","ISSN":"1741038X","abstract":"Purpose: The purpose of this paper is to investigate the effects of lean production practices and lean duration (the duration for which lean production is in operation) on manufacturing performance. Design/methodology/approach: The survey was used as the main method of data collection. In addition to survey data collected from 1,189 respondents from export-based textile and apparel firms operating in Sri Lanka, longitudinal data were collected over a period of seven months from a firm in the study sample to corroborate the survey findings. Findings: The findings revealed that lean production practices significantly enhance manufacturing performance. Further findings revealed the importance of the duration of lean production in operation in achieving higher levels of manufacturing performance. This provides empirical support for the contention that the adoption of lean production can only be achieved through time. Practical implications: Findings have implications for practices of export-based textile and apparel producing countries from Asia, Latin and Central America, the Caribbean, Eastern Europe, and North Africa, which are competing intensively with each other for their market share in the global export-based textile and apparel production. Originality/value: Manufacturing firms are adopting production methods and management practices to become leaner and fitter to create a new labour intensive production model that generate distinctive internal capabilities for survival and growth in international markets. Academics and practitioners in the field of manufacturing technologies will be interested in better understanding how lean production practices would enhance manufacturing performance from a non-western developing country context.","author":[{"dropping-particle":"","family":"Wickramasinghe","given":"G. L.D.","non-dropping-particle":"","parse-names":false,"suffix":""},{"dropping-particle":"","family":"Wickramasinghe","given":"Vathsala","non-dropping-particle":"","parse-names":false,"suffix":""}],"container-title":"Journal of Manufacturing Technology Management","id":"ITEM-1","issue":"4","issued":{"date-parts":[["2017"]]},"page":"531-550","title":"Implementation of lean production practices and manufacturing performance: The role of lean duration","type":"article-journal","volume":"28"},"uris":["http://www.mendeley.com/documents/?uuid=6677d7a7-739f-4518-b5fa-32bbe09ce82b"]}],"mendeley":{"formattedCitation":"(Wickramasinghe and Wickramasinghe, 2017)","plainTextFormattedCitation":"(Wickramasinghe and Wickramasinghe, 2017)","previouslyFormattedCitation":"(Wickramasinghe and Wickramasinghe, 2017)"},"properties":{"noteIndex":0},"schema":"https://github.com/citation-style-language/schema/raw/master/csl-citation.json"}</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Times New Roman"/>
          <w:kern w:val="0"/>
          <w:sz w:val="24"/>
          <w:szCs w:val="24"/>
          <w:lang w:val="en-US" w:eastAsia="zh-CN" w:bidi="ar"/>
        </w:rPr>
        <w:t>(Wickramasinghe and Wickramasinghe, 2017)</w:t>
      </w:r>
      <w:r>
        <w:rPr>
          <w:rFonts w:hint="eastAsia" w:ascii="Calibri" w:hAnsi="Calibri" w:eastAsia="Calibri" w:cs="Times New Roman"/>
          <w:kern w:val="0"/>
          <w:sz w:val="24"/>
          <w:szCs w:val="24"/>
          <w:lang w:val="en-US" w:eastAsia="zh-CN" w:bidi="ar"/>
        </w:rPr>
        <w:fldChar w:fldCharType="end"/>
      </w:r>
      <w:r>
        <w:rPr>
          <w:rFonts w:hint="eastAsia" w:ascii="Calibri" w:hAnsi="Calibri" w:eastAsia="Calibri" w:cs="Times New Roman"/>
          <w:kern w:val="0"/>
          <w:sz w:val="24"/>
          <w:szCs w:val="24"/>
          <w:lang w:val="en-US" w:eastAsia="zh-CN" w:bidi="ar"/>
        </w:rPr>
        <w:t>. This approach, complemented with well written work instructions, supporting operator inspection criteria, will help to ensure a Right First Time approach when used with Layered Auditing initiatives.</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Figure 10 shows how the assembly of the 3-Jaw Gripper Arm would flow through such an assembly line.</w:t>
      </w:r>
    </w:p>
    <w:p>
      <w:pPr>
        <w:keepNext w:val="0"/>
        <w:keepLines w:val="0"/>
        <w:widowControl/>
        <w:suppressLineNumbers w:val="0"/>
        <w:spacing w:before="0" w:beforeAutospacing="0" w:after="160" w:afterAutospacing="0" w:line="256" w:lineRule="auto"/>
        <w:ind w:left="0" w:right="0"/>
        <w:jc w:val="both"/>
        <w:rPr>
          <w:sz w:val="24"/>
          <w:szCs w:val="24"/>
          <w:lang w:val="en-US"/>
        </w:rPr>
      </w:pP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drawing>
          <wp:inline distT="0" distB="0" distL="114300" distR="114300">
            <wp:extent cx="5266055" cy="3005455"/>
            <wp:effectExtent l="0" t="0" r="0" b="7620"/>
            <wp:docPr id="23" name="Diagram 54"/>
            <wp:cNvGraphicFramePr/>
            <a:graphic xmlns:a="http://schemas.openxmlformats.org/drawingml/2006/main">
              <a:graphicData uri="http://schemas.openxmlformats.org/drawingml/2006/picture">
                <pic:pic xmlns:pic="http://schemas.openxmlformats.org/drawingml/2006/picture">
                  <pic:nvPicPr>
                    <pic:cNvPr id="23" name="Diagram 54"/>
                    <pic:cNvPicPr/>
                  </pic:nvPicPr>
                  <pic:blipFill>
                    <a:blip r:embed="rId24"/>
                    <a:srcRect l="-9656" r="-9483"/>
                    <a:stretch>
                      <a:fillRect/>
                    </a:stretch>
                  </pic:blipFill>
                  <pic:spPr>
                    <a:xfrm>
                      <a:off x="0" y="0"/>
                      <a:ext cx="5266055" cy="3005455"/>
                    </a:xfrm>
                    <a:prstGeom prst="rect">
                      <a:avLst/>
                    </a:prstGeom>
                    <a:noFill/>
                    <a:ln>
                      <a:noFill/>
                    </a:ln>
                  </pic:spPr>
                </pic:pic>
              </a:graphicData>
            </a:graphic>
          </wp:inline>
        </w:drawing>
      </w:r>
    </w:p>
    <w:p>
      <w:pPr>
        <w:keepNext w:val="0"/>
        <w:keepLines w:val="0"/>
        <w:widowControl/>
        <w:suppressLineNumbers w:val="0"/>
        <w:spacing w:before="0" w:beforeAutospacing="0" w:after="160" w:afterAutospacing="0" w:line="256" w:lineRule="auto"/>
        <w:ind w:left="0" w:right="0"/>
        <w:jc w:val="both"/>
        <w:rPr>
          <w:sz w:val="24"/>
          <w:szCs w:val="24"/>
          <w:lang w:val="en-US"/>
        </w:rPr>
      </w:pP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kern w:val="0"/>
          <w:sz w:val="24"/>
          <w:szCs w:val="24"/>
          <w:lang w:val="en-US" w:eastAsia="zh-CN" w:bidi="ar"/>
        </w:rPr>
        <w:t>Figure 10: Potential production line layout</w:t>
      </w:r>
      <w:r>
        <w:rPr>
          <w:rFonts w:hint="eastAsia" w:ascii="Calibri" w:hAnsi="Calibri" w:eastAsia="Calibri" w:cs="Times New Roman"/>
          <w:kern w:val="0"/>
          <w:sz w:val="24"/>
          <w:szCs w:val="24"/>
          <w:lang w:val="en-US" w:eastAsia="zh-CN" w:bidi="ar"/>
        </w:rPr>
        <w:br w:type="page"/>
      </w:r>
    </w:p>
    <w:p>
      <w:pPr>
        <w:pStyle w:val="2"/>
        <w:widowControl/>
        <w:numPr>
          <w:ilvl w:val="0"/>
          <w:numId w:val="1"/>
        </w:numPr>
        <w:ind w:left="426" w:hanging="426"/>
        <w:rPr>
          <w:b/>
          <w:lang w:val="en-US"/>
        </w:rPr>
      </w:pPr>
      <w:bookmarkStart w:id="12" w:name="_Toc75192513"/>
      <w:r>
        <w:rPr>
          <w:rStyle w:val="16"/>
          <w:b/>
          <w:lang w:val="en-US"/>
        </w:rPr>
        <w:t>Conclusion</w:t>
      </w:r>
      <w:bookmarkEnd w:id="12"/>
    </w:p>
    <w:p>
      <w:pPr>
        <w:rPr>
          <w:lang w:val="en-US"/>
        </w:rPr>
      </w:pPr>
      <w:bookmarkStart w:id="14" w:name="_GoBack"/>
      <w:bookmarkEnd w:id="14"/>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The report has proven the requirements for designs to pass through a conceptual design review. With 70% of all costs of a product built in at the design stage, it is critical to ensure that the design is suitable for manufacture. </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It is essential that the product meets customers’ requirements so that the company can take full advantage of the potential market for the product and anticipate potential sales volumes. The Product Design Specification can be compiled to add defined values to the customer requirements and ensure the final design conforms to the customer needs. Understanding the potential sales volumes is also important to guarantee that the correct manufacturing processes are chosen, as the most profitable solution depends upon the material and the sales volume to determine profitability beyond the initial setup costs.</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Furthermore, it is important to consider the practicality of the design from a manufacturing and assembly perspective in the form of a Design for Manufacture/Assembly (DFMA). Once the processes have been determined, the design of each component must be revisited to ensure it can be manufactured with the chosen method. This step can help to reduce the number of tools required, prevent tolerancing beyond the capability of the process and ensure that the part can be manufactured in the way it was initially designed. Designing for assembly can help to identify the limitations of the design that could have a direct impact on the production line and their ability to produce the completed assembly on time and on budget. Any change to the design at the assembly stage will incur significant costs, rework and delays.</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It is also important to identify any risk to the effectiveness of the design on the completed assembly. By working through each of the components methodically in the form of an FMEA, it is possible to pre-empt and prevent oversights in the original design before they are seen in a completed product.</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By adopting a Lean approach to manufacturing in the assembly stage, the company will incur minimal costs due to excessive WIP, transport, storage and rework downtime.</w:t>
      </w:r>
    </w:p>
    <w:p>
      <w:pPr>
        <w:keepNext w:val="0"/>
        <w:keepLines w:val="0"/>
        <w:widowControl/>
        <w:suppressLineNumbers w:val="0"/>
        <w:spacing w:before="0" w:beforeAutospacing="0" w:after="160" w:afterAutospacing="0" w:line="256" w:lineRule="auto"/>
        <w:ind w:left="0" w:right="0"/>
        <w:jc w:val="both"/>
        <w:rPr>
          <w:sz w:val="24"/>
          <w:szCs w:val="24"/>
          <w:lang w:val="en-US"/>
        </w:rPr>
      </w:pPr>
      <w:r>
        <w:rPr>
          <w:rFonts w:hint="eastAsia" w:ascii="Calibri" w:hAnsi="Calibri" w:eastAsia="Calibri" w:cs="Times New Roman"/>
          <w:kern w:val="0"/>
          <w:sz w:val="24"/>
          <w:szCs w:val="24"/>
          <w:lang w:val="en-US" w:eastAsia="zh-CN" w:bidi="ar"/>
        </w:rPr>
        <w:t xml:space="preserve">The original design concept of the 3-Jaw Gripper can be successfully manufactured following the design changes specified in this report. </w:t>
      </w:r>
    </w:p>
    <w:p>
      <w:pPr>
        <w:keepNext w:val="0"/>
        <w:keepLines w:val="0"/>
        <w:widowControl/>
        <w:suppressLineNumbers w:val="0"/>
        <w:spacing w:before="0" w:beforeAutospacing="0" w:after="160" w:afterAutospacing="0" w:line="256" w:lineRule="auto"/>
        <w:ind w:left="0" w:right="0"/>
        <w:jc w:val="left"/>
        <w:rPr>
          <w:sz w:val="24"/>
          <w:szCs w:val="24"/>
          <w:lang w:val="en-US"/>
        </w:rPr>
      </w:pPr>
      <w:r>
        <w:rPr>
          <w:rFonts w:hint="eastAsia" w:ascii="Calibri" w:hAnsi="Calibri" w:eastAsia="Calibri" w:cs="Times New Roman"/>
          <w:sz w:val="24"/>
          <w:szCs w:val="24"/>
          <w:lang w:val="en-US" w:eastAsia="en-US" w:bidi="ar"/>
        </w:rPr>
        <w:br w:type="page"/>
      </w:r>
    </w:p>
    <w:p>
      <w:pPr>
        <w:pStyle w:val="2"/>
        <w:widowControl/>
        <w:numPr>
          <w:ilvl w:val="0"/>
          <w:numId w:val="1"/>
        </w:numPr>
        <w:ind w:left="426" w:hanging="426"/>
        <w:rPr>
          <w:b/>
          <w:lang w:val="en-US"/>
        </w:rPr>
      </w:pPr>
      <w:bookmarkStart w:id="13" w:name="_Toc75192514"/>
      <w:r>
        <w:rPr>
          <w:b/>
          <w:lang w:val="en-US"/>
        </w:rPr>
        <w:t>References</w:t>
      </w:r>
      <w:bookmarkEnd w:id="13"/>
    </w:p>
    <w:p>
      <w:pPr>
        <w:keepNext w:val="0"/>
        <w:keepLines w:val="0"/>
        <w:widowControl/>
        <w:suppressLineNumbers w:val="0"/>
        <w:spacing w:before="0" w:beforeAutospacing="0" w:after="160" w:afterAutospacing="0" w:line="256" w:lineRule="auto"/>
        <w:ind w:left="0" w:right="0"/>
        <w:jc w:val="left"/>
        <w:rPr>
          <w:sz w:val="24"/>
          <w:szCs w:val="24"/>
          <w:lang w:val="en-US"/>
        </w:rPr>
      </w:pP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Times New Roman"/>
          <w:kern w:val="0"/>
          <w:sz w:val="24"/>
          <w:szCs w:val="24"/>
          <w:lang w:val="en-US" w:eastAsia="zh-CN" w:bidi="ar"/>
        </w:rPr>
        <w:fldChar w:fldCharType="begin" w:fldLock="1"/>
      </w:r>
      <w:r>
        <w:rPr>
          <w:rFonts w:hint="eastAsia" w:ascii="Calibri" w:hAnsi="Calibri" w:eastAsia="Calibri" w:cs="Times New Roman"/>
          <w:kern w:val="0"/>
          <w:sz w:val="24"/>
          <w:szCs w:val="24"/>
          <w:lang w:val="en-US" w:eastAsia="zh-CN" w:bidi="ar"/>
        </w:rPr>
        <w:instrText xml:space="preserve">ADDIN Mendeley Bibliography CSL_BIBLIOGRAPHY </w:instrText>
      </w:r>
      <w:r>
        <w:rPr>
          <w:rFonts w:hint="eastAsia" w:ascii="Calibri" w:hAnsi="Calibri" w:eastAsia="Calibri" w:cs="Times New Roman"/>
          <w:kern w:val="0"/>
          <w:sz w:val="24"/>
          <w:szCs w:val="24"/>
          <w:lang w:val="en-US" w:eastAsia="zh-CN" w:bidi="ar"/>
        </w:rPr>
        <w:fldChar w:fldCharType="separate"/>
      </w:r>
      <w:r>
        <w:rPr>
          <w:rFonts w:hint="eastAsia" w:ascii="Calibri" w:hAnsi="Calibri" w:eastAsia="Calibri" w:cs="Calibri"/>
          <w:kern w:val="0"/>
          <w:sz w:val="24"/>
          <w:szCs w:val="24"/>
          <w:lang w:val="en-US" w:eastAsia="zh-CN" w:bidi="ar"/>
        </w:rPr>
        <w:t xml:space="preserve">van der Aalst, W. M. P., Bichler, M. and Heinzl, A. (2018) ‘Robotic Process Automation’, </w:t>
      </w:r>
      <w:r>
        <w:rPr>
          <w:rFonts w:hint="eastAsia" w:ascii="Calibri" w:hAnsi="Calibri" w:eastAsia="Calibri" w:cs="Calibri"/>
          <w:i/>
          <w:kern w:val="0"/>
          <w:sz w:val="24"/>
          <w:szCs w:val="24"/>
          <w:lang w:val="en-US" w:eastAsia="zh-CN" w:bidi="ar"/>
        </w:rPr>
        <w:t>Business and Information Systems Engineering</w:t>
      </w:r>
      <w:r>
        <w:rPr>
          <w:rFonts w:hint="eastAsia" w:ascii="Calibri" w:hAnsi="Calibri" w:eastAsia="Calibri" w:cs="Calibri"/>
          <w:kern w:val="0"/>
          <w:sz w:val="24"/>
          <w:szCs w:val="24"/>
          <w:lang w:val="en-US" w:eastAsia="zh-CN" w:bidi="ar"/>
        </w:rPr>
        <w:t>, 60(4), pp. 269–272. doi: 10.1007/s12599-018-0542-4.</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Avikal, S., Singh, R. and Rashmi, R. (2020) ‘QFD and Fuzzy Kano model based approach for classification of aesthetic attributes of SUV car profile’, </w:t>
      </w:r>
      <w:r>
        <w:rPr>
          <w:rFonts w:hint="eastAsia" w:ascii="Calibri" w:hAnsi="Calibri" w:eastAsia="Calibri" w:cs="Calibri"/>
          <w:i/>
          <w:kern w:val="0"/>
          <w:sz w:val="24"/>
          <w:szCs w:val="24"/>
          <w:lang w:val="en-US" w:eastAsia="zh-CN" w:bidi="ar"/>
        </w:rPr>
        <w:t>Journal of Intelligent Manufacturing</w:t>
      </w:r>
      <w:r>
        <w:rPr>
          <w:rFonts w:hint="eastAsia" w:ascii="Calibri" w:hAnsi="Calibri" w:eastAsia="Calibri" w:cs="Calibri"/>
          <w:kern w:val="0"/>
          <w:sz w:val="24"/>
          <w:szCs w:val="24"/>
          <w:lang w:val="en-US" w:eastAsia="zh-CN" w:bidi="ar"/>
        </w:rPr>
        <w:t>, 31(2), pp. 271–284. doi: 10.1007/s10845-018-1444-5.</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Banker, R., Potter, G. and Schroder, R. (1995) ‘Accounting &amp; Economics’, 19, pp. 115–137.</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Black, J. T. and Kohser, R. A. (2012) </w:t>
      </w:r>
      <w:r>
        <w:rPr>
          <w:rFonts w:hint="eastAsia" w:ascii="Calibri" w:hAnsi="Calibri" w:eastAsia="Calibri" w:cs="Calibri"/>
          <w:i/>
          <w:kern w:val="0"/>
          <w:sz w:val="24"/>
          <w:szCs w:val="24"/>
          <w:lang w:val="en-US" w:eastAsia="zh-CN" w:bidi="ar"/>
        </w:rPr>
        <w:t>DeGarmo’s MATERIALS AND PROCESSES IN MANUFACTURING ELEVENTH EDITION</w:t>
      </w:r>
      <w:r>
        <w:rPr>
          <w:rFonts w:hint="eastAsia" w:ascii="Calibri" w:hAnsi="Calibri" w:eastAsia="Calibri" w:cs="Calibri"/>
          <w:kern w:val="0"/>
          <w:sz w:val="24"/>
          <w:szCs w:val="24"/>
          <w:lang w:val="en-US" w:eastAsia="zh-CN" w:bidi="ar"/>
        </w:rPr>
        <w:t xml:space="preserve">, </w:t>
      </w:r>
      <w:r>
        <w:rPr>
          <w:rFonts w:hint="eastAsia" w:ascii="Calibri" w:hAnsi="Calibri" w:eastAsia="Calibri" w:cs="Calibri"/>
          <w:i/>
          <w:kern w:val="0"/>
          <w:sz w:val="24"/>
          <w:szCs w:val="24"/>
          <w:lang w:val="en-US" w:eastAsia="zh-CN" w:bidi="ar"/>
        </w:rPr>
        <w:t>Journal of Chemical Information and Modeling</w:t>
      </w:r>
      <w:r>
        <w:rPr>
          <w:rFonts w:hint="eastAsia" w:ascii="Calibri" w:hAnsi="Calibri" w:eastAsia="Calibri" w:cs="Calibri"/>
          <w:kern w:val="0"/>
          <w:sz w:val="24"/>
          <w:szCs w:val="24"/>
          <w:lang w:val="en-US" w:eastAsia="zh-CN" w:bidi="ar"/>
        </w:rPr>
        <w:t>.</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Culleton, M., McGinn, C. and Kelly, K. (2017) ‘Framework for Assessing Robotic Dexterity within Flexible Manufacturing’, </w:t>
      </w:r>
      <w:r>
        <w:rPr>
          <w:rFonts w:hint="eastAsia" w:ascii="Calibri" w:hAnsi="Calibri" w:eastAsia="Calibri" w:cs="Calibri"/>
          <w:i/>
          <w:kern w:val="0"/>
          <w:sz w:val="24"/>
          <w:szCs w:val="24"/>
          <w:lang w:val="en-US" w:eastAsia="zh-CN" w:bidi="ar"/>
        </w:rPr>
        <w:t>Journal of Intelligent and Robotic Systems: Theory and Applications</w:t>
      </w:r>
      <w:r>
        <w:rPr>
          <w:rFonts w:hint="eastAsia" w:ascii="Calibri" w:hAnsi="Calibri" w:eastAsia="Calibri" w:cs="Calibri"/>
          <w:kern w:val="0"/>
          <w:sz w:val="24"/>
          <w:szCs w:val="24"/>
          <w:lang w:val="en-US" w:eastAsia="zh-CN" w:bidi="ar"/>
        </w:rPr>
        <w:t>, 87(3–4), pp. 507–529. doi: 10.1007/s10846-017-0505-x.</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Diez, K. and Lennerts, K. (2006) ‘Facility Management cost analysis of the operation unit: using fix and variable cost for a primary performance dependent cost estimation model’, pp. 1–10.</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Djavanroodi, F., Pirgholi, A. and Derakhshani, E. (2010) ‘FEM and ANN analysis in fine-blanking process’, </w:t>
      </w:r>
      <w:r>
        <w:rPr>
          <w:rFonts w:hint="eastAsia" w:ascii="Calibri" w:hAnsi="Calibri" w:eastAsia="Calibri" w:cs="Calibri"/>
          <w:i/>
          <w:kern w:val="0"/>
          <w:sz w:val="24"/>
          <w:szCs w:val="24"/>
          <w:lang w:val="en-US" w:eastAsia="zh-CN" w:bidi="ar"/>
        </w:rPr>
        <w:t>Materials and Manufacturing Processes</w:t>
      </w:r>
      <w:r>
        <w:rPr>
          <w:rFonts w:hint="eastAsia" w:ascii="Calibri" w:hAnsi="Calibri" w:eastAsia="Calibri" w:cs="Calibri"/>
          <w:kern w:val="0"/>
          <w:sz w:val="24"/>
          <w:szCs w:val="24"/>
          <w:lang w:val="en-US" w:eastAsia="zh-CN" w:bidi="ar"/>
        </w:rPr>
        <w:t>, 25(8), pp. 864–872. doi: 10.1080/10426910903367444.</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Essentra Components UK (2021) </w:t>
      </w:r>
      <w:r>
        <w:rPr>
          <w:rFonts w:hint="eastAsia" w:ascii="Calibri" w:hAnsi="Calibri" w:eastAsia="Calibri" w:cs="Calibri"/>
          <w:i/>
          <w:kern w:val="0"/>
          <w:sz w:val="24"/>
          <w:szCs w:val="24"/>
          <w:lang w:val="en-US" w:eastAsia="zh-CN" w:bidi="ar"/>
        </w:rPr>
        <w:t>Buy Push-In Rivet | SLP100-307-01</w:t>
      </w:r>
      <w:r>
        <w:rPr>
          <w:rFonts w:hint="eastAsia" w:ascii="Calibri" w:hAnsi="Calibri" w:eastAsia="Calibri" w:cs="Calibri"/>
          <w:kern w:val="0"/>
          <w:sz w:val="24"/>
          <w:szCs w:val="24"/>
          <w:lang w:val="en-US" w:eastAsia="zh-CN" w:bidi="ar"/>
        </w:rPr>
        <w:t>. Available at: https://www.essentracomponents.com/en-gb/p/push-in-rivets-snap-lock-pins/slp100-307-01 (Accessed: 20 June 2021).</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Essentra Components US (2021) </w:t>
      </w:r>
      <w:r>
        <w:rPr>
          <w:rFonts w:hint="eastAsia" w:ascii="Calibri" w:hAnsi="Calibri" w:eastAsia="Calibri" w:cs="Calibri"/>
          <w:i/>
          <w:kern w:val="0"/>
          <w:sz w:val="24"/>
          <w:szCs w:val="24"/>
          <w:lang w:val="en-US" w:eastAsia="zh-CN" w:bidi="ar"/>
        </w:rPr>
        <w:t>Buy Shoulder Screw | VGS-4</w:t>
      </w:r>
      <w:r>
        <w:rPr>
          <w:rFonts w:hint="eastAsia" w:ascii="Calibri" w:hAnsi="Calibri" w:eastAsia="Calibri" w:cs="Calibri"/>
          <w:kern w:val="0"/>
          <w:sz w:val="24"/>
          <w:szCs w:val="24"/>
          <w:lang w:val="en-US" w:eastAsia="zh-CN" w:bidi="ar"/>
        </w:rPr>
        <w:t>. Available at: https://www.essentracomponents.com/en-us/p/vibration-grommet-screws/vgs-4 (Accessed: 20 June 2021).</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Gunasekaran, A. (1999) ‘A framework for the design and audit of an activity-based costing system’, </w:t>
      </w:r>
      <w:r>
        <w:rPr>
          <w:rFonts w:hint="eastAsia" w:ascii="Calibri" w:hAnsi="Calibri" w:eastAsia="Calibri" w:cs="Calibri"/>
          <w:i/>
          <w:kern w:val="0"/>
          <w:sz w:val="24"/>
          <w:szCs w:val="24"/>
          <w:lang w:val="en-US" w:eastAsia="zh-CN" w:bidi="ar"/>
        </w:rPr>
        <w:t>Managerial Auditing Journal</w:t>
      </w:r>
      <w:r>
        <w:rPr>
          <w:rFonts w:hint="eastAsia" w:ascii="Calibri" w:hAnsi="Calibri" w:eastAsia="Calibri" w:cs="Calibri"/>
          <w:kern w:val="0"/>
          <w:sz w:val="24"/>
          <w:szCs w:val="24"/>
          <w:lang w:val="en-US" w:eastAsia="zh-CN" w:bidi="ar"/>
        </w:rPr>
        <w:t>, 14(3), pp. 118–127. doi: 10.1108/02686909910259095.</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Hecht, A. (2009) ‘Government perspectives on sustainability’, </w:t>
      </w:r>
      <w:r>
        <w:rPr>
          <w:rFonts w:hint="eastAsia" w:ascii="Calibri" w:hAnsi="Calibri" w:eastAsia="Calibri" w:cs="Calibri"/>
          <w:i/>
          <w:kern w:val="0"/>
          <w:sz w:val="24"/>
          <w:szCs w:val="24"/>
          <w:lang w:val="en-US" w:eastAsia="zh-CN" w:bidi="ar"/>
        </w:rPr>
        <w:t>Chemical Engineering Progress</w:t>
      </w:r>
      <w:r>
        <w:rPr>
          <w:rFonts w:hint="eastAsia" w:ascii="Calibri" w:hAnsi="Calibri" w:eastAsia="Calibri" w:cs="Calibri"/>
          <w:kern w:val="0"/>
          <w:sz w:val="24"/>
          <w:szCs w:val="24"/>
          <w:lang w:val="en-US" w:eastAsia="zh-CN" w:bidi="ar"/>
        </w:rPr>
        <w:t>, 105(1), pp. 41–46.</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Hernandez, R. J., Miranda, C. and Goñi, J. (2020) ‘Empowering sustainable consumption by giving back to consumers the “right to repair”’, </w:t>
      </w:r>
      <w:r>
        <w:rPr>
          <w:rFonts w:hint="eastAsia" w:ascii="Calibri" w:hAnsi="Calibri" w:eastAsia="Calibri" w:cs="Calibri"/>
          <w:i/>
          <w:kern w:val="0"/>
          <w:sz w:val="24"/>
          <w:szCs w:val="24"/>
          <w:lang w:val="en-US" w:eastAsia="zh-CN" w:bidi="ar"/>
        </w:rPr>
        <w:t>Sustainability (Switzerland)</w:t>
      </w:r>
      <w:r>
        <w:rPr>
          <w:rFonts w:hint="eastAsia" w:ascii="Calibri" w:hAnsi="Calibri" w:eastAsia="Calibri" w:cs="Calibri"/>
          <w:kern w:val="0"/>
          <w:sz w:val="24"/>
          <w:szCs w:val="24"/>
          <w:lang w:val="en-US" w:eastAsia="zh-CN" w:bidi="ar"/>
        </w:rPr>
        <w:t>, 12(3), pp. 1–16. doi: 10.3390/su12030850.</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Kekre, S. and Datar, S. (1993) ‘Simultaneous estimation of cost drivers’, </w:t>
      </w:r>
      <w:r>
        <w:rPr>
          <w:rFonts w:hint="eastAsia" w:ascii="Calibri" w:hAnsi="Calibri" w:eastAsia="Calibri" w:cs="Calibri"/>
          <w:i/>
          <w:kern w:val="0"/>
          <w:sz w:val="24"/>
          <w:szCs w:val="24"/>
          <w:lang w:val="en-US" w:eastAsia="zh-CN" w:bidi="ar"/>
        </w:rPr>
        <w:t>Accounting review: A quarterly journal of the American Accounting Association</w:t>
      </w:r>
      <w:r>
        <w:rPr>
          <w:rFonts w:hint="eastAsia" w:ascii="Calibri" w:hAnsi="Calibri" w:eastAsia="Calibri" w:cs="Calibri"/>
          <w:kern w:val="0"/>
          <w:sz w:val="24"/>
          <w:szCs w:val="24"/>
          <w:lang w:val="en-US" w:eastAsia="zh-CN" w:bidi="ar"/>
        </w:rPr>
        <w:t>, 68(3), pp. 602–614.</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Kverneland, K. O. (2010) ‘The ISO System of Limits and Fits — Tolerances and Deviations’, </w:t>
      </w:r>
      <w:r>
        <w:rPr>
          <w:rFonts w:hint="eastAsia" w:ascii="Calibri" w:hAnsi="Calibri" w:eastAsia="Calibri" w:cs="Calibri"/>
          <w:i/>
          <w:kern w:val="0"/>
          <w:sz w:val="24"/>
          <w:szCs w:val="24"/>
          <w:lang w:val="en-US" w:eastAsia="zh-CN" w:bidi="ar"/>
        </w:rPr>
        <w:t>Metric Standards for Worldwide Manufacturing, 2007 Edition</w:t>
      </w:r>
      <w:r>
        <w:rPr>
          <w:rFonts w:hint="eastAsia" w:ascii="Calibri" w:hAnsi="Calibri" w:eastAsia="Calibri" w:cs="Calibri"/>
          <w:kern w:val="0"/>
          <w:sz w:val="24"/>
          <w:szCs w:val="24"/>
          <w:lang w:val="en-US" w:eastAsia="zh-CN" w:bidi="ar"/>
        </w:rPr>
        <w:t>, pp. 90–128. doi: 10.1115/1.802612.ch6.</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Ma, X., Soh, A. K. and Wang, B. (2004) ‘A design database for moulded pulp packaging structure’, </w:t>
      </w:r>
      <w:r>
        <w:rPr>
          <w:rFonts w:hint="eastAsia" w:ascii="Calibri" w:hAnsi="Calibri" w:eastAsia="Calibri" w:cs="Calibri"/>
          <w:i/>
          <w:kern w:val="0"/>
          <w:sz w:val="24"/>
          <w:szCs w:val="24"/>
          <w:lang w:val="en-US" w:eastAsia="zh-CN" w:bidi="ar"/>
        </w:rPr>
        <w:t>Packaging Technology and Science</w:t>
      </w:r>
      <w:r>
        <w:rPr>
          <w:rFonts w:hint="eastAsia" w:ascii="Calibri" w:hAnsi="Calibri" w:eastAsia="Calibri" w:cs="Calibri"/>
          <w:kern w:val="0"/>
          <w:sz w:val="24"/>
          <w:szCs w:val="24"/>
          <w:lang w:val="en-US" w:eastAsia="zh-CN" w:bidi="ar"/>
        </w:rPr>
        <w:t>, 17(4), pp. 193–204. doi: 10.1002/pts.658.</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Marshall, H., Mcclymont, L. and Joyce, L. (2007) ‘Public Attitudes to and Perceptions of Engineering and Engineers 2007 A study commissioned by The Royal Academy of Engineering and Public Attitudes to and Perceptions of Engineering and Engineers 2007 Prepared by ’:</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Production, L. (2016) ‘Create Flow By Eliminating Waste’, </w:t>
      </w:r>
      <w:r>
        <w:rPr>
          <w:rFonts w:hint="eastAsia" w:ascii="Calibri" w:hAnsi="Calibri" w:eastAsia="Calibri" w:cs="Calibri"/>
          <w:i/>
          <w:kern w:val="0"/>
          <w:sz w:val="24"/>
          <w:szCs w:val="24"/>
          <w:lang w:val="en-US" w:eastAsia="zh-CN" w:bidi="ar"/>
        </w:rPr>
        <w:t>Michael Giarrizzo, Jr</w:t>
      </w:r>
      <w:r>
        <w:rPr>
          <w:rFonts w:hint="eastAsia" w:ascii="Calibri" w:hAnsi="Calibri" w:eastAsia="Calibri" w:cs="Calibri"/>
          <w:kern w:val="0"/>
          <w:sz w:val="24"/>
          <w:szCs w:val="24"/>
          <w:lang w:val="en-US" w:eastAsia="zh-CN" w:bidi="ar"/>
        </w:rPr>
        <w:t>, p. 4.</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i/>
          <w:kern w:val="0"/>
          <w:sz w:val="24"/>
          <w:szCs w:val="24"/>
          <w:lang w:val="en-US" w:eastAsia="zh-CN" w:bidi="ar"/>
        </w:rPr>
        <w:t>QFD Online - Free House of Quality (QFD) Templates for Excel</w:t>
      </w:r>
      <w:r>
        <w:rPr>
          <w:rFonts w:hint="eastAsia" w:ascii="Calibri" w:hAnsi="Calibri" w:eastAsia="Calibri" w:cs="Calibri"/>
          <w:kern w:val="0"/>
          <w:sz w:val="24"/>
          <w:szCs w:val="24"/>
          <w:lang w:val="en-US" w:eastAsia="zh-CN" w:bidi="ar"/>
        </w:rPr>
        <w:t xml:space="preserve"> (2010). Available at: http://qfdonline.com/templates/ (Accessed: 11 June 2021).</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RS Components (2021) </w:t>
      </w:r>
      <w:r>
        <w:rPr>
          <w:rFonts w:hint="eastAsia" w:ascii="Calibri" w:hAnsi="Calibri" w:eastAsia="Calibri" w:cs="Calibri"/>
          <w:i/>
          <w:kern w:val="0"/>
          <w:sz w:val="24"/>
          <w:szCs w:val="24"/>
          <w:lang w:val="en-US" w:eastAsia="zh-CN" w:bidi="ar"/>
        </w:rPr>
        <w:t>9904 120 15211 | McLennan Servo Supplies Servo Servo Motor</w:t>
      </w:r>
      <w:r>
        <w:rPr>
          <w:rFonts w:hint="eastAsia" w:ascii="Calibri" w:hAnsi="Calibri" w:eastAsia="Calibri" w:cs="Calibri"/>
          <w:kern w:val="0"/>
          <w:sz w:val="24"/>
          <w:szCs w:val="24"/>
          <w:lang w:val="en-US" w:eastAsia="zh-CN" w:bidi="ar"/>
        </w:rPr>
        <w:t>. Available at: https://uk.rs-online.com/web/p/dc-motors/3514669/?cm_mmc=UK-PLA-DS3A-_-google-_-CSS_UK_EN_Automation_%26_Control_Gear_Whoop-_-Servo Motors_Whoop (2)-_-3514669&amp;gclid=EAIaIQobChMIpsa06pej8QIVweh3Ch3kfAwrEAQYAiABEgJrw_D_BwE&amp;gclsrc=aw.ds&amp;matchtype=&amp;pla-493192309352 (Accessed: 19 June 2021).</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Swift, K. G. and Booker, J. D. (2018) </w:t>
      </w:r>
      <w:r>
        <w:rPr>
          <w:rFonts w:hint="eastAsia" w:ascii="Calibri" w:hAnsi="Calibri" w:eastAsia="Calibri" w:cs="Calibri"/>
          <w:i/>
          <w:kern w:val="0"/>
          <w:sz w:val="24"/>
          <w:szCs w:val="24"/>
          <w:lang w:val="en-US" w:eastAsia="zh-CN" w:bidi="ar"/>
        </w:rPr>
        <w:t>Manufacturing Process Selection</w:t>
      </w:r>
      <w:r>
        <w:rPr>
          <w:rFonts w:hint="eastAsia" w:ascii="Calibri" w:hAnsi="Calibri" w:eastAsia="Calibri" w:cs="Calibri"/>
          <w:kern w:val="0"/>
          <w:sz w:val="24"/>
          <w:szCs w:val="24"/>
          <w:lang w:val="en-US" w:eastAsia="zh-CN" w:bidi="ar"/>
        </w:rPr>
        <w:t>. doi: 10.1007/978-981-10-6591-0_4.</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Wan Alwi, S. R. </w:t>
      </w:r>
      <w:r>
        <w:rPr>
          <w:rFonts w:hint="eastAsia" w:ascii="Calibri" w:hAnsi="Calibri" w:eastAsia="Calibri" w:cs="Calibri"/>
          <w:i/>
          <w:kern w:val="0"/>
          <w:sz w:val="24"/>
          <w:szCs w:val="24"/>
          <w:lang w:val="en-US" w:eastAsia="zh-CN" w:bidi="ar"/>
        </w:rPr>
        <w:t>et al.</w:t>
      </w:r>
      <w:r>
        <w:rPr>
          <w:rFonts w:hint="eastAsia" w:ascii="Calibri" w:hAnsi="Calibri" w:eastAsia="Calibri" w:cs="Calibri"/>
          <w:kern w:val="0"/>
          <w:sz w:val="24"/>
          <w:szCs w:val="24"/>
          <w:lang w:val="en-US" w:eastAsia="zh-CN" w:bidi="ar"/>
        </w:rPr>
        <w:t xml:space="preserve"> (2014) ‘Sustainability engineering for the future’, </w:t>
      </w:r>
      <w:r>
        <w:rPr>
          <w:rFonts w:hint="eastAsia" w:ascii="Calibri" w:hAnsi="Calibri" w:eastAsia="Calibri" w:cs="Calibri"/>
          <w:i/>
          <w:kern w:val="0"/>
          <w:sz w:val="24"/>
          <w:szCs w:val="24"/>
          <w:lang w:val="en-US" w:eastAsia="zh-CN" w:bidi="ar"/>
        </w:rPr>
        <w:t>Journal of Cleaner Production</w:t>
      </w:r>
      <w:r>
        <w:rPr>
          <w:rFonts w:hint="eastAsia" w:ascii="Calibri" w:hAnsi="Calibri" w:eastAsia="Calibri" w:cs="Calibri"/>
          <w:kern w:val="0"/>
          <w:sz w:val="24"/>
          <w:szCs w:val="24"/>
          <w:lang w:val="en-US" w:eastAsia="zh-CN" w:bidi="ar"/>
        </w:rPr>
        <w:t>, 71, pp. 1–10. doi: 10.1016/j.jclepro.2014.03.013.</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4"/>
          <w:lang w:val="en-US"/>
        </w:rPr>
      </w:pPr>
      <w:r>
        <w:rPr>
          <w:rFonts w:hint="eastAsia" w:ascii="Calibri" w:hAnsi="Calibri" w:eastAsia="Calibri" w:cs="Calibri"/>
          <w:kern w:val="0"/>
          <w:sz w:val="24"/>
          <w:szCs w:val="24"/>
          <w:lang w:val="en-US" w:eastAsia="zh-CN" w:bidi="ar"/>
        </w:rPr>
        <w:t xml:space="preserve">WDS Components (2021) </w:t>
      </w:r>
      <w:r>
        <w:rPr>
          <w:rFonts w:hint="eastAsia" w:ascii="Calibri" w:hAnsi="Calibri" w:eastAsia="Calibri" w:cs="Calibri"/>
          <w:i/>
          <w:kern w:val="0"/>
          <w:sz w:val="24"/>
          <w:szCs w:val="24"/>
          <w:lang w:val="en-US" w:eastAsia="zh-CN" w:bidi="ar"/>
        </w:rPr>
        <w:t>Stainless Steel Detent Pins (WDS 957) | Metric Detent Pins</w:t>
      </w:r>
      <w:r>
        <w:rPr>
          <w:rFonts w:hint="eastAsia" w:ascii="Calibri" w:hAnsi="Calibri" w:eastAsia="Calibri" w:cs="Calibri"/>
          <w:kern w:val="0"/>
          <w:sz w:val="24"/>
          <w:szCs w:val="24"/>
          <w:lang w:val="en-US" w:eastAsia="zh-CN" w:bidi="ar"/>
        </w:rPr>
        <w:t>. Available at: https://www.wdscomponents.com/en-gb/detent-pins-316-stainless-steel-metric-wds-957/c-611/p-1822 (Accessed: 20 June 2021).</w:t>
      </w:r>
    </w:p>
    <w:p>
      <w:pPr>
        <w:keepNext w:val="0"/>
        <w:keepLines w:val="0"/>
        <w:widowControl w:val="0"/>
        <w:suppressLineNumbers w:val="0"/>
        <w:autoSpaceDE w:val="0"/>
        <w:autoSpaceDN w:val="0"/>
        <w:adjustRightInd w:val="0"/>
        <w:spacing w:before="0" w:beforeAutospacing="0" w:after="160" w:afterAutospacing="0" w:line="240" w:lineRule="auto"/>
        <w:ind w:left="0" w:right="0"/>
        <w:jc w:val="left"/>
        <w:rPr>
          <w:rFonts w:ascii="Calibri" w:hAnsi="Calibri" w:cs="Calibri"/>
          <w:sz w:val="24"/>
          <w:szCs w:val="22"/>
          <w:lang w:val="en-US"/>
        </w:rPr>
      </w:pPr>
      <w:r>
        <w:rPr>
          <w:rFonts w:hint="eastAsia" w:ascii="Calibri" w:hAnsi="Calibri" w:eastAsia="Calibri" w:cs="Calibri"/>
          <w:kern w:val="0"/>
          <w:sz w:val="24"/>
          <w:szCs w:val="24"/>
          <w:lang w:val="en-US" w:eastAsia="zh-CN" w:bidi="ar"/>
        </w:rPr>
        <w:t xml:space="preserve">Wickramasinghe, G. L. D. and Wickramasinghe, V. (2017) ‘Implementation of lean production practices and manufacturing performance: The role of lean duration’, </w:t>
      </w:r>
      <w:r>
        <w:rPr>
          <w:rFonts w:hint="eastAsia" w:ascii="Calibri" w:hAnsi="Calibri" w:eastAsia="Calibri" w:cs="Calibri"/>
          <w:i/>
          <w:kern w:val="0"/>
          <w:sz w:val="24"/>
          <w:szCs w:val="24"/>
          <w:lang w:val="en-US" w:eastAsia="zh-CN" w:bidi="ar"/>
        </w:rPr>
        <w:t>Journal of Manufacturing Technology Management</w:t>
      </w:r>
      <w:r>
        <w:rPr>
          <w:rFonts w:hint="eastAsia" w:ascii="Calibri" w:hAnsi="Calibri" w:eastAsia="Calibri" w:cs="Calibri"/>
          <w:kern w:val="0"/>
          <w:sz w:val="24"/>
          <w:szCs w:val="24"/>
          <w:lang w:val="en-US" w:eastAsia="zh-CN" w:bidi="ar"/>
        </w:rPr>
        <w:t>, 28(4), pp. 531–550. doi: 10.1108/JMTM-08-2016-0112.</w:t>
      </w:r>
    </w:p>
    <w:p>
      <w:pPr>
        <w:pStyle w:val="15"/>
        <w:widowControl/>
        <w:ind w:left="0"/>
        <w:contextualSpacing/>
        <w:rPr>
          <w:sz w:val="24"/>
          <w:szCs w:val="24"/>
          <w:lang w:val="en-US"/>
        </w:rPr>
      </w:pPr>
      <w:r>
        <w:rPr>
          <w:sz w:val="24"/>
          <w:szCs w:val="24"/>
          <w:lang w:val="en-US"/>
        </w:rPr>
        <w:fldChar w:fldCharType="end"/>
      </w:r>
    </w:p>
    <w:p/>
    <w:sectPr>
      <w:pgSz w:w="11906" w:h="16838"/>
      <w:pgMar w:top="720" w:right="720" w:bottom="720" w:left="720" w:header="709" w:footer="709"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Symbol">
    <w:panose1 w:val="05050102010706020507"/>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51D87EE"/>
    <w:multiLevelType w:val="multilevel"/>
    <w:tmpl w:val="A51D87EE"/>
    <w:lvl w:ilvl="0" w:tentative="0">
      <w:start w:val="1"/>
      <w:numFmt w:val="bullet"/>
      <w:lvlText w:val=""/>
      <w:lvlJc w:val="left"/>
      <w:pPr>
        <w:ind w:left="720" w:hanging="360"/>
      </w:pPr>
      <w:rPr>
        <w:rFonts w:hint="default" w:ascii="Symbol" w:hAnsi="Symbol" w:cs="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cs="Wingdings"/>
      </w:rPr>
    </w:lvl>
    <w:lvl w:ilvl="3" w:tentative="0">
      <w:start w:val="1"/>
      <w:numFmt w:val="bullet"/>
      <w:lvlText w:val=""/>
      <w:lvlJc w:val="left"/>
      <w:pPr>
        <w:ind w:left="2880" w:hanging="360"/>
      </w:pPr>
      <w:rPr>
        <w:rFonts w:hint="default" w:ascii="Symbol" w:hAnsi="Symbol" w:cs="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cs="Wingdings"/>
      </w:rPr>
    </w:lvl>
    <w:lvl w:ilvl="6" w:tentative="0">
      <w:start w:val="1"/>
      <w:numFmt w:val="bullet"/>
      <w:lvlText w:val=""/>
      <w:lvlJc w:val="left"/>
      <w:pPr>
        <w:ind w:left="5040" w:hanging="360"/>
      </w:pPr>
      <w:rPr>
        <w:rFonts w:hint="default" w:ascii="Symbol" w:hAnsi="Symbol" w:cs="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cs="Wingdings"/>
      </w:rPr>
    </w:lvl>
  </w:abstractNum>
  <w:abstractNum w:abstractNumId="1">
    <w:nsid w:val="B7521493"/>
    <w:multiLevelType w:val="multilevel"/>
    <w:tmpl w:val="B7521493"/>
    <w:lvl w:ilvl="0" w:tentative="0">
      <w:start w:val="1"/>
      <w:numFmt w:val="bullet"/>
      <w:lvlText w:val=""/>
      <w:lvlJc w:val="left"/>
      <w:pPr>
        <w:ind w:left="720" w:hanging="360"/>
      </w:pPr>
      <w:rPr>
        <w:rFonts w:hint="default" w:ascii="Symbol" w:hAnsi="Symbol" w:cs="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cs="Wingdings"/>
      </w:rPr>
    </w:lvl>
    <w:lvl w:ilvl="3" w:tentative="0">
      <w:start w:val="1"/>
      <w:numFmt w:val="bullet"/>
      <w:lvlText w:val=""/>
      <w:lvlJc w:val="left"/>
      <w:pPr>
        <w:ind w:left="2880" w:hanging="360"/>
      </w:pPr>
      <w:rPr>
        <w:rFonts w:hint="default" w:ascii="Symbol" w:hAnsi="Symbol" w:cs="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cs="Wingdings"/>
      </w:rPr>
    </w:lvl>
    <w:lvl w:ilvl="6" w:tentative="0">
      <w:start w:val="1"/>
      <w:numFmt w:val="bullet"/>
      <w:lvlText w:val=""/>
      <w:lvlJc w:val="left"/>
      <w:pPr>
        <w:ind w:left="5040" w:hanging="360"/>
      </w:pPr>
      <w:rPr>
        <w:rFonts w:hint="default" w:ascii="Symbol" w:hAnsi="Symbol" w:cs="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cs="Wingdings"/>
      </w:rPr>
    </w:lvl>
  </w:abstractNum>
  <w:abstractNum w:abstractNumId="2">
    <w:nsid w:val="BB287A98"/>
    <w:multiLevelType w:val="multilevel"/>
    <w:tmpl w:val="BB287A98"/>
    <w:lvl w:ilvl="0" w:tentative="0">
      <w:start w:val="1"/>
      <w:numFmt w:val="bullet"/>
      <w:lvlText w:val=""/>
      <w:lvlJc w:val="left"/>
      <w:pPr>
        <w:ind w:left="720" w:hanging="360"/>
      </w:pPr>
      <w:rPr>
        <w:rFonts w:hint="default" w:ascii="Symbol" w:hAnsi="Symbol" w:cs="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cs="Wingdings"/>
      </w:rPr>
    </w:lvl>
    <w:lvl w:ilvl="3" w:tentative="0">
      <w:start w:val="1"/>
      <w:numFmt w:val="bullet"/>
      <w:lvlText w:val=""/>
      <w:lvlJc w:val="left"/>
      <w:pPr>
        <w:ind w:left="2880" w:hanging="360"/>
      </w:pPr>
      <w:rPr>
        <w:rFonts w:hint="default" w:ascii="Symbol" w:hAnsi="Symbol" w:cs="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cs="Wingdings"/>
      </w:rPr>
    </w:lvl>
    <w:lvl w:ilvl="6" w:tentative="0">
      <w:start w:val="1"/>
      <w:numFmt w:val="bullet"/>
      <w:lvlText w:val=""/>
      <w:lvlJc w:val="left"/>
      <w:pPr>
        <w:ind w:left="5040" w:hanging="360"/>
      </w:pPr>
      <w:rPr>
        <w:rFonts w:hint="default" w:ascii="Symbol" w:hAnsi="Symbol" w:cs="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cs="Wingdings"/>
      </w:rPr>
    </w:lvl>
  </w:abstractNum>
  <w:abstractNum w:abstractNumId="3">
    <w:nsid w:val="DBCB19E5"/>
    <w:multiLevelType w:val="multilevel"/>
    <w:tmpl w:val="DBCB19E5"/>
    <w:lvl w:ilvl="0" w:tentative="0">
      <w:start w:val="1"/>
      <w:numFmt w:val="bullet"/>
      <w:lvlText w:val=""/>
      <w:lvlJc w:val="left"/>
      <w:pPr>
        <w:ind w:left="827" w:hanging="360"/>
      </w:pPr>
      <w:rPr>
        <w:rFonts w:hint="default" w:ascii="Symbol" w:hAnsi="Symbol" w:cs="Symbol"/>
      </w:rPr>
    </w:lvl>
    <w:lvl w:ilvl="1" w:tentative="0">
      <w:start w:val="1"/>
      <w:numFmt w:val="bullet"/>
      <w:lvlText w:val="o"/>
      <w:lvlJc w:val="left"/>
      <w:pPr>
        <w:ind w:left="1547" w:hanging="360"/>
      </w:pPr>
      <w:rPr>
        <w:rFonts w:hint="default" w:ascii="Courier New" w:hAnsi="Courier New" w:cs="Courier New"/>
      </w:rPr>
    </w:lvl>
    <w:lvl w:ilvl="2" w:tentative="0">
      <w:start w:val="1"/>
      <w:numFmt w:val="bullet"/>
      <w:lvlText w:val=""/>
      <w:lvlJc w:val="left"/>
      <w:pPr>
        <w:ind w:left="2267" w:hanging="360"/>
      </w:pPr>
      <w:rPr>
        <w:rFonts w:hint="default" w:ascii="Wingdings" w:hAnsi="Wingdings" w:cs="Wingdings"/>
      </w:rPr>
    </w:lvl>
    <w:lvl w:ilvl="3" w:tentative="0">
      <w:start w:val="1"/>
      <w:numFmt w:val="bullet"/>
      <w:lvlText w:val=""/>
      <w:lvlJc w:val="left"/>
      <w:pPr>
        <w:ind w:left="2987" w:hanging="360"/>
      </w:pPr>
      <w:rPr>
        <w:rFonts w:hint="default" w:ascii="Symbol" w:hAnsi="Symbol" w:cs="Symbol"/>
      </w:rPr>
    </w:lvl>
    <w:lvl w:ilvl="4" w:tentative="0">
      <w:start w:val="1"/>
      <w:numFmt w:val="bullet"/>
      <w:lvlText w:val="o"/>
      <w:lvlJc w:val="left"/>
      <w:pPr>
        <w:ind w:left="3707" w:hanging="360"/>
      </w:pPr>
      <w:rPr>
        <w:rFonts w:hint="default" w:ascii="Courier New" w:hAnsi="Courier New" w:cs="Courier New"/>
      </w:rPr>
    </w:lvl>
    <w:lvl w:ilvl="5" w:tentative="0">
      <w:start w:val="1"/>
      <w:numFmt w:val="bullet"/>
      <w:lvlText w:val=""/>
      <w:lvlJc w:val="left"/>
      <w:pPr>
        <w:ind w:left="4427" w:hanging="360"/>
      </w:pPr>
      <w:rPr>
        <w:rFonts w:hint="default" w:ascii="Wingdings" w:hAnsi="Wingdings" w:cs="Wingdings"/>
      </w:rPr>
    </w:lvl>
    <w:lvl w:ilvl="6" w:tentative="0">
      <w:start w:val="1"/>
      <w:numFmt w:val="bullet"/>
      <w:lvlText w:val=""/>
      <w:lvlJc w:val="left"/>
      <w:pPr>
        <w:ind w:left="5147" w:hanging="360"/>
      </w:pPr>
      <w:rPr>
        <w:rFonts w:hint="default" w:ascii="Symbol" w:hAnsi="Symbol" w:cs="Symbol"/>
      </w:rPr>
    </w:lvl>
    <w:lvl w:ilvl="7" w:tentative="0">
      <w:start w:val="1"/>
      <w:numFmt w:val="bullet"/>
      <w:lvlText w:val="o"/>
      <w:lvlJc w:val="left"/>
      <w:pPr>
        <w:ind w:left="5867" w:hanging="360"/>
      </w:pPr>
      <w:rPr>
        <w:rFonts w:hint="default" w:ascii="Courier New" w:hAnsi="Courier New" w:cs="Courier New"/>
      </w:rPr>
    </w:lvl>
    <w:lvl w:ilvl="8" w:tentative="0">
      <w:start w:val="1"/>
      <w:numFmt w:val="bullet"/>
      <w:lvlText w:val=""/>
      <w:lvlJc w:val="left"/>
      <w:pPr>
        <w:ind w:left="6587" w:hanging="360"/>
      </w:pPr>
      <w:rPr>
        <w:rFonts w:hint="default" w:ascii="Wingdings" w:hAnsi="Wingdings" w:cs="Wingdings"/>
      </w:rPr>
    </w:lvl>
  </w:abstractNum>
  <w:abstractNum w:abstractNumId="4">
    <w:nsid w:val="E201C63C"/>
    <w:multiLevelType w:val="multilevel"/>
    <w:tmpl w:val="E201C63C"/>
    <w:lvl w:ilvl="0" w:tentative="0">
      <w:start w:val="1"/>
      <w:numFmt w:val="bullet"/>
      <w:lvlText w:val=""/>
      <w:lvlJc w:val="left"/>
      <w:pPr>
        <w:ind w:left="720" w:hanging="360"/>
      </w:pPr>
      <w:rPr>
        <w:rFonts w:hint="default" w:ascii="Symbol" w:hAnsi="Symbol" w:cs="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cs="Wingdings"/>
      </w:rPr>
    </w:lvl>
    <w:lvl w:ilvl="3" w:tentative="0">
      <w:start w:val="1"/>
      <w:numFmt w:val="bullet"/>
      <w:lvlText w:val=""/>
      <w:lvlJc w:val="left"/>
      <w:pPr>
        <w:ind w:left="2880" w:hanging="360"/>
      </w:pPr>
      <w:rPr>
        <w:rFonts w:hint="default" w:ascii="Symbol" w:hAnsi="Symbol" w:cs="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cs="Wingdings"/>
      </w:rPr>
    </w:lvl>
    <w:lvl w:ilvl="6" w:tentative="0">
      <w:start w:val="1"/>
      <w:numFmt w:val="bullet"/>
      <w:lvlText w:val=""/>
      <w:lvlJc w:val="left"/>
      <w:pPr>
        <w:ind w:left="5040" w:hanging="360"/>
      </w:pPr>
      <w:rPr>
        <w:rFonts w:hint="default" w:ascii="Symbol" w:hAnsi="Symbol" w:cs="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cs="Wingdings"/>
      </w:rPr>
    </w:lvl>
  </w:abstractNum>
  <w:abstractNum w:abstractNumId="5">
    <w:nsid w:val="E2B4F06E"/>
    <w:multiLevelType w:val="multilevel"/>
    <w:tmpl w:val="E2B4F06E"/>
    <w:lvl w:ilvl="0" w:tentative="0">
      <w:start w:val="1"/>
      <w:numFmt w:val="bullet"/>
      <w:lvlText w:val=""/>
      <w:lvlJc w:val="left"/>
      <w:pPr>
        <w:ind w:left="720" w:hanging="360"/>
      </w:pPr>
      <w:rPr>
        <w:rFonts w:hint="default" w:ascii="Symbol" w:hAnsi="Symbol" w:cs="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cs="Wingdings"/>
      </w:rPr>
    </w:lvl>
    <w:lvl w:ilvl="3" w:tentative="0">
      <w:start w:val="1"/>
      <w:numFmt w:val="bullet"/>
      <w:lvlText w:val=""/>
      <w:lvlJc w:val="left"/>
      <w:pPr>
        <w:ind w:left="2880" w:hanging="360"/>
      </w:pPr>
      <w:rPr>
        <w:rFonts w:hint="default" w:ascii="Symbol" w:hAnsi="Symbol" w:cs="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cs="Wingdings"/>
      </w:rPr>
    </w:lvl>
    <w:lvl w:ilvl="6" w:tentative="0">
      <w:start w:val="1"/>
      <w:numFmt w:val="bullet"/>
      <w:lvlText w:val=""/>
      <w:lvlJc w:val="left"/>
      <w:pPr>
        <w:ind w:left="5040" w:hanging="360"/>
      </w:pPr>
      <w:rPr>
        <w:rFonts w:hint="default" w:ascii="Symbol" w:hAnsi="Symbol" w:cs="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cs="Wingdings"/>
      </w:rPr>
    </w:lvl>
  </w:abstractNum>
  <w:abstractNum w:abstractNumId="6">
    <w:nsid w:val="F4E17ADB"/>
    <w:multiLevelType w:val="multilevel"/>
    <w:tmpl w:val="F4E17ADB"/>
    <w:lvl w:ilvl="0" w:tentative="0">
      <w:start w:val="1"/>
      <w:numFmt w:val="bullet"/>
      <w:lvlText w:val=""/>
      <w:lvlJc w:val="left"/>
      <w:pPr>
        <w:ind w:left="720" w:hanging="360"/>
      </w:pPr>
      <w:rPr>
        <w:rFonts w:hint="default" w:ascii="Symbol" w:hAnsi="Symbol" w:cs="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cs="Wingdings"/>
      </w:rPr>
    </w:lvl>
    <w:lvl w:ilvl="3" w:tentative="0">
      <w:start w:val="1"/>
      <w:numFmt w:val="bullet"/>
      <w:lvlText w:val=""/>
      <w:lvlJc w:val="left"/>
      <w:pPr>
        <w:ind w:left="2880" w:hanging="360"/>
      </w:pPr>
      <w:rPr>
        <w:rFonts w:hint="default" w:ascii="Symbol" w:hAnsi="Symbol" w:cs="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cs="Wingdings"/>
      </w:rPr>
    </w:lvl>
    <w:lvl w:ilvl="6" w:tentative="0">
      <w:start w:val="1"/>
      <w:numFmt w:val="bullet"/>
      <w:lvlText w:val=""/>
      <w:lvlJc w:val="left"/>
      <w:pPr>
        <w:ind w:left="5040" w:hanging="360"/>
      </w:pPr>
      <w:rPr>
        <w:rFonts w:hint="default" w:ascii="Symbol" w:hAnsi="Symbol" w:cs="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cs="Wingdings"/>
      </w:rPr>
    </w:lvl>
  </w:abstractNum>
  <w:abstractNum w:abstractNumId="7">
    <w:nsid w:val="F5A6C21B"/>
    <w:multiLevelType w:val="multilevel"/>
    <w:tmpl w:val="F5A6C21B"/>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8">
    <w:nsid w:val="00E04F7A"/>
    <w:multiLevelType w:val="multilevel"/>
    <w:tmpl w:val="00E04F7A"/>
    <w:lvl w:ilvl="0" w:tentative="0">
      <w:start w:val="1"/>
      <w:numFmt w:val="bullet"/>
      <w:lvlText w:val=""/>
      <w:lvlJc w:val="left"/>
      <w:pPr>
        <w:ind w:left="720" w:hanging="360"/>
      </w:pPr>
      <w:rPr>
        <w:rFonts w:hint="default" w:ascii="Symbol" w:hAnsi="Symbol" w:cs="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cs="Wingdings"/>
      </w:rPr>
    </w:lvl>
    <w:lvl w:ilvl="3" w:tentative="0">
      <w:start w:val="1"/>
      <w:numFmt w:val="bullet"/>
      <w:lvlText w:val=""/>
      <w:lvlJc w:val="left"/>
      <w:pPr>
        <w:ind w:left="2880" w:hanging="360"/>
      </w:pPr>
      <w:rPr>
        <w:rFonts w:hint="default" w:ascii="Symbol" w:hAnsi="Symbol" w:cs="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cs="Wingdings"/>
      </w:rPr>
    </w:lvl>
    <w:lvl w:ilvl="6" w:tentative="0">
      <w:start w:val="1"/>
      <w:numFmt w:val="bullet"/>
      <w:lvlText w:val=""/>
      <w:lvlJc w:val="left"/>
      <w:pPr>
        <w:ind w:left="5040" w:hanging="360"/>
      </w:pPr>
      <w:rPr>
        <w:rFonts w:hint="default" w:ascii="Symbol" w:hAnsi="Symbol" w:cs="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cs="Wingdings"/>
      </w:rPr>
    </w:lvl>
  </w:abstractNum>
  <w:abstractNum w:abstractNumId="9">
    <w:nsid w:val="09E18733"/>
    <w:multiLevelType w:val="multilevel"/>
    <w:tmpl w:val="09E18733"/>
    <w:lvl w:ilvl="0" w:tentative="0">
      <w:start w:val="1"/>
      <w:numFmt w:val="bullet"/>
      <w:lvlText w:val=""/>
      <w:lvlJc w:val="left"/>
      <w:pPr>
        <w:ind w:left="720" w:hanging="360"/>
      </w:pPr>
      <w:rPr>
        <w:rFonts w:hint="default" w:ascii="Symbol" w:hAnsi="Symbol" w:cs="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cs="Wingdings"/>
      </w:rPr>
    </w:lvl>
    <w:lvl w:ilvl="3" w:tentative="0">
      <w:start w:val="1"/>
      <w:numFmt w:val="bullet"/>
      <w:lvlText w:val=""/>
      <w:lvlJc w:val="left"/>
      <w:pPr>
        <w:ind w:left="2880" w:hanging="360"/>
      </w:pPr>
      <w:rPr>
        <w:rFonts w:hint="default" w:ascii="Symbol" w:hAnsi="Symbol" w:cs="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cs="Wingdings"/>
      </w:rPr>
    </w:lvl>
    <w:lvl w:ilvl="6" w:tentative="0">
      <w:start w:val="1"/>
      <w:numFmt w:val="bullet"/>
      <w:lvlText w:val=""/>
      <w:lvlJc w:val="left"/>
      <w:pPr>
        <w:ind w:left="5040" w:hanging="360"/>
      </w:pPr>
      <w:rPr>
        <w:rFonts w:hint="default" w:ascii="Symbol" w:hAnsi="Symbol" w:cs="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cs="Wingdings"/>
      </w:rPr>
    </w:lvl>
  </w:abstractNum>
  <w:abstractNum w:abstractNumId="10">
    <w:nsid w:val="204476C0"/>
    <w:multiLevelType w:val="multilevel"/>
    <w:tmpl w:val="204476C0"/>
    <w:lvl w:ilvl="0" w:tentative="0">
      <w:start w:val="4"/>
      <w:numFmt w:val="decimal"/>
      <w:lvlText w:val="%1"/>
      <w:lvlJc w:val="left"/>
      <w:pPr>
        <w:ind w:left="360" w:hanging="360"/>
      </w:pPr>
    </w:lvl>
    <w:lvl w:ilvl="1" w:tentative="0">
      <w:start w:val="2"/>
      <w:numFmt w:val="decimal"/>
      <w:lvlText w:val="%1.%2"/>
      <w:lvlJc w:val="left"/>
      <w:pPr>
        <w:ind w:left="786" w:hanging="360"/>
      </w:pPr>
    </w:lvl>
    <w:lvl w:ilvl="2" w:tentative="0">
      <w:start w:val="1"/>
      <w:numFmt w:val="decimal"/>
      <w:lvlText w:val="%1.%2.%3"/>
      <w:lvlJc w:val="left"/>
      <w:pPr>
        <w:ind w:left="1572" w:hanging="720"/>
      </w:pPr>
    </w:lvl>
    <w:lvl w:ilvl="3" w:tentative="0">
      <w:start w:val="1"/>
      <w:numFmt w:val="decimal"/>
      <w:lvlText w:val="%1.%2.%3.%4"/>
      <w:lvlJc w:val="left"/>
      <w:pPr>
        <w:ind w:left="1998" w:hanging="720"/>
      </w:pPr>
    </w:lvl>
    <w:lvl w:ilvl="4" w:tentative="0">
      <w:start w:val="1"/>
      <w:numFmt w:val="decimal"/>
      <w:lvlText w:val="%1.%2.%3.%4.%5"/>
      <w:lvlJc w:val="left"/>
      <w:pPr>
        <w:ind w:left="2784" w:hanging="1080"/>
      </w:pPr>
    </w:lvl>
    <w:lvl w:ilvl="5" w:tentative="0">
      <w:start w:val="1"/>
      <w:numFmt w:val="decimal"/>
      <w:lvlText w:val="%1.%2.%3.%4.%5.%6"/>
      <w:lvlJc w:val="left"/>
      <w:pPr>
        <w:ind w:left="3570" w:hanging="1440"/>
      </w:pPr>
    </w:lvl>
    <w:lvl w:ilvl="6" w:tentative="0">
      <w:start w:val="1"/>
      <w:numFmt w:val="decimal"/>
      <w:lvlText w:val="%1.%2.%3.%4.%5.%6.%7"/>
      <w:lvlJc w:val="left"/>
      <w:pPr>
        <w:ind w:left="3996" w:hanging="1440"/>
      </w:pPr>
    </w:lvl>
    <w:lvl w:ilvl="7" w:tentative="0">
      <w:start w:val="1"/>
      <w:numFmt w:val="decimal"/>
      <w:lvlText w:val="%1.%2.%3.%4.%5.%6.%7.%8"/>
      <w:lvlJc w:val="left"/>
      <w:pPr>
        <w:ind w:left="4782" w:hanging="1800"/>
      </w:pPr>
    </w:lvl>
    <w:lvl w:ilvl="8" w:tentative="0">
      <w:start w:val="1"/>
      <w:numFmt w:val="decimal"/>
      <w:lvlText w:val="%1.%2.%3.%4.%5.%6.%7.%8.%9"/>
      <w:lvlJc w:val="left"/>
      <w:pPr>
        <w:ind w:left="5208" w:hanging="1800"/>
      </w:pPr>
    </w:lvl>
  </w:abstractNum>
  <w:abstractNum w:abstractNumId="11">
    <w:nsid w:val="69B13D9C"/>
    <w:multiLevelType w:val="multilevel"/>
    <w:tmpl w:val="69B13D9C"/>
    <w:lvl w:ilvl="0" w:tentative="0">
      <w:start w:val="1"/>
      <w:numFmt w:val="bullet"/>
      <w:lvlText w:val=""/>
      <w:lvlJc w:val="left"/>
      <w:pPr>
        <w:ind w:left="720" w:hanging="360"/>
      </w:pPr>
      <w:rPr>
        <w:rFonts w:hint="default" w:ascii="Symbol" w:hAnsi="Symbol" w:cs="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cs="Wingdings"/>
      </w:rPr>
    </w:lvl>
    <w:lvl w:ilvl="3" w:tentative="0">
      <w:start w:val="1"/>
      <w:numFmt w:val="bullet"/>
      <w:lvlText w:val=""/>
      <w:lvlJc w:val="left"/>
      <w:pPr>
        <w:ind w:left="2880" w:hanging="360"/>
      </w:pPr>
      <w:rPr>
        <w:rFonts w:hint="default" w:ascii="Symbol" w:hAnsi="Symbol" w:cs="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cs="Wingdings"/>
      </w:rPr>
    </w:lvl>
    <w:lvl w:ilvl="6" w:tentative="0">
      <w:start w:val="1"/>
      <w:numFmt w:val="bullet"/>
      <w:lvlText w:val=""/>
      <w:lvlJc w:val="left"/>
      <w:pPr>
        <w:ind w:left="5040" w:hanging="360"/>
      </w:pPr>
      <w:rPr>
        <w:rFonts w:hint="default" w:ascii="Symbol" w:hAnsi="Symbol" w:cs="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cs="Wingdings"/>
      </w:rPr>
    </w:lvl>
  </w:abstractNum>
  <w:abstractNum w:abstractNumId="12">
    <w:nsid w:val="751DA18E"/>
    <w:multiLevelType w:val="multilevel"/>
    <w:tmpl w:val="751DA18E"/>
    <w:lvl w:ilvl="0" w:tentative="0">
      <w:start w:val="1"/>
      <w:numFmt w:val="upperRoman"/>
      <w:lvlText w:val="%1."/>
      <w:lvlJc w:val="righ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3">
    <w:nsid w:val="7A0C6D16"/>
    <w:multiLevelType w:val="multilevel"/>
    <w:tmpl w:val="7A0C6D16"/>
    <w:lvl w:ilvl="0" w:tentative="0">
      <w:start w:val="1"/>
      <w:numFmt w:val="bullet"/>
      <w:lvlText w:val=""/>
      <w:lvlJc w:val="left"/>
      <w:pPr>
        <w:ind w:left="720" w:hanging="360"/>
      </w:pPr>
      <w:rPr>
        <w:rFonts w:hint="default" w:ascii="Symbol" w:hAnsi="Symbol" w:cs="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cs="Wingdings"/>
      </w:rPr>
    </w:lvl>
    <w:lvl w:ilvl="3" w:tentative="0">
      <w:start w:val="1"/>
      <w:numFmt w:val="bullet"/>
      <w:lvlText w:val=""/>
      <w:lvlJc w:val="left"/>
      <w:pPr>
        <w:ind w:left="2880" w:hanging="360"/>
      </w:pPr>
      <w:rPr>
        <w:rFonts w:hint="default" w:ascii="Symbol" w:hAnsi="Symbol" w:cs="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cs="Wingdings"/>
      </w:rPr>
    </w:lvl>
    <w:lvl w:ilvl="6" w:tentative="0">
      <w:start w:val="1"/>
      <w:numFmt w:val="bullet"/>
      <w:lvlText w:val=""/>
      <w:lvlJc w:val="left"/>
      <w:pPr>
        <w:ind w:left="5040" w:hanging="360"/>
      </w:pPr>
      <w:rPr>
        <w:rFonts w:hint="default" w:ascii="Symbol" w:hAnsi="Symbol" w:cs="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cs="Wingdings"/>
      </w:rPr>
    </w:lvl>
  </w:abstractNum>
  <w:abstractNum w:abstractNumId="14">
    <w:nsid w:val="7D6A2B2D"/>
    <w:multiLevelType w:val="multilevel"/>
    <w:tmpl w:val="7D6A2B2D"/>
    <w:lvl w:ilvl="0" w:tentative="0">
      <w:start w:val="1"/>
      <w:numFmt w:val="decimal"/>
      <w:lvlText w:val="%1"/>
      <w:lvlJc w:val="left"/>
      <w:pPr>
        <w:ind w:left="360" w:hanging="360"/>
      </w:pPr>
    </w:lvl>
    <w:lvl w:ilvl="1" w:tentative="0">
      <w:start w:val="1"/>
      <w:numFmt w:val="decimal"/>
      <w:lvlText w:val="%1.%2"/>
      <w:lvlJc w:val="left"/>
      <w:pPr>
        <w:ind w:left="360" w:hanging="360"/>
      </w:pPr>
    </w:lvl>
    <w:lvl w:ilvl="2" w:tentative="0">
      <w:start w:val="1"/>
      <w:numFmt w:val="decimal"/>
      <w:lvlText w:val="%1.%2.%3"/>
      <w:lvlJc w:val="left"/>
      <w:pPr>
        <w:ind w:left="720" w:hanging="720"/>
      </w:pPr>
    </w:lvl>
    <w:lvl w:ilvl="3" w:tentative="0">
      <w:start w:val="1"/>
      <w:numFmt w:val="decimal"/>
      <w:lvlText w:val="%1.%2.%3.%4"/>
      <w:lvlJc w:val="left"/>
      <w:pPr>
        <w:ind w:left="720" w:hanging="720"/>
      </w:pPr>
    </w:lvl>
    <w:lvl w:ilvl="4" w:tentative="0">
      <w:start w:val="1"/>
      <w:numFmt w:val="decimal"/>
      <w:lvlText w:val="%1.%2.%3.%4.%5"/>
      <w:lvlJc w:val="left"/>
      <w:pPr>
        <w:ind w:left="1080" w:hanging="1080"/>
      </w:pPr>
    </w:lvl>
    <w:lvl w:ilvl="5" w:tentative="0">
      <w:start w:val="1"/>
      <w:numFmt w:val="decimal"/>
      <w:lvlText w:val="%1.%2.%3.%4.%5.%6"/>
      <w:lvlJc w:val="left"/>
      <w:pPr>
        <w:ind w:left="1080" w:hanging="1080"/>
      </w:pPr>
    </w:lvl>
    <w:lvl w:ilvl="6" w:tentative="0">
      <w:start w:val="1"/>
      <w:numFmt w:val="decimal"/>
      <w:lvlText w:val="%1.%2.%3.%4.%5.%6.%7"/>
      <w:lvlJc w:val="left"/>
      <w:pPr>
        <w:ind w:left="1440" w:hanging="1440"/>
      </w:pPr>
    </w:lvl>
    <w:lvl w:ilvl="7" w:tentative="0">
      <w:start w:val="1"/>
      <w:numFmt w:val="decimal"/>
      <w:lvlText w:val="%1.%2.%3.%4.%5.%6.%7.%8"/>
      <w:lvlJc w:val="left"/>
      <w:pPr>
        <w:ind w:left="1440" w:hanging="1440"/>
      </w:pPr>
    </w:lvl>
    <w:lvl w:ilvl="8" w:tentative="0">
      <w:start w:val="1"/>
      <w:numFmt w:val="decimal"/>
      <w:lvlText w:val="%1.%2.%3.%4.%5.%6.%7.%8.%9"/>
      <w:lvlJc w:val="left"/>
      <w:pPr>
        <w:ind w:left="1440" w:hanging="1440"/>
      </w:pPr>
    </w:lvl>
  </w:abstractNum>
  <w:num w:numId="1">
    <w:abstractNumId w:val="7"/>
  </w:num>
  <w:num w:numId="2">
    <w:abstractNumId w:val="14"/>
  </w:num>
  <w:num w:numId="3">
    <w:abstractNumId w:val="6"/>
  </w:num>
  <w:num w:numId="4">
    <w:abstractNumId w:val="1"/>
  </w:num>
  <w:num w:numId="5">
    <w:abstractNumId w:val="8"/>
  </w:num>
  <w:num w:numId="6">
    <w:abstractNumId w:val="11"/>
  </w:num>
  <w:num w:numId="7">
    <w:abstractNumId w:val="5"/>
  </w:num>
  <w:num w:numId="8">
    <w:abstractNumId w:val="3"/>
  </w:num>
  <w:num w:numId="9">
    <w:abstractNumId w:val="0"/>
  </w:num>
  <w:num w:numId="10">
    <w:abstractNumId w:val="2"/>
  </w:num>
  <w:num w:numId="11">
    <w:abstractNumId w:val="13"/>
  </w:num>
  <w:num w:numId="12">
    <w:abstractNumId w:val="4"/>
  </w:num>
  <w:num w:numId="13">
    <w:abstractNumId w:val="9"/>
  </w:num>
  <w:num w:numId="14">
    <w:abstractNumId w:val="12"/>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characterSpacingControl w:val="compressPunctuation"/>
  <w:compat>
    <w:spaceForUL/>
    <w:balanceSingleByteDoubleByteWidth/>
    <w:doNotLeaveBackslashAlone/>
    <w:ulTrailSpace/>
    <w:doNotExpandShiftReturn/>
    <w:adjustLineHeightInTable/>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56E0EA5"/>
    <w:rsid w:val="556E0EA5"/>
    <w:rsid w:val="72AF031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link w:val="16"/>
    <w:qFormat/>
    <w:uiPriority w:val="0"/>
    <w:pPr>
      <w:keepNext/>
      <w:keepLines/>
      <w:widowControl/>
      <w:suppressLineNumbers w:val="0"/>
      <w:spacing w:before="240" w:beforeAutospacing="0" w:after="0" w:afterAutospacing="0" w:line="256" w:lineRule="auto"/>
      <w:ind w:left="0" w:right="0"/>
      <w:jc w:val="left"/>
      <w:outlineLvl w:val="0"/>
    </w:pPr>
    <w:rPr>
      <w:rFonts w:hint="default" w:ascii="Calibri Light" w:hAnsi="Calibri Light" w:eastAsia="Times New Roman" w:cs="Times New Roman"/>
      <w:bCs/>
      <w:color w:val="2F5496"/>
      <w:kern w:val="0"/>
      <w:sz w:val="32"/>
      <w:szCs w:val="32"/>
      <w:lang w:val="en-US" w:eastAsia="zh-CN" w:bidi="ar"/>
    </w:rPr>
  </w:style>
  <w:style w:type="paragraph" w:styleId="3">
    <w:name w:val="heading 2"/>
    <w:next w:val="1"/>
    <w:link w:val="17"/>
    <w:semiHidden/>
    <w:unhideWhenUsed/>
    <w:qFormat/>
    <w:uiPriority w:val="0"/>
    <w:pPr>
      <w:keepNext/>
      <w:keepLines/>
      <w:widowControl/>
      <w:suppressLineNumbers w:val="0"/>
      <w:spacing w:before="40" w:beforeAutospacing="0" w:after="0" w:afterAutospacing="0" w:line="256" w:lineRule="auto"/>
      <w:ind w:left="0" w:right="0"/>
      <w:jc w:val="left"/>
      <w:outlineLvl w:val="1"/>
    </w:pPr>
    <w:rPr>
      <w:rFonts w:hint="default" w:ascii="Calibri Light" w:hAnsi="Calibri Light" w:eastAsia="Times New Roman" w:cs="Times New Roman"/>
      <w:bCs/>
      <w:color w:val="2F5496"/>
      <w:kern w:val="0"/>
      <w:sz w:val="26"/>
      <w:szCs w:val="26"/>
      <w:lang w:val="en-US" w:eastAsia="zh-CN" w:bidi="ar"/>
    </w:rPr>
  </w:style>
  <w:style w:type="paragraph" w:styleId="4">
    <w:name w:val="heading 3"/>
    <w:next w:val="1"/>
    <w:link w:val="18"/>
    <w:semiHidden/>
    <w:unhideWhenUsed/>
    <w:qFormat/>
    <w:uiPriority w:val="0"/>
    <w:pPr>
      <w:keepNext/>
      <w:keepLines/>
      <w:widowControl/>
      <w:suppressLineNumbers w:val="0"/>
      <w:spacing w:before="40" w:beforeAutospacing="0" w:after="0" w:afterAutospacing="0" w:line="256" w:lineRule="auto"/>
      <w:ind w:left="0" w:right="0"/>
      <w:jc w:val="left"/>
      <w:outlineLvl w:val="2"/>
    </w:pPr>
    <w:rPr>
      <w:rFonts w:hint="default" w:ascii="Calibri Light" w:hAnsi="Calibri Light" w:eastAsia="Times New Roman" w:cs="Times New Roman"/>
      <w:bCs/>
      <w:color w:val="1F3763"/>
      <w:kern w:val="0"/>
      <w:sz w:val="24"/>
      <w:szCs w:val="24"/>
      <w:lang w:val="en-US" w:eastAsia="zh-CN" w:bidi="ar"/>
    </w:rPr>
  </w:style>
  <w:style w:type="character" w:default="1" w:styleId="9">
    <w:name w:val="Default Paragraph Font"/>
    <w:semiHidden/>
    <w:uiPriority w:val="0"/>
  </w:style>
  <w:style w:type="table" w:default="1" w:styleId="12">
    <w:name w:val="Normal Table"/>
    <w:semiHidden/>
    <w:qFormat/>
    <w:uiPriority w:val="0"/>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paragraph" w:styleId="5">
    <w:name w:val="Normal (Web)"/>
    <w:uiPriority w:val="0"/>
    <w:pPr>
      <w:spacing w:before="0" w:beforeAutospacing="1" w:after="0" w:afterAutospacing="1" w:line="240" w:lineRule="auto"/>
      <w:ind w:left="0" w:right="0"/>
      <w:jc w:val="left"/>
    </w:pPr>
    <w:rPr>
      <w:rFonts w:hint="default" w:ascii="Calibri" w:hAnsi="Calibri" w:eastAsia="Calibri" w:cs="Calibri"/>
      <w:kern w:val="0"/>
      <w:sz w:val="24"/>
      <w:szCs w:val="24"/>
      <w:lang w:val="en-US" w:eastAsia="zh-CN" w:bidi="ar"/>
    </w:rPr>
  </w:style>
  <w:style w:type="paragraph" w:styleId="6">
    <w:name w:val="toc 1"/>
    <w:next w:val="1"/>
    <w:qFormat/>
    <w:uiPriority w:val="0"/>
    <w:pPr>
      <w:keepNext w:val="0"/>
      <w:keepLines w:val="0"/>
      <w:widowControl/>
      <w:suppressLineNumbers w:val="0"/>
      <w:spacing w:before="0" w:beforeAutospacing="0" w:after="100" w:afterAutospacing="0" w:line="256" w:lineRule="auto"/>
      <w:ind w:left="0" w:right="0"/>
      <w:jc w:val="left"/>
    </w:pPr>
    <w:rPr>
      <w:rFonts w:hint="eastAsia" w:ascii="Calibri" w:hAnsi="Calibri" w:eastAsia="Calibri" w:cs="Times New Roman"/>
      <w:kern w:val="0"/>
      <w:sz w:val="22"/>
      <w:szCs w:val="22"/>
      <w:lang w:val="en-US" w:eastAsia="zh-CN" w:bidi="ar"/>
    </w:rPr>
  </w:style>
  <w:style w:type="paragraph" w:styleId="7">
    <w:name w:val="toc 2"/>
    <w:next w:val="1"/>
    <w:qFormat/>
    <w:uiPriority w:val="0"/>
    <w:pPr>
      <w:keepNext w:val="0"/>
      <w:keepLines w:val="0"/>
      <w:widowControl/>
      <w:suppressLineNumbers w:val="0"/>
      <w:spacing w:before="0" w:beforeAutospacing="0" w:after="100" w:afterAutospacing="0" w:line="256" w:lineRule="auto"/>
      <w:ind w:left="220" w:right="0"/>
      <w:jc w:val="left"/>
    </w:pPr>
    <w:rPr>
      <w:rFonts w:hint="eastAsia" w:ascii="Calibri" w:hAnsi="Calibri" w:eastAsia="Calibri" w:cs="Times New Roman"/>
      <w:kern w:val="0"/>
      <w:sz w:val="22"/>
      <w:szCs w:val="22"/>
      <w:lang w:val="en-US" w:eastAsia="zh-CN" w:bidi="ar"/>
    </w:rPr>
  </w:style>
  <w:style w:type="paragraph" w:styleId="8">
    <w:name w:val="toc 3"/>
    <w:next w:val="1"/>
    <w:uiPriority w:val="0"/>
    <w:pPr>
      <w:keepNext w:val="0"/>
      <w:keepLines w:val="0"/>
      <w:widowControl/>
      <w:suppressLineNumbers w:val="0"/>
      <w:spacing w:before="0" w:beforeAutospacing="0" w:after="100" w:afterAutospacing="0" w:line="256" w:lineRule="auto"/>
      <w:ind w:left="440" w:right="0"/>
      <w:jc w:val="left"/>
    </w:pPr>
    <w:rPr>
      <w:rFonts w:hint="eastAsia" w:ascii="Calibri" w:hAnsi="Calibri" w:eastAsia="Calibri" w:cs="Times New Roman"/>
      <w:kern w:val="0"/>
      <w:sz w:val="22"/>
      <w:szCs w:val="22"/>
      <w:lang w:val="en-US" w:eastAsia="zh-CN" w:bidi="ar"/>
    </w:rPr>
  </w:style>
  <w:style w:type="character" w:styleId="10">
    <w:name w:val="FollowedHyperlink"/>
    <w:qFormat/>
    <w:uiPriority w:val="0"/>
    <w:rPr>
      <w:color w:val="954F72"/>
      <w:u w:val="single"/>
    </w:rPr>
  </w:style>
  <w:style w:type="character" w:styleId="11">
    <w:name w:val="Hyperlink"/>
    <w:uiPriority w:val="0"/>
    <w:rPr>
      <w:color w:val="0563C1"/>
      <w:u w:val="single"/>
    </w:rPr>
  </w:style>
  <w:style w:type="table" w:styleId="13">
    <w:name w:val="Table Grid"/>
    <w:uiPriority w:val="0"/>
    <w:pPr>
      <w:keepNext w:val="0"/>
      <w:keepLines w:val="0"/>
      <w:widowControl/>
      <w:suppressLineNumbers w:val="0"/>
      <w:spacing w:before="0" w:beforeAutospacing="0" w:after="0" w:afterAutospacing="0"/>
      <w:ind w:left="0" w:right="0"/>
    </w:pPr>
    <w:rPr>
      <w:rFonts w:hint="eastAsia" w:ascii="Calibri" w:hAnsi="Calibri" w:cs="Times New Roman"/>
      <w:sz w:val="22"/>
      <w:szCs w:val="22"/>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cPr>
      <w:tcBorders>
        <w:top w:val="single" w:color="auto" w:sz="4" w:space="0"/>
        <w:left w:val="single" w:color="auto" w:sz="4" w:space="0"/>
        <w:bottom w:val="single" w:color="auto" w:sz="4" w:space="0"/>
        <w:right w:val="single" w:color="auto" w:sz="4" w:space="0"/>
      </w:tcBorders>
    </w:tcPr>
  </w:style>
  <w:style w:type="paragraph" w:customStyle="1" w:styleId="14">
    <w:name w:val="msotocheading"/>
    <w:basedOn w:val="2"/>
    <w:qFormat/>
    <w:uiPriority w:val="0"/>
    <w:pPr>
      <w:keepNext/>
      <w:keepLines/>
      <w:widowControl/>
      <w:suppressLineNumbers w:val="0"/>
      <w:spacing w:before="240" w:beforeAutospacing="0" w:after="0" w:afterAutospacing="0" w:line="256" w:lineRule="auto"/>
      <w:ind w:left="0" w:right="0"/>
      <w:jc w:val="left"/>
    </w:pPr>
    <w:rPr>
      <w:rFonts w:hint="default" w:ascii="Calibri Light" w:hAnsi="Calibri Light" w:eastAsia="Times New Roman" w:cs="Times New Roman"/>
      <w:color w:val="2F5496"/>
      <w:kern w:val="0"/>
      <w:sz w:val="32"/>
      <w:szCs w:val="32"/>
      <w:lang w:val="en-US" w:eastAsia="zh-CN" w:bidi="ar"/>
    </w:rPr>
  </w:style>
  <w:style w:type="paragraph" w:customStyle="1" w:styleId="15">
    <w:name w:val="msolistparagraph"/>
    <w:uiPriority w:val="0"/>
    <w:pPr>
      <w:keepNext w:val="0"/>
      <w:keepLines w:val="0"/>
      <w:widowControl/>
      <w:suppressLineNumbers w:val="0"/>
      <w:spacing w:before="0" w:beforeAutospacing="0" w:after="160" w:afterAutospacing="0" w:line="256" w:lineRule="auto"/>
      <w:ind w:left="720" w:right="0"/>
      <w:contextualSpacing/>
      <w:jc w:val="left"/>
    </w:pPr>
    <w:rPr>
      <w:rFonts w:hint="eastAsia" w:ascii="Calibri" w:hAnsi="Calibri" w:eastAsia="Calibri" w:cs="Times New Roman"/>
      <w:kern w:val="0"/>
      <w:sz w:val="22"/>
      <w:szCs w:val="22"/>
      <w:lang w:val="en-US" w:eastAsia="zh-CN" w:bidi="ar"/>
    </w:rPr>
  </w:style>
  <w:style w:type="character" w:customStyle="1" w:styleId="16">
    <w:name w:val="Heading 1 Char"/>
    <w:link w:val="2"/>
    <w:qFormat/>
    <w:uiPriority w:val="0"/>
    <w:rPr>
      <w:rFonts w:hint="default" w:ascii="Calibri Light" w:hAnsi="Calibri Light" w:eastAsia="Times New Roman" w:cs="Times New Roman"/>
      <w:color w:val="2F5496"/>
      <w:sz w:val="32"/>
      <w:szCs w:val="32"/>
    </w:rPr>
  </w:style>
  <w:style w:type="character" w:customStyle="1" w:styleId="17">
    <w:name w:val="Heading 2 Char"/>
    <w:link w:val="3"/>
    <w:uiPriority w:val="0"/>
    <w:rPr>
      <w:rFonts w:hint="default" w:ascii="Calibri Light" w:hAnsi="Calibri Light" w:eastAsia="Times New Roman" w:cs="Times New Roman"/>
      <w:color w:val="2F5496"/>
      <w:sz w:val="26"/>
      <w:szCs w:val="26"/>
    </w:rPr>
  </w:style>
  <w:style w:type="character" w:customStyle="1" w:styleId="18">
    <w:name w:val="Heading 3 Char"/>
    <w:link w:val="4"/>
    <w:uiPriority w:val="0"/>
    <w:rPr>
      <w:rFonts w:hint="default" w:ascii="Calibri Light" w:hAnsi="Calibri Light" w:eastAsia="Times New Roman" w:cs="Times New Roman"/>
      <w:color w:val="1F3763"/>
      <w:sz w:val="24"/>
      <w:szCs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7" Type="http://schemas.openxmlformats.org/officeDocument/2006/relationships/fontTable" Target="fontTable.xml"/><Relationship Id="rId26" Type="http://schemas.openxmlformats.org/officeDocument/2006/relationships/numbering" Target="numbering.xml"/><Relationship Id="rId25" Type="http://schemas.openxmlformats.org/officeDocument/2006/relationships/customXml" Target="../customXml/item1.xml"/><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emf"/><Relationship Id="rId21" Type="http://schemas.openxmlformats.org/officeDocument/2006/relationships/image" Target="media/image18.emf"/><Relationship Id="rId20" Type="http://schemas.openxmlformats.org/officeDocument/2006/relationships/image" Target="media/image17.emf"/><Relationship Id="rId2" Type="http://schemas.openxmlformats.org/officeDocument/2006/relationships/settings" Target="settings.xml"/><Relationship Id="rId19" Type="http://schemas.openxmlformats.org/officeDocument/2006/relationships/image" Target="media/image16.emf"/><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Office_11.2.0.8991_F1E327BC-269C-435d-A152-05C5408002CA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2021-06-21T17:36:00Z</dcterms:created>
  <dc:creator>owencevans</dc:creator>
  <cp:lastModifiedBy>owencevans</cp:lastModifiedBy>
  <dcterms:modified xsi:type="dcterms:W3CDTF">2021-06-21T17:47:21Z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2057-11.2.0.8991</vt:lpwstr>
  </property>
</Properties>
</file>