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BA636" w14:textId="77777777" w:rsidR="00DC04F8" w:rsidRPr="00EB79C7" w:rsidRDefault="00DC04F8" w:rsidP="006D7029">
      <w:pPr>
        <w:spacing w:line="360" w:lineRule="auto"/>
        <w:rPr>
          <w:rFonts w:ascii="Arial" w:hAnsi="Arial" w:cs="Arial"/>
          <w:lang w:val="nl-NL"/>
        </w:rPr>
      </w:pPr>
      <w:r w:rsidRPr="00EB79C7">
        <w:rPr>
          <w:rFonts w:ascii="Arial" w:hAnsi="Arial" w:cs="Arial"/>
          <w:lang w:val="nl-NL"/>
        </w:rPr>
        <w:t>Student name: Ionel Stefan</w:t>
      </w:r>
    </w:p>
    <w:p w14:paraId="59F41B57" w14:textId="64FF4417" w:rsidR="00DC04F8" w:rsidRPr="00EB79C7" w:rsidRDefault="00DC04F8" w:rsidP="006D7029">
      <w:pPr>
        <w:spacing w:line="360" w:lineRule="auto"/>
        <w:rPr>
          <w:rFonts w:ascii="Arial" w:hAnsi="Arial" w:cs="Arial"/>
        </w:rPr>
      </w:pPr>
      <w:r w:rsidRPr="00EB79C7">
        <w:rPr>
          <w:rFonts w:ascii="Arial" w:hAnsi="Arial" w:cs="Arial"/>
        </w:rPr>
        <w:t>Student number:</w:t>
      </w:r>
      <w:r w:rsidR="006D7029" w:rsidRPr="00EB79C7">
        <w:rPr>
          <w:rFonts w:ascii="Arial" w:hAnsi="Arial" w:cs="Arial"/>
        </w:rPr>
        <w:t xml:space="preserve"> 2216967</w:t>
      </w:r>
    </w:p>
    <w:p w14:paraId="04C9BB84" w14:textId="16408BF1" w:rsidR="00DC04F8" w:rsidRPr="00EB79C7" w:rsidRDefault="00DC04F8" w:rsidP="006D7029">
      <w:pPr>
        <w:spacing w:line="360" w:lineRule="auto"/>
        <w:rPr>
          <w:rFonts w:ascii="Arial" w:hAnsi="Arial" w:cs="Arial"/>
        </w:rPr>
      </w:pPr>
      <w:r w:rsidRPr="00EB79C7">
        <w:rPr>
          <w:rFonts w:ascii="Arial" w:hAnsi="Arial" w:cs="Arial"/>
        </w:rPr>
        <w:t>Course name:</w:t>
      </w:r>
      <w:r w:rsidR="006D7029" w:rsidRPr="00EB79C7">
        <w:rPr>
          <w:rFonts w:ascii="Arial" w:hAnsi="Arial" w:cs="Arial"/>
        </w:rPr>
        <w:t xml:space="preserve"> LCBB4010_BIRM</w:t>
      </w:r>
    </w:p>
    <w:p w14:paraId="4A2B6F13" w14:textId="3F1E1C0A" w:rsidR="00DC04F8" w:rsidRPr="00C6424A" w:rsidRDefault="00725B1D" w:rsidP="006D7029">
      <w:pPr>
        <w:spacing w:line="360" w:lineRule="auto"/>
        <w:rPr>
          <w:rFonts w:ascii="Arial" w:hAnsi="Arial" w:cs="Arial"/>
          <w:lang w:val="fr-FR"/>
        </w:rPr>
      </w:pPr>
      <w:proofErr w:type="spellStart"/>
      <w:proofErr w:type="gramStart"/>
      <w:r w:rsidRPr="00C6424A">
        <w:rPr>
          <w:rFonts w:ascii="Arial" w:hAnsi="Arial" w:cs="Arial"/>
          <w:lang w:val="fr-FR"/>
        </w:rPr>
        <w:t>Lecturer</w:t>
      </w:r>
      <w:proofErr w:type="spellEnd"/>
      <w:r w:rsidR="00DC04F8" w:rsidRPr="00C6424A">
        <w:rPr>
          <w:rFonts w:ascii="Arial" w:hAnsi="Arial" w:cs="Arial"/>
          <w:lang w:val="fr-FR"/>
        </w:rPr>
        <w:t>:</w:t>
      </w:r>
      <w:proofErr w:type="gramEnd"/>
      <w:r w:rsidR="006D7029" w:rsidRPr="00C6424A">
        <w:rPr>
          <w:rFonts w:ascii="Arial" w:hAnsi="Arial" w:cs="Arial"/>
          <w:lang w:val="fr-FR"/>
        </w:rPr>
        <w:t xml:space="preserve"> </w:t>
      </w:r>
      <w:r w:rsidR="00C6424A" w:rsidRPr="00C6424A">
        <w:rPr>
          <w:rFonts w:ascii="Arial" w:hAnsi="Arial" w:cs="Arial"/>
          <w:lang w:val="fr-FR"/>
        </w:rPr>
        <w:t xml:space="preserve">Ibrahim </w:t>
      </w:r>
      <w:proofErr w:type="spellStart"/>
      <w:r w:rsidR="00C6424A" w:rsidRPr="00C6424A">
        <w:rPr>
          <w:rFonts w:ascii="Arial" w:hAnsi="Arial" w:cs="Arial"/>
          <w:lang w:val="fr-FR"/>
        </w:rPr>
        <w:t>Ru</w:t>
      </w:r>
      <w:r w:rsidR="00C6424A">
        <w:rPr>
          <w:rFonts w:ascii="Arial" w:hAnsi="Arial" w:cs="Arial"/>
          <w:lang w:val="fr-FR"/>
        </w:rPr>
        <w:t>fai</w:t>
      </w:r>
      <w:proofErr w:type="spellEnd"/>
    </w:p>
    <w:p w14:paraId="7F51079C" w14:textId="089126B9" w:rsidR="00DC04F8" w:rsidRPr="00C6424A" w:rsidRDefault="00DC04F8" w:rsidP="006D7029">
      <w:pPr>
        <w:spacing w:line="360" w:lineRule="auto"/>
        <w:rPr>
          <w:rFonts w:ascii="Arial" w:hAnsi="Arial" w:cs="Arial"/>
          <w:lang w:val="fr-FR"/>
        </w:rPr>
      </w:pPr>
      <w:proofErr w:type="spellStart"/>
      <w:r w:rsidRPr="00C6424A">
        <w:rPr>
          <w:rFonts w:ascii="Arial" w:hAnsi="Arial" w:cs="Arial"/>
          <w:lang w:val="fr-FR"/>
        </w:rPr>
        <w:t>Submission</w:t>
      </w:r>
      <w:proofErr w:type="spellEnd"/>
      <w:r w:rsidRPr="00C6424A">
        <w:rPr>
          <w:rFonts w:ascii="Arial" w:hAnsi="Arial" w:cs="Arial"/>
          <w:lang w:val="fr-FR"/>
        </w:rPr>
        <w:t xml:space="preserve"> </w:t>
      </w:r>
      <w:proofErr w:type="gramStart"/>
      <w:r w:rsidRPr="00C6424A">
        <w:rPr>
          <w:rFonts w:ascii="Arial" w:hAnsi="Arial" w:cs="Arial"/>
          <w:lang w:val="fr-FR"/>
        </w:rPr>
        <w:t>date:</w:t>
      </w:r>
      <w:proofErr w:type="gramEnd"/>
      <w:r w:rsidR="006D7029" w:rsidRPr="00C6424A">
        <w:rPr>
          <w:rFonts w:ascii="Arial" w:hAnsi="Arial" w:cs="Arial"/>
          <w:lang w:val="fr-FR"/>
        </w:rPr>
        <w:t xml:space="preserve"> 17/07/2</w:t>
      </w:r>
      <w:r w:rsidR="00725B1D" w:rsidRPr="00C6424A">
        <w:rPr>
          <w:rFonts w:ascii="Arial" w:hAnsi="Arial" w:cs="Arial"/>
          <w:lang w:val="fr-FR"/>
        </w:rPr>
        <w:t>024</w:t>
      </w:r>
    </w:p>
    <w:p w14:paraId="629DF876" w14:textId="77777777" w:rsidR="00DC04F8" w:rsidRPr="00C6424A" w:rsidRDefault="00DC04F8" w:rsidP="006D7029">
      <w:pPr>
        <w:spacing w:line="360" w:lineRule="auto"/>
        <w:rPr>
          <w:rFonts w:ascii="Arial" w:hAnsi="Arial" w:cs="Arial"/>
          <w:lang w:val="fr-FR"/>
        </w:rPr>
      </w:pPr>
    </w:p>
    <w:p w14:paraId="6151AC65" w14:textId="77777777" w:rsidR="00DC04F8" w:rsidRPr="00C6424A" w:rsidRDefault="00DC04F8" w:rsidP="006D7029">
      <w:pPr>
        <w:spacing w:line="360" w:lineRule="auto"/>
        <w:rPr>
          <w:rFonts w:ascii="Arial" w:hAnsi="Arial" w:cs="Arial"/>
          <w:lang w:val="fr-FR"/>
        </w:rPr>
      </w:pPr>
    </w:p>
    <w:p w14:paraId="154F7D41" w14:textId="77777777" w:rsidR="00DC04F8" w:rsidRPr="00C6424A" w:rsidRDefault="00DC04F8" w:rsidP="006D7029">
      <w:pPr>
        <w:spacing w:line="360" w:lineRule="auto"/>
        <w:rPr>
          <w:rFonts w:ascii="Arial" w:hAnsi="Arial" w:cs="Arial"/>
          <w:lang w:val="fr-FR"/>
        </w:rPr>
      </w:pPr>
    </w:p>
    <w:p w14:paraId="2584E2EF" w14:textId="77777777" w:rsidR="00DC04F8" w:rsidRPr="00C6424A" w:rsidRDefault="00DC04F8" w:rsidP="006D7029">
      <w:pPr>
        <w:spacing w:line="360" w:lineRule="auto"/>
        <w:rPr>
          <w:rFonts w:ascii="Arial" w:hAnsi="Arial" w:cs="Arial"/>
          <w:lang w:val="fr-FR"/>
        </w:rPr>
      </w:pPr>
    </w:p>
    <w:p w14:paraId="7602A6C4" w14:textId="77777777" w:rsidR="00DC04F8" w:rsidRPr="00C6424A" w:rsidRDefault="00DC04F8" w:rsidP="006D7029">
      <w:pPr>
        <w:spacing w:line="360" w:lineRule="auto"/>
        <w:rPr>
          <w:rFonts w:ascii="Arial" w:hAnsi="Arial" w:cs="Arial"/>
          <w:lang w:val="fr-FR"/>
        </w:rPr>
      </w:pPr>
    </w:p>
    <w:p w14:paraId="5EC49307" w14:textId="77777777" w:rsidR="00DC04F8" w:rsidRPr="00C6424A" w:rsidRDefault="00DC04F8" w:rsidP="006D7029">
      <w:pPr>
        <w:spacing w:line="360" w:lineRule="auto"/>
        <w:rPr>
          <w:rFonts w:ascii="Arial" w:hAnsi="Arial" w:cs="Arial"/>
          <w:lang w:val="fr-FR"/>
        </w:rPr>
      </w:pPr>
    </w:p>
    <w:p w14:paraId="36496E0D" w14:textId="77777777" w:rsidR="00DC04F8" w:rsidRPr="00C6424A" w:rsidRDefault="00DC04F8" w:rsidP="006D7029">
      <w:pPr>
        <w:spacing w:line="360" w:lineRule="auto"/>
        <w:rPr>
          <w:rFonts w:ascii="Arial" w:hAnsi="Arial" w:cs="Arial"/>
          <w:lang w:val="fr-FR"/>
        </w:rPr>
      </w:pPr>
    </w:p>
    <w:p w14:paraId="3A0FC1E3" w14:textId="77777777" w:rsidR="00DC04F8" w:rsidRPr="00C6424A" w:rsidRDefault="00DC04F8" w:rsidP="006D7029">
      <w:pPr>
        <w:spacing w:line="360" w:lineRule="auto"/>
        <w:rPr>
          <w:rFonts w:ascii="Arial" w:hAnsi="Arial" w:cs="Arial"/>
          <w:lang w:val="fr-FR"/>
        </w:rPr>
      </w:pPr>
    </w:p>
    <w:p w14:paraId="098E0127" w14:textId="77777777" w:rsidR="00DC04F8" w:rsidRPr="00C6424A" w:rsidRDefault="00DC04F8" w:rsidP="006D7029">
      <w:pPr>
        <w:spacing w:line="360" w:lineRule="auto"/>
        <w:rPr>
          <w:rFonts w:ascii="Arial" w:hAnsi="Arial" w:cs="Arial"/>
          <w:lang w:val="fr-FR"/>
        </w:rPr>
      </w:pPr>
    </w:p>
    <w:p w14:paraId="477DB696" w14:textId="77777777" w:rsidR="00DC04F8" w:rsidRPr="00C6424A" w:rsidRDefault="00DC04F8" w:rsidP="006D7029">
      <w:pPr>
        <w:spacing w:line="360" w:lineRule="auto"/>
        <w:rPr>
          <w:rFonts w:ascii="Arial" w:hAnsi="Arial" w:cs="Arial"/>
          <w:lang w:val="fr-FR"/>
        </w:rPr>
      </w:pPr>
    </w:p>
    <w:p w14:paraId="3CD283F1" w14:textId="77777777" w:rsidR="00DC04F8" w:rsidRPr="00C6424A" w:rsidRDefault="00DC04F8" w:rsidP="006D7029">
      <w:pPr>
        <w:spacing w:line="360" w:lineRule="auto"/>
        <w:rPr>
          <w:rFonts w:ascii="Arial" w:hAnsi="Arial" w:cs="Arial"/>
          <w:lang w:val="fr-FR"/>
        </w:rPr>
      </w:pPr>
    </w:p>
    <w:p w14:paraId="731C7A28" w14:textId="77777777" w:rsidR="00DC04F8" w:rsidRPr="00C6424A" w:rsidRDefault="00DC04F8" w:rsidP="006D7029">
      <w:pPr>
        <w:spacing w:line="360" w:lineRule="auto"/>
        <w:rPr>
          <w:rFonts w:ascii="Arial" w:hAnsi="Arial" w:cs="Arial"/>
          <w:lang w:val="fr-FR"/>
        </w:rPr>
      </w:pPr>
    </w:p>
    <w:p w14:paraId="268746EB" w14:textId="77777777" w:rsidR="00DC04F8" w:rsidRPr="00C6424A" w:rsidRDefault="00DC04F8" w:rsidP="006D7029">
      <w:pPr>
        <w:spacing w:line="360" w:lineRule="auto"/>
        <w:rPr>
          <w:rFonts w:ascii="Arial" w:hAnsi="Arial" w:cs="Arial"/>
          <w:lang w:val="fr-FR"/>
        </w:rPr>
      </w:pPr>
    </w:p>
    <w:p w14:paraId="2EB87EE9" w14:textId="77777777" w:rsidR="00DC04F8" w:rsidRPr="00C6424A" w:rsidRDefault="00DC04F8" w:rsidP="006D7029">
      <w:pPr>
        <w:spacing w:line="360" w:lineRule="auto"/>
        <w:rPr>
          <w:rFonts w:ascii="Arial" w:hAnsi="Arial" w:cs="Arial"/>
          <w:lang w:val="fr-FR"/>
        </w:rPr>
      </w:pPr>
    </w:p>
    <w:p w14:paraId="76E98CCE" w14:textId="77777777" w:rsidR="00DC04F8" w:rsidRPr="00C6424A" w:rsidRDefault="00DC04F8" w:rsidP="006D7029">
      <w:pPr>
        <w:spacing w:line="360" w:lineRule="auto"/>
        <w:rPr>
          <w:rFonts w:ascii="Arial" w:hAnsi="Arial" w:cs="Arial"/>
          <w:lang w:val="fr-FR"/>
        </w:rPr>
      </w:pPr>
    </w:p>
    <w:p w14:paraId="78CBA4B5" w14:textId="77777777" w:rsidR="00DC04F8" w:rsidRPr="00C6424A" w:rsidRDefault="00DC04F8" w:rsidP="006D7029">
      <w:pPr>
        <w:spacing w:line="360" w:lineRule="auto"/>
        <w:rPr>
          <w:rFonts w:ascii="Arial" w:hAnsi="Arial" w:cs="Arial"/>
          <w:lang w:val="fr-FR"/>
        </w:rPr>
      </w:pPr>
    </w:p>
    <w:p w14:paraId="377AA6EB" w14:textId="77777777" w:rsidR="00DC04F8" w:rsidRPr="00C6424A" w:rsidRDefault="00DC04F8" w:rsidP="006D7029">
      <w:pPr>
        <w:spacing w:line="360" w:lineRule="auto"/>
        <w:rPr>
          <w:rFonts w:ascii="Arial" w:hAnsi="Arial" w:cs="Arial"/>
          <w:lang w:val="fr-FR"/>
        </w:rPr>
      </w:pPr>
    </w:p>
    <w:p w14:paraId="77626640" w14:textId="77777777" w:rsidR="00DC04F8" w:rsidRPr="00C6424A" w:rsidRDefault="00DC04F8" w:rsidP="006D7029">
      <w:pPr>
        <w:spacing w:line="360" w:lineRule="auto"/>
        <w:rPr>
          <w:rFonts w:ascii="Arial" w:hAnsi="Arial" w:cs="Arial"/>
          <w:lang w:val="fr-FR"/>
        </w:rPr>
      </w:pPr>
    </w:p>
    <w:p w14:paraId="3D02BAB7" w14:textId="77777777" w:rsidR="00DC04F8" w:rsidRPr="00C6424A" w:rsidRDefault="00DC04F8" w:rsidP="006D7029">
      <w:pPr>
        <w:spacing w:line="360" w:lineRule="auto"/>
        <w:rPr>
          <w:rFonts w:ascii="Arial" w:hAnsi="Arial" w:cs="Arial"/>
          <w:lang w:val="fr-FR"/>
        </w:rPr>
      </w:pPr>
    </w:p>
    <w:sdt>
      <w:sdtPr>
        <w:rPr>
          <w:rFonts w:ascii="Arial" w:hAnsi="Arial" w:cs="Arial"/>
          <w:color w:val="auto"/>
          <w:sz w:val="24"/>
          <w:szCs w:val="24"/>
        </w:rPr>
        <w:id w:val="2088337061"/>
        <w:docPartObj>
          <w:docPartGallery w:val="Table of Contents"/>
          <w:docPartUnique/>
        </w:docPartObj>
      </w:sdtPr>
      <w:sdtEndPr>
        <w:rPr>
          <w:rFonts w:eastAsiaTheme="minorEastAsia"/>
          <w:b/>
          <w:bCs/>
          <w:noProof/>
          <w:kern w:val="2"/>
          <w:lang w:val="en-GB" w:eastAsia="en-GB"/>
          <w14:ligatures w14:val="standardContextual"/>
        </w:rPr>
      </w:sdtEndPr>
      <w:sdtContent>
        <w:p w14:paraId="1196A307" w14:textId="3540B425" w:rsidR="00725B1D" w:rsidRPr="00EB79C7" w:rsidRDefault="00725B1D" w:rsidP="00725B1D">
          <w:pPr>
            <w:pStyle w:val="TOCHeading"/>
            <w:spacing w:line="360" w:lineRule="auto"/>
            <w:rPr>
              <w:rFonts w:ascii="Arial" w:hAnsi="Arial" w:cs="Arial"/>
              <w:color w:val="auto"/>
              <w:sz w:val="24"/>
              <w:szCs w:val="24"/>
            </w:rPr>
          </w:pPr>
          <w:r w:rsidRPr="00EB79C7">
            <w:rPr>
              <w:rFonts w:ascii="Arial" w:hAnsi="Arial" w:cs="Arial"/>
              <w:color w:val="auto"/>
              <w:sz w:val="24"/>
              <w:szCs w:val="24"/>
            </w:rPr>
            <w:t>Table of Contents</w:t>
          </w:r>
        </w:p>
        <w:p w14:paraId="33C556C4" w14:textId="2DBABE00" w:rsidR="00480E83" w:rsidRDefault="00725B1D">
          <w:pPr>
            <w:pStyle w:val="TOC1"/>
            <w:tabs>
              <w:tab w:val="right" w:leader="dot" w:pos="9016"/>
            </w:tabs>
            <w:rPr>
              <w:noProof/>
            </w:rPr>
          </w:pPr>
          <w:r w:rsidRPr="00EB79C7">
            <w:rPr>
              <w:rFonts w:ascii="Arial" w:hAnsi="Arial" w:cs="Arial"/>
            </w:rPr>
            <w:fldChar w:fldCharType="begin"/>
          </w:r>
          <w:r w:rsidRPr="00EB79C7">
            <w:rPr>
              <w:rFonts w:ascii="Arial" w:hAnsi="Arial" w:cs="Arial"/>
            </w:rPr>
            <w:instrText xml:space="preserve"> TOC \o "1-3" \h \z \u </w:instrText>
          </w:r>
          <w:r w:rsidRPr="00EB79C7">
            <w:rPr>
              <w:rFonts w:ascii="Arial" w:hAnsi="Arial" w:cs="Arial"/>
            </w:rPr>
            <w:fldChar w:fldCharType="separate"/>
          </w:r>
          <w:hyperlink w:anchor="_Toc172154956" w:history="1">
            <w:r w:rsidR="00480E83" w:rsidRPr="003A3981">
              <w:rPr>
                <w:rStyle w:val="Hyperlink"/>
                <w:rFonts w:ascii="Arial" w:hAnsi="Arial" w:cs="Arial"/>
                <w:b/>
                <w:bCs/>
                <w:noProof/>
              </w:rPr>
              <w:t>Introduction</w:t>
            </w:r>
            <w:r w:rsidR="00480E83">
              <w:rPr>
                <w:noProof/>
                <w:webHidden/>
              </w:rPr>
              <w:tab/>
            </w:r>
            <w:r w:rsidR="00480E83">
              <w:rPr>
                <w:noProof/>
                <w:webHidden/>
              </w:rPr>
              <w:fldChar w:fldCharType="begin"/>
            </w:r>
            <w:r w:rsidR="00480E83">
              <w:rPr>
                <w:noProof/>
                <w:webHidden/>
              </w:rPr>
              <w:instrText xml:space="preserve"> PAGEREF _Toc172154956 \h </w:instrText>
            </w:r>
            <w:r w:rsidR="00480E83">
              <w:rPr>
                <w:noProof/>
                <w:webHidden/>
              </w:rPr>
            </w:r>
            <w:r w:rsidR="00480E83">
              <w:rPr>
                <w:noProof/>
                <w:webHidden/>
              </w:rPr>
              <w:fldChar w:fldCharType="separate"/>
            </w:r>
            <w:r w:rsidR="00480E83">
              <w:rPr>
                <w:noProof/>
                <w:webHidden/>
              </w:rPr>
              <w:t>3</w:t>
            </w:r>
            <w:r w:rsidR="00480E83">
              <w:rPr>
                <w:noProof/>
                <w:webHidden/>
              </w:rPr>
              <w:fldChar w:fldCharType="end"/>
            </w:r>
          </w:hyperlink>
        </w:p>
        <w:p w14:paraId="349E72C6" w14:textId="4B3AC213" w:rsidR="00480E83" w:rsidRDefault="00480E83">
          <w:pPr>
            <w:pStyle w:val="TOC2"/>
            <w:tabs>
              <w:tab w:val="right" w:leader="dot" w:pos="9016"/>
            </w:tabs>
            <w:rPr>
              <w:noProof/>
            </w:rPr>
          </w:pPr>
          <w:hyperlink w:anchor="_Toc172154957" w:history="1">
            <w:r w:rsidRPr="003A3981">
              <w:rPr>
                <w:rStyle w:val="Hyperlink"/>
                <w:rFonts w:ascii="Arial" w:hAnsi="Arial" w:cs="Arial"/>
                <w:b/>
                <w:bCs/>
                <w:noProof/>
              </w:rPr>
              <w:t>Economic Analysis</w:t>
            </w:r>
            <w:r>
              <w:rPr>
                <w:noProof/>
                <w:webHidden/>
              </w:rPr>
              <w:tab/>
            </w:r>
            <w:r>
              <w:rPr>
                <w:noProof/>
                <w:webHidden/>
              </w:rPr>
              <w:fldChar w:fldCharType="begin"/>
            </w:r>
            <w:r>
              <w:rPr>
                <w:noProof/>
                <w:webHidden/>
              </w:rPr>
              <w:instrText xml:space="preserve"> PAGEREF _Toc172154957 \h </w:instrText>
            </w:r>
            <w:r>
              <w:rPr>
                <w:noProof/>
                <w:webHidden/>
              </w:rPr>
            </w:r>
            <w:r>
              <w:rPr>
                <w:noProof/>
                <w:webHidden/>
              </w:rPr>
              <w:fldChar w:fldCharType="separate"/>
            </w:r>
            <w:r>
              <w:rPr>
                <w:noProof/>
                <w:webHidden/>
              </w:rPr>
              <w:t>4</w:t>
            </w:r>
            <w:r>
              <w:rPr>
                <w:noProof/>
                <w:webHidden/>
              </w:rPr>
              <w:fldChar w:fldCharType="end"/>
            </w:r>
          </w:hyperlink>
        </w:p>
        <w:p w14:paraId="3DA5DA0A" w14:textId="0DB3F9E9" w:rsidR="00480E83" w:rsidRDefault="00480E83">
          <w:pPr>
            <w:pStyle w:val="TOC2"/>
            <w:tabs>
              <w:tab w:val="right" w:leader="dot" w:pos="9016"/>
            </w:tabs>
            <w:rPr>
              <w:noProof/>
            </w:rPr>
          </w:pPr>
          <w:hyperlink w:anchor="_Toc172154958" w:history="1">
            <w:r w:rsidRPr="003A3981">
              <w:rPr>
                <w:rStyle w:val="Hyperlink"/>
                <w:rFonts w:ascii="Arial" w:hAnsi="Arial" w:cs="Arial"/>
                <w:b/>
                <w:bCs/>
                <w:noProof/>
              </w:rPr>
              <w:t>Social Analysis</w:t>
            </w:r>
            <w:r>
              <w:rPr>
                <w:noProof/>
                <w:webHidden/>
              </w:rPr>
              <w:tab/>
            </w:r>
            <w:r>
              <w:rPr>
                <w:noProof/>
                <w:webHidden/>
              </w:rPr>
              <w:fldChar w:fldCharType="begin"/>
            </w:r>
            <w:r>
              <w:rPr>
                <w:noProof/>
                <w:webHidden/>
              </w:rPr>
              <w:instrText xml:space="preserve"> PAGEREF _Toc172154958 \h </w:instrText>
            </w:r>
            <w:r>
              <w:rPr>
                <w:noProof/>
                <w:webHidden/>
              </w:rPr>
            </w:r>
            <w:r>
              <w:rPr>
                <w:noProof/>
                <w:webHidden/>
              </w:rPr>
              <w:fldChar w:fldCharType="separate"/>
            </w:r>
            <w:r>
              <w:rPr>
                <w:noProof/>
                <w:webHidden/>
              </w:rPr>
              <w:t>4</w:t>
            </w:r>
            <w:r>
              <w:rPr>
                <w:noProof/>
                <w:webHidden/>
              </w:rPr>
              <w:fldChar w:fldCharType="end"/>
            </w:r>
          </w:hyperlink>
        </w:p>
        <w:p w14:paraId="1EAA8FBF" w14:textId="0BBD0379" w:rsidR="00480E83" w:rsidRDefault="00480E83">
          <w:pPr>
            <w:pStyle w:val="TOC2"/>
            <w:tabs>
              <w:tab w:val="right" w:leader="dot" w:pos="9016"/>
            </w:tabs>
            <w:rPr>
              <w:noProof/>
            </w:rPr>
          </w:pPr>
          <w:hyperlink w:anchor="_Toc172154959" w:history="1">
            <w:r w:rsidRPr="003A3981">
              <w:rPr>
                <w:rStyle w:val="Hyperlink"/>
                <w:rFonts w:ascii="Arial" w:hAnsi="Arial" w:cs="Arial"/>
                <w:b/>
                <w:bCs/>
                <w:noProof/>
              </w:rPr>
              <w:t>Technological Analysis</w:t>
            </w:r>
            <w:r>
              <w:rPr>
                <w:noProof/>
                <w:webHidden/>
              </w:rPr>
              <w:tab/>
            </w:r>
            <w:r>
              <w:rPr>
                <w:noProof/>
                <w:webHidden/>
              </w:rPr>
              <w:fldChar w:fldCharType="begin"/>
            </w:r>
            <w:r>
              <w:rPr>
                <w:noProof/>
                <w:webHidden/>
              </w:rPr>
              <w:instrText xml:space="preserve"> PAGEREF _Toc172154959 \h </w:instrText>
            </w:r>
            <w:r>
              <w:rPr>
                <w:noProof/>
                <w:webHidden/>
              </w:rPr>
            </w:r>
            <w:r>
              <w:rPr>
                <w:noProof/>
                <w:webHidden/>
              </w:rPr>
              <w:fldChar w:fldCharType="separate"/>
            </w:r>
            <w:r>
              <w:rPr>
                <w:noProof/>
                <w:webHidden/>
              </w:rPr>
              <w:t>5</w:t>
            </w:r>
            <w:r>
              <w:rPr>
                <w:noProof/>
                <w:webHidden/>
              </w:rPr>
              <w:fldChar w:fldCharType="end"/>
            </w:r>
          </w:hyperlink>
        </w:p>
        <w:p w14:paraId="10594B43" w14:textId="6E51791F" w:rsidR="00480E83" w:rsidRDefault="00480E83">
          <w:pPr>
            <w:pStyle w:val="TOC2"/>
            <w:tabs>
              <w:tab w:val="right" w:leader="dot" w:pos="9016"/>
            </w:tabs>
            <w:rPr>
              <w:noProof/>
            </w:rPr>
          </w:pPr>
          <w:hyperlink w:anchor="_Toc172154960" w:history="1">
            <w:r w:rsidRPr="003A3981">
              <w:rPr>
                <w:rStyle w:val="Hyperlink"/>
                <w:rFonts w:ascii="Arial" w:hAnsi="Arial" w:cs="Arial"/>
                <w:b/>
                <w:bCs/>
                <w:noProof/>
              </w:rPr>
              <w:t>Legal Analysis</w:t>
            </w:r>
            <w:r>
              <w:rPr>
                <w:noProof/>
                <w:webHidden/>
              </w:rPr>
              <w:tab/>
            </w:r>
            <w:r>
              <w:rPr>
                <w:noProof/>
                <w:webHidden/>
              </w:rPr>
              <w:fldChar w:fldCharType="begin"/>
            </w:r>
            <w:r>
              <w:rPr>
                <w:noProof/>
                <w:webHidden/>
              </w:rPr>
              <w:instrText xml:space="preserve"> PAGEREF _Toc172154960 \h </w:instrText>
            </w:r>
            <w:r>
              <w:rPr>
                <w:noProof/>
                <w:webHidden/>
              </w:rPr>
            </w:r>
            <w:r>
              <w:rPr>
                <w:noProof/>
                <w:webHidden/>
              </w:rPr>
              <w:fldChar w:fldCharType="separate"/>
            </w:r>
            <w:r>
              <w:rPr>
                <w:noProof/>
                <w:webHidden/>
              </w:rPr>
              <w:t>6</w:t>
            </w:r>
            <w:r>
              <w:rPr>
                <w:noProof/>
                <w:webHidden/>
              </w:rPr>
              <w:fldChar w:fldCharType="end"/>
            </w:r>
          </w:hyperlink>
        </w:p>
        <w:p w14:paraId="4CA8F7A5" w14:textId="6A943874" w:rsidR="00480E83" w:rsidRDefault="00480E83">
          <w:pPr>
            <w:pStyle w:val="TOC2"/>
            <w:tabs>
              <w:tab w:val="right" w:leader="dot" w:pos="9016"/>
            </w:tabs>
            <w:rPr>
              <w:noProof/>
            </w:rPr>
          </w:pPr>
          <w:hyperlink w:anchor="_Toc172154961" w:history="1">
            <w:r w:rsidRPr="003A3981">
              <w:rPr>
                <w:rStyle w:val="Hyperlink"/>
                <w:rFonts w:ascii="Arial" w:hAnsi="Arial" w:cs="Arial"/>
                <w:b/>
                <w:bCs/>
                <w:noProof/>
              </w:rPr>
              <w:t>Environment Analysis</w:t>
            </w:r>
            <w:r>
              <w:rPr>
                <w:noProof/>
                <w:webHidden/>
              </w:rPr>
              <w:tab/>
            </w:r>
            <w:r>
              <w:rPr>
                <w:noProof/>
                <w:webHidden/>
              </w:rPr>
              <w:fldChar w:fldCharType="begin"/>
            </w:r>
            <w:r>
              <w:rPr>
                <w:noProof/>
                <w:webHidden/>
              </w:rPr>
              <w:instrText xml:space="preserve"> PAGEREF _Toc172154961 \h </w:instrText>
            </w:r>
            <w:r>
              <w:rPr>
                <w:noProof/>
                <w:webHidden/>
              </w:rPr>
            </w:r>
            <w:r>
              <w:rPr>
                <w:noProof/>
                <w:webHidden/>
              </w:rPr>
              <w:fldChar w:fldCharType="separate"/>
            </w:r>
            <w:r>
              <w:rPr>
                <w:noProof/>
                <w:webHidden/>
              </w:rPr>
              <w:t>6</w:t>
            </w:r>
            <w:r>
              <w:rPr>
                <w:noProof/>
                <w:webHidden/>
              </w:rPr>
              <w:fldChar w:fldCharType="end"/>
            </w:r>
          </w:hyperlink>
        </w:p>
        <w:p w14:paraId="09315886" w14:textId="2C08460E" w:rsidR="00480E83" w:rsidRDefault="00480E83">
          <w:pPr>
            <w:pStyle w:val="TOC2"/>
            <w:tabs>
              <w:tab w:val="right" w:leader="dot" w:pos="9016"/>
            </w:tabs>
            <w:rPr>
              <w:noProof/>
            </w:rPr>
          </w:pPr>
          <w:hyperlink w:anchor="_Toc172154962" w:history="1">
            <w:r w:rsidRPr="003A398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_Toc172154962 \h </w:instrText>
            </w:r>
            <w:r>
              <w:rPr>
                <w:noProof/>
                <w:webHidden/>
              </w:rPr>
            </w:r>
            <w:r>
              <w:rPr>
                <w:noProof/>
                <w:webHidden/>
              </w:rPr>
              <w:fldChar w:fldCharType="separate"/>
            </w:r>
            <w:r>
              <w:rPr>
                <w:noProof/>
                <w:webHidden/>
              </w:rPr>
              <w:t>7</w:t>
            </w:r>
            <w:r>
              <w:rPr>
                <w:noProof/>
                <w:webHidden/>
              </w:rPr>
              <w:fldChar w:fldCharType="end"/>
            </w:r>
          </w:hyperlink>
        </w:p>
        <w:p w14:paraId="451DCF84" w14:textId="45CE4D5F" w:rsidR="00480E83" w:rsidRDefault="00480E83">
          <w:pPr>
            <w:pStyle w:val="TOC2"/>
            <w:tabs>
              <w:tab w:val="right" w:leader="dot" w:pos="9016"/>
            </w:tabs>
            <w:rPr>
              <w:noProof/>
            </w:rPr>
          </w:pPr>
          <w:hyperlink w:anchor="_Toc172154963" w:history="1">
            <w:r w:rsidRPr="003A398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_Toc172154963 \h </w:instrText>
            </w:r>
            <w:r>
              <w:rPr>
                <w:noProof/>
                <w:webHidden/>
              </w:rPr>
            </w:r>
            <w:r>
              <w:rPr>
                <w:noProof/>
                <w:webHidden/>
              </w:rPr>
              <w:fldChar w:fldCharType="separate"/>
            </w:r>
            <w:r>
              <w:rPr>
                <w:noProof/>
                <w:webHidden/>
              </w:rPr>
              <w:t>9</w:t>
            </w:r>
            <w:r>
              <w:rPr>
                <w:noProof/>
                <w:webHidden/>
              </w:rPr>
              <w:fldChar w:fldCharType="end"/>
            </w:r>
          </w:hyperlink>
        </w:p>
        <w:p w14:paraId="5AF90255" w14:textId="23AED5B1" w:rsidR="00725B1D" w:rsidRPr="00EB79C7" w:rsidRDefault="00725B1D" w:rsidP="00725B1D">
          <w:pPr>
            <w:spacing w:line="360" w:lineRule="auto"/>
            <w:rPr>
              <w:rFonts w:ascii="Arial" w:hAnsi="Arial" w:cs="Arial"/>
            </w:rPr>
          </w:pPr>
          <w:r w:rsidRPr="00EB79C7">
            <w:rPr>
              <w:rFonts w:ascii="Arial" w:hAnsi="Arial" w:cs="Arial"/>
              <w:b/>
              <w:bCs/>
              <w:noProof/>
            </w:rPr>
            <w:fldChar w:fldCharType="end"/>
          </w:r>
        </w:p>
      </w:sdtContent>
    </w:sdt>
    <w:p w14:paraId="37327531" w14:textId="77777777" w:rsidR="002C4A74" w:rsidRPr="00EB79C7" w:rsidRDefault="002C4A74" w:rsidP="006D7029">
      <w:pPr>
        <w:spacing w:line="360" w:lineRule="auto"/>
        <w:rPr>
          <w:rFonts w:ascii="Arial" w:hAnsi="Arial" w:cs="Arial"/>
        </w:rPr>
      </w:pPr>
    </w:p>
    <w:p w14:paraId="5030ACBC" w14:textId="77777777" w:rsidR="002C4A74" w:rsidRPr="00EB79C7" w:rsidRDefault="002C4A74" w:rsidP="006D7029">
      <w:pPr>
        <w:spacing w:line="360" w:lineRule="auto"/>
        <w:rPr>
          <w:rFonts w:ascii="Arial" w:hAnsi="Arial" w:cs="Arial"/>
        </w:rPr>
      </w:pPr>
    </w:p>
    <w:p w14:paraId="4BD36A92" w14:textId="77777777" w:rsidR="002C4A74" w:rsidRPr="00EB79C7" w:rsidRDefault="002C4A74" w:rsidP="006D7029">
      <w:pPr>
        <w:spacing w:line="360" w:lineRule="auto"/>
        <w:rPr>
          <w:rFonts w:ascii="Arial" w:hAnsi="Arial" w:cs="Arial"/>
        </w:rPr>
      </w:pPr>
    </w:p>
    <w:p w14:paraId="7CF21CA5" w14:textId="77777777" w:rsidR="006D7029" w:rsidRPr="00EB79C7" w:rsidRDefault="006D7029" w:rsidP="006D7029">
      <w:pPr>
        <w:spacing w:line="360" w:lineRule="auto"/>
        <w:rPr>
          <w:rFonts w:ascii="Arial" w:hAnsi="Arial" w:cs="Arial"/>
        </w:rPr>
      </w:pPr>
    </w:p>
    <w:p w14:paraId="4ABA32B5" w14:textId="77777777" w:rsidR="006D7029" w:rsidRPr="00EB79C7" w:rsidRDefault="006D7029" w:rsidP="006D7029">
      <w:pPr>
        <w:spacing w:line="360" w:lineRule="auto"/>
        <w:rPr>
          <w:rFonts w:ascii="Arial" w:hAnsi="Arial" w:cs="Arial"/>
        </w:rPr>
      </w:pPr>
    </w:p>
    <w:p w14:paraId="5966C821" w14:textId="77777777" w:rsidR="006D7029" w:rsidRPr="00EB79C7" w:rsidRDefault="006D7029" w:rsidP="006D7029">
      <w:pPr>
        <w:spacing w:line="360" w:lineRule="auto"/>
        <w:rPr>
          <w:rFonts w:ascii="Arial" w:hAnsi="Arial" w:cs="Arial"/>
        </w:rPr>
      </w:pPr>
    </w:p>
    <w:p w14:paraId="633F79BC" w14:textId="77777777" w:rsidR="006D7029" w:rsidRPr="00EB79C7" w:rsidRDefault="006D7029" w:rsidP="006D7029">
      <w:pPr>
        <w:spacing w:line="360" w:lineRule="auto"/>
        <w:rPr>
          <w:rFonts w:ascii="Arial" w:hAnsi="Arial" w:cs="Arial"/>
        </w:rPr>
      </w:pPr>
    </w:p>
    <w:p w14:paraId="20C0371D" w14:textId="77777777" w:rsidR="006D7029" w:rsidRPr="00EB79C7" w:rsidRDefault="006D7029" w:rsidP="006D7029">
      <w:pPr>
        <w:spacing w:line="360" w:lineRule="auto"/>
        <w:rPr>
          <w:rFonts w:ascii="Arial" w:hAnsi="Arial" w:cs="Arial"/>
        </w:rPr>
      </w:pPr>
    </w:p>
    <w:p w14:paraId="21338843" w14:textId="77777777" w:rsidR="006D7029" w:rsidRPr="00EB79C7" w:rsidRDefault="006D7029" w:rsidP="006D7029">
      <w:pPr>
        <w:spacing w:line="360" w:lineRule="auto"/>
        <w:rPr>
          <w:rFonts w:ascii="Arial" w:hAnsi="Arial" w:cs="Arial"/>
        </w:rPr>
      </w:pPr>
    </w:p>
    <w:p w14:paraId="6BB5E26B" w14:textId="77777777" w:rsidR="006D7029" w:rsidRPr="00EB79C7" w:rsidRDefault="006D7029" w:rsidP="006D7029">
      <w:pPr>
        <w:spacing w:line="360" w:lineRule="auto"/>
        <w:rPr>
          <w:rFonts w:ascii="Arial" w:hAnsi="Arial" w:cs="Arial"/>
        </w:rPr>
      </w:pPr>
    </w:p>
    <w:p w14:paraId="37A0CF6E" w14:textId="77777777" w:rsidR="006D7029" w:rsidRPr="00EB79C7" w:rsidRDefault="006D7029" w:rsidP="006D7029">
      <w:pPr>
        <w:spacing w:line="360" w:lineRule="auto"/>
        <w:rPr>
          <w:rFonts w:ascii="Arial" w:hAnsi="Arial" w:cs="Arial"/>
        </w:rPr>
      </w:pPr>
    </w:p>
    <w:p w14:paraId="27A94516" w14:textId="77777777" w:rsidR="006D7029" w:rsidRPr="00EB79C7" w:rsidRDefault="006D7029" w:rsidP="006D7029">
      <w:pPr>
        <w:spacing w:line="360" w:lineRule="auto"/>
        <w:rPr>
          <w:rFonts w:ascii="Arial" w:hAnsi="Arial" w:cs="Arial"/>
        </w:rPr>
      </w:pPr>
    </w:p>
    <w:p w14:paraId="676CB415" w14:textId="77777777" w:rsidR="006D7029" w:rsidRPr="00EB79C7" w:rsidRDefault="006D7029" w:rsidP="006D7029">
      <w:pPr>
        <w:spacing w:line="360" w:lineRule="auto"/>
        <w:rPr>
          <w:rFonts w:ascii="Arial" w:hAnsi="Arial" w:cs="Arial"/>
        </w:rPr>
      </w:pPr>
    </w:p>
    <w:p w14:paraId="13198C58" w14:textId="77777777" w:rsidR="006D7029" w:rsidRPr="00EB79C7" w:rsidRDefault="006D7029" w:rsidP="006D7029">
      <w:pPr>
        <w:spacing w:line="360" w:lineRule="auto"/>
        <w:rPr>
          <w:rFonts w:ascii="Arial" w:hAnsi="Arial" w:cs="Arial"/>
        </w:rPr>
      </w:pPr>
    </w:p>
    <w:p w14:paraId="2CC1D879" w14:textId="77777777" w:rsidR="00DC04F8" w:rsidRPr="00EB79C7" w:rsidRDefault="00DC04F8" w:rsidP="00C90154">
      <w:pPr>
        <w:spacing w:line="360" w:lineRule="auto"/>
        <w:rPr>
          <w:rFonts w:ascii="Arial" w:hAnsi="Arial" w:cs="Arial"/>
        </w:rPr>
      </w:pPr>
    </w:p>
    <w:p w14:paraId="1A07AE7F" w14:textId="14EFEF19" w:rsidR="00F07ACC" w:rsidRPr="00EB79C7" w:rsidRDefault="00F07ACC" w:rsidP="00C90154">
      <w:pPr>
        <w:pStyle w:val="Heading1"/>
        <w:spacing w:line="360" w:lineRule="auto"/>
        <w:rPr>
          <w:rFonts w:ascii="Arial" w:hAnsi="Arial" w:cs="Arial"/>
          <w:b/>
          <w:bCs/>
          <w:color w:val="auto"/>
          <w:sz w:val="24"/>
          <w:szCs w:val="24"/>
        </w:rPr>
      </w:pPr>
      <w:bookmarkStart w:id="0" w:name="_Toc172154956"/>
      <w:r w:rsidRPr="00EB79C7">
        <w:rPr>
          <w:rFonts w:ascii="Arial" w:hAnsi="Arial" w:cs="Arial"/>
          <w:b/>
          <w:bCs/>
          <w:color w:val="auto"/>
          <w:sz w:val="24"/>
          <w:szCs w:val="24"/>
        </w:rPr>
        <w:lastRenderedPageBreak/>
        <w:t>Introduction</w:t>
      </w:r>
      <w:bookmarkEnd w:id="0"/>
      <w:r w:rsidRPr="00EB79C7">
        <w:rPr>
          <w:rFonts w:ascii="Arial" w:hAnsi="Arial" w:cs="Arial"/>
          <w:b/>
          <w:bCs/>
          <w:color w:val="auto"/>
          <w:sz w:val="24"/>
          <w:szCs w:val="24"/>
        </w:rPr>
        <w:t xml:space="preserve"> </w:t>
      </w:r>
    </w:p>
    <w:p w14:paraId="33BE08B1" w14:textId="77777777" w:rsidR="00F07ACC" w:rsidRPr="00EB79C7" w:rsidRDefault="00F07ACC" w:rsidP="00C90154">
      <w:pPr>
        <w:spacing w:line="360" w:lineRule="auto"/>
        <w:rPr>
          <w:rFonts w:ascii="Arial" w:hAnsi="Arial" w:cs="Arial"/>
        </w:rPr>
      </w:pPr>
      <w:r w:rsidRPr="00EB79C7">
        <w:rPr>
          <w:rFonts w:ascii="Arial" w:hAnsi="Arial" w:cs="Arial"/>
        </w:rPr>
        <w:t>Business environmentalists explore the political, economic, social, technological, legal, and environmental factors as broad trends that play central roles in the strategic choices a firm makes. Businesses can influence whatever happens in the business environment through decisions and actions they undertake during their operations (Hesterly and Barney, 2014). This paper identifies and explains the variables in the external environment (PESTLE) as well as the Porter’s Diamond framework how they directly affect businesses in the Welsh government. The paper uses examples to bring out such effects.</w:t>
      </w:r>
    </w:p>
    <w:p w14:paraId="239A5334" w14:textId="55F4C908" w:rsidR="00DC04F8" w:rsidRPr="00EB79C7" w:rsidRDefault="00D85090" w:rsidP="00C90154">
      <w:pPr>
        <w:spacing w:line="360" w:lineRule="auto"/>
        <w:rPr>
          <w:rFonts w:ascii="Arial" w:eastAsia="Times New Roman" w:hAnsi="Arial" w:cs="Arial"/>
        </w:rPr>
      </w:pPr>
      <w:r w:rsidRPr="00EB79C7">
        <w:rPr>
          <w:rFonts w:ascii="Arial" w:eastAsia="Times New Roman" w:hAnsi="Arial" w:cs="Arial"/>
          <w:b/>
          <w:bCs/>
        </w:rPr>
        <w:t>PESTLE Analysis</w:t>
      </w:r>
      <w:r w:rsidRPr="00EB79C7">
        <w:rPr>
          <w:rFonts w:ascii="Arial" w:eastAsia="Times New Roman" w:hAnsi="Arial" w:cs="Arial"/>
        </w:rPr>
        <w:t xml:space="preserve"> </w:t>
      </w:r>
      <w:r w:rsidRPr="00EB79C7">
        <w:rPr>
          <w:rFonts w:ascii="Arial" w:eastAsia="Times New Roman" w:hAnsi="Arial" w:cs="Arial"/>
        </w:rPr>
        <w:br/>
      </w:r>
      <w:r w:rsidRPr="00EB79C7">
        <w:rPr>
          <w:rStyle w:val="Heading2Char"/>
          <w:rFonts w:ascii="Arial" w:hAnsi="Arial" w:cs="Arial"/>
          <w:b/>
          <w:bCs/>
          <w:color w:val="auto"/>
          <w:sz w:val="24"/>
          <w:szCs w:val="24"/>
        </w:rPr>
        <w:t> Political Analysis</w:t>
      </w:r>
      <w:r w:rsidRPr="00EB79C7">
        <w:rPr>
          <w:rFonts w:ascii="Arial" w:eastAsia="Times New Roman" w:hAnsi="Arial" w:cs="Arial"/>
        </w:rPr>
        <w:t xml:space="preserve"> </w:t>
      </w:r>
      <w:r w:rsidRPr="00EB79C7">
        <w:rPr>
          <w:rFonts w:ascii="Arial" w:eastAsia="Times New Roman" w:hAnsi="Arial" w:cs="Arial"/>
        </w:rPr>
        <w:br/>
      </w:r>
      <w:r w:rsidRPr="00EB79C7">
        <w:rPr>
          <w:rFonts w:ascii="Arial" w:eastAsia="Times New Roman" w:hAnsi="Arial" w:cs="Arial"/>
        </w:rPr>
        <w:br/>
      </w:r>
      <w:r w:rsidRPr="00EB79C7">
        <w:rPr>
          <w:rFonts w:ascii="Arial" w:hAnsi="Arial" w:cs="Arial"/>
        </w:rPr>
        <w:t xml:space="preserve">At a political level, government leaders or heads of commerce initiate government policies such as regulations and taxation to protect businesses within their borders. </w:t>
      </w:r>
      <w:r w:rsidR="00EB79C7" w:rsidRPr="00EB79C7">
        <w:rPr>
          <w:rFonts w:ascii="Arial" w:hAnsi="Arial" w:cs="Arial"/>
        </w:rPr>
        <w:t>The Welsh</w:t>
      </w:r>
      <w:r w:rsidRPr="00EB79C7">
        <w:rPr>
          <w:rFonts w:ascii="Arial" w:hAnsi="Arial" w:cs="Arial"/>
        </w:rPr>
        <w:t xml:space="preserve"> government charges a value-added tax (VAT) on new vehicles driven less than 6,000 km (approximately 3,723 miles), used for less than six months. Hence, North Wales Car Company in Wales, importing used cars over six months old, would pay higher VAT. Such higher VAT would mean transferring the charges to customers who want to buy the same vehicle. Higher charges would lead to reduced demand for such cars, hence lowering the importation of such cars. On the other hand, North Wales would pay no VAT on new cars driven for less than 6,000km. Charging lower selling prices on customers would increase their demand, increasing importation. The Porter’s Diamond maintain that related and supporting industries can create advantage for firms when they nut down on costs of operations. Firms in Wales can depend on lower inflation to take advantage of low pricing.</w:t>
      </w:r>
    </w:p>
    <w:p w14:paraId="409A839A" w14:textId="75DE9404" w:rsidR="0089010E" w:rsidRPr="00EB79C7" w:rsidRDefault="0089010E" w:rsidP="00C90154">
      <w:pPr>
        <w:spacing w:line="360" w:lineRule="auto"/>
        <w:rPr>
          <w:rFonts w:ascii="Arial" w:eastAsia="Times New Roman" w:hAnsi="Arial" w:cs="Arial"/>
        </w:rPr>
      </w:pPr>
      <w:r w:rsidRPr="00EB79C7">
        <w:rPr>
          <w:rFonts w:ascii="Arial" w:eastAsia="Times New Roman" w:hAnsi="Arial" w:cs="Arial"/>
        </w:rPr>
        <w:t>Second, the Welsh government worked with the United Kingdom to sign the New Zealand Free Trade Agreement (FTA) on 28 February 2022 (Welsh Government, 2022). From the Welsh perspective, the country’s foreign trade negotiation created more opportunities for exporting and importing companies in the Welsh market. Horsley Park exports to New Zealand increased by 12 percent between 2020 and 2023. Making export strategies to New Zealand. Perry Car Company also recorded an increase in the export of its car and automotive parts to New Zealand by 9 percent.  </w:t>
      </w:r>
    </w:p>
    <w:p w14:paraId="02B78AEF" w14:textId="77777777" w:rsidR="0089010E" w:rsidRPr="00EB79C7" w:rsidRDefault="0089010E" w:rsidP="00C90154">
      <w:pPr>
        <w:pStyle w:val="Heading2"/>
        <w:spacing w:line="360" w:lineRule="auto"/>
        <w:rPr>
          <w:rFonts w:ascii="Arial" w:hAnsi="Arial" w:cs="Arial"/>
          <w:b/>
          <w:bCs/>
          <w:color w:val="auto"/>
          <w:sz w:val="24"/>
          <w:szCs w:val="24"/>
        </w:rPr>
      </w:pPr>
      <w:r w:rsidRPr="00EB79C7">
        <w:rPr>
          <w:rFonts w:ascii="Arial" w:hAnsi="Arial" w:cs="Arial"/>
          <w:sz w:val="24"/>
          <w:szCs w:val="24"/>
        </w:rPr>
        <w:lastRenderedPageBreak/>
        <w:t xml:space="preserve"> </w:t>
      </w:r>
      <w:bookmarkStart w:id="1" w:name="_Toc172154957"/>
      <w:r w:rsidRPr="00EB79C7">
        <w:rPr>
          <w:rFonts w:ascii="Arial" w:hAnsi="Arial" w:cs="Arial"/>
          <w:b/>
          <w:bCs/>
          <w:color w:val="auto"/>
          <w:sz w:val="24"/>
          <w:szCs w:val="24"/>
        </w:rPr>
        <w:t>Economic Analysis</w:t>
      </w:r>
      <w:bookmarkEnd w:id="1"/>
    </w:p>
    <w:p w14:paraId="56599A16" w14:textId="77777777" w:rsidR="0089010E" w:rsidRPr="00EB79C7" w:rsidRDefault="0089010E" w:rsidP="00C90154">
      <w:pPr>
        <w:spacing w:line="360" w:lineRule="auto"/>
        <w:rPr>
          <w:rFonts w:ascii="Arial" w:hAnsi="Arial" w:cs="Arial"/>
        </w:rPr>
      </w:pPr>
    </w:p>
    <w:p w14:paraId="46791EBA" w14:textId="3500F743" w:rsidR="0089010E" w:rsidRPr="00EB79C7" w:rsidRDefault="0089010E" w:rsidP="00C90154">
      <w:pPr>
        <w:spacing w:line="360" w:lineRule="auto"/>
        <w:rPr>
          <w:rFonts w:ascii="Arial" w:hAnsi="Arial" w:cs="Arial"/>
        </w:rPr>
      </w:pPr>
      <w:r w:rsidRPr="00EB79C7">
        <w:rPr>
          <w:rFonts w:ascii="Arial" w:hAnsi="Arial" w:cs="Arial"/>
        </w:rPr>
        <w:t xml:space="preserve">MarketLine (2023) outlines factors such as current and future interest rates, inflation prospects, local employment levels per capita, gross domestic product per capita, exchange rates, and growth of both local and foreign economies are essential determiners of how companies respond to their environment. For instance, through its Monetary Policy Committee (MPC), the Welsh Government has maintained higher interest rates to achieve a 2 percent inflation target. The Porter’s Diamond framework shows the country influences demand of products and services when it lowers limitations. Businesses in such environment can then export more, </w:t>
      </w:r>
      <w:r w:rsidR="00EB79C7" w:rsidRPr="00EB79C7">
        <w:rPr>
          <w:rFonts w:ascii="Arial" w:hAnsi="Arial" w:cs="Arial"/>
        </w:rPr>
        <w:t>increase demand</w:t>
      </w:r>
      <w:r w:rsidRPr="00EB79C7">
        <w:rPr>
          <w:rFonts w:ascii="Arial" w:hAnsi="Arial" w:cs="Arial"/>
        </w:rPr>
        <w:t xml:space="preserve"> in the home country, and anticipate trends in future (Márkus, 2008). </w:t>
      </w:r>
    </w:p>
    <w:p w14:paraId="07447A65" w14:textId="674D1BFB" w:rsidR="00B0366F" w:rsidRPr="00EB79C7" w:rsidRDefault="00413E83" w:rsidP="00C90154">
      <w:pPr>
        <w:spacing w:line="360" w:lineRule="auto"/>
        <w:rPr>
          <w:rFonts w:ascii="Arial" w:hAnsi="Arial" w:cs="Arial"/>
        </w:rPr>
      </w:pPr>
      <w:r w:rsidRPr="00EB79C7">
        <w:rPr>
          <w:rFonts w:ascii="Arial" w:hAnsi="Arial" w:cs="Arial"/>
        </w:rPr>
        <w:t xml:space="preserve">The move has helped sustain higher growth and employment levels. On 3 May 2024, the MPC voted to maintain its increase in the Bank Rates, with the current remaining at 5.25 percent (Mitchell Meredith, 2024), pushing the consumer price index to 2 percent (Figure 1). While the move threatens many businesses and investors who want to source capital from commercial banking institutions, many develop strategies to utilize retained earnings and equity to boost their investment efforts. Many businesses now enjoy lower inflation rates, allowing them to buy raw materials at lower prices (Bank of England, 2024). This also impacts positively on strategic move to adopt low-cost leadership pricing strategies. Consequently, this increases the demand for domestic products and a further increases their sales volume. Therefore, economic factors help shape choices businesses make in the overall economy. </w:t>
      </w:r>
    </w:p>
    <w:p w14:paraId="29D08B79" w14:textId="67B7C7FF" w:rsidR="00413E83" w:rsidRPr="00EB79C7" w:rsidRDefault="00ED5378" w:rsidP="00C90154">
      <w:pPr>
        <w:spacing w:line="360" w:lineRule="auto"/>
        <w:rPr>
          <w:rFonts w:ascii="Arial" w:hAnsi="Arial" w:cs="Arial"/>
        </w:rPr>
      </w:pPr>
      <w:r w:rsidRPr="00EB79C7">
        <w:rPr>
          <w:rFonts w:ascii="Arial" w:hAnsi="Arial" w:cs="Arial"/>
        </w:rPr>
        <w:t xml:space="preserve">(Figure 1: </w:t>
      </w:r>
      <w:r w:rsidRPr="00EB79C7">
        <w:rPr>
          <w:rFonts w:ascii="Arial" w:hAnsi="Arial" w:cs="Arial"/>
        </w:rPr>
        <w:t>The MPC</w:t>
      </w:r>
      <w:r w:rsidRPr="00EB79C7">
        <w:rPr>
          <w:rFonts w:ascii="Arial" w:hAnsi="Arial" w:cs="Arial"/>
        </w:rPr>
        <w:t xml:space="preserve"> Interest rates held, p.8)</w:t>
      </w:r>
    </w:p>
    <w:p w14:paraId="2F9CA328" w14:textId="20075D3B" w:rsidR="0089010E" w:rsidRPr="00EB79C7" w:rsidRDefault="009527CF" w:rsidP="00C90154">
      <w:pPr>
        <w:pStyle w:val="Heading2"/>
        <w:spacing w:line="360" w:lineRule="auto"/>
        <w:rPr>
          <w:rFonts w:ascii="Arial" w:hAnsi="Arial" w:cs="Arial"/>
          <w:b/>
          <w:bCs/>
          <w:color w:val="auto"/>
          <w:sz w:val="24"/>
          <w:szCs w:val="24"/>
        </w:rPr>
      </w:pPr>
      <w:bookmarkStart w:id="2" w:name="_Toc172154958"/>
      <w:r w:rsidRPr="00EB79C7">
        <w:rPr>
          <w:rFonts w:ascii="Arial" w:hAnsi="Arial" w:cs="Arial"/>
          <w:b/>
          <w:bCs/>
          <w:color w:val="auto"/>
          <w:sz w:val="24"/>
          <w:szCs w:val="24"/>
        </w:rPr>
        <w:t>Social Analysis</w:t>
      </w:r>
      <w:bookmarkEnd w:id="2"/>
    </w:p>
    <w:p w14:paraId="0A350964" w14:textId="1C80009B" w:rsidR="00F61D9D" w:rsidRPr="00EB79C7" w:rsidRDefault="00F61D9D" w:rsidP="00C90154">
      <w:pPr>
        <w:spacing w:line="360" w:lineRule="auto"/>
        <w:rPr>
          <w:rFonts w:ascii="Arial" w:hAnsi="Arial" w:cs="Arial"/>
        </w:rPr>
      </w:pPr>
      <w:r w:rsidRPr="00EB79C7">
        <w:rPr>
          <w:rFonts w:ascii="Arial" w:hAnsi="Arial" w:cs="Arial"/>
        </w:rPr>
        <w:t xml:space="preserve">Managers analyse indicators such as local lifestyle trends, changes in demographics, education, income, and local religions to understand the opportunities ahead of them (MarketLine, 2023). Many now understand that these factors also significantly shape consumer attitudes and opinions on their spending. Welsh Government (2024b), the overall media income earnings for the people have increased from 18,022 recorded in 2013 to 23,804 in 2023. Porter’s Diamond framework uses first strategy, structure and rivalry to also shape domestic competition and </w:t>
      </w:r>
      <w:r w:rsidR="00EB79C7" w:rsidRPr="00EB79C7">
        <w:rPr>
          <w:rFonts w:ascii="Arial" w:hAnsi="Arial" w:cs="Arial"/>
        </w:rPr>
        <w:t>behaviours</w:t>
      </w:r>
      <w:r w:rsidRPr="00EB79C7">
        <w:rPr>
          <w:rFonts w:ascii="Arial" w:hAnsi="Arial" w:cs="Arial"/>
        </w:rPr>
        <w:t xml:space="preserve"> among people. Hence, domestic retail companies like </w:t>
      </w:r>
      <w:r w:rsidRPr="00EB79C7">
        <w:rPr>
          <w:rFonts w:ascii="Arial" w:hAnsi="Arial" w:cs="Arial"/>
        </w:rPr>
        <w:lastRenderedPageBreak/>
        <w:t>Filco Foods Company have had to adjust their pricing strategy to increase their sales revenues. The company specializes in manufacturing food products that are part of the consumer table daily. Most customers who buy from Filco Foods Company help it make numerous decisions on the quality of products and pricing strategies. For instance, the premium pricing strategy targets selling to middle-income earners.  </w:t>
      </w:r>
    </w:p>
    <w:p w14:paraId="2FB60344" w14:textId="77777777" w:rsidR="00F61D9D" w:rsidRPr="00EB79C7" w:rsidRDefault="00F61D9D" w:rsidP="00C90154">
      <w:pPr>
        <w:spacing w:line="360" w:lineRule="auto"/>
        <w:rPr>
          <w:rFonts w:ascii="Arial" w:hAnsi="Arial" w:cs="Arial"/>
        </w:rPr>
      </w:pPr>
    </w:p>
    <w:p w14:paraId="74A81B8C" w14:textId="77777777" w:rsidR="00F61D9D" w:rsidRPr="00EB79C7" w:rsidRDefault="00F61D9D" w:rsidP="00C90154">
      <w:pPr>
        <w:pStyle w:val="Heading2"/>
        <w:spacing w:line="360" w:lineRule="auto"/>
        <w:rPr>
          <w:rFonts w:ascii="Arial" w:hAnsi="Arial" w:cs="Arial"/>
          <w:b/>
          <w:bCs/>
          <w:color w:val="auto"/>
          <w:sz w:val="24"/>
          <w:szCs w:val="24"/>
        </w:rPr>
      </w:pPr>
      <w:bookmarkStart w:id="3" w:name="_Toc172154959"/>
      <w:r w:rsidRPr="00EB79C7">
        <w:rPr>
          <w:rFonts w:ascii="Arial" w:hAnsi="Arial" w:cs="Arial"/>
          <w:b/>
          <w:bCs/>
          <w:color w:val="auto"/>
          <w:sz w:val="24"/>
          <w:szCs w:val="24"/>
        </w:rPr>
        <w:t>Technological Analysis</w:t>
      </w:r>
      <w:bookmarkEnd w:id="3"/>
    </w:p>
    <w:p w14:paraId="7035AD83" w14:textId="77777777" w:rsidR="00F61D9D" w:rsidRPr="00EB79C7" w:rsidRDefault="00F61D9D" w:rsidP="00C90154">
      <w:pPr>
        <w:spacing w:line="360" w:lineRule="auto"/>
        <w:rPr>
          <w:rFonts w:ascii="Arial" w:hAnsi="Arial" w:cs="Arial"/>
        </w:rPr>
      </w:pPr>
    </w:p>
    <w:p w14:paraId="564E6AC2" w14:textId="2EA0B5C7" w:rsidR="00F61D9D" w:rsidRPr="00EB79C7" w:rsidRDefault="00F61D9D" w:rsidP="00C90154">
      <w:pPr>
        <w:spacing w:line="360" w:lineRule="auto"/>
        <w:rPr>
          <w:rFonts w:ascii="Arial" w:hAnsi="Arial" w:cs="Arial"/>
        </w:rPr>
      </w:pPr>
      <w:r w:rsidRPr="00EB79C7">
        <w:rPr>
          <w:rFonts w:ascii="Arial" w:hAnsi="Arial" w:cs="Arial"/>
        </w:rPr>
        <w:t xml:space="preserve">   The UK currently has strengths in effective intellectual property rights and increased spending on R&amp;D (Figure 2 below). Future prospects include scope for new industries and government policies to encourage R&amp;D. However, some of the current challenges include inadequate skilled personnel and regulatory control against indigenous innovations (Market Line, 2023). The UK government has been at the forefront of both R&amp;D and innovation globally by developing legislation to protect intellectual property rights (IPR), scoring 94.6 as the most free in the world (Heritage, 2024). The largest grants go into funding IPR. It maintains a register of patents, designs, and trademarks. The country continues to enact and amend IPR in accordance with industry developments. </w:t>
      </w:r>
      <w:r w:rsidR="00EB79C7" w:rsidRPr="00EB79C7">
        <w:rPr>
          <w:rFonts w:ascii="Arial" w:hAnsi="Arial" w:cs="Arial"/>
        </w:rPr>
        <w:t>Porter’s Diamond</w:t>
      </w:r>
      <w:r w:rsidRPr="00EB79C7">
        <w:rPr>
          <w:rFonts w:ascii="Arial" w:hAnsi="Arial" w:cs="Arial"/>
        </w:rPr>
        <w:t xml:space="preserve"> related and supporting industries brings out the importance of using technology to achieve innovation. Mostly highly competitive businesses are innovative. </w:t>
      </w:r>
    </w:p>
    <w:p w14:paraId="4E0B67DF" w14:textId="57511FA7" w:rsidR="00856851" w:rsidRPr="00EB79C7" w:rsidRDefault="00732854" w:rsidP="00C90154">
      <w:pPr>
        <w:spacing w:line="360" w:lineRule="auto"/>
        <w:rPr>
          <w:rFonts w:ascii="Arial" w:hAnsi="Arial" w:cs="Arial"/>
        </w:rPr>
      </w:pPr>
      <w:r w:rsidRPr="00EB79C7">
        <w:rPr>
          <w:rFonts w:ascii="Arial" w:hAnsi="Arial" w:cs="Arial"/>
        </w:rPr>
        <w:t xml:space="preserve">The UK ranks high in its quality of R&amp;D and science and innovation. Between 2013 and 2023, the government increased its gross expenditure on R&amp;D by 7% to GBP33.5 billion. The business expenditure in R&amp;D accounts for 68%, with total expenditure increasing to 1.95% of GDP from 2014 to 2023. Advancements in the country have led to more than double the growth of online businesses by 27% compared to 19% in 2020 (Welsh Government, 2024c). The country has recorded a digital shopping boom expanding beyond remarkable pace in about four years. Moreover, Statista (2023) notes that the UK has the world advanced e-commerce in Europe with over 60 million e-commerce users. Out of this, the retail sector leads the way with 26.6 percent of sales. This leaves only a few non-digital buyers using the brick-and-mortar approach. Therefore, technology disruption in the country has made e-commerce a norm for shoppers nationwide. </w:t>
      </w:r>
    </w:p>
    <w:p w14:paraId="2DCD8056" w14:textId="00EC7221" w:rsidR="00732854" w:rsidRPr="00EB79C7" w:rsidRDefault="00732854" w:rsidP="00C90154">
      <w:pPr>
        <w:pStyle w:val="Heading2"/>
        <w:spacing w:line="360" w:lineRule="auto"/>
        <w:rPr>
          <w:rFonts w:ascii="Arial" w:hAnsi="Arial" w:cs="Arial"/>
          <w:b/>
          <w:bCs/>
          <w:color w:val="auto"/>
          <w:sz w:val="24"/>
          <w:szCs w:val="24"/>
        </w:rPr>
      </w:pPr>
      <w:bookmarkStart w:id="4" w:name="_Toc172154960"/>
      <w:r w:rsidRPr="00EB79C7">
        <w:rPr>
          <w:rFonts w:ascii="Arial" w:hAnsi="Arial" w:cs="Arial"/>
          <w:b/>
          <w:bCs/>
          <w:color w:val="auto"/>
          <w:sz w:val="24"/>
          <w:szCs w:val="24"/>
        </w:rPr>
        <w:lastRenderedPageBreak/>
        <w:t>Legal Analysis</w:t>
      </w:r>
      <w:bookmarkEnd w:id="4"/>
    </w:p>
    <w:p w14:paraId="68A3E514" w14:textId="08FDF938" w:rsidR="00732854" w:rsidRPr="00EB79C7" w:rsidRDefault="00BA0BCE" w:rsidP="00C90154">
      <w:pPr>
        <w:spacing w:line="360" w:lineRule="auto"/>
        <w:rPr>
          <w:rFonts w:ascii="Arial" w:hAnsi="Arial" w:cs="Arial"/>
          <w:b/>
          <w:bCs/>
        </w:rPr>
      </w:pPr>
      <w:r w:rsidRPr="00EB79C7">
        <w:rPr>
          <w:rFonts w:ascii="Arial" w:eastAsia="Times New Roman" w:hAnsi="Arial" w:cs="Arial"/>
        </w:rPr>
        <w:t>Welsh ranks high in providing freedom to conduct business, effective enforcement of legislation, and low total tax rates and tax compliance costs (MarketLine, 2023). Some of the future prospects like to have positive impact on business decisions include measures to reduce tax evasion, improvements in regulations in the product market, reduction in corporate tax, as well as importance in the petroleum sector. The Welsh government notes its effort to amend laws affecting business environment with investors in mind. Consequently, this has attracted a number of domestic and foreign players to increase their investment efforts in the country. The UK scored an overall score of 68.6 and a world ranking in 30th position as freest to conduct business above Europe (67.2) and the global average (58.6) (Heritage, 2024). The country is mostly free in business, monetary freedom, trade, investment, and financial freedom (Figure 2).</w:t>
      </w:r>
    </w:p>
    <w:p w14:paraId="1B84CDE9" w14:textId="22A32464" w:rsidR="00D12FF2" w:rsidRPr="00EB79C7" w:rsidRDefault="00ED5378" w:rsidP="00C90154">
      <w:pPr>
        <w:spacing w:line="360" w:lineRule="auto"/>
        <w:rPr>
          <w:rFonts w:ascii="Arial" w:hAnsi="Arial" w:cs="Arial"/>
        </w:rPr>
      </w:pPr>
      <w:r w:rsidRPr="00EB79C7">
        <w:rPr>
          <w:rFonts w:ascii="Arial" w:hAnsi="Arial" w:cs="Arial"/>
        </w:rPr>
        <w:t>(Figure 2</w:t>
      </w:r>
      <w:r w:rsidRPr="00EB79C7">
        <w:rPr>
          <w:rFonts w:ascii="Arial" w:hAnsi="Arial" w:cs="Arial"/>
        </w:rPr>
        <w:t>: Economic Index Freedom</w:t>
      </w:r>
      <w:r w:rsidRPr="00EB79C7">
        <w:rPr>
          <w:rFonts w:ascii="Arial" w:hAnsi="Arial" w:cs="Arial"/>
        </w:rPr>
        <w:t>, p.8)</w:t>
      </w:r>
    </w:p>
    <w:p w14:paraId="189672CB" w14:textId="2329C4D4" w:rsidR="00BA0BCE" w:rsidRPr="00EB79C7" w:rsidRDefault="00A73969" w:rsidP="00C90154">
      <w:pPr>
        <w:pStyle w:val="Heading2"/>
        <w:spacing w:line="360" w:lineRule="auto"/>
        <w:rPr>
          <w:rFonts w:ascii="Arial" w:hAnsi="Arial" w:cs="Arial"/>
          <w:b/>
          <w:bCs/>
          <w:color w:val="auto"/>
          <w:sz w:val="24"/>
          <w:szCs w:val="24"/>
        </w:rPr>
      </w:pPr>
      <w:bookmarkStart w:id="5" w:name="_Toc172154961"/>
      <w:r w:rsidRPr="00EB79C7">
        <w:rPr>
          <w:rFonts w:ascii="Arial" w:hAnsi="Arial" w:cs="Arial"/>
          <w:b/>
          <w:bCs/>
          <w:color w:val="auto"/>
          <w:sz w:val="24"/>
          <w:szCs w:val="24"/>
        </w:rPr>
        <w:t>Environment Analysis</w:t>
      </w:r>
      <w:bookmarkEnd w:id="5"/>
    </w:p>
    <w:p w14:paraId="46B7D458" w14:textId="3864E79A" w:rsidR="00A73969" w:rsidRPr="00EB79C7" w:rsidRDefault="0089747A" w:rsidP="00C90154">
      <w:pPr>
        <w:spacing w:line="360" w:lineRule="auto"/>
        <w:rPr>
          <w:rFonts w:ascii="Arial" w:hAnsi="Arial" w:cs="Arial"/>
        </w:rPr>
      </w:pPr>
      <w:r w:rsidRPr="00EB79C7">
        <w:rPr>
          <w:rFonts w:ascii="Arial" w:hAnsi="Arial" w:cs="Arial"/>
        </w:rPr>
        <w:t>Many local environmental issues that continue to affect the Welsh government include dumbing plastic waste to the rest of the world, agriculture and land use, waste, surface transport, and building (Greenpeace, 2021; Climate Change Committee, 2023) (Figure 3). Both manufacturing &amp; power sectors contribute more than 50% to their carbon footprint (Climate Change Committee, 2023). The energy Act 2016 made significant changes with three principal objectives: handling shortcomings to investment in energy efficiency, enhancing security around energy, and allowing businesses to invest in low carbon energy supplies (UK Energy Act, 2016). The Welsh government has provided significant support to its businesses since 2003. It has offered over 700 loans for purposes of investment in energy efficiency and cost savings, whose overall mandate is to transition all businesses to a low carbon economy.</w:t>
      </w:r>
    </w:p>
    <w:p w14:paraId="13ECE387" w14:textId="7B0E59BD" w:rsidR="00711AD9" w:rsidRPr="00EB79C7" w:rsidRDefault="00D6124B" w:rsidP="00C90154">
      <w:pPr>
        <w:spacing w:line="360" w:lineRule="auto"/>
        <w:rPr>
          <w:rFonts w:ascii="Arial" w:hAnsi="Arial" w:cs="Arial"/>
        </w:rPr>
      </w:pPr>
      <w:r w:rsidRPr="00EB79C7">
        <w:rPr>
          <w:rFonts w:ascii="Arial" w:hAnsi="Arial" w:cs="Arial"/>
        </w:rPr>
        <w:t xml:space="preserve">The government acknowledges that green growth forms part of its economic growth to ensure careful use of natural resource wealth. The government works with businesses to support identifying and adopting practices and approaches for green growth (Welsh Government, 2024d). Many businesses in North and South Wales have tapped into government assistance to practice net zero by 2030 and beyond. </w:t>
      </w:r>
      <w:r w:rsidRPr="00EB79C7">
        <w:rPr>
          <w:rFonts w:ascii="Arial" w:hAnsi="Arial" w:cs="Arial"/>
        </w:rPr>
        <w:lastRenderedPageBreak/>
        <w:t xml:space="preserve">Businesses have managed to reduce emotions in Wales by an average of 29 percent compared to 1990 degree over the First Carbon Budget for the period covering 2016. The government now targets businesses to reduce emissions by 23%. </w:t>
      </w:r>
    </w:p>
    <w:p w14:paraId="1215125C" w14:textId="6D730197" w:rsidR="00D6124B" w:rsidRPr="00EB79C7" w:rsidRDefault="00C90154" w:rsidP="00C90154">
      <w:pPr>
        <w:spacing w:line="360" w:lineRule="auto"/>
        <w:rPr>
          <w:rFonts w:ascii="Arial" w:hAnsi="Arial" w:cs="Arial"/>
        </w:rPr>
      </w:pPr>
      <w:r w:rsidRPr="00EB79C7">
        <w:rPr>
          <w:rFonts w:ascii="Arial" w:hAnsi="Arial" w:cs="Arial"/>
        </w:rPr>
        <w:t xml:space="preserve">(Figure 3: </w:t>
      </w:r>
      <w:r w:rsidRPr="00EB79C7">
        <w:rPr>
          <w:rFonts w:ascii="Arial" w:hAnsi="Arial" w:cs="Arial"/>
        </w:rPr>
        <w:t>Historical emissions</w:t>
      </w:r>
      <w:r w:rsidRPr="00EB79C7">
        <w:rPr>
          <w:rFonts w:ascii="Arial" w:hAnsi="Arial" w:cs="Arial"/>
        </w:rPr>
        <w:t>, p.8)</w:t>
      </w:r>
    </w:p>
    <w:p w14:paraId="0CC304D4" w14:textId="616F59C4" w:rsidR="00D6124B" w:rsidRPr="00EB79C7" w:rsidRDefault="00D6124B" w:rsidP="00C90154">
      <w:pPr>
        <w:pStyle w:val="Heading2"/>
        <w:spacing w:line="360" w:lineRule="auto"/>
        <w:rPr>
          <w:rFonts w:ascii="Arial" w:hAnsi="Arial" w:cs="Arial"/>
          <w:b/>
          <w:bCs/>
          <w:color w:val="auto"/>
          <w:sz w:val="24"/>
          <w:szCs w:val="24"/>
        </w:rPr>
      </w:pPr>
      <w:bookmarkStart w:id="6" w:name="_Toc172154962"/>
      <w:r w:rsidRPr="00EB79C7">
        <w:rPr>
          <w:rFonts w:ascii="Arial" w:hAnsi="Arial" w:cs="Arial"/>
          <w:b/>
          <w:bCs/>
          <w:color w:val="auto"/>
          <w:sz w:val="24"/>
          <w:szCs w:val="24"/>
        </w:rPr>
        <w:t>Conclusion</w:t>
      </w:r>
      <w:bookmarkEnd w:id="6"/>
    </w:p>
    <w:p w14:paraId="5AAF45A6" w14:textId="61B5BD85" w:rsidR="00D6124B" w:rsidRPr="00EB79C7" w:rsidRDefault="006B7742" w:rsidP="00C90154">
      <w:pPr>
        <w:spacing w:line="360" w:lineRule="auto"/>
        <w:rPr>
          <w:rFonts w:ascii="Arial" w:hAnsi="Arial" w:cs="Arial"/>
        </w:rPr>
      </w:pPr>
      <w:r w:rsidRPr="00EB79C7">
        <w:rPr>
          <w:rFonts w:ascii="Arial" w:hAnsi="Arial" w:cs="Arial"/>
        </w:rPr>
        <w:t xml:space="preserve">Business environmental factors shape the performance of many organisations. In understanding the threats and opportunities that firms face, we must begin by analysing the general environment where firms operate. Despite lack of control on the part of management on general environment, analysis can assist strategic managers in developing a better vision of the future business landscape and how the firms can create strategic choices that allow them to develop economic and customer value. Political, economic, environmental, technology and legal factors play a central role in shaping strategic choices for business in the UK and Wales markets. Governments, whether local or national, make policies that shape important macroeconomic variables where organisations operate. In effect, such policies end up shaping the rest of the factors, such as economic indicators, trade agreements and regulations in a market. </w:t>
      </w:r>
    </w:p>
    <w:p w14:paraId="06F92AF0" w14:textId="77777777" w:rsidR="00853EA6" w:rsidRPr="00EB79C7" w:rsidRDefault="00853EA6">
      <w:pPr>
        <w:rPr>
          <w:rFonts w:ascii="Arial" w:hAnsi="Arial" w:cs="Arial"/>
        </w:rPr>
      </w:pPr>
    </w:p>
    <w:p w14:paraId="76D9BCC4" w14:textId="77777777" w:rsidR="00853EA6" w:rsidRPr="00EB79C7" w:rsidRDefault="00853EA6">
      <w:pPr>
        <w:rPr>
          <w:rFonts w:ascii="Arial" w:hAnsi="Arial" w:cs="Arial"/>
        </w:rPr>
      </w:pPr>
    </w:p>
    <w:p w14:paraId="16B4F978" w14:textId="77777777" w:rsidR="00853EA6" w:rsidRPr="00EB79C7" w:rsidRDefault="00853EA6">
      <w:pPr>
        <w:rPr>
          <w:rFonts w:ascii="Arial" w:hAnsi="Arial" w:cs="Arial"/>
        </w:rPr>
      </w:pPr>
    </w:p>
    <w:p w14:paraId="38D6C6D3" w14:textId="77777777" w:rsidR="00853EA6" w:rsidRPr="00EB79C7" w:rsidRDefault="00853EA6">
      <w:pPr>
        <w:rPr>
          <w:rFonts w:ascii="Arial" w:hAnsi="Arial" w:cs="Arial"/>
        </w:rPr>
      </w:pPr>
    </w:p>
    <w:p w14:paraId="5A3DF59B" w14:textId="77777777" w:rsidR="00725B1D" w:rsidRPr="00EB79C7" w:rsidRDefault="00725B1D">
      <w:pPr>
        <w:rPr>
          <w:rFonts w:ascii="Arial" w:hAnsi="Arial" w:cs="Arial"/>
        </w:rPr>
      </w:pPr>
    </w:p>
    <w:p w14:paraId="376C904D" w14:textId="77777777" w:rsidR="00725B1D" w:rsidRPr="00EB79C7" w:rsidRDefault="00725B1D">
      <w:pPr>
        <w:rPr>
          <w:rFonts w:ascii="Arial" w:hAnsi="Arial" w:cs="Arial"/>
        </w:rPr>
      </w:pPr>
    </w:p>
    <w:p w14:paraId="2D9A34FA" w14:textId="77777777" w:rsidR="00725B1D" w:rsidRPr="00EB79C7" w:rsidRDefault="00725B1D">
      <w:pPr>
        <w:rPr>
          <w:rFonts w:ascii="Arial" w:hAnsi="Arial" w:cs="Arial"/>
        </w:rPr>
      </w:pPr>
    </w:p>
    <w:p w14:paraId="62D03696" w14:textId="77777777" w:rsidR="00725B1D" w:rsidRPr="00EB79C7" w:rsidRDefault="00725B1D">
      <w:pPr>
        <w:rPr>
          <w:rFonts w:ascii="Arial" w:hAnsi="Arial" w:cs="Arial"/>
        </w:rPr>
      </w:pPr>
    </w:p>
    <w:p w14:paraId="0B398E95" w14:textId="77777777" w:rsidR="00C90154" w:rsidRPr="00EB79C7" w:rsidRDefault="00C90154">
      <w:pPr>
        <w:rPr>
          <w:rFonts w:ascii="Arial" w:hAnsi="Arial" w:cs="Arial"/>
        </w:rPr>
      </w:pPr>
    </w:p>
    <w:p w14:paraId="6D498E4F" w14:textId="77777777" w:rsidR="00C90154" w:rsidRPr="00EB79C7" w:rsidRDefault="00C90154">
      <w:pPr>
        <w:rPr>
          <w:rFonts w:ascii="Arial" w:hAnsi="Arial" w:cs="Arial"/>
        </w:rPr>
      </w:pPr>
    </w:p>
    <w:p w14:paraId="515A0387" w14:textId="77777777" w:rsidR="00725B1D" w:rsidRPr="00EB79C7" w:rsidRDefault="00725B1D">
      <w:pPr>
        <w:rPr>
          <w:rFonts w:ascii="Arial" w:hAnsi="Arial" w:cs="Arial"/>
        </w:rPr>
      </w:pPr>
    </w:p>
    <w:p w14:paraId="6C583A48" w14:textId="18B927C1" w:rsidR="00ED5378" w:rsidRPr="00EB79C7" w:rsidRDefault="00ED5378" w:rsidP="00EB79C7">
      <w:pPr>
        <w:spacing w:line="360" w:lineRule="auto"/>
        <w:rPr>
          <w:rFonts w:ascii="Arial" w:hAnsi="Arial" w:cs="Arial"/>
        </w:rPr>
      </w:pPr>
      <w:r w:rsidRPr="00EB79C7">
        <w:rPr>
          <w:rFonts w:ascii="Arial" w:hAnsi="Arial" w:cs="Arial"/>
        </w:rPr>
        <w:t xml:space="preserve">Figure </w:t>
      </w:r>
      <w:r w:rsidR="00EB79C7" w:rsidRPr="00EB79C7">
        <w:rPr>
          <w:rFonts w:ascii="Arial" w:hAnsi="Arial" w:cs="Arial"/>
        </w:rPr>
        <w:t>1:</w:t>
      </w:r>
      <w:r w:rsidRPr="00EB79C7">
        <w:rPr>
          <w:rFonts w:ascii="Arial" w:hAnsi="Arial" w:cs="Arial"/>
        </w:rPr>
        <w:t xml:space="preserve"> The MPC held interest rates at 5.25% to help inflation return to 2% target</w:t>
      </w:r>
    </w:p>
    <w:p w14:paraId="0FC0BB9E" w14:textId="51C8BFD2" w:rsidR="00ED5378" w:rsidRPr="00EB79C7" w:rsidRDefault="00ED5378" w:rsidP="00ED5378">
      <w:pPr>
        <w:rPr>
          <w:rFonts w:ascii="Arial" w:hAnsi="Arial" w:cs="Arial"/>
        </w:rPr>
      </w:pPr>
      <w:r w:rsidRPr="00EB79C7">
        <w:rPr>
          <w:rFonts w:ascii="Arial" w:hAnsi="Arial" w:cs="Arial"/>
        </w:rPr>
        <w:lastRenderedPageBreak/>
        <w:drawing>
          <wp:anchor distT="0" distB="0" distL="114300" distR="114300" simplePos="0" relativeHeight="251660288" behindDoc="0" locked="0" layoutInCell="1" allowOverlap="1" wp14:anchorId="1035AA7A" wp14:editId="1D73AF36">
            <wp:simplePos x="0" y="0"/>
            <wp:positionH relativeFrom="margin">
              <wp:align>left</wp:align>
            </wp:positionH>
            <wp:positionV relativeFrom="page">
              <wp:posOffset>1386840</wp:posOffset>
            </wp:positionV>
            <wp:extent cx="3616960" cy="1569720"/>
            <wp:effectExtent l="0" t="0" r="2540" b="0"/>
            <wp:wrapTopAndBottom/>
            <wp:docPr id="2010279447" name="Picture 5" descr="A graph with line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79447" name="Picture 5" descr="A graph with lines and numbers&#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6960" cy="1569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F87862" w14:textId="6AB7CF70" w:rsidR="00ED5378" w:rsidRPr="00EB79C7" w:rsidRDefault="00ED5378" w:rsidP="00EB79C7">
      <w:pPr>
        <w:spacing w:line="360" w:lineRule="auto"/>
        <w:rPr>
          <w:rFonts w:ascii="Arial" w:hAnsi="Arial" w:cs="Arial"/>
        </w:rPr>
      </w:pPr>
      <w:r w:rsidRPr="00EB79C7">
        <w:rPr>
          <w:rFonts w:ascii="Arial" w:hAnsi="Arial" w:cs="Arial"/>
        </w:rPr>
        <w:t>Source: Bank of England, 2023</w:t>
      </w:r>
    </w:p>
    <w:p w14:paraId="19057C7D" w14:textId="50F35D53" w:rsidR="00ED5378" w:rsidRPr="00EB79C7" w:rsidRDefault="00ED5378" w:rsidP="00EB79C7">
      <w:pPr>
        <w:spacing w:line="360" w:lineRule="auto"/>
        <w:rPr>
          <w:rFonts w:ascii="Arial" w:hAnsi="Arial" w:cs="Arial"/>
        </w:rPr>
      </w:pPr>
    </w:p>
    <w:p w14:paraId="1CAB92ED" w14:textId="5DE0F3AD" w:rsidR="00ED5378" w:rsidRPr="00EB79C7" w:rsidRDefault="00ED5378" w:rsidP="00EB79C7">
      <w:pPr>
        <w:spacing w:line="360" w:lineRule="auto"/>
        <w:rPr>
          <w:rFonts w:ascii="Arial" w:hAnsi="Arial" w:cs="Arial"/>
        </w:rPr>
      </w:pPr>
      <w:r w:rsidRPr="00EB79C7">
        <w:rPr>
          <w:rFonts w:ascii="Arial" w:hAnsi="Arial" w:cs="Arial"/>
        </w:rPr>
        <w:drawing>
          <wp:anchor distT="0" distB="0" distL="114300" distR="114300" simplePos="0" relativeHeight="251659264" behindDoc="0" locked="0" layoutInCell="1" allowOverlap="1" wp14:anchorId="1E788291" wp14:editId="10808045">
            <wp:simplePos x="0" y="0"/>
            <wp:positionH relativeFrom="margin">
              <wp:align>left</wp:align>
            </wp:positionH>
            <wp:positionV relativeFrom="margin">
              <wp:posOffset>3260725</wp:posOffset>
            </wp:positionV>
            <wp:extent cx="3823970" cy="1412240"/>
            <wp:effectExtent l="0" t="0" r="5080" b="0"/>
            <wp:wrapTopAndBottom/>
            <wp:docPr id="2012868040" name="Picture 6" descr="A graph with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68040" name="Picture 6" descr="A graph with colored line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23970" cy="1412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B79C7">
        <w:rPr>
          <w:rFonts w:ascii="Arial" w:hAnsi="Arial" w:cs="Arial"/>
        </w:rPr>
        <w:t xml:space="preserve">Figure </w:t>
      </w:r>
      <w:r w:rsidR="00EB79C7" w:rsidRPr="00EB79C7">
        <w:rPr>
          <w:rFonts w:ascii="Arial" w:hAnsi="Arial" w:cs="Arial"/>
        </w:rPr>
        <w:t>2:</w:t>
      </w:r>
      <w:r w:rsidRPr="00EB79C7">
        <w:rPr>
          <w:rFonts w:ascii="Arial" w:hAnsi="Arial" w:cs="Arial"/>
        </w:rPr>
        <w:t xml:space="preserve"> Economic Index Freedom</w:t>
      </w:r>
    </w:p>
    <w:p w14:paraId="7D3043BF" w14:textId="52815FDC" w:rsidR="00ED5378" w:rsidRPr="00EB79C7" w:rsidRDefault="00ED5378" w:rsidP="00ED5378">
      <w:pPr>
        <w:rPr>
          <w:rFonts w:ascii="Arial" w:hAnsi="Arial" w:cs="Arial"/>
        </w:rPr>
      </w:pPr>
    </w:p>
    <w:p w14:paraId="32318834" w14:textId="2C06C709" w:rsidR="00ED5378" w:rsidRPr="00EB79C7" w:rsidRDefault="00ED5378" w:rsidP="00EB79C7">
      <w:pPr>
        <w:spacing w:line="360" w:lineRule="auto"/>
        <w:rPr>
          <w:rFonts w:ascii="Arial" w:hAnsi="Arial" w:cs="Arial"/>
        </w:rPr>
      </w:pPr>
      <w:r w:rsidRPr="00EB79C7">
        <w:rPr>
          <w:rFonts w:ascii="Arial" w:hAnsi="Arial" w:cs="Arial"/>
        </w:rPr>
        <w:t>Source: (Heritage.org, 2024)</w:t>
      </w:r>
    </w:p>
    <w:p w14:paraId="6FBDD264" w14:textId="53B1BC0D" w:rsidR="00725B1D" w:rsidRPr="00EB79C7" w:rsidRDefault="00ED5378" w:rsidP="00EB79C7">
      <w:pPr>
        <w:spacing w:line="360" w:lineRule="auto"/>
        <w:rPr>
          <w:rFonts w:ascii="Arial" w:hAnsi="Arial" w:cs="Arial"/>
        </w:rPr>
      </w:pPr>
      <w:r w:rsidRPr="00EB79C7">
        <w:rPr>
          <w:rFonts w:ascii="Arial" w:hAnsi="Arial" w:cs="Arial"/>
        </w:rPr>
        <w:t xml:space="preserve">Figure </w:t>
      </w:r>
      <w:r w:rsidR="00EB79C7" w:rsidRPr="00EB79C7">
        <w:rPr>
          <w:rFonts w:ascii="Arial" w:hAnsi="Arial" w:cs="Arial"/>
        </w:rPr>
        <w:t>3:</w:t>
      </w:r>
      <w:r w:rsidRPr="00EB79C7">
        <w:rPr>
          <w:rFonts w:ascii="Arial" w:hAnsi="Arial" w:cs="Arial"/>
        </w:rPr>
        <w:t xml:space="preserve"> Historical emissions by sector in Wales</w:t>
      </w:r>
      <w:r w:rsidRPr="00EB79C7">
        <w:rPr>
          <w:rFonts w:ascii="Arial" w:hAnsi="Arial" w:cs="Arial"/>
        </w:rPr>
        <w:drawing>
          <wp:anchor distT="0" distB="0" distL="114300" distR="114300" simplePos="0" relativeHeight="251658240" behindDoc="0" locked="0" layoutInCell="1" allowOverlap="1" wp14:anchorId="58F23FC9" wp14:editId="72C2EAB1">
            <wp:simplePos x="0" y="0"/>
            <wp:positionH relativeFrom="margin">
              <wp:align>left</wp:align>
            </wp:positionH>
            <wp:positionV relativeFrom="page">
              <wp:posOffset>6525260</wp:posOffset>
            </wp:positionV>
            <wp:extent cx="3740150" cy="2552700"/>
            <wp:effectExtent l="0" t="0" r="0" b="0"/>
            <wp:wrapTopAndBottom/>
            <wp:docPr id="969758727" name="Picture 4"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758727" name="Picture 4" descr="A graph of different colored lin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0150"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A19909" w14:textId="0D9BE413" w:rsidR="00853EA6" w:rsidRPr="00EB79C7" w:rsidRDefault="00ED5378" w:rsidP="00EB79C7">
      <w:pPr>
        <w:spacing w:line="360" w:lineRule="auto"/>
        <w:rPr>
          <w:rFonts w:ascii="Arial" w:hAnsi="Arial" w:cs="Arial"/>
        </w:rPr>
      </w:pPr>
      <w:r w:rsidRPr="00EB79C7">
        <w:rPr>
          <w:rFonts w:ascii="Arial" w:hAnsi="Arial" w:cs="Arial"/>
        </w:rPr>
        <w:t>Source: (Climate Change Committee, 2023)</w:t>
      </w:r>
      <w:r w:rsidRPr="00EB79C7">
        <w:rPr>
          <w:rFonts w:ascii="Arial" w:hAnsi="Arial" w:cs="Arial"/>
        </w:rPr>
        <w:br/>
      </w:r>
    </w:p>
    <w:p w14:paraId="3B6A093E" w14:textId="1374259F" w:rsidR="00853EA6" w:rsidRPr="00EB79C7" w:rsidRDefault="00C90154" w:rsidP="00C90154">
      <w:pPr>
        <w:pStyle w:val="Heading2"/>
        <w:spacing w:line="360" w:lineRule="auto"/>
        <w:rPr>
          <w:rFonts w:ascii="Arial" w:hAnsi="Arial" w:cs="Arial"/>
          <w:b/>
          <w:bCs/>
          <w:color w:val="auto"/>
          <w:sz w:val="24"/>
          <w:szCs w:val="24"/>
        </w:rPr>
      </w:pPr>
      <w:bookmarkStart w:id="7" w:name="_Toc172154963"/>
      <w:r w:rsidRPr="00EB79C7">
        <w:rPr>
          <w:rFonts w:ascii="Arial" w:hAnsi="Arial" w:cs="Arial"/>
          <w:b/>
          <w:bCs/>
          <w:color w:val="auto"/>
          <w:sz w:val="24"/>
          <w:szCs w:val="24"/>
        </w:rPr>
        <w:lastRenderedPageBreak/>
        <w:t>References</w:t>
      </w:r>
      <w:bookmarkEnd w:id="7"/>
    </w:p>
    <w:p w14:paraId="73F4B07F" w14:textId="7D99410C" w:rsidR="00C90154" w:rsidRPr="00EB79C7" w:rsidRDefault="00C90154" w:rsidP="00EB79C7">
      <w:pPr>
        <w:spacing w:line="360" w:lineRule="auto"/>
        <w:rPr>
          <w:rFonts w:ascii="Arial" w:hAnsi="Arial" w:cs="Arial"/>
        </w:rPr>
      </w:pPr>
      <w:r w:rsidRPr="00EB79C7">
        <w:rPr>
          <w:rFonts w:ascii="Arial" w:hAnsi="Arial" w:cs="Arial"/>
        </w:rPr>
        <w:t>Bank of England. 2024. Monetary Policy Report - May 2024. Available at:</w:t>
      </w:r>
      <w:r w:rsidRPr="00EB79C7">
        <w:rPr>
          <w:rFonts w:ascii="Arial" w:hAnsi="Arial" w:cs="Arial"/>
        </w:rPr>
        <w:t xml:space="preserve"> </w:t>
      </w:r>
      <w:hyperlink r:id="rId10" w:history="1">
        <w:r w:rsidRPr="00EB79C7">
          <w:rPr>
            <w:rStyle w:val="Hyperlink"/>
            <w:rFonts w:ascii="Arial" w:hAnsi="Arial" w:cs="Arial"/>
          </w:rPr>
          <w:t>https://www.bankofengland.co.uk/monetary-policy-report/2024/may-2024#report-ma</w:t>
        </w:r>
        <w:r w:rsidRPr="00EB79C7">
          <w:rPr>
            <w:rStyle w:val="Hyperlink"/>
            <w:rFonts w:ascii="Arial" w:hAnsi="Arial" w:cs="Arial"/>
          </w:rPr>
          <w:t>y</w:t>
        </w:r>
      </w:hyperlink>
      <w:r w:rsidRPr="00EB79C7">
        <w:rPr>
          <w:rFonts w:ascii="Arial" w:hAnsi="Arial" w:cs="Arial"/>
        </w:rPr>
        <w:t xml:space="preserve"> </w:t>
      </w:r>
      <w:r w:rsidRPr="00EB79C7">
        <w:rPr>
          <w:rFonts w:ascii="Arial" w:hAnsi="Arial" w:cs="Arial"/>
        </w:rPr>
        <w:t>[Accessed: 29 June 2024]</w:t>
      </w:r>
    </w:p>
    <w:p w14:paraId="45AEECFF" w14:textId="21868DBF" w:rsidR="00C90154" w:rsidRPr="00EB79C7" w:rsidRDefault="00C90154" w:rsidP="00EB79C7">
      <w:pPr>
        <w:spacing w:line="360" w:lineRule="auto"/>
        <w:rPr>
          <w:rFonts w:ascii="Arial" w:hAnsi="Arial" w:cs="Arial"/>
        </w:rPr>
      </w:pPr>
      <w:r w:rsidRPr="00EB79C7">
        <w:rPr>
          <w:rFonts w:ascii="Arial" w:hAnsi="Arial" w:cs="Arial"/>
        </w:rPr>
        <w:t>Burggraaf, B. 2023. Empowering businesses to build green futures. Available at:</w:t>
      </w:r>
      <w:r w:rsidRPr="00EB79C7">
        <w:rPr>
          <w:rFonts w:ascii="Arial" w:hAnsi="Arial" w:cs="Arial"/>
        </w:rPr>
        <w:t xml:space="preserve"> </w:t>
      </w:r>
      <w:hyperlink r:id="rId11" w:history="1">
        <w:r w:rsidRPr="00EB79C7">
          <w:rPr>
            <w:rStyle w:val="Hyperlink"/>
            <w:rFonts w:ascii="Arial" w:hAnsi="Arial" w:cs="Arial"/>
          </w:rPr>
          <w:t>https://business.senedd.wales/documents/s145231/Evidence%20paper%20-%20Net%20Zero%20Industry%20Wales.pdf</w:t>
        </w:r>
      </w:hyperlink>
      <w:r w:rsidRPr="00EB79C7">
        <w:rPr>
          <w:rFonts w:ascii="Arial" w:hAnsi="Arial" w:cs="Arial"/>
        </w:rPr>
        <w:t xml:space="preserve"> </w:t>
      </w:r>
      <w:r w:rsidRPr="00EB79C7">
        <w:rPr>
          <w:rFonts w:ascii="Arial" w:hAnsi="Arial" w:cs="Arial"/>
        </w:rPr>
        <w:t>[Accessed: 29 June 2024]</w:t>
      </w:r>
    </w:p>
    <w:p w14:paraId="6E5BF9C2" w14:textId="604405A3" w:rsidR="00C90154" w:rsidRPr="00EB79C7" w:rsidRDefault="00C90154" w:rsidP="00EB79C7">
      <w:pPr>
        <w:spacing w:line="360" w:lineRule="auto"/>
        <w:rPr>
          <w:rFonts w:ascii="Arial" w:hAnsi="Arial" w:cs="Arial"/>
        </w:rPr>
      </w:pPr>
      <w:r w:rsidRPr="00EB79C7">
        <w:rPr>
          <w:rFonts w:ascii="Arial" w:hAnsi="Arial" w:cs="Arial"/>
        </w:rPr>
        <w:t>Climate Change Committee. 2023. Progress report: Reducing emissions in Wales. Available</w:t>
      </w:r>
      <w:r w:rsidRPr="00EB79C7">
        <w:rPr>
          <w:rFonts w:ascii="Arial" w:hAnsi="Arial" w:cs="Arial"/>
        </w:rPr>
        <w:t xml:space="preserve"> </w:t>
      </w:r>
      <w:r w:rsidRPr="00EB79C7">
        <w:rPr>
          <w:rFonts w:ascii="Arial" w:hAnsi="Arial" w:cs="Arial"/>
        </w:rPr>
        <w:t xml:space="preserve">at: </w:t>
      </w:r>
      <w:hyperlink r:id="rId12" w:history="1">
        <w:r w:rsidR="00F5098C" w:rsidRPr="00EB79C7">
          <w:rPr>
            <w:rStyle w:val="Hyperlink"/>
            <w:rFonts w:ascii="Arial" w:hAnsi="Arial" w:cs="Arial"/>
          </w:rPr>
          <w:t>https://www.theccc.org.uk/wp-content/uploads/2023/06/Progress-Report-Reducing-emissions-in-Wales.pdf</w:t>
        </w:r>
      </w:hyperlink>
      <w:r w:rsidR="00F5098C" w:rsidRPr="00EB79C7">
        <w:rPr>
          <w:rFonts w:ascii="Arial" w:hAnsi="Arial" w:cs="Arial"/>
        </w:rPr>
        <w:t xml:space="preserve"> </w:t>
      </w:r>
      <w:r w:rsidRPr="00EB79C7">
        <w:rPr>
          <w:rFonts w:ascii="Arial" w:hAnsi="Arial" w:cs="Arial"/>
        </w:rPr>
        <w:t>[Accessed: 28 June 2024]</w:t>
      </w:r>
    </w:p>
    <w:p w14:paraId="5CAE658C" w14:textId="02A30D1E" w:rsidR="00C90154" w:rsidRPr="00EB79C7" w:rsidRDefault="00C90154" w:rsidP="00EB79C7">
      <w:pPr>
        <w:spacing w:line="360" w:lineRule="auto"/>
        <w:rPr>
          <w:rFonts w:ascii="Arial" w:hAnsi="Arial" w:cs="Arial"/>
        </w:rPr>
      </w:pPr>
      <w:r w:rsidRPr="00EB79C7">
        <w:rPr>
          <w:rFonts w:ascii="Arial" w:hAnsi="Arial" w:cs="Arial"/>
        </w:rPr>
        <w:t>Greenpeace (2021). Trashed how the UK is still dumping plastic waste on the rest of the</w:t>
      </w:r>
      <w:r w:rsidR="00F5098C" w:rsidRPr="00EB79C7">
        <w:rPr>
          <w:rFonts w:ascii="Arial" w:hAnsi="Arial" w:cs="Arial"/>
        </w:rPr>
        <w:t xml:space="preserve"> </w:t>
      </w:r>
      <w:r w:rsidRPr="00EB79C7">
        <w:rPr>
          <w:rFonts w:ascii="Arial" w:hAnsi="Arial" w:cs="Arial"/>
        </w:rPr>
        <w:t xml:space="preserve">world. Available at: </w:t>
      </w:r>
      <w:hyperlink r:id="rId13" w:history="1">
        <w:r w:rsidR="00F5098C" w:rsidRPr="00EB79C7">
          <w:rPr>
            <w:rStyle w:val="Hyperlink"/>
            <w:rFonts w:ascii="Arial" w:hAnsi="Arial" w:cs="Arial"/>
          </w:rPr>
          <w:t>https://www.greenpeace.org.uk/wp</w:t>
        </w:r>
        <w:r w:rsidR="00F5098C" w:rsidRPr="00EB79C7">
          <w:rPr>
            <w:rStyle w:val="Hyperlink"/>
            <w:rFonts w:ascii="Arial" w:hAnsi="Arial" w:cs="Arial"/>
          </w:rPr>
          <w:t>-</w:t>
        </w:r>
        <w:r w:rsidR="00F5098C" w:rsidRPr="00EB79C7">
          <w:rPr>
            <w:rStyle w:val="Hyperlink"/>
            <w:rFonts w:ascii="Arial" w:hAnsi="Arial" w:cs="Arial"/>
          </w:rPr>
          <w:t>content/uploads/2021/05/Trashed-Greenpeace-plastics-report-final.pd</w:t>
        </w:r>
        <w:r w:rsidR="00F5098C" w:rsidRPr="00EB79C7">
          <w:rPr>
            <w:rStyle w:val="Hyperlink"/>
            <w:rFonts w:ascii="Arial" w:hAnsi="Arial" w:cs="Arial"/>
          </w:rPr>
          <w:t>f</w:t>
        </w:r>
      </w:hyperlink>
      <w:r w:rsidR="00F5098C" w:rsidRPr="00EB79C7">
        <w:rPr>
          <w:rFonts w:ascii="Arial" w:hAnsi="Arial" w:cs="Arial"/>
        </w:rPr>
        <w:t xml:space="preserve"> </w:t>
      </w:r>
      <w:r w:rsidRPr="00EB79C7">
        <w:rPr>
          <w:rFonts w:ascii="Arial" w:hAnsi="Arial" w:cs="Arial"/>
        </w:rPr>
        <w:t>[Accessed: 28</w:t>
      </w:r>
      <w:r w:rsidR="00F5098C" w:rsidRPr="00EB79C7">
        <w:rPr>
          <w:rFonts w:ascii="Arial" w:hAnsi="Arial" w:cs="Arial"/>
          <w:vertAlign w:val="superscript"/>
        </w:rPr>
        <w:t>th</w:t>
      </w:r>
      <w:r w:rsidR="00F5098C" w:rsidRPr="00EB79C7">
        <w:rPr>
          <w:rFonts w:ascii="Arial" w:hAnsi="Arial" w:cs="Arial"/>
        </w:rPr>
        <w:t xml:space="preserve"> </w:t>
      </w:r>
      <w:r w:rsidRPr="00EB79C7">
        <w:rPr>
          <w:rFonts w:ascii="Arial" w:hAnsi="Arial" w:cs="Arial"/>
        </w:rPr>
        <w:t>June 2024]</w:t>
      </w:r>
    </w:p>
    <w:p w14:paraId="562B1BEF" w14:textId="3CC1BFB7" w:rsidR="00C90154" w:rsidRPr="00EB79C7" w:rsidRDefault="00C90154" w:rsidP="00EB79C7">
      <w:pPr>
        <w:spacing w:line="360" w:lineRule="auto"/>
        <w:rPr>
          <w:rFonts w:ascii="Arial" w:hAnsi="Arial" w:cs="Arial"/>
        </w:rPr>
      </w:pPr>
      <w:r w:rsidRPr="00EB79C7">
        <w:rPr>
          <w:rFonts w:ascii="Arial" w:hAnsi="Arial" w:cs="Arial"/>
        </w:rPr>
        <w:t>Heritage. 2024. Economic Freedom Country Profile: United Kingdom. Available at:</w:t>
      </w:r>
      <w:r w:rsidR="00F5098C" w:rsidRPr="00EB79C7">
        <w:rPr>
          <w:rFonts w:ascii="Arial" w:hAnsi="Arial" w:cs="Arial"/>
        </w:rPr>
        <w:t xml:space="preserve"> </w:t>
      </w:r>
      <w:hyperlink r:id="rId14" w:history="1">
        <w:r w:rsidR="00F5098C" w:rsidRPr="00EB79C7">
          <w:rPr>
            <w:rStyle w:val="Hyperlink"/>
            <w:rFonts w:ascii="Arial" w:hAnsi="Arial" w:cs="Arial"/>
          </w:rPr>
          <w:t>https://www.heritage.org/index/pages/country-pages/united-kingdom</w:t>
        </w:r>
      </w:hyperlink>
      <w:r w:rsidR="00F5098C" w:rsidRPr="00EB79C7">
        <w:rPr>
          <w:rFonts w:ascii="Arial" w:hAnsi="Arial" w:cs="Arial"/>
        </w:rPr>
        <w:t xml:space="preserve"> </w:t>
      </w:r>
      <w:r w:rsidRPr="00EB79C7">
        <w:rPr>
          <w:rFonts w:ascii="Arial" w:hAnsi="Arial" w:cs="Arial"/>
        </w:rPr>
        <w:t>[Accessed: 28</w:t>
      </w:r>
      <w:r w:rsidR="00F5098C" w:rsidRPr="00EB79C7">
        <w:rPr>
          <w:rFonts w:ascii="Arial" w:hAnsi="Arial" w:cs="Arial"/>
        </w:rPr>
        <w:t xml:space="preserve"> </w:t>
      </w:r>
      <w:r w:rsidRPr="00EB79C7">
        <w:rPr>
          <w:rFonts w:ascii="Arial" w:hAnsi="Arial" w:cs="Arial"/>
        </w:rPr>
        <w:t>June 2024]</w:t>
      </w:r>
    </w:p>
    <w:p w14:paraId="691BE7FE" w14:textId="64566A55" w:rsidR="00F5098C" w:rsidRPr="00EB79C7" w:rsidRDefault="00C90154" w:rsidP="00EB79C7">
      <w:pPr>
        <w:spacing w:line="360" w:lineRule="auto"/>
        <w:rPr>
          <w:rFonts w:ascii="Arial" w:hAnsi="Arial" w:cs="Arial"/>
        </w:rPr>
      </w:pPr>
      <w:r w:rsidRPr="00EB79C7">
        <w:rPr>
          <w:rFonts w:ascii="Arial" w:hAnsi="Arial" w:cs="Arial"/>
        </w:rPr>
        <w:t>Hesterly, W. and Barney, J., 2014. Strategic management and competitive advantage.</w:t>
      </w:r>
      <w:r w:rsidR="00F5098C" w:rsidRPr="00EB79C7">
        <w:rPr>
          <w:rFonts w:ascii="Arial" w:hAnsi="Arial" w:cs="Arial"/>
        </w:rPr>
        <w:t xml:space="preserve"> </w:t>
      </w:r>
      <w:r w:rsidRPr="00EB79C7">
        <w:rPr>
          <w:rFonts w:ascii="Arial" w:hAnsi="Arial" w:cs="Arial"/>
        </w:rPr>
        <w:t>Pearson/Education. Available at:</w:t>
      </w:r>
      <w:r w:rsidR="00F5098C" w:rsidRPr="00EB79C7">
        <w:rPr>
          <w:rFonts w:ascii="Arial" w:hAnsi="Arial" w:cs="Arial"/>
        </w:rPr>
        <w:t xml:space="preserve"> </w:t>
      </w:r>
      <w:hyperlink r:id="rId15" w:history="1">
        <w:r w:rsidR="00F5098C" w:rsidRPr="00EB79C7">
          <w:rPr>
            <w:rStyle w:val="Hyperlink"/>
            <w:rFonts w:ascii="Arial" w:hAnsi="Arial" w:cs="Arial"/>
          </w:rPr>
          <w:t>http://teaching.up.edu/BUS580/bps/Barney%20and%20Hesterly,%202008,%20ch3_VRIO%20internal%20analysis.pd</w:t>
        </w:r>
        <w:r w:rsidR="00F5098C" w:rsidRPr="00EB79C7">
          <w:rPr>
            <w:rStyle w:val="Hyperlink"/>
            <w:rFonts w:ascii="Arial" w:hAnsi="Arial" w:cs="Arial"/>
          </w:rPr>
          <w:t>f</w:t>
        </w:r>
      </w:hyperlink>
      <w:r w:rsidR="00F5098C" w:rsidRPr="00EB79C7">
        <w:rPr>
          <w:rFonts w:ascii="Arial" w:hAnsi="Arial" w:cs="Arial"/>
        </w:rPr>
        <w:t xml:space="preserve"> </w:t>
      </w:r>
      <w:r w:rsidRPr="00EB79C7">
        <w:rPr>
          <w:rFonts w:ascii="Arial" w:hAnsi="Arial" w:cs="Arial"/>
        </w:rPr>
        <w:t>[Accessed: 27 June 2024]</w:t>
      </w:r>
    </w:p>
    <w:p w14:paraId="5E2D4F04" w14:textId="77777777" w:rsidR="00C90154" w:rsidRPr="00EB79C7" w:rsidRDefault="00C90154" w:rsidP="00EB79C7">
      <w:pPr>
        <w:spacing w:line="360" w:lineRule="auto"/>
        <w:rPr>
          <w:rFonts w:ascii="Arial" w:hAnsi="Arial" w:cs="Arial"/>
        </w:rPr>
      </w:pPr>
      <w:r w:rsidRPr="00EB79C7">
        <w:rPr>
          <w:rFonts w:ascii="Arial" w:hAnsi="Arial" w:cs="Arial"/>
        </w:rPr>
        <w:t>MarketLine. 2023. Country Profile Series United Kingdom In-depth PESTLE insights.</w:t>
      </w:r>
    </w:p>
    <w:p w14:paraId="6F145FFD" w14:textId="6AD9A674" w:rsidR="00EB79C7" w:rsidRPr="00EB79C7" w:rsidRDefault="00C90154" w:rsidP="00EB79C7">
      <w:pPr>
        <w:spacing w:line="360" w:lineRule="auto"/>
        <w:rPr>
          <w:rFonts w:ascii="Arial" w:hAnsi="Arial" w:cs="Arial"/>
        </w:rPr>
      </w:pPr>
      <w:r w:rsidRPr="00EB79C7">
        <w:rPr>
          <w:rFonts w:ascii="Arial" w:hAnsi="Arial" w:cs="Arial"/>
        </w:rPr>
        <w:t xml:space="preserve">Available at: </w:t>
      </w:r>
      <w:hyperlink r:id="rId16" w:history="1">
        <w:r w:rsidR="00F5098C" w:rsidRPr="00EB79C7">
          <w:rPr>
            <w:rStyle w:val="Hyperlink"/>
            <w:rFonts w:ascii="Arial" w:hAnsi="Arial" w:cs="Arial"/>
          </w:rPr>
          <w:t>https://store.marketline.com/report/uk-pestle</w:t>
        </w:r>
        <w:r w:rsidR="00F5098C" w:rsidRPr="00EB79C7">
          <w:rPr>
            <w:rStyle w:val="Hyperlink"/>
            <w:rFonts w:ascii="Arial" w:hAnsi="Arial" w:cs="Arial"/>
          </w:rPr>
          <w:t>-</w:t>
        </w:r>
        <w:r w:rsidR="00F5098C" w:rsidRPr="00EB79C7">
          <w:rPr>
            <w:rStyle w:val="Hyperlink"/>
            <w:rFonts w:ascii="Arial" w:hAnsi="Arial" w:cs="Arial"/>
          </w:rPr>
          <w:t>analysis/#:~:text=This%20PESTLE%20country%20analysis%20report,data%20to%20support%20trend%20analysi</w:t>
        </w:r>
        <w:r w:rsidR="00F5098C" w:rsidRPr="00EB79C7">
          <w:rPr>
            <w:rStyle w:val="Hyperlink"/>
            <w:rFonts w:ascii="Arial" w:hAnsi="Arial" w:cs="Arial"/>
          </w:rPr>
          <w:t>s</w:t>
        </w:r>
      </w:hyperlink>
      <w:r w:rsidR="00F5098C" w:rsidRPr="00EB79C7">
        <w:rPr>
          <w:rFonts w:ascii="Arial" w:hAnsi="Arial" w:cs="Arial"/>
        </w:rPr>
        <w:t xml:space="preserve"> </w:t>
      </w:r>
      <w:r w:rsidRPr="00EB79C7">
        <w:rPr>
          <w:rFonts w:ascii="Arial" w:hAnsi="Arial" w:cs="Arial"/>
        </w:rPr>
        <w:t>[Accessed: 27 June 2024]</w:t>
      </w:r>
    </w:p>
    <w:p w14:paraId="2BCA162A" w14:textId="3AD3ACD2" w:rsidR="00EB79C7" w:rsidRPr="00EB79C7" w:rsidRDefault="00C90154" w:rsidP="00EB79C7">
      <w:pPr>
        <w:spacing w:line="360" w:lineRule="auto"/>
        <w:rPr>
          <w:rFonts w:ascii="Arial" w:hAnsi="Arial" w:cs="Arial"/>
        </w:rPr>
      </w:pPr>
      <w:r w:rsidRPr="00EB79C7">
        <w:rPr>
          <w:rFonts w:ascii="Arial" w:hAnsi="Arial" w:cs="Arial"/>
        </w:rPr>
        <w:t>Márkus, G., 2008. Measuring company level competitiveness in Porter</w:t>
      </w:r>
      <w:r w:rsidR="00F5098C" w:rsidRPr="00EB79C7">
        <w:rPr>
          <w:rFonts w:ascii="Arial" w:hAnsi="Arial" w:cs="Arial"/>
        </w:rPr>
        <w:t>’</w:t>
      </w:r>
      <w:r w:rsidRPr="00EB79C7">
        <w:rPr>
          <w:rFonts w:ascii="Arial" w:hAnsi="Arial" w:cs="Arial"/>
        </w:rPr>
        <w:t>s Diamond model</w:t>
      </w:r>
      <w:r w:rsidR="00F5098C" w:rsidRPr="00EB79C7">
        <w:rPr>
          <w:rFonts w:ascii="Arial" w:hAnsi="Arial" w:cs="Arial"/>
        </w:rPr>
        <w:t xml:space="preserve"> </w:t>
      </w:r>
      <w:r w:rsidRPr="00EB79C7">
        <w:rPr>
          <w:rFonts w:ascii="Arial" w:hAnsi="Arial" w:cs="Arial"/>
        </w:rPr>
        <w:t>framework. In FIKUSZ 2008 business sciences-symposium for young researchers:</w:t>
      </w:r>
      <w:r w:rsidR="00F5098C" w:rsidRPr="00EB79C7">
        <w:rPr>
          <w:rFonts w:ascii="Arial" w:hAnsi="Arial" w:cs="Arial"/>
        </w:rPr>
        <w:t xml:space="preserve"> </w:t>
      </w:r>
      <w:r w:rsidRPr="00EB79C7">
        <w:rPr>
          <w:rFonts w:ascii="Arial" w:hAnsi="Arial" w:cs="Arial"/>
        </w:rPr>
        <w:t>Proceedings (pp. 149-158).</w:t>
      </w:r>
      <w:r w:rsidR="00EB79C7" w:rsidRPr="00EB79C7">
        <w:rPr>
          <w:rFonts w:ascii="Arial" w:hAnsi="Arial" w:cs="Arial"/>
        </w:rPr>
        <w:t xml:space="preserve"> </w:t>
      </w:r>
      <w:hyperlink r:id="rId17" w:history="1">
        <w:r w:rsidR="00EB79C7" w:rsidRPr="00EB79C7">
          <w:rPr>
            <w:rStyle w:val="Hyperlink"/>
            <w:rFonts w:ascii="Arial" w:hAnsi="Arial" w:cs="Arial"/>
          </w:rPr>
          <w:t>https://www.researchgate.net/profile/Gabor</w:t>
        </w:r>
        <w:r w:rsidR="00EB79C7" w:rsidRPr="00EB79C7">
          <w:rPr>
            <w:rStyle w:val="Hyperlink"/>
            <w:rFonts w:ascii="Arial" w:hAnsi="Arial" w:cs="Arial"/>
          </w:rPr>
          <w:t>-</w:t>
        </w:r>
        <w:r w:rsidR="00EB79C7" w:rsidRPr="00EB79C7">
          <w:rPr>
            <w:rStyle w:val="Hyperlink"/>
            <w:rFonts w:ascii="Arial" w:hAnsi="Arial" w:cs="Arial"/>
          </w:rPr>
          <w:t>Markus/publication/23637157_Measuring_company_level_competitiveness_in_Porter</w:t>
        </w:r>
        <w:r w:rsidR="00EB79C7" w:rsidRPr="00EB79C7">
          <w:rPr>
            <w:rStyle w:val="Hyperlink"/>
            <w:rFonts w:ascii="Arial" w:hAnsi="Arial" w:cs="Arial"/>
          </w:rPr>
          <w:t>’</w:t>
        </w:r>
        <w:r w:rsidR="00EB79C7" w:rsidRPr="00EB79C7">
          <w:rPr>
            <w:rStyle w:val="Hyperlink"/>
            <w:rFonts w:ascii="Arial" w:hAnsi="Arial" w:cs="Arial"/>
          </w:rPr>
          <w:t>s_Diamond_model_framework/links/5971b0044585153016392bf6/Measuring-</w:t>
        </w:r>
        <w:r w:rsidR="00EB79C7" w:rsidRPr="00EB79C7">
          <w:rPr>
            <w:rStyle w:val="Hyperlink"/>
            <w:rFonts w:ascii="Arial" w:hAnsi="Arial" w:cs="Arial"/>
          </w:rPr>
          <w:lastRenderedPageBreak/>
          <w:t>company-level-competitiveness-in-Porters-Diamond-model-framework.pd</w:t>
        </w:r>
        <w:r w:rsidR="00EB79C7" w:rsidRPr="00EB79C7">
          <w:rPr>
            <w:rStyle w:val="Hyperlink"/>
            <w:rFonts w:ascii="Arial" w:hAnsi="Arial" w:cs="Arial"/>
          </w:rPr>
          <w:t>f</w:t>
        </w:r>
      </w:hyperlink>
      <w:r w:rsidR="00EB79C7" w:rsidRPr="00EB79C7">
        <w:rPr>
          <w:rFonts w:ascii="Arial" w:hAnsi="Arial" w:cs="Arial"/>
        </w:rPr>
        <w:t xml:space="preserve"> [Accessed: 14</w:t>
      </w:r>
      <w:r w:rsidR="00EB79C7" w:rsidRPr="00EB79C7">
        <w:rPr>
          <w:rFonts w:ascii="Arial" w:hAnsi="Arial" w:cs="Arial"/>
          <w:vertAlign w:val="superscript"/>
        </w:rPr>
        <w:t>th</w:t>
      </w:r>
      <w:r w:rsidR="00EB79C7" w:rsidRPr="00EB79C7">
        <w:rPr>
          <w:rFonts w:ascii="Arial" w:hAnsi="Arial" w:cs="Arial"/>
        </w:rPr>
        <w:t xml:space="preserve"> July 2024]</w:t>
      </w:r>
    </w:p>
    <w:p w14:paraId="2C1F03EE" w14:textId="600B5657" w:rsidR="00C90154" w:rsidRPr="00EB79C7" w:rsidRDefault="00C90154" w:rsidP="00EB79C7">
      <w:pPr>
        <w:spacing w:line="360" w:lineRule="auto"/>
        <w:rPr>
          <w:rFonts w:ascii="Arial" w:hAnsi="Arial" w:cs="Arial"/>
        </w:rPr>
      </w:pPr>
      <w:r w:rsidRPr="00EB79C7">
        <w:rPr>
          <w:rFonts w:ascii="Arial" w:hAnsi="Arial" w:cs="Arial"/>
        </w:rPr>
        <w:t>Mitchell Meredith. 2024. Bank of England: Interest rates. Available at:</w:t>
      </w:r>
      <w:r w:rsidR="00EB79C7" w:rsidRPr="00EB79C7">
        <w:rPr>
          <w:rFonts w:ascii="Arial" w:hAnsi="Arial" w:cs="Arial"/>
        </w:rPr>
        <w:t xml:space="preserve"> </w:t>
      </w:r>
      <w:hyperlink r:id="rId18" w:history="1">
        <w:r w:rsidR="00EB79C7" w:rsidRPr="00EB79C7">
          <w:rPr>
            <w:rStyle w:val="Hyperlink"/>
            <w:rFonts w:ascii="Arial" w:hAnsi="Arial" w:cs="Arial"/>
          </w:rPr>
          <w:t>https://www.mitchellmeredith.co.uk/resources/market-data/interest-rates</w:t>
        </w:r>
      </w:hyperlink>
      <w:r w:rsidR="00EB79C7" w:rsidRPr="00EB79C7">
        <w:rPr>
          <w:rFonts w:ascii="Arial" w:hAnsi="Arial" w:cs="Arial"/>
        </w:rPr>
        <w:t xml:space="preserve"> </w:t>
      </w:r>
      <w:r w:rsidRPr="00EB79C7">
        <w:rPr>
          <w:rFonts w:ascii="Arial" w:hAnsi="Arial" w:cs="Arial"/>
        </w:rPr>
        <w:t>[Accessed:</w:t>
      </w:r>
      <w:r w:rsidR="00EB79C7" w:rsidRPr="00EB79C7">
        <w:rPr>
          <w:rFonts w:ascii="Arial" w:hAnsi="Arial" w:cs="Arial"/>
        </w:rPr>
        <w:t xml:space="preserve"> </w:t>
      </w:r>
      <w:r w:rsidRPr="00EB79C7">
        <w:rPr>
          <w:rFonts w:ascii="Arial" w:hAnsi="Arial" w:cs="Arial"/>
        </w:rPr>
        <w:t>29 June 2024]</w:t>
      </w:r>
    </w:p>
    <w:p w14:paraId="40CFECF8" w14:textId="40AA9317" w:rsidR="00EB79C7" w:rsidRPr="00EB79C7" w:rsidRDefault="00C90154" w:rsidP="00EB79C7">
      <w:pPr>
        <w:spacing w:line="360" w:lineRule="auto"/>
        <w:rPr>
          <w:rFonts w:ascii="Arial" w:hAnsi="Arial" w:cs="Arial"/>
        </w:rPr>
      </w:pPr>
      <w:r w:rsidRPr="00EB79C7">
        <w:rPr>
          <w:rFonts w:ascii="Arial" w:hAnsi="Arial" w:cs="Arial"/>
        </w:rPr>
        <w:t>Statista. 2023. E-commerce in the United Kingdom (UK) - statistics &amp; facts. Available at:</w:t>
      </w:r>
      <w:r w:rsidR="00EB79C7" w:rsidRPr="00EB79C7">
        <w:rPr>
          <w:rFonts w:ascii="Arial" w:hAnsi="Arial" w:cs="Arial"/>
        </w:rPr>
        <w:t xml:space="preserve"> </w:t>
      </w:r>
      <w:hyperlink r:id="rId19" w:history="1">
        <w:r w:rsidR="00EB79C7" w:rsidRPr="00EB79C7">
          <w:rPr>
            <w:rStyle w:val="Hyperlink"/>
            <w:rFonts w:ascii="Arial" w:hAnsi="Arial" w:cs="Arial"/>
          </w:rPr>
          <w:t>https://www.statista.com/topics/2333/e-commerce-in-the-united-kingdom/</w:t>
        </w:r>
      </w:hyperlink>
      <w:r w:rsidR="00EB79C7" w:rsidRPr="00EB79C7">
        <w:rPr>
          <w:rFonts w:ascii="Arial" w:hAnsi="Arial" w:cs="Arial"/>
        </w:rPr>
        <w:t xml:space="preserve"> </w:t>
      </w:r>
      <w:r w:rsidRPr="00EB79C7">
        <w:rPr>
          <w:rFonts w:ascii="Arial" w:hAnsi="Arial" w:cs="Arial"/>
        </w:rPr>
        <w:t>[Accessed:</w:t>
      </w:r>
      <w:r w:rsidR="00EB79C7" w:rsidRPr="00EB79C7">
        <w:rPr>
          <w:rFonts w:ascii="Arial" w:hAnsi="Arial" w:cs="Arial"/>
        </w:rPr>
        <w:t xml:space="preserve"> </w:t>
      </w:r>
      <w:r w:rsidRPr="00EB79C7">
        <w:rPr>
          <w:rFonts w:ascii="Arial" w:hAnsi="Arial" w:cs="Arial"/>
        </w:rPr>
        <w:t>28 June 2024]</w:t>
      </w:r>
    </w:p>
    <w:p w14:paraId="5EBAA2FB" w14:textId="5920214E" w:rsidR="00EB79C7" w:rsidRPr="00EB79C7" w:rsidRDefault="00C90154" w:rsidP="00EB79C7">
      <w:pPr>
        <w:spacing w:line="360" w:lineRule="auto"/>
        <w:rPr>
          <w:rFonts w:ascii="Arial" w:hAnsi="Arial" w:cs="Arial"/>
        </w:rPr>
      </w:pPr>
      <w:r w:rsidRPr="00EB79C7">
        <w:rPr>
          <w:rFonts w:ascii="Arial" w:hAnsi="Arial" w:cs="Arial"/>
        </w:rPr>
        <w:t>UK Energy Act 2016. Energy and climate change. Available at:</w:t>
      </w:r>
      <w:r w:rsidR="00EB79C7" w:rsidRPr="00EB79C7">
        <w:rPr>
          <w:rFonts w:ascii="Arial" w:hAnsi="Arial" w:cs="Arial"/>
        </w:rPr>
        <w:t xml:space="preserve"> </w:t>
      </w:r>
      <w:hyperlink r:id="rId20" w:history="1">
        <w:r w:rsidR="00EB79C7" w:rsidRPr="00EB79C7">
          <w:rPr>
            <w:rStyle w:val="Hyperlink"/>
            <w:rFonts w:ascii="Arial" w:hAnsi="Arial" w:cs="Arial"/>
          </w:rPr>
          <w:t>https://assets.publishing.service.gov.uk/media/5a79a975e5274a18ba50de36/3211</w:t>
        </w:r>
        <w:r w:rsidR="00EB79C7" w:rsidRPr="00EB79C7">
          <w:rPr>
            <w:rStyle w:val="Hyperlink"/>
            <w:rFonts w:ascii="Arial" w:hAnsi="Arial" w:cs="Arial"/>
          </w:rPr>
          <w:t>-</w:t>
        </w:r>
        <w:r w:rsidR="00EB79C7" w:rsidRPr="00EB79C7">
          <w:rPr>
            <w:rStyle w:val="Hyperlink"/>
            <w:rFonts w:ascii="Arial" w:hAnsi="Arial" w:cs="Arial"/>
          </w:rPr>
          <w:t>energy-act-2011-aide-memoire.pd</w:t>
        </w:r>
        <w:r w:rsidR="00EB79C7" w:rsidRPr="00EB79C7">
          <w:rPr>
            <w:rStyle w:val="Hyperlink"/>
            <w:rFonts w:ascii="Arial" w:hAnsi="Arial" w:cs="Arial"/>
          </w:rPr>
          <w:t>f</w:t>
        </w:r>
      </w:hyperlink>
      <w:r w:rsidR="00EB79C7" w:rsidRPr="00EB79C7">
        <w:rPr>
          <w:rFonts w:ascii="Arial" w:hAnsi="Arial" w:cs="Arial"/>
        </w:rPr>
        <w:t xml:space="preserve"> </w:t>
      </w:r>
      <w:r w:rsidRPr="00EB79C7">
        <w:rPr>
          <w:rFonts w:ascii="Arial" w:hAnsi="Arial" w:cs="Arial"/>
        </w:rPr>
        <w:t>[Accessed: 27 June 2024]</w:t>
      </w:r>
    </w:p>
    <w:p w14:paraId="68DEFE75" w14:textId="4B02DD64" w:rsidR="00C90154" w:rsidRPr="00EB79C7" w:rsidRDefault="00C90154" w:rsidP="00EB79C7">
      <w:pPr>
        <w:spacing w:line="360" w:lineRule="auto"/>
        <w:rPr>
          <w:rFonts w:ascii="Arial" w:hAnsi="Arial" w:cs="Arial"/>
        </w:rPr>
      </w:pPr>
      <w:r w:rsidRPr="00EB79C7">
        <w:rPr>
          <w:rFonts w:ascii="Arial" w:hAnsi="Arial" w:cs="Arial"/>
        </w:rPr>
        <w:t>Welsh Government. 2022. UK-New Zealand Free Trade Agreement: A Welsh Government</w:t>
      </w:r>
      <w:r w:rsidR="00EB79C7" w:rsidRPr="00EB79C7">
        <w:rPr>
          <w:rFonts w:ascii="Arial" w:hAnsi="Arial" w:cs="Arial"/>
        </w:rPr>
        <w:t xml:space="preserve"> </w:t>
      </w:r>
      <w:r w:rsidRPr="00EB79C7">
        <w:rPr>
          <w:rFonts w:ascii="Arial" w:hAnsi="Arial" w:cs="Arial"/>
        </w:rPr>
        <w:t>Perspective 2022. Available at:</w:t>
      </w:r>
      <w:r w:rsidR="00EB79C7" w:rsidRPr="00EB79C7">
        <w:rPr>
          <w:rFonts w:ascii="Arial" w:hAnsi="Arial" w:cs="Arial"/>
        </w:rPr>
        <w:t xml:space="preserve"> </w:t>
      </w:r>
      <w:hyperlink r:id="rId21" w:history="1">
        <w:r w:rsidR="00EB79C7" w:rsidRPr="00EB79C7">
          <w:rPr>
            <w:rStyle w:val="Hyperlink"/>
            <w:rFonts w:ascii="Arial" w:hAnsi="Arial" w:cs="Arial"/>
          </w:rPr>
          <w:t>https://www.gov.wales/sites/default/files/publications/2022-07/uk-new-zealand-free</w:t>
        </w:r>
        <w:r w:rsidR="00EB79C7" w:rsidRPr="00EB79C7">
          <w:rPr>
            <w:rStyle w:val="Hyperlink"/>
            <w:rFonts w:ascii="Arial" w:hAnsi="Arial" w:cs="Arial"/>
          </w:rPr>
          <w:t>-</w:t>
        </w:r>
        <w:r w:rsidR="00EB79C7" w:rsidRPr="00EB79C7">
          <w:rPr>
            <w:rStyle w:val="Hyperlink"/>
            <w:rFonts w:ascii="Arial" w:hAnsi="Arial" w:cs="Arial"/>
          </w:rPr>
          <w:t>trade-agreement-a-welsh-government-perspective.pdf</w:t>
        </w:r>
      </w:hyperlink>
      <w:r w:rsidR="00EB79C7" w:rsidRPr="00EB79C7">
        <w:rPr>
          <w:rFonts w:ascii="Arial" w:hAnsi="Arial" w:cs="Arial"/>
        </w:rPr>
        <w:t xml:space="preserve"> </w:t>
      </w:r>
      <w:r w:rsidRPr="00EB79C7">
        <w:rPr>
          <w:rFonts w:ascii="Arial" w:hAnsi="Arial" w:cs="Arial"/>
        </w:rPr>
        <w:t>[Accessed: 28 June 2024]</w:t>
      </w:r>
    </w:p>
    <w:p w14:paraId="38D74F5A" w14:textId="41A45A11" w:rsidR="00EB79C7" w:rsidRPr="00EB79C7" w:rsidRDefault="00C90154" w:rsidP="00EB79C7">
      <w:pPr>
        <w:spacing w:line="360" w:lineRule="auto"/>
        <w:rPr>
          <w:rFonts w:ascii="Arial" w:hAnsi="Arial" w:cs="Arial"/>
        </w:rPr>
      </w:pPr>
      <w:r w:rsidRPr="00EB79C7">
        <w:rPr>
          <w:rFonts w:ascii="Arial" w:hAnsi="Arial" w:cs="Arial"/>
        </w:rPr>
        <w:t>Welsh Government. 2024a. Gross Value Added (£ per head) by area and year. Available at:</w:t>
      </w:r>
      <w:r w:rsidR="00EB79C7" w:rsidRPr="00EB79C7">
        <w:rPr>
          <w:rFonts w:ascii="Arial" w:hAnsi="Arial" w:cs="Arial"/>
        </w:rPr>
        <w:t xml:space="preserve"> </w:t>
      </w:r>
      <w:hyperlink r:id="rId22" w:history="1">
        <w:r w:rsidR="00EB79C7" w:rsidRPr="00EB79C7">
          <w:rPr>
            <w:rStyle w:val="Hyperlink"/>
            <w:rFonts w:ascii="Arial" w:hAnsi="Arial" w:cs="Arial"/>
          </w:rPr>
          <w:t>https://statswales.gov.wales/Catalogue/Business-Economy-and-Labour</w:t>
        </w:r>
        <w:r w:rsidR="00EB79C7" w:rsidRPr="00EB79C7">
          <w:rPr>
            <w:rStyle w:val="Hyperlink"/>
            <w:rFonts w:ascii="Arial" w:hAnsi="Arial" w:cs="Arial"/>
          </w:rPr>
          <w:t>-</w:t>
        </w:r>
        <w:r w:rsidR="00EB79C7" w:rsidRPr="00EB79C7">
          <w:rPr>
            <w:rStyle w:val="Hyperlink"/>
            <w:rFonts w:ascii="Arial" w:hAnsi="Arial" w:cs="Arial"/>
          </w:rPr>
          <w:t>Market/Regional-Accounts/Gross-Value-Added-GDP/gvaperhead-by-area-year</w:t>
        </w:r>
      </w:hyperlink>
      <w:r w:rsidR="00EB79C7" w:rsidRPr="00EB79C7">
        <w:rPr>
          <w:rFonts w:ascii="Arial" w:hAnsi="Arial" w:cs="Arial"/>
        </w:rPr>
        <w:t xml:space="preserve"> </w:t>
      </w:r>
      <w:r w:rsidRPr="00EB79C7">
        <w:rPr>
          <w:rFonts w:ascii="Arial" w:hAnsi="Arial" w:cs="Arial"/>
        </w:rPr>
        <w:t>[Accessed: 29 June 2024]</w:t>
      </w:r>
    </w:p>
    <w:p w14:paraId="1155DB13" w14:textId="41A5E5BF" w:rsidR="00C90154" w:rsidRPr="00EB79C7" w:rsidRDefault="00C90154" w:rsidP="00EB79C7">
      <w:pPr>
        <w:spacing w:line="360" w:lineRule="auto"/>
        <w:rPr>
          <w:rFonts w:ascii="Arial" w:hAnsi="Arial" w:cs="Arial"/>
        </w:rPr>
      </w:pPr>
      <w:r w:rsidRPr="00EB79C7">
        <w:rPr>
          <w:rFonts w:ascii="Arial" w:hAnsi="Arial" w:cs="Arial"/>
        </w:rPr>
        <w:t>Welsh Government. 2024b. Important update for Stats Wales Data users. Available at:</w:t>
      </w:r>
      <w:r w:rsidR="00EB79C7" w:rsidRPr="00EB79C7">
        <w:rPr>
          <w:rFonts w:ascii="Arial" w:hAnsi="Arial" w:cs="Arial"/>
        </w:rPr>
        <w:t xml:space="preserve"> </w:t>
      </w:r>
      <w:hyperlink r:id="rId23" w:history="1">
        <w:r w:rsidR="00EB79C7" w:rsidRPr="00EB79C7">
          <w:rPr>
            <w:rStyle w:val="Hyperlink"/>
            <w:rFonts w:ascii="Arial" w:hAnsi="Arial" w:cs="Arial"/>
          </w:rPr>
          <w:t>https://statswales.gov.wales/Catalogue/Business-Economy-and-Labour</w:t>
        </w:r>
        <w:r w:rsidR="00EB79C7" w:rsidRPr="00EB79C7">
          <w:rPr>
            <w:rStyle w:val="Hyperlink"/>
            <w:rFonts w:ascii="Arial" w:hAnsi="Arial" w:cs="Arial"/>
          </w:rPr>
          <w:t>-</w:t>
        </w:r>
        <w:r w:rsidR="00EB79C7" w:rsidRPr="00EB79C7">
          <w:rPr>
            <w:rStyle w:val="Hyperlink"/>
            <w:rFonts w:ascii="Arial" w:hAnsi="Arial" w:cs="Arial"/>
          </w:rPr>
          <w:t>Market/Regional-Accounts/Gross-Value-Added-GDP/gvaperhead-by-area-year</w:t>
        </w:r>
      </w:hyperlink>
      <w:r w:rsidR="00EB79C7" w:rsidRPr="00EB79C7">
        <w:rPr>
          <w:rFonts w:ascii="Arial" w:hAnsi="Arial" w:cs="Arial"/>
        </w:rPr>
        <w:t xml:space="preserve"> </w:t>
      </w:r>
      <w:r w:rsidRPr="00EB79C7">
        <w:rPr>
          <w:rFonts w:ascii="Arial" w:hAnsi="Arial" w:cs="Arial"/>
        </w:rPr>
        <w:t>[Accessed: 29 June 2024]</w:t>
      </w:r>
    </w:p>
    <w:p w14:paraId="250E0DFA" w14:textId="0DF6AF92" w:rsidR="00C90154" w:rsidRPr="00EB79C7" w:rsidRDefault="00C90154" w:rsidP="00EB79C7">
      <w:pPr>
        <w:spacing w:line="360" w:lineRule="auto"/>
        <w:rPr>
          <w:rFonts w:ascii="Arial" w:hAnsi="Arial" w:cs="Arial"/>
        </w:rPr>
      </w:pPr>
      <w:r w:rsidRPr="00EB79C7">
        <w:rPr>
          <w:rFonts w:ascii="Arial" w:hAnsi="Arial" w:cs="Arial"/>
        </w:rPr>
        <w:t>Welsh Government. 2024c. International trade policy. Available at:</w:t>
      </w:r>
      <w:r w:rsidR="00EB79C7" w:rsidRPr="00EB79C7">
        <w:rPr>
          <w:rFonts w:ascii="Arial" w:hAnsi="Arial" w:cs="Arial"/>
        </w:rPr>
        <w:t xml:space="preserve"> </w:t>
      </w:r>
      <w:hyperlink r:id="rId24" w:history="1">
        <w:r w:rsidR="00EB79C7" w:rsidRPr="00EB79C7">
          <w:rPr>
            <w:rStyle w:val="Hyperlink"/>
            <w:rFonts w:ascii="Arial" w:hAnsi="Arial" w:cs="Arial"/>
          </w:rPr>
          <w:t>https://www.gov.wales/international-trade-polic</w:t>
        </w:r>
        <w:r w:rsidR="00EB79C7" w:rsidRPr="00EB79C7">
          <w:rPr>
            <w:rStyle w:val="Hyperlink"/>
            <w:rFonts w:ascii="Arial" w:hAnsi="Arial" w:cs="Arial"/>
          </w:rPr>
          <w:t>y</w:t>
        </w:r>
      </w:hyperlink>
      <w:r w:rsidRPr="00EB79C7">
        <w:rPr>
          <w:rFonts w:ascii="Arial" w:hAnsi="Arial" w:cs="Arial"/>
        </w:rPr>
        <w:t xml:space="preserve"> [Accessed: 27 June 2024]</w:t>
      </w:r>
    </w:p>
    <w:p w14:paraId="4F89CFF7" w14:textId="74823125" w:rsidR="00C90154" w:rsidRPr="00EB79C7" w:rsidRDefault="00C90154" w:rsidP="00EB79C7">
      <w:pPr>
        <w:spacing w:line="360" w:lineRule="auto"/>
        <w:rPr>
          <w:rFonts w:ascii="Arial" w:hAnsi="Arial" w:cs="Arial"/>
        </w:rPr>
      </w:pPr>
      <w:r w:rsidRPr="00EB79C7">
        <w:rPr>
          <w:rFonts w:ascii="Arial" w:hAnsi="Arial" w:cs="Arial"/>
        </w:rPr>
        <w:t>Welsh Government. 2024d. The business of becoming a sustainable nation. Available at:</w:t>
      </w:r>
      <w:r w:rsidR="00EB79C7" w:rsidRPr="00EB79C7">
        <w:rPr>
          <w:rFonts w:ascii="Arial" w:hAnsi="Arial" w:cs="Arial"/>
        </w:rPr>
        <w:t xml:space="preserve"> </w:t>
      </w:r>
      <w:hyperlink r:id="rId25" w:history="1">
        <w:r w:rsidR="00EB79C7" w:rsidRPr="00EB79C7">
          <w:rPr>
            <w:rStyle w:val="Hyperlink"/>
            <w:rFonts w:ascii="Arial" w:hAnsi="Arial" w:cs="Arial"/>
          </w:rPr>
          <w:t>https://www.gov.wales/sites/default/files/publications/2019-05/the-business-of</w:t>
        </w:r>
        <w:r w:rsidR="00EB79C7" w:rsidRPr="00EB79C7">
          <w:rPr>
            <w:rStyle w:val="Hyperlink"/>
            <w:rFonts w:ascii="Arial" w:hAnsi="Arial" w:cs="Arial"/>
          </w:rPr>
          <w:t>-</w:t>
        </w:r>
        <w:r w:rsidR="00EB79C7" w:rsidRPr="00EB79C7">
          <w:rPr>
            <w:rStyle w:val="Hyperlink"/>
            <w:rFonts w:ascii="Arial" w:hAnsi="Arial" w:cs="Arial"/>
          </w:rPr>
          <w:t>becoming-a-sustainable-nation.pdf</w:t>
        </w:r>
      </w:hyperlink>
      <w:r w:rsidR="00EB79C7" w:rsidRPr="00EB79C7">
        <w:rPr>
          <w:rFonts w:ascii="Arial" w:hAnsi="Arial" w:cs="Arial"/>
        </w:rPr>
        <w:t xml:space="preserve"> </w:t>
      </w:r>
      <w:r w:rsidRPr="00EB79C7">
        <w:rPr>
          <w:rFonts w:ascii="Arial" w:hAnsi="Arial" w:cs="Arial"/>
        </w:rPr>
        <w:t>[Accessed: 29 June 2024]</w:t>
      </w:r>
    </w:p>
    <w:p w14:paraId="5F7B3C71" w14:textId="4D7679ED" w:rsidR="00853EA6" w:rsidRDefault="00853EA6" w:rsidP="00EB79C7">
      <w:pPr>
        <w:spacing w:line="360" w:lineRule="auto"/>
        <w:rPr>
          <w:rFonts w:ascii="Arial" w:hAnsi="Arial" w:cs="Arial"/>
        </w:rPr>
      </w:pPr>
    </w:p>
    <w:p w14:paraId="1958B01C" w14:textId="539923BD" w:rsidR="00853EA6" w:rsidRPr="005776B7" w:rsidRDefault="00853EA6" w:rsidP="00EB79C7">
      <w:pPr>
        <w:spacing w:line="360" w:lineRule="auto"/>
        <w:rPr>
          <w:rFonts w:ascii="Arial" w:hAnsi="Arial" w:cs="Arial"/>
        </w:rPr>
      </w:pPr>
    </w:p>
    <w:sectPr w:rsidR="00853EA6" w:rsidRPr="005776B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2EA1F8" w14:textId="77777777" w:rsidR="005C58CF" w:rsidRDefault="005C58CF">
      <w:pPr>
        <w:spacing w:after="0" w:line="240" w:lineRule="auto"/>
      </w:pPr>
      <w:r>
        <w:separator/>
      </w:r>
    </w:p>
  </w:endnote>
  <w:endnote w:type="continuationSeparator" w:id="0">
    <w:p w14:paraId="7C97CA62" w14:textId="77777777" w:rsidR="005C58CF" w:rsidRDefault="005C5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AA7ADB4" w14:paraId="2749D0E3" w14:textId="77777777" w:rsidTr="5AA7ADB4">
      <w:trPr>
        <w:trHeight w:val="300"/>
      </w:trPr>
      <w:tc>
        <w:tcPr>
          <w:tcW w:w="3005" w:type="dxa"/>
        </w:tcPr>
        <w:p w14:paraId="607F5110" w14:textId="270E38C1" w:rsidR="5AA7ADB4" w:rsidRDefault="5AA7ADB4" w:rsidP="5AA7ADB4">
          <w:pPr>
            <w:pStyle w:val="Header"/>
            <w:ind w:left="-115"/>
          </w:pPr>
        </w:p>
      </w:tc>
      <w:tc>
        <w:tcPr>
          <w:tcW w:w="3005" w:type="dxa"/>
        </w:tcPr>
        <w:p w14:paraId="3902B842" w14:textId="7F158EF2" w:rsidR="5AA7ADB4" w:rsidRDefault="5AA7ADB4" w:rsidP="5AA7ADB4">
          <w:pPr>
            <w:pStyle w:val="Header"/>
            <w:jc w:val="center"/>
          </w:pPr>
        </w:p>
      </w:tc>
      <w:tc>
        <w:tcPr>
          <w:tcW w:w="3005" w:type="dxa"/>
        </w:tcPr>
        <w:p w14:paraId="4AAC10B7" w14:textId="0D800354" w:rsidR="5AA7ADB4" w:rsidRDefault="5AA7ADB4" w:rsidP="5AA7ADB4">
          <w:pPr>
            <w:pStyle w:val="Header"/>
            <w:ind w:right="-115"/>
            <w:jc w:val="right"/>
          </w:pPr>
        </w:p>
      </w:tc>
    </w:tr>
  </w:tbl>
  <w:p w14:paraId="1E5C79D3" w14:textId="2DCF6494" w:rsidR="5AA7ADB4" w:rsidRDefault="5AA7ADB4" w:rsidP="5AA7A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3092DF" w14:textId="77777777" w:rsidR="005C58CF" w:rsidRDefault="005C58CF">
      <w:pPr>
        <w:spacing w:after="0" w:line="240" w:lineRule="auto"/>
      </w:pPr>
      <w:r>
        <w:separator/>
      </w:r>
    </w:p>
  </w:footnote>
  <w:footnote w:type="continuationSeparator" w:id="0">
    <w:p w14:paraId="750409C1" w14:textId="77777777" w:rsidR="005C58CF" w:rsidRDefault="005C58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6981079"/>
      <w:docPartObj>
        <w:docPartGallery w:val="Page Numbers (Top of Page)"/>
        <w:docPartUnique/>
      </w:docPartObj>
    </w:sdtPr>
    <w:sdtEndPr>
      <w:rPr>
        <w:color w:val="7F7F7F" w:themeColor="background1" w:themeShade="7F"/>
        <w:spacing w:val="60"/>
      </w:rPr>
    </w:sdtEndPr>
    <w:sdtContent>
      <w:p w14:paraId="7695D2D5" w14:textId="088A0355" w:rsidR="00725B1D" w:rsidRDefault="00725B1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AED120" w14:textId="1908A2D1" w:rsidR="5AA7ADB4" w:rsidRDefault="5AA7ADB4" w:rsidP="5AA7AD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4F8"/>
    <w:rsid w:val="00207E40"/>
    <w:rsid w:val="002C4A74"/>
    <w:rsid w:val="00350F27"/>
    <w:rsid w:val="00413E83"/>
    <w:rsid w:val="00480E83"/>
    <w:rsid w:val="005776B7"/>
    <w:rsid w:val="005C58CF"/>
    <w:rsid w:val="00677EB3"/>
    <w:rsid w:val="006B7742"/>
    <w:rsid w:val="006D7029"/>
    <w:rsid w:val="00711AD9"/>
    <w:rsid w:val="00725B1D"/>
    <w:rsid w:val="00732854"/>
    <w:rsid w:val="00853EA6"/>
    <w:rsid w:val="00856851"/>
    <w:rsid w:val="0089010E"/>
    <w:rsid w:val="0089747A"/>
    <w:rsid w:val="009527CF"/>
    <w:rsid w:val="00A73969"/>
    <w:rsid w:val="00B0366F"/>
    <w:rsid w:val="00BA0BCE"/>
    <w:rsid w:val="00BE6BF0"/>
    <w:rsid w:val="00C6424A"/>
    <w:rsid w:val="00C81FC3"/>
    <w:rsid w:val="00C90154"/>
    <w:rsid w:val="00CF49C2"/>
    <w:rsid w:val="00D12FF2"/>
    <w:rsid w:val="00D27D0B"/>
    <w:rsid w:val="00D3149C"/>
    <w:rsid w:val="00D6124B"/>
    <w:rsid w:val="00D85090"/>
    <w:rsid w:val="00DC04F8"/>
    <w:rsid w:val="00EB79C7"/>
    <w:rsid w:val="00ED5378"/>
    <w:rsid w:val="00F07ACC"/>
    <w:rsid w:val="00F5098C"/>
    <w:rsid w:val="00F61D9D"/>
    <w:rsid w:val="5AA7A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306D2"/>
  <w15:chartTrackingRefBased/>
  <w15:docId w15:val="{ABEA6154-8F6A-B842-8EBD-B8FAA99C0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4F8"/>
    <w:rPr>
      <w:rFonts w:eastAsiaTheme="majorEastAsia" w:cstheme="majorBidi"/>
      <w:color w:val="272727" w:themeColor="text1" w:themeTint="D8"/>
    </w:rPr>
  </w:style>
  <w:style w:type="paragraph" w:styleId="Title">
    <w:name w:val="Title"/>
    <w:basedOn w:val="Normal"/>
    <w:next w:val="Normal"/>
    <w:link w:val="TitleChar"/>
    <w:uiPriority w:val="10"/>
    <w:qFormat/>
    <w:rsid w:val="00DC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4F8"/>
    <w:pPr>
      <w:spacing w:before="160"/>
      <w:jc w:val="center"/>
    </w:pPr>
    <w:rPr>
      <w:i/>
      <w:iCs/>
      <w:color w:val="404040" w:themeColor="text1" w:themeTint="BF"/>
    </w:rPr>
  </w:style>
  <w:style w:type="character" w:customStyle="1" w:styleId="QuoteChar">
    <w:name w:val="Quote Char"/>
    <w:basedOn w:val="DefaultParagraphFont"/>
    <w:link w:val="Quote"/>
    <w:uiPriority w:val="29"/>
    <w:rsid w:val="00DC04F8"/>
    <w:rPr>
      <w:i/>
      <w:iCs/>
      <w:color w:val="404040" w:themeColor="text1" w:themeTint="BF"/>
    </w:rPr>
  </w:style>
  <w:style w:type="paragraph" w:styleId="ListParagraph">
    <w:name w:val="List Paragraph"/>
    <w:basedOn w:val="Normal"/>
    <w:uiPriority w:val="34"/>
    <w:qFormat/>
    <w:rsid w:val="00DC04F8"/>
    <w:pPr>
      <w:ind w:left="720"/>
      <w:contextualSpacing/>
    </w:pPr>
  </w:style>
  <w:style w:type="character" w:styleId="IntenseEmphasis">
    <w:name w:val="Intense Emphasis"/>
    <w:basedOn w:val="DefaultParagraphFont"/>
    <w:uiPriority w:val="21"/>
    <w:qFormat/>
    <w:rsid w:val="00DC04F8"/>
    <w:rPr>
      <w:i/>
      <w:iCs/>
      <w:color w:val="0F4761" w:themeColor="accent1" w:themeShade="BF"/>
    </w:rPr>
  </w:style>
  <w:style w:type="paragraph" w:styleId="IntenseQuote">
    <w:name w:val="Intense Quote"/>
    <w:basedOn w:val="Normal"/>
    <w:next w:val="Normal"/>
    <w:link w:val="IntenseQuoteChar"/>
    <w:uiPriority w:val="30"/>
    <w:qFormat/>
    <w:rsid w:val="00DC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4F8"/>
    <w:rPr>
      <w:i/>
      <w:iCs/>
      <w:color w:val="0F4761" w:themeColor="accent1" w:themeShade="BF"/>
    </w:rPr>
  </w:style>
  <w:style w:type="character" w:styleId="IntenseReference">
    <w:name w:val="Intense Reference"/>
    <w:basedOn w:val="DefaultParagraphFont"/>
    <w:uiPriority w:val="32"/>
    <w:qFormat/>
    <w:rsid w:val="00DC04F8"/>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725B1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25B1D"/>
    <w:pPr>
      <w:spacing w:after="100"/>
    </w:pPr>
  </w:style>
  <w:style w:type="paragraph" w:styleId="TOC2">
    <w:name w:val="toc 2"/>
    <w:basedOn w:val="Normal"/>
    <w:next w:val="Normal"/>
    <w:autoRedefine/>
    <w:uiPriority w:val="39"/>
    <w:unhideWhenUsed/>
    <w:rsid w:val="00725B1D"/>
    <w:pPr>
      <w:spacing w:after="100"/>
      <w:ind w:left="240"/>
    </w:pPr>
  </w:style>
  <w:style w:type="character" w:styleId="Hyperlink">
    <w:name w:val="Hyperlink"/>
    <w:basedOn w:val="DefaultParagraphFont"/>
    <w:uiPriority w:val="99"/>
    <w:unhideWhenUsed/>
    <w:rsid w:val="00725B1D"/>
    <w:rPr>
      <w:color w:val="467886" w:themeColor="hyperlink"/>
      <w:u w:val="single"/>
    </w:rPr>
  </w:style>
  <w:style w:type="character" w:styleId="UnresolvedMention">
    <w:name w:val="Unresolved Mention"/>
    <w:basedOn w:val="DefaultParagraphFont"/>
    <w:uiPriority w:val="99"/>
    <w:semiHidden/>
    <w:unhideWhenUsed/>
    <w:rsid w:val="00C90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reenpeace.org.uk/wp-content/uploads/2021/05/Trashed-Greenpeace-plastics-report-final.pdf" TargetMode="External"/><Relationship Id="rId18" Type="http://schemas.openxmlformats.org/officeDocument/2006/relationships/hyperlink" Target="https://www.mitchellmeredith.co.uk/resources/market-data/interest-rat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gov.wales/sites/default/files/publications/2022-07/uk-new-zealand-free-trade-agreement-a-welsh-government-perspective.pdf" TargetMode="External"/><Relationship Id="rId7" Type="http://schemas.openxmlformats.org/officeDocument/2006/relationships/image" Target="media/image1.png"/><Relationship Id="rId12" Type="http://schemas.openxmlformats.org/officeDocument/2006/relationships/hyperlink" Target="https://www.theccc.org.uk/wp-content/uploads/2023/06/Progress-Report-Reducing-emissions-in-Wales.pdf" TargetMode="External"/><Relationship Id="rId17" Type="http://schemas.openxmlformats.org/officeDocument/2006/relationships/hyperlink" Target="https://www.researchgate.net/profile/Gabor-Markus/publication/23637157_Measuring_company_level_competitiveness_in_Porter&#8217;s_Diamond_model_framework/links/5971b0044585153016392bf6/Measuring-company-level-competitiveness-in-Porters-Diamond-model-framework.pdf" TargetMode="External"/><Relationship Id="rId25" Type="http://schemas.openxmlformats.org/officeDocument/2006/relationships/hyperlink" Target="https://www.gov.wales/sites/default/files/publications/2019-05/the-business-of-becoming-a-sustainable-nation.pdf" TargetMode="External"/><Relationship Id="rId2" Type="http://schemas.openxmlformats.org/officeDocument/2006/relationships/styles" Target="styles.xml"/><Relationship Id="rId16" Type="http://schemas.openxmlformats.org/officeDocument/2006/relationships/hyperlink" Target="https://store.marketline.com/report/uk-pestle-analysis/#:~:text=This%20PESTLE%20country%20analysis%20report,data%20to%20support%20trend%20analysis" TargetMode="External"/><Relationship Id="rId20" Type="http://schemas.openxmlformats.org/officeDocument/2006/relationships/hyperlink" Target="https://assets.publishing.service.gov.uk/media/5a79a975e5274a18ba50de36/3211-energy-act-2011-aide-memoir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usiness.senedd.wales/documents/s145231/Evidence%20paper%20-%20Net%20Zero%20Industry%20Wales.pdf" TargetMode="External"/><Relationship Id="rId24" Type="http://schemas.openxmlformats.org/officeDocument/2006/relationships/hyperlink" Target="https://www.gov.wales/international-trade-policy" TargetMode="External"/><Relationship Id="rId5" Type="http://schemas.openxmlformats.org/officeDocument/2006/relationships/footnotes" Target="footnotes.xml"/><Relationship Id="rId15" Type="http://schemas.openxmlformats.org/officeDocument/2006/relationships/hyperlink" Target="http://teaching.up.edu/BUS580/bps/Barney%20and%20Hesterly,%202008,%20ch3_VRIO%20internal%20analysis.pdf" TargetMode="External"/><Relationship Id="rId23" Type="http://schemas.openxmlformats.org/officeDocument/2006/relationships/hyperlink" Target="https://statswales.gov.wales/Catalogue/Business-Economy-and-Labour-Market/Regional-Accounts/Gross-Value-Added-GDP/gvaperhead-by-area-year" TargetMode="External"/><Relationship Id="rId28" Type="http://schemas.openxmlformats.org/officeDocument/2006/relationships/fontTable" Target="fontTable.xml"/><Relationship Id="rId10" Type="http://schemas.openxmlformats.org/officeDocument/2006/relationships/hyperlink" Target="https://www.bankofengland.co.uk/monetary-policy-report/2024/may-2024#report-may" TargetMode="External"/><Relationship Id="rId19" Type="http://schemas.openxmlformats.org/officeDocument/2006/relationships/hyperlink" Target="https://www.statista.com/topics/2333/e-commerce-in-the-united-kingd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eritage.org/index/pages/country-pages/united-kingdom" TargetMode="External"/><Relationship Id="rId22" Type="http://schemas.openxmlformats.org/officeDocument/2006/relationships/hyperlink" Target="https://statswales.gov.wales/Catalogue/Business-Economy-and-Labour-Market/Regional-Accounts/Gross-Value-Added-GDP/gvaperhead-by-area-yea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ADEA1-0F82-4B56-B810-488ECE5AB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Stefan</dc:creator>
  <cp:keywords/>
  <dc:description/>
  <cp:lastModifiedBy>Ionel Stefan</cp:lastModifiedBy>
  <cp:revision>2</cp:revision>
  <dcterms:created xsi:type="dcterms:W3CDTF">2024-07-17T23:29:00Z</dcterms:created>
  <dcterms:modified xsi:type="dcterms:W3CDTF">2024-07-17T23:29:00Z</dcterms:modified>
</cp:coreProperties>
</file>