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pPr>
      <w:r>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drawing>
          <wp:inline distT="0" distB="0" distL="0" distR="0">
            <wp:extent cx="1908049" cy="635661"/>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TSD_logo2010.png"/>
                    <pic:cNvPicPr>
                      <a:picLocks noChangeAspect="1"/>
                    </pic:cNvPicPr>
                  </pic:nvPicPr>
                  <pic:blipFill>
                    <a:blip r:embed="rId4">
                      <a:extLst/>
                    </a:blip>
                    <a:stretch>
                      <a:fillRect/>
                    </a:stretch>
                  </pic:blipFill>
                  <pic:spPr>
                    <a:xfrm>
                      <a:off x="0" y="0"/>
                      <a:ext cx="1908049" cy="635661"/>
                    </a:xfrm>
                    <a:prstGeom prst="rect">
                      <a:avLst/>
                    </a:prstGeom>
                    <a:ln w="19050" cap="flat">
                      <a:solidFill>
                        <a:srgbClr val="000000"/>
                      </a:solidFill>
                      <a:prstDash val="solid"/>
                      <a:round/>
                    </a:ln>
                    <a:effectLst/>
                  </pic:spPr>
                </pic:pic>
              </a:graphicData>
            </a:graphic>
          </wp:inline>
        </w:draw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rPr>
        <w:t xml:space="preserve">Postgraduate/Distance Learning </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rPr>
        <w:t>Assignment coversheet &amp; feedback form</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rPr>
      </w:pP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45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For completion by the student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Student Name: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Emily Robinson</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Student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single" w:color="000000"/>
                <w:vertAlign w:val="baseline"/>
                <w:rtl w:val="0"/>
                <w:lang w:val="en-US"/>
              </w:rPr>
              <w:t>University</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vertAlign w:val="baseline"/>
                <w:rtl w:val="0"/>
                <w:lang w:val="en-US"/>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Email: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1806481@student.uwtsd.ac.uk</w:t>
            </w:r>
          </w:p>
        </w:tc>
      </w:tr>
      <w:tr>
        <w:tblPrEx>
          <w:shd w:val="clear" w:color="auto" w:fill="ced7e7"/>
        </w:tblPrEx>
        <w:trPr>
          <w:trHeight w:val="120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Module code: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HPCA7005</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Module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Cosmology, Magic and Divination</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Student ID number:</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1806481</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Yes/No</w:t>
            </w:r>
          </w:p>
        </w:tc>
      </w:tr>
      <w:tr>
        <w:tblPrEx>
          <w:shd w:val="clear" w:color="auto" w:fill="ced7e7"/>
        </w:tblPrEx>
        <w:trPr>
          <w:trHeight w:val="979"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Assignment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Analyzing the role of divination in ancient Greek medicine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Assignment due date: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June 8 2020</w:t>
            </w:r>
          </w:p>
        </w:tc>
      </w:tr>
      <w:tr>
        <w:tblPrEx>
          <w:shd w:val="clear" w:color="auto" w:fill="ced7e7"/>
        </w:tblPrEx>
        <w:trPr>
          <w:trHeight w:val="81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rtl w:val="0"/>
                <w:lang w:val="en-US"/>
              </w:rPr>
              <w:t>This assignment is for the       1</w:t>
            </w:r>
            <w:r>
              <w:rPr>
                <w:rFonts w:ascii="Arial" w:hAnsi="Arial"/>
                <w:u w:color="000000"/>
                <w:vertAlign w:val="superscript"/>
                <w:rtl w:val="0"/>
                <w:lang w:val="en-US"/>
              </w:rPr>
              <w:t xml:space="preserve">st </w:t>
            </w:r>
            <w:r>
              <w:rPr>
                <w:rFonts w:ascii="Arial" w:hAnsi="Arial"/>
                <w:u w:color="000000"/>
                <w:rtl w:val="0"/>
                <w:lang w:val="en-US"/>
              </w:rPr>
              <w:t xml:space="preserve">    2</w:t>
            </w:r>
            <w:r>
              <w:rPr>
                <w:rFonts w:ascii="Arial" w:hAnsi="Arial"/>
                <w:u w:color="000000"/>
                <w:vertAlign w:val="superscript"/>
                <w:rtl w:val="0"/>
                <w:lang w:val="en-US"/>
              </w:rPr>
              <w:t>nd</w:t>
            </w:r>
            <w:r>
              <w:rPr>
                <w:rFonts w:ascii="Arial" w:hAnsi="Arial"/>
                <w:u w:color="000000"/>
                <w:rtl w:val="0"/>
                <w:lang w:val="en-US"/>
              </w:rPr>
              <w:t xml:space="preserve">       3</w:t>
            </w:r>
            <w:r>
              <w:rPr>
                <w:rFonts w:ascii="Arial" w:hAnsi="Arial"/>
                <w:u w:color="000000"/>
                <w:vertAlign w:val="superscript"/>
                <w:rtl w:val="0"/>
                <w:lang w:val="en-US"/>
              </w:rPr>
              <w:t>rd</w:t>
            </w:r>
            <w:r>
              <w:rPr>
                <w:rFonts w:ascii="Arial" w:hAnsi="Arial"/>
                <w:u w:color="000000"/>
                <w:rtl w:val="0"/>
                <w:lang w:val="en-US"/>
              </w:rPr>
              <w:t xml:space="preserve">        4</w:t>
            </w:r>
            <w:r>
              <w:rPr>
                <w:rFonts w:ascii="Arial" w:hAnsi="Arial"/>
                <w:u w:color="000000"/>
                <w:vertAlign w:val="superscript"/>
                <w:rtl w:val="0"/>
                <w:lang w:val="en-US"/>
              </w:rPr>
              <w:t>th</w:t>
            </w:r>
            <w:r>
              <w:rPr>
                <w:rFonts w:ascii="Arial" w:hAnsi="Arial"/>
                <w:u w:color="000000"/>
                <w:rtl w:val="0"/>
                <w:lang w:val="en-US"/>
              </w:rPr>
              <w:t xml:space="preserve">       5</w:t>
            </w:r>
            <w:r>
              <w:rPr>
                <w:rFonts w:ascii="Arial" w:hAnsi="Arial"/>
                <w:u w:color="000000"/>
                <w:vertAlign w:val="superscript"/>
                <w:rtl w:val="0"/>
                <w:lang w:val="en-US"/>
              </w:rPr>
              <w:t>th</w:t>
            </w:r>
            <w:r>
              <w:rPr>
                <w:rFonts w:ascii="Arial" w:hAnsi="Arial"/>
                <w:u w:color="000000"/>
                <w:rtl w:val="0"/>
                <w:lang w:val="en-US"/>
              </w:rPr>
              <w:t xml:space="preserve">     </w:t>
            </w:r>
            <w:r>
              <w:rPr>
                <w:rFonts w:ascii="Arial" w:hAnsi="Arial"/>
                <w:b w:val="1"/>
                <w:bCs w:val="1"/>
                <w:u w:color="000000"/>
                <w:rtl w:val="0"/>
                <w:lang w:val="en-US"/>
              </w:rPr>
              <w:t xml:space="preserve">  6</w:t>
            </w:r>
            <w:r>
              <w:rPr>
                <w:rFonts w:ascii="Arial" w:hAnsi="Arial"/>
                <w:b w:val="1"/>
                <w:bCs w:val="1"/>
                <w:u w:color="000000"/>
                <w:vertAlign w:val="superscript"/>
                <w:rtl w:val="0"/>
                <w:lang w:val="en-US"/>
              </w:rPr>
              <w:t>th</w:t>
            </w:r>
            <w:r>
              <w:rPr>
                <w:rFonts w:ascii="Arial" w:hAnsi="Arial"/>
                <w:b w:val="1"/>
                <w:bCs w:val="1"/>
                <w:u w:color="000000"/>
                <w:rtl w:val="0"/>
                <w:lang w:val="en-US"/>
              </w:rPr>
              <w:t xml:space="preserve"> </w:t>
            </w:r>
            <w:r>
              <w:rPr>
                <w:rFonts w:ascii="Arial" w:hAnsi="Arial"/>
                <w:b w:val="1"/>
                <w:bCs w:val="1"/>
                <w:u w:color="000000"/>
                <w:rtl w:val="0"/>
                <w:lang w:val="en-US"/>
              </w:rPr>
              <w:t xml:space="preserve">   </w:t>
            </w:r>
            <w:r>
              <w:rPr>
                <w:rFonts w:ascii="Arial" w:hAnsi="Arial"/>
                <w:u w:color="000000"/>
                <w:rtl w:val="0"/>
                <w:lang w:val="en-US"/>
              </w:rPr>
              <w:t>module of the degree</w:t>
            </w:r>
          </w:p>
        </w:tc>
      </w:tr>
      <w:tr>
        <w:tblPrEx>
          <w:shd w:val="clear" w:color="auto" w:fill="ced7e7"/>
        </w:tblPrEx>
        <w:trPr>
          <w:trHeight w:val="209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Signed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Emily Robinson</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vertAlign w:val="baseline"/>
                <w:rtl w:val="0"/>
              </w:rPr>
            </w:pPr>
            <w:r>
              <w:rPr>
                <w:rFonts w:ascii="Calibri" w:cs="Calibri" w:hAnsi="Calibri" w:eastAsia="Calibri"/>
                <w:b w:val="1"/>
                <w:bCs w:val="1"/>
                <w:i w:val="0"/>
                <w:iCs w:val="0"/>
                <w:caps w:val="0"/>
                <w:smallCaps w:val="0"/>
                <w:strike w:val="0"/>
                <w:dstrike w:val="0"/>
                <w:outline w:val="0"/>
                <w:color w:val="000000"/>
                <w:spacing w:val="0"/>
                <w:kern w:val="0"/>
                <w:position w:val="0"/>
                <w:sz w:val="24"/>
                <w:szCs w:val="24"/>
                <w:u w:val="none" w:color="000000"/>
                <w:vertAlign w:val="baseline"/>
                <w:rtl w:val="0"/>
                <w:lang w:val="en-US"/>
              </w:rPr>
              <w:t xml:space="preserve">Email submission:if you are submitting this form via email, please tick this box </w:t>
            </w:r>
            <w:r>
              <w:rPr>
                <w:rFonts w:ascii="Calibri" w:cs="Calibri" w:hAnsi="Calibri" w:eastAsia="Calibri" w:hint="default"/>
                <w:b w:val="1"/>
                <w:bCs w:val="1"/>
                <w:i w:val="0"/>
                <w:iCs w:val="0"/>
                <w:caps w:val="0"/>
                <w:smallCaps w:val="0"/>
                <w:strike w:val="0"/>
                <w:dstrike w:val="0"/>
                <w:outline w:val="0"/>
                <w:color w:val="000000"/>
                <w:spacing w:val="0"/>
                <w:kern w:val="0"/>
                <w:position w:val="0"/>
                <w:sz w:val="44"/>
                <w:szCs w:val="44"/>
                <w:u w:val="none" w:color="000000"/>
                <w:vertAlign w:val="baseline"/>
                <w:rtl w:val="0"/>
                <w:lang w:val="en-US"/>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Calibri" w:hAnsi="Calibri" w:eastAsia="Calibri"/>
                <w:b w:val="1"/>
                <w:bCs w:val="1"/>
                <w:i w:val="0"/>
                <w:iCs w:val="0"/>
                <w:caps w:val="0"/>
                <w:smallCaps w:val="0"/>
                <w:strike w:val="0"/>
                <w:dstrike w:val="0"/>
                <w:outline w:val="0"/>
                <w:color w:val="000000"/>
                <w:spacing w:val="0"/>
                <w:kern w:val="0"/>
                <w:position w:val="0"/>
                <w:sz w:val="24"/>
                <w:szCs w:val="24"/>
                <w:u w:val="none" w:color="000000"/>
                <w:vertAlign w:val="baseline"/>
                <w:rtl w:val="0"/>
                <w:lang w:val="en-US"/>
              </w:rPr>
              <w:t>(as a substitute for your signature) to confirm that you agree to the above declaration.</w:t>
            </w:r>
          </w:p>
        </w:tc>
      </w:tr>
      <w:tr>
        <w:tblPrEx>
          <w:shd w:val="clear" w:color="auto" w:fill="ced7e7"/>
        </w:tblPrEx>
        <w:trPr>
          <w:trHeight w:val="51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sz w:val="24"/>
                <w:szCs w:val="24"/>
                <w:u w:color="000000"/>
                <w:rtl w:val="0"/>
                <w:lang w:val="en-US"/>
              </w:rPr>
            </w:pPr>
          </w:p>
          <w:p>
            <w:pPr>
              <w:pStyle w:val="Body"/>
              <w:jc w:val="left"/>
              <w:rPr>
                <w:rFonts w:ascii="Arial" w:cs="Arial" w:hAnsi="Arial" w:eastAsia="Arial"/>
                <w:sz w:val="24"/>
                <w:szCs w:val="24"/>
                <w:u w:color="000000"/>
              </w:rPr>
            </w:pPr>
            <w:r>
              <w:rPr>
                <w:rFonts w:ascii="Arial" w:hAnsi="Arial"/>
                <w:b w:val="1"/>
                <w:bCs w:val="1"/>
                <w:sz w:val="24"/>
                <w:szCs w:val="24"/>
                <w:u w:color="000000"/>
                <w:rtl w:val="0"/>
                <w:lang w:val="en-US"/>
              </w:rPr>
              <w:t>Assignment Mark</w:t>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sz w:val="20"/>
                <w:szCs w:val="20"/>
                <w:u w:color="000000"/>
                <w:rtl w:val="0"/>
                <w:lang w:val="en-US"/>
              </w:rPr>
            </w:pPr>
            <w:r>
              <w:rPr>
                <w:rFonts w:ascii="Arial" w:hAnsi="Arial"/>
                <w:sz w:val="20"/>
                <w:szCs w:val="20"/>
                <w:u w:color="000000"/>
                <w:rtl w:val="0"/>
                <w:lang w:val="en-US"/>
              </w:rPr>
              <w:t>1</w:t>
            </w:r>
            <w:r>
              <w:rPr>
                <w:rFonts w:ascii="Arial" w:hAnsi="Arial"/>
                <w:sz w:val="20"/>
                <w:szCs w:val="20"/>
                <w:u w:color="000000"/>
                <w:vertAlign w:val="superscript"/>
                <w:rtl w:val="0"/>
                <w:lang w:val="en-US"/>
              </w:rPr>
              <w:t>st</w:t>
            </w:r>
            <w:r>
              <w:rPr>
                <w:rFonts w:ascii="Arial" w:hAnsi="Arial"/>
                <w:sz w:val="20"/>
                <w:szCs w:val="20"/>
                <w:u w:color="000000"/>
                <w:rtl w:val="0"/>
                <w:lang w:val="en-US"/>
              </w:rPr>
              <w:t xml:space="preserve"> Marker</w:t>
            </w:r>
            <w:r>
              <w:rPr>
                <w:rFonts w:ascii="Arial" w:hAnsi="Arial" w:hint="default"/>
                <w:sz w:val="20"/>
                <w:szCs w:val="20"/>
                <w:u w:color="000000"/>
                <w:rtl w:val="0"/>
                <w:lang w:val="en-US"/>
              </w:rPr>
              <w:t>’</w:t>
            </w:r>
            <w:r>
              <w:rPr>
                <w:rFonts w:ascii="Arial" w:hAnsi="Arial"/>
                <w:sz w:val="20"/>
                <w:szCs w:val="20"/>
                <w:u w:color="000000"/>
                <w:rtl w:val="0"/>
                <w:lang w:val="en-US"/>
              </w:rPr>
              <w:t>s Provisional mark</w:t>
              <w:tab/>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sz w:val="20"/>
                <w:szCs w:val="20"/>
                <w:u w:color="000000"/>
                <w:rtl w:val="0"/>
                <w:lang w:val="en-US"/>
              </w:rPr>
            </w:pPr>
            <w:r>
              <w:rPr>
                <w:rFonts w:ascii="Arial" w:hAnsi="Arial"/>
                <w:sz w:val="20"/>
                <w:szCs w:val="20"/>
                <w:u w:color="000000"/>
                <w:rtl w:val="0"/>
                <w:lang w:val="en-US"/>
              </w:rPr>
              <w:t>2</w:t>
            </w:r>
            <w:r>
              <w:rPr>
                <w:rFonts w:ascii="Arial" w:hAnsi="Arial"/>
                <w:sz w:val="20"/>
                <w:szCs w:val="20"/>
                <w:u w:color="000000"/>
                <w:vertAlign w:val="superscript"/>
                <w:rtl w:val="0"/>
                <w:lang w:val="en-US"/>
              </w:rPr>
              <w:t>nd</w:t>
            </w:r>
            <w:r>
              <w:rPr>
                <w:rFonts w:ascii="Arial" w:hAnsi="Arial"/>
                <w:sz w:val="20"/>
                <w:szCs w:val="20"/>
                <w:u w:color="000000"/>
                <w:rtl w:val="0"/>
                <w:lang w:val="en-US"/>
              </w:rPr>
              <w:t xml:space="preserve"> Marker</w:t>
            </w:r>
            <w:r>
              <w:rPr>
                <w:rFonts w:ascii="Arial" w:hAnsi="Arial" w:hint="default"/>
                <w:sz w:val="20"/>
                <w:szCs w:val="20"/>
                <w:u w:color="000000"/>
                <w:rtl w:val="0"/>
                <w:lang w:val="en-US"/>
              </w:rPr>
              <w:t>’</w:t>
            </w:r>
            <w:r>
              <w:rPr>
                <w:rFonts w:ascii="Arial" w:hAnsi="Arial"/>
                <w:sz w:val="20"/>
                <w:szCs w:val="20"/>
                <w:u w:color="000000"/>
                <w:rtl w:val="0"/>
                <w:lang w:val="en-US"/>
              </w:rPr>
              <w:t>s/Moderator</w:t>
            </w:r>
            <w:r>
              <w:rPr>
                <w:rFonts w:ascii="Arial" w:hAnsi="Arial" w:hint="default"/>
                <w:sz w:val="20"/>
                <w:szCs w:val="20"/>
                <w:u w:color="000000"/>
                <w:rtl w:val="0"/>
                <w:lang w:val="en-US"/>
              </w:rPr>
              <w:t>’</w:t>
            </w:r>
            <w:r>
              <w:rPr>
                <w:rFonts w:ascii="Arial" w:hAnsi="Arial"/>
                <w:sz w:val="20"/>
                <w:szCs w:val="20"/>
                <w:u w:color="000000"/>
                <w:rtl w:val="0"/>
                <w:lang w:val="en-US"/>
              </w:rPr>
              <w:t>s provisional mark</w:t>
              <w:tab/>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sz w:val="20"/>
                <w:szCs w:val="20"/>
                <w:u w:color="000000"/>
                <w:rtl w:val="0"/>
                <w:lang w:val="en-US"/>
              </w:rPr>
            </w:pPr>
            <w:r>
              <w:rPr>
                <w:rFonts w:ascii="Arial" w:hAnsi="Arial"/>
                <w:sz w:val="20"/>
                <w:szCs w:val="20"/>
                <w:u w:color="000000"/>
                <w:rtl w:val="0"/>
                <w:lang w:val="en-US"/>
              </w:rPr>
              <w:t>External Examiner</w:t>
            </w:r>
            <w:r>
              <w:rPr>
                <w:rFonts w:ascii="Arial" w:hAnsi="Arial" w:hint="default"/>
                <w:sz w:val="20"/>
                <w:szCs w:val="20"/>
                <w:u w:color="000000"/>
                <w:rtl w:val="0"/>
                <w:lang w:val="en-US"/>
              </w:rPr>
              <w:t>’</w:t>
            </w:r>
            <w:r>
              <w:rPr>
                <w:rFonts w:ascii="Arial" w:hAnsi="Arial"/>
                <w:sz w:val="20"/>
                <w:szCs w:val="20"/>
                <w:u w:color="000000"/>
                <w:rtl w:val="0"/>
                <w:lang w:val="en-US"/>
              </w:rPr>
              <w:t>s mark (if relevant)</w:t>
              <w:tab/>
            </w:r>
          </w:p>
          <w:p>
            <w:pPr>
              <w:pStyle w:val="Body"/>
              <w:bidi w:val="0"/>
              <w:ind w:left="0" w:right="0" w:firstLine="0"/>
              <w:jc w:val="left"/>
              <w:rPr>
                <w:rFonts w:ascii="Arial" w:cs="Arial" w:hAnsi="Arial" w:eastAsia="Arial"/>
                <w:sz w:val="20"/>
                <w:szCs w:val="20"/>
                <w:u w:color="000000"/>
                <w:rtl w:val="0"/>
                <w:lang w:val="en-US"/>
              </w:rPr>
            </w:pPr>
          </w:p>
          <w:p>
            <w:pPr>
              <w:pStyle w:val="Body"/>
              <w:bidi w:val="0"/>
              <w:ind w:left="0" w:right="0" w:firstLine="0"/>
              <w:jc w:val="left"/>
              <w:rPr>
                <w:rFonts w:ascii="Arial" w:cs="Arial" w:hAnsi="Arial" w:eastAsia="Arial"/>
                <w:b w:val="1"/>
                <w:bCs w:val="1"/>
                <w:sz w:val="20"/>
                <w:szCs w:val="20"/>
                <w:u w:color="000000"/>
                <w:rtl w:val="0"/>
              </w:rPr>
            </w:pPr>
            <w:r>
              <w:rPr>
                <w:rFonts w:ascii="Arial" w:hAnsi="Arial"/>
                <w:b w:val="1"/>
                <w:bCs w:val="1"/>
                <w:sz w:val="20"/>
                <w:szCs w:val="20"/>
                <w:u w:color="000000"/>
                <w:rtl w:val="0"/>
                <w:lang w:val="en-US"/>
              </w:rPr>
              <w:t>Final Mark</w:t>
            </w:r>
          </w:p>
          <w:p>
            <w:pPr>
              <w:pStyle w:val="Body"/>
              <w:bidi w:val="0"/>
              <w:ind w:left="0" w:right="0" w:firstLine="0"/>
              <w:jc w:val="left"/>
              <w:rPr>
                <w:rFonts w:ascii="Arial" w:cs="Arial" w:hAnsi="Arial" w:eastAsia="Arial"/>
                <w:b w:val="1"/>
                <w:bCs w:val="1"/>
                <w:sz w:val="20"/>
                <w:szCs w:val="20"/>
                <w:u w:color="000000"/>
                <w:rtl w:val="0"/>
              </w:rPr>
            </w:pPr>
            <w:r>
              <w:rPr>
                <w:rFonts w:ascii="Arial" w:cs="Arial" w:hAnsi="Arial" w:eastAsia="Arial"/>
                <w:b w:val="1"/>
                <w:bCs w:val="1"/>
                <w:sz w:val="20"/>
                <w:szCs w:val="20"/>
                <w:u w:color="000000"/>
                <w:rtl w:val="0"/>
              </w:rPr>
              <w:tab/>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NB.</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Comments:</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Pr>
            </w:r>
          </w:p>
        </w:tc>
      </w:tr>
      <w:tr>
        <w:tblPrEx>
          <w:shd w:val="clear" w:color="auto" w:fill="ced7e7"/>
        </w:tblPrEx>
        <w:trPr>
          <w:trHeight w:val="33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Date:</w:t>
            </w:r>
          </w:p>
        </w:tc>
      </w:tr>
      <w:tr>
        <w:tblPrEx>
          <w:shd w:val="clear" w:color="auto" w:fill="ced7e7"/>
        </w:tblPrEx>
        <w:trPr>
          <w:trHeight w:val="38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Date:</w:t>
            </w:r>
          </w:p>
        </w:tc>
      </w:tr>
      <w:tr>
        <w:tblPrEx>
          <w:shd w:val="clear" w:color="auto" w:fill="ced7e7"/>
        </w:tblPrEx>
        <w:trPr>
          <w:trHeight w:val="28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u w:color="000000"/>
                <w:rtl w:val="0"/>
              </w:rPr>
            </w:pPr>
            <w:r>
              <w:rPr>
                <w:rFonts w:ascii="Arial" w:hAnsi="Arial"/>
                <w:b w:val="1"/>
                <w:bCs w:val="1"/>
                <w:u w:color="000000"/>
                <w:rtl w:val="0"/>
                <w:lang w:val="en-US"/>
              </w:rPr>
              <w:t>External Examiner</w:t>
            </w:r>
            <w:r>
              <w:rPr>
                <w:rFonts w:ascii="Arial" w:hAnsi="Arial" w:hint="default"/>
                <w:b w:val="1"/>
                <w:bCs w:val="1"/>
                <w:u w:color="000000"/>
                <w:rtl w:val="0"/>
                <w:lang w:val="en-US"/>
              </w:rPr>
              <w:t>’</w:t>
            </w:r>
            <w:r>
              <w:rPr>
                <w:rFonts w:ascii="Arial" w:hAnsi="Arial"/>
                <w:b w:val="1"/>
                <w:bCs w:val="1"/>
                <w:u w:color="000000"/>
                <w:rtl w:val="0"/>
                <w:lang w:val="en-US"/>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rtl w:val="0"/>
                <w:lang w:val="en-US"/>
              </w:rPr>
              <w:t>External Examiner</w:t>
            </w:r>
            <w:r>
              <w:rPr>
                <w:rFonts w:ascii="Arial" w:hAnsi="Arial" w:hint="default"/>
                <w:u w:color="000000"/>
                <w:rtl w:val="0"/>
                <w:lang w:val="en-US"/>
              </w:rPr>
              <w:t>’</w:t>
            </w:r>
            <w:r>
              <w:rPr>
                <w:rFonts w:ascii="Arial" w:hAnsi="Arial"/>
                <w:u w:color="000000"/>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rtl w:val="0"/>
                <w:lang w:val="en-US"/>
              </w:rPr>
              <w:t>Date:</w:t>
            </w:r>
          </w:p>
        </w:tc>
      </w:tr>
    </w:tbl>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rPr>
        <w:t>THIS SHEET MUST BE THE FIRST PAGE OF THE ASSIGNMENT YOU ARE SUBMITTING  (DO NOT SEND AS A SEPARATE FILE)</w:t>
      </w:r>
      <w:r>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vertAlign w:val="baseline"/>
          <w:rtl w:val="0"/>
        </w:rPr>
        <w:tab/>
      </w:r>
      <w:r>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rPr>
        <w:br w:type="page"/>
      </w:r>
    </w:p>
    <w:p>
      <w:pPr>
        <w:pStyle w:val="Body"/>
        <w:spacing w:line="480" w:lineRule="auto"/>
        <w:rPr>
          <w:rFonts w:ascii="Times" w:cs="Times" w:hAnsi="Times" w:eastAsia="Times"/>
          <w:sz w:val="24"/>
          <w:szCs w:val="24"/>
        </w:rPr>
      </w:pPr>
      <w:r>
        <w:tab/>
      </w:r>
      <w:r>
        <w:rPr>
          <w:rFonts w:ascii="Times" w:hAnsi="Times"/>
          <w:sz w:val="24"/>
          <w:szCs w:val="24"/>
          <w:rtl w:val="0"/>
          <w:lang w:val="en-US"/>
        </w:rPr>
        <w:t xml:space="preserve">This essay analyzes the importance of divination to the practice of medicine in ancient Greece. As noted by bioethicist Edmund Pellegrino, our contemporary understanding of medicine is typically defined by the biomedical model; Pellegrino cites the work of Dr. Donald Seldin, which </w:t>
      </w:r>
      <w:r>
        <w:rPr>
          <w:rFonts w:ascii="Times" w:hAnsi="Times" w:hint="default"/>
          <w:sz w:val="24"/>
          <w:szCs w:val="24"/>
          <w:rtl w:val="0"/>
          <w:lang w:val="en-US"/>
        </w:rPr>
        <w:t>‘</w:t>
      </w:r>
      <w:r>
        <w:rPr>
          <w:rFonts w:ascii="Times" w:hAnsi="Times"/>
          <w:sz w:val="24"/>
          <w:szCs w:val="24"/>
          <w:rtl w:val="0"/>
          <w:lang w:val="en-US"/>
        </w:rPr>
        <w:t xml:space="preserve">defines medicine as biology applied to the cure of disease and the postponement of death. [Seldin] </w:t>
      </w:r>
      <w:r>
        <w:rPr>
          <w:rFonts w:ascii="Times" w:hAnsi="Times"/>
          <w:sz w:val="24"/>
          <w:szCs w:val="24"/>
          <w:rtl w:val="0"/>
          <w:lang w:val="en-US"/>
        </w:rPr>
        <w:t>specifically excludes social concerns, psychosocial elements, and bioethics as beyond the boundaries of the physician</w:t>
      </w:r>
      <w:r>
        <w:rPr>
          <w:rFonts w:ascii="Times" w:hAnsi="Times" w:hint="default"/>
          <w:sz w:val="24"/>
          <w:szCs w:val="24"/>
          <w:rtl w:val="0"/>
        </w:rPr>
        <w:t>’</w:t>
      </w:r>
      <w:r>
        <w:rPr>
          <w:rFonts w:ascii="Times" w:hAnsi="Times"/>
          <w:sz w:val="24"/>
          <w:szCs w:val="24"/>
          <w:rtl w:val="0"/>
          <w:lang w:val="en-US"/>
        </w:rPr>
        <w:t>s knowledge base, though he does not deny their importance in society.</w:t>
      </w:r>
      <w:r>
        <w:rPr>
          <w:rFonts w:ascii="Times" w:hAnsi="Times" w:hint="default"/>
          <w:sz w:val="24"/>
          <w:szCs w:val="24"/>
          <w:rtl w:val="0"/>
          <w:lang w:val="en-US"/>
        </w:rPr>
        <w:t>’</w:t>
      </w:r>
      <w:r>
        <w:rPr>
          <w:rFonts w:ascii="Times" w:cs="Times" w:hAnsi="Times" w:eastAsia="Times"/>
          <w:sz w:val="24"/>
          <w:szCs w:val="24"/>
          <w:vertAlign w:val="superscript"/>
        </w:rPr>
        <w:footnoteReference w:id="1"/>
      </w:r>
      <w:r>
        <w:rPr>
          <w:rFonts w:ascii="Times" w:hAnsi="Times"/>
          <w:sz w:val="24"/>
          <w:szCs w:val="24"/>
          <w:rtl w:val="0"/>
          <w:lang w:val="en-US"/>
        </w:rPr>
        <w:t xml:space="preserve"> Yet </w:t>
      </w:r>
      <w:r>
        <w:rPr>
          <w:rFonts w:ascii="Times" w:hAnsi="Times"/>
          <w:sz w:val="24"/>
          <w:szCs w:val="24"/>
          <w:rtl w:val="0"/>
          <w:lang w:val="en-US"/>
        </w:rPr>
        <w:t>as noted by medical historian Vivian Nutton</w:t>
      </w:r>
      <w:r>
        <w:rPr>
          <w:rFonts w:ascii="Times" w:hAnsi="Times"/>
          <w:sz w:val="24"/>
          <w:szCs w:val="24"/>
          <w:rtl w:val="0"/>
          <w:lang w:val="en-US"/>
        </w:rPr>
        <w:t>, this socio-exclusionary biomedical model sits on the bedrock of the Greek Hippocratic tradition (namely, Hippocrates</w:t>
      </w:r>
      <w:r>
        <w:rPr>
          <w:rFonts w:ascii="Times" w:hAnsi="Times" w:hint="default"/>
          <w:sz w:val="24"/>
          <w:szCs w:val="24"/>
          <w:rtl w:val="0"/>
          <w:lang w:val="en-US"/>
        </w:rPr>
        <w:t>’</w:t>
      </w:r>
      <w:r>
        <w:rPr>
          <w:rFonts w:ascii="Times" w:hAnsi="Times"/>
          <w:sz w:val="24"/>
          <w:szCs w:val="24"/>
          <w:rtl w:val="0"/>
          <w:lang w:val="en-US"/>
        </w:rPr>
        <w:t xml:space="preserve">s </w:t>
      </w:r>
      <w:r>
        <w:rPr>
          <w:rFonts w:ascii="Times" w:hAnsi="Times"/>
          <w:i w:val="1"/>
          <w:iCs w:val="1"/>
          <w:sz w:val="24"/>
          <w:szCs w:val="24"/>
          <w:rtl w:val="0"/>
          <w:lang w:val="en-US"/>
        </w:rPr>
        <w:t>Oath</w:t>
      </w:r>
      <w:r>
        <w:rPr>
          <w:rFonts w:ascii="Times" w:hAnsi="Times"/>
          <w:sz w:val="24"/>
          <w:szCs w:val="24"/>
          <w:rtl w:val="0"/>
          <w:lang w:val="en-US"/>
        </w:rPr>
        <w:t xml:space="preserve">). Despite Hippocrates being cited in medical journals today, Nutton points out, the works of this ancient medical practitioner are more of an amalgamation of treatises penned by different authors, with often contrasting approaches to medicine, which are foregrounded by a Greek medical tradition that does not lend itself to a narrow model of medicine. </w:t>
      </w:r>
      <w:r>
        <w:rPr>
          <w:rFonts w:ascii="Times" w:cs="Times" w:hAnsi="Times" w:eastAsia="Times"/>
          <w:sz w:val="24"/>
          <w:szCs w:val="24"/>
          <w:vertAlign w:val="superscript"/>
        </w:rPr>
        <w:footnoteReference w:id="2"/>
      </w:r>
      <w:r>
        <w:rPr>
          <w:rFonts w:ascii="Times" w:hAnsi="Times"/>
          <w:sz w:val="24"/>
          <w:szCs w:val="24"/>
          <w:rtl w:val="0"/>
          <w:lang w:val="en-US"/>
        </w:rPr>
        <w:t xml:space="preserve"> Evidence dating back to the 8th century BCE saw doctors using medical, magical, and divine assistance, as well as adopting Egyptian techniques or influences.</w:t>
      </w:r>
      <w:r>
        <w:rPr>
          <w:rFonts w:ascii="Times" w:cs="Times" w:hAnsi="Times" w:eastAsia="Times"/>
          <w:sz w:val="24"/>
          <w:szCs w:val="24"/>
          <w:vertAlign w:val="superscript"/>
        </w:rPr>
        <w:footnoteReference w:id="3"/>
      </w:r>
      <w:r>
        <w:rPr>
          <w:rFonts w:ascii="Times" w:hAnsi="Times"/>
          <w:sz w:val="24"/>
          <w:szCs w:val="24"/>
          <w:rtl w:val="0"/>
          <w:lang w:val="en-US"/>
        </w:rPr>
        <w:t xml:space="preserve"> Further, magic and religion in ancient Greece often overlapped in practices and defied contemporary boundaries of definition.</w:t>
      </w:r>
      <w:r>
        <w:rPr>
          <w:rFonts w:ascii="Times" w:cs="Times" w:hAnsi="Times" w:eastAsia="Times"/>
          <w:sz w:val="24"/>
          <w:szCs w:val="24"/>
          <w:vertAlign w:val="superscript"/>
        </w:rPr>
        <w:footnoteReference w:id="4"/>
      </w:r>
    </w:p>
    <w:p>
      <w:pPr>
        <w:pStyle w:val="Body"/>
        <w:rPr>
          <w:rFonts w:ascii="Times" w:cs="Times" w:hAnsi="Times" w:eastAsia="Times"/>
          <w:sz w:val="24"/>
          <w:szCs w:val="24"/>
        </w:rPr>
      </w:pPr>
    </w:p>
    <w:p>
      <w:pPr>
        <w:pStyle w:val="Body"/>
        <w:spacing w:line="480" w:lineRule="auto"/>
        <w:rPr>
          <w:rFonts w:ascii="Times" w:cs="Times" w:hAnsi="Times" w:eastAsia="Times"/>
          <w:sz w:val="24"/>
          <w:szCs w:val="24"/>
        </w:rPr>
      </w:pPr>
      <w:r>
        <w:rPr>
          <w:rFonts w:ascii="Times" w:cs="Times" w:hAnsi="Times" w:eastAsia="Times"/>
          <w:sz w:val="24"/>
          <w:szCs w:val="24"/>
          <w:rtl w:val="0"/>
        </w:rPr>
        <w:tab/>
        <w:t xml:space="preserve">The expansive Greek medical tradition includes the various practices of divination, which as defined by Loewe and Blacker, are </w:t>
      </w:r>
      <w:r>
        <w:rPr>
          <w:rFonts w:ascii="Times" w:hAnsi="Times" w:hint="default"/>
          <w:sz w:val="24"/>
          <w:szCs w:val="24"/>
          <w:rtl w:val="0"/>
          <w:lang w:val="en-US"/>
        </w:rPr>
        <w:t>‘</w:t>
      </w:r>
      <w:r>
        <w:rPr>
          <w:rFonts w:ascii="Times" w:hAnsi="Times"/>
          <w:sz w:val="24"/>
          <w:szCs w:val="24"/>
          <w:rtl w:val="0"/>
          <w:lang w:val="en-US"/>
        </w:rPr>
        <w:t>the attempt to elicit from some higher power or supernatural being the answers to questions beyond the range of ordinary human understanding.</w:t>
      </w:r>
      <w:r>
        <w:rPr>
          <w:rFonts w:ascii="Times" w:hAnsi="Times" w:hint="default"/>
          <w:sz w:val="24"/>
          <w:szCs w:val="24"/>
          <w:rtl w:val="0"/>
          <w:lang w:val="en-US"/>
        </w:rPr>
        <w:t>’</w:t>
      </w:r>
      <w:r>
        <w:rPr>
          <w:rFonts w:ascii="Times" w:cs="Times" w:hAnsi="Times" w:eastAsia="Times"/>
          <w:sz w:val="24"/>
          <w:szCs w:val="24"/>
          <w:vertAlign w:val="superscript"/>
        </w:rPr>
        <w:footnoteReference w:id="5"/>
      </w:r>
      <w:r>
        <w:rPr>
          <w:rFonts w:ascii="Times" w:hAnsi="Times"/>
          <w:sz w:val="24"/>
          <w:szCs w:val="24"/>
          <w:rtl w:val="0"/>
          <w:lang w:val="en-US"/>
        </w:rPr>
        <w:t xml:space="preserve"> This essay highlights two documented traditions of divination within ancient Greek healing practices: medical astrology and the practices of healing cults. The distinction between astrological practice and the activities of the healing cults is made for clarity and does not preclude the possibility of overlap between the two. To</w:t>
      </w:r>
      <w:r>
        <w:rPr>
          <w:rFonts w:ascii="Times" w:hAnsi="Times"/>
          <w:sz w:val="24"/>
          <w:szCs w:val="24"/>
          <w:rtl w:val="0"/>
          <w:lang w:val="en-US"/>
        </w:rPr>
        <w:t xml:space="preserve"> assess the importance of divination in ancient Greek medicine, divination</w:t>
      </w:r>
      <w:r>
        <w:rPr>
          <w:rFonts w:ascii="Times" w:hAnsi="Times" w:hint="default"/>
          <w:sz w:val="24"/>
          <w:szCs w:val="24"/>
          <w:rtl w:val="0"/>
        </w:rPr>
        <w:t>’</w:t>
      </w:r>
      <w:r>
        <w:rPr>
          <w:rFonts w:ascii="Times" w:hAnsi="Times"/>
          <w:sz w:val="24"/>
          <w:szCs w:val="24"/>
          <w:rtl w:val="0"/>
          <w:lang w:val="en-US"/>
        </w:rPr>
        <w:t>s role within the healing process will be analyzed through reviewing healing cults and medical astrology</w:t>
      </w:r>
      <w:r>
        <w:rPr>
          <w:rFonts w:ascii="Times" w:hAnsi="Times" w:hint="default"/>
          <w:sz w:val="24"/>
          <w:szCs w:val="24"/>
          <w:rtl w:val="0"/>
          <w:lang w:val="en-US"/>
        </w:rPr>
        <w:t>’</w:t>
      </w:r>
      <w:r>
        <w:rPr>
          <w:rFonts w:ascii="Times" w:hAnsi="Times"/>
          <w:sz w:val="24"/>
          <w:szCs w:val="24"/>
          <w:rtl w:val="0"/>
          <w:lang w:val="en-US"/>
        </w:rPr>
        <w:t xml:space="preserve">s </w:t>
      </w:r>
      <w:r>
        <w:rPr>
          <w:rFonts w:ascii="Times" w:hAnsi="Times"/>
          <w:sz w:val="24"/>
          <w:szCs w:val="24"/>
          <w:rtl w:val="0"/>
        </w:rPr>
        <w:t>use</w:t>
      </w:r>
      <w:r>
        <w:rPr>
          <w:rFonts w:ascii="Times" w:hAnsi="Times"/>
          <w:sz w:val="24"/>
          <w:szCs w:val="24"/>
          <w:rtl w:val="0"/>
          <w:lang w:val="en-US"/>
        </w:rPr>
        <w:t>s</w:t>
      </w:r>
      <w:r>
        <w:rPr>
          <w:rFonts w:ascii="Times" w:hAnsi="Times"/>
          <w:sz w:val="24"/>
          <w:szCs w:val="24"/>
          <w:rtl w:val="0"/>
        </w:rPr>
        <w:t xml:space="preserve"> </w:t>
      </w:r>
      <w:r>
        <w:rPr>
          <w:rFonts w:ascii="Times" w:hAnsi="Times"/>
          <w:sz w:val="24"/>
          <w:szCs w:val="24"/>
          <w:rtl w:val="0"/>
          <w:lang w:val="en-US"/>
        </w:rPr>
        <w:t>and magical-religious associations, and the Hippocratic adoption of these methods</w:t>
      </w:r>
      <w:r>
        <w:rPr>
          <w:rFonts w:ascii="Times" w:hAnsi="Times"/>
          <w:sz w:val="24"/>
          <w:szCs w:val="24"/>
          <w:rtl w:val="0"/>
        </w:rPr>
        <w:t>.</w:t>
      </w:r>
    </w:p>
    <w:p>
      <w:pPr>
        <w:pStyle w:val="Body"/>
        <w:rPr>
          <w:rFonts w:ascii="Times" w:cs="Times" w:hAnsi="Times" w:eastAsia="Times"/>
          <w:sz w:val="24"/>
          <w:szCs w:val="24"/>
        </w:rPr>
      </w:pPr>
    </w:p>
    <w:p>
      <w:pPr>
        <w:pStyle w:val="Body"/>
        <w:rPr>
          <w:rFonts w:ascii="Times" w:cs="Times" w:hAnsi="Times" w:eastAsia="Times"/>
          <w:sz w:val="24"/>
          <w:szCs w:val="24"/>
        </w:rPr>
      </w:pPr>
    </w:p>
    <w:p>
      <w:pPr>
        <w:pStyle w:val="Body"/>
        <w:rPr>
          <w:rFonts w:ascii="Times" w:cs="Times" w:hAnsi="Times" w:eastAsia="Times"/>
          <w:b w:val="0"/>
          <w:bCs w:val="0"/>
          <w:sz w:val="24"/>
          <w:szCs w:val="24"/>
        </w:rPr>
      </w:pPr>
      <w:r>
        <w:rPr>
          <w:rFonts w:ascii="Times" w:hAnsi="Times"/>
          <w:b w:val="1"/>
          <w:bCs w:val="1"/>
          <w:sz w:val="24"/>
          <w:szCs w:val="24"/>
          <w:rtl w:val="0"/>
          <w:lang w:val="en-US"/>
        </w:rPr>
        <w:t>Healing Cults</w:t>
      </w:r>
    </w:p>
    <w:p>
      <w:pPr>
        <w:pStyle w:val="Body"/>
        <w:rPr>
          <w:rFonts w:ascii="Times" w:cs="Times" w:hAnsi="Times" w:eastAsia="Times"/>
          <w:b w:val="0"/>
          <w:bCs w:val="0"/>
          <w:sz w:val="24"/>
          <w:szCs w:val="24"/>
        </w:rPr>
      </w:pPr>
    </w:p>
    <w:p>
      <w:pPr>
        <w:pStyle w:val="Body"/>
        <w:spacing w:line="480" w:lineRule="auto"/>
        <w:rPr>
          <w:rFonts w:ascii="Times" w:cs="Times" w:hAnsi="Times" w:eastAsia="Times"/>
          <w:b w:val="0"/>
          <w:bCs w:val="0"/>
          <w:sz w:val="24"/>
          <w:szCs w:val="24"/>
        </w:rPr>
      </w:pPr>
      <w:r>
        <w:rPr>
          <w:rFonts w:ascii="Times" w:cs="Times" w:hAnsi="Times" w:eastAsia="Times"/>
          <w:b w:val="0"/>
          <w:bCs w:val="0"/>
          <w:sz w:val="24"/>
          <w:szCs w:val="24"/>
          <w:rtl w:val="0"/>
        </w:rPr>
        <w:tab/>
        <w:t xml:space="preserve">In Greece and neighboring Balkan lands, various healing cults existed, centered around one divinity with whom they sought to communicate: the divinity worshipped here was different from gods of the Greek pantheon. The Alexandrian scholar Origen posited them as daimons, heroes, or gods, and Greek philosopher Celsus finding them to be </w:t>
      </w:r>
      <w:r>
        <w:rPr>
          <w:rFonts w:ascii="Times" w:hAnsi="Times" w:hint="default"/>
          <w:b w:val="0"/>
          <w:bCs w:val="0"/>
          <w:sz w:val="24"/>
          <w:szCs w:val="24"/>
          <w:rtl w:val="0"/>
          <w:lang w:val="en-US"/>
        </w:rPr>
        <w:t>‘</w:t>
      </w:r>
      <w:r>
        <w:rPr>
          <w:rFonts w:ascii="Times" w:hAnsi="Times"/>
          <w:b w:val="0"/>
          <w:bCs w:val="0"/>
          <w:sz w:val="24"/>
          <w:szCs w:val="24"/>
          <w:rtl w:val="0"/>
          <w:lang w:val="en-US"/>
        </w:rPr>
        <w:t>gods in human form.</w:t>
      </w:r>
      <w:r>
        <w:rPr>
          <w:rFonts w:ascii="Times" w:hAnsi="Times" w:hint="default"/>
          <w:b w:val="0"/>
          <w:bCs w:val="0"/>
          <w:sz w:val="24"/>
          <w:szCs w:val="24"/>
          <w:rtl w:val="0"/>
          <w:lang w:val="en-US"/>
        </w:rPr>
        <w:t>’</w:t>
      </w:r>
      <w:r>
        <w:rPr>
          <w:rFonts w:ascii="Times" w:cs="Times" w:hAnsi="Times" w:eastAsia="Times"/>
          <w:b w:val="0"/>
          <w:bCs w:val="0"/>
          <w:sz w:val="24"/>
          <w:szCs w:val="24"/>
          <w:vertAlign w:val="superscript"/>
        </w:rPr>
        <w:footnoteReference w:id="6"/>
      </w:r>
      <w:r>
        <w:rPr>
          <w:rFonts w:ascii="Times" w:hAnsi="Times"/>
          <w:b w:val="0"/>
          <w:bCs w:val="0"/>
          <w:sz w:val="24"/>
          <w:szCs w:val="24"/>
          <w:rtl w:val="0"/>
          <w:lang w:val="en-US"/>
        </w:rPr>
        <w:t xml:space="preserve"> Many of these healing cults remained local to their community, with the exception of the cult of Amphiaraos and the spread of the cult of Asclepius throughout Greece in the late 5th century BCE, lauded for its quick-spreading popularity. </w:t>
      </w:r>
      <w:r>
        <w:rPr>
          <w:rFonts w:ascii="Times" w:cs="Times" w:hAnsi="Times" w:eastAsia="Times"/>
          <w:b w:val="0"/>
          <w:bCs w:val="0"/>
          <w:sz w:val="24"/>
          <w:szCs w:val="24"/>
          <w:vertAlign w:val="superscript"/>
        </w:rPr>
        <w:footnoteReference w:id="7"/>
      </w:r>
      <w:r>
        <w:rPr>
          <w:rFonts w:ascii="Times" w:hAnsi="Times"/>
          <w:b w:val="0"/>
          <w:bCs w:val="0"/>
          <w:sz w:val="24"/>
          <w:szCs w:val="24"/>
          <w:rtl w:val="0"/>
          <w:lang w:val="en-US"/>
        </w:rPr>
        <w:t xml:space="preserve"> Part of the practices at the temple included the divinatory work of incubation, the ritual process of sleeping in a temple in order to gain visions or visits from the healing demi-god in dreams. Some cults practiced incubation through prolonged isolation in a cave, in which the divinity would actually appear, as many were said to still live in the caves their shrines occupied.</w:t>
      </w:r>
      <w:r>
        <w:rPr>
          <w:rFonts w:ascii="Times" w:cs="Times" w:hAnsi="Times" w:eastAsia="Times"/>
          <w:b w:val="0"/>
          <w:bCs w:val="0"/>
          <w:sz w:val="24"/>
          <w:szCs w:val="24"/>
          <w:vertAlign w:val="superscript"/>
        </w:rPr>
        <w:footnoteReference w:id="8"/>
      </w:r>
      <w:r>
        <w:rPr>
          <w:rFonts w:ascii="Times" w:hAnsi="Times"/>
          <w:b w:val="0"/>
          <w:bCs w:val="0"/>
          <w:sz w:val="24"/>
          <w:szCs w:val="24"/>
          <w:rtl w:val="0"/>
          <w:lang w:val="en-US"/>
        </w:rPr>
        <w:t xml:space="preserve"> </w:t>
      </w:r>
    </w:p>
    <w:p>
      <w:pPr>
        <w:pStyle w:val="Body"/>
        <w:rPr>
          <w:rFonts w:ascii="Times" w:cs="Times" w:hAnsi="Times" w:eastAsia="Times"/>
          <w:b w:val="0"/>
          <w:bCs w:val="0"/>
          <w:sz w:val="24"/>
          <w:szCs w:val="24"/>
        </w:rPr>
      </w:pPr>
    </w:p>
    <w:p>
      <w:pPr>
        <w:pStyle w:val="Body"/>
        <w:spacing w:line="480" w:lineRule="auto"/>
        <w:rPr>
          <w:rFonts w:ascii="Times" w:cs="Times" w:hAnsi="Times" w:eastAsia="Times"/>
          <w:b w:val="0"/>
          <w:bCs w:val="0"/>
          <w:sz w:val="24"/>
          <w:szCs w:val="24"/>
        </w:rPr>
      </w:pPr>
      <w:r>
        <w:rPr>
          <w:rFonts w:ascii="Times" w:cs="Times" w:hAnsi="Times" w:eastAsia="Times"/>
          <w:b w:val="0"/>
          <w:bCs w:val="0"/>
          <w:sz w:val="24"/>
          <w:szCs w:val="24"/>
          <w:rtl w:val="0"/>
        </w:rPr>
        <w:tab/>
        <w:t>Evidence of these activities mainly comes from literary references in ancient works and from inscriptions on tablets from the shrines; the largest body of evidence comes from the temple of Asclepius at Epidaurus.</w:t>
      </w:r>
      <w:r>
        <w:rPr>
          <w:rFonts w:ascii="Times" w:cs="Times" w:hAnsi="Times" w:eastAsia="Times"/>
          <w:b w:val="0"/>
          <w:bCs w:val="0"/>
          <w:sz w:val="24"/>
          <w:szCs w:val="24"/>
          <w:vertAlign w:val="superscript"/>
        </w:rPr>
        <w:footnoteReference w:id="9"/>
      </w:r>
      <w:r>
        <w:rPr>
          <w:rFonts w:ascii="Times" w:hAnsi="Times"/>
          <w:b w:val="0"/>
          <w:bCs w:val="0"/>
          <w:sz w:val="24"/>
          <w:szCs w:val="24"/>
          <w:rtl w:val="0"/>
          <w:lang w:val="en-US"/>
        </w:rPr>
        <w:t xml:space="preserve"> Some tablets indicate that the incubation itself heals the patient (</w:t>
      </w:r>
      <w:r>
        <w:rPr>
          <w:rFonts w:ascii="Times" w:hAnsi="Times" w:hint="default"/>
          <w:b w:val="0"/>
          <w:bCs w:val="0"/>
          <w:sz w:val="24"/>
          <w:szCs w:val="24"/>
          <w:rtl w:val="0"/>
          <w:lang w:val="en-US"/>
        </w:rPr>
        <w:t>‘</w:t>
      </w:r>
      <w:r>
        <w:rPr>
          <w:rFonts w:ascii="Times" w:hAnsi="Times"/>
          <w:b w:val="0"/>
          <w:bCs w:val="0"/>
          <w:sz w:val="24"/>
          <w:szCs w:val="24"/>
          <w:rtl w:val="0"/>
          <w:lang w:val="en-US"/>
        </w:rPr>
        <w:t>I came, Asclepius, into your sacred wood and I was cured in three &lt;nights?&gt; of a wound that I had in my head for a year</w:t>
      </w:r>
      <w:r>
        <w:rPr>
          <w:rFonts w:ascii="Times" w:hAnsi="Times" w:hint="default"/>
          <w:b w:val="0"/>
          <w:bCs w:val="0"/>
          <w:sz w:val="24"/>
          <w:szCs w:val="24"/>
          <w:rtl w:val="0"/>
          <w:lang w:val="en-US"/>
        </w:rPr>
        <w:t>’</w:t>
      </w:r>
      <w:r>
        <w:rPr>
          <w:rFonts w:ascii="Times" w:hAnsi="Times"/>
          <w:b w:val="0"/>
          <w:bCs w:val="0"/>
          <w:sz w:val="24"/>
          <w:szCs w:val="24"/>
          <w:rtl w:val="0"/>
          <w:lang w:val="en-US"/>
        </w:rPr>
        <w:t>), and that the patient experiences a dream in which they are healed by Asclepius or by his symbolic form, the snake.</w:t>
      </w:r>
      <w:r>
        <w:rPr>
          <w:rFonts w:ascii="Times" w:cs="Times" w:hAnsi="Times" w:eastAsia="Times"/>
          <w:b w:val="0"/>
          <w:bCs w:val="0"/>
          <w:sz w:val="24"/>
          <w:szCs w:val="24"/>
          <w:vertAlign w:val="superscript"/>
        </w:rPr>
        <w:footnoteReference w:id="10"/>
      </w:r>
      <w:r>
        <w:rPr>
          <w:rFonts w:ascii="Times" w:hAnsi="Times"/>
          <w:b w:val="0"/>
          <w:bCs w:val="0"/>
          <w:sz w:val="24"/>
          <w:szCs w:val="24"/>
          <w:rtl w:val="0"/>
          <w:lang w:val="en-US"/>
        </w:rPr>
        <w:t xml:space="preserve"> Other incubation tablets from Epidaurus tell of Asclepius prescribing natural remedies and foretelling death or recovery in dreams.</w:t>
      </w:r>
      <w:r>
        <w:rPr>
          <w:rFonts w:ascii="Times" w:cs="Times" w:hAnsi="Times" w:eastAsia="Times"/>
          <w:b w:val="0"/>
          <w:bCs w:val="0"/>
          <w:sz w:val="24"/>
          <w:szCs w:val="24"/>
          <w:vertAlign w:val="superscript"/>
        </w:rPr>
        <w:footnoteReference w:id="11"/>
      </w:r>
      <w:r>
        <w:rPr>
          <w:rFonts w:ascii="Times" w:hAnsi="Times"/>
          <w:b w:val="0"/>
          <w:bCs w:val="0"/>
          <w:sz w:val="24"/>
          <w:szCs w:val="24"/>
          <w:rtl w:val="0"/>
          <w:lang w:val="en-US"/>
        </w:rPr>
        <w:t xml:space="preserve"> Edelstein finds that their contemporaries imply that these dreams are interpreted by the temples</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priests </w:t>
      </w:r>
      <w:r>
        <w:rPr>
          <w:rFonts w:ascii="Times" w:hAnsi="Times" w:hint="default"/>
          <w:b w:val="0"/>
          <w:bCs w:val="0"/>
          <w:sz w:val="24"/>
          <w:szCs w:val="24"/>
          <w:rtl w:val="0"/>
          <w:lang w:val="en-US"/>
        </w:rPr>
        <w:t>‘</w:t>
      </w:r>
      <w:r>
        <w:rPr>
          <w:rFonts w:ascii="Times" w:hAnsi="Times"/>
          <w:b w:val="0"/>
          <w:bCs w:val="0"/>
          <w:sz w:val="24"/>
          <w:szCs w:val="24"/>
          <w:rtl w:val="0"/>
          <w:lang w:val="en-US"/>
        </w:rPr>
        <w:t>so as to fit in with other prescriptions; thus at least the cures brought about at the end of antiquity could be likened to modern scientific treatment,</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however, their review of the incubation inscriptions finds that the dreams </w:t>
      </w:r>
      <w:r>
        <w:rPr>
          <w:rFonts w:ascii="Times" w:hAnsi="Times" w:hint="default"/>
          <w:b w:val="0"/>
          <w:bCs w:val="0"/>
          <w:sz w:val="24"/>
          <w:szCs w:val="24"/>
          <w:rtl w:val="0"/>
          <w:lang w:val="en-US"/>
        </w:rPr>
        <w:t>‘</w:t>
      </w:r>
      <w:r>
        <w:rPr>
          <w:rFonts w:ascii="Times" w:hAnsi="Times"/>
          <w:b w:val="0"/>
          <w:bCs w:val="0"/>
          <w:sz w:val="24"/>
          <w:szCs w:val="24"/>
          <w:rtl w:val="0"/>
          <w:lang w:val="en-US"/>
        </w:rPr>
        <w:t>rarely needed clarification through a professional interpreter, or through a priest.</w:t>
      </w:r>
      <w:r>
        <w:rPr>
          <w:rFonts w:ascii="Times" w:hAnsi="Times" w:hint="default"/>
          <w:b w:val="0"/>
          <w:bCs w:val="0"/>
          <w:sz w:val="24"/>
          <w:szCs w:val="24"/>
          <w:rtl w:val="0"/>
          <w:lang w:val="en-US"/>
        </w:rPr>
        <w:t>’</w:t>
      </w:r>
      <w:r>
        <w:rPr>
          <w:rFonts w:ascii="Times" w:cs="Times" w:hAnsi="Times" w:eastAsia="Times"/>
          <w:b w:val="0"/>
          <w:bCs w:val="0"/>
          <w:sz w:val="24"/>
          <w:szCs w:val="24"/>
          <w:vertAlign w:val="superscript"/>
        </w:rPr>
        <w:footnoteReference w:id="12"/>
      </w:r>
      <w:r>
        <w:rPr>
          <w:rFonts w:ascii="Times" w:hAnsi="Times"/>
          <w:b w:val="0"/>
          <w:bCs w:val="0"/>
          <w:sz w:val="24"/>
          <w:szCs w:val="24"/>
          <w:rtl w:val="0"/>
          <w:lang w:val="en-US"/>
        </w:rPr>
        <w:t xml:space="preserve"> Within these shrines and temples, the divinatory means of healing is through dreams or visions </w:t>
      </w:r>
      <w:r>
        <w:rPr>
          <w:rFonts w:ascii="Times" w:hAnsi="Times" w:hint="default"/>
          <w:b w:val="0"/>
          <w:bCs w:val="0"/>
          <w:sz w:val="24"/>
          <w:szCs w:val="24"/>
          <w:rtl w:val="0"/>
          <w:lang w:val="en-US"/>
        </w:rPr>
        <w:t xml:space="preserve">— </w:t>
      </w:r>
      <w:r>
        <w:rPr>
          <w:rFonts w:ascii="Times" w:hAnsi="Times"/>
          <w:b w:val="0"/>
          <w:bCs w:val="0"/>
          <w:sz w:val="24"/>
          <w:szCs w:val="24"/>
          <w:rtl w:val="0"/>
          <w:lang w:val="en-US"/>
        </w:rPr>
        <w:t>considering Loewe and Blacker</w:t>
      </w:r>
      <w:r>
        <w:rPr>
          <w:rFonts w:ascii="Times" w:hAnsi="Times" w:hint="default"/>
          <w:b w:val="0"/>
          <w:bCs w:val="0"/>
          <w:sz w:val="24"/>
          <w:szCs w:val="24"/>
          <w:rtl w:val="0"/>
          <w:lang w:val="en-US"/>
        </w:rPr>
        <w:t>’</w:t>
      </w:r>
      <w:r>
        <w:rPr>
          <w:rFonts w:ascii="Times" w:hAnsi="Times"/>
          <w:b w:val="0"/>
          <w:bCs w:val="0"/>
          <w:sz w:val="24"/>
          <w:szCs w:val="24"/>
          <w:rtl w:val="0"/>
          <w:lang w:val="en-US"/>
        </w:rPr>
        <w:t>s definition, the incubation experiences not only potentially provide divine answers to questions, but steps outside of our contemporary definition to provide direct divine intervention. The religious characteristics of worshipping at a temple are clear, and the direct aid of the divine to humans has been considered magical, noted by classicist Derek Collins.</w:t>
      </w:r>
      <w:r>
        <w:rPr>
          <w:rFonts w:ascii="Times" w:cs="Times" w:hAnsi="Times" w:eastAsia="Times"/>
          <w:b w:val="0"/>
          <w:bCs w:val="0"/>
          <w:sz w:val="24"/>
          <w:szCs w:val="24"/>
          <w:vertAlign w:val="superscript"/>
        </w:rPr>
        <w:footnoteReference w:id="13"/>
      </w:r>
      <w:r>
        <w:rPr>
          <w:rFonts w:ascii="Times" w:hAnsi="Times"/>
          <w:b w:val="0"/>
          <w:bCs w:val="0"/>
          <w:sz w:val="24"/>
          <w:szCs w:val="24"/>
          <w:rtl w:val="0"/>
          <w:lang w:val="en-US"/>
        </w:rPr>
        <w:t xml:space="preserve"> The healing touch of Asclepius is not just an answer, but shows where the boundaries of definition between divination, religion, and magic were collapsed in ancient Greece; this is further understated by the mortal beginnings of the divine figures worshipped here, indicating a transitory nature of the divine or magical. The medical importance of the divinatory aspects of incubation are to answer questions of mortality or offer a cure for the supplicant</w:t>
      </w:r>
      <w:r>
        <w:rPr>
          <w:rFonts w:ascii="Times" w:hAnsi="Times" w:hint="default"/>
          <w:b w:val="0"/>
          <w:bCs w:val="0"/>
          <w:sz w:val="24"/>
          <w:szCs w:val="24"/>
          <w:rtl w:val="0"/>
          <w:lang w:val="en-US"/>
        </w:rPr>
        <w:t>’</w:t>
      </w:r>
      <w:r>
        <w:rPr>
          <w:rFonts w:ascii="Times" w:hAnsi="Times"/>
          <w:b w:val="0"/>
          <w:bCs w:val="0"/>
          <w:sz w:val="24"/>
          <w:szCs w:val="24"/>
          <w:rtl w:val="0"/>
          <w:lang w:val="en-US"/>
        </w:rPr>
        <w:t>s ailments.</w:t>
      </w:r>
    </w:p>
    <w:p>
      <w:pPr>
        <w:pStyle w:val="Body"/>
        <w:rPr>
          <w:rFonts w:ascii="Times" w:cs="Times" w:hAnsi="Times" w:eastAsia="Times"/>
          <w:b w:val="0"/>
          <w:bCs w:val="0"/>
          <w:sz w:val="24"/>
          <w:szCs w:val="24"/>
        </w:rPr>
      </w:pPr>
    </w:p>
    <w:p>
      <w:pPr>
        <w:pStyle w:val="Body"/>
        <w:rPr>
          <w:rFonts w:ascii="Times" w:cs="Times" w:hAnsi="Times" w:eastAsia="Times"/>
          <w:b w:val="0"/>
          <w:bCs w:val="0"/>
          <w:sz w:val="24"/>
          <w:szCs w:val="24"/>
        </w:rPr>
      </w:pPr>
      <w:r>
        <w:rPr>
          <w:rFonts w:ascii="Times" w:hAnsi="Times"/>
          <w:b w:val="1"/>
          <w:bCs w:val="1"/>
          <w:sz w:val="24"/>
          <w:szCs w:val="24"/>
          <w:rtl w:val="0"/>
          <w:lang w:val="en-US"/>
        </w:rPr>
        <w:t>Medical Astrology</w:t>
      </w:r>
    </w:p>
    <w:p>
      <w:pPr>
        <w:pStyle w:val="Body"/>
        <w:rPr>
          <w:rFonts w:ascii="Times" w:cs="Times" w:hAnsi="Times" w:eastAsia="Times"/>
          <w:b w:val="0"/>
          <w:bCs w:val="0"/>
          <w:sz w:val="24"/>
          <w:szCs w:val="24"/>
        </w:rPr>
      </w:pPr>
    </w:p>
    <w:p>
      <w:pPr>
        <w:pStyle w:val="Body"/>
        <w:spacing w:line="480" w:lineRule="auto"/>
        <w:rPr>
          <w:rFonts w:ascii="Times" w:cs="Times" w:hAnsi="Times" w:eastAsia="Times"/>
          <w:sz w:val="24"/>
          <w:szCs w:val="24"/>
        </w:rPr>
      </w:pPr>
      <w:r>
        <w:rPr>
          <w:rFonts w:ascii="Times" w:cs="Times" w:hAnsi="Times" w:eastAsia="Times"/>
          <w:sz w:val="24"/>
          <w:szCs w:val="24"/>
          <w:rtl w:val="0"/>
        </w:rPr>
        <w:tab/>
        <w:t xml:space="preserve">Though previously </w:t>
      </w:r>
      <w:r>
        <w:rPr>
          <w:rFonts w:ascii="Times" w:hAnsi="Times" w:hint="default"/>
          <w:sz w:val="24"/>
          <w:szCs w:val="24"/>
          <w:rtl w:val="0"/>
          <w:lang w:val="en-US"/>
        </w:rPr>
        <w:t>‘</w:t>
      </w:r>
      <w:r>
        <w:rPr>
          <w:rFonts w:ascii="Times" w:hAnsi="Times"/>
          <w:sz w:val="24"/>
          <w:szCs w:val="24"/>
          <w:rtl w:val="0"/>
          <w:lang w:val="en-US"/>
        </w:rPr>
        <w:t>considered an aberration</w:t>
      </w:r>
      <w:r>
        <w:rPr>
          <w:rFonts w:ascii="Times" w:hAnsi="Times" w:hint="default"/>
          <w:sz w:val="24"/>
          <w:szCs w:val="24"/>
          <w:rtl w:val="0"/>
          <w:lang w:val="en-US"/>
        </w:rPr>
        <w:t xml:space="preserve">’ </w:t>
      </w:r>
      <w:r>
        <w:rPr>
          <w:rFonts w:ascii="Times" w:hAnsi="Times"/>
          <w:sz w:val="24"/>
          <w:szCs w:val="24"/>
          <w:rtl w:val="0"/>
          <w:lang w:val="en-US"/>
        </w:rPr>
        <w:t xml:space="preserve">in the history of medicine, the divinatory practice of astrology was utilized by doctors like Crinas of Marseillas in the first century, who found fame from his timed treatments using astrological techniques. </w:t>
      </w:r>
      <w:r>
        <w:rPr>
          <w:rFonts w:ascii="Times" w:cs="Times" w:hAnsi="Times" w:eastAsia="Times"/>
          <w:sz w:val="24"/>
          <w:szCs w:val="24"/>
          <w:vertAlign w:val="superscript"/>
        </w:rPr>
        <w:footnoteReference w:id="14"/>
      </w:r>
      <w:r>
        <w:rPr>
          <w:rFonts w:ascii="Times" w:hAnsi="Times"/>
          <w:sz w:val="24"/>
          <w:szCs w:val="24"/>
          <w:rtl w:val="0"/>
          <w:lang w:val="en-US"/>
        </w:rPr>
        <w:t xml:space="preserve"> One such astrological technique employed is decumbiture, in which a chart would be cast on the day the patient fell ill in order to determine their condition. Per Loewe and Blacker</w:t>
      </w:r>
      <w:r>
        <w:rPr>
          <w:rFonts w:ascii="Times" w:hAnsi="Times" w:hint="default"/>
          <w:sz w:val="24"/>
          <w:szCs w:val="24"/>
          <w:rtl w:val="0"/>
          <w:lang w:val="en-US"/>
        </w:rPr>
        <w:t>’</w:t>
      </w:r>
      <w:r>
        <w:rPr>
          <w:rFonts w:ascii="Times" w:hAnsi="Times"/>
          <w:sz w:val="24"/>
          <w:szCs w:val="24"/>
          <w:rtl w:val="0"/>
          <w:lang w:val="en-US"/>
        </w:rPr>
        <w:t>s definition of divination, this technique looks to ask the divine planets to reveal answers of the patient</w:t>
      </w:r>
      <w:r>
        <w:rPr>
          <w:rFonts w:ascii="Times" w:hAnsi="Times" w:hint="default"/>
          <w:sz w:val="24"/>
          <w:szCs w:val="24"/>
          <w:rtl w:val="0"/>
          <w:lang w:val="en-US"/>
        </w:rPr>
        <w:t>’</w:t>
      </w:r>
      <w:r>
        <w:rPr>
          <w:rFonts w:ascii="Times" w:hAnsi="Times"/>
          <w:sz w:val="24"/>
          <w:szCs w:val="24"/>
          <w:rtl w:val="0"/>
          <w:lang w:val="en-US"/>
        </w:rPr>
        <w:t xml:space="preserve">s wellbeing. Greek astrologer Dorotheus of Sidon writes of decumbiture methods in </w:t>
      </w:r>
      <w:r>
        <w:rPr>
          <w:rFonts w:ascii="Times" w:hAnsi="Times"/>
          <w:i w:val="1"/>
          <w:iCs w:val="1"/>
          <w:sz w:val="24"/>
          <w:szCs w:val="24"/>
          <w:rtl w:val="0"/>
          <w:lang w:val="en-US"/>
        </w:rPr>
        <w:t>Carmen Astrologicum</w:t>
      </w:r>
      <w:r>
        <w:rPr>
          <w:rFonts w:ascii="Times" w:hAnsi="Times"/>
          <w:sz w:val="24"/>
          <w:szCs w:val="24"/>
          <w:rtl w:val="0"/>
          <w:lang w:val="en-US"/>
        </w:rPr>
        <w:t>, which look to the moon and ascendant as indicators of the patient</w:t>
      </w:r>
      <w:r>
        <w:rPr>
          <w:rFonts w:ascii="Times" w:hAnsi="Times" w:hint="default"/>
          <w:sz w:val="24"/>
          <w:szCs w:val="24"/>
          <w:rtl w:val="0"/>
          <w:lang w:val="en-US"/>
        </w:rPr>
        <w:t>’</w:t>
      </w:r>
      <w:r>
        <w:rPr>
          <w:rFonts w:ascii="Times" w:hAnsi="Times"/>
          <w:sz w:val="24"/>
          <w:szCs w:val="24"/>
          <w:rtl w:val="0"/>
          <w:lang w:val="en-US"/>
        </w:rPr>
        <w:t xml:space="preserve">s health; it is the relationship of these with the benefic and malefic planets that indicate not only if the patient will recover or remain ill, but what has caused the illness, what its affects are, and when (if) the patient will recover. </w:t>
      </w:r>
      <w:r>
        <w:rPr>
          <w:rFonts w:ascii="Times" w:cs="Times" w:hAnsi="Times" w:eastAsia="Times"/>
          <w:sz w:val="24"/>
          <w:szCs w:val="24"/>
          <w:vertAlign w:val="superscript"/>
        </w:rPr>
        <w:footnoteReference w:id="15"/>
      </w:r>
      <w:r>
        <w:rPr>
          <w:rFonts w:ascii="Times" w:hAnsi="Times"/>
          <w:sz w:val="24"/>
          <w:szCs w:val="24"/>
          <w:rtl w:val="0"/>
          <w:lang w:val="en-US"/>
        </w:rPr>
        <w:t xml:space="preserve"> Vettius Valens writes of two different techniques</w:t>
      </w:r>
      <w:r>
        <w:rPr>
          <w:rFonts w:ascii="Times" w:hAnsi="Times"/>
          <w:sz w:val="24"/>
          <w:szCs w:val="24"/>
          <w:rtl w:val="0"/>
          <w:lang w:val="it-IT"/>
        </w:rPr>
        <w:t xml:space="preserve"> for decumbiture</w:t>
      </w:r>
      <w:r>
        <w:rPr>
          <w:rFonts w:ascii="Times" w:hAnsi="Times"/>
          <w:sz w:val="24"/>
          <w:szCs w:val="24"/>
          <w:rtl w:val="0"/>
          <w:lang w:val="en-US"/>
        </w:rPr>
        <w:t xml:space="preserve"> (one employing a patient</w:t>
      </w:r>
      <w:r>
        <w:rPr>
          <w:rFonts w:ascii="Times" w:hAnsi="Times" w:hint="default"/>
          <w:sz w:val="24"/>
          <w:szCs w:val="24"/>
          <w:rtl w:val="0"/>
          <w:lang w:val="en-US"/>
        </w:rPr>
        <w:t>’</w:t>
      </w:r>
      <w:r>
        <w:rPr>
          <w:rFonts w:ascii="Times" w:hAnsi="Times"/>
          <w:sz w:val="24"/>
          <w:szCs w:val="24"/>
          <w:rtl w:val="0"/>
          <w:lang w:val="en-US"/>
        </w:rPr>
        <w:t xml:space="preserve">s natal chart, and one without) in </w:t>
      </w:r>
      <w:r>
        <w:rPr>
          <w:rFonts w:ascii="Times" w:hAnsi="Times"/>
          <w:i w:val="1"/>
          <w:iCs w:val="1"/>
          <w:sz w:val="24"/>
          <w:szCs w:val="24"/>
          <w:rtl w:val="0"/>
          <w:lang w:val="en-US"/>
        </w:rPr>
        <w:t>Anthologies</w:t>
      </w:r>
      <w:r>
        <w:rPr>
          <w:rFonts w:ascii="Times" w:hAnsi="Times"/>
          <w:sz w:val="24"/>
          <w:szCs w:val="24"/>
          <w:rtl w:val="0"/>
          <w:lang w:val="en-US"/>
        </w:rPr>
        <w:t>, yet uses the placements of the planets in mathematical equations in order to determine the patient</w:t>
      </w:r>
      <w:r>
        <w:rPr>
          <w:rFonts w:ascii="Times" w:hAnsi="Times" w:hint="default"/>
          <w:sz w:val="24"/>
          <w:szCs w:val="24"/>
          <w:rtl w:val="0"/>
          <w:lang w:val="en-US"/>
        </w:rPr>
        <w:t>’</w:t>
      </w:r>
      <w:r>
        <w:rPr>
          <w:rFonts w:ascii="Times" w:hAnsi="Times"/>
          <w:sz w:val="24"/>
          <w:szCs w:val="24"/>
          <w:rtl w:val="0"/>
          <w:lang w:val="en-US"/>
        </w:rPr>
        <w:t xml:space="preserve">s condition; like Dorotheus, the moon is emphasized, and malefic planets are indicators of </w:t>
      </w:r>
      <w:r>
        <w:rPr>
          <w:rFonts w:ascii="Times" w:hAnsi="Times" w:hint="default"/>
          <w:sz w:val="24"/>
          <w:szCs w:val="24"/>
          <w:rtl w:val="0"/>
          <w:lang w:val="en-US"/>
        </w:rPr>
        <w:t>‘</w:t>
      </w:r>
      <w:r>
        <w:rPr>
          <w:rFonts w:ascii="Times" w:hAnsi="Times"/>
          <w:sz w:val="24"/>
          <w:szCs w:val="24"/>
          <w:rtl w:val="0"/>
          <w:lang w:val="en-US"/>
        </w:rPr>
        <w:t>hostile places,</w:t>
      </w:r>
      <w:r>
        <w:rPr>
          <w:rFonts w:ascii="Times" w:hAnsi="Times" w:hint="default"/>
          <w:sz w:val="24"/>
          <w:szCs w:val="24"/>
          <w:rtl w:val="0"/>
          <w:lang w:val="en-US"/>
        </w:rPr>
        <w:t xml:space="preserve">’ </w:t>
      </w:r>
      <w:r>
        <w:rPr>
          <w:rFonts w:ascii="Times" w:hAnsi="Times"/>
          <w:sz w:val="24"/>
          <w:szCs w:val="24"/>
          <w:rtl w:val="0"/>
          <w:lang w:val="en-US"/>
        </w:rPr>
        <w:t>where bad news for health would lie.</w:t>
      </w:r>
      <w:r>
        <w:rPr>
          <w:rFonts w:ascii="Times" w:cs="Times" w:hAnsi="Times" w:eastAsia="Times"/>
          <w:sz w:val="24"/>
          <w:szCs w:val="24"/>
          <w:vertAlign w:val="superscript"/>
        </w:rPr>
        <w:footnoteReference w:id="16"/>
      </w:r>
      <w:r>
        <w:rPr>
          <w:rFonts w:ascii="Times" w:hAnsi="Times"/>
          <w:sz w:val="24"/>
          <w:szCs w:val="24"/>
          <w:rtl w:val="0"/>
          <w:lang w:val="en-US"/>
        </w:rPr>
        <w:t xml:space="preserve"> The doctrine of benefic and malefic planets, noted by historian Tamsyn Barton as having roots in Babylonian astrology, attributes </w:t>
      </w:r>
      <w:r>
        <w:rPr>
          <w:rFonts w:ascii="Times" w:hAnsi="Times" w:hint="default"/>
          <w:sz w:val="24"/>
          <w:szCs w:val="24"/>
          <w:rtl w:val="0"/>
          <w:lang w:val="en-US"/>
        </w:rPr>
        <w:t>‘</w:t>
      </w:r>
      <w:r>
        <w:rPr>
          <w:rFonts w:ascii="Times" w:hAnsi="Times"/>
          <w:sz w:val="24"/>
          <w:szCs w:val="24"/>
          <w:rtl w:val="0"/>
          <w:lang w:val="en-US"/>
        </w:rPr>
        <w:t>positive</w:t>
      </w:r>
      <w:r>
        <w:rPr>
          <w:rFonts w:ascii="Times" w:hAnsi="Times" w:hint="default"/>
          <w:sz w:val="24"/>
          <w:szCs w:val="24"/>
          <w:rtl w:val="0"/>
          <w:lang w:val="en-US"/>
        </w:rPr>
        <w:t xml:space="preserve">’ </w:t>
      </w:r>
      <w:r>
        <w:rPr>
          <w:rFonts w:ascii="Times" w:hAnsi="Times"/>
          <w:sz w:val="24"/>
          <w:szCs w:val="24"/>
          <w:rtl w:val="0"/>
          <w:lang w:val="en-US"/>
        </w:rPr>
        <w:t xml:space="preserve">influences to benefic planets (Venus, Jupiter), and </w:t>
      </w:r>
      <w:r>
        <w:rPr>
          <w:rFonts w:ascii="Times" w:hAnsi="Times" w:hint="default"/>
          <w:sz w:val="24"/>
          <w:szCs w:val="24"/>
          <w:rtl w:val="0"/>
          <w:lang w:val="en-US"/>
        </w:rPr>
        <w:t>‘</w:t>
      </w:r>
      <w:r>
        <w:rPr>
          <w:rFonts w:ascii="Times" w:hAnsi="Times"/>
          <w:sz w:val="24"/>
          <w:szCs w:val="24"/>
          <w:rtl w:val="0"/>
          <w:lang w:val="en-US"/>
        </w:rPr>
        <w:t>negative</w:t>
      </w:r>
      <w:r>
        <w:rPr>
          <w:rFonts w:ascii="Times" w:hAnsi="Times" w:hint="default"/>
          <w:sz w:val="24"/>
          <w:szCs w:val="24"/>
          <w:rtl w:val="0"/>
          <w:lang w:val="en-US"/>
        </w:rPr>
        <w:t xml:space="preserve">’ </w:t>
      </w:r>
      <w:r>
        <w:rPr>
          <w:rFonts w:ascii="Times" w:hAnsi="Times"/>
          <w:sz w:val="24"/>
          <w:szCs w:val="24"/>
          <w:rtl w:val="0"/>
          <w:lang w:val="en-US"/>
        </w:rPr>
        <w:t>influences to malefic planets (Mars, Saturn). Dorotheus writes of the other qualities associated with the malefics as descriptive of the patient</w:t>
      </w:r>
      <w:r>
        <w:rPr>
          <w:rFonts w:ascii="Times" w:hAnsi="Times" w:hint="default"/>
          <w:sz w:val="24"/>
          <w:szCs w:val="24"/>
          <w:rtl w:val="0"/>
          <w:lang w:val="en-US"/>
        </w:rPr>
        <w:t>’</w:t>
      </w:r>
      <w:r>
        <w:rPr>
          <w:rFonts w:ascii="Times" w:hAnsi="Times"/>
          <w:sz w:val="24"/>
          <w:szCs w:val="24"/>
          <w:rtl w:val="0"/>
          <w:lang w:val="en-US"/>
        </w:rPr>
        <w:t xml:space="preserve">s illness: </w:t>
      </w:r>
      <w:r>
        <w:rPr>
          <w:rFonts w:ascii="Times" w:hAnsi="Times" w:hint="default"/>
          <w:sz w:val="24"/>
          <w:szCs w:val="24"/>
          <w:rtl w:val="0"/>
          <w:lang w:val="en-US"/>
        </w:rPr>
        <w:t>‘</w:t>
      </w:r>
      <w:r>
        <w:rPr>
          <w:rFonts w:ascii="Times" w:hAnsi="Times"/>
          <w:sz w:val="24"/>
          <w:szCs w:val="24"/>
          <w:rtl w:val="0"/>
          <w:lang w:val="en-US"/>
        </w:rPr>
        <w:t>If the lord of this illness is Mars, then he got this illness from heat. From Saturn it indicates [that] the disease will remain a long time in its owner, and there has reached him from it consumption and coldness and swelling.</w:t>
      </w:r>
      <w:r>
        <w:rPr>
          <w:rFonts w:ascii="Times" w:hAnsi="Times" w:hint="default"/>
          <w:sz w:val="24"/>
          <w:szCs w:val="24"/>
          <w:rtl w:val="0"/>
          <w:lang w:val="en-US"/>
        </w:rPr>
        <w:t>’</w:t>
      </w:r>
      <w:r>
        <w:rPr>
          <w:rFonts w:ascii="Times" w:cs="Times" w:hAnsi="Times" w:eastAsia="Times"/>
          <w:sz w:val="24"/>
          <w:szCs w:val="24"/>
          <w:vertAlign w:val="superscript"/>
        </w:rPr>
        <w:footnoteReference w:id="17"/>
      </w:r>
      <w:r>
        <w:rPr>
          <w:rFonts w:ascii="Times" w:hAnsi="Times"/>
          <w:sz w:val="24"/>
          <w:szCs w:val="24"/>
          <w:rtl w:val="0"/>
          <w:lang w:val="en-US"/>
        </w:rPr>
        <w:t xml:space="preserve"> Here, not only is the course of the patient</w:t>
      </w:r>
      <w:r>
        <w:rPr>
          <w:rFonts w:ascii="Times" w:hAnsi="Times" w:hint="default"/>
          <w:sz w:val="24"/>
          <w:szCs w:val="24"/>
          <w:rtl w:val="0"/>
          <w:lang w:val="en-US"/>
        </w:rPr>
        <w:t>’</w:t>
      </w:r>
      <w:r>
        <w:rPr>
          <w:rFonts w:ascii="Times" w:hAnsi="Times"/>
          <w:sz w:val="24"/>
          <w:szCs w:val="24"/>
          <w:rtl w:val="0"/>
          <w:lang w:val="en-US"/>
        </w:rPr>
        <w:t xml:space="preserve">s illness projected, but its origin is derived as well. </w:t>
      </w:r>
    </w:p>
    <w:p>
      <w:pPr>
        <w:pStyle w:val="Body"/>
        <w:rPr>
          <w:rFonts w:ascii="Times" w:cs="Times" w:hAnsi="Times" w:eastAsia="Times"/>
          <w:sz w:val="24"/>
          <w:szCs w:val="24"/>
        </w:rPr>
      </w:pPr>
    </w:p>
    <w:p>
      <w:pPr>
        <w:pStyle w:val="Body"/>
        <w:spacing w:line="480" w:lineRule="auto"/>
        <w:rPr>
          <w:rFonts w:ascii="Times" w:cs="Times" w:hAnsi="Times" w:eastAsia="Times"/>
          <w:sz w:val="24"/>
          <w:szCs w:val="24"/>
        </w:rPr>
      </w:pPr>
      <w:r>
        <w:rPr>
          <w:rFonts w:ascii="Times" w:cs="Times" w:hAnsi="Times" w:eastAsia="Times"/>
          <w:sz w:val="24"/>
          <w:szCs w:val="24"/>
          <w:rtl w:val="0"/>
        </w:rPr>
        <w:tab/>
        <w:t xml:space="preserve">Another technique utilized in medicine at this time is </w:t>
      </w:r>
      <w:r>
        <w:rPr>
          <w:rFonts w:ascii="Times" w:hAnsi="Times"/>
          <w:sz w:val="24"/>
          <w:szCs w:val="24"/>
          <w:rtl w:val="0"/>
          <w:lang w:val="en-US"/>
        </w:rPr>
        <w:t>climacterics</w:t>
      </w:r>
      <w:r>
        <w:rPr>
          <w:rFonts w:ascii="Times" w:hAnsi="Times"/>
          <w:sz w:val="24"/>
          <w:szCs w:val="24"/>
          <w:rtl w:val="0"/>
          <w:lang w:val="en-US"/>
        </w:rPr>
        <w:t>, an astrological theory which denoted periods of time, ascertained by the transiting planets throughout the zodiac, that were less favorable or more desirable for health. An early form of this practice can be found in fragments of the Greek magical papyri, a body of work with overlapping Graeco-Roman and Egyptian origins, with fragments found indicating the 64th year of life to be Saturn</w:t>
      </w:r>
      <w:r>
        <w:rPr>
          <w:rFonts w:ascii="Times" w:hAnsi="Times" w:hint="default"/>
          <w:sz w:val="24"/>
          <w:szCs w:val="24"/>
          <w:rtl w:val="0"/>
          <w:lang w:val="en-US"/>
        </w:rPr>
        <w:t>’</w:t>
      </w:r>
      <w:r>
        <w:rPr>
          <w:rFonts w:ascii="Times" w:hAnsi="Times"/>
          <w:sz w:val="24"/>
          <w:szCs w:val="24"/>
          <w:rtl w:val="0"/>
          <w:lang w:val="en-US"/>
        </w:rPr>
        <w:t>s year,  and bad for the body.</w:t>
      </w:r>
      <w:r>
        <w:rPr>
          <w:rFonts w:ascii="Times" w:cs="Times" w:hAnsi="Times" w:eastAsia="Times"/>
          <w:sz w:val="24"/>
          <w:szCs w:val="24"/>
          <w:vertAlign w:val="superscript"/>
        </w:rPr>
        <w:footnoteReference w:id="18"/>
      </w:r>
      <w:r>
        <w:rPr>
          <w:rFonts w:ascii="Times" w:hAnsi="Times"/>
          <w:sz w:val="24"/>
          <w:szCs w:val="24"/>
          <w:rtl w:val="0"/>
          <w:lang w:val="en-US"/>
        </w:rPr>
        <w:t xml:space="preserve"> Another gives directions to make a contraceptive amulet, which should be adorned when the moon is waning in </w:t>
      </w:r>
      <w:r>
        <w:rPr>
          <w:rFonts w:ascii="Times" w:hAnsi="Times" w:hint="default"/>
          <w:sz w:val="24"/>
          <w:szCs w:val="24"/>
          <w:rtl w:val="0"/>
          <w:lang w:val="en-US"/>
        </w:rPr>
        <w:t>‘</w:t>
      </w:r>
      <w:r>
        <w:rPr>
          <w:rFonts w:ascii="Times" w:hAnsi="Times"/>
          <w:sz w:val="24"/>
          <w:szCs w:val="24"/>
          <w:rtl w:val="0"/>
          <w:lang w:val="en-US"/>
        </w:rPr>
        <w:t>a female sign of the zodiac on a day of Kronos or Hermes.</w:t>
      </w:r>
      <w:r>
        <w:rPr>
          <w:rFonts w:ascii="Times" w:hAnsi="Times" w:hint="default"/>
          <w:sz w:val="24"/>
          <w:szCs w:val="24"/>
          <w:rtl w:val="0"/>
          <w:lang w:val="en-US"/>
        </w:rPr>
        <w:t>’</w:t>
      </w:r>
      <w:r>
        <w:rPr>
          <w:rFonts w:ascii="Times" w:cs="Times" w:hAnsi="Times" w:eastAsia="Times"/>
          <w:sz w:val="24"/>
          <w:szCs w:val="24"/>
          <w:vertAlign w:val="superscript"/>
        </w:rPr>
        <w:footnoteReference w:id="19"/>
      </w:r>
      <w:r>
        <w:rPr>
          <w:rFonts w:ascii="Times" w:hAnsi="Times"/>
          <w:sz w:val="24"/>
          <w:szCs w:val="24"/>
          <w:rtl w:val="0"/>
          <w:lang w:val="en-US"/>
        </w:rPr>
        <w:t xml:space="preserve"> The practices of the Greek magical papyri are considered magical, as they allow for agency and the volition of the actor, but it is noted that any involvement of the stars likely had a religious element as well.</w:t>
      </w:r>
      <w:r>
        <w:rPr>
          <w:rFonts w:ascii="Times" w:cs="Times" w:hAnsi="Times" w:eastAsia="Times"/>
          <w:sz w:val="24"/>
          <w:szCs w:val="24"/>
          <w:vertAlign w:val="superscript"/>
        </w:rPr>
        <w:footnoteReference w:id="20"/>
      </w:r>
      <w:r>
        <w:rPr>
          <w:rFonts w:ascii="Times" w:hAnsi="Times"/>
          <w:sz w:val="24"/>
          <w:szCs w:val="24"/>
          <w:rtl w:val="0"/>
          <w:lang w:val="en-US"/>
        </w:rPr>
        <w:t xml:space="preserve"> These associations underlie the later writings on medical astrology, such as Dorotheus</w:t>
      </w:r>
      <w:r>
        <w:rPr>
          <w:rFonts w:ascii="Times" w:hAnsi="Times" w:hint="default"/>
          <w:sz w:val="24"/>
          <w:szCs w:val="24"/>
          <w:rtl w:val="0"/>
          <w:lang w:val="en-US"/>
        </w:rPr>
        <w:t>’</w:t>
      </w:r>
      <w:r>
        <w:rPr>
          <w:rFonts w:ascii="Times" w:hAnsi="Times"/>
          <w:sz w:val="24"/>
          <w:szCs w:val="24"/>
          <w:rtl w:val="0"/>
          <w:lang w:val="en-US"/>
        </w:rPr>
        <w:t xml:space="preserve">s passages on the signs of the Moon that are suitable for one to take a medicines, to treat diarrhea, and to let blood. For the taking of medicine for the nose and </w:t>
      </w:r>
      <w:r>
        <w:rPr>
          <w:rFonts w:ascii="Times" w:hAnsi="Times" w:hint="default"/>
          <w:sz w:val="24"/>
          <w:szCs w:val="24"/>
          <w:rtl w:val="0"/>
          <w:lang w:val="en-US"/>
        </w:rPr>
        <w:t>‘</w:t>
      </w:r>
      <w:r>
        <w:rPr>
          <w:rFonts w:ascii="Times" w:hAnsi="Times"/>
          <w:sz w:val="24"/>
          <w:szCs w:val="24"/>
          <w:rtl w:val="0"/>
          <w:lang w:val="en-US"/>
        </w:rPr>
        <w:t>those sick in the head,</w:t>
      </w:r>
      <w:r>
        <w:rPr>
          <w:rFonts w:ascii="Times" w:hAnsi="Times" w:hint="default"/>
          <w:sz w:val="24"/>
          <w:szCs w:val="24"/>
          <w:rtl w:val="0"/>
          <w:lang w:val="en-US"/>
        </w:rPr>
        <w:t xml:space="preserve">’ </w:t>
      </w:r>
      <w:r>
        <w:rPr>
          <w:rFonts w:ascii="Times" w:hAnsi="Times"/>
          <w:sz w:val="24"/>
          <w:szCs w:val="24"/>
          <w:rtl w:val="0"/>
          <w:lang w:val="en-US"/>
        </w:rPr>
        <w:t xml:space="preserve">Dorotheus indicates the Moon in Aries or Taurus, in the </w:t>
      </w:r>
      <w:r>
        <w:rPr>
          <w:rFonts w:ascii="Times" w:hAnsi="Times" w:hint="default"/>
          <w:sz w:val="24"/>
          <w:szCs w:val="24"/>
          <w:rtl w:val="0"/>
          <w:lang w:val="en-US"/>
        </w:rPr>
        <w:t>‘</w:t>
      </w:r>
      <w:r>
        <w:rPr>
          <w:rFonts w:ascii="Times" w:hAnsi="Times"/>
          <w:sz w:val="24"/>
          <w:szCs w:val="24"/>
          <w:rtl w:val="0"/>
          <w:lang w:val="en-US"/>
        </w:rPr>
        <w:t>region of the ascent,</w:t>
      </w:r>
      <w:r>
        <w:rPr>
          <w:rFonts w:ascii="Times" w:hAnsi="Times" w:hint="default"/>
          <w:sz w:val="24"/>
          <w:szCs w:val="24"/>
          <w:rtl w:val="0"/>
          <w:lang w:val="en-US"/>
        </w:rPr>
        <w:t xml:space="preserve">’ </w:t>
      </w:r>
      <w:r>
        <w:rPr>
          <w:rFonts w:ascii="Times" w:hAnsi="Times"/>
          <w:sz w:val="24"/>
          <w:szCs w:val="24"/>
          <w:rtl w:val="0"/>
          <w:lang w:val="en-US"/>
        </w:rPr>
        <w:t xml:space="preserve">whereas treating diarrhea is suitable with the moon in Libra or Scorpio, </w:t>
      </w:r>
      <w:r>
        <w:rPr>
          <w:rFonts w:ascii="Times" w:hAnsi="Times" w:hint="default"/>
          <w:sz w:val="24"/>
          <w:szCs w:val="24"/>
          <w:rtl w:val="0"/>
          <w:lang w:val="en-US"/>
        </w:rPr>
        <w:t>‘</w:t>
      </w:r>
      <w:r>
        <w:rPr>
          <w:rFonts w:ascii="Times" w:hAnsi="Times"/>
          <w:sz w:val="24"/>
          <w:szCs w:val="24"/>
          <w:rtl w:val="0"/>
          <w:lang w:val="en-US"/>
        </w:rPr>
        <w:t>the region of lowness.</w:t>
      </w:r>
      <w:r>
        <w:rPr>
          <w:rFonts w:ascii="Times" w:hAnsi="Times" w:hint="default"/>
          <w:sz w:val="24"/>
          <w:szCs w:val="24"/>
          <w:rtl w:val="0"/>
          <w:lang w:val="en-US"/>
        </w:rPr>
        <w:t>’</w:t>
      </w:r>
      <w:r>
        <w:rPr>
          <w:rFonts w:ascii="Times" w:cs="Times" w:hAnsi="Times" w:eastAsia="Times"/>
          <w:sz w:val="24"/>
          <w:szCs w:val="24"/>
          <w:vertAlign w:val="superscript"/>
        </w:rPr>
        <w:footnoteReference w:id="21"/>
      </w:r>
      <w:r>
        <w:rPr>
          <w:rFonts w:ascii="Times" w:hAnsi="Times"/>
          <w:sz w:val="24"/>
          <w:szCs w:val="24"/>
          <w:rtl w:val="0"/>
          <w:lang w:val="en-US"/>
        </w:rPr>
        <w:t xml:space="preserve"> Here, we see the theory of climacterics as being influenced by the astrological concept of </w:t>
      </w:r>
      <w:r>
        <w:rPr>
          <w:rFonts w:ascii="Times" w:hAnsi="Times" w:hint="default"/>
          <w:sz w:val="24"/>
          <w:szCs w:val="24"/>
          <w:rtl w:val="0"/>
          <w:lang w:val="en-US"/>
        </w:rPr>
        <w:t>‘</w:t>
      </w:r>
      <w:r>
        <w:rPr>
          <w:rFonts w:ascii="Times" w:hAnsi="Times"/>
          <w:sz w:val="24"/>
          <w:szCs w:val="24"/>
          <w:rtl w:val="0"/>
          <w:lang w:val="en-US"/>
        </w:rPr>
        <w:t>melothesia,</w:t>
      </w:r>
      <w:r>
        <w:rPr>
          <w:rFonts w:ascii="Times" w:hAnsi="Times" w:hint="default"/>
          <w:sz w:val="24"/>
          <w:szCs w:val="24"/>
          <w:rtl w:val="0"/>
          <w:lang w:val="en-US"/>
        </w:rPr>
        <w:t xml:space="preserve">’ </w:t>
      </w:r>
      <w:r>
        <w:rPr>
          <w:rFonts w:ascii="Times" w:hAnsi="Times"/>
          <w:sz w:val="24"/>
          <w:szCs w:val="24"/>
          <w:rtl w:val="0"/>
          <w:lang w:val="en-US"/>
        </w:rPr>
        <w:t>which assigned regions of the body to the zodiac.</w:t>
      </w:r>
      <w:r>
        <w:rPr>
          <w:rFonts w:ascii="Times" w:cs="Times" w:hAnsi="Times" w:eastAsia="Times"/>
          <w:position w:val="8"/>
          <w:sz w:val="24"/>
          <w:szCs w:val="24"/>
          <w:vertAlign w:val="superscript"/>
        </w:rPr>
        <w:footnoteReference w:id="22"/>
      </w:r>
      <w:r>
        <w:rPr>
          <w:rFonts w:ascii="Times" w:hAnsi="Times"/>
          <w:sz w:val="24"/>
          <w:szCs w:val="24"/>
          <w:rtl w:val="0"/>
          <w:lang w:val="en-US"/>
        </w:rPr>
        <w:t xml:space="preserve"> In </w:t>
      </w:r>
      <w:r>
        <w:rPr>
          <w:rFonts w:ascii="Times" w:hAnsi="Times"/>
          <w:i w:val="1"/>
          <w:iCs w:val="1"/>
          <w:sz w:val="24"/>
          <w:szCs w:val="24"/>
          <w:rtl w:val="0"/>
          <w:lang w:val="en-US"/>
        </w:rPr>
        <w:t>Carmen</w:t>
      </w:r>
      <w:r>
        <w:rPr>
          <w:rFonts w:ascii="Times" w:hAnsi="Times"/>
          <w:sz w:val="24"/>
          <w:szCs w:val="24"/>
          <w:rtl w:val="0"/>
          <w:lang w:val="en-US"/>
        </w:rPr>
        <w:t>, Dorotheus cites the work of ancient scientists in attributing the head to Aries, the neck to Taurus, the bladder and region between hips to Libra, and the genital and gluteal region to Scorpio.</w:t>
      </w:r>
      <w:r>
        <w:rPr>
          <w:rFonts w:ascii="Times" w:cs="Times" w:hAnsi="Times" w:eastAsia="Times"/>
          <w:sz w:val="24"/>
          <w:szCs w:val="24"/>
          <w:vertAlign w:val="superscript"/>
        </w:rPr>
        <w:footnoteReference w:id="23"/>
      </w:r>
      <w:r>
        <w:rPr>
          <w:rFonts w:ascii="Times" w:hAnsi="Times"/>
          <w:sz w:val="24"/>
          <w:szCs w:val="24"/>
          <w:rtl w:val="0"/>
          <w:lang w:val="en-US"/>
        </w:rPr>
        <w:t xml:space="preserve"> The melothesia found in Vettius Valens</w:t>
      </w:r>
      <w:r>
        <w:rPr>
          <w:rFonts w:ascii="Times" w:hAnsi="Times" w:hint="default"/>
          <w:sz w:val="24"/>
          <w:szCs w:val="24"/>
          <w:rtl w:val="0"/>
          <w:lang w:val="en-US"/>
        </w:rPr>
        <w:t>’</w:t>
      </w:r>
      <w:r>
        <w:rPr>
          <w:rFonts w:ascii="Times" w:hAnsi="Times"/>
          <w:sz w:val="24"/>
          <w:szCs w:val="24"/>
          <w:rtl w:val="0"/>
          <w:lang w:val="en-US"/>
        </w:rPr>
        <w:t>s anthology follows roughly the same structure (differing here that the gluteal region is assigned to Libra), as does that of [time] astrologer Manilus.</w:t>
      </w:r>
      <w:r>
        <w:rPr>
          <w:rFonts w:ascii="Times" w:cs="Times" w:hAnsi="Times" w:eastAsia="Times"/>
          <w:sz w:val="24"/>
          <w:szCs w:val="24"/>
          <w:vertAlign w:val="superscript"/>
        </w:rPr>
        <w:footnoteReference w:id="24"/>
      </w:r>
      <w:r>
        <w:rPr>
          <w:rFonts w:ascii="Times" w:hAnsi="Times"/>
          <w:sz w:val="24"/>
          <w:szCs w:val="24"/>
          <w:rtl w:val="0"/>
          <w:lang w:val="en-US"/>
        </w:rPr>
        <w:t xml:space="preserve"> Dorotheus</w:t>
      </w:r>
      <w:r>
        <w:rPr>
          <w:rFonts w:ascii="Times" w:hAnsi="Times" w:hint="default"/>
          <w:sz w:val="24"/>
          <w:szCs w:val="24"/>
          <w:rtl w:val="0"/>
          <w:lang w:val="en-US"/>
        </w:rPr>
        <w:t>’</w:t>
      </w:r>
      <w:r>
        <w:rPr>
          <w:rFonts w:ascii="Times" w:hAnsi="Times"/>
          <w:sz w:val="24"/>
          <w:szCs w:val="24"/>
          <w:rtl w:val="0"/>
          <w:lang w:val="en-US"/>
        </w:rPr>
        <w:t>s well-cited passage links the treatment of head-related ailments to two signs associated with the head or uppermost portion of the body, and the treatment of diarrheal ailments to the two zodiac signs associated the gluteal region; here, the connection of the body to the divine zodiac informs the climacteric approach to time medical action. However, in Dorotheus</w:t>
      </w:r>
      <w:r>
        <w:rPr>
          <w:rFonts w:ascii="Times" w:hAnsi="Times" w:hint="default"/>
          <w:sz w:val="24"/>
          <w:szCs w:val="24"/>
          <w:rtl w:val="0"/>
          <w:lang w:val="en-US"/>
        </w:rPr>
        <w:t>’</w:t>
      </w:r>
      <w:r>
        <w:rPr>
          <w:rFonts w:ascii="Times" w:hAnsi="Times"/>
          <w:sz w:val="24"/>
          <w:szCs w:val="24"/>
          <w:rtl w:val="0"/>
          <w:lang w:val="en-US"/>
        </w:rPr>
        <w:t>s passage on the climacterics on letting blood, the astrological correspondence shifts from a basis in melothesia to the aspects, or geometrical relationships, of the benefic and malefic planets to the moon and the ascendant. Dorotheus</w:t>
      </w:r>
      <w:r>
        <w:rPr>
          <w:rFonts w:ascii="Times" w:hAnsi="Times" w:hint="default"/>
          <w:sz w:val="24"/>
          <w:szCs w:val="24"/>
          <w:rtl w:val="0"/>
          <w:lang w:val="en-US"/>
        </w:rPr>
        <w:t>’</w:t>
      </w:r>
      <w:r>
        <w:rPr>
          <w:rFonts w:ascii="Times" w:hAnsi="Times"/>
          <w:sz w:val="24"/>
          <w:szCs w:val="24"/>
          <w:rtl w:val="0"/>
          <w:lang w:val="en-US"/>
        </w:rPr>
        <w:t xml:space="preserve">s passage reflects the effects of either on the surgical procedure: </w:t>
      </w:r>
    </w:p>
    <w:p>
      <w:pPr>
        <w:pStyle w:val="Body"/>
        <w:rPr>
          <w:rFonts w:ascii="Times" w:cs="Times" w:hAnsi="Times" w:eastAsia="Times"/>
          <w:sz w:val="24"/>
          <w:szCs w:val="24"/>
        </w:rPr>
      </w:pPr>
    </w:p>
    <w:p>
      <w:pPr>
        <w:pStyle w:val="Body"/>
        <w:rPr>
          <w:rFonts w:ascii="Times" w:cs="Times" w:hAnsi="Times" w:eastAsia="Times"/>
          <w:sz w:val="24"/>
          <w:szCs w:val="24"/>
        </w:rPr>
      </w:pPr>
      <w:r>
        <w:rPr>
          <w:rFonts w:ascii="Times" w:cs="Times" w:hAnsi="Times" w:eastAsia="Times"/>
          <w:sz w:val="24"/>
          <w:szCs w:val="24"/>
          <w:rtl w:val="0"/>
        </w:rPr>
        <w:tab/>
        <w:t>‘</w:t>
      </w:r>
      <w:r>
        <w:rPr>
          <w:rFonts w:ascii="Times" w:hAnsi="Times"/>
          <w:sz w:val="24"/>
          <w:szCs w:val="24"/>
          <w:rtl w:val="0"/>
          <w:lang w:val="en-US"/>
        </w:rPr>
        <w:t>If Mars with Saturn aspects the ascendent or the Moon</w:t>
      </w:r>
      <w:r>
        <w:rPr>
          <w:rFonts w:ascii="Times" w:hAnsi="Times" w:hint="default"/>
          <w:sz w:val="24"/>
          <w:szCs w:val="24"/>
          <w:rtl w:val="0"/>
          <w:lang w:val="en-US"/>
        </w:rPr>
        <w:t xml:space="preserve">… </w:t>
      </w:r>
      <w:r>
        <w:rPr>
          <w:rFonts w:ascii="Times" w:hAnsi="Times"/>
          <w:sz w:val="24"/>
          <w:szCs w:val="24"/>
          <w:rtl w:val="0"/>
          <w:lang w:val="en-US"/>
        </w:rPr>
        <w:t xml:space="preserve">it indicates that this man is </w:t>
      </w:r>
      <w:r>
        <w:rPr>
          <w:rFonts w:ascii="Times" w:cs="Times" w:hAnsi="Times" w:eastAsia="Times"/>
          <w:sz w:val="24"/>
          <w:szCs w:val="24"/>
        </w:rPr>
        <w:tab/>
        <w:tab/>
        <w:tab/>
      </w:r>
      <w:r>
        <w:rPr>
          <w:rFonts w:ascii="Times" w:hAnsi="Times"/>
          <w:sz w:val="24"/>
          <w:szCs w:val="24"/>
          <w:rtl w:val="0"/>
          <w:lang w:val="en-US"/>
        </w:rPr>
        <w:t>not about to escape from it</w:t>
      </w:r>
      <w:r>
        <w:rPr>
          <w:rFonts w:ascii="Times" w:hAnsi="Times" w:hint="default"/>
          <w:sz w:val="24"/>
          <w:szCs w:val="24"/>
          <w:rtl w:val="0"/>
          <w:lang w:val="en-US"/>
        </w:rPr>
        <w:t>…</w:t>
      </w:r>
      <w:r>
        <w:rPr>
          <w:rFonts w:ascii="Times" w:hAnsi="Times"/>
          <w:sz w:val="24"/>
          <w:szCs w:val="24"/>
          <w:rtl w:val="0"/>
          <w:lang w:val="en-US"/>
        </w:rPr>
        <w:t xml:space="preserve">Let the Moon and the ascendent be with Venus or [let] </w:t>
      </w:r>
      <w:r>
        <w:rPr>
          <w:rFonts w:ascii="Times" w:cs="Times" w:hAnsi="Times" w:eastAsia="Times"/>
          <w:sz w:val="24"/>
          <w:szCs w:val="24"/>
        </w:rPr>
        <w:tab/>
        <w:tab/>
        <w:tab/>
      </w:r>
      <w:r>
        <w:rPr>
          <w:rFonts w:ascii="Times" w:hAnsi="Times"/>
          <w:sz w:val="24"/>
          <w:szCs w:val="24"/>
          <w:rtl w:val="0"/>
          <w:lang w:val="en-US"/>
        </w:rPr>
        <w:t xml:space="preserve">Jupiter or Venus aspect the ascendent while the Moon is among them free from the </w:t>
      </w:r>
      <w:r>
        <w:rPr>
          <w:rFonts w:ascii="Times" w:cs="Times" w:hAnsi="Times" w:eastAsia="Times"/>
          <w:sz w:val="24"/>
          <w:szCs w:val="24"/>
        </w:rPr>
        <w:tab/>
        <w:tab/>
        <w:tab/>
      </w:r>
      <w:r>
        <w:rPr>
          <w:rFonts w:ascii="Times" w:hAnsi="Times"/>
          <w:sz w:val="24"/>
          <w:szCs w:val="24"/>
          <w:rtl w:val="0"/>
          <w:lang w:val="it-IT"/>
        </w:rPr>
        <w:t>malefics.</w:t>
      </w:r>
      <w:r>
        <w:rPr>
          <w:rFonts w:ascii="Times" w:hAnsi="Times" w:hint="default"/>
          <w:sz w:val="24"/>
          <w:szCs w:val="24"/>
          <w:rtl w:val="0"/>
          <w:lang w:val="en-US"/>
        </w:rPr>
        <w:t>’</w:t>
      </w:r>
      <w:r>
        <w:rPr>
          <w:rFonts w:ascii="Times" w:cs="Times" w:hAnsi="Times" w:eastAsia="Times"/>
          <w:sz w:val="24"/>
          <w:szCs w:val="24"/>
          <w:vertAlign w:val="superscript"/>
        </w:rPr>
        <w:footnoteReference w:id="25"/>
      </w:r>
      <w:r>
        <w:rPr>
          <w:rFonts w:ascii="Times" w:hAnsi="Times"/>
          <w:sz w:val="24"/>
          <w:szCs w:val="24"/>
          <w:rtl w:val="0"/>
          <w:lang w:val="en-US"/>
        </w:rPr>
        <w:t xml:space="preserve"> </w:t>
      </w:r>
    </w:p>
    <w:p>
      <w:pPr>
        <w:pStyle w:val="Body"/>
        <w:rPr>
          <w:rFonts w:ascii="Times" w:cs="Times" w:hAnsi="Times" w:eastAsia="Times"/>
          <w:sz w:val="24"/>
          <w:szCs w:val="24"/>
        </w:rPr>
      </w:pPr>
    </w:p>
    <w:p>
      <w:pPr>
        <w:pStyle w:val="Body"/>
        <w:spacing w:line="480" w:lineRule="auto"/>
        <w:rPr>
          <w:rFonts w:ascii="Times" w:cs="Times" w:hAnsi="Times" w:eastAsia="Times"/>
          <w:sz w:val="24"/>
          <w:szCs w:val="24"/>
        </w:rPr>
      </w:pPr>
      <w:r>
        <w:rPr>
          <w:rFonts w:ascii="Times" w:hAnsi="Times"/>
          <w:sz w:val="24"/>
          <w:szCs w:val="24"/>
          <w:rtl w:val="0"/>
          <w:lang w:val="en-US"/>
        </w:rPr>
        <w:t xml:space="preserve">Valens similarly utilizes the transiting aspects of the planets to natal planetary placements to underlie his climacterics. Here, periods of time are not only indicative of health, but general themes linked to the planets: </w:t>
      </w:r>
      <w:r>
        <w:rPr>
          <w:rFonts w:ascii="Times" w:hAnsi="Times" w:hint="default"/>
          <w:sz w:val="24"/>
          <w:szCs w:val="24"/>
          <w:rtl w:val="0"/>
          <w:lang w:val="en-US"/>
        </w:rPr>
        <w:t>‘</w:t>
      </w:r>
      <w:r>
        <w:rPr>
          <w:rFonts w:ascii="Times" w:hAnsi="Times"/>
          <w:sz w:val="24"/>
          <w:szCs w:val="24"/>
          <w:rtl w:val="0"/>
          <w:lang w:val="en-US"/>
        </w:rPr>
        <w:t>The moon transmitting to Mars brings a hard year, especially if the moon is waxing (for day births): it causes dangers and illness, bleeding, falls, accidents with fire, penalties, domestic disorder, the deaths of or separations from females, hostility, trials, imprisonment, and upheavals of the masses.</w:t>
      </w:r>
      <w:r>
        <w:rPr>
          <w:rFonts w:ascii="Times" w:hAnsi="Times" w:hint="default"/>
          <w:sz w:val="24"/>
          <w:szCs w:val="24"/>
          <w:rtl w:val="0"/>
          <w:lang w:val="en-US"/>
        </w:rPr>
        <w:t>’</w:t>
      </w:r>
      <w:r>
        <w:rPr>
          <w:rFonts w:ascii="Times" w:cs="Times" w:hAnsi="Times" w:eastAsia="Times"/>
          <w:sz w:val="24"/>
          <w:szCs w:val="24"/>
          <w:vertAlign w:val="superscript"/>
        </w:rPr>
        <w:footnoteReference w:id="26"/>
      </w:r>
      <w:r>
        <w:rPr>
          <w:rFonts w:ascii="Times" w:hAnsi="Times"/>
          <w:sz w:val="24"/>
          <w:szCs w:val="24"/>
          <w:rtl w:val="0"/>
          <w:lang w:val="en-US"/>
        </w:rPr>
        <w:t xml:space="preserve"> These examples of climacterics link human life to the movement of the planets, yet imply the ability to act with agency in timing medical actions. This agency to act in concert with the stars again points back to the potentially magical-religious roots of this practice. </w:t>
      </w:r>
    </w:p>
    <w:p>
      <w:pPr>
        <w:pStyle w:val="Body"/>
        <w:rPr>
          <w:rFonts w:ascii="Times" w:cs="Times" w:hAnsi="Times" w:eastAsia="Times"/>
          <w:sz w:val="24"/>
          <w:szCs w:val="24"/>
        </w:rPr>
      </w:pPr>
    </w:p>
    <w:p>
      <w:pPr>
        <w:pStyle w:val="Body"/>
        <w:rPr>
          <w:rFonts w:ascii="Times" w:cs="Times" w:hAnsi="Times" w:eastAsia="Times"/>
          <w:sz w:val="24"/>
          <w:szCs w:val="24"/>
        </w:rPr>
      </w:pPr>
    </w:p>
    <w:p>
      <w:pPr>
        <w:pStyle w:val="Body"/>
        <w:rPr>
          <w:rFonts w:ascii="Times" w:cs="Times" w:hAnsi="Times" w:eastAsia="Times"/>
          <w:b w:val="0"/>
          <w:bCs w:val="0"/>
          <w:sz w:val="24"/>
          <w:szCs w:val="24"/>
        </w:rPr>
      </w:pPr>
      <w:r>
        <w:rPr>
          <w:rFonts w:ascii="Times" w:hAnsi="Times"/>
          <w:b w:val="1"/>
          <w:bCs w:val="1"/>
          <w:sz w:val="24"/>
          <w:szCs w:val="24"/>
          <w:rtl w:val="0"/>
          <w:lang w:val="en-US"/>
        </w:rPr>
        <w:t>Divination in Hippocrates and Galen</w:t>
      </w:r>
    </w:p>
    <w:p>
      <w:pPr>
        <w:pStyle w:val="Body"/>
        <w:rPr>
          <w:rFonts w:ascii="Times" w:cs="Times" w:hAnsi="Times" w:eastAsia="Times"/>
          <w:b w:val="0"/>
          <w:bCs w:val="0"/>
          <w:sz w:val="24"/>
          <w:szCs w:val="24"/>
        </w:rPr>
      </w:pPr>
    </w:p>
    <w:p>
      <w:pPr>
        <w:pStyle w:val="Body"/>
        <w:spacing w:line="480" w:lineRule="auto"/>
        <w:rPr>
          <w:rFonts w:ascii="Times" w:cs="Times" w:hAnsi="Times" w:eastAsia="Times"/>
          <w:b w:val="0"/>
          <w:bCs w:val="0"/>
          <w:sz w:val="24"/>
          <w:szCs w:val="24"/>
        </w:rPr>
      </w:pPr>
      <w:r>
        <w:rPr>
          <w:rFonts w:ascii="Times" w:cs="Times" w:hAnsi="Times" w:eastAsia="Times"/>
          <w:b w:val="0"/>
          <w:bCs w:val="0"/>
          <w:sz w:val="24"/>
          <w:szCs w:val="24"/>
          <w:rtl w:val="0"/>
        </w:rPr>
        <w:tab/>
        <w:t>Divination held importance in its own right in ancient Greek healing cults and medical astrology, as it supplied its practitioners with the proper timing of cures, prognosis, and answers about patients</w:t>
      </w:r>
      <w:r>
        <w:rPr>
          <w:rFonts w:ascii="Times" w:hAnsi="Times" w:hint="default"/>
          <w:b w:val="0"/>
          <w:bCs w:val="0"/>
          <w:sz w:val="24"/>
          <w:szCs w:val="24"/>
          <w:rtl w:val="0"/>
          <w:lang w:val="en-US"/>
        </w:rPr>
        <w:t xml:space="preserve">’ </w:t>
      </w:r>
      <w:r>
        <w:rPr>
          <w:rFonts w:ascii="Times" w:hAnsi="Times"/>
          <w:b w:val="0"/>
          <w:bCs w:val="0"/>
          <w:sz w:val="24"/>
          <w:szCs w:val="24"/>
          <w:rtl w:val="0"/>
          <w:lang w:val="en-US"/>
        </w:rPr>
        <w:t>conditions. Yet as medicine began to assemble a uniform school of thought during the time of Hippocrates, the physicians that were previously associated with religious and magical practices, including divination, sought to differentiate their line of work.</w:t>
      </w:r>
      <w:r>
        <w:rPr>
          <w:rFonts w:ascii="Times" w:cs="Times" w:hAnsi="Times" w:eastAsia="Times"/>
          <w:b w:val="0"/>
          <w:bCs w:val="0"/>
          <w:sz w:val="24"/>
          <w:szCs w:val="24"/>
          <w:vertAlign w:val="superscript"/>
        </w:rPr>
        <w:footnoteReference w:id="27"/>
      </w:r>
      <w:r>
        <w:rPr>
          <w:rFonts w:ascii="Times" w:hAnsi="Times"/>
          <w:b w:val="0"/>
          <w:bCs w:val="0"/>
          <w:sz w:val="24"/>
          <w:szCs w:val="24"/>
          <w:rtl w:val="0"/>
          <w:lang w:val="en-US"/>
        </w:rPr>
        <w:t xml:space="preserve"> The Hippocratic </w:t>
      </w:r>
      <w:r>
        <w:rPr>
          <w:rFonts w:ascii="Times" w:hAnsi="Times"/>
          <w:b w:val="0"/>
          <w:bCs w:val="0"/>
          <w:i w:val="1"/>
          <w:iCs w:val="1"/>
          <w:sz w:val="24"/>
          <w:szCs w:val="24"/>
          <w:rtl w:val="0"/>
          <w:lang w:val="en-US"/>
        </w:rPr>
        <w:t>Sacred Disease</w:t>
      </w:r>
      <w:r>
        <w:rPr>
          <w:rFonts w:ascii="Times" w:hAnsi="Times"/>
          <w:b w:val="0"/>
          <w:bCs w:val="0"/>
          <w:sz w:val="24"/>
          <w:szCs w:val="24"/>
          <w:rtl w:val="0"/>
          <w:lang w:val="en-US"/>
        </w:rPr>
        <w:t xml:space="preserve"> argues against those that claimed illnesses like epilepsy and mania had, instead of natural causes the author argues for, divine origin and therefore only religious ritual cures.</w:t>
      </w:r>
      <w:r>
        <w:rPr>
          <w:rFonts w:ascii="Times" w:cs="Times" w:hAnsi="Times" w:eastAsia="Times"/>
          <w:b w:val="0"/>
          <w:bCs w:val="0"/>
          <w:sz w:val="24"/>
          <w:szCs w:val="24"/>
          <w:vertAlign w:val="superscript"/>
        </w:rPr>
        <w:footnoteReference w:id="28"/>
      </w:r>
      <w:r>
        <w:rPr>
          <w:rFonts w:ascii="Times" w:hAnsi="Times"/>
          <w:b w:val="0"/>
          <w:bCs w:val="0"/>
          <w:sz w:val="24"/>
          <w:szCs w:val="24"/>
          <w:rtl w:val="0"/>
          <w:lang w:val="en-US"/>
        </w:rPr>
        <w:t xml:space="preserve"> Though the treatise attacks </w:t>
      </w:r>
      <w:r>
        <w:rPr>
          <w:rFonts w:ascii="Times" w:hAnsi="Times" w:hint="default"/>
          <w:b w:val="0"/>
          <w:bCs w:val="0"/>
          <w:sz w:val="24"/>
          <w:szCs w:val="24"/>
          <w:rtl w:val="0"/>
          <w:lang w:val="en-US"/>
        </w:rPr>
        <w:t>‘</w:t>
      </w:r>
      <w:r>
        <w:rPr>
          <w:rFonts w:ascii="Times" w:hAnsi="Times"/>
          <w:b w:val="0"/>
          <w:bCs w:val="0"/>
          <w:sz w:val="24"/>
          <w:szCs w:val="24"/>
          <w:rtl w:val="0"/>
          <w:lang w:val="en-US"/>
        </w:rPr>
        <w:t>faith-healers</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as charlatans, the Hippocratic author writes that the </w:t>
      </w:r>
      <w:r>
        <w:rPr>
          <w:rFonts w:ascii="Times" w:hAnsi="Times" w:hint="default"/>
          <w:b w:val="0"/>
          <w:bCs w:val="0"/>
          <w:sz w:val="24"/>
          <w:szCs w:val="24"/>
          <w:rtl w:val="0"/>
          <w:lang w:val="en-US"/>
        </w:rPr>
        <w:t>‘</w:t>
      </w:r>
      <w:r>
        <w:rPr>
          <w:rFonts w:ascii="Times" w:hAnsi="Times"/>
          <w:b w:val="0"/>
          <w:bCs w:val="0"/>
          <w:sz w:val="24"/>
          <w:szCs w:val="24"/>
          <w:rtl w:val="0"/>
          <w:lang w:val="en-US"/>
        </w:rPr>
        <w:t>Sacred Disease</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is not </w:t>
      </w:r>
      <w:r>
        <w:rPr>
          <w:rFonts w:ascii="Times" w:hAnsi="Times" w:hint="default"/>
          <w:b w:val="0"/>
          <w:bCs w:val="0"/>
          <w:sz w:val="24"/>
          <w:szCs w:val="24"/>
          <w:rtl w:val="0"/>
          <w:lang w:val="en-US"/>
        </w:rPr>
        <w:t>‘</w:t>
      </w:r>
      <w:r>
        <w:rPr>
          <w:rFonts w:ascii="Times" w:hAnsi="Times"/>
          <w:b w:val="0"/>
          <w:bCs w:val="0"/>
          <w:sz w:val="24"/>
          <w:szCs w:val="24"/>
          <w:rtl w:val="0"/>
          <w:lang w:val="en-US"/>
        </w:rPr>
        <w:t>any more divine or sacred than any other disease,</w:t>
      </w:r>
      <w:r>
        <w:rPr>
          <w:rFonts w:ascii="Times" w:hAnsi="Times" w:hint="default"/>
          <w:b w:val="0"/>
          <w:bCs w:val="0"/>
          <w:sz w:val="24"/>
          <w:szCs w:val="24"/>
          <w:rtl w:val="0"/>
          <w:lang w:val="en-US"/>
        </w:rPr>
        <w:t xml:space="preserve">’ </w:t>
      </w:r>
      <w:r>
        <w:rPr>
          <w:rFonts w:ascii="Times" w:hAnsi="Times"/>
          <w:b w:val="0"/>
          <w:bCs w:val="0"/>
          <w:sz w:val="24"/>
          <w:szCs w:val="24"/>
          <w:rtl w:val="0"/>
          <w:lang w:val="en-US"/>
        </w:rPr>
        <w:t>that if gods were to intervene, it would be to purify the body, and those that claim otherwise are impious and disrespectful of the divine.</w:t>
      </w:r>
      <w:r>
        <w:rPr>
          <w:rFonts w:ascii="Times" w:cs="Times" w:hAnsi="Times" w:eastAsia="Times"/>
          <w:b w:val="0"/>
          <w:bCs w:val="0"/>
          <w:sz w:val="24"/>
          <w:szCs w:val="24"/>
          <w:vertAlign w:val="superscript"/>
        </w:rPr>
        <w:footnoteReference w:id="29"/>
      </w:r>
      <w:r>
        <w:rPr>
          <w:rFonts w:ascii="Times" w:hAnsi="Times"/>
          <w:b w:val="0"/>
          <w:bCs w:val="0"/>
          <w:sz w:val="24"/>
          <w:szCs w:val="24"/>
          <w:rtl w:val="0"/>
          <w:lang w:val="en-US"/>
        </w:rPr>
        <w:t xml:space="preserve"> Perhaps it is this reverence of the divine that allowed certain divinatory practices to continue in Hippocratic, and later, Galenic medicine. </w:t>
      </w:r>
    </w:p>
    <w:p>
      <w:pPr>
        <w:pStyle w:val="Body"/>
        <w:rPr>
          <w:rFonts w:ascii="Times" w:cs="Times" w:hAnsi="Times" w:eastAsia="Times"/>
          <w:b w:val="0"/>
          <w:bCs w:val="0"/>
          <w:sz w:val="24"/>
          <w:szCs w:val="24"/>
        </w:rPr>
      </w:pPr>
    </w:p>
    <w:p>
      <w:pPr>
        <w:pStyle w:val="Body"/>
        <w:spacing w:line="480" w:lineRule="auto"/>
        <w:rPr>
          <w:rFonts w:ascii="Times" w:cs="Times" w:hAnsi="Times" w:eastAsia="Times"/>
          <w:b w:val="0"/>
          <w:bCs w:val="0"/>
          <w:sz w:val="24"/>
          <w:szCs w:val="24"/>
        </w:rPr>
      </w:pPr>
      <w:r>
        <w:rPr>
          <w:rFonts w:ascii="Times" w:cs="Times" w:hAnsi="Times" w:eastAsia="Times"/>
          <w:b w:val="0"/>
          <w:bCs w:val="0"/>
          <w:sz w:val="24"/>
          <w:szCs w:val="24"/>
          <w:rtl w:val="0"/>
        </w:rPr>
        <w:tab/>
        <w:t>Evocative of the healing cults</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practice of incubation, the Hippocratic author of </w:t>
      </w:r>
      <w:r>
        <w:rPr>
          <w:rFonts w:ascii="Times" w:hAnsi="Times"/>
          <w:b w:val="0"/>
          <w:bCs w:val="0"/>
          <w:i w:val="1"/>
          <w:iCs w:val="1"/>
          <w:sz w:val="24"/>
          <w:szCs w:val="24"/>
          <w:rtl w:val="0"/>
          <w:lang w:val="en-US"/>
        </w:rPr>
        <w:t>Regimen IV</w:t>
      </w:r>
      <w:r>
        <w:rPr>
          <w:rFonts w:ascii="Times" w:hAnsi="Times"/>
          <w:b w:val="0"/>
          <w:bCs w:val="0"/>
          <w:sz w:val="24"/>
          <w:szCs w:val="24"/>
          <w:rtl w:val="0"/>
          <w:lang w:val="en-US"/>
        </w:rPr>
        <w:t xml:space="preserve"> points to dreams as evidence of health and offers actions based on their contents; if the moon is displaced or changed in the dream, a prescription of </w:t>
      </w:r>
      <w:r>
        <w:rPr>
          <w:rFonts w:ascii="Times" w:hAnsi="Times" w:hint="default"/>
          <w:b w:val="0"/>
          <w:bCs w:val="0"/>
          <w:sz w:val="24"/>
          <w:szCs w:val="24"/>
          <w:rtl w:val="0"/>
          <w:lang w:val="en-US"/>
        </w:rPr>
        <w:t>‘</w:t>
      </w:r>
      <w:r>
        <w:rPr>
          <w:rFonts w:ascii="Times" w:hAnsi="Times"/>
          <w:b w:val="0"/>
          <w:bCs w:val="0"/>
          <w:sz w:val="24"/>
          <w:szCs w:val="24"/>
          <w:rtl w:val="0"/>
          <w:lang w:val="en-US"/>
        </w:rPr>
        <w:t>an emetic following</w:t>
      </w:r>
      <w:r>
        <w:rPr>
          <w:rFonts w:ascii="Times" w:hAnsi="Times" w:hint="default"/>
          <w:b w:val="0"/>
          <w:bCs w:val="0"/>
          <w:sz w:val="24"/>
          <w:szCs w:val="24"/>
          <w:rtl w:val="0"/>
          <w:lang w:val="en-US"/>
        </w:rPr>
        <w:t>…</w:t>
      </w:r>
      <w:r>
        <w:rPr>
          <w:rFonts w:ascii="Times" w:hAnsi="Times"/>
          <w:b w:val="0"/>
          <w:bCs w:val="0"/>
          <w:sz w:val="24"/>
          <w:szCs w:val="24"/>
          <w:rtl w:val="0"/>
          <w:lang w:val="en-US"/>
        </w:rPr>
        <w:t>pungent, salty and soft foods,</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and </w:t>
      </w:r>
      <w:r>
        <w:rPr>
          <w:rFonts w:ascii="Times" w:hAnsi="Times" w:hint="default"/>
          <w:b w:val="0"/>
          <w:bCs w:val="0"/>
          <w:sz w:val="24"/>
          <w:szCs w:val="24"/>
          <w:rtl w:val="0"/>
          <w:lang w:val="en-US"/>
        </w:rPr>
        <w:t>‘</w:t>
      </w:r>
      <w:r>
        <w:rPr>
          <w:rFonts w:ascii="Times" w:hAnsi="Times"/>
          <w:b w:val="0"/>
          <w:bCs w:val="0"/>
          <w:sz w:val="24"/>
          <w:szCs w:val="24"/>
          <w:rtl w:val="0"/>
          <w:lang w:val="en-US"/>
        </w:rPr>
        <w:t>brisk runs on circular track, walks, and vocal exercises</w:t>
      </w:r>
      <w:r>
        <w:rPr>
          <w:rFonts w:ascii="Times" w:hAnsi="Times" w:hint="default"/>
          <w:b w:val="0"/>
          <w:bCs w:val="0"/>
          <w:sz w:val="24"/>
          <w:szCs w:val="24"/>
          <w:rtl w:val="0"/>
          <w:lang w:val="en-US"/>
        </w:rPr>
        <w:t xml:space="preserve">’ </w:t>
      </w:r>
      <w:r>
        <w:rPr>
          <w:rFonts w:ascii="Times" w:hAnsi="Times"/>
          <w:b w:val="0"/>
          <w:bCs w:val="0"/>
          <w:sz w:val="24"/>
          <w:szCs w:val="24"/>
          <w:rtl w:val="0"/>
          <w:lang w:val="en-US"/>
        </w:rPr>
        <w:t>is offered.</w:t>
      </w:r>
      <w:r>
        <w:rPr>
          <w:rFonts w:ascii="Times" w:cs="Times" w:hAnsi="Times" w:eastAsia="Times"/>
          <w:b w:val="0"/>
          <w:bCs w:val="0"/>
          <w:sz w:val="24"/>
          <w:szCs w:val="24"/>
          <w:vertAlign w:val="superscript"/>
        </w:rPr>
        <w:footnoteReference w:id="30"/>
      </w:r>
      <w:r>
        <w:rPr>
          <w:rFonts w:ascii="Times" w:hAnsi="Times"/>
          <w:b w:val="0"/>
          <w:bCs w:val="0"/>
          <w:sz w:val="24"/>
          <w:szCs w:val="24"/>
          <w:rtl w:val="0"/>
          <w:lang w:val="en-US"/>
        </w:rPr>
        <w:t xml:space="preserve"> The dream interpretations offered in this treatise are meant to allow the physician to </w:t>
      </w:r>
      <w:r>
        <w:rPr>
          <w:rFonts w:ascii="Times" w:hAnsi="Times" w:hint="default"/>
          <w:b w:val="0"/>
          <w:bCs w:val="0"/>
          <w:sz w:val="24"/>
          <w:szCs w:val="24"/>
          <w:rtl w:val="0"/>
          <w:lang w:val="en-US"/>
        </w:rPr>
        <w:t>‘</w:t>
      </w:r>
      <w:r>
        <w:rPr>
          <w:rFonts w:ascii="Times" w:hAnsi="Times"/>
          <w:b w:val="0"/>
          <w:bCs w:val="0"/>
          <w:sz w:val="24"/>
          <w:szCs w:val="24"/>
          <w:rtl w:val="0"/>
          <w:lang w:val="en-US"/>
        </w:rPr>
        <w:t>take on part of the burden</w:t>
      </w:r>
      <w:r>
        <w:rPr>
          <w:rFonts w:ascii="Times" w:hAnsi="Times" w:hint="default"/>
          <w:b w:val="0"/>
          <w:bCs w:val="0"/>
          <w:sz w:val="24"/>
          <w:szCs w:val="24"/>
          <w:rtl w:val="0"/>
          <w:lang w:val="en-US"/>
        </w:rPr>
        <w:t xml:space="preserve">’ </w:t>
      </w:r>
      <w:r>
        <w:rPr>
          <w:rFonts w:ascii="Times" w:hAnsi="Times"/>
          <w:b w:val="0"/>
          <w:bCs w:val="0"/>
          <w:sz w:val="24"/>
          <w:szCs w:val="24"/>
          <w:rtl w:val="0"/>
          <w:lang w:val="en-US"/>
        </w:rPr>
        <w:t>that is offloaded when a patient turns to the gods and religious dream-interpreters for help.</w:t>
      </w:r>
      <w:r>
        <w:rPr>
          <w:rFonts w:ascii="Times" w:cs="Times" w:hAnsi="Times" w:eastAsia="Times"/>
          <w:b w:val="0"/>
          <w:bCs w:val="0"/>
          <w:sz w:val="24"/>
          <w:szCs w:val="24"/>
          <w:vertAlign w:val="superscript"/>
        </w:rPr>
        <w:footnoteReference w:id="31"/>
      </w:r>
      <w:r>
        <w:rPr>
          <w:rFonts w:ascii="Times" w:hAnsi="Times"/>
          <w:b w:val="0"/>
          <w:bCs w:val="0"/>
          <w:sz w:val="24"/>
          <w:szCs w:val="24"/>
          <w:rtl w:val="0"/>
          <w:lang w:val="en-US"/>
        </w:rPr>
        <w:t xml:space="preserve"> Yet as Edelstein observed of the Epidurean tablets, the priestly interpretation of dreams was not a common aspect among the temple-goers. The Hippocratic adoption of dream-interpretation as a prescriptive technique, on the other hand, requires the physician be the medium of dream interpretation, which are described by the author as being a naturalistic expression of the waking body</w:t>
      </w:r>
      <w:r>
        <w:rPr>
          <w:rFonts w:ascii="Times" w:hAnsi="Times" w:hint="default"/>
          <w:b w:val="0"/>
          <w:bCs w:val="0"/>
          <w:sz w:val="24"/>
          <w:szCs w:val="24"/>
          <w:rtl w:val="0"/>
          <w:lang w:val="en-US"/>
        </w:rPr>
        <w:t>’</w:t>
      </w:r>
      <w:r>
        <w:rPr>
          <w:rFonts w:ascii="Times" w:hAnsi="Times"/>
          <w:b w:val="0"/>
          <w:bCs w:val="0"/>
          <w:sz w:val="24"/>
          <w:szCs w:val="24"/>
          <w:rtl w:val="0"/>
          <w:lang w:val="en-US"/>
        </w:rPr>
        <w:t xml:space="preserve">s functions during sleep, and gives the doctor a role, a </w:t>
      </w:r>
      <w:r>
        <w:rPr>
          <w:rFonts w:ascii="Times" w:hAnsi="Times" w:hint="default"/>
          <w:b w:val="0"/>
          <w:bCs w:val="0"/>
          <w:sz w:val="24"/>
          <w:szCs w:val="24"/>
          <w:rtl w:val="0"/>
          <w:lang w:val="en-US"/>
        </w:rPr>
        <w:t>‘</w:t>
      </w:r>
      <w:r>
        <w:rPr>
          <w:rFonts w:ascii="Times" w:hAnsi="Times"/>
          <w:b w:val="0"/>
          <w:bCs w:val="0"/>
          <w:sz w:val="24"/>
          <w:szCs w:val="24"/>
          <w:rtl w:val="0"/>
          <w:lang w:val="en-US"/>
        </w:rPr>
        <w:t>part of the burden,</w:t>
      </w:r>
      <w:r>
        <w:rPr>
          <w:rFonts w:ascii="Times" w:hAnsi="Times" w:hint="default"/>
          <w:b w:val="0"/>
          <w:bCs w:val="0"/>
          <w:sz w:val="24"/>
          <w:szCs w:val="24"/>
          <w:rtl w:val="0"/>
          <w:lang w:val="en-US"/>
        </w:rPr>
        <w:t xml:space="preserve">’ </w:t>
      </w:r>
      <w:r>
        <w:rPr>
          <w:rFonts w:ascii="Times" w:hAnsi="Times"/>
          <w:b w:val="0"/>
          <w:bCs w:val="0"/>
          <w:sz w:val="24"/>
          <w:szCs w:val="24"/>
          <w:rtl w:val="0"/>
          <w:lang w:val="en-US"/>
        </w:rPr>
        <w:t>within the healing process.</w:t>
      </w:r>
      <w:r>
        <w:rPr>
          <w:rFonts w:ascii="Times" w:cs="Times" w:hAnsi="Times" w:eastAsia="Times"/>
          <w:b w:val="0"/>
          <w:bCs w:val="0"/>
          <w:sz w:val="24"/>
          <w:szCs w:val="24"/>
          <w:vertAlign w:val="superscript"/>
        </w:rPr>
        <w:footnoteReference w:id="32"/>
      </w:r>
      <w:r>
        <w:rPr>
          <w:rFonts w:ascii="Times" w:hAnsi="Times"/>
          <w:b w:val="0"/>
          <w:bCs w:val="0"/>
          <w:sz w:val="24"/>
          <w:szCs w:val="24"/>
          <w:rtl w:val="0"/>
          <w:lang w:val="en-US"/>
        </w:rPr>
        <w:t xml:space="preserve"> This is a far cry from the direct, divine intervention and clear dream messages attested to at Epidaurus; as previously discussed, the results of incubation collapse the boundaries between magic and religion. As Michael Lambert claims, one of Hippocratic medicine</w:t>
      </w:r>
      <w:r>
        <w:rPr>
          <w:rFonts w:ascii="Times" w:hAnsi="Times" w:hint="default"/>
          <w:b w:val="0"/>
          <w:bCs w:val="0"/>
          <w:sz w:val="24"/>
          <w:szCs w:val="24"/>
          <w:rtl w:val="0"/>
          <w:lang w:val="en-US"/>
        </w:rPr>
        <w:t>’</w:t>
      </w:r>
      <w:r>
        <w:rPr>
          <w:rFonts w:ascii="Times" w:hAnsi="Times"/>
          <w:b w:val="0"/>
          <w:bCs w:val="0"/>
          <w:sz w:val="24"/>
          <w:szCs w:val="24"/>
          <w:rtl w:val="0"/>
          <w:lang w:val="en-US"/>
        </w:rPr>
        <w:t xml:space="preserve">s most notable contributions was the separation of </w:t>
      </w:r>
      <w:r>
        <w:rPr>
          <w:rFonts w:ascii="Times" w:hAnsi="Times" w:hint="default"/>
          <w:b w:val="0"/>
          <w:bCs w:val="0"/>
          <w:sz w:val="24"/>
          <w:szCs w:val="24"/>
          <w:rtl w:val="0"/>
          <w:lang w:val="en-US"/>
        </w:rPr>
        <w:t>‘</w:t>
      </w:r>
      <w:r>
        <w:rPr>
          <w:rFonts w:ascii="Times" w:hAnsi="Times"/>
          <w:b w:val="0"/>
          <w:bCs w:val="0"/>
          <w:sz w:val="24"/>
          <w:szCs w:val="24"/>
          <w:rtl w:val="0"/>
          <w:lang w:val="en-US"/>
        </w:rPr>
        <w:t>magic</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from medicine, by attempting to remove </w:t>
      </w:r>
      <w:r>
        <w:rPr>
          <w:rFonts w:ascii="Times" w:hAnsi="Times" w:hint="default"/>
          <w:b w:val="0"/>
          <w:bCs w:val="0"/>
          <w:sz w:val="24"/>
          <w:szCs w:val="24"/>
          <w:rtl w:val="0"/>
          <w:lang w:val="en-US"/>
        </w:rPr>
        <w:t>‘</w:t>
      </w:r>
      <w:r>
        <w:rPr>
          <w:rFonts w:ascii="Times" w:hAnsi="Times"/>
          <w:b w:val="0"/>
          <w:bCs w:val="0"/>
          <w:sz w:val="24"/>
          <w:szCs w:val="24"/>
          <w:rtl w:val="0"/>
          <w:lang w:val="en-US"/>
        </w:rPr>
        <w:t>the irrational</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from coexisting with the rational in Greek medicine in a </w:t>
      </w:r>
      <w:r>
        <w:rPr>
          <w:rFonts w:ascii="Times" w:hAnsi="Times" w:hint="default"/>
          <w:b w:val="0"/>
          <w:bCs w:val="0"/>
          <w:sz w:val="24"/>
          <w:szCs w:val="24"/>
          <w:rtl w:val="0"/>
          <w:lang w:val="en-US"/>
        </w:rPr>
        <w:t>‘</w:t>
      </w:r>
      <w:r>
        <w:rPr>
          <w:rFonts w:ascii="Times" w:hAnsi="Times"/>
          <w:b w:val="0"/>
          <w:bCs w:val="0"/>
          <w:sz w:val="24"/>
          <w:szCs w:val="24"/>
          <w:rtl w:val="0"/>
          <w:lang w:val="en-US"/>
        </w:rPr>
        <w:t>dynamic continuum.</w:t>
      </w:r>
      <w:r>
        <w:rPr>
          <w:rFonts w:ascii="Times" w:hAnsi="Times" w:hint="default"/>
          <w:b w:val="0"/>
          <w:bCs w:val="0"/>
          <w:sz w:val="24"/>
          <w:szCs w:val="24"/>
          <w:rtl w:val="0"/>
          <w:lang w:val="en-US"/>
        </w:rPr>
        <w:t>’</w:t>
      </w:r>
      <w:r>
        <w:rPr>
          <w:rFonts w:ascii="Times" w:cs="Times" w:hAnsi="Times" w:eastAsia="Times"/>
          <w:b w:val="1"/>
          <w:bCs w:val="1"/>
          <w:sz w:val="24"/>
          <w:szCs w:val="24"/>
          <w:vertAlign w:val="superscript"/>
        </w:rPr>
        <w:footnoteReference w:id="33"/>
      </w:r>
      <w:r>
        <w:rPr>
          <w:rFonts w:ascii="Times" w:hAnsi="Times"/>
          <w:b w:val="0"/>
          <w:bCs w:val="0"/>
          <w:sz w:val="24"/>
          <w:szCs w:val="24"/>
          <w:rtl w:val="0"/>
          <w:lang w:val="en-US"/>
        </w:rPr>
        <w:t xml:space="preserve"> In contrast to the commonly clear messages in dreams and instant healing reported at Epidaurus, the dream interpretation espoused by Hippocrates requires the involvement of the physician, stemming the direct flow of divine information from the </w:t>
      </w:r>
      <w:r>
        <w:rPr>
          <w:rFonts w:ascii="Times" w:hAnsi="Times" w:hint="default"/>
          <w:b w:val="0"/>
          <w:bCs w:val="0"/>
          <w:sz w:val="24"/>
          <w:szCs w:val="24"/>
          <w:rtl w:val="0"/>
          <w:lang w:val="en-US"/>
        </w:rPr>
        <w:t>‘</w:t>
      </w:r>
      <w:r>
        <w:rPr>
          <w:rFonts w:ascii="Times" w:hAnsi="Times"/>
          <w:b w:val="0"/>
          <w:bCs w:val="0"/>
          <w:sz w:val="24"/>
          <w:szCs w:val="24"/>
          <w:rtl w:val="0"/>
          <w:lang w:val="en-US"/>
        </w:rPr>
        <w:t>god-given dreams</w:t>
      </w:r>
      <w:r>
        <w:rPr>
          <w:rFonts w:ascii="Times" w:hAnsi="Times" w:hint="default"/>
          <w:b w:val="0"/>
          <w:bCs w:val="0"/>
          <w:sz w:val="24"/>
          <w:szCs w:val="24"/>
          <w:rtl w:val="0"/>
          <w:lang w:val="en-US"/>
        </w:rPr>
        <w:t xml:space="preserve">’ </w:t>
      </w:r>
      <w:r>
        <w:rPr>
          <w:rFonts w:ascii="Times" w:hAnsi="Times"/>
          <w:b w:val="0"/>
          <w:bCs w:val="0"/>
          <w:sz w:val="24"/>
          <w:szCs w:val="24"/>
          <w:rtl w:val="0"/>
          <w:lang w:val="en-US"/>
        </w:rPr>
        <w:t>to the patient, which are given a natural origin, and further rationalizing them in their interpretation.</w:t>
      </w:r>
    </w:p>
    <w:p>
      <w:pPr>
        <w:pStyle w:val="Body"/>
        <w:rPr>
          <w:rFonts w:ascii="Times" w:cs="Times" w:hAnsi="Times" w:eastAsia="Times"/>
          <w:b w:val="0"/>
          <w:bCs w:val="0"/>
          <w:sz w:val="24"/>
          <w:szCs w:val="24"/>
        </w:rPr>
      </w:pPr>
    </w:p>
    <w:p>
      <w:pPr>
        <w:pStyle w:val="Body"/>
        <w:spacing w:line="480" w:lineRule="auto"/>
        <w:rPr>
          <w:rFonts w:ascii="Times" w:cs="Times" w:hAnsi="Times" w:eastAsia="Times"/>
          <w:b w:val="0"/>
          <w:bCs w:val="0"/>
          <w:sz w:val="24"/>
          <w:szCs w:val="24"/>
        </w:rPr>
      </w:pPr>
      <w:r>
        <w:rPr>
          <w:rFonts w:ascii="Times" w:cs="Times" w:hAnsi="Times" w:eastAsia="Times"/>
          <w:b w:val="0"/>
          <w:bCs w:val="0"/>
          <w:sz w:val="24"/>
          <w:szCs w:val="24"/>
          <w:rtl w:val="0"/>
        </w:rPr>
        <w:tab/>
        <w:t>In Hippocrates</w:t>
      </w:r>
      <w:r>
        <w:rPr>
          <w:rFonts w:ascii="Times" w:hAnsi="Times" w:hint="default"/>
          <w:b w:val="0"/>
          <w:bCs w:val="0"/>
          <w:sz w:val="24"/>
          <w:szCs w:val="24"/>
          <w:rtl w:val="0"/>
          <w:lang w:val="en-US"/>
        </w:rPr>
        <w:t xml:space="preserve">’ </w:t>
      </w:r>
      <w:r>
        <w:rPr>
          <w:rFonts w:ascii="Times" w:hAnsi="Times"/>
          <w:b w:val="0"/>
          <w:bCs w:val="0"/>
          <w:i w:val="1"/>
          <w:iCs w:val="1"/>
          <w:sz w:val="24"/>
          <w:szCs w:val="24"/>
          <w:rtl w:val="0"/>
          <w:lang w:val="en-US"/>
        </w:rPr>
        <w:t>Airs, Waters, Places</w:t>
      </w:r>
      <w:r>
        <w:rPr>
          <w:rFonts w:ascii="Times" w:hAnsi="Times"/>
          <w:b w:val="0"/>
          <w:bCs w:val="0"/>
          <w:sz w:val="24"/>
          <w:szCs w:val="24"/>
          <w:rtl w:val="0"/>
          <w:lang w:val="en-US"/>
        </w:rPr>
        <w:t>, astrology</w:t>
      </w:r>
      <w:r>
        <w:rPr>
          <w:rFonts w:ascii="Times" w:hAnsi="Times" w:hint="default"/>
          <w:b w:val="0"/>
          <w:bCs w:val="0"/>
          <w:sz w:val="24"/>
          <w:szCs w:val="24"/>
          <w:rtl w:val="0"/>
          <w:lang w:val="en-US"/>
        </w:rPr>
        <w:t>’</w:t>
      </w:r>
      <w:r>
        <w:rPr>
          <w:rFonts w:ascii="Times" w:hAnsi="Times"/>
          <w:b w:val="0"/>
          <w:bCs w:val="0"/>
          <w:sz w:val="24"/>
          <w:szCs w:val="24"/>
          <w:rtl w:val="0"/>
          <w:lang w:val="en-US"/>
        </w:rPr>
        <w:t xml:space="preserve">s methods are adopted in the form of meteorological medicine; though diagnostic techniques like melothesia are largely thrown out in meteorological medicine, the treatise gives credit to the </w:t>
      </w:r>
      <w:r>
        <w:rPr>
          <w:rFonts w:ascii="Times" w:hAnsi="Times" w:hint="default"/>
          <w:b w:val="0"/>
          <w:bCs w:val="0"/>
          <w:sz w:val="24"/>
          <w:szCs w:val="24"/>
          <w:rtl w:val="0"/>
          <w:lang w:val="en-US"/>
        </w:rPr>
        <w:t>‘</w:t>
      </w:r>
      <w:r>
        <w:rPr>
          <w:rFonts w:ascii="Times" w:hAnsi="Times"/>
          <w:b w:val="0"/>
          <w:bCs w:val="0"/>
          <w:sz w:val="24"/>
          <w:szCs w:val="24"/>
          <w:rtl w:val="0"/>
          <w:lang w:val="en-US"/>
        </w:rPr>
        <w:t>very great</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contributions of </w:t>
      </w:r>
      <w:r>
        <w:rPr>
          <w:rFonts w:ascii="Times" w:hAnsi="Times" w:hint="default"/>
          <w:b w:val="0"/>
          <w:bCs w:val="0"/>
          <w:sz w:val="24"/>
          <w:szCs w:val="24"/>
          <w:rtl w:val="0"/>
          <w:lang w:val="en-US"/>
        </w:rPr>
        <w:t>‘</w:t>
      </w:r>
      <w:r>
        <w:rPr>
          <w:rFonts w:ascii="Times" w:hAnsi="Times"/>
          <w:b w:val="0"/>
          <w:bCs w:val="0"/>
          <w:sz w:val="24"/>
          <w:szCs w:val="24"/>
          <w:rtl w:val="0"/>
          <w:lang w:val="en-US"/>
        </w:rPr>
        <w:t>astronomy,</w:t>
      </w:r>
      <w:r>
        <w:rPr>
          <w:rFonts w:ascii="Times" w:hAnsi="Times" w:hint="default"/>
          <w:b w:val="0"/>
          <w:bCs w:val="0"/>
          <w:sz w:val="24"/>
          <w:szCs w:val="24"/>
          <w:rtl w:val="0"/>
          <w:lang w:val="en-US"/>
        </w:rPr>
        <w:t xml:space="preserve">’ </w:t>
      </w:r>
      <w:r>
        <w:rPr>
          <w:rFonts w:ascii="Times" w:hAnsi="Times"/>
          <w:b w:val="0"/>
          <w:bCs w:val="0"/>
          <w:sz w:val="24"/>
          <w:szCs w:val="24"/>
          <w:rtl w:val="0"/>
          <w:lang w:val="en-US"/>
        </w:rPr>
        <w:t>(as astrology was called in this time) to medicine.</w:t>
      </w:r>
      <w:r>
        <w:rPr>
          <w:rFonts w:ascii="Times" w:cs="Times" w:hAnsi="Times" w:eastAsia="Times"/>
          <w:b w:val="0"/>
          <w:bCs w:val="0"/>
          <w:sz w:val="24"/>
          <w:szCs w:val="24"/>
          <w:vertAlign w:val="superscript"/>
        </w:rPr>
        <w:footnoteReference w:id="34"/>
      </w:r>
      <w:r>
        <w:rPr>
          <w:rFonts w:ascii="Times" w:hAnsi="Times"/>
          <w:b w:val="0"/>
          <w:bCs w:val="0"/>
          <w:sz w:val="24"/>
          <w:szCs w:val="24"/>
          <w:rtl w:val="0"/>
          <w:lang w:val="en-US"/>
        </w:rPr>
        <w:t xml:space="preserve"> This Hippocratic treatise links weather patterns with the yearly rising and settings of the stars in order to diagnose the various illnesses that occur seasonally. The text warns to </w:t>
      </w:r>
      <w:r>
        <w:rPr>
          <w:rFonts w:ascii="Times" w:hAnsi="Times" w:hint="default"/>
          <w:b w:val="0"/>
          <w:bCs w:val="0"/>
          <w:sz w:val="24"/>
          <w:szCs w:val="24"/>
          <w:rtl w:val="0"/>
          <w:lang w:val="en-US"/>
        </w:rPr>
        <w:t>‘</w:t>
      </w:r>
      <w:r>
        <w:rPr>
          <w:rFonts w:ascii="Times" w:hAnsi="Times"/>
          <w:b w:val="0"/>
          <w:bCs w:val="0"/>
          <w:sz w:val="24"/>
          <w:szCs w:val="24"/>
          <w:rtl w:val="0"/>
          <w:lang w:val="en-US"/>
        </w:rPr>
        <w:t>guard against the risings</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of the stars Sirius, Arcturus, and the setting of the Pleiades, </w:t>
      </w:r>
      <w:r>
        <w:rPr>
          <w:rFonts w:ascii="Times" w:hAnsi="Times" w:hint="default"/>
          <w:b w:val="0"/>
          <w:bCs w:val="0"/>
          <w:sz w:val="24"/>
          <w:szCs w:val="24"/>
          <w:rtl w:val="0"/>
          <w:lang w:val="en-US"/>
        </w:rPr>
        <w:t>‘</w:t>
      </w:r>
      <w:r>
        <w:rPr>
          <w:rFonts w:ascii="Times" w:hAnsi="Times"/>
          <w:b w:val="0"/>
          <w:bCs w:val="0"/>
          <w:sz w:val="24"/>
          <w:szCs w:val="24"/>
          <w:rtl w:val="0"/>
          <w:lang w:val="en-US"/>
        </w:rPr>
        <w:t>for i</w:t>
      </w:r>
      <w:r>
        <w:rPr>
          <w:rFonts w:ascii="Times" w:hAnsi="Times"/>
          <w:b w:val="0"/>
          <w:bCs w:val="0"/>
          <w:sz w:val="24"/>
          <w:szCs w:val="24"/>
          <w:rtl w:val="0"/>
          <w:lang w:val="en-US"/>
        </w:rPr>
        <w:t>t is especially at these times that diseases come to a crisis</w:t>
      </w:r>
      <w:r>
        <w:rPr>
          <w:rFonts w:ascii="Times" w:hAnsi="Times"/>
          <w:b w:val="0"/>
          <w:bCs w:val="0"/>
          <w:sz w:val="24"/>
          <w:szCs w:val="24"/>
          <w:rtl w:val="0"/>
          <w:lang w:val="en-US"/>
        </w:rPr>
        <w:t>,</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which is also observed by Valens and Ptolemy in </w:t>
      </w:r>
      <w:r>
        <w:rPr>
          <w:rFonts w:ascii="Times" w:hAnsi="Times"/>
          <w:b w:val="0"/>
          <w:bCs w:val="0"/>
          <w:i w:val="1"/>
          <w:iCs w:val="1"/>
          <w:sz w:val="24"/>
          <w:szCs w:val="24"/>
          <w:rtl w:val="0"/>
          <w:lang w:val="en-US"/>
        </w:rPr>
        <w:t>Tetrabiblos</w:t>
      </w:r>
      <w:r>
        <w:rPr>
          <w:rFonts w:ascii="Times" w:hAnsi="Times"/>
          <w:b w:val="0"/>
          <w:bCs w:val="0"/>
          <w:sz w:val="24"/>
          <w:szCs w:val="24"/>
          <w:rtl w:val="0"/>
          <w:lang w:val="en-US"/>
        </w:rPr>
        <w:t>.</w:t>
      </w:r>
      <w:r>
        <w:rPr>
          <w:rFonts w:ascii="Times" w:cs="Times" w:hAnsi="Times" w:eastAsia="Times"/>
          <w:b w:val="0"/>
          <w:bCs w:val="0"/>
          <w:sz w:val="24"/>
          <w:szCs w:val="24"/>
          <w:vertAlign w:val="superscript"/>
        </w:rPr>
        <w:footnoteReference w:id="35"/>
      </w:r>
      <w:r>
        <w:rPr>
          <w:rFonts w:ascii="Times" w:hAnsi="Times"/>
          <w:b w:val="0"/>
          <w:bCs w:val="0"/>
          <w:sz w:val="24"/>
          <w:szCs w:val="24"/>
          <w:rtl w:val="0"/>
          <w:lang w:val="en-US"/>
        </w:rPr>
        <w:t xml:space="preserve"> The demarcations of time as good or bad for disease has a clear parallel to climacterics and its underlying doctrine of </w:t>
      </w:r>
      <w:r>
        <w:rPr>
          <w:rFonts w:ascii="Times" w:hAnsi="Times"/>
          <w:b w:val="0"/>
          <w:bCs w:val="0"/>
          <w:sz w:val="24"/>
          <w:szCs w:val="24"/>
          <w:rtl w:val="0"/>
          <w:lang w:val="es-ES_tradnl"/>
        </w:rPr>
        <w:t>benefic</w:t>
      </w:r>
      <w:r>
        <w:rPr>
          <w:rFonts w:ascii="Times" w:hAnsi="Times"/>
          <w:b w:val="0"/>
          <w:bCs w:val="0"/>
          <w:sz w:val="24"/>
          <w:szCs w:val="24"/>
          <w:rtl w:val="0"/>
          <w:lang w:val="en-US"/>
        </w:rPr>
        <w:t xml:space="preserve"> and malefic influences, as observed in Ptolemy</w:t>
      </w:r>
      <w:r>
        <w:rPr>
          <w:rFonts w:ascii="Times" w:hAnsi="Times" w:hint="default"/>
          <w:b w:val="0"/>
          <w:bCs w:val="0"/>
          <w:sz w:val="24"/>
          <w:szCs w:val="24"/>
          <w:rtl w:val="0"/>
          <w:lang w:val="en-US"/>
        </w:rPr>
        <w:t>’</w:t>
      </w:r>
      <w:r>
        <w:rPr>
          <w:rFonts w:ascii="Times" w:hAnsi="Times"/>
          <w:b w:val="0"/>
          <w:bCs w:val="0"/>
          <w:sz w:val="24"/>
          <w:szCs w:val="24"/>
          <w:rtl w:val="0"/>
          <w:lang w:val="en-US"/>
        </w:rPr>
        <w:t>s linking of diseases to the setting of malefic planets and Arcturus</w:t>
      </w:r>
      <w:r>
        <w:rPr>
          <w:rFonts w:ascii="Times" w:hAnsi="Times" w:hint="default"/>
          <w:b w:val="0"/>
          <w:bCs w:val="0"/>
          <w:sz w:val="24"/>
          <w:szCs w:val="24"/>
          <w:rtl w:val="0"/>
          <w:lang w:val="en-US"/>
        </w:rPr>
        <w:t>’</w:t>
      </w:r>
      <w:r>
        <w:rPr>
          <w:rFonts w:ascii="Times" w:hAnsi="Times"/>
          <w:b w:val="0"/>
          <w:bCs w:val="0"/>
          <w:sz w:val="24"/>
          <w:szCs w:val="24"/>
          <w:rtl w:val="0"/>
          <w:lang w:val="en-US"/>
        </w:rPr>
        <w:t>s malefic influences.</w:t>
      </w:r>
      <w:r>
        <w:rPr>
          <w:rFonts w:ascii="Times" w:cs="Times" w:hAnsi="Times" w:eastAsia="Times"/>
          <w:b w:val="0"/>
          <w:bCs w:val="0"/>
          <w:sz w:val="24"/>
          <w:szCs w:val="24"/>
          <w:vertAlign w:val="superscript"/>
        </w:rPr>
        <w:footnoteReference w:id="36"/>
      </w:r>
      <w:r>
        <w:rPr>
          <w:rFonts w:ascii="Times" w:hAnsi="Times"/>
          <w:b w:val="0"/>
          <w:bCs w:val="0"/>
          <w:sz w:val="24"/>
          <w:szCs w:val="24"/>
          <w:rtl w:val="0"/>
          <w:lang w:val="en-US"/>
        </w:rPr>
        <w:t xml:space="preserve"> Galen (name)</w:t>
      </w:r>
      <w:r>
        <w:rPr>
          <w:rFonts w:ascii="Times" w:hAnsi="Times" w:hint="default"/>
          <w:b w:val="0"/>
          <w:bCs w:val="0"/>
          <w:sz w:val="24"/>
          <w:szCs w:val="24"/>
          <w:rtl w:val="0"/>
          <w:lang w:val="en-US"/>
        </w:rPr>
        <w:t>’</w:t>
      </w:r>
      <w:r>
        <w:rPr>
          <w:rFonts w:ascii="Times" w:hAnsi="Times"/>
          <w:b w:val="0"/>
          <w:bCs w:val="0"/>
          <w:sz w:val="24"/>
          <w:szCs w:val="24"/>
          <w:rtl w:val="0"/>
          <w:lang w:val="en-US"/>
        </w:rPr>
        <w:t>s work carried on the establishment of Hippocratic medical traditions in ancient Greece, and too adopted the meteorological medical model.</w:t>
      </w:r>
      <w:r>
        <w:rPr>
          <w:rFonts w:ascii="Times" w:cs="Times" w:hAnsi="Times" w:eastAsia="Times"/>
          <w:b w:val="0"/>
          <w:bCs w:val="0"/>
          <w:sz w:val="24"/>
          <w:szCs w:val="24"/>
          <w:vertAlign w:val="superscript"/>
        </w:rPr>
        <w:footnoteReference w:id="37"/>
      </w:r>
      <w:r>
        <w:rPr>
          <w:rFonts w:ascii="Times" w:hAnsi="Times"/>
          <w:b w:val="0"/>
          <w:bCs w:val="0"/>
          <w:sz w:val="24"/>
          <w:szCs w:val="24"/>
          <w:rtl w:val="0"/>
          <w:lang w:val="en-US"/>
        </w:rPr>
        <w:t xml:space="preserve"> Despite his own disavowal of astrologers, Galen used astronomy to predict links between weather and cycles of disease, displays technical knowledge of astrology, including benefic and malefic planets in </w:t>
      </w:r>
      <w:r>
        <w:rPr>
          <w:rFonts w:ascii="Times" w:hAnsi="Times"/>
          <w:b w:val="0"/>
          <w:bCs w:val="0"/>
          <w:i w:val="1"/>
          <w:iCs w:val="1"/>
          <w:sz w:val="24"/>
          <w:szCs w:val="24"/>
          <w:rtl w:val="0"/>
          <w:lang w:val="en-US"/>
        </w:rPr>
        <w:t>On Critical Days</w:t>
      </w:r>
      <w:r>
        <w:rPr>
          <w:rFonts w:ascii="Times" w:hAnsi="Times"/>
          <w:b w:val="0"/>
          <w:bCs w:val="0"/>
          <w:sz w:val="24"/>
          <w:szCs w:val="24"/>
          <w:rtl w:val="0"/>
          <w:lang w:val="en-US"/>
        </w:rPr>
        <w:t>, and writes of a cure for rabies that is timed around the star Sirius. Nutton finds that Galen</w:t>
      </w:r>
      <w:r>
        <w:rPr>
          <w:rFonts w:ascii="Times" w:hAnsi="Times" w:hint="default"/>
          <w:b w:val="0"/>
          <w:bCs w:val="0"/>
          <w:sz w:val="24"/>
          <w:szCs w:val="24"/>
          <w:rtl w:val="0"/>
          <w:lang w:val="en-US"/>
        </w:rPr>
        <w:t>’</w:t>
      </w:r>
      <w:r>
        <w:rPr>
          <w:rFonts w:ascii="Times" w:hAnsi="Times"/>
          <w:b w:val="0"/>
          <w:bCs w:val="0"/>
          <w:sz w:val="24"/>
          <w:szCs w:val="24"/>
          <w:rtl w:val="0"/>
          <w:lang w:val="en-US"/>
        </w:rPr>
        <w:t>s work emphasizes that it is not the planets and stars that directly influence people on earth, but the stars</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movements that indicated atmospheric changes which directly affected people. Unlike the Hippocratic deference to the divine in </w:t>
      </w:r>
      <w:r>
        <w:rPr>
          <w:rFonts w:ascii="Times" w:hAnsi="Times"/>
          <w:b w:val="0"/>
          <w:bCs w:val="0"/>
          <w:i w:val="1"/>
          <w:iCs w:val="1"/>
          <w:sz w:val="24"/>
          <w:szCs w:val="24"/>
          <w:rtl w:val="0"/>
          <w:lang w:val="en-US"/>
        </w:rPr>
        <w:t>Regimen</w:t>
      </w:r>
      <w:r>
        <w:rPr>
          <w:rFonts w:ascii="Times" w:hAnsi="Times"/>
          <w:b w:val="0"/>
          <w:bCs w:val="0"/>
          <w:sz w:val="24"/>
          <w:szCs w:val="24"/>
          <w:rtl w:val="0"/>
          <w:lang w:val="en-US"/>
        </w:rPr>
        <w:t>, Galen</w:t>
      </w:r>
      <w:r>
        <w:rPr>
          <w:rFonts w:ascii="Times" w:hAnsi="Times" w:hint="default"/>
          <w:b w:val="0"/>
          <w:bCs w:val="0"/>
          <w:sz w:val="24"/>
          <w:szCs w:val="24"/>
          <w:rtl w:val="0"/>
          <w:lang w:val="en-US"/>
        </w:rPr>
        <w:t>’</w:t>
      </w:r>
      <w:r>
        <w:rPr>
          <w:rFonts w:ascii="Times" w:hAnsi="Times"/>
          <w:b w:val="0"/>
          <w:bCs w:val="0"/>
          <w:sz w:val="24"/>
          <w:szCs w:val="24"/>
          <w:rtl w:val="0"/>
          <w:lang w:val="en-US"/>
        </w:rPr>
        <w:t xml:space="preserve">s work highlights the valuation of the </w:t>
      </w:r>
      <w:r>
        <w:rPr>
          <w:rFonts w:ascii="Times" w:hAnsi="Times" w:hint="default"/>
          <w:b w:val="0"/>
          <w:bCs w:val="0"/>
          <w:sz w:val="24"/>
          <w:szCs w:val="24"/>
          <w:rtl w:val="0"/>
          <w:lang w:val="en-US"/>
        </w:rPr>
        <w:t>‘</w:t>
      </w:r>
      <w:r>
        <w:rPr>
          <w:rFonts w:ascii="Times" w:hAnsi="Times"/>
          <w:b w:val="0"/>
          <w:bCs w:val="0"/>
          <w:sz w:val="24"/>
          <w:szCs w:val="24"/>
          <w:rtl w:val="0"/>
          <w:lang w:val="en-US"/>
        </w:rPr>
        <w:t>natural</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world in the development of a </w:t>
      </w:r>
      <w:r>
        <w:rPr>
          <w:rFonts w:ascii="Times" w:hAnsi="Times" w:hint="default"/>
          <w:b w:val="0"/>
          <w:bCs w:val="0"/>
          <w:sz w:val="24"/>
          <w:szCs w:val="24"/>
          <w:rtl w:val="0"/>
          <w:lang w:val="en-US"/>
        </w:rPr>
        <w:t>‘</w:t>
      </w:r>
      <w:r>
        <w:rPr>
          <w:rFonts w:ascii="Times" w:hAnsi="Times"/>
          <w:b w:val="0"/>
          <w:bCs w:val="0"/>
          <w:sz w:val="24"/>
          <w:szCs w:val="24"/>
          <w:rtl w:val="0"/>
          <w:lang w:val="en-US"/>
        </w:rPr>
        <w:t>rational</w:t>
      </w:r>
      <w:r>
        <w:rPr>
          <w:rFonts w:ascii="Times" w:hAnsi="Times" w:hint="default"/>
          <w:b w:val="0"/>
          <w:bCs w:val="0"/>
          <w:sz w:val="24"/>
          <w:szCs w:val="24"/>
          <w:rtl w:val="0"/>
          <w:lang w:val="en-US"/>
        </w:rPr>
        <w:t xml:space="preserve">’ </w:t>
      </w:r>
      <w:r>
        <w:rPr>
          <w:rFonts w:ascii="Times" w:hAnsi="Times"/>
          <w:b w:val="0"/>
          <w:bCs w:val="0"/>
          <w:sz w:val="24"/>
          <w:szCs w:val="24"/>
          <w:rtl w:val="0"/>
          <w:lang w:val="en-US"/>
        </w:rPr>
        <w:t>Greek medical tradition.</w:t>
      </w:r>
      <w:r>
        <w:rPr>
          <w:rFonts w:ascii="Times" w:cs="Times" w:hAnsi="Times" w:eastAsia="Times"/>
          <w:b w:val="0"/>
          <w:bCs w:val="0"/>
          <w:sz w:val="24"/>
          <w:szCs w:val="24"/>
          <w:vertAlign w:val="superscript"/>
        </w:rPr>
        <w:footnoteReference w:id="38"/>
      </w:r>
      <w:r>
        <w:rPr>
          <w:rFonts w:ascii="Times" w:hAnsi="Times"/>
          <w:b w:val="0"/>
          <w:bCs w:val="0"/>
          <w:sz w:val="24"/>
          <w:szCs w:val="24"/>
          <w:rtl w:val="0"/>
          <w:lang w:val="en-US"/>
        </w:rPr>
        <w:t xml:space="preserve"> </w:t>
      </w:r>
    </w:p>
    <w:p>
      <w:pPr>
        <w:pStyle w:val="Body"/>
        <w:rPr>
          <w:rFonts w:ascii="Times" w:cs="Times" w:hAnsi="Times" w:eastAsia="Times"/>
          <w:b w:val="0"/>
          <w:bCs w:val="0"/>
          <w:sz w:val="24"/>
          <w:szCs w:val="24"/>
        </w:rPr>
      </w:pPr>
    </w:p>
    <w:p>
      <w:pPr>
        <w:pStyle w:val="Body"/>
        <w:spacing w:line="480" w:lineRule="auto"/>
        <w:rPr>
          <w:rFonts w:ascii="Times" w:cs="Times" w:hAnsi="Times" w:eastAsia="Times"/>
          <w:b w:val="0"/>
          <w:bCs w:val="0"/>
          <w:sz w:val="24"/>
          <w:szCs w:val="24"/>
        </w:rPr>
      </w:pPr>
      <w:r>
        <w:rPr>
          <w:rFonts w:ascii="Times" w:cs="Times" w:hAnsi="Times" w:eastAsia="Times"/>
          <w:b w:val="0"/>
          <w:bCs w:val="0"/>
          <w:sz w:val="24"/>
          <w:szCs w:val="24"/>
          <w:rtl w:val="0"/>
        </w:rPr>
        <w:tab/>
        <w:t xml:space="preserve">The climacterics adopted by Hippocrates and Galen were not that based in melothesia, a direct link between the zodiac and the human body, but of the planetary aspects and characteristics's (such as </w:t>
      </w:r>
      <w:r>
        <w:rPr>
          <w:rFonts w:ascii="Times" w:hAnsi="Times"/>
          <w:b w:val="0"/>
          <w:bCs w:val="0"/>
          <w:sz w:val="24"/>
          <w:szCs w:val="24"/>
          <w:rtl w:val="0"/>
          <w:lang w:val="es-ES_tradnl"/>
        </w:rPr>
        <w:t>benefic</w:t>
      </w:r>
      <w:r>
        <w:rPr>
          <w:rFonts w:ascii="Times" w:hAnsi="Times"/>
          <w:b w:val="0"/>
          <w:bCs w:val="0"/>
          <w:sz w:val="24"/>
          <w:szCs w:val="24"/>
          <w:rtl w:val="0"/>
          <w:lang w:val="en-US"/>
        </w:rPr>
        <w:t>, malefic) influence on the natural world to predict cycles of illness. As previously discussed, the execution of medical action based on climacteric knowledge indicates a sense of agency, which was associated with magical-religious practices. In limiting the influence of the stars to the atmosphere, acting with agency is no longer an indication of being in concert with or manipulating the divine, but a response to knowledge of the natural world and its cycles. By finding a seasonal cycle to the illnesses, the direct influence of the stars upon the life of a person is further alienated. Instead of using decumbiture to divine the planetary origin and length of illness, Galen</w:t>
      </w:r>
      <w:r>
        <w:rPr>
          <w:rFonts w:ascii="Times" w:hAnsi="Times" w:hint="default"/>
          <w:b w:val="0"/>
          <w:bCs w:val="0"/>
          <w:sz w:val="24"/>
          <w:szCs w:val="24"/>
          <w:rtl w:val="0"/>
          <w:lang w:val="en-US"/>
        </w:rPr>
        <w:t>’</w:t>
      </w:r>
      <w:r>
        <w:rPr>
          <w:rFonts w:ascii="Times" w:hAnsi="Times"/>
          <w:b w:val="0"/>
          <w:bCs w:val="0"/>
          <w:sz w:val="24"/>
          <w:szCs w:val="24"/>
          <w:rtl w:val="0"/>
          <w:lang w:val="en-US"/>
        </w:rPr>
        <w:t xml:space="preserve">s work carries on the Hippocratic tradition of finding a </w:t>
      </w:r>
      <w:r>
        <w:rPr>
          <w:rFonts w:ascii="Times" w:hAnsi="Times" w:hint="default"/>
          <w:b w:val="0"/>
          <w:bCs w:val="0"/>
          <w:sz w:val="24"/>
          <w:szCs w:val="24"/>
          <w:rtl w:val="0"/>
          <w:lang w:val="en-US"/>
        </w:rPr>
        <w:t>‘</w:t>
      </w:r>
      <w:r>
        <w:rPr>
          <w:rFonts w:ascii="Times" w:hAnsi="Times"/>
          <w:b w:val="0"/>
          <w:bCs w:val="0"/>
          <w:sz w:val="24"/>
          <w:szCs w:val="24"/>
          <w:rtl w:val="0"/>
          <w:lang w:val="en-US"/>
        </w:rPr>
        <w:t>natural</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root of illness, with its length determined by atmospheric conditions. The </w:t>
      </w:r>
      <w:r>
        <w:rPr>
          <w:rFonts w:ascii="Times" w:hAnsi="Times" w:hint="default"/>
          <w:b w:val="0"/>
          <w:bCs w:val="0"/>
          <w:sz w:val="24"/>
          <w:szCs w:val="24"/>
          <w:rtl w:val="0"/>
          <w:lang w:val="en-US"/>
        </w:rPr>
        <w:t>‘</w:t>
      </w:r>
      <w:r>
        <w:rPr>
          <w:rFonts w:ascii="Times" w:hAnsi="Times"/>
          <w:b w:val="0"/>
          <w:bCs w:val="0"/>
          <w:sz w:val="24"/>
          <w:szCs w:val="24"/>
          <w:rtl w:val="0"/>
          <w:lang w:val="en-US"/>
        </w:rPr>
        <w:t>magic</w:t>
      </w:r>
      <w:r>
        <w:rPr>
          <w:rFonts w:ascii="Times" w:hAnsi="Times" w:hint="default"/>
          <w:b w:val="0"/>
          <w:bCs w:val="0"/>
          <w:sz w:val="24"/>
          <w:szCs w:val="24"/>
          <w:rtl w:val="0"/>
          <w:lang w:val="en-US"/>
        </w:rPr>
        <w:t xml:space="preserve">’ </w:t>
      </w:r>
      <w:r>
        <w:rPr>
          <w:rFonts w:ascii="Times" w:hAnsi="Times"/>
          <w:b w:val="0"/>
          <w:bCs w:val="0"/>
          <w:sz w:val="24"/>
          <w:szCs w:val="24"/>
          <w:rtl w:val="0"/>
          <w:lang w:val="en-US"/>
        </w:rPr>
        <w:t>roots of astrology</w:t>
      </w:r>
      <w:r>
        <w:rPr>
          <w:rFonts w:ascii="Times" w:hAnsi="Times" w:hint="default"/>
          <w:b w:val="0"/>
          <w:bCs w:val="0"/>
          <w:sz w:val="24"/>
          <w:szCs w:val="24"/>
          <w:rtl w:val="0"/>
          <w:lang w:val="en-US"/>
        </w:rPr>
        <w:t>’</w:t>
      </w:r>
      <w:r>
        <w:rPr>
          <w:rFonts w:ascii="Times" w:hAnsi="Times"/>
          <w:b w:val="0"/>
          <w:bCs w:val="0"/>
          <w:sz w:val="24"/>
          <w:szCs w:val="24"/>
          <w:rtl w:val="0"/>
          <w:lang w:val="en-US"/>
        </w:rPr>
        <w:t>s climacterics and the divinatory inquiry of decumbiture underlie the principles of the meteorological medicine; yet, echoing Lambert</w:t>
      </w:r>
      <w:r>
        <w:rPr>
          <w:rFonts w:ascii="Times" w:hAnsi="Times" w:hint="default"/>
          <w:b w:val="0"/>
          <w:bCs w:val="0"/>
          <w:sz w:val="24"/>
          <w:szCs w:val="24"/>
          <w:rtl w:val="0"/>
          <w:lang w:val="en-US"/>
        </w:rPr>
        <w:t>’</w:t>
      </w:r>
      <w:r>
        <w:rPr>
          <w:rFonts w:ascii="Times" w:hAnsi="Times"/>
          <w:b w:val="0"/>
          <w:bCs w:val="0"/>
          <w:sz w:val="24"/>
          <w:szCs w:val="24"/>
          <w:rtl w:val="0"/>
          <w:lang w:val="en-US"/>
        </w:rPr>
        <w:t xml:space="preserve">s argument, the divinatory techniques adopted by Hippocrates and Galen remove the </w:t>
      </w:r>
      <w:r>
        <w:rPr>
          <w:rFonts w:ascii="Times" w:hAnsi="Times" w:hint="default"/>
          <w:b w:val="0"/>
          <w:bCs w:val="0"/>
          <w:sz w:val="24"/>
          <w:szCs w:val="24"/>
          <w:rtl w:val="0"/>
          <w:lang w:val="en-US"/>
        </w:rPr>
        <w:t>‘</w:t>
      </w:r>
      <w:r>
        <w:rPr>
          <w:rFonts w:ascii="Times" w:hAnsi="Times"/>
          <w:b w:val="0"/>
          <w:bCs w:val="0"/>
          <w:sz w:val="24"/>
          <w:szCs w:val="24"/>
          <w:rtl w:val="0"/>
          <w:lang w:val="en-US"/>
        </w:rPr>
        <w:t>irrational</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divine connection between the stars and people which allowed for the agency of </w:t>
      </w:r>
      <w:r>
        <w:rPr>
          <w:rFonts w:ascii="Times" w:hAnsi="Times" w:hint="default"/>
          <w:b w:val="0"/>
          <w:bCs w:val="0"/>
          <w:sz w:val="24"/>
          <w:szCs w:val="24"/>
          <w:rtl w:val="0"/>
          <w:lang w:val="en-US"/>
        </w:rPr>
        <w:t>‘</w:t>
      </w:r>
      <w:r>
        <w:rPr>
          <w:rFonts w:ascii="Times" w:hAnsi="Times"/>
          <w:b w:val="0"/>
          <w:bCs w:val="0"/>
          <w:sz w:val="24"/>
          <w:szCs w:val="24"/>
          <w:rtl w:val="0"/>
          <w:lang w:val="en-US"/>
        </w:rPr>
        <w:t>magic.</w:t>
      </w:r>
      <w:r>
        <w:rPr>
          <w:rFonts w:ascii="Times" w:hAnsi="Times" w:hint="default"/>
          <w:b w:val="0"/>
          <w:bCs w:val="0"/>
          <w:sz w:val="24"/>
          <w:szCs w:val="24"/>
          <w:rtl w:val="0"/>
          <w:lang w:val="en-US"/>
        </w:rPr>
        <w:t>’</w:t>
      </w:r>
    </w:p>
    <w:p>
      <w:pPr>
        <w:pStyle w:val="Body"/>
        <w:rPr>
          <w:rFonts w:ascii="Times" w:cs="Times" w:hAnsi="Times" w:eastAsia="Times"/>
          <w:b w:val="0"/>
          <w:bCs w:val="0"/>
          <w:sz w:val="24"/>
          <w:szCs w:val="24"/>
        </w:rPr>
      </w:pPr>
    </w:p>
    <w:p>
      <w:pPr>
        <w:pStyle w:val="Body"/>
        <w:rPr>
          <w:rFonts w:ascii="Times" w:cs="Times" w:hAnsi="Times" w:eastAsia="Times"/>
          <w:b w:val="0"/>
          <w:bCs w:val="0"/>
          <w:sz w:val="24"/>
          <w:szCs w:val="24"/>
        </w:rPr>
      </w:pPr>
      <w:r>
        <w:rPr>
          <w:rFonts w:ascii="Times" w:hAnsi="Times"/>
          <w:b w:val="1"/>
          <w:bCs w:val="1"/>
          <w:sz w:val="24"/>
          <w:szCs w:val="24"/>
          <w:rtl w:val="0"/>
          <w:lang w:val="en-US"/>
        </w:rPr>
        <w:t>Conclusion</w:t>
      </w:r>
    </w:p>
    <w:p>
      <w:pPr>
        <w:pStyle w:val="Body"/>
        <w:rPr>
          <w:rFonts w:ascii="Times" w:cs="Times" w:hAnsi="Times" w:eastAsia="Times"/>
          <w:b w:val="0"/>
          <w:bCs w:val="0"/>
          <w:sz w:val="24"/>
          <w:szCs w:val="24"/>
        </w:rPr>
      </w:pPr>
    </w:p>
    <w:p>
      <w:pPr>
        <w:pStyle w:val="Body"/>
        <w:spacing w:line="480" w:lineRule="auto"/>
        <w:rPr>
          <w:rFonts w:ascii="Times" w:cs="Times" w:hAnsi="Times" w:eastAsia="Times"/>
          <w:b w:val="0"/>
          <w:bCs w:val="0"/>
          <w:sz w:val="24"/>
          <w:szCs w:val="24"/>
        </w:rPr>
      </w:pPr>
      <w:r>
        <w:rPr>
          <w:rFonts w:ascii="Times" w:cs="Times" w:hAnsi="Times" w:eastAsia="Times"/>
          <w:b w:val="0"/>
          <w:bCs w:val="0"/>
          <w:sz w:val="24"/>
          <w:szCs w:val="24"/>
          <w:rtl w:val="0"/>
        </w:rPr>
        <w:tab/>
        <w:t xml:space="preserve">In the irrational/rational continuum of ancient Greek medical practices, medical astrology, spells, and the religiosity of healing cults coexisted with the work of physicians and doctors, with little distinction among magical/religious and </w:t>
      </w:r>
      <w:r>
        <w:rPr>
          <w:rFonts w:ascii="Times" w:hAnsi="Times" w:hint="default"/>
          <w:b w:val="0"/>
          <w:bCs w:val="0"/>
          <w:sz w:val="24"/>
          <w:szCs w:val="24"/>
          <w:rtl w:val="0"/>
          <w:lang w:val="en-US"/>
        </w:rPr>
        <w:t>‘</w:t>
      </w:r>
      <w:r>
        <w:rPr>
          <w:rFonts w:ascii="Times" w:hAnsi="Times"/>
          <w:b w:val="0"/>
          <w:bCs w:val="0"/>
          <w:sz w:val="24"/>
          <w:szCs w:val="24"/>
          <w:rtl w:val="0"/>
          <w:lang w:val="en-US"/>
        </w:rPr>
        <w:t>medical</w:t>
      </w:r>
      <w:r>
        <w:rPr>
          <w:rFonts w:ascii="Times" w:hAnsi="Times" w:hint="default"/>
          <w:b w:val="0"/>
          <w:bCs w:val="0"/>
          <w:sz w:val="24"/>
          <w:szCs w:val="24"/>
          <w:rtl w:val="0"/>
          <w:lang w:val="en-US"/>
        </w:rPr>
        <w:t xml:space="preserve">’ </w:t>
      </w:r>
      <w:r>
        <w:rPr>
          <w:rFonts w:ascii="Times" w:hAnsi="Times"/>
          <w:b w:val="0"/>
          <w:bCs w:val="0"/>
          <w:sz w:val="24"/>
          <w:szCs w:val="24"/>
          <w:rtl w:val="0"/>
          <w:lang w:val="en-US"/>
        </w:rPr>
        <w:t>practitioners.</w:t>
      </w:r>
      <w:r>
        <w:rPr>
          <w:rFonts w:ascii="Times" w:cs="Times" w:hAnsi="Times" w:eastAsia="Times"/>
          <w:b w:val="0"/>
          <w:bCs w:val="0"/>
          <w:sz w:val="24"/>
          <w:szCs w:val="24"/>
          <w:vertAlign w:val="superscript"/>
        </w:rPr>
        <w:footnoteReference w:id="39"/>
      </w:r>
      <w:r>
        <w:rPr>
          <w:rFonts w:ascii="Times" w:hAnsi="Times"/>
          <w:b w:val="0"/>
          <w:bCs w:val="0"/>
          <w:sz w:val="24"/>
          <w:szCs w:val="24"/>
          <w:rtl w:val="0"/>
          <w:lang w:val="en-US"/>
        </w:rPr>
        <w:t xml:space="preserve"> Similarly, magic and religion similarly possessed overlapping practices, including different forms of divination. Within this continuum, divinatory medicine offered the prognosis of illness, curative methods, assessments of an illness</w:t>
      </w:r>
      <w:r>
        <w:rPr>
          <w:rFonts w:ascii="Times" w:hAnsi="Times" w:hint="default"/>
          <w:b w:val="0"/>
          <w:bCs w:val="0"/>
          <w:sz w:val="24"/>
          <w:szCs w:val="24"/>
          <w:rtl w:val="0"/>
          <w:lang w:val="en-US"/>
        </w:rPr>
        <w:t>’</w:t>
      </w:r>
      <w:r>
        <w:rPr>
          <w:rFonts w:ascii="Times" w:hAnsi="Times"/>
          <w:b w:val="0"/>
          <w:bCs w:val="0"/>
          <w:sz w:val="24"/>
          <w:szCs w:val="24"/>
          <w:rtl w:val="0"/>
          <w:lang w:val="en-US"/>
        </w:rPr>
        <w:t xml:space="preserve">s strength and length, and, loosening the definition of divination, healing by divine intervention. As Hippocratic treatises moved toward a </w:t>
      </w:r>
      <w:r>
        <w:rPr>
          <w:rFonts w:ascii="Times" w:hAnsi="Times" w:hint="default"/>
          <w:b w:val="0"/>
          <w:bCs w:val="0"/>
          <w:sz w:val="24"/>
          <w:szCs w:val="24"/>
          <w:rtl w:val="0"/>
          <w:lang w:val="en-US"/>
        </w:rPr>
        <w:t>‘</w:t>
      </w:r>
      <w:r>
        <w:rPr>
          <w:rFonts w:ascii="Times" w:hAnsi="Times"/>
          <w:b w:val="0"/>
          <w:bCs w:val="0"/>
          <w:sz w:val="24"/>
          <w:szCs w:val="24"/>
          <w:rtl w:val="0"/>
          <w:lang w:val="en-US"/>
        </w:rPr>
        <w:t>rational</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body of medicine and away from the </w:t>
      </w:r>
      <w:r>
        <w:rPr>
          <w:rFonts w:ascii="Times" w:hAnsi="Times" w:hint="default"/>
          <w:b w:val="0"/>
          <w:bCs w:val="0"/>
          <w:sz w:val="24"/>
          <w:szCs w:val="24"/>
          <w:rtl w:val="0"/>
          <w:lang w:val="en-US"/>
        </w:rPr>
        <w:t>‘</w:t>
      </w:r>
      <w:r>
        <w:rPr>
          <w:rFonts w:ascii="Times" w:hAnsi="Times"/>
          <w:b w:val="0"/>
          <w:bCs w:val="0"/>
          <w:sz w:val="24"/>
          <w:szCs w:val="24"/>
          <w:rtl w:val="0"/>
          <w:lang w:val="en-US"/>
        </w:rPr>
        <w:t>irrationality</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of the magical-religious, divinatory methods were maintained, but instead given natural explanations and stripped of their </w:t>
      </w:r>
      <w:r>
        <w:rPr>
          <w:rFonts w:ascii="Times" w:hAnsi="Times" w:hint="default"/>
          <w:b w:val="0"/>
          <w:bCs w:val="0"/>
          <w:sz w:val="24"/>
          <w:szCs w:val="24"/>
          <w:rtl w:val="0"/>
          <w:lang w:val="en-US"/>
        </w:rPr>
        <w:t>‘</w:t>
      </w:r>
      <w:r>
        <w:rPr>
          <w:rFonts w:ascii="Times" w:hAnsi="Times"/>
          <w:b w:val="0"/>
          <w:bCs w:val="0"/>
          <w:sz w:val="24"/>
          <w:szCs w:val="24"/>
          <w:rtl w:val="0"/>
          <w:lang w:val="en-US"/>
        </w:rPr>
        <w:t>magical</w:t>
      </w:r>
      <w:r>
        <w:rPr>
          <w:rFonts w:ascii="Times" w:hAnsi="Times" w:hint="default"/>
          <w:b w:val="0"/>
          <w:bCs w:val="0"/>
          <w:sz w:val="24"/>
          <w:szCs w:val="24"/>
          <w:rtl w:val="0"/>
          <w:lang w:val="en-US"/>
        </w:rPr>
        <w:t xml:space="preserve">’ </w:t>
      </w:r>
      <w:r>
        <w:rPr>
          <w:rFonts w:ascii="Times" w:hAnsi="Times"/>
          <w:b w:val="0"/>
          <w:bCs w:val="0"/>
          <w:sz w:val="24"/>
          <w:szCs w:val="24"/>
          <w:rtl w:val="0"/>
          <w:lang w:val="en-US"/>
        </w:rPr>
        <w:t>agency and direct connection to the divine. These divinatory methods were then utilized to proscribe treatment and forecast cycles of naturally-occurring illness, mirroring Pellegrino</w:t>
      </w:r>
      <w:r>
        <w:rPr>
          <w:rFonts w:ascii="Times" w:hAnsi="Times" w:hint="default"/>
          <w:b w:val="0"/>
          <w:bCs w:val="0"/>
          <w:sz w:val="24"/>
          <w:szCs w:val="24"/>
          <w:rtl w:val="0"/>
          <w:lang w:val="en-US"/>
        </w:rPr>
        <w:t>’</w:t>
      </w:r>
      <w:r>
        <w:rPr>
          <w:rFonts w:ascii="Times" w:hAnsi="Times"/>
          <w:b w:val="0"/>
          <w:bCs w:val="0"/>
          <w:sz w:val="24"/>
          <w:szCs w:val="24"/>
          <w:rtl w:val="0"/>
          <w:lang w:val="en-US"/>
        </w:rPr>
        <w:t xml:space="preserve">s observation of the current biomedical model of medicine, devoid of psychosocial considerations. </w:t>
      </w:r>
    </w:p>
    <w:p>
      <w:pPr>
        <w:pStyle w:val="Body"/>
        <w:rPr>
          <w:rFonts w:ascii="Times" w:cs="Times" w:hAnsi="Times" w:eastAsia="Times"/>
          <w:b w:val="0"/>
          <w:bCs w:val="0"/>
          <w:sz w:val="24"/>
          <w:szCs w:val="24"/>
        </w:rPr>
      </w:pPr>
    </w:p>
    <w:p>
      <w:pPr>
        <w:pStyle w:val="Body"/>
        <w:spacing w:line="480" w:lineRule="auto"/>
      </w:pPr>
      <w:r>
        <w:rPr>
          <w:rFonts w:ascii="Times" w:cs="Times" w:hAnsi="Times" w:eastAsia="Times"/>
          <w:b w:val="0"/>
          <w:bCs w:val="0"/>
          <w:sz w:val="24"/>
          <w:szCs w:val="24"/>
          <w:rtl w:val="0"/>
        </w:rPr>
        <w:tab/>
        <w:t>Divination</w:t>
      </w:r>
      <w:r>
        <w:rPr>
          <w:rFonts w:ascii="Times" w:hAnsi="Times" w:hint="default"/>
          <w:b w:val="0"/>
          <w:bCs w:val="0"/>
          <w:sz w:val="24"/>
          <w:szCs w:val="24"/>
          <w:rtl w:val="0"/>
          <w:lang w:val="en-US"/>
        </w:rPr>
        <w:t>’</w:t>
      </w:r>
      <w:r>
        <w:rPr>
          <w:rFonts w:ascii="Times" w:hAnsi="Times"/>
          <w:b w:val="0"/>
          <w:bCs w:val="0"/>
          <w:sz w:val="24"/>
          <w:szCs w:val="24"/>
          <w:rtl w:val="0"/>
          <w:lang w:val="en-US"/>
        </w:rPr>
        <w:t xml:space="preserve">s importance in ancient Greek medicine occupies a twofold position: as a part of the ancient Greek psychosocial magical-religious experience, it offered both medical assistance and a link to the divine; in its Hippocratic adoption, it became a rationalized method of anticipating and diagnosing illness and a means of separation from the magical-religious. By renegotiating the divinatory traditions, Hippocratic medicine could distinguish itself from the magical-religious; divination was important for its diagnostic potential and for the establishment of a </w:t>
      </w:r>
      <w:r>
        <w:rPr>
          <w:rFonts w:ascii="Times" w:hAnsi="Times" w:hint="default"/>
          <w:b w:val="0"/>
          <w:bCs w:val="0"/>
          <w:sz w:val="24"/>
          <w:szCs w:val="24"/>
          <w:rtl w:val="0"/>
          <w:lang w:val="en-US"/>
        </w:rPr>
        <w:t>‘</w:t>
      </w:r>
      <w:r>
        <w:rPr>
          <w:rFonts w:ascii="Times" w:hAnsi="Times"/>
          <w:b w:val="0"/>
          <w:bCs w:val="0"/>
          <w:sz w:val="24"/>
          <w:szCs w:val="24"/>
          <w:rtl w:val="0"/>
          <w:lang w:val="en-US"/>
        </w:rPr>
        <w:t>rational</w:t>
      </w:r>
      <w:r>
        <w:rPr>
          <w:rFonts w:ascii="Times" w:hAnsi="Times" w:hint="default"/>
          <w:b w:val="0"/>
          <w:bCs w:val="0"/>
          <w:sz w:val="24"/>
          <w:szCs w:val="24"/>
          <w:rtl w:val="0"/>
          <w:lang w:val="en-US"/>
        </w:rPr>
        <w:t xml:space="preserve">’ </w:t>
      </w:r>
      <w:r>
        <w:rPr>
          <w:rFonts w:ascii="Times" w:hAnsi="Times"/>
          <w:b w:val="0"/>
          <w:bCs w:val="0"/>
          <w:sz w:val="24"/>
          <w:szCs w:val="24"/>
          <w:rtl w:val="0"/>
          <w:lang w:val="en-US"/>
        </w:rPr>
        <w:t>body of medicine. This transformation elided divination</w:t>
      </w:r>
      <w:r>
        <w:rPr>
          <w:rFonts w:ascii="Times" w:hAnsi="Times" w:hint="default"/>
          <w:b w:val="0"/>
          <w:bCs w:val="0"/>
          <w:sz w:val="24"/>
          <w:szCs w:val="24"/>
          <w:rtl w:val="0"/>
          <w:lang w:val="en-US"/>
        </w:rPr>
        <w:t>’</w:t>
      </w:r>
      <w:r>
        <w:rPr>
          <w:rFonts w:ascii="Times" w:hAnsi="Times"/>
          <w:b w:val="0"/>
          <w:bCs w:val="0"/>
          <w:sz w:val="24"/>
          <w:szCs w:val="24"/>
          <w:rtl w:val="0"/>
          <w:lang w:val="en-US"/>
        </w:rPr>
        <w:t xml:space="preserve">s previous importance in offering a divine connection to its practitioners, a social context and engagement, and methods of magical-religious healing. Further research on the changing role and importance of incantations, amulets, and spells in ancient Greek medicine could offer scholarly contrast on the importance of divination as a harbinger of Hippocratic </w:t>
      </w:r>
      <w:r>
        <w:rPr>
          <w:rFonts w:ascii="Times" w:hAnsi="Times" w:hint="default"/>
          <w:b w:val="0"/>
          <w:bCs w:val="0"/>
          <w:sz w:val="24"/>
          <w:szCs w:val="24"/>
          <w:rtl w:val="0"/>
          <w:lang w:val="en-US"/>
        </w:rPr>
        <w:t>‘</w:t>
      </w:r>
      <w:r>
        <w:rPr>
          <w:rFonts w:ascii="Times" w:hAnsi="Times"/>
          <w:b w:val="0"/>
          <w:bCs w:val="0"/>
          <w:sz w:val="24"/>
          <w:szCs w:val="24"/>
          <w:rtl w:val="0"/>
          <w:lang w:val="en-US"/>
        </w:rPr>
        <w:t>rationality</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in medicine. </w:t>
      </w:r>
      <w:r>
        <w:rPr>
          <w:rFonts w:ascii="Arial Unicode MS" w:cs="Arial Unicode MS" w:hAnsi="Arial Unicode MS" w:eastAsia="Arial Unicode MS"/>
          <w:b w:val="0"/>
          <w:bCs w:val="0"/>
          <w:i w:val="0"/>
          <w:iCs w:val="0"/>
          <w:sz w:val="24"/>
          <w:szCs w:val="24"/>
        </w:rPr>
        <w:br w:type="page"/>
      </w:r>
    </w:p>
    <w:p>
      <w:pPr>
        <w:pStyle w:val="Body"/>
        <w:spacing w:line="480" w:lineRule="auto"/>
        <w:rPr>
          <w:rFonts w:ascii="Times" w:cs="Times" w:hAnsi="Times" w:eastAsia="Times"/>
          <w:b w:val="1"/>
          <w:bCs w:val="1"/>
          <w:sz w:val="24"/>
          <w:szCs w:val="24"/>
        </w:rPr>
      </w:pPr>
      <w:r>
        <w:rPr>
          <w:rFonts w:ascii="Times" w:hAnsi="Times"/>
          <w:b w:val="1"/>
          <w:bCs w:val="1"/>
          <w:sz w:val="24"/>
          <w:szCs w:val="24"/>
          <w:rtl w:val="0"/>
          <w:lang w:val="en-US"/>
        </w:rPr>
        <w:t>Bibliography</w:t>
      </w:r>
    </w:p>
    <w:p>
      <w:pPr>
        <w:pStyle w:val="Body"/>
        <w:spacing w:line="480" w:lineRule="auto"/>
        <w:rPr>
          <w:rFonts w:ascii="Times" w:cs="Times" w:hAnsi="Times" w:eastAsia="Times"/>
          <w:b w:val="1"/>
          <w:bCs w:val="1"/>
          <w:sz w:val="24"/>
          <w:szCs w:val="24"/>
        </w:rPr>
      </w:pPr>
      <w:r>
        <w:rPr>
          <w:rFonts w:ascii="Times" w:hAnsi="Times"/>
          <w:b w:val="1"/>
          <w:bCs w:val="1"/>
          <w:sz w:val="24"/>
          <w:szCs w:val="24"/>
          <w:rtl w:val="0"/>
          <w:lang w:val="en-US"/>
        </w:rPr>
        <w:t>Primary Sources</w:t>
      </w:r>
    </w:p>
    <w:p>
      <w:pPr>
        <w:pStyle w:val="Footnote"/>
        <w:rPr>
          <w:rFonts w:ascii="Times" w:cs="Times" w:hAnsi="Times" w:eastAsia="Times"/>
        </w:rPr>
      </w:pPr>
      <w:r>
        <w:rPr>
          <w:rFonts w:ascii="Times" w:hAnsi="Times"/>
          <w:rtl w:val="0"/>
          <w:lang w:val="en-US"/>
        </w:rPr>
        <w:t xml:space="preserve">Artemidorus, </w:t>
      </w:r>
      <w:r>
        <w:rPr>
          <w:rFonts w:ascii="Times" w:hAnsi="Times"/>
          <w:i w:val="1"/>
          <w:iCs w:val="1"/>
          <w:rtl w:val="0"/>
          <w:lang w:val="en-US"/>
        </w:rPr>
        <w:t>Onirocritica</w:t>
      </w:r>
      <w:r>
        <w:rPr>
          <w:rFonts w:ascii="Times" w:hAnsi="Times"/>
          <w:rtl w:val="0"/>
          <w:lang w:val="en-US"/>
        </w:rPr>
        <w:t xml:space="preserve">, II.33, V.89 in Edelstein, Book I, </w:t>
      </w:r>
      <w:r>
        <w:rPr>
          <w:rFonts w:ascii="Times" w:hAnsi="Times"/>
          <w:i w:val="1"/>
          <w:iCs w:val="1"/>
          <w:rtl w:val="0"/>
          <w:lang w:val="en-US"/>
        </w:rPr>
        <w:t xml:space="preserve">Asclepius: A Collection and Interpretation of </w:t>
        <w:tab/>
        <w:tab/>
        <w:tab/>
        <w:t>the Testimonies</w:t>
      </w:r>
      <w:r>
        <w:rPr>
          <w:rFonts w:ascii="Times" w:hAnsi="Times"/>
          <w:rtl w:val="0"/>
          <w:lang w:val="en-US"/>
        </w:rPr>
        <w:t xml:space="preserve">, </w:t>
      </w:r>
      <w:r>
        <w:rPr>
          <w:rFonts w:ascii="Times" w:hAnsi="Times"/>
          <w:rtl w:val="0"/>
          <w:lang w:val="en-US"/>
        </w:rPr>
        <w:t xml:space="preserve">(Baltimore: The Johns Hopkins Press, 1945), </w:t>
      </w:r>
      <w:r>
        <w:rPr>
          <w:rFonts w:ascii="Times" w:hAnsi="Times"/>
          <w:rtl w:val="0"/>
          <w:lang w:val="en-US"/>
        </w:rPr>
        <w:t>p. 259-260</w:t>
      </w:r>
    </w:p>
    <w:p>
      <w:pPr>
        <w:pStyle w:val="Footnote"/>
        <w:rPr>
          <w:rFonts w:ascii="Times" w:cs="Times" w:hAnsi="Times" w:eastAsia="Times"/>
        </w:rPr>
      </w:pPr>
    </w:p>
    <w:p>
      <w:pPr>
        <w:pStyle w:val="Footnote"/>
        <w:bidi w:val="0"/>
        <w:rPr>
          <w:rFonts w:ascii="Times" w:cs="Times" w:hAnsi="Times" w:eastAsia="Times"/>
        </w:rPr>
      </w:pPr>
      <w:r>
        <w:rPr>
          <w:rFonts w:ascii="Times" w:hAnsi="Times"/>
          <w:rtl w:val="0"/>
          <w:lang w:val="en-US"/>
        </w:rPr>
        <w:t xml:space="preserve">Dorotheus of Sidon, </w:t>
      </w:r>
      <w:r>
        <w:rPr>
          <w:rFonts w:ascii="Times" w:hAnsi="Times"/>
          <w:i w:val="1"/>
          <w:iCs w:val="1"/>
          <w:rtl w:val="0"/>
          <w:lang w:val="en-US"/>
        </w:rPr>
        <w:t>Carmen Astrologicum</w:t>
      </w:r>
      <w:r>
        <w:rPr>
          <w:rFonts w:ascii="Times" w:hAnsi="Times"/>
          <w:rtl w:val="0"/>
          <w:lang w:val="en-US"/>
        </w:rPr>
        <w:t xml:space="preserve">, trans. by David Pingree, (Bel Air, MD: Astrology Classics, </w:t>
        <w:tab/>
        <w:tab/>
        <w:tab/>
        <w:t>2005), e-book.</w:t>
      </w:r>
    </w:p>
    <w:p>
      <w:pPr>
        <w:pStyle w:val="Footnote"/>
        <w:bidi w:val="0"/>
        <w:rPr>
          <w:rFonts w:ascii="Times" w:cs="Times" w:hAnsi="Times" w:eastAsia="Times"/>
        </w:rPr>
      </w:pPr>
    </w:p>
    <w:p>
      <w:pPr>
        <w:pStyle w:val="Footnote"/>
        <w:rPr>
          <w:rFonts w:ascii="Times" w:cs="Times" w:hAnsi="Times" w:eastAsia="Times"/>
        </w:rPr>
      </w:pPr>
      <w:r>
        <w:rPr>
          <w:rFonts w:ascii="Times" w:hAnsi="Times"/>
          <w:rtl w:val="0"/>
          <w:lang w:val="en-US"/>
        </w:rPr>
        <w:t xml:space="preserve">Hippocrates, </w:t>
      </w:r>
      <w:r>
        <w:rPr>
          <w:rFonts w:ascii="Times" w:hAnsi="Times"/>
          <w:i w:val="1"/>
          <w:iCs w:val="1"/>
          <w:rtl w:val="0"/>
          <w:lang w:val="en-US"/>
        </w:rPr>
        <w:t>On the Sacred Disease</w:t>
      </w:r>
      <w:r>
        <w:rPr>
          <w:rFonts w:ascii="Times" w:hAnsi="Times"/>
          <w:rtl w:val="0"/>
          <w:lang w:val="en-US"/>
        </w:rPr>
        <w:t xml:space="preserve">, </w:t>
      </w:r>
      <w:r>
        <w:rPr>
          <w:rFonts w:ascii="Times" w:hAnsi="Times"/>
          <w:rtl w:val="0"/>
          <w:lang w:val="en-US"/>
        </w:rPr>
        <w:t>in G.E.R. Lloyd</w:t>
      </w:r>
      <w:r>
        <w:rPr>
          <w:rFonts w:ascii="Times" w:hAnsi="Times"/>
          <w:rtl w:val="0"/>
          <w:lang w:val="en-US"/>
        </w:rPr>
        <w:t xml:space="preserve"> (ed.),</w:t>
      </w:r>
      <w:r>
        <w:rPr>
          <w:rFonts w:ascii="Times" w:hAnsi="Times"/>
          <w:rtl w:val="0"/>
        </w:rPr>
        <w:t xml:space="preserve"> </w:t>
      </w:r>
      <w:r>
        <w:rPr>
          <w:rFonts w:ascii="Times" w:hAnsi="Times"/>
          <w:i w:val="1"/>
          <w:iCs w:val="1"/>
          <w:rtl w:val="0"/>
          <w:lang w:val="en-US"/>
        </w:rPr>
        <w:t>Hippocratic Writings</w:t>
      </w:r>
      <w:r>
        <w:rPr>
          <w:rFonts w:ascii="Times" w:hAnsi="Times"/>
          <w:rtl w:val="0"/>
        </w:rPr>
        <w:t xml:space="preserve">, </w:t>
      </w:r>
      <w:r>
        <w:rPr>
          <w:rFonts w:ascii="Times" w:hAnsi="Times"/>
          <w:rtl w:val="0"/>
          <w:lang w:val="en-US"/>
        </w:rPr>
        <w:t>(</w:t>
      </w:r>
      <w:r>
        <w:rPr>
          <w:rFonts w:ascii="Times" w:hAnsi="Times"/>
          <w:rtl w:val="0"/>
          <w:lang w:val="en-US"/>
        </w:rPr>
        <w:t xml:space="preserve">London: Penguin </w:t>
      </w:r>
      <w:r>
        <w:rPr>
          <w:rFonts w:ascii="Times" w:cs="Times" w:hAnsi="Times" w:eastAsia="Times"/>
        </w:rPr>
        <w:tab/>
        <w:tab/>
        <w:tab/>
      </w:r>
      <w:r>
        <w:rPr>
          <w:rFonts w:ascii="Times" w:hAnsi="Times"/>
          <w:rtl w:val="0"/>
          <w:lang w:val="en-US"/>
        </w:rPr>
        <w:t>Books, 1978</w:t>
      </w:r>
      <w:r>
        <w:rPr>
          <w:rFonts w:ascii="Times" w:hAnsi="Times"/>
          <w:rtl w:val="0"/>
          <w:lang w:val="en-US"/>
        </w:rPr>
        <w:t>; 2nd ed., 1985),</w:t>
      </w:r>
      <w:r>
        <w:rPr>
          <w:rFonts w:ascii="Times" w:hAnsi="Times"/>
          <w:rtl w:val="0"/>
          <w:lang w:val="en-US"/>
        </w:rPr>
        <w:t xml:space="preserve"> J. Chadwick and W. N. Mann</w:t>
      </w:r>
      <w:r>
        <w:rPr>
          <w:rFonts w:ascii="Times" w:hAnsi="Times"/>
          <w:rtl w:val="0"/>
          <w:lang w:val="en-US"/>
        </w:rPr>
        <w:t xml:space="preserve"> (trans.), e-book.</w:t>
      </w:r>
    </w:p>
    <w:p>
      <w:pPr>
        <w:pStyle w:val="Footnote"/>
        <w:bidi w:val="0"/>
      </w:pPr>
    </w:p>
    <w:p>
      <w:pPr>
        <w:pStyle w:val="Footnote"/>
        <w:bidi w:val="0"/>
      </w:pPr>
      <w:r>
        <w:tab/>
      </w:r>
      <w:r>
        <w:rPr>
          <w:rFonts w:ascii="Times" w:hAnsi="Times" w:hint="default"/>
          <w:rtl w:val="0"/>
          <w:lang w:val="en-US"/>
        </w:rPr>
        <w:t>—</w:t>
      </w:r>
      <w:r>
        <w:rPr>
          <w:rFonts w:ascii="Times" w:hAnsi="Times"/>
          <w:i w:val="1"/>
          <w:iCs w:val="1"/>
          <w:rtl w:val="0"/>
          <w:lang w:val="en-US"/>
        </w:rPr>
        <w:t>Airs, Waters, Places</w:t>
      </w:r>
      <w:r>
        <w:rPr>
          <w:rFonts w:ascii="Times" w:hAnsi="Times"/>
          <w:rtl w:val="0"/>
          <w:lang w:val="en-US"/>
        </w:rPr>
        <w:t xml:space="preserve"> in </w:t>
      </w:r>
      <w:r>
        <w:rPr>
          <w:rFonts w:ascii="Times" w:hAnsi="Times"/>
          <w:rtl w:val="0"/>
          <w:lang w:val="en-US"/>
        </w:rPr>
        <w:t>G.E.R. Lloyd</w:t>
      </w:r>
      <w:r>
        <w:rPr>
          <w:rFonts w:ascii="Times" w:hAnsi="Times"/>
          <w:rtl w:val="0"/>
          <w:lang w:val="en-US"/>
        </w:rPr>
        <w:t xml:space="preserve"> (ed.),</w:t>
      </w:r>
      <w:r>
        <w:rPr>
          <w:rFonts w:ascii="Times" w:hAnsi="Times"/>
          <w:rtl w:val="0"/>
        </w:rPr>
        <w:t xml:space="preserve"> </w:t>
      </w:r>
      <w:r>
        <w:rPr>
          <w:rFonts w:ascii="Times" w:hAnsi="Times"/>
          <w:i w:val="1"/>
          <w:iCs w:val="1"/>
          <w:rtl w:val="0"/>
          <w:lang w:val="en-US"/>
        </w:rPr>
        <w:t>Hippocratic Writings</w:t>
      </w:r>
      <w:r>
        <w:rPr>
          <w:rFonts w:ascii="Times" w:hAnsi="Times"/>
          <w:rtl w:val="0"/>
        </w:rPr>
        <w:t xml:space="preserve">, </w:t>
      </w:r>
      <w:r>
        <w:rPr>
          <w:rFonts w:ascii="Times" w:hAnsi="Times"/>
          <w:rtl w:val="0"/>
          <w:lang w:val="en-US"/>
        </w:rPr>
        <w:t>(</w:t>
      </w:r>
      <w:r>
        <w:rPr>
          <w:rFonts w:ascii="Times" w:hAnsi="Times"/>
          <w:rtl w:val="0"/>
          <w:lang w:val="en-US"/>
        </w:rPr>
        <w:t xml:space="preserve">London: Penguin </w:t>
      </w:r>
      <w:r>
        <w:rPr>
          <w:rFonts w:ascii="Times" w:cs="Times" w:hAnsi="Times" w:eastAsia="Times"/>
        </w:rPr>
        <w:tab/>
        <w:tab/>
        <w:tab/>
        <w:tab/>
        <w:tab/>
      </w:r>
      <w:r>
        <w:rPr>
          <w:rFonts w:ascii="Times" w:hAnsi="Times"/>
          <w:rtl w:val="0"/>
          <w:lang w:val="en-US"/>
        </w:rPr>
        <w:t>Books, 1978</w:t>
      </w:r>
      <w:r>
        <w:rPr>
          <w:rFonts w:ascii="Times" w:hAnsi="Times"/>
          <w:rtl w:val="0"/>
          <w:lang w:val="en-US"/>
        </w:rPr>
        <w:t>; 2nd ed., 1985),</w:t>
      </w:r>
      <w:r>
        <w:rPr>
          <w:rFonts w:ascii="Times" w:hAnsi="Times"/>
          <w:rtl w:val="0"/>
          <w:lang w:val="en-US"/>
        </w:rPr>
        <w:t xml:space="preserve"> J. Chadwick and W. N. Mann</w:t>
      </w:r>
      <w:r>
        <w:rPr>
          <w:rFonts w:ascii="Times" w:hAnsi="Times"/>
          <w:rtl w:val="0"/>
          <w:lang w:val="en-US"/>
        </w:rPr>
        <w:t xml:space="preserve"> (trans.), e-book.</w:t>
      </w:r>
    </w:p>
    <w:p>
      <w:pPr>
        <w:pStyle w:val="Footnote"/>
        <w:bidi w:val="0"/>
      </w:pPr>
    </w:p>
    <w:p>
      <w:pPr>
        <w:pStyle w:val="Footnote"/>
        <w:bidi w:val="0"/>
        <w:rPr>
          <w:rFonts w:ascii="Times" w:cs="Times" w:hAnsi="Times" w:eastAsia="Times"/>
        </w:rPr>
      </w:pPr>
      <w:r>
        <w:tab/>
      </w:r>
      <w:r>
        <w:rPr>
          <w:rFonts w:ascii="Times" w:hAnsi="Times" w:hint="default"/>
          <w:rtl w:val="0"/>
          <w:lang w:val="en-US"/>
        </w:rPr>
        <w:t xml:space="preserve">— </w:t>
      </w:r>
      <w:r>
        <w:rPr>
          <w:rFonts w:ascii="Times" w:hAnsi="Times"/>
          <w:i w:val="1"/>
          <w:iCs w:val="1"/>
          <w:rtl w:val="0"/>
          <w:lang w:val="en-US"/>
        </w:rPr>
        <w:t>Regimen IV (Dreams),</w:t>
      </w:r>
      <w:r>
        <w:rPr>
          <w:rFonts w:ascii="Times" w:hAnsi="Times"/>
          <w:rtl w:val="0"/>
          <w:lang w:val="en-US"/>
        </w:rPr>
        <w:t xml:space="preserve"> in </w:t>
      </w:r>
      <w:r>
        <w:rPr>
          <w:rFonts w:ascii="Times" w:hAnsi="Times"/>
          <w:rtl w:val="0"/>
          <w:lang w:val="en-US"/>
        </w:rPr>
        <w:t>G.E.R. Lloyd</w:t>
      </w:r>
      <w:r>
        <w:rPr>
          <w:rFonts w:ascii="Times" w:hAnsi="Times"/>
          <w:rtl w:val="0"/>
          <w:lang w:val="en-US"/>
        </w:rPr>
        <w:t xml:space="preserve"> (ed.),</w:t>
      </w:r>
      <w:r>
        <w:rPr>
          <w:rFonts w:ascii="Times" w:hAnsi="Times"/>
          <w:rtl w:val="0"/>
        </w:rPr>
        <w:t xml:space="preserve"> </w:t>
      </w:r>
      <w:r>
        <w:rPr>
          <w:rFonts w:ascii="Times" w:hAnsi="Times"/>
          <w:i w:val="1"/>
          <w:iCs w:val="1"/>
          <w:rtl w:val="0"/>
          <w:lang w:val="en-US"/>
        </w:rPr>
        <w:t>Hippocratic Writings</w:t>
      </w:r>
      <w:r>
        <w:rPr>
          <w:rFonts w:ascii="Times" w:hAnsi="Times"/>
          <w:rtl w:val="0"/>
        </w:rPr>
        <w:t xml:space="preserve">, </w:t>
      </w:r>
      <w:r>
        <w:rPr>
          <w:rFonts w:ascii="Times" w:hAnsi="Times"/>
          <w:rtl w:val="0"/>
          <w:lang w:val="en-US"/>
        </w:rPr>
        <w:t>(</w:t>
      </w:r>
      <w:r>
        <w:rPr>
          <w:rFonts w:ascii="Times" w:hAnsi="Times"/>
          <w:rtl w:val="0"/>
          <w:lang w:val="en-US"/>
        </w:rPr>
        <w:t xml:space="preserve">London: Penguin </w:t>
      </w:r>
      <w:r>
        <w:rPr>
          <w:rFonts w:ascii="Times" w:cs="Times" w:hAnsi="Times" w:eastAsia="Times"/>
        </w:rPr>
        <w:tab/>
        <w:tab/>
        <w:tab/>
        <w:tab/>
        <w:tab/>
      </w:r>
      <w:r>
        <w:rPr>
          <w:rFonts w:ascii="Times" w:hAnsi="Times"/>
          <w:rtl w:val="0"/>
          <w:lang w:val="en-US"/>
        </w:rPr>
        <w:t>Books, 1978</w:t>
      </w:r>
      <w:r>
        <w:rPr>
          <w:rFonts w:ascii="Times" w:hAnsi="Times"/>
          <w:rtl w:val="0"/>
          <w:lang w:val="en-US"/>
        </w:rPr>
        <w:t>; 2nd ed., 1985),</w:t>
      </w:r>
      <w:r>
        <w:rPr>
          <w:rFonts w:ascii="Times" w:hAnsi="Times"/>
          <w:rtl w:val="0"/>
          <w:lang w:val="en-US"/>
        </w:rPr>
        <w:t xml:space="preserve"> J. Chadwick and W. N. Mann</w:t>
      </w:r>
      <w:r>
        <w:rPr>
          <w:rFonts w:ascii="Times" w:hAnsi="Times"/>
          <w:rtl w:val="0"/>
          <w:lang w:val="en-US"/>
        </w:rPr>
        <w:t xml:space="preserve"> (trans.), e-book.</w:t>
      </w:r>
    </w:p>
    <w:p>
      <w:pPr>
        <w:pStyle w:val="Footnote"/>
        <w:bidi w:val="0"/>
        <w:rPr>
          <w:rFonts w:ascii="Times" w:cs="Times" w:hAnsi="Times" w:eastAsia="Times"/>
        </w:rPr>
      </w:pPr>
    </w:p>
    <w:p>
      <w:pPr>
        <w:pStyle w:val="Footnote"/>
        <w:bidi w:val="0"/>
        <w:rPr>
          <w:rFonts w:ascii="Times" w:cs="Times" w:hAnsi="Times" w:eastAsia="Times"/>
        </w:rPr>
      </w:pPr>
      <w:r>
        <w:rPr>
          <w:rFonts w:ascii="Times" w:hAnsi="Times"/>
          <w:rtl w:val="0"/>
          <w:lang w:val="en-US"/>
        </w:rPr>
        <w:t>Inscriptiones Graecae IV,</w:t>
      </w:r>
      <w:r>
        <w:rPr>
          <w:rFonts w:ascii="Times" w:hAnsi="Times"/>
          <w:i w:val="1"/>
          <w:iCs w:val="1"/>
          <w:rtl w:val="0"/>
          <w:lang w:val="en-US"/>
        </w:rPr>
        <w:t xml:space="preserve"> </w:t>
      </w:r>
      <w:r>
        <w:rPr>
          <w:rFonts w:ascii="Times" w:hAnsi="Times"/>
          <w:rtl w:val="0"/>
          <w:lang w:val="en-US"/>
        </w:rPr>
        <w:t xml:space="preserve">1 Nos. 121-2 in Longrigg, </w:t>
      </w:r>
      <w:r>
        <w:rPr>
          <w:rFonts w:ascii="Times" w:hAnsi="Times"/>
          <w:i w:val="1"/>
          <w:iCs w:val="1"/>
          <w:rtl w:val="0"/>
          <w:lang w:val="en-US"/>
        </w:rPr>
        <w:t xml:space="preserve">Greek Medicine: From the Heroic to the Hellenistic </w:t>
        <w:tab/>
        <w:tab/>
        <w:tab/>
        <w:t>Age, a Source Book</w:t>
      </w:r>
      <w:r>
        <w:rPr>
          <w:rFonts w:ascii="Times" w:hAnsi="Times"/>
          <w:rtl w:val="0"/>
          <w:lang w:val="en-US"/>
        </w:rPr>
        <w:t>, (New York: Routledge, 1998, 2nd ed. 2010), e-book, p. 11.</w:t>
      </w:r>
    </w:p>
    <w:p>
      <w:pPr>
        <w:pStyle w:val="Footnote"/>
        <w:bidi w:val="0"/>
        <w:rPr>
          <w:rFonts w:ascii="Times" w:cs="Times" w:hAnsi="Times" w:eastAsia="Times"/>
        </w:rPr>
      </w:pPr>
    </w:p>
    <w:p>
      <w:pPr>
        <w:pStyle w:val="Footnote"/>
        <w:rPr>
          <w:rFonts w:ascii="Times" w:cs="Times" w:hAnsi="Times" w:eastAsia="Times"/>
        </w:rPr>
      </w:pPr>
      <w:r>
        <w:rPr>
          <w:rFonts w:ascii="Times" w:hAnsi="Times"/>
          <w:rtl w:val="0"/>
          <w:lang w:val="en-US"/>
        </w:rPr>
        <w:t xml:space="preserve">Inscriptiones Graecae IV, 1, No. 126 in Edelstein, Book I, </w:t>
      </w:r>
      <w:r>
        <w:rPr>
          <w:rFonts w:ascii="Times" w:hAnsi="Times"/>
          <w:i w:val="1"/>
          <w:iCs w:val="1"/>
          <w:rtl w:val="0"/>
          <w:lang w:val="en-US"/>
        </w:rPr>
        <w:t xml:space="preserve">Asclepius: A Collection and Interpretation of </w:t>
        <w:tab/>
        <w:tab/>
        <w:tab/>
        <w:t>the Testimonies</w:t>
      </w:r>
      <w:r>
        <w:rPr>
          <w:rFonts w:ascii="Times" w:hAnsi="Times"/>
          <w:rtl w:val="0"/>
          <w:lang w:val="en-US"/>
        </w:rPr>
        <w:t xml:space="preserve">, </w:t>
      </w:r>
      <w:r>
        <w:rPr>
          <w:rFonts w:ascii="Times" w:hAnsi="Times"/>
          <w:rtl w:val="0"/>
          <w:lang w:val="en-US"/>
        </w:rPr>
        <w:t>(Baltimore: The Johns Hopkins Press, 1945)</w:t>
      </w:r>
      <w:r>
        <w:rPr>
          <w:rFonts w:ascii="Times" w:hAnsi="Times"/>
          <w:rtl w:val="0"/>
          <w:lang w:val="en-US"/>
        </w:rPr>
        <w:t>, p. 248.</w:t>
      </w:r>
    </w:p>
    <w:p>
      <w:pPr>
        <w:pStyle w:val="Footnote"/>
        <w:rPr>
          <w:rFonts w:ascii="Times" w:cs="Times" w:hAnsi="Times" w:eastAsia="Times"/>
        </w:rPr>
      </w:pPr>
    </w:p>
    <w:p>
      <w:pPr>
        <w:pStyle w:val="Footnote"/>
        <w:rPr>
          <w:rFonts w:ascii="Times" w:cs="Times" w:hAnsi="Times" w:eastAsia="Times"/>
        </w:rPr>
      </w:pPr>
      <w:r>
        <w:rPr>
          <w:rFonts w:ascii="Times" w:hAnsi="Times"/>
          <w:rtl w:val="0"/>
          <w:lang w:val="en-US"/>
        </w:rPr>
        <w:t xml:space="preserve">Marinus, </w:t>
      </w:r>
      <w:r>
        <w:rPr>
          <w:rFonts w:ascii="Times" w:hAnsi="Times"/>
          <w:i w:val="1"/>
          <w:iCs w:val="1"/>
          <w:rtl w:val="0"/>
          <w:lang w:val="en-US"/>
        </w:rPr>
        <w:t>Vita Procli,</w:t>
      </w:r>
      <w:r>
        <w:rPr>
          <w:rFonts w:ascii="Times" w:hAnsi="Times"/>
          <w:rtl w:val="0"/>
          <w:lang w:val="en-US"/>
        </w:rPr>
        <w:t xml:space="preserve"> Cp. 31 in Edelstein, Book I, </w:t>
      </w:r>
      <w:r>
        <w:rPr>
          <w:rFonts w:ascii="Times" w:hAnsi="Times"/>
          <w:i w:val="1"/>
          <w:iCs w:val="1"/>
          <w:rtl w:val="0"/>
          <w:lang w:val="en-US"/>
        </w:rPr>
        <w:t xml:space="preserve">Asclepius: A Collection and Interpretation of the </w:t>
        <w:tab/>
        <w:tab/>
        <w:tab/>
        <w:t>Testimonies</w:t>
      </w:r>
      <w:r>
        <w:rPr>
          <w:rFonts w:ascii="Times" w:hAnsi="Times"/>
          <w:rtl w:val="0"/>
          <w:lang w:val="en-US"/>
        </w:rPr>
        <w:t xml:space="preserve">, </w:t>
      </w:r>
      <w:r>
        <w:rPr>
          <w:rFonts w:ascii="Times" w:hAnsi="Times"/>
          <w:rtl w:val="0"/>
          <w:lang w:val="en-US"/>
        </w:rPr>
        <w:t>(Baltimore: The Johns Hopkins Press, 1945)</w:t>
      </w:r>
      <w:r>
        <w:rPr>
          <w:rFonts w:ascii="Times" w:hAnsi="Times"/>
          <w:rtl w:val="0"/>
          <w:lang w:val="en-US"/>
        </w:rPr>
        <w:t>, p. 257</w:t>
      </w:r>
    </w:p>
    <w:p>
      <w:pPr>
        <w:pStyle w:val="Footnote"/>
        <w:rPr>
          <w:rFonts w:ascii="Times" w:cs="Times" w:hAnsi="Times" w:eastAsia="Times"/>
        </w:rPr>
      </w:pPr>
    </w:p>
    <w:p>
      <w:pPr>
        <w:pStyle w:val="Footnote"/>
        <w:bidi w:val="0"/>
        <w:rPr>
          <w:rFonts w:ascii="Times" w:cs="Times" w:hAnsi="Times" w:eastAsia="Times"/>
        </w:rPr>
      </w:pPr>
      <w:r>
        <w:rPr>
          <w:rFonts w:ascii="Times" w:hAnsi="Times"/>
          <w:rtl w:val="0"/>
          <w:lang w:val="en-US"/>
        </w:rPr>
        <w:t xml:space="preserve">Palantine Anthology, VI. 330 in James Longrigg, </w:t>
      </w:r>
      <w:r>
        <w:rPr>
          <w:rFonts w:ascii="Times" w:hAnsi="Times"/>
          <w:i w:val="1"/>
          <w:iCs w:val="1"/>
          <w:rtl w:val="0"/>
          <w:lang w:val="en-US"/>
        </w:rPr>
        <w:t xml:space="preserve">Greek Medicine: From the Heroic to the Hellenistic </w:t>
        <w:tab/>
        <w:tab/>
        <w:tab/>
        <w:t xml:space="preserve">Age, a Source Book </w:t>
      </w:r>
      <w:r>
        <w:rPr>
          <w:rFonts w:ascii="Times" w:hAnsi="Times"/>
          <w:rtl w:val="0"/>
          <w:lang w:val="en-US"/>
        </w:rPr>
        <w:t>(New York: Routledge, 1998, 2nd ed. 2010), e-book, p. 10-11.</w:t>
      </w:r>
    </w:p>
    <w:p>
      <w:pPr>
        <w:pStyle w:val="Footnote"/>
        <w:bidi w:val="0"/>
        <w:rPr>
          <w:rFonts w:ascii="Times" w:cs="Times" w:hAnsi="Times" w:eastAsia="Times"/>
        </w:rPr>
      </w:pPr>
    </w:p>
    <w:p>
      <w:pPr>
        <w:pStyle w:val="Footnote"/>
        <w:bidi w:val="0"/>
        <w:rPr>
          <w:rFonts w:ascii="Times" w:cs="Times" w:hAnsi="Times" w:eastAsia="Times"/>
        </w:rPr>
      </w:pPr>
      <w:r>
        <w:rPr>
          <w:rFonts w:ascii="Times" w:hAnsi="Times"/>
          <w:rtl w:val="0"/>
          <w:lang w:val="en-US"/>
        </w:rPr>
        <w:t xml:space="preserve">PGM IV. 835-49, line 845 in Betz (eds.) </w:t>
      </w:r>
      <w:r>
        <w:rPr>
          <w:rFonts w:ascii="Times" w:hAnsi="Times"/>
          <w:i w:val="1"/>
          <w:iCs w:val="1"/>
          <w:rtl w:val="0"/>
          <w:lang w:val="en-US"/>
        </w:rPr>
        <w:t xml:space="preserve">The Greek Magical Papyri in Translation, including the </w:t>
        <w:tab/>
        <w:tab/>
        <w:tab/>
        <w:tab/>
        <w:t>Demiotic Spells</w:t>
      </w:r>
      <w:r>
        <w:rPr>
          <w:rFonts w:ascii="Times" w:hAnsi="Times"/>
          <w:rtl w:val="0"/>
          <w:lang w:val="en-US"/>
        </w:rPr>
        <w:t>, (Chicago: The University of Chicago Press, 1986), p. 54-55.</w:t>
      </w:r>
    </w:p>
    <w:p>
      <w:pPr>
        <w:pStyle w:val="Footnote"/>
        <w:bidi w:val="0"/>
        <w:rPr>
          <w:rFonts w:ascii="Times" w:cs="Times" w:hAnsi="Times" w:eastAsia="Times"/>
        </w:rPr>
      </w:pPr>
    </w:p>
    <w:p>
      <w:pPr>
        <w:pStyle w:val="Footnote"/>
        <w:bidi w:val="0"/>
        <w:rPr>
          <w:rFonts w:ascii="Times" w:cs="Times" w:hAnsi="Times" w:eastAsia="Times"/>
        </w:rPr>
      </w:pPr>
      <w:r>
        <w:rPr>
          <w:rFonts w:ascii="Times" w:hAnsi="Times"/>
          <w:rtl w:val="0"/>
          <w:lang w:val="en-US"/>
        </w:rPr>
        <w:t xml:space="preserve">PGM XXXVI. 320-32 in Betz (eds.) </w:t>
      </w:r>
      <w:r>
        <w:rPr>
          <w:rFonts w:ascii="Times" w:hAnsi="Times"/>
          <w:i w:val="1"/>
          <w:iCs w:val="1"/>
          <w:rtl w:val="0"/>
          <w:lang w:val="en-US"/>
        </w:rPr>
        <w:t xml:space="preserve">The Greek Magical Papyri in Translation, including the Demiotic </w:t>
        <w:tab/>
        <w:tab/>
        <w:tab/>
        <w:t>Spells,</w:t>
      </w:r>
      <w:r>
        <w:rPr>
          <w:rFonts w:ascii="Times" w:hAnsi="Times"/>
          <w:rtl w:val="0"/>
          <w:lang w:val="en-US"/>
        </w:rPr>
        <w:t xml:space="preserve"> (Chicago: The University of Chicago Press, 1986), p. 277.</w:t>
      </w:r>
    </w:p>
    <w:p>
      <w:pPr>
        <w:pStyle w:val="Footnote"/>
        <w:bidi w:val="0"/>
        <w:rPr>
          <w:rFonts w:ascii="Times" w:cs="Times" w:hAnsi="Times" w:eastAsia="Times"/>
        </w:rPr>
      </w:pPr>
    </w:p>
    <w:p>
      <w:pPr>
        <w:pStyle w:val="Footnote"/>
        <w:bidi w:val="0"/>
        <w:rPr>
          <w:rFonts w:ascii="Times" w:cs="Times" w:hAnsi="Times" w:eastAsia="Times"/>
        </w:rPr>
      </w:pPr>
      <w:r>
        <w:rPr>
          <w:rFonts w:ascii="Times" w:hAnsi="Times"/>
          <w:rtl w:val="0"/>
          <w:lang w:val="en-US"/>
        </w:rPr>
        <w:t xml:space="preserve">Ptolemy, Claudius, </w:t>
      </w:r>
      <w:r>
        <w:rPr>
          <w:rFonts w:ascii="Times" w:hAnsi="Times"/>
          <w:i w:val="1"/>
          <w:iCs w:val="1"/>
          <w:rtl w:val="0"/>
          <w:lang w:val="en-US"/>
        </w:rPr>
        <w:t>Tetrabiblos</w:t>
      </w:r>
      <w:r>
        <w:rPr>
          <w:rFonts w:ascii="Times" w:hAnsi="Times"/>
          <w:rtl w:val="0"/>
          <w:lang w:val="en-US"/>
        </w:rPr>
        <w:t xml:space="preserve">, trans. </w:t>
      </w:r>
      <w:r>
        <w:rPr>
          <w:rFonts w:ascii="Times" w:hAnsi="Times"/>
          <w:rtl w:val="0"/>
          <w:lang w:val="da-DK"/>
        </w:rPr>
        <w:t>F. E</w:t>
      </w:r>
      <w:r>
        <w:rPr>
          <w:rFonts w:ascii="Times" w:hAnsi="Times"/>
          <w:rtl w:val="0"/>
          <w:lang w:val="en-US"/>
        </w:rPr>
        <w:t xml:space="preserve"> Robbins, (</w:t>
      </w:r>
      <w:r>
        <w:rPr>
          <w:rFonts w:ascii="Times" w:hAnsi="Times"/>
          <w:rtl w:val="0"/>
          <w:lang w:val="en-US"/>
        </w:rPr>
        <w:t>Cambridge, MA: Harvard University Press</w:t>
      </w:r>
      <w:r>
        <w:rPr>
          <w:rFonts w:ascii="Times" w:hAnsi="Times"/>
          <w:rtl w:val="0"/>
          <w:lang w:val="en-US"/>
        </w:rPr>
        <w:t xml:space="preserve">), </w:t>
      </w:r>
      <w:r>
        <w:rPr>
          <w:rFonts w:ascii="Times" w:hAnsi="Times"/>
          <w:rtl w:val="0"/>
          <w:lang w:val="en-US"/>
        </w:rPr>
        <w:t xml:space="preserve">p. 55, </w:t>
        <w:tab/>
        <w:tab/>
        <w:tab/>
        <w:t>321.</w:t>
      </w:r>
    </w:p>
    <w:p>
      <w:pPr>
        <w:pStyle w:val="Footnote"/>
        <w:bidi w:val="0"/>
        <w:rPr>
          <w:rFonts w:ascii="Times" w:cs="Times" w:hAnsi="Times" w:eastAsia="Times"/>
        </w:rPr>
      </w:pPr>
    </w:p>
    <w:p>
      <w:pPr>
        <w:pStyle w:val="Footnote"/>
        <w:bidi w:val="0"/>
        <w:rPr>
          <w:rFonts w:ascii="Times" w:cs="Times" w:hAnsi="Times" w:eastAsia="Times"/>
          <w:lang w:val="en-US"/>
        </w:rPr>
      </w:pPr>
      <w:r>
        <w:rPr>
          <w:rFonts w:ascii="Times" w:hAnsi="Times"/>
          <w:rtl w:val="0"/>
          <w:lang w:val="en-US"/>
        </w:rPr>
        <w:t>Valens</w:t>
      </w:r>
      <w:r>
        <w:rPr>
          <w:rFonts w:ascii="Times" w:hAnsi="Times"/>
          <w:rtl w:val="0"/>
          <w:lang w:val="en-US"/>
        </w:rPr>
        <w:t>,</w:t>
      </w:r>
      <w:r>
        <w:rPr>
          <w:rFonts w:ascii="Times" w:hAnsi="Times"/>
          <w:rtl w:val="0"/>
          <w:lang w:val="en-US"/>
        </w:rPr>
        <w:t xml:space="preserve"> Vettius, </w:t>
      </w:r>
      <w:r>
        <w:rPr>
          <w:rFonts w:ascii="Times" w:hAnsi="Times"/>
          <w:i w:val="1"/>
          <w:iCs w:val="1"/>
          <w:rtl w:val="0"/>
          <w:lang w:val="en-US"/>
        </w:rPr>
        <w:t xml:space="preserve">Anthologies, </w:t>
      </w:r>
      <w:r>
        <w:rPr>
          <w:rFonts w:ascii="Times" w:hAnsi="Times"/>
          <w:rtl w:val="0"/>
          <w:lang w:val="en-US"/>
        </w:rPr>
        <w:t>t</w:t>
      </w:r>
      <w:r>
        <w:rPr>
          <w:rFonts w:ascii="Times" w:hAnsi="Times"/>
          <w:rtl w:val="0"/>
          <w:lang w:val="en-US"/>
        </w:rPr>
        <w:t>rans. Riley M.T.</w:t>
      </w:r>
      <w:r>
        <w:rPr>
          <w:rFonts w:ascii="Times" w:hAnsi="Times"/>
          <w:rtl w:val="0"/>
          <w:lang w:val="en-US"/>
        </w:rPr>
        <w:t xml:space="preserve">, (Sacramento: </w:t>
      </w:r>
      <w:r>
        <w:rPr>
          <w:rFonts w:ascii="Times" w:hAnsi="Times"/>
          <w:rtl w:val="0"/>
          <w:lang w:val="en-US"/>
        </w:rPr>
        <w:t>Sacramento State University</w:t>
      </w:r>
      <w:r>
        <w:rPr>
          <w:rFonts w:ascii="Times" w:hAnsi="Times"/>
          <w:rtl w:val="0"/>
          <w:lang w:val="en-US"/>
        </w:rPr>
        <w:t xml:space="preserve">, 2010), </w:t>
        <w:tab/>
        <w:tab/>
        <w:tab/>
      </w:r>
      <w:r>
        <w:rPr>
          <w:rFonts w:ascii="Times" w:hAnsi="Times"/>
          <w:rtl w:val="0"/>
          <w:lang w:val="en-US"/>
        </w:rPr>
        <w:t>published online</w:t>
      </w:r>
      <w:r>
        <w:rPr>
          <w:rFonts w:ascii="Times" w:hAnsi="Times"/>
          <w:rtl w:val="0"/>
          <w:lang w:val="en-US"/>
        </w:rPr>
        <w:t>.</w:t>
      </w:r>
    </w:p>
    <w:p>
      <w:pPr>
        <w:pStyle w:val="Footnote"/>
        <w:bidi w:val="0"/>
        <w:rPr>
          <w:rFonts w:ascii="Times" w:cs="Times" w:hAnsi="Times" w:eastAsia="Times"/>
          <w:lang w:val="en-US"/>
        </w:rPr>
      </w:pPr>
    </w:p>
    <w:p>
      <w:pPr>
        <w:pStyle w:val="Footnote"/>
        <w:bidi w:val="0"/>
        <w:rPr>
          <w:rFonts w:ascii="Times" w:cs="Times" w:hAnsi="Times" w:eastAsia="Times"/>
        </w:rPr>
      </w:pPr>
    </w:p>
    <w:p>
      <w:pPr>
        <w:pStyle w:val="Footnote"/>
        <w:bidi w:val="0"/>
      </w:pPr>
    </w:p>
    <w:p>
      <w:pPr>
        <w:pStyle w:val="Body"/>
        <w:spacing w:line="480" w:lineRule="auto"/>
        <w:rPr>
          <w:rFonts w:ascii="Times" w:cs="Times" w:hAnsi="Times" w:eastAsia="Times"/>
          <w:b w:val="1"/>
          <w:bCs w:val="1"/>
          <w:sz w:val="24"/>
          <w:szCs w:val="24"/>
        </w:rPr>
      </w:pPr>
      <w:r>
        <w:rPr>
          <w:rFonts w:ascii="Times" w:hAnsi="Times"/>
          <w:b w:val="1"/>
          <w:bCs w:val="1"/>
          <w:sz w:val="24"/>
          <w:szCs w:val="24"/>
          <w:rtl w:val="0"/>
          <w:lang w:val="en-US"/>
        </w:rPr>
        <w:t>Secondary Sources</w:t>
      </w:r>
    </w:p>
    <w:p>
      <w:pPr>
        <w:pStyle w:val="Body"/>
        <w:spacing w:line="480" w:lineRule="auto"/>
        <w:rPr>
          <w:rFonts w:ascii="Times" w:cs="Times" w:hAnsi="Times" w:eastAsia="Times"/>
          <w:sz w:val="24"/>
          <w:szCs w:val="24"/>
        </w:rPr>
      </w:pPr>
      <w:r>
        <w:rPr>
          <w:rFonts w:ascii="Times" w:hAnsi="Times"/>
          <w:sz w:val="24"/>
          <w:szCs w:val="24"/>
          <w:rtl w:val="0"/>
          <w:lang w:val="en-US"/>
        </w:rPr>
        <w:t xml:space="preserve">Barton, Tamsyn </w:t>
      </w:r>
      <w:r>
        <w:rPr>
          <w:rFonts w:ascii="Times" w:hAnsi="Times"/>
          <w:i w:val="1"/>
          <w:iCs w:val="1"/>
          <w:sz w:val="24"/>
          <w:szCs w:val="24"/>
          <w:rtl w:val="0"/>
          <w:lang w:val="en-US"/>
        </w:rPr>
        <w:t>Ancient Astrology</w:t>
      </w:r>
      <w:r>
        <w:rPr>
          <w:rFonts w:ascii="Times" w:hAnsi="Times"/>
          <w:sz w:val="24"/>
          <w:szCs w:val="24"/>
          <w:rtl w:val="0"/>
          <w:lang w:val="en-US"/>
        </w:rPr>
        <w:t>, (New York: Routledge, 1994; 2nd ed, 2003), e-book.</w:t>
      </w:r>
    </w:p>
    <w:p>
      <w:pPr>
        <w:pStyle w:val="Footnote"/>
        <w:bidi w:val="0"/>
        <w:rPr>
          <w:rFonts w:ascii="Times" w:cs="Times" w:hAnsi="Times" w:eastAsia="Times"/>
        </w:rPr>
      </w:pPr>
      <w:r>
        <w:rPr>
          <w:rFonts w:ascii="Times" w:hAnsi="Times"/>
          <w:rtl w:val="0"/>
          <w:lang w:val="en-US"/>
        </w:rPr>
        <w:t>Betz, Hans Dieter</w:t>
      </w:r>
      <w:r>
        <w:rPr>
          <w:rFonts w:ascii="Times" w:hAnsi="Times" w:hint="default"/>
          <w:rtl w:val="0"/>
          <w:lang w:val="en-US"/>
        </w:rPr>
        <w:t>‘</w:t>
      </w:r>
      <w:r>
        <w:rPr>
          <w:rFonts w:ascii="Times" w:hAnsi="Times"/>
          <w:rtl w:val="0"/>
          <w:lang w:val="en-US"/>
        </w:rPr>
        <w:t>Introduction to the Greek Magical Papyri,</w:t>
      </w:r>
      <w:r>
        <w:rPr>
          <w:rFonts w:ascii="Times" w:hAnsi="Times" w:hint="default"/>
          <w:rtl w:val="0"/>
          <w:lang w:val="en-US"/>
        </w:rPr>
        <w:t xml:space="preserve">’ </w:t>
      </w:r>
      <w:r>
        <w:rPr>
          <w:rFonts w:ascii="Times" w:hAnsi="Times"/>
          <w:i w:val="1"/>
          <w:iCs w:val="1"/>
          <w:rtl w:val="0"/>
          <w:lang w:val="en-US"/>
        </w:rPr>
        <w:t xml:space="preserve">The Greek Magical Papyri in Translation, </w:t>
        <w:tab/>
        <w:tab/>
        <w:tab/>
        <w:t>including the Demiotic Spells,</w:t>
      </w:r>
      <w:r>
        <w:rPr>
          <w:rFonts w:ascii="Times" w:hAnsi="Times"/>
          <w:rtl w:val="0"/>
          <w:lang w:val="en-US"/>
        </w:rPr>
        <w:t xml:space="preserve"> (Chicago: The University of Chicago Press, 1986).</w:t>
      </w:r>
    </w:p>
    <w:p>
      <w:pPr>
        <w:pStyle w:val="Footnote"/>
        <w:bidi w:val="0"/>
      </w:pPr>
    </w:p>
    <w:p>
      <w:pPr>
        <w:pStyle w:val="Footnote"/>
        <w:bidi w:val="0"/>
        <w:rPr>
          <w:rFonts w:ascii="Times" w:cs="Times" w:hAnsi="Times" w:eastAsia="Times"/>
        </w:rPr>
      </w:pPr>
      <w:r>
        <w:rPr>
          <w:rFonts w:ascii="Times" w:hAnsi="Times"/>
          <w:rtl w:val="0"/>
          <w:lang w:val="en-US"/>
        </w:rPr>
        <w:t xml:space="preserve">Collins, Derek, </w:t>
      </w:r>
      <w:r>
        <w:rPr>
          <w:rFonts w:ascii="Times" w:hAnsi="Times" w:hint="default"/>
          <w:rtl w:val="0"/>
          <w:lang w:val="en-US"/>
        </w:rPr>
        <w:t>’</w:t>
      </w:r>
      <w:r>
        <w:rPr>
          <w:rFonts w:ascii="Times" w:hAnsi="Times"/>
          <w:rtl w:val="0"/>
          <w:lang w:val="en-US"/>
        </w:rPr>
        <w:t>Nature, Cause, and Agency in Greek Magic,</w:t>
      </w:r>
      <w:r>
        <w:rPr>
          <w:rFonts w:ascii="Times" w:hAnsi="Times" w:hint="default"/>
          <w:rtl w:val="0"/>
          <w:lang w:val="en-US"/>
        </w:rPr>
        <w:t xml:space="preserve">’ </w:t>
      </w:r>
      <w:r>
        <w:rPr>
          <w:rFonts w:ascii="Times" w:hAnsi="Times"/>
          <w:i w:val="1"/>
          <w:iCs w:val="1"/>
          <w:rtl w:val="0"/>
          <w:lang w:val="en-US"/>
        </w:rPr>
        <w:t xml:space="preserve">Transactions of the American Philological </w:t>
        <w:tab/>
        <w:tab/>
        <w:tab/>
        <w:t>Association</w:t>
      </w:r>
      <w:r>
        <w:rPr>
          <w:rFonts w:ascii="Times" w:hAnsi="Times"/>
          <w:rtl w:val="0"/>
          <w:lang w:val="en-US"/>
        </w:rPr>
        <w:t>, Vol. 133, No. 1 (Spring, 2003).</w:t>
      </w:r>
    </w:p>
    <w:p>
      <w:pPr>
        <w:pStyle w:val="Footnote"/>
        <w:bidi w:val="0"/>
      </w:pPr>
    </w:p>
    <w:p>
      <w:pPr>
        <w:pStyle w:val="Footnote"/>
        <w:bidi w:val="0"/>
      </w:pPr>
      <w:r>
        <w:rPr>
          <w:rFonts w:ascii="Times" w:hAnsi="Times"/>
          <w:rtl w:val="0"/>
          <w:lang w:val="en-US"/>
        </w:rPr>
        <w:t xml:space="preserve">Dickie, Michael, </w:t>
      </w:r>
      <w:r>
        <w:rPr>
          <w:rFonts w:ascii="Times" w:hAnsi="Times"/>
          <w:i w:val="1"/>
          <w:iCs w:val="1"/>
          <w:rtl w:val="0"/>
          <w:lang w:val="en-US"/>
        </w:rPr>
        <w:t>Magic and Magicians in the Graeco-Roman World</w:t>
      </w:r>
      <w:r>
        <w:rPr>
          <w:rFonts w:ascii="Times" w:hAnsi="Times"/>
          <w:rtl w:val="0"/>
        </w:rPr>
        <w:t xml:space="preserve">, </w:t>
      </w:r>
      <w:r>
        <w:rPr>
          <w:rFonts w:ascii="Times" w:hAnsi="Times"/>
          <w:rtl w:val="0"/>
          <w:lang w:val="en-US"/>
        </w:rPr>
        <w:t>(</w:t>
      </w:r>
      <w:r>
        <w:rPr>
          <w:rFonts w:ascii="Times" w:hAnsi="Times"/>
          <w:rtl w:val="0"/>
          <w:lang w:val="en-US"/>
        </w:rPr>
        <w:t>London: Routledge, 2001</w:t>
      </w:r>
      <w:r>
        <w:rPr>
          <w:rFonts w:ascii="Times" w:hAnsi="Times"/>
          <w:rtl w:val="0"/>
          <w:lang w:val="en-US"/>
        </w:rPr>
        <w:t>), e-book.</w:t>
      </w:r>
    </w:p>
    <w:p>
      <w:pPr>
        <w:pStyle w:val="Footnote"/>
        <w:bidi w:val="0"/>
      </w:pPr>
    </w:p>
    <w:p>
      <w:pPr>
        <w:pStyle w:val="Footnote"/>
        <w:rPr>
          <w:rFonts w:ascii="Times" w:cs="Times" w:hAnsi="Times" w:eastAsia="Times"/>
        </w:rPr>
      </w:pPr>
      <w:r>
        <w:rPr>
          <w:rFonts w:ascii="Times" w:hAnsi="Times"/>
          <w:rtl w:val="0"/>
          <w:lang w:val="en-US"/>
        </w:rPr>
        <w:t xml:space="preserve">Edelstein, </w:t>
      </w:r>
      <w:r>
        <w:rPr>
          <w:rFonts w:ascii="Times" w:hAnsi="Times"/>
          <w:rtl w:val="0"/>
          <w:lang w:val="it-IT"/>
        </w:rPr>
        <w:t>Emma J.</w:t>
      </w:r>
      <w:r>
        <w:rPr>
          <w:rFonts w:ascii="Times" w:hAnsi="Times"/>
          <w:rtl w:val="0"/>
          <w:lang w:val="en-US"/>
        </w:rPr>
        <w:t xml:space="preserve"> and Ludwig Edelstein, </w:t>
      </w:r>
      <w:r>
        <w:rPr>
          <w:rFonts w:ascii="Times" w:hAnsi="Times"/>
          <w:i w:val="1"/>
          <w:iCs w:val="1"/>
          <w:rtl w:val="0"/>
          <w:lang w:val="en-US"/>
        </w:rPr>
        <w:t>Asclepius: A Collection and Interpretation of the Testimonies</w:t>
      </w:r>
      <w:r>
        <w:rPr>
          <w:rFonts w:ascii="Times" w:hAnsi="Times"/>
          <w:rtl w:val="0"/>
          <w:lang w:val="en-US"/>
        </w:rPr>
        <w:t xml:space="preserve">, </w:t>
        <w:tab/>
        <w:tab/>
        <w:tab/>
        <w:t>(Baltimore: The Johns Hopkins Press, 1945), p. xxv.</w:t>
      </w:r>
    </w:p>
    <w:p>
      <w:pPr>
        <w:pStyle w:val="Footnote"/>
        <w:rPr>
          <w:rFonts w:ascii="Times" w:cs="Times" w:hAnsi="Times" w:eastAsia="Times"/>
        </w:rPr>
      </w:pPr>
    </w:p>
    <w:p>
      <w:pPr>
        <w:pStyle w:val="Footnote"/>
        <w:bidi w:val="0"/>
      </w:pPr>
      <w:r>
        <w:rPr>
          <w:rFonts w:ascii="Times" w:hAnsi="Times"/>
          <w:rtl w:val="0"/>
          <w:lang w:val="en-US"/>
        </w:rPr>
        <w:t>Lambert,</w:t>
      </w:r>
      <w:r>
        <w:rPr>
          <w:rFonts w:cs="Arial Unicode MS" w:eastAsia="Arial Unicode MS"/>
          <w:rtl w:val="0"/>
        </w:rPr>
        <w:t xml:space="preserve"> </w:t>
      </w:r>
      <w:r>
        <w:rPr>
          <w:rFonts w:ascii="Times" w:hAnsi="Times"/>
          <w:rtl w:val="0"/>
          <w:lang w:val="en-US"/>
        </w:rPr>
        <w:t xml:space="preserve">Michael, </w:t>
      </w:r>
      <w:r>
        <w:rPr>
          <w:rFonts w:ascii="Times" w:hAnsi="Times" w:hint="default"/>
          <w:rtl w:val="0"/>
          <w:lang w:val="en-US"/>
        </w:rPr>
        <w:t>‘</w:t>
      </w:r>
      <w:r>
        <w:rPr>
          <w:rFonts w:ascii="Times" w:hAnsi="Times"/>
          <w:rtl w:val="0"/>
          <w:lang w:val="en-US"/>
        </w:rPr>
        <w:t>Ancient Greek and Traditional Zulu Medicine: A Question of Balance,</w:t>
      </w:r>
      <w:r>
        <w:rPr>
          <w:rFonts w:ascii="Times" w:hAnsi="Times" w:hint="default"/>
          <w:rtl w:val="0"/>
          <w:lang w:val="en-US"/>
        </w:rPr>
        <w:t xml:space="preserve">’ </w:t>
      </w:r>
      <w:r>
        <w:rPr>
          <w:rFonts w:ascii="Times" w:hAnsi="Times"/>
          <w:i w:val="1"/>
          <w:iCs w:val="1"/>
          <w:rtl w:val="0"/>
          <w:lang w:val="en-US"/>
        </w:rPr>
        <w:t>Acta Classica,</w:t>
      </w:r>
      <w:r>
        <w:rPr>
          <w:rFonts w:ascii="Times" w:hAnsi="Times"/>
          <w:rtl w:val="0"/>
          <w:lang w:val="en-US"/>
        </w:rPr>
        <w:t xml:space="preserve"> </w:t>
        <w:tab/>
        <w:t>Vol. 38, (1995).</w:t>
      </w:r>
    </w:p>
    <w:p>
      <w:pPr>
        <w:pStyle w:val="Footnote"/>
        <w:bidi w:val="0"/>
      </w:pPr>
    </w:p>
    <w:p>
      <w:pPr>
        <w:pStyle w:val="Footnote"/>
        <w:bidi w:val="0"/>
        <w:rPr>
          <w:rFonts w:ascii="Times" w:cs="Times" w:hAnsi="Times" w:eastAsia="Times"/>
        </w:rPr>
      </w:pPr>
      <w:r>
        <w:rPr>
          <w:rFonts w:ascii="Times" w:hAnsi="Times"/>
          <w:rtl w:val="0"/>
          <w:lang w:val="en-US"/>
        </w:rPr>
        <w:t xml:space="preserve">Loewe, Michael and Carmen Blacker, </w:t>
      </w:r>
      <w:r>
        <w:rPr>
          <w:rFonts w:ascii="Times" w:hAnsi="Times" w:hint="default"/>
          <w:rtl w:val="0"/>
          <w:lang w:val="en-US"/>
        </w:rPr>
        <w:t>‘</w:t>
      </w:r>
      <w:r>
        <w:rPr>
          <w:rFonts w:ascii="Times" w:hAnsi="Times"/>
          <w:rtl w:val="0"/>
          <w:lang w:val="en-US"/>
        </w:rPr>
        <w:t>Introduction,</w:t>
      </w:r>
      <w:r>
        <w:rPr>
          <w:rFonts w:ascii="Times" w:hAnsi="Times" w:hint="default"/>
          <w:rtl w:val="0"/>
          <w:lang w:val="en-US"/>
        </w:rPr>
        <w:t xml:space="preserve">’ </w:t>
      </w:r>
      <w:r>
        <w:rPr>
          <w:rFonts w:ascii="Times" w:hAnsi="Times"/>
          <w:rtl w:val="0"/>
          <w:lang w:val="en-US"/>
        </w:rPr>
        <w:t xml:space="preserve">in Michael Loewe and Carmen Blacker (eds.), </w:t>
        <w:tab/>
        <w:tab/>
        <w:tab/>
      </w:r>
      <w:r>
        <w:rPr>
          <w:rFonts w:ascii="Times" w:hAnsi="Times"/>
          <w:i w:val="1"/>
          <w:iCs w:val="1"/>
          <w:rtl w:val="0"/>
          <w:lang w:val="en-US"/>
        </w:rPr>
        <w:t>Divination and Oracles</w:t>
      </w:r>
      <w:r>
        <w:rPr>
          <w:rFonts w:ascii="Times" w:hAnsi="Times"/>
          <w:rtl w:val="0"/>
          <w:lang w:val="en-US"/>
        </w:rPr>
        <w:t xml:space="preserve">, (London: George Allen &amp; Unwin, 1981), p. 1. </w:t>
      </w:r>
    </w:p>
    <w:p>
      <w:pPr>
        <w:pStyle w:val="Footnote"/>
        <w:bidi w:val="0"/>
        <w:rPr>
          <w:rFonts w:ascii="Times" w:cs="Times" w:hAnsi="Times" w:eastAsia="Times"/>
        </w:rPr>
      </w:pPr>
    </w:p>
    <w:p>
      <w:pPr>
        <w:pStyle w:val="Footnote"/>
        <w:bidi w:val="0"/>
        <w:rPr>
          <w:rFonts w:ascii="Times" w:cs="Times" w:hAnsi="Times" w:eastAsia="Times"/>
        </w:rPr>
      </w:pPr>
      <w:r>
        <w:rPr>
          <w:rFonts w:ascii="Times" w:hAnsi="Times"/>
          <w:rtl w:val="0"/>
          <w:lang w:val="en-US"/>
        </w:rPr>
        <w:t xml:space="preserve">Nutton, Vivian, </w:t>
      </w:r>
      <w:r>
        <w:rPr>
          <w:rFonts w:ascii="Times" w:hAnsi="Times"/>
          <w:i w:val="1"/>
          <w:iCs w:val="1"/>
          <w:rtl w:val="0"/>
          <w:lang w:val="en-US"/>
        </w:rPr>
        <w:t>Ancient Medicine</w:t>
      </w:r>
      <w:r>
        <w:rPr>
          <w:rFonts w:ascii="Times" w:hAnsi="Times"/>
          <w:rtl w:val="0"/>
          <w:lang w:val="en-US"/>
        </w:rPr>
        <w:t>, (London: Routledge, 2004; 2nd ed. 2013), e-book.</w:t>
      </w:r>
    </w:p>
    <w:p>
      <w:pPr>
        <w:pStyle w:val="Footnote"/>
        <w:bidi w:val="0"/>
        <w:rPr>
          <w:rFonts w:ascii="Times" w:cs="Times" w:hAnsi="Times" w:eastAsia="Times"/>
        </w:rPr>
      </w:pPr>
      <w:r>
        <w:rPr>
          <w:rFonts w:ascii="Times" w:cs="Times" w:hAnsi="Times" w:eastAsia="Times"/>
          <w:rtl w:val="0"/>
          <w:lang w:val="en-US"/>
        </w:rPr>
        <w:tab/>
        <w:t>— ‘</w:t>
      </w:r>
      <w:r>
        <w:rPr>
          <w:rFonts w:ascii="Times" w:hAnsi="Times"/>
          <w:rtl w:val="0"/>
          <w:lang w:val="en-US"/>
        </w:rPr>
        <w:t>Greek Medical Astrology and the Boundaries of Medicine,</w:t>
      </w:r>
      <w:r>
        <w:rPr>
          <w:rFonts w:ascii="Times" w:hAnsi="Times" w:hint="default"/>
          <w:rtl w:val="0"/>
          <w:lang w:val="en-US"/>
        </w:rPr>
        <w:t xml:space="preserve">’ </w:t>
      </w:r>
      <w:r>
        <w:rPr>
          <w:rFonts w:ascii="Times" w:hAnsi="Times"/>
          <w:rtl w:val="0"/>
          <w:lang w:val="en-US"/>
        </w:rPr>
        <w:t xml:space="preserve">in Anna Akasoy, Charles Burnett </w:t>
        <w:tab/>
        <w:tab/>
        <w:tab/>
        <w:tab/>
        <w:t xml:space="preserve">and Ronit Yoeli-Tlalim (eds.), </w:t>
      </w:r>
      <w:r>
        <w:rPr>
          <w:rFonts w:ascii="Times" w:hAnsi="Times"/>
          <w:i w:val="1"/>
          <w:iCs w:val="1"/>
          <w:rtl w:val="0"/>
          <w:lang w:val="en-US"/>
        </w:rPr>
        <w:t xml:space="preserve">Astro-Medicine: Astrology and Medicine, East and West, </w:t>
        <w:tab/>
        <w:tab/>
        <w:tab/>
        <w:tab/>
      </w:r>
      <w:r>
        <w:rPr>
          <w:rFonts w:ascii="Times" w:hAnsi="Times"/>
          <w:rtl w:val="0"/>
          <w:lang w:val="en-US"/>
        </w:rPr>
        <w:t>(Florence: Sismel, Edizioni del Galluzzo, 2008).</w:t>
      </w:r>
    </w:p>
    <w:p>
      <w:pPr>
        <w:pStyle w:val="Footnote"/>
        <w:bidi w:val="0"/>
        <w:rPr>
          <w:rFonts w:ascii="Times" w:cs="Times" w:hAnsi="Times" w:eastAsia="Times"/>
        </w:rPr>
      </w:pPr>
    </w:p>
    <w:p>
      <w:pPr>
        <w:pStyle w:val="Footnote"/>
        <w:bidi w:val="0"/>
        <w:rPr>
          <w:rFonts w:ascii="Times" w:cs="Times" w:hAnsi="Times" w:eastAsia="Times"/>
        </w:rPr>
      </w:pPr>
      <w:r>
        <w:rPr>
          <w:rFonts w:ascii="Times" w:hAnsi="Times"/>
          <w:rtl w:val="0"/>
          <w:lang w:val="en-US"/>
        </w:rPr>
        <w:t xml:space="preserve">Pellegrino, Edmund </w:t>
      </w:r>
      <w:r>
        <w:rPr>
          <w:rFonts w:ascii="Times" w:hAnsi="Times" w:hint="default"/>
          <w:rtl w:val="0"/>
          <w:lang w:val="en-US"/>
        </w:rPr>
        <w:t>‘</w:t>
      </w:r>
      <w:r>
        <w:rPr>
          <w:rFonts w:ascii="Times" w:hAnsi="Times"/>
          <w:rtl w:val="0"/>
          <w:lang w:val="en-US"/>
        </w:rPr>
        <w:t>Medicine Today: Its Identity, Its Role, and the Role of Physicians,</w:t>
      </w:r>
      <w:r>
        <w:rPr>
          <w:rFonts w:ascii="Times" w:hAnsi="Times" w:hint="default"/>
          <w:rtl w:val="0"/>
          <w:lang w:val="en-US"/>
        </w:rPr>
        <w:t xml:space="preserve">’ </w:t>
      </w:r>
      <w:r>
        <w:rPr>
          <w:rFonts w:ascii="Times" w:hAnsi="Times"/>
          <w:rtl w:val="0"/>
          <w:lang w:val="en-US"/>
        </w:rPr>
        <w:t xml:space="preserve">in H. Tristram </w:t>
        <w:tab/>
        <w:tab/>
        <w:tab/>
        <w:t xml:space="preserve">Engelhardt Jr. and Fabrice Jotterand (eds.), </w:t>
      </w:r>
      <w:r>
        <w:rPr>
          <w:rFonts w:ascii="Times" w:hAnsi="Times"/>
          <w:i w:val="1"/>
          <w:iCs w:val="1"/>
          <w:rtl w:val="0"/>
          <w:lang w:val="en-US"/>
        </w:rPr>
        <w:t xml:space="preserve">The Philosophy of Medicine Reborn: A Pellegrino </w:t>
        <w:tab/>
        <w:tab/>
        <w:tab/>
        <w:t>Reader</w:t>
      </w:r>
      <w:r>
        <w:rPr>
          <w:rFonts w:ascii="Times" w:hAnsi="Times"/>
          <w:rtl w:val="0"/>
          <w:lang w:val="en-US"/>
        </w:rPr>
        <w:t>, (Notre Dame: University of Notre Dame Press, 2008), p. 127</w:t>
      </w:r>
    </w:p>
    <w:p>
      <w:pPr>
        <w:pStyle w:val="Footnote"/>
        <w:bidi w:val="0"/>
        <w:rPr>
          <w:rFonts w:ascii="Times" w:cs="Times" w:hAnsi="Times" w:eastAsia="Times"/>
        </w:rPr>
      </w:pPr>
    </w:p>
    <w:p>
      <w:pPr>
        <w:pStyle w:val="Footnote"/>
        <w:bidi w:val="0"/>
      </w:pPr>
      <w:r>
        <w:rPr>
          <w:rFonts w:ascii="Times" w:hAnsi="Times"/>
          <w:rtl w:val="0"/>
        </w:rPr>
        <w:t>Ustinova,</w:t>
      </w:r>
      <w:r>
        <w:rPr>
          <w:rFonts w:ascii="Times" w:hAnsi="Times"/>
          <w:rtl w:val="0"/>
          <w:lang w:val="en-US"/>
        </w:rPr>
        <w:t xml:space="preserve"> Yulia,</w:t>
      </w:r>
      <w:r>
        <w:rPr>
          <w:rFonts w:ascii="Times" w:hAnsi="Times"/>
          <w:rtl w:val="0"/>
        </w:rPr>
        <w:t xml:space="preserve"> </w:t>
      </w:r>
      <w:r>
        <w:rPr>
          <w:rFonts w:ascii="Times" w:hAnsi="Times" w:hint="default"/>
          <w:rtl w:val="0"/>
          <w:lang w:val="en-US"/>
        </w:rPr>
        <w:t>‘“</w:t>
      </w:r>
      <w:r>
        <w:rPr>
          <w:rFonts w:ascii="Times" w:hAnsi="Times"/>
          <w:rtl w:val="0"/>
          <w:lang w:val="en-US"/>
        </w:rPr>
        <w:t>Either a Daimon, or a Hero, or Perhaps a God:</w:t>
      </w:r>
      <w:r>
        <w:rPr>
          <w:rFonts w:ascii="Times" w:hAnsi="Times" w:hint="default"/>
          <w:rtl w:val="0"/>
        </w:rPr>
        <w:t xml:space="preserve">” </w:t>
      </w:r>
      <w:r>
        <w:rPr>
          <w:rFonts w:ascii="Times" w:hAnsi="Times"/>
          <w:rtl w:val="0"/>
          <w:lang w:val="en-US"/>
        </w:rPr>
        <w:t xml:space="preserve">Mythical Residents of Subterranean </w:t>
      </w:r>
      <w:r>
        <w:rPr>
          <w:rFonts w:ascii="Times" w:cs="Times" w:hAnsi="Times" w:eastAsia="Times"/>
        </w:rPr>
        <w:tab/>
        <w:tab/>
        <w:tab/>
      </w:r>
      <w:r>
        <w:rPr>
          <w:rFonts w:ascii="Times" w:hAnsi="Times"/>
          <w:rtl w:val="0"/>
          <w:lang w:val="en-US"/>
        </w:rPr>
        <w:t>Chambers,</w:t>
      </w:r>
      <w:r>
        <w:rPr>
          <w:rFonts w:ascii="Times" w:hAnsi="Times" w:hint="default"/>
          <w:rtl w:val="0"/>
          <w:lang w:val="en-US"/>
        </w:rPr>
        <w:t xml:space="preserve">’ </w:t>
      </w:r>
      <w:r>
        <w:rPr>
          <w:rFonts w:ascii="Times" w:hAnsi="Times"/>
          <w:i w:val="1"/>
          <w:iCs w:val="1"/>
          <w:rtl w:val="0"/>
          <w:lang w:val="pt-PT"/>
        </w:rPr>
        <w:t>Kernos</w:t>
      </w:r>
      <w:r>
        <w:rPr>
          <w:rFonts w:ascii="Times" w:hAnsi="Times"/>
          <w:rtl w:val="0"/>
          <w:lang w:val="en-US"/>
        </w:rPr>
        <w:t>, No.</w:t>
      </w:r>
      <w:r>
        <w:rPr>
          <w:rFonts w:ascii="Times" w:hAnsi="Times"/>
          <w:rtl w:val="0"/>
        </w:rPr>
        <w:t>15 (2002)</w:t>
      </w:r>
      <w:r>
        <w:rPr>
          <w:rFonts w:ascii="Times" w:hAnsi="Times"/>
          <w:rtl w:val="0"/>
          <w:lang w:val="en-US"/>
        </w:rPr>
        <w:t>.</w:t>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w:charset w:val="00"/>
    <w:family w:val="roman"/>
    <w:pitch w:val="default"/>
  </w:font>
  <w:font w:name="Georgia">
    <w:charset w:val="00"/>
    <w:family w:val="roman"/>
    <w:pitch w:val="default"/>
  </w:font>
  <w:font w:name="Cambri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rFonts w:ascii="Times" w:hAnsi="Times"/>
        <w:rtl w:val="0"/>
        <w:lang w:val="en-US"/>
      </w:rPr>
      <w:t xml:space="preserve">Robinson </w:t>
    </w:r>
    <w:r>
      <w:rPr>
        <w:rFonts w:ascii="Times" w:hAnsi="Times"/>
        <w:rtl w:val="0"/>
        <w:lang w:val="en-US"/>
      </w:rPr>
      <w:t>1806481</w:t>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 xml:space="preserve">Edmund Pellegrino, </w:t>
      </w:r>
      <w:r>
        <w:rPr>
          <w:rFonts w:ascii="Times" w:hAnsi="Times" w:hint="default"/>
          <w:rtl w:val="0"/>
          <w:lang w:val="en-US"/>
        </w:rPr>
        <w:t>‘</w:t>
      </w:r>
      <w:r>
        <w:rPr>
          <w:rFonts w:ascii="Times" w:hAnsi="Times"/>
          <w:rtl w:val="0"/>
          <w:lang w:val="en-US"/>
        </w:rPr>
        <w:t>Medicine Today: Its Identity, Its Role, and the Role of Physicians,</w:t>
      </w:r>
      <w:r>
        <w:rPr>
          <w:rFonts w:ascii="Times" w:hAnsi="Times" w:hint="default"/>
          <w:rtl w:val="0"/>
          <w:lang w:val="en-US"/>
        </w:rPr>
        <w:t xml:space="preserve">’ </w:t>
      </w:r>
      <w:r>
        <w:rPr>
          <w:rFonts w:ascii="Times" w:hAnsi="Times"/>
          <w:rtl w:val="0"/>
          <w:lang w:val="en-US"/>
        </w:rPr>
        <w:t xml:space="preserve">in H. Tristram Engelhardt Jr. and Fabrice Jotterand (eds.), </w:t>
      </w:r>
      <w:r>
        <w:rPr>
          <w:rFonts w:ascii="Times" w:hAnsi="Times"/>
          <w:i w:val="1"/>
          <w:iCs w:val="1"/>
          <w:rtl w:val="0"/>
          <w:lang w:val="en-US"/>
        </w:rPr>
        <w:t>The Philosophy of Medicine Reborn: A Pellegrino Reader</w:t>
      </w:r>
      <w:r>
        <w:rPr>
          <w:rFonts w:ascii="Times" w:hAnsi="Times"/>
          <w:rtl w:val="0"/>
          <w:lang w:val="en-US"/>
        </w:rPr>
        <w:t>, (Notre Dame: University of Notre Dame Press, 2008), p. 127</w:t>
      </w:r>
    </w:p>
  </w:footnote>
  <w:footnote w:id="2">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 xml:space="preserve">Vivian Nutton, </w:t>
      </w:r>
      <w:r>
        <w:rPr>
          <w:rFonts w:ascii="Times" w:hAnsi="Times"/>
          <w:i w:val="1"/>
          <w:iCs w:val="1"/>
          <w:rtl w:val="0"/>
          <w:lang w:val="en-US"/>
        </w:rPr>
        <w:t>Ancient Medicine</w:t>
      </w:r>
      <w:r>
        <w:rPr>
          <w:rFonts w:ascii="Times" w:hAnsi="Times"/>
          <w:rtl w:val="0"/>
          <w:lang w:val="en-US"/>
        </w:rPr>
        <w:t>, (London: Routledge, 2004; 2nd ed. 2013), e-book, p. 53,  63-65</w:t>
      </w:r>
    </w:p>
  </w:footnote>
  <w:footnote w:id="3">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Nutton, p.11-12</w:t>
      </w:r>
    </w:p>
  </w:footnote>
  <w:footnote w:id="4">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 xml:space="preserve">Michael Dickie, </w:t>
      </w:r>
      <w:r>
        <w:rPr>
          <w:rFonts w:ascii="Times" w:hAnsi="Times"/>
          <w:i w:val="1"/>
          <w:iCs w:val="1"/>
          <w:rtl w:val="0"/>
          <w:lang w:val="en-US"/>
        </w:rPr>
        <w:t>Magic and Magicians in the Graeco-Roman World</w:t>
      </w:r>
      <w:r>
        <w:rPr>
          <w:rFonts w:ascii="Times" w:hAnsi="Times"/>
          <w:rtl w:val="0"/>
        </w:rPr>
        <w:t xml:space="preserve">, </w:t>
      </w:r>
      <w:r>
        <w:rPr>
          <w:rFonts w:ascii="Times" w:hAnsi="Times"/>
          <w:rtl w:val="0"/>
          <w:lang w:val="en-US"/>
        </w:rPr>
        <w:t>(</w:t>
      </w:r>
      <w:r>
        <w:rPr>
          <w:rFonts w:ascii="Times" w:hAnsi="Times"/>
          <w:rtl w:val="0"/>
          <w:lang w:val="en-US"/>
        </w:rPr>
        <w:t>London: Routledge, 2001</w:t>
      </w:r>
      <w:r>
        <w:rPr>
          <w:rFonts w:ascii="Times" w:hAnsi="Times"/>
          <w:rtl w:val="0"/>
          <w:lang w:val="en-US"/>
        </w:rPr>
        <w:t>), e-book, p. 22</w:t>
      </w:r>
    </w:p>
  </w:footnote>
  <w:footnote w:id="5">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 xml:space="preserve">Michael Loewe and Carmen Blacker, </w:t>
      </w:r>
      <w:r>
        <w:rPr>
          <w:rFonts w:ascii="Times" w:hAnsi="Times" w:hint="default"/>
          <w:rtl w:val="0"/>
          <w:lang w:val="en-US"/>
        </w:rPr>
        <w:t>‘</w:t>
      </w:r>
      <w:r>
        <w:rPr>
          <w:rFonts w:ascii="Times" w:hAnsi="Times"/>
          <w:rtl w:val="0"/>
          <w:lang w:val="en-US"/>
        </w:rPr>
        <w:t>Introduction,</w:t>
      </w:r>
      <w:r>
        <w:rPr>
          <w:rFonts w:ascii="Times" w:hAnsi="Times" w:hint="default"/>
          <w:rtl w:val="0"/>
          <w:lang w:val="en-US"/>
        </w:rPr>
        <w:t xml:space="preserve">’ </w:t>
      </w:r>
      <w:r>
        <w:rPr>
          <w:rFonts w:ascii="Times" w:hAnsi="Times"/>
          <w:rtl w:val="0"/>
          <w:lang w:val="en-US"/>
        </w:rPr>
        <w:t xml:space="preserve">in Michael Loewe and Carmen Blacker (eds.), </w:t>
      </w:r>
      <w:r>
        <w:rPr>
          <w:rFonts w:ascii="Times" w:hAnsi="Times"/>
          <w:i w:val="1"/>
          <w:iCs w:val="1"/>
          <w:rtl w:val="0"/>
          <w:lang w:val="en-US"/>
        </w:rPr>
        <w:t>Divination and Oracles</w:t>
      </w:r>
      <w:r>
        <w:rPr>
          <w:rFonts w:ascii="Times" w:hAnsi="Times"/>
          <w:rtl w:val="0"/>
          <w:lang w:val="en-US"/>
        </w:rPr>
        <w:t>, (London: George Allen &amp; Unwin, 1981), p. 1</w:t>
      </w:r>
    </w:p>
  </w:footnote>
  <w:footnote w:id="6">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 xml:space="preserve">Yulia </w:t>
      </w:r>
      <w:r>
        <w:rPr>
          <w:rFonts w:ascii="Times" w:hAnsi="Times"/>
          <w:rtl w:val="0"/>
        </w:rPr>
        <w:t xml:space="preserve">Ustinova, </w:t>
      </w:r>
      <w:r>
        <w:rPr>
          <w:rFonts w:ascii="Times" w:hAnsi="Times" w:hint="default"/>
          <w:rtl w:val="0"/>
          <w:lang w:val="en-US"/>
        </w:rPr>
        <w:t>‘“</w:t>
      </w:r>
      <w:r>
        <w:rPr>
          <w:rFonts w:ascii="Times" w:hAnsi="Times"/>
          <w:rtl w:val="0"/>
          <w:lang w:val="en-US"/>
        </w:rPr>
        <w:t>Either a Daimon, or a Hero, or Perhaps a God:</w:t>
      </w:r>
      <w:r>
        <w:rPr>
          <w:rFonts w:ascii="Times" w:hAnsi="Times" w:hint="default"/>
          <w:rtl w:val="0"/>
        </w:rPr>
        <w:t xml:space="preserve">” </w:t>
      </w:r>
      <w:r>
        <w:rPr>
          <w:rFonts w:ascii="Times" w:hAnsi="Times"/>
          <w:rtl w:val="0"/>
          <w:lang w:val="en-US"/>
        </w:rPr>
        <w:t>Mythical Residents of Subterranean Chambers,</w:t>
      </w:r>
      <w:r>
        <w:rPr>
          <w:rFonts w:ascii="Times" w:hAnsi="Times" w:hint="default"/>
          <w:rtl w:val="0"/>
          <w:lang w:val="en-US"/>
        </w:rPr>
        <w:t xml:space="preserve">’ </w:t>
      </w:r>
      <w:r>
        <w:rPr>
          <w:rFonts w:ascii="Times" w:hAnsi="Times"/>
          <w:i w:val="1"/>
          <w:iCs w:val="1"/>
          <w:rtl w:val="0"/>
          <w:lang w:val="pt-PT"/>
        </w:rPr>
        <w:t>Kernos</w:t>
      </w:r>
      <w:r>
        <w:rPr>
          <w:rFonts w:ascii="Times" w:hAnsi="Times"/>
          <w:rtl w:val="0"/>
          <w:lang w:val="en-US"/>
        </w:rPr>
        <w:t>, No.</w:t>
      </w:r>
      <w:r>
        <w:rPr>
          <w:rFonts w:ascii="Times" w:hAnsi="Times"/>
          <w:rtl w:val="0"/>
        </w:rPr>
        <w:t xml:space="preserve">15 (2002), </w:t>
      </w:r>
      <w:r>
        <w:rPr>
          <w:rFonts w:ascii="Times" w:hAnsi="Times"/>
          <w:rtl w:val="0"/>
          <w:lang w:val="en-US"/>
        </w:rPr>
        <w:t xml:space="preserve">p. </w:t>
      </w:r>
      <w:r>
        <w:rPr>
          <w:rFonts w:ascii="Times" w:hAnsi="Times"/>
          <w:rtl w:val="0"/>
        </w:rPr>
        <w:t>267</w:t>
      </w:r>
      <w:r>
        <w:rPr>
          <w:rFonts w:ascii="Times" w:hAnsi="Times"/>
          <w:rtl w:val="0"/>
          <w:lang w:val="en-US"/>
        </w:rPr>
        <w:t>, 274</w:t>
      </w:r>
    </w:p>
  </w:footnote>
  <w:footnote w:id="7">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Nutton, p. 103</w:t>
      </w:r>
    </w:p>
  </w:footnote>
  <w:footnote w:id="8">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Ustinova p.279-80, 283</w:t>
      </w:r>
    </w:p>
  </w:footnote>
  <w:footnote w:id="9">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 xml:space="preserve">Emma J. Edelstein and Ludwig Edelstein, </w:t>
      </w:r>
      <w:r>
        <w:rPr>
          <w:rFonts w:ascii="Times" w:hAnsi="Times" w:hint="default"/>
          <w:rtl w:val="0"/>
          <w:lang w:val="en-US"/>
        </w:rPr>
        <w:t>‘</w:t>
      </w:r>
      <w:r>
        <w:rPr>
          <w:rFonts w:ascii="Times" w:hAnsi="Times"/>
          <w:rtl w:val="0"/>
          <w:lang w:val="en-US"/>
        </w:rPr>
        <w:t>Preface,</w:t>
      </w:r>
      <w:r>
        <w:rPr>
          <w:rFonts w:ascii="Times" w:hAnsi="Times" w:hint="default"/>
          <w:rtl w:val="0"/>
          <w:lang w:val="en-US"/>
        </w:rPr>
        <w:t xml:space="preserve">’ </w:t>
      </w:r>
      <w:r>
        <w:rPr>
          <w:rFonts w:ascii="Times" w:hAnsi="Times"/>
          <w:i w:val="1"/>
          <w:iCs w:val="1"/>
          <w:rtl w:val="0"/>
          <w:lang w:val="en-US"/>
        </w:rPr>
        <w:t>Asclepius: A Collection and Interpretation of the Testimonies</w:t>
      </w:r>
      <w:r>
        <w:rPr>
          <w:rFonts w:ascii="Times" w:hAnsi="Times"/>
          <w:rtl w:val="0"/>
          <w:lang w:val="en-US"/>
        </w:rPr>
        <w:t>, (Baltimore: The Johns Hopkins Press, 1945), p. xi</w:t>
      </w:r>
    </w:p>
  </w:footnote>
  <w:footnote w:id="10">
    <w:p>
      <w:pPr>
        <w:pStyle w:val="Footnote"/>
        <w:bidi w:val="0"/>
      </w:pPr>
      <w:r>
        <w:rPr>
          <w:vertAlign w:val="superscript"/>
        </w:rPr>
        <w:footnoteRef/>
      </w:r>
      <w:r>
        <w:rPr>
          <w:rFonts w:ascii="Times" w:hAnsi="Times"/>
          <w:rtl w:val="0"/>
        </w:rPr>
        <w:t xml:space="preserve"> </w:t>
      </w:r>
      <w:r>
        <w:rPr>
          <w:rFonts w:ascii="Times" w:hAnsi="Times"/>
          <w:i w:val="1"/>
          <w:iCs w:val="1"/>
          <w:rtl w:val="0"/>
          <w:lang w:val="en-US"/>
        </w:rPr>
        <w:t>Palantine Anthology,</w:t>
      </w:r>
      <w:r>
        <w:rPr>
          <w:rFonts w:ascii="Times" w:hAnsi="Times"/>
          <w:rtl w:val="0"/>
          <w:lang w:val="en-US"/>
        </w:rPr>
        <w:t xml:space="preserve"> VI. 330 in James Longrigg, </w:t>
      </w:r>
      <w:r>
        <w:rPr>
          <w:rFonts w:ascii="Times" w:hAnsi="Times"/>
          <w:i w:val="1"/>
          <w:iCs w:val="1"/>
          <w:rtl w:val="0"/>
          <w:lang w:val="en-US"/>
        </w:rPr>
        <w:t xml:space="preserve">Greek Medicine: From the Heroic to the Hellenistic Age, a Source Book </w:t>
      </w:r>
      <w:r>
        <w:rPr>
          <w:rFonts w:ascii="Times" w:hAnsi="Times"/>
          <w:rtl w:val="0"/>
          <w:lang w:val="en-US"/>
        </w:rPr>
        <w:t>(New York: Routledge, 1998, 2nd ed. 2010), e-book, p. 10-11; Inscriptiones Graecae IV</w:t>
      </w:r>
      <w:r>
        <w:rPr>
          <w:rFonts w:ascii="Times" w:hAnsi="Times"/>
          <w:i w:val="1"/>
          <w:iCs w:val="1"/>
          <w:rtl w:val="0"/>
          <w:lang w:val="en-US"/>
        </w:rPr>
        <w:t xml:space="preserve">, </w:t>
      </w:r>
      <w:r>
        <w:rPr>
          <w:rFonts w:ascii="Times" w:hAnsi="Times"/>
          <w:rtl w:val="0"/>
          <w:lang w:val="en-US"/>
        </w:rPr>
        <w:t xml:space="preserve">1, Nos. 121-2 in Longrigg, </w:t>
      </w:r>
      <w:r>
        <w:rPr>
          <w:rFonts w:ascii="Times" w:hAnsi="Times"/>
          <w:i w:val="1"/>
          <w:iCs w:val="1"/>
          <w:rtl w:val="0"/>
          <w:lang w:val="en-US"/>
        </w:rPr>
        <w:t>Greek Medicine: From the Heroic to the Hellenistic Age, a Source Book</w:t>
      </w:r>
      <w:r>
        <w:rPr>
          <w:rFonts w:ascii="Times" w:hAnsi="Times"/>
          <w:rtl w:val="0"/>
          <w:lang w:val="en-US"/>
        </w:rPr>
        <w:t>, p. 10</w:t>
      </w:r>
    </w:p>
  </w:footnote>
  <w:footnote w:id="11">
    <w:p>
      <w:pPr>
        <w:pStyle w:val="Footnote"/>
      </w:pPr>
      <w:r>
        <w:rPr>
          <w:rFonts w:ascii="Times" w:cs="Times" w:hAnsi="Times" w:eastAsia="Times"/>
          <w:vertAlign w:val="superscript"/>
        </w:rPr>
        <w:footnoteRef/>
      </w:r>
      <w:r>
        <w:rPr>
          <w:rFonts w:ascii="Times" w:hAnsi="Times"/>
          <w:rtl w:val="0"/>
          <w:lang w:val="en-US"/>
        </w:rPr>
        <w:t xml:space="preserve"> Inscriptiones Graecae IV, 1, No. 126 in Edelstein, Book I, </w:t>
      </w:r>
      <w:r>
        <w:rPr>
          <w:rFonts w:ascii="Times" w:hAnsi="Times"/>
          <w:i w:val="1"/>
          <w:iCs w:val="1"/>
          <w:rtl w:val="0"/>
          <w:lang w:val="en-US"/>
        </w:rPr>
        <w:t>Asclepius: A Collection and Interpretation of the Testimonies</w:t>
      </w:r>
      <w:r>
        <w:rPr>
          <w:rFonts w:ascii="Times" w:hAnsi="Times"/>
          <w:rtl w:val="0"/>
          <w:lang w:val="en-US"/>
        </w:rPr>
        <w:t xml:space="preserve">, p. 248; Marinus, </w:t>
      </w:r>
      <w:r>
        <w:rPr>
          <w:rFonts w:ascii="Times" w:hAnsi="Times"/>
          <w:i w:val="1"/>
          <w:iCs w:val="1"/>
          <w:rtl w:val="0"/>
          <w:lang w:val="en-US"/>
        </w:rPr>
        <w:t>Vita Procli,</w:t>
      </w:r>
      <w:r>
        <w:rPr>
          <w:rFonts w:ascii="Times" w:hAnsi="Times"/>
          <w:rtl w:val="0"/>
          <w:lang w:val="en-US"/>
        </w:rPr>
        <w:t xml:space="preserve"> Cp. 31 in Edelstein, Book I, </w:t>
      </w:r>
      <w:r>
        <w:rPr>
          <w:rFonts w:ascii="Times" w:hAnsi="Times"/>
          <w:i w:val="1"/>
          <w:iCs w:val="1"/>
          <w:rtl w:val="0"/>
          <w:lang w:val="en-US"/>
        </w:rPr>
        <w:t>Asclepius: A Collection and Interpretation of the Testimonies</w:t>
      </w:r>
      <w:r>
        <w:rPr>
          <w:rFonts w:ascii="Times" w:hAnsi="Times"/>
          <w:rtl w:val="0"/>
          <w:lang w:val="en-US"/>
        </w:rPr>
        <w:t xml:space="preserve">, p. 257; Artemidorus, </w:t>
      </w:r>
      <w:r>
        <w:rPr>
          <w:rFonts w:ascii="Times" w:hAnsi="Times"/>
          <w:i w:val="1"/>
          <w:iCs w:val="1"/>
          <w:rtl w:val="0"/>
          <w:lang w:val="en-US"/>
        </w:rPr>
        <w:t>Onirocritica</w:t>
      </w:r>
      <w:r>
        <w:rPr>
          <w:rFonts w:ascii="Times" w:hAnsi="Times"/>
          <w:rtl w:val="0"/>
          <w:lang w:val="en-US"/>
        </w:rPr>
        <w:t xml:space="preserve">, II.33, V.89 in Edelstein, Book I, </w:t>
      </w:r>
      <w:r>
        <w:rPr>
          <w:rFonts w:ascii="Times" w:hAnsi="Times"/>
          <w:i w:val="1"/>
          <w:iCs w:val="1"/>
          <w:rtl w:val="0"/>
          <w:lang w:val="en-US"/>
        </w:rPr>
        <w:t>Asclepius: A Collection and Interpretation of the Testimonies</w:t>
      </w:r>
      <w:r>
        <w:rPr>
          <w:rFonts w:ascii="Times" w:hAnsi="Times"/>
          <w:rtl w:val="0"/>
          <w:lang w:val="en-US"/>
        </w:rPr>
        <w:t>, p. 259-260</w:t>
      </w:r>
    </w:p>
  </w:footnote>
  <w:footnote w:id="12">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Edelstein,  Book II, p. 144, 152-153</w:t>
      </w:r>
    </w:p>
  </w:footnote>
  <w:footnote w:id="13">
    <w:p>
      <w:pPr>
        <w:pStyle w:val="Footnote"/>
        <w:bidi w:val="0"/>
      </w:pPr>
      <w:r>
        <w:rPr>
          <w:vertAlign w:val="superscript"/>
        </w:rPr>
        <w:footnoteRef/>
      </w:r>
      <w:r>
        <w:rPr>
          <w:rFonts w:ascii="Times" w:hAnsi="Times"/>
          <w:rtl w:val="0"/>
        </w:rPr>
        <w:t xml:space="preserve"> </w:t>
      </w:r>
      <w:r>
        <w:rPr>
          <w:rFonts w:ascii="Times" w:hAnsi="Times"/>
          <w:rtl w:val="0"/>
          <w:lang w:val="en-US"/>
        </w:rPr>
        <w:t xml:space="preserve">Derek Collins, </w:t>
      </w:r>
      <w:r>
        <w:rPr>
          <w:rFonts w:ascii="Times" w:hAnsi="Times" w:hint="default"/>
          <w:rtl w:val="0"/>
          <w:lang w:val="en-US"/>
        </w:rPr>
        <w:t>‘</w:t>
      </w:r>
      <w:r>
        <w:rPr>
          <w:rFonts w:ascii="Times" w:hAnsi="Times"/>
          <w:rtl w:val="0"/>
          <w:lang w:val="en-US"/>
        </w:rPr>
        <w:t>Nature, Cause, and Agency in Greek Magic,</w:t>
      </w:r>
      <w:r>
        <w:rPr>
          <w:rFonts w:ascii="Times" w:hAnsi="Times" w:hint="default"/>
          <w:rtl w:val="0"/>
          <w:lang w:val="en-US"/>
        </w:rPr>
        <w:t xml:space="preserve">’ </w:t>
      </w:r>
      <w:r>
        <w:rPr>
          <w:rFonts w:ascii="Times" w:hAnsi="Times"/>
          <w:i w:val="1"/>
          <w:iCs w:val="1"/>
          <w:rtl w:val="0"/>
          <w:lang w:val="en-US"/>
        </w:rPr>
        <w:t>Transactions of the American Philological Association</w:t>
      </w:r>
      <w:r>
        <w:rPr>
          <w:rFonts w:ascii="Times" w:hAnsi="Times"/>
          <w:rtl w:val="0"/>
          <w:lang w:val="en-US"/>
        </w:rPr>
        <w:t>, Vol. 133, No. 1 (Spring, 2003), p. 28</w:t>
      </w:r>
    </w:p>
  </w:footnote>
  <w:footnote w:id="14">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 xml:space="preserve">Vivian Nutton, </w:t>
      </w:r>
      <w:r>
        <w:rPr>
          <w:rFonts w:ascii="Times" w:hAnsi="Times" w:hint="default"/>
          <w:rtl w:val="0"/>
          <w:lang w:val="en-US"/>
        </w:rPr>
        <w:t>‘</w:t>
      </w:r>
      <w:r>
        <w:rPr>
          <w:rFonts w:ascii="Times" w:hAnsi="Times"/>
          <w:rtl w:val="0"/>
          <w:lang w:val="en-US"/>
        </w:rPr>
        <w:t>Greek Medical Astrology and the Boundaries of Medicine,</w:t>
      </w:r>
      <w:r>
        <w:rPr>
          <w:rFonts w:ascii="Times" w:hAnsi="Times" w:hint="default"/>
          <w:rtl w:val="0"/>
          <w:lang w:val="en-US"/>
        </w:rPr>
        <w:t xml:space="preserve">’ </w:t>
      </w:r>
      <w:r>
        <w:rPr>
          <w:rFonts w:ascii="Times" w:hAnsi="Times"/>
          <w:rtl w:val="0"/>
          <w:lang w:val="en-US"/>
        </w:rPr>
        <w:t xml:space="preserve">in Anna Akasoy, Charles Burnett and Ronit Yoeli-Tlalim (eds.), </w:t>
      </w:r>
      <w:r>
        <w:rPr>
          <w:rFonts w:ascii="Times" w:hAnsi="Times"/>
          <w:i w:val="1"/>
          <w:iCs w:val="1"/>
          <w:rtl w:val="0"/>
          <w:lang w:val="en-US"/>
        </w:rPr>
        <w:t>Astro-Medicine: Astrology and Medicine, East and West,</w:t>
      </w:r>
      <w:r>
        <w:rPr>
          <w:rFonts w:ascii="Times" w:hAnsi="Times"/>
          <w:rtl w:val="0"/>
          <w:lang w:val="en-US"/>
        </w:rPr>
        <w:t xml:space="preserve"> (Florence: Sismel, Edizioni del Galluzzo, 2008), p.19</w:t>
      </w:r>
    </w:p>
  </w:footnote>
  <w:footnote w:id="15">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 xml:space="preserve">Dorotheus of Sidon, </w:t>
      </w:r>
      <w:r>
        <w:rPr>
          <w:rFonts w:ascii="Times" w:hAnsi="Times"/>
          <w:i w:val="1"/>
          <w:iCs w:val="1"/>
          <w:rtl w:val="0"/>
          <w:lang w:val="en-US"/>
        </w:rPr>
        <w:t>Carmen Astrologicum</w:t>
      </w:r>
      <w:r>
        <w:rPr>
          <w:rFonts w:ascii="Times" w:hAnsi="Times"/>
          <w:rtl w:val="0"/>
          <w:lang w:val="en-US"/>
        </w:rPr>
        <w:t>, trans. David Pingree, (Bel Air, MD: Astrology Classics, 2005), e-book, Book V, Ch. 29, 31, 41, p. 119-120, 142-147</w:t>
      </w:r>
    </w:p>
  </w:footnote>
  <w:footnote w:id="16">
    <w:p>
      <w:pPr>
        <w:pStyle w:val="Footnote"/>
        <w:bidi w:val="0"/>
      </w:pPr>
      <w:r>
        <w:rPr>
          <w:vertAlign w:val="superscript"/>
        </w:rPr>
        <w:footnoteRef/>
      </w:r>
      <w:r>
        <w:rPr>
          <w:rFonts w:ascii="Times" w:hAnsi="Times"/>
          <w:rtl w:val="0"/>
        </w:rPr>
        <w:t xml:space="preserve"> </w:t>
      </w:r>
      <w:r>
        <w:rPr>
          <w:rFonts w:ascii="Times" w:hAnsi="Times"/>
          <w:rtl w:val="0"/>
          <w:lang w:val="en-US"/>
        </w:rPr>
        <w:t>Vettius Valens</w:t>
      </w:r>
      <w:r>
        <w:rPr>
          <w:rFonts w:ascii="Times" w:hAnsi="Times"/>
          <w:rtl w:val="0"/>
          <w:lang w:val="en-US"/>
        </w:rPr>
        <w:t xml:space="preserve">, </w:t>
      </w:r>
      <w:r>
        <w:rPr>
          <w:rFonts w:ascii="Times" w:hAnsi="Times"/>
          <w:i w:val="1"/>
          <w:iCs w:val="1"/>
          <w:rtl w:val="0"/>
          <w:lang w:val="en-US"/>
        </w:rPr>
        <w:t xml:space="preserve">Anthologies, </w:t>
      </w:r>
      <w:r>
        <w:rPr>
          <w:rFonts w:ascii="Times" w:hAnsi="Times"/>
          <w:rtl w:val="0"/>
          <w:lang w:val="en-US"/>
        </w:rPr>
        <w:t>t</w:t>
      </w:r>
      <w:r>
        <w:rPr>
          <w:rFonts w:ascii="Times" w:hAnsi="Times"/>
          <w:rtl w:val="0"/>
          <w:lang w:val="en-US"/>
        </w:rPr>
        <w:t>rans. Riley M.T.</w:t>
      </w:r>
      <w:r>
        <w:rPr>
          <w:rFonts w:ascii="Times" w:hAnsi="Times"/>
          <w:rtl w:val="0"/>
          <w:lang w:val="en-US"/>
        </w:rPr>
        <w:t xml:space="preserve">, (Sacramento: </w:t>
      </w:r>
      <w:r>
        <w:rPr>
          <w:rFonts w:ascii="Times" w:hAnsi="Times"/>
          <w:rtl w:val="0"/>
          <w:lang w:val="en-US"/>
        </w:rPr>
        <w:t>Sacramento State University</w:t>
      </w:r>
      <w:r>
        <w:rPr>
          <w:rFonts w:ascii="Times" w:hAnsi="Times"/>
          <w:rtl w:val="0"/>
          <w:lang w:val="en-US"/>
        </w:rPr>
        <w:t xml:space="preserve">, 2010), </w:t>
      </w:r>
      <w:r>
        <w:rPr>
          <w:rFonts w:ascii="Times" w:hAnsi="Times"/>
          <w:rtl w:val="0"/>
          <w:lang w:val="en-US"/>
        </w:rPr>
        <w:t>published online,</w:t>
      </w:r>
      <w:r>
        <w:rPr>
          <w:rFonts w:ascii="Times" w:hAnsi="Times"/>
          <w:i w:val="1"/>
          <w:iCs w:val="1"/>
          <w:rtl w:val="0"/>
          <w:lang w:val="en-US"/>
        </w:rPr>
        <w:t xml:space="preserve"> </w:t>
      </w:r>
      <w:r>
        <w:rPr>
          <w:rFonts w:ascii="Times" w:hAnsi="Times"/>
          <w:rtl w:val="0"/>
          <w:lang w:val="en-US"/>
        </w:rPr>
        <w:t>Book VIII, Sec. 8K/9P, p. 149, Book IX, Sec. 5K/6P, p. 155-156</w:t>
      </w:r>
    </w:p>
  </w:footnote>
  <w:footnote w:id="17">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 xml:space="preserve">Tamsyn Barton, </w:t>
      </w:r>
      <w:r>
        <w:rPr>
          <w:rFonts w:ascii="Times" w:hAnsi="Times"/>
          <w:i w:val="1"/>
          <w:iCs w:val="1"/>
          <w:rtl w:val="0"/>
          <w:lang w:val="en-US"/>
        </w:rPr>
        <w:t>Ancient Astrology</w:t>
      </w:r>
      <w:r>
        <w:rPr>
          <w:rFonts w:ascii="Times" w:hAnsi="Times"/>
          <w:rtl w:val="0"/>
          <w:lang w:val="en-US"/>
        </w:rPr>
        <w:t>, (New York: Routledge, 1994; 2nd ed, 2003), e-book, p. 19; Dorotheus, Book V, Ch. 41, p. 142</w:t>
      </w:r>
    </w:p>
  </w:footnote>
  <w:footnote w:id="18">
    <w:p>
      <w:pPr>
        <w:pStyle w:val="Footnote"/>
        <w:bidi w:val="0"/>
        <w:rPr>
          <w:rFonts w:ascii="Times" w:cs="Times" w:hAnsi="Times" w:eastAsia="Times"/>
        </w:rPr>
      </w:pPr>
      <w:r>
        <w:rPr>
          <w:vertAlign w:val="superscript"/>
        </w:rPr>
        <w:footnoteRef/>
      </w:r>
      <w:r>
        <w:rPr>
          <w:rFonts w:cs="Arial Unicode MS" w:eastAsia="Arial Unicode MS"/>
          <w:rtl w:val="0"/>
        </w:rPr>
        <w:t xml:space="preserve"> </w:t>
      </w:r>
      <w:r>
        <w:rPr>
          <w:rFonts w:ascii="Times" w:hAnsi="Times"/>
          <w:rtl w:val="0"/>
          <w:lang w:val="en-US"/>
        </w:rPr>
        <w:t xml:space="preserve">Hans Dieter Betz, </w:t>
      </w:r>
      <w:r>
        <w:rPr>
          <w:rFonts w:ascii="Times" w:hAnsi="Times" w:hint="default"/>
          <w:rtl w:val="0"/>
          <w:lang w:val="en-US"/>
        </w:rPr>
        <w:t>‘</w:t>
      </w:r>
      <w:r>
        <w:rPr>
          <w:rFonts w:ascii="Times" w:hAnsi="Times"/>
          <w:rtl w:val="0"/>
          <w:lang w:val="en-US"/>
        </w:rPr>
        <w:t>Introduction to the Greek Magical Papyri,</w:t>
      </w:r>
      <w:r>
        <w:rPr>
          <w:rFonts w:ascii="Times" w:hAnsi="Times" w:hint="default"/>
          <w:rtl w:val="0"/>
          <w:lang w:val="en-US"/>
        </w:rPr>
        <w:t xml:space="preserve">’ </w:t>
      </w:r>
      <w:r>
        <w:rPr>
          <w:rFonts w:ascii="Times" w:hAnsi="Times"/>
          <w:i w:val="1"/>
          <w:iCs w:val="1"/>
          <w:rtl w:val="0"/>
          <w:lang w:val="en-US"/>
        </w:rPr>
        <w:t>The Greek Magical Papyri in Translation, including the Demiotic Spells,</w:t>
      </w:r>
      <w:r>
        <w:rPr>
          <w:rFonts w:ascii="Times" w:hAnsi="Times"/>
          <w:rtl w:val="0"/>
          <w:lang w:val="en-US"/>
        </w:rPr>
        <w:t xml:space="preserve"> (Chicago: The University of Chicago Press, 1986), p. xli; </w:t>
      </w:r>
    </w:p>
    <w:p>
      <w:pPr>
        <w:pStyle w:val="Footnote"/>
        <w:bidi w:val="0"/>
      </w:pPr>
      <w:r>
        <w:rPr>
          <w:rFonts w:ascii="Times" w:hAnsi="Times"/>
          <w:rtl w:val="0"/>
          <w:lang w:val="en-US"/>
        </w:rPr>
        <w:t xml:space="preserve">PGM IV. 835-49, line 845 in Betz (eds.) </w:t>
      </w:r>
      <w:r>
        <w:rPr>
          <w:rFonts w:ascii="Times" w:hAnsi="Times"/>
          <w:i w:val="1"/>
          <w:iCs w:val="1"/>
          <w:rtl w:val="0"/>
          <w:lang w:val="en-US"/>
        </w:rPr>
        <w:t>The Greek Magical Papyri in Translation, including the Demiotic Spells</w:t>
      </w:r>
      <w:r>
        <w:rPr>
          <w:rFonts w:ascii="Times" w:hAnsi="Times"/>
          <w:rtl w:val="0"/>
          <w:lang w:val="en-US"/>
        </w:rPr>
        <w:t>, p. 54-55</w:t>
      </w:r>
    </w:p>
  </w:footnote>
  <w:footnote w:id="19">
    <w:p>
      <w:pPr>
        <w:pStyle w:val="Footnote"/>
        <w:bidi w:val="0"/>
      </w:pPr>
      <w:r>
        <w:rPr>
          <w:vertAlign w:val="superscript"/>
        </w:rPr>
        <w:footnoteRef/>
      </w:r>
      <w:r>
        <w:rPr>
          <w:rFonts w:cs="Arial Unicode MS" w:eastAsia="Arial Unicode MS"/>
          <w:rtl w:val="0"/>
          <w:lang w:val="en-US"/>
        </w:rPr>
        <w:t xml:space="preserve"> </w:t>
      </w:r>
      <w:r>
        <w:rPr>
          <w:rFonts w:ascii="Times" w:hAnsi="Times"/>
          <w:rtl w:val="0"/>
          <w:lang w:val="en-US"/>
        </w:rPr>
        <w:t xml:space="preserve">PGM XXXVI. 320-32 in Betz (eds.) </w:t>
      </w:r>
      <w:r>
        <w:rPr>
          <w:rFonts w:ascii="Times" w:hAnsi="Times"/>
          <w:i w:val="1"/>
          <w:iCs w:val="1"/>
          <w:rtl w:val="0"/>
          <w:lang w:val="en-US"/>
        </w:rPr>
        <w:t>The Greek Magical Papyri in Translation, including the Demiotic Spells,</w:t>
      </w:r>
      <w:r>
        <w:rPr>
          <w:rFonts w:ascii="Times" w:hAnsi="Times"/>
          <w:rtl w:val="0"/>
          <w:lang w:val="en-US"/>
        </w:rPr>
        <w:t xml:space="preserve"> p. 277</w:t>
      </w:r>
    </w:p>
  </w:footnote>
  <w:footnote w:id="20">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Collins, p. 23</w:t>
      </w:r>
    </w:p>
  </w:footnote>
  <w:footnote w:id="21">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Dorotheus, Book V, Ch. 38, p. 141</w:t>
      </w:r>
    </w:p>
  </w:footnote>
  <w:footnote w:id="22">
    <w:p>
      <w:pPr>
        <w:pStyle w:val="Footnote"/>
        <w:bidi w:val="0"/>
      </w:pPr>
      <w:r>
        <w:rPr>
          <w:vertAlign w:val="superscript"/>
        </w:rPr>
        <w:footnoteRef/>
      </w:r>
      <w:r>
        <w:rPr>
          <w:rFonts w:ascii="Times" w:hAnsi="Times"/>
          <w:rtl w:val="0"/>
        </w:rPr>
        <w:t xml:space="preserve"> </w:t>
      </w:r>
      <w:r>
        <w:rPr>
          <w:rFonts w:ascii="Times" w:hAnsi="Times"/>
          <w:rtl w:val="0"/>
          <w:lang w:val="en-US"/>
        </w:rPr>
        <w:t>Barton, p. 189-190</w:t>
      </w:r>
    </w:p>
  </w:footnote>
  <w:footnote w:id="23">
    <w:p>
      <w:pPr>
        <w:pStyle w:val="Footnote"/>
        <w:bidi w:val="0"/>
      </w:pPr>
      <w:r>
        <w:rPr>
          <w:vertAlign w:val="superscript"/>
        </w:rPr>
        <w:footnoteRef/>
      </w:r>
      <w:r>
        <w:rPr>
          <w:rFonts w:cs="Arial Unicode MS" w:eastAsia="Arial Unicode MS"/>
          <w:rtl w:val="0"/>
          <w:lang w:val="en-US"/>
        </w:rPr>
        <w:t xml:space="preserve"> </w:t>
      </w:r>
      <w:r>
        <w:rPr>
          <w:rFonts w:ascii="Times" w:hAnsi="Times"/>
          <w:rtl w:val="0"/>
          <w:lang w:val="en-US"/>
        </w:rPr>
        <w:t>Dorotheus, Book IV, p. 83-84</w:t>
      </w:r>
    </w:p>
  </w:footnote>
  <w:footnote w:id="24">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Valens, Book 2, Sec.36/37, p. 48-49; Barton p. 190</w:t>
      </w:r>
    </w:p>
  </w:footnote>
  <w:footnote w:id="25">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Dorotheus, Book V, Ch. 39, p. 141</w:t>
      </w:r>
    </w:p>
  </w:footnote>
  <w:footnote w:id="26">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 xml:space="preserve">Valens, Book IV, Sec. 18, p. </w:t>
      </w:r>
      <w:r>
        <w:rPr>
          <w:rFonts w:ascii="Times" w:hAnsi="Times"/>
          <w:sz w:val="24"/>
          <w:szCs w:val="24"/>
          <w:rtl w:val="0"/>
          <w:lang w:val="en-US"/>
        </w:rPr>
        <w:t>85</w:t>
      </w:r>
    </w:p>
  </w:footnote>
  <w:footnote w:id="27">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 xml:space="preserve">Dickie, p. 20, 21; Nutton, </w:t>
      </w:r>
      <w:r>
        <w:rPr>
          <w:rFonts w:ascii="Times" w:hAnsi="Times"/>
          <w:i w:val="1"/>
          <w:iCs w:val="1"/>
          <w:rtl w:val="0"/>
          <w:lang w:val="en-US"/>
        </w:rPr>
        <w:t>Ancient Medicine</w:t>
      </w:r>
      <w:r>
        <w:rPr>
          <w:rFonts w:ascii="Times" w:hAnsi="Times"/>
          <w:rtl w:val="0"/>
          <w:lang w:val="en-US"/>
        </w:rPr>
        <w:t>, p.13, 253</w:t>
      </w:r>
    </w:p>
  </w:footnote>
  <w:footnote w:id="28">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 xml:space="preserve">Nutton, </w:t>
      </w:r>
      <w:r>
        <w:rPr>
          <w:rFonts w:ascii="Times" w:hAnsi="Times"/>
          <w:i w:val="1"/>
          <w:iCs w:val="1"/>
          <w:rtl w:val="0"/>
          <w:lang w:val="en-US"/>
        </w:rPr>
        <w:t>Ancient Medicine</w:t>
      </w:r>
      <w:r>
        <w:rPr>
          <w:rFonts w:ascii="Times" w:hAnsi="Times"/>
          <w:rtl w:val="0"/>
          <w:lang w:val="en-US"/>
        </w:rPr>
        <w:t>, p. 64-65</w:t>
      </w:r>
    </w:p>
  </w:footnote>
  <w:footnote w:id="29">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 xml:space="preserve">Hippocrates, </w:t>
      </w:r>
      <w:r>
        <w:rPr>
          <w:rFonts w:ascii="Times" w:hAnsi="Times"/>
          <w:i w:val="1"/>
          <w:iCs w:val="1"/>
          <w:rtl w:val="0"/>
          <w:lang w:val="en-US"/>
        </w:rPr>
        <w:t>On the Sacred Disease</w:t>
      </w:r>
      <w:r>
        <w:rPr>
          <w:rFonts w:ascii="Times" w:hAnsi="Times"/>
          <w:rtl w:val="0"/>
          <w:lang w:val="en-US"/>
        </w:rPr>
        <w:t xml:space="preserve">, </w:t>
      </w:r>
      <w:r>
        <w:rPr>
          <w:rFonts w:ascii="Times" w:hAnsi="Times"/>
          <w:rtl w:val="0"/>
          <w:lang w:val="en-US"/>
        </w:rPr>
        <w:t>in G.E.R. Lloyd</w:t>
      </w:r>
      <w:r>
        <w:rPr>
          <w:rFonts w:ascii="Times" w:hAnsi="Times"/>
          <w:rtl w:val="0"/>
          <w:lang w:val="en-US"/>
        </w:rPr>
        <w:t xml:space="preserve"> (ed.),</w:t>
      </w:r>
      <w:r>
        <w:rPr>
          <w:rFonts w:ascii="Times" w:hAnsi="Times"/>
          <w:rtl w:val="0"/>
        </w:rPr>
        <w:t xml:space="preserve"> </w:t>
      </w:r>
      <w:r>
        <w:rPr>
          <w:rFonts w:ascii="Times" w:hAnsi="Times"/>
          <w:i w:val="1"/>
          <w:iCs w:val="1"/>
          <w:rtl w:val="0"/>
          <w:lang w:val="en-US"/>
        </w:rPr>
        <w:t>Hippocratic Writings</w:t>
      </w:r>
      <w:r>
        <w:rPr>
          <w:rFonts w:ascii="Times" w:hAnsi="Times"/>
          <w:rtl w:val="0"/>
        </w:rPr>
        <w:t xml:space="preserve">, </w:t>
      </w:r>
      <w:r>
        <w:rPr>
          <w:rFonts w:ascii="Times" w:hAnsi="Times"/>
          <w:rtl w:val="0"/>
          <w:lang w:val="en-US"/>
        </w:rPr>
        <w:t>(</w:t>
      </w:r>
      <w:r>
        <w:rPr>
          <w:rFonts w:ascii="Times" w:hAnsi="Times"/>
          <w:rtl w:val="0"/>
          <w:lang w:val="en-US"/>
        </w:rPr>
        <w:t>London: Penguin Books, 1978</w:t>
      </w:r>
      <w:r>
        <w:rPr>
          <w:rFonts w:ascii="Times" w:hAnsi="Times"/>
          <w:rtl w:val="0"/>
          <w:lang w:val="en-US"/>
        </w:rPr>
        <w:t>; 2nd ed., 1985),</w:t>
      </w:r>
      <w:r>
        <w:rPr>
          <w:rFonts w:ascii="Times" w:hAnsi="Times"/>
          <w:rtl w:val="0"/>
          <w:lang w:val="en-US"/>
        </w:rPr>
        <w:t xml:space="preserve"> J. Chadwick and W. N. Mann</w:t>
      </w:r>
      <w:r>
        <w:rPr>
          <w:rFonts w:ascii="Times" w:hAnsi="Times"/>
          <w:rtl w:val="0"/>
          <w:lang w:val="en-US"/>
        </w:rPr>
        <w:t xml:space="preserve"> (trans.), e-book, Sec. 1, p.481-482</w:t>
      </w:r>
    </w:p>
  </w:footnote>
  <w:footnote w:id="30">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 xml:space="preserve">Hippocrates, </w:t>
      </w:r>
      <w:r>
        <w:rPr>
          <w:rFonts w:ascii="Times" w:hAnsi="Times"/>
          <w:i w:val="1"/>
          <w:iCs w:val="1"/>
          <w:rtl w:val="0"/>
          <w:lang w:val="en-US"/>
        </w:rPr>
        <w:t>Regimen IV (Dreams),</w:t>
      </w:r>
      <w:r>
        <w:rPr>
          <w:rFonts w:ascii="Times" w:hAnsi="Times"/>
          <w:rtl w:val="0"/>
          <w:lang w:val="en-US"/>
        </w:rPr>
        <w:t xml:space="preserve"> in </w:t>
      </w:r>
      <w:r>
        <w:rPr>
          <w:rFonts w:ascii="Times" w:hAnsi="Times"/>
          <w:i w:val="1"/>
          <w:iCs w:val="1"/>
          <w:rtl w:val="0"/>
          <w:lang w:val="en-US"/>
        </w:rPr>
        <w:t>Hippocratic Writings</w:t>
      </w:r>
      <w:r>
        <w:rPr>
          <w:rFonts w:ascii="Times" w:hAnsi="Times"/>
          <w:rtl w:val="0"/>
          <w:lang w:val="en-US"/>
        </w:rPr>
        <w:t>, par. 88, p. 515</w:t>
      </w:r>
    </w:p>
  </w:footnote>
  <w:footnote w:id="31">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 xml:space="preserve">Hippocrates, </w:t>
      </w:r>
      <w:r>
        <w:rPr>
          <w:rFonts w:ascii="Times" w:hAnsi="Times"/>
          <w:i w:val="1"/>
          <w:iCs w:val="1"/>
          <w:rtl w:val="0"/>
          <w:lang w:val="en-US"/>
        </w:rPr>
        <w:t xml:space="preserve">Regimen IV (Dreams) </w:t>
      </w:r>
      <w:r>
        <w:rPr>
          <w:rFonts w:ascii="Times" w:hAnsi="Times"/>
          <w:rtl w:val="0"/>
          <w:lang w:val="en-US"/>
        </w:rPr>
        <w:t xml:space="preserve">in </w:t>
      </w:r>
      <w:r>
        <w:rPr>
          <w:rFonts w:ascii="Times" w:hAnsi="Times"/>
          <w:i w:val="1"/>
          <w:iCs w:val="1"/>
          <w:rtl w:val="0"/>
          <w:lang w:val="en-US"/>
        </w:rPr>
        <w:t>Hippocratic Writings,</w:t>
      </w:r>
      <w:r>
        <w:rPr>
          <w:rFonts w:ascii="Times" w:hAnsi="Times"/>
          <w:rtl w:val="0"/>
          <w:lang w:val="en-US"/>
        </w:rPr>
        <w:t xml:space="preserve"> par. 87, p. 514</w:t>
      </w:r>
    </w:p>
  </w:footnote>
  <w:footnote w:id="32">
    <w:p>
      <w:pPr>
        <w:pStyle w:val="Footnote"/>
      </w:pPr>
      <w:r>
        <w:rPr>
          <w:rFonts w:ascii="Times" w:cs="Times" w:hAnsi="Times" w:eastAsia="Times"/>
          <w:vertAlign w:val="superscript"/>
        </w:rPr>
        <w:footnoteRef/>
      </w:r>
      <w:r>
        <w:rPr>
          <w:rFonts w:ascii="Times" w:hAnsi="Times"/>
          <w:rtl w:val="0"/>
        </w:rPr>
        <w:t xml:space="preserve"> </w:t>
      </w:r>
      <w:r>
        <w:rPr>
          <w:rFonts w:ascii="Times" w:hAnsi="Times"/>
          <w:rtl w:val="0"/>
          <w:lang w:val="en-US"/>
        </w:rPr>
        <w:t xml:space="preserve">Hippocrates, </w:t>
      </w:r>
      <w:r>
        <w:rPr>
          <w:rFonts w:ascii="Times" w:hAnsi="Times"/>
          <w:i w:val="1"/>
          <w:iCs w:val="1"/>
          <w:rtl w:val="0"/>
          <w:lang w:val="en-US"/>
        </w:rPr>
        <w:t xml:space="preserve">Regimen IV (Dreams) </w:t>
      </w:r>
      <w:r>
        <w:rPr>
          <w:rFonts w:ascii="Times" w:hAnsi="Times"/>
          <w:rtl w:val="0"/>
          <w:lang w:val="en-US"/>
        </w:rPr>
        <w:t xml:space="preserve">in </w:t>
      </w:r>
      <w:r>
        <w:rPr>
          <w:rFonts w:ascii="Times" w:hAnsi="Times"/>
          <w:i w:val="1"/>
          <w:iCs w:val="1"/>
          <w:rtl w:val="0"/>
          <w:lang w:val="en-US"/>
        </w:rPr>
        <w:t>Hippocratic Writings</w:t>
      </w:r>
      <w:r>
        <w:rPr>
          <w:rFonts w:ascii="Times" w:hAnsi="Times"/>
          <w:rtl w:val="0"/>
          <w:lang w:val="en-US"/>
        </w:rPr>
        <w:t>, par. 87, p. 514</w:t>
      </w:r>
    </w:p>
  </w:footnote>
  <w:footnote w:id="33">
    <w:p>
      <w:pPr>
        <w:pStyle w:val="Footnote"/>
        <w:bidi w:val="0"/>
      </w:pPr>
      <w:r>
        <w:rPr>
          <w:vertAlign w:val="superscript"/>
        </w:rPr>
        <w:footnoteRef/>
      </w:r>
      <w:r>
        <w:rPr>
          <w:rFonts w:ascii="Times" w:hAnsi="Times"/>
          <w:rtl w:val="0"/>
          <w:lang w:val="en-US"/>
        </w:rPr>
        <w:t xml:space="preserve"> Michael</w:t>
      </w:r>
      <w:r>
        <w:rPr>
          <w:rFonts w:ascii="Times" w:hAnsi="Times"/>
          <w:rtl w:val="0"/>
        </w:rPr>
        <w:t xml:space="preserve"> </w:t>
      </w:r>
      <w:r>
        <w:rPr>
          <w:rFonts w:ascii="Times" w:hAnsi="Times"/>
          <w:rtl w:val="0"/>
          <w:lang w:val="en-US"/>
        </w:rPr>
        <w:t xml:space="preserve">Lambert, </w:t>
      </w:r>
      <w:r>
        <w:rPr>
          <w:rFonts w:ascii="Times" w:hAnsi="Times" w:hint="default"/>
          <w:rtl w:val="0"/>
          <w:lang w:val="en-US"/>
        </w:rPr>
        <w:t>‘</w:t>
      </w:r>
      <w:r>
        <w:rPr>
          <w:rFonts w:ascii="Times" w:hAnsi="Times"/>
          <w:rtl w:val="0"/>
          <w:lang w:val="en-US"/>
        </w:rPr>
        <w:t>Ancient Greek and Traditional Zulu Medicine: A Question of Balance,</w:t>
      </w:r>
      <w:r>
        <w:rPr>
          <w:rFonts w:ascii="Times" w:hAnsi="Times" w:hint="default"/>
          <w:rtl w:val="0"/>
          <w:lang w:val="en-US"/>
        </w:rPr>
        <w:t xml:space="preserve">’ </w:t>
      </w:r>
      <w:r>
        <w:rPr>
          <w:rFonts w:ascii="Times" w:hAnsi="Times"/>
          <w:i w:val="1"/>
          <w:iCs w:val="1"/>
          <w:rtl w:val="0"/>
          <w:lang w:val="en-US"/>
        </w:rPr>
        <w:t>Acta Classica,</w:t>
      </w:r>
      <w:r>
        <w:rPr>
          <w:rFonts w:ascii="Times" w:hAnsi="Times"/>
          <w:rtl w:val="0"/>
          <w:lang w:val="en-US"/>
        </w:rPr>
        <w:t xml:space="preserve"> Vol. 38, (1995), p. 71, 79</w:t>
      </w:r>
    </w:p>
  </w:footnote>
  <w:footnote w:id="34">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 xml:space="preserve">Hippocrates, </w:t>
      </w:r>
      <w:r>
        <w:rPr>
          <w:rFonts w:ascii="Times" w:hAnsi="Times"/>
          <w:i w:val="1"/>
          <w:iCs w:val="1"/>
          <w:rtl w:val="0"/>
          <w:lang w:val="en-US"/>
        </w:rPr>
        <w:t>Airs, Waters, Places</w:t>
      </w:r>
      <w:r>
        <w:rPr>
          <w:rFonts w:ascii="Times" w:hAnsi="Times"/>
          <w:rtl w:val="0"/>
          <w:lang w:val="en-US"/>
        </w:rPr>
        <w:t xml:space="preserve"> in </w:t>
      </w:r>
      <w:r>
        <w:rPr>
          <w:rFonts w:ascii="Times" w:hAnsi="Times"/>
          <w:i w:val="1"/>
          <w:iCs w:val="1"/>
          <w:rtl w:val="0"/>
          <w:lang w:val="en-US"/>
        </w:rPr>
        <w:t xml:space="preserve">Hippocratic Writings, </w:t>
      </w:r>
      <w:r>
        <w:rPr>
          <w:rFonts w:ascii="Times" w:hAnsi="Times"/>
          <w:rtl w:val="0"/>
          <w:lang w:val="en-US"/>
        </w:rPr>
        <w:t>par. 2, p. 295;</w:t>
      </w:r>
      <w:r>
        <w:rPr>
          <w:rFonts w:ascii="Times" w:hAnsi="Times"/>
          <w:rtl w:val="0"/>
        </w:rPr>
        <w:t xml:space="preserve"> </w:t>
      </w:r>
      <w:r>
        <w:rPr>
          <w:rFonts w:ascii="Times" w:hAnsi="Times"/>
          <w:rtl w:val="0"/>
          <w:lang w:val="en-US"/>
        </w:rPr>
        <w:t xml:space="preserve">Nutton, </w:t>
      </w:r>
      <w:r>
        <w:rPr>
          <w:rFonts w:ascii="Times" w:hAnsi="Times" w:hint="default"/>
          <w:rtl w:val="0"/>
          <w:lang w:val="en-US"/>
        </w:rPr>
        <w:t>’</w:t>
      </w:r>
      <w:r>
        <w:rPr>
          <w:rFonts w:ascii="Times" w:hAnsi="Times"/>
          <w:rtl w:val="0"/>
          <w:lang w:val="en-US"/>
        </w:rPr>
        <w:t>Greek Medical Astrology and the Boundaries of Medicine,</w:t>
      </w:r>
      <w:r>
        <w:rPr>
          <w:rFonts w:ascii="Times" w:hAnsi="Times" w:hint="default"/>
          <w:rtl w:val="0"/>
          <w:lang w:val="en-US"/>
        </w:rPr>
        <w:t xml:space="preserve">’ </w:t>
      </w:r>
      <w:r>
        <w:rPr>
          <w:rFonts w:ascii="Times" w:hAnsi="Times"/>
          <w:rtl w:val="0"/>
          <w:lang w:val="en-US"/>
        </w:rPr>
        <w:t>p. 18</w:t>
      </w:r>
    </w:p>
  </w:footnote>
  <w:footnote w:id="35">
    <w:p>
      <w:pPr>
        <w:pStyle w:val="Footnote"/>
        <w:bidi w:val="0"/>
      </w:pPr>
      <w:r>
        <w:rPr>
          <w:vertAlign w:val="superscript"/>
        </w:rPr>
        <w:footnoteRef/>
      </w:r>
      <w:r>
        <w:rPr>
          <w:rFonts w:ascii="Times" w:hAnsi="Times"/>
          <w:rtl w:val="0"/>
          <w:lang w:val="en-US"/>
        </w:rPr>
        <w:t xml:space="preserve">Hippocrates, </w:t>
      </w:r>
      <w:r>
        <w:rPr>
          <w:rFonts w:ascii="Times" w:hAnsi="Times"/>
          <w:i w:val="1"/>
          <w:iCs w:val="1"/>
          <w:rtl w:val="0"/>
          <w:lang w:val="en-US"/>
        </w:rPr>
        <w:t>Airs, Waters, Places</w:t>
      </w:r>
      <w:r>
        <w:rPr>
          <w:rFonts w:ascii="Times" w:hAnsi="Times"/>
          <w:rtl w:val="0"/>
          <w:lang w:val="en-US"/>
        </w:rPr>
        <w:t xml:space="preserve"> in </w:t>
      </w:r>
      <w:r>
        <w:rPr>
          <w:rFonts w:ascii="Times" w:hAnsi="Times"/>
          <w:i w:val="1"/>
          <w:iCs w:val="1"/>
          <w:rtl w:val="0"/>
          <w:lang w:val="en-US"/>
        </w:rPr>
        <w:t xml:space="preserve">Hippocratic Writings, </w:t>
      </w:r>
      <w:r>
        <w:rPr>
          <w:rFonts w:ascii="Times" w:hAnsi="Times"/>
          <w:rtl w:val="0"/>
          <w:lang w:val="en-US"/>
        </w:rPr>
        <w:t>par. 11, p. 315-316; Valens, Book 1, Ch. 2, p. 3</w:t>
      </w:r>
    </w:p>
  </w:footnote>
  <w:footnote w:id="36">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 xml:space="preserve">Claudius Ptolemy, </w:t>
      </w:r>
      <w:r>
        <w:rPr>
          <w:rFonts w:ascii="Times" w:hAnsi="Times"/>
          <w:i w:val="1"/>
          <w:iCs w:val="1"/>
          <w:rtl w:val="0"/>
          <w:lang w:val="en-US"/>
        </w:rPr>
        <w:t>Tetrabiblos</w:t>
      </w:r>
      <w:r>
        <w:rPr>
          <w:rFonts w:ascii="Times" w:hAnsi="Times"/>
          <w:rtl w:val="0"/>
          <w:lang w:val="en-US"/>
        </w:rPr>
        <w:t xml:space="preserve">, trans. </w:t>
      </w:r>
      <w:r>
        <w:rPr>
          <w:rFonts w:ascii="Times" w:hAnsi="Times"/>
          <w:sz w:val="24"/>
          <w:szCs w:val="24"/>
          <w:rtl w:val="0"/>
          <w:lang w:val="da-DK"/>
        </w:rPr>
        <w:t>F. E</w:t>
      </w:r>
      <w:r>
        <w:rPr>
          <w:rFonts w:ascii="Times" w:hAnsi="Times"/>
          <w:rtl w:val="0"/>
          <w:lang w:val="en-US"/>
        </w:rPr>
        <w:t xml:space="preserve"> Robbins, (</w:t>
      </w:r>
      <w:r>
        <w:rPr>
          <w:rFonts w:ascii="Times" w:hAnsi="Times"/>
          <w:sz w:val="24"/>
          <w:szCs w:val="24"/>
          <w:rtl w:val="0"/>
          <w:lang w:val="en-US"/>
        </w:rPr>
        <w:t>Cambridge, MA: Harvard University Press</w:t>
      </w:r>
      <w:r>
        <w:rPr>
          <w:rFonts w:ascii="Times" w:hAnsi="Times"/>
          <w:sz w:val="24"/>
          <w:szCs w:val="24"/>
          <w:rtl w:val="0"/>
          <w:lang w:val="en-US"/>
        </w:rPr>
        <w:t xml:space="preserve">), </w:t>
      </w:r>
      <w:r>
        <w:rPr>
          <w:rFonts w:ascii="Times" w:hAnsi="Times"/>
          <w:rtl w:val="0"/>
          <w:lang w:val="en-US"/>
        </w:rPr>
        <w:t>p. 55, 321</w:t>
      </w:r>
    </w:p>
  </w:footnote>
  <w:footnote w:id="37">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 xml:space="preserve">Nutton, </w:t>
      </w:r>
      <w:r>
        <w:rPr>
          <w:rFonts w:ascii="Times" w:hAnsi="Times" w:hint="default"/>
          <w:rtl w:val="0"/>
          <w:lang w:val="en-US"/>
        </w:rPr>
        <w:t>’</w:t>
      </w:r>
      <w:r>
        <w:rPr>
          <w:rFonts w:ascii="Times" w:hAnsi="Times"/>
          <w:rtl w:val="0"/>
          <w:lang w:val="en-US"/>
        </w:rPr>
        <w:t>Greek Medical Astrology and the Boundaries of Medicine,</w:t>
      </w:r>
      <w:r>
        <w:rPr>
          <w:rFonts w:ascii="Times" w:hAnsi="Times" w:hint="default"/>
          <w:rtl w:val="0"/>
          <w:lang w:val="en-US"/>
        </w:rPr>
        <w:t xml:space="preserve">’ </w:t>
      </w:r>
      <w:r>
        <w:rPr>
          <w:rFonts w:ascii="Times" w:hAnsi="Times"/>
          <w:rtl w:val="0"/>
          <w:lang w:val="en-US"/>
        </w:rPr>
        <w:t>p. 23</w:t>
      </w:r>
    </w:p>
  </w:footnote>
  <w:footnote w:id="38">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 xml:space="preserve">Nutton, </w:t>
      </w:r>
      <w:r>
        <w:rPr>
          <w:rFonts w:ascii="Times" w:hAnsi="Times"/>
          <w:i w:val="1"/>
          <w:iCs w:val="1"/>
          <w:rtl w:val="0"/>
          <w:lang w:val="en-US"/>
        </w:rPr>
        <w:t>Ancient Medicine</w:t>
      </w:r>
      <w:r>
        <w:rPr>
          <w:rFonts w:ascii="Times" w:hAnsi="Times"/>
          <w:rtl w:val="0"/>
          <w:lang w:val="en-US"/>
        </w:rPr>
        <w:t>, p. 265-266</w:t>
      </w:r>
    </w:p>
  </w:footnote>
  <w:footnote w:id="39">
    <w:p>
      <w:pPr>
        <w:pStyle w:val="Footnote"/>
        <w:bidi w:val="0"/>
      </w:pPr>
      <w:r>
        <w:rPr>
          <w:vertAlign w:val="superscript"/>
        </w:rPr>
        <w:footnoteRef/>
      </w:r>
      <w:r>
        <w:rPr>
          <w:rFonts w:cs="Arial Unicode MS" w:eastAsia="Arial Unicode MS"/>
          <w:rtl w:val="0"/>
        </w:rPr>
        <w:t xml:space="preserve"> </w:t>
      </w:r>
      <w:r>
        <w:rPr>
          <w:rFonts w:ascii="Times" w:hAnsi="Times"/>
          <w:rtl w:val="0"/>
          <w:lang w:val="en-US"/>
        </w:rPr>
        <w:t xml:space="preserve">Nutton, </w:t>
      </w:r>
      <w:r>
        <w:rPr>
          <w:rFonts w:ascii="Times" w:hAnsi="Times"/>
          <w:i w:val="1"/>
          <w:iCs w:val="1"/>
          <w:rtl w:val="0"/>
          <w:lang w:val="en-US"/>
        </w:rPr>
        <w:t>Ancient Medicine</w:t>
      </w:r>
      <w:r>
        <w:rPr>
          <w:rFonts w:ascii="Times" w:hAnsi="Times"/>
          <w:rtl w:val="0"/>
          <w:lang w:val="en-US"/>
        </w:rPr>
        <w:t>, p. 248</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notes" Target="footnotes.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