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40F536" w14:textId="77777777" w:rsidR="00D325A5" w:rsidRDefault="00D325A5" w:rsidP="00D325A5">
      <w:pPr>
        <w:spacing w:line="360" w:lineRule="auto"/>
        <w:rPr>
          <w:rFonts w:ascii="Arial" w:eastAsia="Arial" w:hAnsi="Arial" w:cs="Arial"/>
          <w:color w:val="000000" w:themeColor="text1"/>
        </w:rPr>
      </w:pPr>
      <w:r w:rsidRPr="05A15580">
        <w:rPr>
          <w:rFonts w:ascii="Arial" w:eastAsia="Arial" w:hAnsi="Arial" w:cs="Arial"/>
          <w:color w:val="000000" w:themeColor="text1"/>
        </w:rPr>
        <w:t>I confirm that I have not used any AI tools in the research and creation of this</w:t>
      </w:r>
    </w:p>
    <w:p w14:paraId="7B0C0C3A" w14:textId="77777777" w:rsidR="00D325A5" w:rsidRDefault="00D325A5" w:rsidP="00D325A5">
      <w:pPr>
        <w:spacing w:line="360" w:lineRule="auto"/>
        <w:rPr>
          <w:rFonts w:ascii="Arial" w:eastAsia="Arial" w:hAnsi="Arial" w:cs="Arial"/>
          <w:color w:val="000000" w:themeColor="text1"/>
        </w:rPr>
      </w:pPr>
      <w:r w:rsidRPr="05A15580">
        <w:rPr>
          <w:rFonts w:ascii="Arial" w:eastAsia="Arial" w:hAnsi="Arial" w:cs="Arial"/>
          <w:color w:val="000000" w:themeColor="text1"/>
        </w:rPr>
        <w:t>assignment. I confirm that I have not presented any AI generated materials as my own work. I confirm I have copies of my drafts, notes, and other resources I used, which I may be asked to provide in evidence.</w:t>
      </w:r>
    </w:p>
    <w:p w14:paraId="57E7C9AE" w14:textId="77777777" w:rsidR="00B57028" w:rsidRDefault="00B57028" w:rsidP="00903B61">
      <w:pPr>
        <w:spacing w:before="100" w:beforeAutospacing="1" w:after="100" w:afterAutospacing="1" w:line="360" w:lineRule="auto"/>
        <w:ind w:firstLine="851"/>
        <w:rPr>
          <w:rFonts w:ascii="Arial" w:hAnsi="Arial" w:cs="Arial"/>
          <w:color w:val="000000"/>
        </w:rPr>
      </w:pPr>
    </w:p>
    <w:p w14:paraId="5F0CBCFE" w14:textId="77777777" w:rsidR="00B57028" w:rsidRDefault="00B57028" w:rsidP="00903B61">
      <w:pPr>
        <w:spacing w:before="100" w:beforeAutospacing="1" w:after="100" w:afterAutospacing="1" w:line="360" w:lineRule="auto"/>
        <w:ind w:firstLine="851"/>
        <w:rPr>
          <w:rFonts w:ascii="Arial" w:hAnsi="Arial" w:cs="Arial"/>
          <w:color w:val="000000"/>
        </w:rPr>
      </w:pPr>
    </w:p>
    <w:p w14:paraId="56D2CB4F" w14:textId="77777777" w:rsidR="00B57028" w:rsidRDefault="00B57028" w:rsidP="00903B61">
      <w:pPr>
        <w:spacing w:before="100" w:beforeAutospacing="1" w:after="100" w:afterAutospacing="1" w:line="360" w:lineRule="auto"/>
        <w:ind w:firstLine="851"/>
        <w:rPr>
          <w:rFonts w:ascii="Arial" w:hAnsi="Arial" w:cs="Arial"/>
          <w:color w:val="000000"/>
        </w:rPr>
      </w:pPr>
    </w:p>
    <w:p w14:paraId="60DB6D4C" w14:textId="77777777" w:rsidR="00B57028" w:rsidRDefault="00B57028" w:rsidP="00903B61">
      <w:pPr>
        <w:spacing w:before="100" w:beforeAutospacing="1" w:after="100" w:afterAutospacing="1" w:line="360" w:lineRule="auto"/>
        <w:ind w:firstLine="851"/>
        <w:rPr>
          <w:rFonts w:ascii="Arial" w:hAnsi="Arial" w:cs="Arial"/>
          <w:color w:val="000000"/>
        </w:rPr>
      </w:pPr>
    </w:p>
    <w:p w14:paraId="6F8A1418" w14:textId="77777777" w:rsidR="00B57028" w:rsidRDefault="00B57028" w:rsidP="00903B61">
      <w:pPr>
        <w:spacing w:before="100" w:beforeAutospacing="1" w:after="100" w:afterAutospacing="1" w:line="360" w:lineRule="auto"/>
        <w:ind w:firstLine="851"/>
        <w:rPr>
          <w:rFonts w:ascii="Arial" w:hAnsi="Arial" w:cs="Arial"/>
          <w:color w:val="000000"/>
        </w:rPr>
      </w:pPr>
    </w:p>
    <w:p w14:paraId="57065AB4" w14:textId="77777777" w:rsidR="00B57028" w:rsidRDefault="00B57028" w:rsidP="00903B61">
      <w:pPr>
        <w:spacing w:before="100" w:beforeAutospacing="1" w:after="100" w:afterAutospacing="1" w:line="360" w:lineRule="auto"/>
        <w:ind w:firstLine="851"/>
        <w:rPr>
          <w:rFonts w:ascii="Arial" w:hAnsi="Arial" w:cs="Arial"/>
          <w:color w:val="000000"/>
        </w:rPr>
      </w:pPr>
    </w:p>
    <w:p w14:paraId="0F533752" w14:textId="77777777" w:rsidR="00B57028" w:rsidRDefault="00B57028" w:rsidP="00903B61">
      <w:pPr>
        <w:spacing w:before="100" w:beforeAutospacing="1" w:after="100" w:afterAutospacing="1" w:line="360" w:lineRule="auto"/>
        <w:ind w:firstLine="851"/>
        <w:rPr>
          <w:rFonts w:ascii="Arial" w:hAnsi="Arial" w:cs="Arial"/>
          <w:color w:val="000000"/>
        </w:rPr>
      </w:pPr>
    </w:p>
    <w:p w14:paraId="2A31344C" w14:textId="77777777" w:rsidR="00B57028" w:rsidRDefault="00B57028" w:rsidP="00903B61">
      <w:pPr>
        <w:spacing w:before="100" w:beforeAutospacing="1" w:after="100" w:afterAutospacing="1" w:line="360" w:lineRule="auto"/>
        <w:ind w:firstLine="851"/>
        <w:rPr>
          <w:rFonts w:ascii="Arial" w:hAnsi="Arial" w:cs="Arial"/>
          <w:color w:val="000000"/>
        </w:rPr>
      </w:pPr>
    </w:p>
    <w:p w14:paraId="4BA6EE75" w14:textId="77777777" w:rsidR="00B57028" w:rsidRDefault="00B57028" w:rsidP="00903B61">
      <w:pPr>
        <w:spacing w:before="100" w:beforeAutospacing="1" w:after="100" w:afterAutospacing="1" w:line="360" w:lineRule="auto"/>
        <w:ind w:firstLine="851"/>
        <w:rPr>
          <w:rFonts w:ascii="Arial" w:hAnsi="Arial" w:cs="Arial"/>
          <w:color w:val="000000"/>
        </w:rPr>
      </w:pPr>
    </w:p>
    <w:p w14:paraId="2F4B0490" w14:textId="77777777" w:rsidR="00B57028" w:rsidRDefault="00B57028" w:rsidP="00903B61">
      <w:pPr>
        <w:spacing w:before="100" w:beforeAutospacing="1" w:after="100" w:afterAutospacing="1" w:line="360" w:lineRule="auto"/>
        <w:ind w:firstLine="851"/>
        <w:rPr>
          <w:rFonts w:ascii="Arial" w:hAnsi="Arial" w:cs="Arial"/>
          <w:color w:val="000000"/>
        </w:rPr>
      </w:pPr>
    </w:p>
    <w:p w14:paraId="0FC34660" w14:textId="77777777" w:rsidR="00B57028" w:rsidRDefault="00B57028" w:rsidP="00903B61">
      <w:pPr>
        <w:spacing w:before="100" w:beforeAutospacing="1" w:after="100" w:afterAutospacing="1" w:line="360" w:lineRule="auto"/>
        <w:ind w:firstLine="851"/>
        <w:rPr>
          <w:rFonts w:ascii="Arial" w:hAnsi="Arial" w:cs="Arial"/>
          <w:color w:val="000000"/>
        </w:rPr>
      </w:pPr>
    </w:p>
    <w:p w14:paraId="3C525818" w14:textId="77777777" w:rsidR="00B57028" w:rsidRDefault="00B57028" w:rsidP="00903B61">
      <w:pPr>
        <w:spacing w:before="100" w:beforeAutospacing="1" w:after="100" w:afterAutospacing="1" w:line="360" w:lineRule="auto"/>
        <w:ind w:firstLine="851"/>
        <w:rPr>
          <w:rFonts w:ascii="Arial" w:hAnsi="Arial" w:cs="Arial"/>
          <w:color w:val="000000"/>
        </w:rPr>
      </w:pPr>
    </w:p>
    <w:p w14:paraId="30DA7F4B" w14:textId="77777777" w:rsidR="00B57028" w:rsidRDefault="00B57028" w:rsidP="00903B61">
      <w:pPr>
        <w:spacing w:before="100" w:beforeAutospacing="1" w:after="100" w:afterAutospacing="1" w:line="360" w:lineRule="auto"/>
        <w:ind w:firstLine="851"/>
        <w:rPr>
          <w:rFonts w:ascii="Arial" w:hAnsi="Arial" w:cs="Arial"/>
          <w:color w:val="000000"/>
        </w:rPr>
      </w:pPr>
    </w:p>
    <w:p w14:paraId="72DBAC0A" w14:textId="77777777" w:rsidR="00B57028" w:rsidRDefault="00B57028" w:rsidP="00903B61">
      <w:pPr>
        <w:spacing w:before="100" w:beforeAutospacing="1" w:after="100" w:afterAutospacing="1" w:line="360" w:lineRule="auto"/>
        <w:ind w:firstLine="851"/>
        <w:rPr>
          <w:rFonts w:ascii="Arial" w:hAnsi="Arial" w:cs="Arial"/>
          <w:color w:val="000000"/>
        </w:rPr>
      </w:pPr>
    </w:p>
    <w:p w14:paraId="46A453C8" w14:textId="77777777" w:rsidR="00B57028" w:rsidRDefault="00B57028" w:rsidP="00903B61">
      <w:pPr>
        <w:spacing w:before="100" w:beforeAutospacing="1" w:after="100" w:afterAutospacing="1" w:line="360" w:lineRule="auto"/>
        <w:ind w:firstLine="851"/>
        <w:rPr>
          <w:rFonts w:ascii="Arial" w:hAnsi="Arial" w:cs="Arial"/>
          <w:color w:val="000000"/>
        </w:rPr>
      </w:pPr>
    </w:p>
    <w:p w14:paraId="0B907E84" w14:textId="77777777" w:rsidR="00B57028" w:rsidRDefault="00B57028" w:rsidP="00903B61">
      <w:pPr>
        <w:spacing w:before="100" w:beforeAutospacing="1" w:after="100" w:afterAutospacing="1" w:line="360" w:lineRule="auto"/>
        <w:ind w:firstLine="851"/>
        <w:rPr>
          <w:rFonts w:ascii="Arial" w:hAnsi="Arial" w:cs="Arial"/>
          <w:color w:val="000000"/>
        </w:rPr>
      </w:pPr>
    </w:p>
    <w:p w14:paraId="41FFF236" w14:textId="77777777" w:rsidR="00B57028" w:rsidRDefault="00B57028" w:rsidP="00D325A5">
      <w:pPr>
        <w:spacing w:before="100" w:beforeAutospacing="1" w:after="100" w:afterAutospacing="1" w:line="360" w:lineRule="auto"/>
        <w:rPr>
          <w:rFonts w:ascii="Arial" w:hAnsi="Arial" w:cs="Arial"/>
          <w:color w:val="000000"/>
        </w:rPr>
      </w:pPr>
    </w:p>
    <w:p w14:paraId="63D7E84D" w14:textId="171517CB" w:rsidR="00903B61" w:rsidRPr="008F5816" w:rsidRDefault="00903B61" w:rsidP="00903B61">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lastRenderedPageBreak/>
        <w:t xml:space="preserve">Youth offending </w:t>
      </w:r>
      <w:r>
        <w:rPr>
          <w:rFonts w:ascii="Arial" w:hAnsi="Arial" w:cs="Arial"/>
          <w:color w:val="000000"/>
        </w:rPr>
        <w:t>is</w:t>
      </w:r>
      <w:r w:rsidRPr="008F5816">
        <w:rPr>
          <w:rFonts w:ascii="Arial" w:hAnsi="Arial" w:cs="Arial"/>
          <w:color w:val="000000"/>
        </w:rPr>
        <w:t xml:space="preserve"> a complex phenomenon </w:t>
      </w:r>
      <w:r>
        <w:rPr>
          <w:rFonts w:ascii="Arial" w:hAnsi="Arial" w:cs="Arial"/>
          <w:color w:val="000000"/>
        </w:rPr>
        <w:t xml:space="preserve">which can be </w:t>
      </w:r>
      <w:r w:rsidRPr="008F5816">
        <w:rPr>
          <w:rFonts w:ascii="Arial" w:hAnsi="Arial" w:cs="Arial"/>
          <w:color w:val="000000"/>
        </w:rPr>
        <w:t>shaped by the interaction of individual vulnerabilities, familial adversity, peer influence</w:t>
      </w:r>
      <w:r>
        <w:rPr>
          <w:rFonts w:ascii="Arial" w:hAnsi="Arial" w:cs="Arial"/>
          <w:color w:val="000000"/>
        </w:rPr>
        <w:t>s</w:t>
      </w:r>
      <w:r w:rsidRPr="008F5816">
        <w:rPr>
          <w:rFonts w:ascii="Arial" w:hAnsi="Arial" w:cs="Arial"/>
          <w:color w:val="000000"/>
        </w:rPr>
        <w:t>, and broader socio-</w:t>
      </w:r>
      <w:r>
        <w:rPr>
          <w:rFonts w:ascii="Arial" w:hAnsi="Arial" w:cs="Arial"/>
          <w:color w:val="000000"/>
        </w:rPr>
        <w:t>economic</w:t>
      </w:r>
      <w:r w:rsidRPr="008F5816">
        <w:rPr>
          <w:rFonts w:ascii="Arial" w:hAnsi="Arial" w:cs="Arial"/>
          <w:color w:val="000000"/>
        </w:rPr>
        <w:t xml:space="preserve"> disadvantage</w:t>
      </w:r>
      <w:r>
        <w:rPr>
          <w:rFonts w:ascii="Arial" w:hAnsi="Arial" w:cs="Arial"/>
          <w:color w:val="000000"/>
        </w:rPr>
        <w:t>s</w:t>
      </w:r>
      <w:r w:rsidRPr="008F5816">
        <w:rPr>
          <w:rFonts w:ascii="Arial" w:hAnsi="Arial" w:cs="Arial"/>
          <w:color w:val="000000"/>
        </w:rPr>
        <w:t xml:space="preserve">. </w:t>
      </w:r>
      <w:r>
        <w:rPr>
          <w:rFonts w:ascii="Arial" w:hAnsi="Arial" w:cs="Arial"/>
          <w:color w:val="000000"/>
        </w:rPr>
        <w:t>Forensic</w:t>
      </w:r>
      <w:r w:rsidRPr="008F5816">
        <w:rPr>
          <w:rFonts w:ascii="Arial" w:hAnsi="Arial" w:cs="Arial"/>
          <w:color w:val="000000"/>
        </w:rPr>
        <w:t xml:space="preserve"> psychology increasingly emphasises the importance of developmentally informed, trauma-aware, and ecologically grounded frameworks for understanding and responding to adolescent criminal behaviour (Farrington, 2024; Kerig et al., 2024). Within this context, case formulation represents a critical clinical and forensic tool for integrating empirical evidence with individual case data to inform assessment, intervention, and risk management.</w:t>
      </w:r>
      <w:r>
        <w:rPr>
          <w:rFonts w:ascii="Arial" w:hAnsi="Arial" w:cs="Arial"/>
          <w:color w:val="000000"/>
        </w:rPr>
        <w:t xml:space="preserve"> This formulation utilises the case study of</w:t>
      </w:r>
      <w:r w:rsidRPr="008F5816">
        <w:rPr>
          <w:rFonts w:ascii="Arial" w:hAnsi="Arial" w:cs="Arial"/>
          <w:color w:val="000000"/>
        </w:rPr>
        <w:t xml:space="preserve"> Ryan T., a 16</w:t>
      </w:r>
      <w:r>
        <w:rPr>
          <w:rFonts w:ascii="Arial" w:hAnsi="Arial" w:cs="Arial"/>
          <w:color w:val="000000"/>
        </w:rPr>
        <w:t>-year-old</w:t>
      </w:r>
      <w:r w:rsidRPr="008F5816">
        <w:rPr>
          <w:rFonts w:ascii="Arial" w:hAnsi="Arial" w:cs="Arial"/>
          <w:color w:val="000000"/>
        </w:rPr>
        <w:t xml:space="preserve"> male subject to a Youth Rehabilitation Order</w:t>
      </w:r>
      <w:r>
        <w:rPr>
          <w:rFonts w:ascii="Arial" w:hAnsi="Arial" w:cs="Arial"/>
          <w:color w:val="000000"/>
        </w:rPr>
        <w:t xml:space="preserve"> (YR</w:t>
      </w:r>
      <w:r w:rsidR="00A923A9">
        <w:rPr>
          <w:rFonts w:ascii="Arial" w:hAnsi="Arial" w:cs="Arial"/>
          <w:color w:val="000000"/>
        </w:rPr>
        <w:t>O</w:t>
      </w:r>
      <w:r>
        <w:rPr>
          <w:rFonts w:ascii="Arial" w:hAnsi="Arial" w:cs="Arial"/>
          <w:color w:val="000000"/>
        </w:rPr>
        <w:t>)</w:t>
      </w:r>
      <w:r w:rsidRPr="008F5816">
        <w:rPr>
          <w:rFonts w:ascii="Arial" w:hAnsi="Arial" w:cs="Arial"/>
          <w:color w:val="000000"/>
        </w:rPr>
        <w:t xml:space="preserve"> following a series of burglaries. Using the 5Ps formulation model</w:t>
      </w:r>
      <w:r>
        <w:rPr>
          <w:rFonts w:ascii="Arial" w:hAnsi="Arial" w:cs="Arial"/>
          <w:color w:val="000000"/>
        </w:rPr>
        <w:t xml:space="preserve">, which consists of </w:t>
      </w:r>
      <w:r w:rsidRPr="008F5816">
        <w:rPr>
          <w:rFonts w:ascii="Arial" w:hAnsi="Arial" w:cs="Arial"/>
          <w:color w:val="000000"/>
        </w:rPr>
        <w:t>presenting, predisposing, precipitating, perpetuating, and protective factors</w:t>
      </w:r>
      <w:r>
        <w:rPr>
          <w:rFonts w:ascii="Arial" w:hAnsi="Arial" w:cs="Arial"/>
          <w:color w:val="000000"/>
        </w:rPr>
        <w:t xml:space="preserve"> (</w:t>
      </w:r>
      <w:r w:rsidR="00462571" w:rsidRPr="00462571">
        <w:rPr>
          <w:rFonts w:ascii="Arial" w:hAnsi="Arial" w:cs="Arial"/>
          <w:color w:val="000000"/>
        </w:rPr>
        <w:t>Weerasekera</w:t>
      </w:r>
      <w:r w:rsidR="00462571">
        <w:rPr>
          <w:rFonts w:ascii="Arial" w:hAnsi="Arial" w:cs="Arial"/>
          <w:color w:val="000000"/>
        </w:rPr>
        <w:t>, 1993</w:t>
      </w:r>
      <w:r>
        <w:rPr>
          <w:rFonts w:ascii="Arial" w:hAnsi="Arial" w:cs="Arial"/>
          <w:color w:val="000000"/>
        </w:rPr>
        <w:t xml:space="preserve">) this formulation will </w:t>
      </w:r>
      <w:r w:rsidRPr="008F5816">
        <w:rPr>
          <w:rFonts w:ascii="Arial" w:hAnsi="Arial" w:cs="Arial"/>
          <w:color w:val="000000"/>
        </w:rPr>
        <w:t xml:space="preserve">report critically </w:t>
      </w:r>
      <w:r>
        <w:rPr>
          <w:rFonts w:ascii="Arial" w:hAnsi="Arial" w:cs="Arial"/>
          <w:color w:val="000000"/>
        </w:rPr>
        <w:t xml:space="preserve">on </w:t>
      </w:r>
      <w:r w:rsidRPr="008F5816">
        <w:rPr>
          <w:rFonts w:ascii="Arial" w:hAnsi="Arial" w:cs="Arial"/>
          <w:color w:val="000000"/>
        </w:rPr>
        <w:t xml:space="preserve">the developmental and psychosocial pathways that </w:t>
      </w:r>
      <w:r>
        <w:rPr>
          <w:rFonts w:ascii="Arial" w:hAnsi="Arial" w:cs="Arial"/>
          <w:color w:val="000000"/>
        </w:rPr>
        <w:t xml:space="preserve">may </w:t>
      </w:r>
      <w:r w:rsidRPr="008F5816">
        <w:rPr>
          <w:rFonts w:ascii="Arial" w:hAnsi="Arial" w:cs="Arial"/>
          <w:color w:val="000000"/>
        </w:rPr>
        <w:t xml:space="preserve">have contributed to Ryan’s offending behaviour. </w:t>
      </w:r>
      <w:r>
        <w:rPr>
          <w:rFonts w:ascii="Arial" w:hAnsi="Arial" w:cs="Arial"/>
        </w:rPr>
        <w:t>This formulation can offer insight into the offending behaviour but does not establish confirmed causality and instead identifies patterns of behaviours and history that may cause offending behaviours</w:t>
      </w:r>
    </w:p>
    <w:p w14:paraId="6CF7B759" w14:textId="77777777" w:rsidR="00903B61" w:rsidRPr="008F5816" w:rsidRDefault="00903B61" w:rsidP="00903B61">
      <w:pPr>
        <w:spacing w:before="100" w:beforeAutospacing="1" w:after="100" w:afterAutospacing="1" w:line="360" w:lineRule="auto"/>
        <w:ind w:firstLine="851"/>
        <w:outlineLvl w:val="1"/>
        <w:rPr>
          <w:rFonts w:ascii="Arial" w:hAnsi="Arial" w:cs="Arial"/>
          <w:b/>
          <w:bCs/>
          <w:color w:val="000000"/>
        </w:rPr>
      </w:pPr>
      <w:r w:rsidRPr="008F5816">
        <w:rPr>
          <w:rFonts w:ascii="Arial" w:hAnsi="Arial" w:cs="Arial"/>
          <w:b/>
          <w:bCs/>
          <w:color w:val="000000"/>
        </w:rPr>
        <w:t>Presenting Problem</w:t>
      </w:r>
    </w:p>
    <w:p w14:paraId="7641C851" w14:textId="08235188" w:rsidR="00903B61" w:rsidRPr="008F5816" w:rsidRDefault="00903B61" w:rsidP="00903B61">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t>Ryan T. is a 16</w:t>
      </w:r>
      <w:r>
        <w:rPr>
          <w:rFonts w:ascii="Arial" w:hAnsi="Arial" w:cs="Arial"/>
          <w:color w:val="000000"/>
        </w:rPr>
        <w:t>-year-old</w:t>
      </w:r>
      <w:r w:rsidRPr="008F5816">
        <w:rPr>
          <w:rFonts w:ascii="Arial" w:hAnsi="Arial" w:cs="Arial"/>
          <w:color w:val="000000"/>
        </w:rPr>
        <w:t xml:space="preserve"> male convicted of burglary and handling stolen goods following committed alongside two older peers. The offences involved the theft of electronics, bicycles, and cash, </w:t>
      </w:r>
      <w:r>
        <w:rPr>
          <w:rFonts w:ascii="Arial" w:hAnsi="Arial" w:cs="Arial"/>
          <w:color w:val="000000"/>
        </w:rPr>
        <w:t xml:space="preserve">that </w:t>
      </w:r>
      <w:r w:rsidRPr="008F5816">
        <w:rPr>
          <w:rFonts w:ascii="Arial" w:hAnsi="Arial" w:cs="Arial"/>
          <w:color w:val="000000"/>
        </w:rPr>
        <w:t xml:space="preserve">were </w:t>
      </w:r>
      <w:r>
        <w:rPr>
          <w:rFonts w:ascii="Arial" w:hAnsi="Arial" w:cs="Arial"/>
          <w:color w:val="000000"/>
        </w:rPr>
        <w:t>later</w:t>
      </w:r>
      <w:r w:rsidRPr="008F5816">
        <w:rPr>
          <w:rFonts w:ascii="Arial" w:hAnsi="Arial" w:cs="Arial"/>
          <w:color w:val="000000"/>
        </w:rPr>
        <w:t xml:space="preserve"> sold </w:t>
      </w:r>
      <w:r>
        <w:rPr>
          <w:rFonts w:ascii="Arial" w:hAnsi="Arial" w:cs="Arial"/>
          <w:color w:val="000000"/>
        </w:rPr>
        <w:t>through</w:t>
      </w:r>
      <w:r w:rsidRPr="008F5816">
        <w:rPr>
          <w:rFonts w:ascii="Arial" w:hAnsi="Arial" w:cs="Arial"/>
          <w:color w:val="000000"/>
        </w:rPr>
        <w:t xml:space="preserve"> social media platforms. Ryan initially denied involvement and externalised responsibility, claiming he was merely present and influenced by peer pressure. However, forensic evidence, including fingerprints and CCTV footage, confirmed his direct participation.</w:t>
      </w:r>
      <w:r>
        <w:rPr>
          <w:rFonts w:ascii="Arial" w:hAnsi="Arial" w:cs="Arial"/>
          <w:color w:val="000000"/>
        </w:rPr>
        <w:t xml:space="preserve"> </w:t>
      </w:r>
      <w:r w:rsidRPr="008F5816">
        <w:rPr>
          <w:rFonts w:ascii="Arial" w:hAnsi="Arial" w:cs="Arial"/>
          <w:color w:val="000000"/>
        </w:rPr>
        <w:t>Ryan was sentenced to a 12-month YRO involving supervision by the Youth Offending Team, mandatory engagement in education or training, and attendance at an offender intervention programme. During psychological assessment, Ryan presented as guarded yet polite, with limited eye contact and a tendency to rationalise his behaviour. He described himself as “not a bad lad” who had made “stupid choices,” suggesting partial insight but ongoing cognitive distortions regarding responsibility.</w:t>
      </w:r>
    </w:p>
    <w:p w14:paraId="54AEB659" w14:textId="77777777" w:rsidR="00903B61" w:rsidRPr="008F5816" w:rsidRDefault="00903B61" w:rsidP="00903B61">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t xml:space="preserve">From a forensic perspective, Ryan’s offending behaviour reflects a pattern of adolescent-limited acquisitive crime, consistent with national trends indicating that </w:t>
      </w:r>
      <w:r w:rsidRPr="008F5816">
        <w:rPr>
          <w:rFonts w:ascii="Arial" w:hAnsi="Arial" w:cs="Arial"/>
          <w:color w:val="000000"/>
        </w:rPr>
        <w:lastRenderedPageBreak/>
        <w:t>burglary peaks during mid-adolescence and is often associated with peer group offending and opportunistic behaviour (Paddock et al., 2021). His offence profile is non-violent but indicative of emerging antisocial behaviour, requiring timely intervention to prevent escalation into persistent offending.</w:t>
      </w:r>
    </w:p>
    <w:p w14:paraId="4D9655F7" w14:textId="77777777" w:rsidR="00903B61" w:rsidRPr="008F5816" w:rsidRDefault="00903B61" w:rsidP="00903B61">
      <w:pPr>
        <w:spacing w:line="360" w:lineRule="auto"/>
        <w:ind w:firstLine="851"/>
        <w:rPr>
          <w:rFonts w:ascii="Arial" w:hAnsi="Arial" w:cs="Arial"/>
        </w:rPr>
      </w:pPr>
    </w:p>
    <w:p w14:paraId="1B6CB235" w14:textId="77777777" w:rsidR="00903B61" w:rsidRPr="008F5816" w:rsidRDefault="00903B61" w:rsidP="00903B61">
      <w:pPr>
        <w:spacing w:before="100" w:beforeAutospacing="1" w:after="100" w:afterAutospacing="1" w:line="360" w:lineRule="auto"/>
        <w:ind w:firstLine="851"/>
        <w:outlineLvl w:val="1"/>
        <w:rPr>
          <w:rFonts w:ascii="Arial" w:hAnsi="Arial" w:cs="Arial"/>
          <w:b/>
          <w:bCs/>
          <w:color w:val="000000"/>
        </w:rPr>
      </w:pPr>
      <w:r w:rsidRPr="008F5816">
        <w:rPr>
          <w:rFonts w:ascii="Arial" w:hAnsi="Arial" w:cs="Arial"/>
          <w:b/>
          <w:bCs/>
          <w:color w:val="000000"/>
        </w:rPr>
        <w:t>Predisposing Factors</w:t>
      </w:r>
    </w:p>
    <w:p w14:paraId="33FD6E0D" w14:textId="77777777" w:rsidR="00903B61" w:rsidRPr="008F5816" w:rsidRDefault="00903B61" w:rsidP="00903B61">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t xml:space="preserve">Ryan’s developmental history reveals </w:t>
      </w:r>
      <w:r>
        <w:rPr>
          <w:rFonts w:ascii="Arial" w:hAnsi="Arial" w:cs="Arial"/>
          <w:color w:val="000000"/>
        </w:rPr>
        <w:t>several</w:t>
      </w:r>
      <w:r w:rsidRPr="008F5816">
        <w:rPr>
          <w:rFonts w:ascii="Arial" w:hAnsi="Arial" w:cs="Arial"/>
          <w:color w:val="000000"/>
        </w:rPr>
        <w:t xml:space="preserve"> risk factors </w:t>
      </w:r>
      <w:r>
        <w:rPr>
          <w:rFonts w:ascii="Arial" w:hAnsi="Arial" w:cs="Arial"/>
          <w:color w:val="000000"/>
        </w:rPr>
        <w:t xml:space="preserve">that can be </w:t>
      </w:r>
      <w:r w:rsidRPr="008F5816">
        <w:rPr>
          <w:rFonts w:ascii="Arial" w:hAnsi="Arial" w:cs="Arial"/>
          <w:color w:val="000000"/>
        </w:rPr>
        <w:t xml:space="preserve">associated with youth offending. </w:t>
      </w:r>
      <w:r>
        <w:rPr>
          <w:rFonts w:ascii="Arial" w:hAnsi="Arial" w:cs="Arial"/>
          <w:color w:val="000000"/>
        </w:rPr>
        <w:t>Ryan had</w:t>
      </w:r>
      <w:r w:rsidRPr="008F5816">
        <w:rPr>
          <w:rFonts w:ascii="Arial" w:hAnsi="Arial" w:cs="Arial"/>
          <w:color w:val="000000"/>
        </w:rPr>
        <w:t xml:space="preserve"> expos</w:t>
      </w:r>
      <w:r>
        <w:rPr>
          <w:rFonts w:ascii="Arial" w:hAnsi="Arial" w:cs="Arial"/>
          <w:color w:val="000000"/>
        </w:rPr>
        <w:t>ure</w:t>
      </w:r>
      <w:r w:rsidRPr="008F5816">
        <w:rPr>
          <w:rFonts w:ascii="Arial" w:hAnsi="Arial" w:cs="Arial"/>
          <w:color w:val="000000"/>
        </w:rPr>
        <w:t xml:space="preserve"> to domestic violence between the ages of six and eight, experienced parental separation, and grew up in a household characterised by financial strain, inconsistent parenting, and limited supervision. His father has a history of alcohol misuse and criminal convictions, while his mother works long hours in low-paid employment, resulting in reduced parental monitoring</w:t>
      </w:r>
      <w:r>
        <w:rPr>
          <w:rFonts w:ascii="Arial" w:hAnsi="Arial" w:cs="Arial"/>
          <w:color w:val="000000"/>
        </w:rPr>
        <w:t xml:space="preserve">. </w:t>
      </w:r>
      <w:r w:rsidRPr="008F5816">
        <w:rPr>
          <w:rFonts w:ascii="Arial" w:hAnsi="Arial" w:cs="Arial"/>
          <w:color w:val="000000"/>
        </w:rPr>
        <w:t>Developmental literature consistently identifies early exposure to family violence, parental criminality, and socioeconomic adversity as significant predictors of adolescent offending trajectories. Farrington’s (2024) Developmental Crime Prevention Manifesto synthesises decades of longitudinal research demonstrating that childhood maltreatment, disrupted parenting, and early behavioural difficulties substantially increase the risk of later delinquency. Similarly, recent reviews of youth crime predictors highlight that early conduct problems, family dysfunction, and educational disengagement are among the strongest developmental risk factors for persistent antisocial behaviour.</w:t>
      </w:r>
    </w:p>
    <w:p w14:paraId="1C73B78D" w14:textId="53E3F8C3" w:rsidR="00903B61" w:rsidRPr="008F5816" w:rsidRDefault="00903B61" w:rsidP="00903B61">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t>Ryan exhibited early behavioural difficulties in primary school, including anger outbursts and defiance, alongside emerging academic struggles and literacy difficulties. These early conduct problems are characteristic of what Moffitt</w:t>
      </w:r>
      <w:r w:rsidR="004E5C8F">
        <w:rPr>
          <w:rFonts w:ascii="Arial" w:hAnsi="Arial" w:cs="Arial"/>
          <w:color w:val="000000"/>
        </w:rPr>
        <w:t xml:space="preserve"> (2018)</w:t>
      </w:r>
      <w:r w:rsidRPr="008F5816">
        <w:rPr>
          <w:rFonts w:ascii="Arial" w:hAnsi="Arial" w:cs="Arial"/>
          <w:color w:val="000000"/>
        </w:rPr>
        <w:t xml:space="preserve"> developmental taxonomy terms a life-course-persistent risk profile, whereby childhood-onset behavioural dysregulation is associated with elevated risk of</w:t>
      </w:r>
      <w:r w:rsidR="00DD3639">
        <w:rPr>
          <w:rFonts w:ascii="Arial" w:hAnsi="Arial" w:cs="Arial"/>
          <w:color w:val="000000"/>
        </w:rPr>
        <w:t xml:space="preserve"> offending behaviour later in life</w:t>
      </w:r>
      <w:r w:rsidRPr="008F5816">
        <w:rPr>
          <w:rFonts w:ascii="Arial" w:hAnsi="Arial" w:cs="Arial"/>
          <w:color w:val="000000"/>
        </w:rPr>
        <w:t xml:space="preserve">. </w:t>
      </w:r>
      <w:r w:rsidR="006814FF">
        <w:rPr>
          <w:rFonts w:ascii="Arial" w:hAnsi="Arial" w:cs="Arial"/>
        </w:rPr>
        <w:t>This taxonomy describes distinct offender groups,</w:t>
      </w:r>
      <w:r w:rsidR="006814FF" w:rsidRPr="00C46584">
        <w:rPr>
          <w:rFonts w:ascii="Arial" w:hAnsi="Arial" w:cs="Arial"/>
        </w:rPr>
        <w:t xml:space="preserve"> life-course-persistent offenders</w:t>
      </w:r>
      <w:r w:rsidR="006814FF">
        <w:rPr>
          <w:rFonts w:ascii="Arial" w:hAnsi="Arial" w:cs="Arial"/>
        </w:rPr>
        <w:t xml:space="preserve">, where </w:t>
      </w:r>
      <w:r w:rsidR="006814FF" w:rsidRPr="00C46584">
        <w:rPr>
          <w:rFonts w:ascii="Arial" w:hAnsi="Arial" w:cs="Arial"/>
        </w:rPr>
        <w:t>antisocial behaviour begins in childhood and persists into adulthood, and adolescence-limited offenders, w</w:t>
      </w:r>
      <w:r w:rsidR="006814FF">
        <w:rPr>
          <w:rFonts w:ascii="Arial" w:hAnsi="Arial" w:cs="Arial"/>
        </w:rPr>
        <w:t>hereby</w:t>
      </w:r>
      <w:r w:rsidR="006814FF" w:rsidRPr="00C46584">
        <w:rPr>
          <w:rFonts w:ascii="Arial" w:hAnsi="Arial" w:cs="Arial"/>
        </w:rPr>
        <w:t xml:space="preserve"> offending is situational, peer-influenced, and confined to the adolesce</w:t>
      </w:r>
      <w:r w:rsidR="006814FF">
        <w:rPr>
          <w:rFonts w:ascii="Arial" w:hAnsi="Arial" w:cs="Arial"/>
        </w:rPr>
        <w:t>nce</w:t>
      </w:r>
      <w:r w:rsidR="006814FF" w:rsidRPr="00C46584">
        <w:rPr>
          <w:rFonts w:ascii="Arial" w:hAnsi="Arial" w:cs="Arial"/>
        </w:rPr>
        <w:t xml:space="preserve">. Ryan’s offending pattern is most consistent with the adolescence-limited pathway, as his behaviour </w:t>
      </w:r>
      <w:r w:rsidR="006814FF" w:rsidRPr="00C46584">
        <w:rPr>
          <w:rFonts w:ascii="Arial" w:hAnsi="Arial" w:cs="Arial"/>
        </w:rPr>
        <w:lastRenderedPageBreak/>
        <w:t>emerged during mid-adolescence following school disengagement and increased association with older peers. His group-based offences and account of being “pressured by his mates” reflect the peer-driven, status-seeking dynamics central to adolescence-limited offending.</w:t>
      </w:r>
      <w:r w:rsidR="006814FF">
        <w:rPr>
          <w:rFonts w:ascii="Arial" w:hAnsi="Arial" w:cs="Arial"/>
        </w:rPr>
        <w:t xml:space="preserve"> </w:t>
      </w:r>
    </w:p>
    <w:p w14:paraId="5F3E5CA2" w14:textId="77777777" w:rsidR="006674F0" w:rsidRDefault="00903B61" w:rsidP="0013457C">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t xml:space="preserve">Attachment </w:t>
      </w:r>
      <w:r>
        <w:rPr>
          <w:rFonts w:ascii="Arial" w:hAnsi="Arial" w:cs="Arial"/>
          <w:color w:val="000000"/>
        </w:rPr>
        <w:t>T</w:t>
      </w:r>
      <w:r w:rsidRPr="008F5816">
        <w:rPr>
          <w:rFonts w:ascii="Arial" w:hAnsi="Arial" w:cs="Arial"/>
          <w:color w:val="000000"/>
        </w:rPr>
        <w:t>heory further provides a relevant explanatory framework. Bowlby (1988) argue</w:t>
      </w:r>
      <w:r>
        <w:rPr>
          <w:rFonts w:ascii="Arial" w:hAnsi="Arial" w:cs="Arial"/>
          <w:color w:val="000000"/>
        </w:rPr>
        <w:t>s</w:t>
      </w:r>
      <w:r w:rsidRPr="008F5816">
        <w:rPr>
          <w:rFonts w:ascii="Arial" w:hAnsi="Arial" w:cs="Arial"/>
          <w:color w:val="000000"/>
        </w:rPr>
        <w:t xml:space="preserve"> that early exposure to family conflict and inconsistent caregiving </w:t>
      </w:r>
      <w:r>
        <w:rPr>
          <w:rFonts w:ascii="Arial" w:hAnsi="Arial" w:cs="Arial"/>
          <w:color w:val="000000"/>
        </w:rPr>
        <w:t>can disrupt the normal</w:t>
      </w:r>
      <w:r w:rsidRPr="008F5816">
        <w:rPr>
          <w:rFonts w:ascii="Arial" w:hAnsi="Arial" w:cs="Arial"/>
          <w:color w:val="000000"/>
        </w:rPr>
        <w:t xml:space="preserve"> development of secure attachment, which is essential for emotional regulation, empathy, and social competence. Ryan’s exposure to domestic violence and paternal absence may have disrupted his attachment security, contributing to difficulties in trust, emotional expression, and interpersonal regulation.</w:t>
      </w:r>
      <w:r>
        <w:rPr>
          <w:rFonts w:ascii="Arial" w:hAnsi="Arial" w:cs="Arial"/>
          <w:color w:val="000000"/>
        </w:rPr>
        <w:t xml:space="preserve"> </w:t>
      </w:r>
    </w:p>
    <w:p w14:paraId="4A5DD202" w14:textId="7674A437" w:rsidR="00903B61" w:rsidRPr="008F5816" w:rsidRDefault="00903B61" w:rsidP="006674F0">
      <w:pPr>
        <w:spacing w:before="100" w:beforeAutospacing="1" w:after="100" w:afterAutospacing="1" w:line="360" w:lineRule="auto"/>
        <w:ind w:firstLine="851"/>
        <w:rPr>
          <w:rFonts w:ascii="Arial" w:hAnsi="Arial" w:cs="Arial"/>
          <w:color w:val="000000"/>
        </w:rPr>
      </w:pPr>
      <w:r>
        <w:rPr>
          <w:rFonts w:ascii="Arial" w:hAnsi="Arial" w:cs="Arial"/>
          <w:color w:val="000000"/>
        </w:rPr>
        <w:t xml:space="preserve">Evidence from the case in particular suggests Ryan may have problems with emotional regulation, with previous education settings stating that Ryan has disruptive behaviours. </w:t>
      </w:r>
      <w:r w:rsidR="0013457C" w:rsidRPr="00E45FAF">
        <w:rPr>
          <w:rFonts w:ascii="Arial" w:hAnsi="Arial" w:cs="Arial"/>
          <w:color w:val="000000"/>
        </w:rPr>
        <w:t xml:space="preserve">Disrupted or insecure attachment has been consistently associated with externalising behaviours, conduct disorder, and delinquency (Hoeve et al., 2012; Fearon et al., 2010). Ryan’s early exposure to domestic violence between the ages of six and eight, combined with paternal abandonment and inconsistent maternal availability due to long working hours, represents a </w:t>
      </w:r>
      <w:r w:rsidR="0013457C">
        <w:rPr>
          <w:rFonts w:ascii="Arial" w:hAnsi="Arial" w:cs="Arial"/>
          <w:color w:val="000000"/>
        </w:rPr>
        <w:t>number</w:t>
      </w:r>
      <w:r w:rsidR="0013457C" w:rsidRPr="00E45FAF">
        <w:rPr>
          <w:rFonts w:ascii="Arial" w:hAnsi="Arial" w:cs="Arial"/>
          <w:color w:val="000000"/>
        </w:rPr>
        <w:t xml:space="preserve"> of attachment-disrupting experiences. Insecurely attached adolescents are more likely to develop hostile attribution biases, poor impulse control, and a heightened need for peer approval, all of which increase susceptibility to delinquent peer influence (Allen et al., 2004; </w:t>
      </w:r>
      <w:r w:rsidR="00F64F37">
        <w:rPr>
          <w:rFonts w:ascii="Arial" w:hAnsi="Arial" w:cs="Arial"/>
          <w:color w:val="000000"/>
        </w:rPr>
        <w:t>Wang</w:t>
      </w:r>
      <w:r w:rsidR="0013457C" w:rsidRPr="00E45FAF">
        <w:rPr>
          <w:rFonts w:ascii="Arial" w:hAnsi="Arial" w:cs="Arial"/>
          <w:color w:val="000000"/>
        </w:rPr>
        <w:t xml:space="preserve"> et al., 20</w:t>
      </w:r>
      <w:r w:rsidR="00F64F37">
        <w:rPr>
          <w:rFonts w:ascii="Arial" w:hAnsi="Arial" w:cs="Arial"/>
          <w:color w:val="000000"/>
        </w:rPr>
        <w:t>21</w:t>
      </w:r>
      <w:r w:rsidR="0013457C" w:rsidRPr="00E45FAF">
        <w:rPr>
          <w:rFonts w:ascii="Arial" w:hAnsi="Arial" w:cs="Arial"/>
          <w:color w:val="000000"/>
        </w:rPr>
        <w:t xml:space="preserve">). Ryan’s strong identification with his peer group and reliance on peer validation for social status reflect compensatory attachment strategies in the absence of </w:t>
      </w:r>
      <w:r w:rsidR="0013457C">
        <w:rPr>
          <w:rFonts w:ascii="Arial" w:hAnsi="Arial" w:cs="Arial"/>
          <w:color w:val="000000"/>
        </w:rPr>
        <w:t xml:space="preserve">a </w:t>
      </w:r>
      <w:r w:rsidR="0013457C" w:rsidRPr="00E45FAF">
        <w:rPr>
          <w:rFonts w:ascii="Arial" w:hAnsi="Arial" w:cs="Arial"/>
          <w:color w:val="000000"/>
        </w:rPr>
        <w:t xml:space="preserve">consistent caregiver. </w:t>
      </w:r>
      <w:r w:rsidR="0013457C">
        <w:rPr>
          <w:rFonts w:ascii="Arial" w:hAnsi="Arial" w:cs="Arial"/>
          <w:color w:val="000000"/>
        </w:rPr>
        <w:t>This</w:t>
      </w:r>
      <w:r w:rsidR="0013457C" w:rsidRPr="00E45FAF">
        <w:rPr>
          <w:rFonts w:ascii="Arial" w:hAnsi="Arial" w:cs="Arial"/>
          <w:color w:val="000000"/>
        </w:rPr>
        <w:t xml:space="preserve"> attachment insecurity may therefore represent a key developmental vulnerability </w:t>
      </w:r>
      <w:r w:rsidR="0013457C">
        <w:rPr>
          <w:rFonts w:ascii="Arial" w:hAnsi="Arial" w:cs="Arial"/>
          <w:color w:val="000000"/>
        </w:rPr>
        <w:t>that may explain</w:t>
      </w:r>
      <w:r w:rsidR="0013457C" w:rsidRPr="00E45FAF">
        <w:rPr>
          <w:rFonts w:ascii="Arial" w:hAnsi="Arial" w:cs="Arial"/>
          <w:color w:val="000000"/>
        </w:rPr>
        <w:t xml:space="preserve"> Ryan’s emotional dysregulation, and engagement in group-based</w:t>
      </w:r>
      <w:r w:rsidR="0013457C">
        <w:rPr>
          <w:rFonts w:ascii="Arial" w:hAnsi="Arial" w:cs="Arial"/>
          <w:color w:val="000000"/>
        </w:rPr>
        <w:t xml:space="preserve"> </w:t>
      </w:r>
      <w:r w:rsidR="0013457C" w:rsidRPr="00E45FAF">
        <w:rPr>
          <w:rFonts w:ascii="Arial" w:hAnsi="Arial" w:cs="Arial"/>
          <w:color w:val="000000"/>
        </w:rPr>
        <w:t xml:space="preserve">offending. However, it is important to acknowledge that many individuals with insecure attachments do not offend, and structural factors such as </w:t>
      </w:r>
      <w:r w:rsidR="0013457C">
        <w:rPr>
          <w:rFonts w:ascii="Arial" w:hAnsi="Arial" w:cs="Arial"/>
          <w:color w:val="000000"/>
        </w:rPr>
        <w:t>potential neglect highlighted with social services involvement prior</w:t>
      </w:r>
      <w:r w:rsidR="0013457C" w:rsidRPr="00E45FAF">
        <w:rPr>
          <w:rFonts w:ascii="Arial" w:hAnsi="Arial" w:cs="Arial"/>
          <w:color w:val="000000"/>
        </w:rPr>
        <w:t xml:space="preserve"> and school exclusion also </w:t>
      </w:r>
      <w:r w:rsidR="0013457C">
        <w:rPr>
          <w:rFonts w:ascii="Arial" w:hAnsi="Arial" w:cs="Arial"/>
          <w:color w:val="000000"/>
        </w:rPr>
        <w:t>have</w:t>
      </w:r>
      <w:r w:rsidR="0013457C" w:rsidRPr="00E45FAF">
        <w:rPr>
          <w:rFonts w:ascii="Arial" w:hAnsi="Arial" w:cs="Arial"/>
          <w:color w:val="000000"/>
        </w:rPr>
        <w:t xml:space="preserve"> powerful criminogenic effects. </w:t>
      </w:r>
      <w:r w:rsidR="00F64F37">
        <w:rPr>
          <w:rFonts w:ascii="Arial" w:hAnsi="Arial" w:cs="Arial"/>
          <w:color w:val="000000"/>
        </w:rPr>
        <w:t>Attachment</w:t>
      </w:r>
      <w:r w:rsidR="0013457C" w:rsidRPr="00E45FAF">
        <w:rPr>
          <w:rFonts w:ascii="Arial" w:hAnsi="Arial" w:cs="Arial"/>
          <w:color w:val="000000"/>
        </w:rPr>
        <w:t xml:space="preserve"> </w:t>
      </w:r>
      <w:r w:rsidR="00F64F37">
        <w:rPr>
          <w:rFonts w:ascii="Arial" w:hAnsi="Arial" w:cs="Arial"/>
          <w:color w:val="000000"/>
        </w:rPr>
        <w:t>T</w:t>
      </w:r>
      <w:r w:rsidR="0013457C" w:rsidRPr="00E45FAF">
        <w:rPr>
          <w:rFonts w:ascii="Arial" w:hAnsi="Arial" w:cs="Arial"/>
          <w:color w:val="000000"/>
        </w:rPr>
        <w:t>heory offers a valuable lens through which to conceptualise Ryan’s relational needs and informs the selection of relationally focused, trauma-informed interventions.</w:t>
      </w:r>
      <w:r w:rsidR="0013457C">
        <w:rPr>
          <w:rFonts w:ascii="Arial" w:hAnsi="Arial" w:cs="Arial"/>
          <w:color w:val="000000"/>
        </w:rPr>
        <w:t xml:space="preserve"> </w:t>
      </w:r>
      <w:r w:rsidRPr="008F5816">
        <w:rPr>
          <w:rFonts w:ascii="Arial" w:hAnsi="Arial" w:cs="Arial"/>
          <w:color w:val="000000"/>
        </w:rPr>
        <w:t xml:space="preserve">Critically, while developmental risk models are </w:t>
      </w:r>
      <w:r w:rsidR="0013457C">
        <w:rPr>
          <w:rFonts w:ascii="Arial" w:hAnsi="Arial" w:cs="Arial"/>
          <w:color w:val="000000"/>
        </w:rPr>
        <w:t xml:space="preserve">supported in </w:t>
      </w:r>
      <w:r w:rsidR="0013457C">
        <w:rPr>
          <w:rFonts w:ascii="Arial" w:hAnsi="Arial" w:cs="Arial"/>
          <w:color w:val="000000"/>
        </w:rPr>
        <w:lastRenderedPageBreak/>
        <w:t>this instance</w:t>
      </w:r>
      <w:r w:rsidRPr="008F5816">
        <w:rPr>
          <w:rFonts w:ascii="Arial" w:hAnsi="Arial" w:cs="Arial"/>
          <w:color w:val="000000"/>
        </w:rPr>
        <w:t xml:space="preserve">, they have been criticised for potentially pathologizing disadvantaged youth and underestimating the role of structural inequalities in shaping life chances (Case &amp; Haines, 2020). </w:t>
      </w:r>
    </w:p>
    <w:p w14:paraId="0C4E7A9C" w14:textId="77777777" w:rsidR="00903B61" w:rsidRPr="008F5816" w:rsidRDefault="00903B61" w:rsidP="00903B61">
      <w:pPr>
        <w:spacing w:line="360" w:lineRule="auto"/>
        <w:ind w:firstLine="851"/>
        <w:rPr>
          <w:rFonts w:ascii="Arial" w:hAnsi="Arial" w:cs="Arial"/>
        </w:rPr>
      </w:pPr>
    </w:p>
    <w:p w14:paraId="39C26B05" w14:textId="77777777" w:rsidR="00903B61" w:rsidRPr="008F5816" w:rsidRDefault="00903B61" w:rsidP="00903B61">
      <w:pPr>
        <w:spacing w:before="100" w:beforeAutospacing="1" w:after="100" w:afterAutospacing="1" w:line="360" w:lineRule="auto"/>
        <w:ind w:firstLine="851"/>
        <w:outlineLvl w:val="1"/>
        <w:rPr>
          <w:rFonts w:ascii="Arial" w:hAnsi="Arial" w:cs="Arial"/>
          <w:b/>
          <w:bCs/>
          <w:color w:val="000000"/>
        </w:rPr>
      </w:pPr>
      <w:r w:rsidRPr="008F5816">
        <w:rPr>
          <w:rFonts w:ascii="Arial" w:hAnsi="Arial" w:cs="Arial"/>
          <w:b/>
          <w:bCs/>
          <w:color w:val="000000"/>
        </w:rPr>
        <w:t>Precipitating Factors</w:t>
      </w:r>
    </w:p>
    <w:p w14:paraId="72906911" w14:textId="7A4E71C4" w:rsidR="00903B61" w:rsidRPr="008F5816" w:rsidRDefault="00903B61" w:rsidP="00903B61">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t xml:space="preserve">Ryan’s transition into offending appears to have been precipitated by a </w:t>
      </w:r>
      <w:r w:rsidR="006674F0">
        <w:rPr>
          <w:rFonts w:ascii="Arial" w:hAnsi="Arial" w:cs="Arial"/>
          <w:color w:val="000000"/>
        </w:rPr>
        <w:t>both</w:t>
      </w:r>
      <w:r w:rsidRPr="008F5816">
        <w:rPr>
          <w:rFonts w:ascii="Arial" w:hAnsi="Arial" w:cs="Arial"/>
          <w:color w:val="000000"/>
        </w:rPr>
        <w:t xml:space="preserve"> </w:t>
      </w:r>
      <w:r w:rsidR="006674F0">
        <w:rPr>
          <w:rFonts w:ascii="Arial" w:hAnsi="Arial" w:cs="Arial"/>
          <w:color w:val="000000"/>
        </w:rPr>
        <w:t>s</w:t>
      </w:r>
      <w:r w:rsidRPr="008F5816">
        <w:rPr>
          <w:rFonts w:ascii="Arial" w:hAnsi="Arial" w:cs="Arial"/>
          <w:color w:val="000000"/>
        </w:rPr>
        <w:t>ituational and social factors during mid-adolescence. By the age of 15, Ryan had disengaged from formal education following multiple exclusions and began spending most of his time with an older peer group in his local area. This period coincided with increased unsupervised time, financial strain within the family, and reduced access to prosocial activities.</w:t>
      </w:r>
    </w:p>
    <w:p w14:paraId="1545955E" w14:textId="77777777" w:rsidR="006674F0" w:rsidRDefault="00903B61" w:rsidP="00B22132">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t xml:space="preserve">Social Learning Theory </w:t>
      </w:r>
      <w:r>
        <w:rPr>
          <w:rFonts w:ascii="Arial" w:hAnsi="Arial" w:cs="Arial"/>
          <w:color w:val="000000"/>
        </w:rPr>
        <w:t>(SLT; Bandura, 1977) states</w:t>
      </w:r>
      <w:r w:rsidRPr="008F5816">
        <w:rPr>
          <w:rFonts w:ascii="Arial" w:hAnsi="Arial" w:cs="Arial"/>
          <w:color w:val="000000"/>
        </w:rPr>
        <w:t xml:space="preserve"> that criminal behaviour is learned through observation, imitation, and reinforcement within peer networks (Akers, 2017). Adolescents are particularly susceptible to peer influence due to developmental changes in social motivation and reward sensitivity. Neurodevelopmental research demonstrates that during adolescence, the socio-emotional reward system matures earlier than the cognitive control system, resulting in heightened sensation-seeking and reduced impulse regulation, particularly in peer contexts (Steinberg, 2017).</w:t>
      </w:r>
      <w:r>
        <w:rPr>
          <w:rFonts w:ascii="Arial" w:hAnsi="Arial" w:cs="Arial"/>
          <w:color w:val="000000"/>
        </w:rPr>
        <w:t xml:space="preserve"> </w:t>
      </w:r>
      <w:r w:rsidR="001D384C" w:rsidRPr="002B4B26">
        <w:rPr>
          <w:rFonts w:ascii="Arial" w:hAnsi="Arial" w:cs="Arial"/>
        </w:rPr>
        <w:t>Ryan’s statement that he was “pressured by his mates” illustrates the role of imitation and normative influence in shaping behaviour, consistent with empirical evidence demonstrating that delinquent peer affiliation is one of the strongest proximal predictors of adolescent offending (</w:t>
      </w:r>
      <w:r w:rsidR="00B640A6">
        <w:rPr>
          <w:rFonts w:ascii="Arial" w:hAnsi="Arial" w:cs="Arial"/>
        </w:rPr>
        <w:t xml:space="preserve">Boman et al, 2018; </w:t>
      </w:r>
      <w:r w:rsidR="001D384C" w:rsidRPr="002B4B26">
        <w:rPr>
          <w:rFonts w:ascii="Arial" w:hAnsi="Arial" w:cs="Arial"/>
        </w:rPr>
        <w:t>Pratt et al., 20</w:t>
      </w:r>
      <w:r w:rsidR="00B640A6">
        <w:rPr>
          <w:rFonts w:ascii="Arial" w:hAnsi="Arial" w:cs="Arial"/>
        </w:rPr>
        <w:t>19</w:t>
      </w:r>
      <w:r w:rsidR="001D384C" w:rsidRPr="002B4B26">
        <w:rPr>
          <w:rFonts w:ascii="Arial" w:hAnsi="Arial" w:cs="Arial"/>
        </w:rPr>
        <w:t>)</w:t>
      </w:r>
      <w:r w:rsidRPr="008F5816">
        <w:rPr>
          <w:rFonts w:ascii="Arial" w:hAnsi="Arial" w:cs="Arial"/>
          <w:color w:val="000000"/>
        </w:rPr>
        <w:t>. His participation in burglaries alongside older peers suggests a desire for peer approval</w:t>
      </w:r>
      <w:r w:rsidR="006674F0">
        <w:rPr>
          <w:rFonts w:ascii="Arial" w:hAnsi="Arial" w:cs="Arial"/>
          <w:color w:val="000000"/>
        </w:rPr>
        <w:t xml:space="preserve"> </w:t>
      </w:r>
      <w:r w:rsidRPr="008F5816">
        <w:rPr>
          <w:rFonts w:ascii="Arial" w:hAnsi="Arial" w:cs="Arial"/>
          <w:color w:val="000000"/>
        </w:rPr>
        <w:t>and belonging</w:t>
      </w:r>
      <w:r>
        <w:rPr>
          <w:rFonts w:ascii="Arial" w:hAnsi="Arial" w:cs="Arial"/>
          <w:color w:val="000000"/>
        </w:rPr>
        <w:t xml:space="preserve"> which are </w:t>
      </w:r>
      <w:r w:rsidRPr="008F5816">
        <w:rPr>
          <w:rFonts w:ascii="Arial" w:hAnsi="Arial" w:cs="Arial"/>
          <w:color w:val="000000"/>
        </w:rPr>
        <w:t xml:space="preserve">factors central to </w:t>
      </w:r>
      <w:r>
        <w:rPr>
          <w:rFonts w:ascii="Arial" w:hAnsi="Arial" w:cs="Arial"/>
          <w:color w:val="000000"/>
        </w:rPr>
        <w:t xml:space="preserve">the formation of identity during </w:t>
      </w:r>
      <w:r w:rsidRPr="008F5816">
        <w:rPr>
          <w:rFonts w:ascii="Arial" w:hAnsi="Arial" w:cs="Arial"/>
          <w:color w:val="000000"/>
        </w:rPr>
        <w:t>adolescen</w:t>
      </w:r>
      <w:r>
        <w:rPr>
          <w:rFonts w:ascii="Arial" w:hAnsi="Arial" w:cs="Arial"/>
          <w:color w:val="000000"/>
        </w:rPr>
        <w:t>ce</w:t>
      </w:r>
      <w:r w:rsidRPr="008F5816">
        <w:rPr>
          <w:rFonts w:ascii="Arial" w:hAnsi="Arial" w:cs="Arial"/>
          <w:color w:val="000000"/>
        </w:rPr>
        <w:t xml:space="preserve">. </w:t>
      </w:r>
    </w:p>
    <w:p w14:paraId="0F236B1B" w14:textId="6028B8C7" w:rsidR="00903B61" w:rsidRPr="008F5816" w:rsidRDefault="00903B61" w:rsidP="00B22132">
      <w:pPr>
        <w:spacing w:before="100" w:beforeAutospacing="1" w:after="100" w:afterAutospacing="1" w:line="360" w:lineRule="auto"/>
        <w:ind w:firstLine="851"/>
        <w:rPr>
          <w:rFonts w:ascii="Arial" w:hAnsi="Arial" w:cs="Arial"/>
          <w:color w:val="000000"/>
        </w:rPr>
      </w:pPr>
      <w:r>
        <w:rPr>
          <w:rFonts w:ascii="Arial" w:hAnsi="Arial" w:cs="Arial"/>
          <w:color w:val="000000"/>
        </w:rPr>
        <w:t>As well as this</w:t>
      </w:r>
      <w:r w:rsidRPr="008F5816">
        <w:rPr>
          <w:rFonts w:ascii="Arial" w:hAnsi="Arial" w:cs="Arial"/>
          <w:color w:val="000000"/>
        </w:rPr>
        <w:t xml:space="preserve">, the nature of the offences, involving financial gain and material reward, aligns with General Strain Theory, which posits that economic strain and blocked legitimate opportunities increase the likelihood of acquisitive crime as a coping strategy (Agnew, 2019). </w:t>
      </w:r>
      <w:r w:rsidR="00B640A6" w:rsidRPr="00443EC1">
        <w:rPr>
          <w:rFonts w:ascii="Arial" w:hAnsi="Arial" w:cs="Arial"/>
          <w:color w:val="000000"/>
        </w:rPr>
        <w:t xml:space="preserve">Empirical research consistently demonstrates that adolescents exposed to cumulative strain are significantly more likely to engage in </w:t>
      </w:r>
      <w:r w:rsidR="00B640A6" w:rsidRPr="00443EC1">
        <w:rPr>
          <w:rFonts w:ascii="Arial" w:hAnsi="Arial" w:cs="Arial"/>
          <w:color w:val="000000"/>
        </w:rPr>
        <w:lastRenderedPageBreak/>
        <w:t xml:space="preserve">delinquent behaviour, particularly acquisitive and peer-based offending (Baron, 2004; </w:t>
      </w:r>
      <w:r w:rsidR="00B640A6">
        <w:rPr>
          <w:rFonts w:ascii="Arial" w:hAnsi="Arial" w:cs="Arial"/>
          <w:color w:val="000000"/>
        </w:rPr>
        <w:t xml:space="preserve">Froggio, </w:t>
      </w:r>
      <w:r w:rsidR="00B22132">
        <w:rPr>
          <w:rFonts w:ascii="Arial" w:hAnsi="Arial" w:cs="Arial"/>
          <w:color w:val="000000"/>
        </w:rPr>
        <w:t>2007</w:t>
      </w:r>
      <w:r w:rsidR="00B640A6" w:rsidRPr="00443EC1">
        <w:rPr>
          <w:rFonts w:ascii="Arial" w:hAnsi="Arial" w:cs="Arial"/>
          <w:color w:val="000000"/>
        </w:rPr>
        <w:t>). Ryan’s case reflects a classic strain-to-crime pathway, whereby offending functions as an emotion-focused and instrumental coping response to disadvantage</w:t>
      </w:r>
      <w:r w:rsidR="00B640A6">
        <w:rPr>
          <w:rFonts w:ascii="Arial" w:hAnsi="Arial" w:cs="Arial"/>
          <w:color w:val="000000"/>
        </w:rPr>
        <w:t>s</w:t>
      </w:r>
      <w:r w:rsidR="00B640A6" w:rsidRPr="00443EC1">
        <w:rPr>
          <w:rFonts w:ascii="Arial" w:hAnsi="Arial" w:cs="Arial"/>
          <w:color w:val="000000"/>
        </w:rPr>
        <w:t>.</w:t>
      </w:r>
      <w:r w:rsidR="00B22132">
        <w:rPr>
          <w:rFonts w:ascii="Arial" w:hAnsi="Arial" w:cs="Arial"/>
          <w:color w:val="000000"/>
        </w:rPr>
        <w:t xml:space="preserve"> S</w:t>
      </w:r>
      <w:r w:rsidR="00B22132" w:rsidRPr="00443EC1">
        <w:rPr>
          <w:rFonts w:ascii="Arial" w:hAnsi="Arial" w:cs="Arial"/>
          <w:color w:val="000000"/>
        </w:rPr>
        <w:t xml:space="preserve">train arising from family instability, poverty, and school exclusion </w:t>
      </w:r>
      <w:r w:rsidR="00B22132">
        <w:rPr>
          <w:rFonts w:ascii="Arial" w:hAnsi="Arial" w:cs="Arial"/>
          <w:color w:val="000000"/>
        </w:rPr>
        <w:t xml:space="preserve">may have </w:t>
      </w:r>
      <w:r w:rsidR="00B22132" w:rsidRPr="00443EC1">
        <w:rPr>
          <w:rFonts w:ascii="Arial" w:hAnsi="Arial" w:cs="Arial"/>
          <w:color w:val="000000"/>
        </w:rPr>
        <w:t xml:space="preserve">created emotional vulnerability and reduced access to legitimate routes to status and success. </w:t>
      </w:r>
      <w:r w:rsidR="00B22132">
        <w:rPr>
          <w:rFonts w:ascii="Arial" w:hAnsi="Arial" w:cs="Arial"/>
          <w:color w:val="000000"/>
        </w:rPr>
        <w:t>SLT</w:t>
      </w:r>
      <w:r w:rsidR="00B22132" w:rsidRPr="00443EC1">
        <w:rPr>
          <w:rFonts w:ascii="Arial" w:hAnsi="Arial" w:cs="Arial"/>
          <w:color w:val="000000"/>
        </w:rPr>
        <w:t xml:space="preserve"> then accounts for how this motivation was translated into behaviour through association with delinquent peers who modelled burglary as a viable and rewarding coping strategy.</w:t>
      </w:r>
    </w:p>
    <w:p w14:paraId="5CD0ABFF" w14:textId="77777777" w:rsidR="00903B61" w:rsidRPr="008F5816" w:rsidRDefault="00903B61" w:rsidP="00903B61">
      <w:pPr>
        <w:spacing w:line="360" w:lineRule="auto"/>
        <w:ind w:firstLine="851"/>
        <w:rPr>
          <w:rFonts w:ascii="Arial" w:hAnsi="Arial" w:cs="Arial"/>
        </w:rPr>
      </w:pPr>
    </w:p>
    <w:p w14:paraId="4C633086" w14:textId="77777777" w:rsidR="00903B61" w:rsidRPr="008F5816" w:rsidRDefault="00903B61" w:rsidP="00903B61">
      <w:pPr>
        <w:spacing w:before="100" w:beforeAutospacing="1" w:after="100" w:afterAutospacing="1" w:line="360" w:lineRule="auto"/>
        <w:ind w:firstLine="851"/>
        <w:outlineLvl w:val="1"/>
        <w:rPr>
          <w:rFonts w:ascii="Arial" w:hAnsi="Arial" w:cs="Arial"/>
          <w:b/>
          <w:bCs/>
          <w:color w:val="000000"/>
        </w:rPr>
      </w:pPr>
      <w:r w:rsidRPr="008F5816">
        <w:rPr>
          <w:rFonts w:ascii="Arial" w:hAnsi="Arial" w:cs="Arial"/>
          <w:b/>
          <w:bCs/>
          <w:color w:val="000000"/>
        </w:rPr>
        <w:t>Perpetuating Factors</w:t>
      </w:r>
    </w:p>
    <w:p w14:paraId="1BD5F593" w14:textId="0D473318" w:rsidR="00EB7B3B" w:rsidRDefault="00903B61" w:rsidP="00EB7B3B">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t>Several factors appear to be perpetuating Ryan’s offending behaviour and increasing his risk of recidivism. These include unresolved childhood trauma, emotional dysregulation, antisocial peer affiliation, and ongoing disengagement from education and structured activity</w:t>
      </w:r>
      <w:r>
        <w:rPr>
          <w:rFonts w:ascii="Arial" w:hAnsi="Arial" w:cs="Arial"/>
          <w:color w:val="000000"/>
        </w:rPr>
        <w:t xml:space="preserve">. </w:t>
      </w:r>
      <w:r w:rsidRPr="008F5816">
        <w:rPr>
          <w:rFonts w:ascii="Arial" w:hAnsi="Arial" w:cs="Arial"/>
          <w:color w:val="000000"/>
        </w:rPr>
        <w:t xml:space="preserve">Kerig et al. (2024) highlight that justice-involved youth display disproportionately high rates of trauma exposure, with many meeting criteria for complex trauma. Trauma-exposed adolescents often develop maladaptive coping strategies, including emotional numbing, hypervigilance, and externalising behaviour, which </w:t>
      </w:r>
      <w:r w:rsidR="006674F0">
        <w:rPr>
          <w:rFonts w:ascii="Arial" w:hAnsi="Arial" w:cs="Arial"/>
          <w:color w:val="000000"/>
        </w:rPr>
        <w:t>can</w:t>
      </w:r>
      <w:r w:rsidRPr="008F5816">
        <w:rPr>
          <w:rFonts w:ascii="Arial" w:hAnsi="Arial" w:cs="Arial"/>
          <w:color w:val="000000"/>
        </w:rPr>
        <w:t xml:space="preserve"> manifest as aggression, risk-taking, and offending. Ryan’s guarded interpersonal style, poor eye contact, and tendency to externalise blame are consistent with trauma-related defensive strategies.</w:t>
      </w:r>
      <w:r>
        <w:rPr>
          <w:rFonts w:ascii="Arial" w:hAnsi="Arial" w:cs="Arial"/>
          <w:color w:val="000000"/>
        </w:rPr>
        <w:t xml:space="preserve"> </w:t>
      </w:r>
      <w:r w:rsidRPr="008F5816">
        <w:rPr>
          <w:rFonts w:ascii="Arial" w:hAnsi="Arial" w:cs="Arial"/>
          <w:color w:val="000000"/>
        </w:rPr>
        <w:t xml:space="preserve">Ryan’s cognitive style further reflects criminogenic thinking patterns. His minimisation of responsibility and rationalisation of behaviour are characteristic of what Sykes and Matza (1957) termed techniques of neutralisation, which allow offenders to justify wrongdoing while preserving a positive self-concept. </w:t>
      </w:r>
      <w:r>
        <w:rPr>
          <w:rFonts w:ascii="Arial" w:hAnsi="Arial" w:cs="Arial"/>
          <w:color w:val="000000"/>
        </w:rPr>
        <w:t xml:space="preserve">These cognitive </w:t>
      </w:r>
      <w:r w:rsidRPr="008F5816">
        <w:rPr>
          <w:rFonts w:ascii="Arial" w:hAnsi="Arial" w:cs="Arial"/>
          <w:color w:val="000000"/>
        </w:rPr>
        <w:t>distortions are associated with increased risk of recidivism if left unaddressed.</w:t>
      </w:r>
    </w:p>
    <w:p w14:paraId="535C9E4A" w14:textId="20A404C9" w:rsidR="00EB7B3B" w:rsidRDefault="00EB7B3B" w:rsidP="00B57028">
      <w:pPr>
        <w:spacing w:before="100" w:beforeAutospacing="1" w:after="100" w:afterAutospacing="1" w:line="360" w:lineRule="auto"/>
        <w:ind w:firstLine="851"/>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Low levels of</w:t>
      </w:r>
      <w:r w:rsidRPr="00BB7124">
        <w:rPr>
          <w:rFonts w:ascii="Arial" w:eastAsia="Times New Roman" w:hAnsi="Arial" w:cs="Arial"/>
          <w:color w:val="000000"/>
          <w:kern w:val="0"/>
          <w:lang w:eastAsia="en-GB"/>
          <w14:ligatures w14:val="none"/>
        </w:rPr>
        <w:t xml:space="preserve"> parental supervision </w:t>
      </w:r>
      <w:r w:rsidRPr="001B746C">
        <w:rPr>
          <w:rFonts w:ascii="Arial" w:eastAsia="Times New Roman" w:hAnsi="Arial" w:cs="Arial"/>
          <w:color w:val="000000"/>
          <w:kern w:val="0"/>
          <w:lang w:eastAsia="en-GB"/>
          <w14:ligatures w14:val="none"/>
        </w:rPr>
        <w:t>can also act as a</w:t>
      </w:r>
      <w:r w:rsidRPr="00BB7124">
        <w:rPr>
          <w:rFonts w:ascii="Arial" w:eastAsia="Times New Roman" w:hAnsi="Arial" w:cs="Arial"/>
          <w:color w:val="000000"/>
          <w:kern w:val="0"/>
          <w:lang w:eastAsia="en-GB"/>
          <w14:ligatures w14:val="none"/>
        </w:rPr>
        <w:t xml:space="preserve"> predictor </w:t>
      </w:r>
      <w:r w:rsidRPr="001B746C">
        <w:rPr>
          <w:rFonts w:ascii="Arial" w:eastAsia="Times New Roman" w:hAnsi="Arial" w:cs="Arial"/>
          <w:color w:val="000000"/>
          <w:kern w:val="0"/>
          <w:lang w:eastAsia="en-GB"/>
          <w14:ligatures w14:val="none"/>
        </w:rPr>
        <w:t>for</w:t>
      </w:r>
      <w:r w:rsidRPr="00BB7124">
        <w:rPr>
          <w:rFonts w:ascii="Arial" w:eastAsia="Times New Roman" w:hAnsi="Arial" w:cs="Arial"/>
          <w:color w:val="000000"/>
          <w:kern w:val="0"/>
          <w:lang w:eastAsia="en-GB"/>
          <w14:ligatures w14:val="none"/>
        </w:rPr>
        <w:t xml:space="preserve"> adolescent delinquency, particularly </w:t>
      </w:r>
      <w:r>
        <w:rPr>
          <w:rFonts w:ascii="Arial" w:eastAsia="Times New Roman" w:hAnsi="Arial" w:cs="Arial"/>
          <w:color w:val="000000"/>
          <w:kern w:val="0"/>
          <w:lang w:eastAsia="en-GB"/>
          <w14:ligatures w14:val="none"/>
        </w:rPr>
        <w:t xml:space="preserve">in </w:t>
      </w:r>
      <w:r w:rsidRPr="00BB7124">
        <w:rPr>
          <w:rFonts w:ascii="Arial" w:eastAsia="Times New Roman" w:hAnsi="Arial" w:cs="Arial"/>
          <w:color w:val="000000"/>
          <w:kern w:val="0"/>
          <w:lang w:eastAsia="en-GB"/>
          <w14:ligatures w14:val="none"/>
        </w:rPr>
        <w:t xml:space="preserve">peer-group offending. </w:t>
      </w:r>
      <w:r w:rsidRPr="001B746C">
        <w:rPr>
          <w:rFonts w:ascii="Arial" w:eastAsia="Times New Roman" w:hAnsi="Arial" w:cs="Arial"/>
          <w:color w:val="000000"/>
          <w:kern w:val="0"/>
          <w:lang w:eastAsia="en-GB"/>
          <w14:ligatures w14:val="none"/>
        </w:rPr>
        <w:t xml:space="preserve">Evidence has shown </w:t>
      </w:r>
      <w:r w:rsidRPr="00BB7124">
        <w:rPr>
          <w:rFonts w:ascii="Arial" w:eastAsia="Times New Roman" w:hAnsi="Arial" w:cs="Arial"/>
          <w:color w:val="000000"/>
          <w:kern w:val="0"/>
          <w:lang w:eastAsia="en-GB"/>
          <w14:ligatures w14:val="none"/>
        </w:rPr>
        <w:t xml:space="preserve">that low parental monitoring, inconsistent discipline, and reduced emotional availability significantly increase the likelihood of burglary, theft, and </w:t>
      </w:r>
      <w:r w:rsidRPr="001B746C">
        <w:rPr>
          <w:rFonts w:ascii="Arial" w:eastAsia="Times New Roman" w:hAnsi="Arial" w:cs="Arial"/>
          <w:color w:val="000000"/>
          <w:kern w:val="0"/>
          <w:lang w:eastAsia="en-GB"/>
          <w14:ligatures w14:val="none"/>
        </w:rPr>
        <w:t>other</w:t>
      </w:r>
      <w:r w:rsidRPr="00BB7124">
        <w:rPr>
          <w:rFonts w:ascii="Arial" w:eastAsia="Times New Roman" w:hAnsi="Arial" w:cs="Arial"/>
          <w:color w:val="000000"/>
          <w:kern w:val="0"/>
          <w:lang w:eastAsia="en-GB"/>
          <w14:ligatures w14:val="none"/>
        </w:rPr>
        <w:t xml:space="preserve"> </w:t>
      </w:r>
      <w:r w:rsidRPr="001B746C">
        <w:rPr>
          <w:rFonts w:ascii="Arial" w:eastAsia="Times New Roman" w:hAnsi="Arial" w:cs="Arial"/>
          <w:color w:val="000000"/>
          <w:kern w:val="0"/>
          <w:lang w:eastAsia="en-GB"/>
          <w14:ligatures w14:val="none"/>
        </w:rPr>
        <w:t>o</w:t>
      </w:r>
      <w:r w:rsidRPr="00BB7124">
        <w:rPr>
          <w:rFonts w:ascii="Arial" w:eastAsia="Times New Roman" w:hAnsi="Arial" w:cs="Arial"/>
          <w:color w:val="000000"/>
          <w:kern w:val="0"/>
          <w:lang w:eastAsia="en-GB"/>
          <w14:ligatures w14:val="none"/>
        </w:rPr>
        <w:t>ffending</w:t>
      </w:r>
      <w:r w:rsidRPr="001B746C">
        <w:rPr>
          <w:rFonts w:ascii="Arial" w:eastAsia="Times New Roman" w:hAnsi="Arial" w:cs="Arial"/>
          <w:color w:val="000000"/>
          <w:kern w:val="0"/>
          <w:lang w:eastAsia="en-GB"/>
          <w14:ligatures w14:val="none"/>
        </w:rPr>
        <w:t xml:space="preserve"> behaviours</w:t>
      </w:r>
      <w:r w:rsidRPr="00BB7124">
        <w:rPr>
          <w:rFonts w:ascii="Arial" w:eastAsia="Times New Roman" w:hAnsi="Arial" w:cs="Arial"/>
          <w:color w:val="000000"/>
          <w:kern w:val="0"/>
          <w:lang w:eastAsia="en-GB"/>
          <w14:ligatures w14:val="none"/>
        </w:rPr>
        <w:t xml:space="preserve"> during adolescence (Hoeve et al., 2018</w:t>
      </w:r>
      <w:r w:rsidRPr="001B746C">
        <w:rPr>
          <w:rFonts w:ascii="Arial" w:eastAsia="Times New Roman" w:hAnsi="Arial" w:cs="Arial"/>
          <w:color w:val="000000"/>
          <w:kern w:val="0"/>
          <w:lang w:eastAsia="en-GB"/>
          <w14:ligatures w14:val="none"/>
        </w:rPr>
        <w:t xml:space="preserve">; </w:t>
      </w:r>
      <w:r w:rsidR="00DD3639">
        <w:rPr>
          <w:rFonts w:ascii="Arial" w:eastAsia="Times New Roman" w:hAnsi="Arial" w:cs="Arial"/>
          <w:color w:val="000000"/>
          <w:kern w:val="0"/>
          <w:lang w:eastAsia="en-GB"/>
          <w14:ligatures w14:val="none"/>
        </w:rPr>
        <w:t>Farrington, 2011</w:t>
      </w:r>
      <w:r w:rsidRPr="00BB7124">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Social</w:t>
      </w:r>
      <w:r w:rsidRPr="00BB7124">
        <w:rPr>
          <w:rFonts w:ascii="Arial" w:eastAsia="Times New Roman" w:hAnsi="Arial" w:cs="Arial"/>
          <w:color w:val="000000"/>
          <w:kern w:val="0"/>
          <w:lang w:eastAsia="en-GB"/>
          <w14:ligatures w14:val="none"/>
        </w:rPr>
        <w:t xml:space="preserve"> Bond Theory</w:t>
      </w:r>
      <w:r>
        <w:rPr>
          <w:rFonts w:ascii="Arial" w:eastAsia="Times New Roman" w:hAnsi="Arial" w:cs="Arial"/>
          <w:color w:val="000000"/>
          <w:kern w:val="0"/>
          <w:lang w:eastAsia="en-GB"/>
          <w14:ligatures w14:val="none"/>
        </w:rPr>
        <w:t xml:space="preserve"> </w:t>
      </w:r>
      <w:r w:rsidRPr="001B746C">
        <w:rPr>
          <w:rFonts w:ascii="Arial" w:eastAsia="Times New Roman" w:hAnsi="Arial" w:cs="Arial"/>
          <w:color w:val="000000"/>
          <w:kern w:val="0"/>
          <w:lang w:eastAsia="en-GB"/>
          <w14:ligatures w14:val="none"/>
        </w:rPr>
        <w:t>suggests</w:t>
      </w:r>
      <w:r w:rsidRPr="00BB7124">
        <w:rPr>
          <w:rFonts w:ascii="Arial" w:eastAsia="Times New Roman" w:hAnsi="Arial" w:cs="Arial"/>
          <w:color w:val="000000"/>
          <w:kern w:val="0"/>
          <w:lang w:eastAsia="en-GB"/>
          <w14:ligatures w14:val="none"/>
        </w:rPr>
        <w:t xml:space="preserve"> that </w:t>
      </w:r>
      <w:r w:rsidRPr="001B746C">
        <w:rPr>
          <w:rFonts w:ascii="Arial" w:eastAsia="Times New Roman" w:hAnsi="Arial" w:cs="Arial"/>
          <w:color w:val="000000"/>
          <w:kern w:val="0"/>
          <w:lang w:eastAsia="en-GB"/>
          <w14:ligatures w14:val="none"/>
        </w:rPr>
        <w:t>weak parental</w:t>
      </w:r>
      <w:r w:rsidRPr="00BB7124">
        <w:rPr>
          <w:rFonts w:ascii="Arial" w:eastAsia="Times New Roman" w:hAnsi="Arial" w:cs="Arial"/>
          <w:color w:val="000000"/>
          <w:kern w:val="0"/>
          <w:lang w:eastAsia="en-GB"/>
          <w14:ligatures w14:val="none"/>
        </w:rPr>
        <w:t xml:space="preserve"> attachment and supervision </w:t>
      </w:r>
      <w:r w:rsidRPr="001B746C">
        <w:rPr>
          <w:rFonts w:ascii="Arial" w:eastAsia="Times New Roman" w:hAnsi="Arial" w:cs="Arial"/>
          <w:color w:val="000000"/>
          <w:kern w:val="0"/>
          <w:lang w:eastAsia="en-GB"/>
          <w14:ligatures w14:val="none"/>
        </w:rPr>
        <w:t>decrease</w:t>
      </w:r>
      <w:r w:rsidRPr="00BB7124">
        <w:rPr>
          <w:rFonts w:ascii="Arial" w:eastAsia="Times New Roman" w:hAnsi="Arial" w:cs="Arial"/>
          <w:color w:val="000000"/>
          <w:kern w:val="0"/>
          <w:lang w:eastAsia="en-GB"/>
          <w14:ligatures w14:val="none"/>
        </w:rPr>
        <w:t xml:space="preserve"> internalised social </w:t>
      </w:r>
      <w:r w:rsidRPr="00BB7124">
        <w:rPr>
          <w:rFonts w:ascii="Arial" w:eastAsia="Times New Roman" w:hAnsi="Arial" w:cs="Arial"/>
          <w:color w:val="000000"/>
          <w:kern w:val="0"/>
          <w:lang w:eastAsia="en-GB"/>
          <w14:ligatures w14:val="none"/>
        </w:rPr>
        <w:lastRenderedPageBreak/>
        <w:t xml:space="preserve">regulation, reducing </w:t>
      </w:r>
      <w:r w:rsidRPr="001B746C">
        <w:rPr>
          <w:rFonts w:ascii="Arial" w:eastAsia="Times New Roman" w:hAnsi="Arial" w:cs="Arial"/>
          <w:color w:val="000000"/>
          <w:kern w:val="0"/>
          <w:lang w:eastAsia="en-GB"/>
          <w14:ligatures w14:val="none"/>
        </w:rPr>
        <w:t>adolescent’s desire to conform to</w:t>
      </w:r>
      <w:r w:rsidRPr="00BB7124">
        <w:rPr>
          <w:rFonts w:ascii="Arial" w:eastAsia="Times New Roman" w:hAnsi="Arial" w:cs="Arial"/>
          <w:color w:val="000000"/>
          <w:kern w:val="0"/>
          <w:lang w:eastAsia="en-GB"/>
          <w14:ligatures w14:val="none"/>
        </w:rPr>
        <w:t xml:space="preserve"> conventional norms and increas</w:t>
      </w:r>
      <w:r w:rsidRPr="001B746C">
        <w:rPr>
          <w:rFonts w:ascii="Arial" w:eastAsia="Times New Roman" w:hAnsi="Arial" w:cs="Arial"/>
          <w:color w:val="000000"/>
          <w:kern w:val="0"/>
          <w:lang w:eastAsia="en-GB"/>
          <w14:ligatures w14:val="none"/>
        </w:rPr>
        <w:t>e the</w:t>
      </w:r>
      <w:r w:rsidRPr="00BB7124">
        <w:rPr>
          <w:rFonts w:ascii="Arial" w:eastAsia="Times New Roman" w:hAnsi="Arial" w:cs="Arial"/>
          <w:color w:val="000000"/>
          <w:kern w:val="0"/>
          <w:lang w:eastAsia="en-GB"/>
          <w14:ligatures w14:val="none"/>
        </w:rPr>
        <w:t xml:space="preserve"> susceptibility to peer-led antisocial behaviour</w:t>
      </w:r>
      <w:r>
        <w:rPr>
          <w:rFonts w:ascii="Arial" w:eastAsia="Times New Roman" w:hAnsi="Arial" w:cs="Arial"/>
          <w:color w:val="000000"/>
          <w:kern w:val="0"/>
          <w:lang w:eastAsia="en-GB"/>
          <w14:ligatures w14:val="none"/>
        </w:rPr>
        <w:t xml:space="preserve"> (</w:t>
      </w:r>
      <w:r w:rsidRPr="001B746C">
        <w:rPr>
          <w:rFonts w:ascii="Arial" w:eastAsia="Times New Roman" w:hAnsi="Arial" w:cs="Arial"/>
          <w:color w:val="000000"/>
          <w:kern w:val="0"/>
          <w:lang w:eastAsia="en-GB"/>
          <w14:ligatures w14:val="none"/>
        </w:rPr>
        <w:t>Intravia</w:t>
      </w:r>
      <w:r>
        <w:rPr>
          <w:rFonts w:ascii="Arial" w:eastAsia="Times New Roman" w:hAnsi="Arial" w:cs="Arial"/>
          <w:color w:val="000000"/>
          <w:kern w:val="0"/>
          <w:lang w:eastAsia="en-GB"/>
          <w14:ligatures w14:val="none"/>
        </w:rPr>
        <w:t xml:space="preserve"> et al., 2011)</w:t>
      </w:r>
      <w:r w:rsidRPr="00BB7124">
        <w:rPr>
          <w:rFonts w:ascii="Arial" w:eastAsia="Times New Roman" w:hAnsi="Arial" w:cs="Arial"/>
          <w:color w:val="000000"/>
          <w:kern w:val="0"/>
          <w:lang w:eastAsia="en-GB"/>
          <w14:ligatures w14:val="none"/>
        </w:rPr>
        <w:t>.</w:t>
      </w:r>
      <w:r w:rsidRPr="001B746C">
        <w:rPr>
          <w:rFonts w:ascii="Arial" w:eastAsia="Times New Roman" w:hAnsi="Arial" w:cs="Arial"/>
          <w:color w:val="000000"/>
          <w:kern w:val="0"/>
          <w:lang w:eastAsia="en-GB"/>
          <w14:ligatures w14:val="none"/>
        </w:rPr>
        <w:t xml:space="preserve"> </w:t>
      </w:r>
      <w:r w:rsidRPr="00BB7124">
        <w:rPr>
          <w:rFonts w:ascii="Arial" w:eastAsia="Times New Roman" w:hAnsi="Arial" w:cs="Arial"/>
          <w:color w:val="000000"/>
          <w:kern w:val="0"/>
          <w:lang w:eastAsia="en-GB"/>
          <w14:ligatures w14:val="none"/>
        </w:rPr>
        <w:t>Ryan’s family context reflects multiple indicators of supervisory deficit. His mother works long hours</w:t>
      </w:r>
      <w:r w:rsidRPr="001B746C">
        <w:rPr>
          <w:rFonts w:ascii="Arial" w:eastAsia="Times New Roman" w:hAnsi="Arial" w:cs="Arial"/>
          <w:color w:val="000000"/>
          <w:kern w:val="0"/>
          <w:lang w:eastAsia="en-GB"/>
          <w14:ligatures w14:val="none"/>
        </w:rPr>
        <w:t xml:space="preserve"> in low-paid employment</w:t>
      </w:r>
      <w:r w:rsidRPr="00BB7124">
        <w:rPr>
          <w:rFonts w:ascii="Arial" w:eastAsia="Times New Roman" w:hAnsi="Arial" w:cs="Arial"/>
          <w:color w:val="000000"/>
          <w:kern w:val="0"/>
          <w:lang w:eastAsia="en-GB"/>
          <w14:ligatures w14:val="none"/>
        </w:rPr>
        <w:t>,</w:t>
      </w:r>
      <w:r w:rsidRPr="001B746C">
        <w:rPr>
          <w:rFonts w:ascii="Arial" w:eastAsia="Times New Roman" w:hAnsi="Arial" w:cs="Arial"/>
          <w:color w:val="000000"/>
          <w:kern w:val="0"/>
          <w:lang w:eastAsia="en-GB"/>
          <w14:ligatures w14:val="none"/>
        </w:rPr>
        <w:t xml:space="preserve"> which would suggest a limit to </w:t>
      </w:r>
      <w:r w:rsidRPr="00BB7124">
        <w:rPr>
          <w:rFonts w:ascii="Arial" w:eastAsia="Times New Roman" w:hAnsi="Arial" w:cs="Arial"/>
          <w:color w:val="000000"/>
          <w:kern w:val="0"/>
          <w:lang w:eastAsia="en-GB"/>
          <w14:ligatures w14:val="none"/>
        </w:rPr>
        <w:t xml:space="preserve">her capacity for consistent monitoring, structure and emotional availability. Research </w:t>
      </w:r>
      <w:r w:rsidRPr="001B746C">
        <w:rPr>
          <w:rFonts w:ascii="Arial" w:eastAsia="Times New Roman" w:hAnsi="Arial" w:cs="Arial"/>
          <w:color w:val="000000"/>
          <w:kern w:val="0"/>
          <w:lang w:eastAsia="en-GB"/>
          <w14:ligatures w14:val="none"/>
        </w:rPr>
        <w:t xml:space="preserve">suggests </w:t>
      </w:r>
      <w:r w:rsidRPr="00BB7124">
        <w:rPr>
          <w:rFonts w:ascii="Arial" w:eastAsia="Times New Roman" w:hAnsi="Arial" w:cs="Arial"/>
          <w:color w:val="000000"/>
          <w:kern w:val="0"/>
          <w:lang w:eastAsia="en-GB"/>
          <w14:ligatures w14:val="none"/>
        </w:rPr>
        <w:t xml:space="preserve">that economic pressure combined with single-parent caregiving </w:t>
      </w:r>
      <w:r w:rsidRPr="001B746C">
        <w:rPr>
          <w:rFonts w:ascii="Arial" w:eastAsia="Times New Roman" w:hAnsi="Arial" w:cs="Arial"/>
          <w:color w:val="000000"/>
          <w:kern w:val="0"/>
          <w:lang w:eastAsia="en-GB"/>
          <w14:ligatures w14:val="none"/>
        </w:rPr>
        <w:t>can increase the risk of adolescent offending due to a reduction in parental supervision</w:t>
      </w:r>
      <w:r w:rsidRPr="00BB7124">
        <w:rPr>
          <w:rFonts w:ascii="Arial" w:eastAsia="Times New Roman" w:hAnsi="Arial" w:cs="Arial"/>
          <w:color w:val="000000"/>
          <w:kern w:val="0"/>
          <w:lang w:eastAsia="en-GB"/>
          <w14:ligatures w14:val="none"/>
        </w:rPr>
        <w:t xml:space="preserve"> (Murray et al., 201</w:t>
      </w:r>
      <w:r w:rsidRPr="001B746C">
        <w:rPr>
          <w:rFonts w:ascii="Arial" w:eastAsia="Times New Roman" w:hAnsi="Arial" w:cs="Arial"/>
          <w:color w:val="000000"/>
          <w:kern w:val="0"/>
          <w:lang w:eastAsia="en-GB"/>
          <w14:ligatures w14:val="none"/>
        </w:rPr>
        <w:t>2; Nisar et al, 2015).</w:t>
      </w:r>
    </w:p>
    <w:p w14:paraId="61D16804" w14:textId="77777777" w:rsidR="006674F0" w:rsidRDefault="00903B61" w:rsidP="006674F0">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t xml:space="preserve">Educational exclusion represents a further critical perpetuating factor. </w:t>
      </w:r>
      <w:r w:rsidR="00A873C6">
        <w:rPr>
          <w:rFonts w:ascii="Arial" w:hAnsi="Arial" w:cs="Arial"/>
          <w:color w:val="000000"/>
        </w:rPr>
        <w:t xml:space="preserve">Henry, Knight and Thornberry (2012) </w:t>
      </w:r>
      <w:r w:rsidR="00B57028" w:rsidRPr="008F5816">
        <w:rPr>
          <w:rFonts w:ascii="Arial" w:hAnsi="Arial" w:cs="Arial"/>
          <w:color w:val="000000"/>
        </w:rPr>
        <w:t>identify</w:t>
      </w:r>
      <w:r w:rsidRPr="008F5816">
        <w:rPr>
          <w:rFonts w:ascii="Arial" w:hAnsi="Arial" w:cs="Arial"/>
          <w:color w:val="000000"/>
        </w:rPr>
        <w:t xml:space="preserve"> school disengagement as </w:t>
      </w:r>
      <w:r w:rsidR="00A873C6">
        <w:rPr>
          <w:rFonts w:ascii="Arial" w:hAnsi="Arial" w:cs="Arial"/>
          <w:color w:val="000000"/>
        </w:rPr>
        <w:t xml:space="preserve">a significant </w:t>
      </w:r>
      <w:r w:rsidRPr="008F5816">
        <w:rPr>
          <w:rFonts w:ascii="Arial" w:hAnsi="Arial" w:cs="Arial"/>
          <w:color w:val="000000"/>
        </w:rPr>
        <w:t>predictor of offending</w:t>
      </w:r>
      <w:r w:rsidR="00A873C6">
        <w:rPr>
          <w:rFonts w:ascii="Arial" w:hAnsi="Arial" w:cs="Arial"/>
          <w:color w:val="000000"/>
        </w:rPr>
        <w:t xml:space="preserve"> behaviour in adolescence and early adult life</w:t>
      </w:r>
      <w:r w:rsidRPr="008F5816">
        <w:rPr>
          <w:rFonts w:ascii="Arial" w:hAnsi="Arial" w:cs="Arial"/>
          <w:color w:val="000000"/>
        </w:rPr>
        <w:t>. School provides a key source of structure, supervision, and prosocial identity</w:t>
      </w:r>
      <w:r w:rsidR="00A873C6">
        <w:rPr>
          <w:rFonts w:ascii="Arial" w:hAnsi="Arial" w:cs="Arial"/>
          <w:color w:val="000000"/>
        </w:rPr>
        <w:t xml:space="preserve"> (Farrington, Ttofi &amp; Piquero, 2017)</w:t>
      </w:r>
      <w:r w:rsidRPr="008F5816">
        <w:rPr>
          <w:rFonts w:ascii="Arial" w:hAnsi="Arial" w:cs="Arial"/>
          <w:color w:val="000000"/>
        </w:rPr>
        <w:t>. Ryan’s exclusion and subsequent dropout likely reinforced a deviant identity</w:t>
      </w:r>
      <w:r w:rsidRPr="006674F0">
        <w:rPr>
          <w:rFonts w:ascii="Arial" w:hAnsi="Arial" w:cs="Arial"/>
          <w:color w:val="000000"/>
        </w:rPr>
        <w:t xml:space="preserve"> and increased his exposure to delinquent peers, consistent with labelling theory. </w:t>
      </w:r>
      <w:r>
        <w:rPr>
          <w:rFonts w:ascii="Arial" w:hAnsi="Arial" w:cs="Arial"/>
          <w:color w:val="000000"/>
        </w:rPr>
        <w:t xml:space="preserve">Disengagement with education is also a potential restrictor to other legitimate pathways for future achievement (McAra &amp; McvVie, 2010) that according to General Strain Theory may generate feelings of resentment and frustration within </w:t>
      </w:r>
      <w:r w:rsidR="00AF5D80">
        <w:rPr>
          <w:rFonts w:ascii="Arial" w:hAnsi="Arial" w:cs="Arial"/>
          <w:color w:val="000000"/>
        </w:rPr>
        <w:t>adolescents, especially those who do not have access to effective coping techniques or resources (Agnew, 1992</w:t>
      </w:r>
      <w:r w:rsidR="00B22132">
        <w:rPr>
          <w:rFonts w:ascii="Arial" w:hAnsi="Arial" w:cs="Arial"/>
          <w:color w:val="000000"/>
        </w:rPr>
        <w:t xml:space="preserve">; </w:t>
      </w:r>
      <w:r w:rsidR="00B22132" w:rsidRPr="008F5816">
        <w:rPr>
          <w:rFonts w:ascii="Arial" w:hAnsi="Arial" w:cs="Arial"/>
          <w:color w:val="000000"/>
        </w:rPr>
        <w:t>Agnew, 2019</w:t>
      </w:r>
      <w:r w:rsidR="00AF5D80">
        <w:rPr>
          <w:rFonts w:ascii="Arial" w:hAnsi="Arial" w:cs="Arial"/>
          <w:color w:val="000000"/>
        </w:rPr>
        <w:t xml:space="preserve">). </w:t>
      </w:r>
      <w:r w:rsidR="00B22132" w:rsidRPr="00443EC1">
        <w:rPr>
          <w:rFonts w:ascii="Arial" w:hAnsi="Arial" w:cs="Arial"/>
          <w:color w:val="000000"/>
        </w:rPr>
        <w:t>Young people who are excluded often experience stigma, reduced self-efficacy, and blocked access to legitimate success pathways, thereby intensifying the “maturity gap” described by Moffitt (2018) and reinforcing criminogenic motivation</w:t>
      </w:r>
      <w:r w:rsidR="00B22132">
        <w:rPr>
          <w:rFonts w:ascii="Arial" w:hAnsi="Arial" w:cs="Arial"/>
          <w:color w:val="000000"/>
        </w:rPr>
        <w:t xml:space="preserve">. </w:t>
      </w:r>
      <w:r w:rsidR="00AF5D80">
        <w:rPr>
          <w:rFonts w:ascii="Arial" w:hAnsi="Arial" w:cs="Arial"/>
          <w:color w:val="000000"/>
        </w:rPr>
        <w:t>This could explain the desire for Ryan to perceive the older peer group as an option for achievement, despite the criminal nature of the achievements.</w:t>
      </w:r>
      <w:r w:rsidR="00B22132">
        <w:rPr>
          <w:rFonts w:ascii="Arial" w:hAnsi="Arial" w:cs="Arial"/>
          <w:color w:val="000000"/>
        </w:rPr>
        <w:t xml:space="preserve"> Research further </w:t>
      </w:r>
      <w:r w:rsidR="00B22132" w:rsidRPr="00443EC1">
        <w:rPr>
          <w:rFonts w:ascii="Arial" w:hAnsi="Arial" w:cs="Arial"/>
          <w:color w:val="000000"/>
        </w:rPr>
        <w:t>demonstrates that excluded pupils are disproportionately represented in the youth justice system and are significantly more likely to engage in acquisitive and group-based offending (</w:t>
      </w:r>
      <w:r w:rsidR="00B22132">
        <w:rPr>
          <w:rFonts w:ascii="Arial" w:hAnsi="Arial" w:cs="Arial"/>
          <w:color w:val="000000"/>
        </w:rPr>
        <w:t>Arnez &amp; Condry, 2021</w:t>
      </w:r>
      <w:r w:rsidR="00A873C6">
        <w:rPr>
          <w:rFonts w:ascii="Arial" w:hAnsi="Arial" w:cs="Arial"/>
          <w:color w:val="000000"/>
        </w:rPr>
        <w:t>; Jerrim, 2025</w:t>
      </w:r>
      <w:r w:rsidR="00B22132" w:rsidRPr="00443EC1">
        <w:rPr>
          <w:rFonts w:ascii="Arial" w:hAnsi="Arial" w:cs="Arial"/>
          <w:color w:val="000000"/>
        </w:rPr>
        <w:t xml:space="preserve">). For Ryan, exclusion created unstructured time, reduced adult supervision, and increased exposure to older delinquent peers, facilitating both the motivation and opportunity for </w:t>
      </w:r>
      <w:r w:rsidR="00A873C6">
        <w:rPr>
          <w:rFonts w:ascii="Arial" w:hAnsi="Arial" w:cs="Arial"/>
          <w:color w:val="000000"/>
        </w:rPr>
        <w:t>criminal behaviour</w:t>
      </w:r>
      <w:r w:rsidR="00B22132" w:rsidRPr="00443EC1">
        <w:rPr>
          <w:rFonts w:ascii="Arial" w:hAnsi="Arial" w:cs="Arial"/>
          <w:color w:val="000000"/>
        </w:rPr>
        <w:t>.</w:t>
      </w:r>
      <w:r w:rsidR="00B57028">
        <w:rPr>
          <w:rFonts w:ascii="Arial" w:hAnsi="Arial" w:cs="Arial"/>
          <w:color w:val="000000"/>
        </w:rPr>
        <w:t xml:space="preserve"> </w:t>
      </w:r>
      <w:r w:rsidRPr="008F5816">
        <w:rPr>
          <w:rFonts w:ascii="Arial" w:hAnsi="Arial" w:cs="Arial"/>
          <w:color w:val="000000"/>
        </w:rPr>
        <w:t xml:space="preserve"> </w:t>
      </w:r>
    </w:p>
    <w:p w14:paraId="6F6D24D3" w14:textId="77777777" w:rsidR="006674F0" w:rsidRDefault="006674F0" w:rsidP="006674F0">
      <w:pPr>
        <w:spacing w:before="100" w:beforeAutospacing="1" w:after="100" w:afterAutospacing="1" w:line="360" w:lineRule="auto"/>
        <w:ind w:firstLine="851"/>
        <w:rPr>
          <w:rFonts w:ascii="Arial" w:hAnsi="Arial" w:cs="Arial"/>
          <w:color w:val="000000"/>
        </w:rPr>
      </w:pPr>
    </w:p>
    <w:p w14:paraId="559A4D52" w14:textId="70E023FC" w:rsidR="00903B61" w:rsidRPr="006674F0" w:rsidRDefault="00903B61" w:rsidP="006674F0">
      <w:pPr>
        <w:spacing w:before="100" w:beforeAutospacing="1" w:after="100" w:afterAutospacing="1" w:line="360" w:lineRule="auto"/>
        <w:ind w:firstLine="851"/>
        <w:rPr>
          <w:rFonts w:ascii="Arial" w:hAnsi="Arial" w:cs="Arial"/>
          <w:color w:val="000000"/>
        </w:rPr>
      </w:pPr>
      <w:r w:rsidRPr="008F5816">
        <w:rPr>
          <w:rFonts w:ascii="Arial" w:hAnsi="Arial" w:cs="Arial"/>
          <w:b/>
          <w:bCs/>
          <w:color w:val="000000"/>
        </w:rPr>
        <w:t>Protective Factors</w:t>
      </w:r>
    </w:p>
    <w:p w14:paraId="4B3AC259" w14:textId="454C89AA" w:rsidR="00AF5D80" w:rsidRPr="008F5816" w:rsidRDefault="00903B61" w:rsidP="00B57028">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lastRenderedPageBreak/>
        <w:t xml:space="preserve">Despite significant developmental and contextual risk exposure, Ryan demonstrates several protective factors that indicate strong potential </w:t>
      </w:r>
      <w:r w:rsidR="00AF5D80">
        <w:rPr>
          <w:rFonts w:ascii="Arial" w:hAnsi="Arial" w:cs="Arial"/>
          <w:color w:val="000000"/>
        </w:rPr>
        <w:t>the mitigation of risk long-term</w:t>
      </w:r>
      <w:r w:rsidR="006674F0">
        <w:rPr>
          <w:rFonts w:ascii="Arial" w:hAnsi="Arial" w:cs="Arial"/>
          <w:color w:val="000000"/>
        </w:rPr>
        <w:t xml:space="preserve"> and future offending</w:t>
      </w:r>
      <w:r w:rsidRPr="008F5816">
        <w:rPr>
          <w:rFonts w:ascii="Arial" w:hAnsi="Arial" w:cs="Arial"/>
          <w:color w:val="000000"/>
        </w:rPr>
        <w:t>. He has no history of violent offending, possesses average intellectual functioning, and demonstrates partial insight and remorse. His assertion that he is “not a bad lad” reflects a prosocial self-concept that can be therapeutically leveraged.</w:t>
      </w:r>
      <w:r w:rsidR="00AF5D80">
        <w:rPr>
          <w:rFonts w:ascii="Arial" w:hAnsi="Arial" w:cs="Arial"/>
          <w:color w:val="000000"/>
        </w:rPr>
        <w:t xml:space="preserve"> Adolescence</w:t>
      </w:r>
      <w:r w:rsidR="00AF5D80" w:rsidRPr="008F5816">
        <w:rPr>
          <w:rFonts w:ascii="Arial" w:hAnsi="Arial" w:cs="Arial"/>
          <w:color w:val="000000"/>
        </w:rPr>
        <w:t xml:space="preserve"> represents a period of heightened developmental plasticity</w:t>
      </w:r>
      <w:r w:rsidR="006674F0">
        <w:rPr>
          <w:rFonts w:ascii="Arial" w:hAnsi="Arial" w:cs="Arial"/>
          <w:color w:val="000000"/>
        </w:rPr>
        <w:t>,</w:t>
      </w:r>
      <w:r w:rsidR="00AF5D80" w:rsidRPr="008F5816">
        <w:rPr>
          <w:rFonts w:ascii="Arial" w:hAnsi="Arial" w:cs="Arial"/>
          <w:color w:val="000000"/>
        </w:rPr>
        <w:t xml:space="preserve"> Farrington (2024) emphasises that timely intervention during this critical window can significantly alter life-course trajectories, preventing the consolidation of criminal identity.</w:t>
      </w:r>
      <w:r w:rsidR="00AF5D80">
        <w:rPr>
          <w:rFonts w:ascii="Arial" w:hAnsi="Arial" w:cs="Arial"/>
          <w:color w:val="000000"/>
        </w:rPr>
        <w:t xml:space="preserve"> </w:t>
      </w:r>
      <w:r>
        <w:rPr>
          <w:rFonts w:ascii="Arial" w:hAnsi="Arial" w:cs="Arial"/>
          <w:color w:val="000000"/>
        </w:rPr>
        <w:t xml:space="preserve">A </w:t>
      </w:r>
      <w:r w:rsidRPr="008F5816">
        <w:rPr>
          <w:rFonts w:ascii="Arial" w:hAnsi="Arial" w:cs="Arial"/>
          <w:color w:val="000000"/>
        </w:rPr>
        <w:t>meta-</w:t>
      </w:r>
      <w:r>
        <w:rPr>
          <w:rFonts w:ascii="Arial" w:hAnsi="Arial" w:cs="Arial"/>
          <w:color w:val="000000"/>
        </w:rPr>
        <w:t>analysis</w:t>
      </w:r>
      <w:r w:rsidRPr="008F5816">
        <w:rPr>
          <w:rFonts w:ascii="Arial" w:hAnsi="Arial" w:cs="Arial"/>
          <w:color w:val="000000"/>
        </w:rPr>
        <w:t xml:space="preserve"> of youth justice services highlights that relationship quality with professionals is one of the strongest predictors of successful engagement and rehabilitation</w:t>
      </w:r>
      <w:r>
        <w:rPr>
          <w:rFonts w:ascii="Arial" w:hAnsi="Arial" w:cs="Arial"/>
          <w:color w:val="000000"/>
        </w:rPr>
        <w:t xml:space="preserve"> (</w:t>
      </w:r>
      <w:r w:rsidR="00B57028">
        <w:rPr>
          <w:rFonts w:ascii="Arial" w:hAnsi="Arial" w:cs="Arial"/>
          <w:color w:val="000000"/>
        </w:rPr>
        <w:t>Moore et al, 2025</w:t>
      </w:r>
      <w:r>
        <w:rPr>
          <w:rFonts w:ascii="Arial" w:hAnsi="Arial" w:cs="Arial"/>
          <w:color w:val="000000"/>
        </w:rPr>
        <w:t>)</w:t>
      </w:r>
      <w:r w:rsidRPr="008F5816">
        <w:rPr>
          <w:rFonts w:ascii="Arial" w:hAnsi="Arial" w:cs="Arial"/>
          <w:color w:val="000000"/>
        </w:rPr>
        <w:t>. Adolescents who perceive practitioners as supportive, respectful, and trustworthy are more likely to comply with supervision, engage in interventions, and develop motivation for change</w:t>
      </w:r>
      <w:r w:rsidR="00AF5D80">
        <w:rPr>
          <w:rFonts w:ascii="Arial" w:hAnsi="Arial" w:cs="Arial"/>
          <w:color w:val="000000"/>
        </w:rPr>
        <w:t xml:space="preserve">. </w:t>
      </w:r>
      <w:r w:rsidRPr="008F5816">
        <w:rPr>
          <w:rFonts w:ascii="Arial" w:hAnsi="Arial" w:cs="Arial"/>
          <w:color w:val="000000"/>
        </w:rPr>
        <w:t>Furthermore, Holloway et al. (2024) demonstrate that young people’s own self-reported attitudes and intentions are critical predictors of recidivism, often more informative than official risk assessments alone. Ryan’s expressed desire to make better choices therefore represents an important motivational resource.</w:t>
      </w:r>
      <w:r w:rsidR="00AF5D80">
        <w:rPr>
          <w:rFonts w:ascii="Arial" w:hAnsi="Arial" w:cs="Arial"/>
          <w:color w:val="000000"/>
        </w:rPr>
        <w:t xml:space="preserve"> Good responsivity is key in intervention effectiveness (Andrews &amp; Bonta, 2010). Furthermore, the involvement from Ryan’s mother can represent as a </w:t>
      </w:r>
      <w:r w:rsidR="00B57028">
        <w:rPr>
          <w:rFonts w:ascii="Arial" w:hAnsi="Arial" w:cs="Arial"/>
          <w:color w:val="000000"/>
        </w:rPr>
        <w:t>crucial</w:t>
      </w:r>
      <w:r w:rsidR="00AF5D80">
        <w:rPr>
          <w:rFonts w:ascii="Arial" w:hAnsi="Arial" w:cs="Arial"/>
          <w:color w:val="000000"/>
        </w:rPr>
        <w:t xml:space="preserve"> protective factor. However, this factor can often be conditional rather than a constant absolute for Ryan. Family protective factors can only be truly protective should all parties follow consistent supervision as well as emotional availability, which highlights this factor as a process rather than a definitive static attribute. </w:t>
      </w:r>
      <w:r w:rsidR="00B57028">
        <w:rPr>
          <w:rFonts w:ascii="Arial" w:hAnsi="Arial" w:cs="Arial"/>
          <w:color w:val="000000"/>
        </w:rPr>
        <w:t>Although growing up in a single parent family can be associated as a factor increasing the likelihood of criminal behaviour (Kroese et al, 2021), there is also evidence to suggest that involvement from parents can also act as a protective factor if intervention is put into place (Ibabe et al., 2013).</w:t>
      </w:r>
    </w:p>
    <w:p w14:paraId="6651106C" w14:textId="77777777" w:rsidR="00903B61" w:rsidRPr="008F5816" w:rsidRDefault="00903B61" w:rsidP="00903B61">
      <w:pPr>
        <w:spacing w:line="360" w:lineRule="auto"/>
        <w:ind w:firstLine="851"/>
        <w:rPr>
          <w:rFonts w:ascii="Arial" w:hAnsi="Arial" w:cs="Arial"/>
        </w:rPr>
      </w:pPr>
    </w:p>
    <w:p w14:paraId="4EEFFA31" w14:textId="77777777" w:rsidR="00903B61" w:rsidRPr="008F5816" w:rsidRDefault="00903B61" w:rsidP="00903B61">
      <w:pPr>
        <w:spacing w:before="100" w:beforeAutospacing="1" w:after="100" w:afterAutospacing="1" w:line="360" w:lineRule="auto"/>
        <w:ind w:firstLine="851"/>
        <w:outlineLvl w:val="1"/>
        <w:rPr>
          <w:rFonts w:ascii="Arial" w:hAnsi="Arial" w:cs="Arial"/>
          <w:b/>
          <w:bCs/>
          <w:color w:val="000000"/>
        </w:rPr>
      </w:pPr>
      <w:r w:rsidRPr="008F5816">
        <w:rPr>
          <w:rFonts w:ascii="Arial" w:hAnsi="Arial" w:cs="Arial"/>
          <w:b/>
          <w:bCs/>
          <w:color w:val="000000"/>
        </w:rPr>
        <w:t xml:space="preserve">Intervention </w:t>
      </w:r>
    </w:p>
    <w:p w14:paraId="675E0669" w14:textId="5B2FB2AC" w:rsidR="00903B61" w:rsidRPr="008F5816" w:rsidRDefault="00903B61" w:rsidP="00903B61">
      <w:pPr>
        <w:spacing w:before="100" w:beforeAutospacing="1" w:after="100" w:afterAutospacing="1" w:line="360" w:lineRule="auto"/>
        <w:ind w:firstLine="851"/>
        <w:rPr>
          <w:rFonts w:ascii="Arial" w:hAnsi="Arial" w:cs="Arial"/>
          <w:color w:val="000000"/>
        </w:rPr>
      </w:pPr>
      <w:r w:rsidRPr="008F5816">
        <w:rPr>
          <w:rFonts w:ascii="Arial" w:hAnsi="Arial" w:cs="Arial"/>
          <w:color w:val="000000"/>
        </w:rPr>
        <w:t xml:space="preserve">Drawing on the empirical literature and Ryan’s individual formulation, an effective intervention plan should adopt a multisystemic, trauma-informed, and strengths-based approach consistent with the Risk–Need–Responsivity </w:t>
      </w:r>
      <w:r>
        <w:rPr>
          <w:rFonts w:ascii="Arial" w:hAnsi="Arial" w:cs="Arial"/>
          <w:color w:val="000000"/>
        </w:rPr>
        <w:t xml:space="preserve">(RNR; </w:t>
      </w:r>
      <w:r w:rsidR="00B57028">
        <w:rPr>
          <w:rFonts w:ascii="Arial" w:hAnsi="Arial" w:cs="Arial"/>
          <w:color w:val="000000"/>
        </w:rPr>
        <w:t xml:space="preserve">Lutz </w:t>
      </w:r>
      <w:r w:rsidR="00B57028">
        <w:rPr>
          <w:rFonts w:ascii="Arial" w:hAnsi="Arial" w:cs="Arial"/>
          <w:color w:val="000000"/>
        </w:rPr>
        <w:lastRenderedPageBreak/>
        <w:t>et al, 2022</w:t>
      </w:r>
      <w:r>
        <w:rPr>
          <w:rFonts w:ascii="Arial" w:hAnsi="Arial" w:cs="Arial"/>
          <w:color w:val="000000"/>
        </w:rPr>
        <w:t>) M</w:t>
      </w:r>
      <w:r w:rsidRPr="008F5816">
        <w:rPr>
          <w:rFonts w:ascii="Arial" w:hAnsi="Arial" w:cs="Arial"/>
          <w:color w:val="000000"/>
        </w:rPr>
        <w:t>odel. Key intervention targets include emotional regulation, criminogenic cognition, peer affiliation, family functioning, and educational reintegration.</w:t>
      </w:r>
      <w:r>
        <w:rPr>
          <w:rFonts w:ascii="Arial" w:hAnsi="Arial" w:cs="Arial"/>
          <w:color w:val="000000"/>
        </w:rPr>
        <w:t xml:space="preserve"> </w:t>
      </w:r>
      <w:r w:rsidRPr="008F5816">
        <w:rPr>
          <w:rFonts w:ascii="Arial" w:hAnsi="Arial" w:cs="Arial"/>
          <w:color w:val="000000"/>
        </w:rPr>
        <w:t>Evidence-based components should include trauma-focused cognitive behavioural therapy to address emotional dysregulation and trauma-related coping (Kerig et al., 2024), multisystemic family intervention to improve parental monitoring and family communication, cognitive skills programmes to challenge antisocial beliefs, and structured education or vocational training to promote prosocial identity development.</w:t>
      </w:r>
      <w:r>
        <w:rPr>
          <w:rFonts w:ascii="Arial" w:hAnsi="Arial" w:cs="Arial"/>
          <w:color w:val="000000"/>
        </w:rPr>
        <w:t xml:space="preserve"> </w:t>
      </w:r>
      <w:r w:rsidRPr="008F5816">
        <w:rPr>
          <w:rFonts w:ascii="Arial" w:hAnsi="Arial" w:cs="Arial"/>
          <w:color w:val="000000"/>
        </w:rPr>
        <w:t>Given Ryan’s strengths and current engagement with the Youth Offending Team, a positive six-month trajectory is plausible. Expected outcomes include improved emotional regulation, reduced association with antisocial peers, re-engagement in education or training, increased victim empathy, and reduced reoffending risk.</w:t>
      </w:r>
    </w:p>
    <w:p w14:paraId="43F2AD5A" w14:textId="5BEED53C" w:rsidR="002F6B6D" w:rsidRDefault="00903B61" w:rsidP="00903B61">
      <w:pPr>
        <w:spacing w:line="360" w:lineRule="auto"/>
        <w:ind w:firstLine="851"/>
        <w:rPr>
          <w:rFonts w:ascii="Arial" w:hAnsi="Arial" w:cs="Arial"/>
          <w:color w:val="000000"/>
        </w:rPr>
      </w:pPr>
      <w:r w:rsidRPr="008F5816">
        <w:rPr>
          <w:rFonts w:ascii="Arial" w:hAnsi="Arial" w:cs="Arial"/>
          <w:color w:val="000000"/>
        </w:rPr>
        <w:t xml:space="preserve">Ryan’s offending behaviour reflects a developmentally embedded pathway shaped by early adversity, disrupted attachment, educational marginalisation, peer contagion, and trauma-related coping. </w:t>
      </w:r>
      <w:r w:rsidR="00AF5D80">
        <w:rPr>
          <w:rFonts w:ascii="Arial" w:hAnsi="Arial" w:cs="Arial"/>
          <w:color w:val="000000"/>
        </w:rPr>
        <w:t>Forensic</w:t>
      </w:r>
      <w:r w:rsidRPr="008F5816">
        <w:rPr>
          <w:rFonts w:ascii="Arial" w:hAnsi="Arial" w:cs="Arial"/>
          <w:color w:val="000000"/>
        </w:rPr>
        <w:t xml:space="preserve"> psychology literature strongly supports a rehabilitative, trauma-informed, and relationally grounded response to adolescent offending.</w:t>
      </w:r>
      <w:r>
        <w:rPr>
          <w:rFonts w:ascii="Arial" w:hAnsi="Arial" w:cs="Arial"/>
          <w:color w:val="000000"/>
        </w:rPr>
        <w:t xml:space="preserve"> </w:t>
      </w:r>
      <w:r w:rsidRPr="008F5816">
        <w:rPr>
          <w:rFonts w:ascii="Arial" w:hAnsi="Arial" w:cs="Arial"/>
          <w:color w:val="000000"/>
        </w:rPr>
        <w:t>The application of the 5Ps formulation model demonstrates how empirical evidence can be translated into individualised intervention planning. Ryan presents with significant desistance potential, and with appropriate support, his current justice involvement may represent a turning point rather than a trajectory into persistent offending.</w:t>
      </w:r>
    </w:p>
    <w:p w14:paraId="3D2BBE20" w14:textId="77777777" w:rsidR="004E5C8F" w:rsidRDefault="004E5C8F" w:rsidP="00903B61">
      <w:pPr>
        <w:spacing w:line="360" w:lineRule="auto"/>
        <w:ind w:firstLine="851"/>
        <w:rPr>
          <w:rFonts w:ascii="Arial" w:hAnsi="Arial" w:cs="Arial"/>
          <w:color w:val="000000"/>
        </w:rPr>
      </w:pPr>
    </w:p>
    <w:p w14:paraId="20C3E703" w14:textId="77777777" w:rsidR="004E5C8F" w:rsidRDefault="004E5C8F" w:rsidP="00903B61">
      <w:pPr>
        <w:spacing w:line="360" w:lineRule="auto"/>
        <w:ind w:firstLine="851"/>
        <w:rPr>
          <w:rFonts w:ascii="Arial" w:hAnsi="Arial" w:cs="Arial"/>
          <w:color w:val="000000"/>
        </w:rPr>
      </w:pPr>
    </w:p>
    <w:p w14:paraId="19B75905" w14:textId="77777777" w:rsidR="004E5C8F" w:rsidRDefault="004E5C8F" w:rsidP="00903B61">
      <w:pPr>
        <w:spacing w:line="360" w:lineRule="auto"/>
        <w:ind w:firstLine="851"/>
        <w:rPr>
          <w:rFonts w:ascii="Arial" w:hAnsi="Arial" w:cs="Arial"/>
          <w:color w:val="000000"/>
        </w:rPr>
      </w:pPr>
    </w:p>
    <w:p w14:paraId="637A2E1F" w14:textId="77777777" w:rsidR="004E5C8F" w:rsidRDefault="004E5C8F" w:rsidP="00903B61">
      <w:pPr>
        <w:spacing w:line="360" w:lineRule="auto"/>
        <w:ind w:firstLine="851"/>
        <w:rPr>
          <w:rFonts w:ascii="Arial" w:hAnsi="Arial" w:cs="Arial"/>
          <w:color w:val="000000"/>
        </w:rPr>
      </w:pPr>
    </w:p>
    <w:p w14:paraId="2E180ADB" w14:textId="77777777" w:rsidR="004E5C8F" w:rsidRDefault="004E5C8F" w:rsidP="00903B61">
      <w:pPr>
        <w:spacing w:line="360" w:lineRule="auto"/>
        <w:ind w:firstLine="851"/>
        <w:rPr>
          <w:rFonts w:ascii="Arial" w:hAnsi="Arial" w:cs="Arial"/>
          <w:color w:val="000000"/>
        </w:rPr>
      </w:pPr>
    </w:p>
    <w:p w14:paraId="24D63C14" w14:textId="77777777" w:rsidR="004E5C8F" w:rsidRDefault="004E5C8F" w:rsidP="00903B61">
      <w:pPr>
        <w:spacing w:line="360" w:lineRule="auto"/>
        <w:ind w:firstLine="851"/>
        <w:rPr>
          <w:rFonts w:ascii="Arial" w:hAnsi="Arial" w:cs="Arial"/>
          <w:color w:val="000000"/>
        </w:rPr>
      </w:pPr>
    </w:p>
    <w:p w14:paraId="17E3E2C5" w14:textId="5FF72CBF" w:rsidR="00A923A9" w:rsidRDefault="00A923A9" w:rsidP="006674F0">
      <w:pPr>
        <w:spacing w:line="360" w:lineRule="auto"/>
        <w:rPr>
          <w:rFonts w:ascii="Arial" w:hAnsi="Arial" w:cs="Arial"/>
          <w:color w:val="000000"/>
        </w:rPr>
      </w:pPr>
    </w:p>
    <w:p w14:paraId="2F3B0E80" w14:textId="77777777" w:rsidR="006674F0" w:rsidRDefault="006674F0" w:rsidP="006674F0">
      <w:pPr>
        <w:spacing w:line="360" w:lineRule="auto"/>
        <w:rPr>
          <w:rFonts w:ascii="Arial" w:hAnsi="Arial" w:cs="Arial"/>
          <w:color w:val="000000"/>
        </w:rPr>
      </w:pPr>
    </w:p>
    <w:p w14:paraId="4CAC6115" w14:textId="77777777" w:rsidR="00A923A9" w:rsidRDefault="00A923A9" w:rsidP="00903B61">
      <w:pPr>
        <w:spacing w:line="360" w:lineRule="auto"/>
        <w:ind w:firstLine="851"/>
        <w:rPr>
          <w:rFonts w:ascii="Arial" w:hAnsi="Arial" w:cs="Arial"/>
          <w:color w:val="000000"/>
        </w:rPr>
      </w:pPr>
    </w:p>
    <w:p w14:paraId="1EDEC1BA" w14:textId="77777777" w:rsidR="004E5C8F" w:rsidRDefault="004E5C8F" w:rsidP="00903B61">
      <w:pPr>
        <w:spacing w:line="360" w:lineRule="auto"/>
        <w:ind w:firstLine="851"/>
        <w:rPr>
          <w:rFonts w:ascii="Arial" w:hAnsi="Arial" w:cs="Arial"/>
          <w:color w:val="000000"/>
        </w:rPr>
      </w:pPr>
    </w:p>
    <w:p w14:paraId="2C314616" w14:textId="77777777" w:rsidR="004E5C8F" w:rsidRDefault="004E5C8F" w:rsidP="00903B61">
      <w:pPr>
        <w:spacing w:line="360" w:lineRule="auto"/>
        <w:ind w:firstLine="851"/>
        <w:rPr>
          <w:rFonts w:ascii="Arial" w:hAnsi="Arial" w:cs="Arial"/>
        </w:rPr>
      </w:pPr>
    </w:p>
    <w:p w14:paraId="201D07CF" w14:textId="77777777" w:rsidR="00903B61" w:rsidRDefault="00903B61" w:rsidP="00903B61">
      <w:pPr>
        <w:spacing w:line="360" w:lineRule="auto"/>
        <w:ind w:firstLine="851"/>
        <w:rPr>
          <w:rFonts w:ascii="Arial" w:hAnsi="Arial" w:cs="Arial"/>
        </w:rPr>
      </w:pPr>
    </w:p>
    <w:p w14:paraId="599DFADC" w14:textId="4552400F" w:rsidR="00903B61" w:rsidRPr="00903B61" w:rsidRDefault="00903B61" w:rsidP="00903B61">
      <w:pPr>
        <w:spacing w:line="360" w:lineRule="auto"/>
        <w:ind w:firstLine="851"/>
        <w:rPr>
          <w:rFonts w:ascii="Arial" w:hAnsi="Arial" w:cs="Arial"/>
        </w:rPr>
      </w:pPr>
      <w:r>
        <w:rPr>
          <w:rFonts w:ascii="Arial" w:hAnsi="Arial" w:cs="Arial"/>
          <w:b/>
          <w:bCs/>
          <w:u w:val="single"/>
        </w:rPr>
        <w:lastRenderedPageBreak/>
        <w:t>References</w:t>
      </w:r>
    </w:p>
    <w:p w14:paraId="2C9FF4CA" w14:textId="4F61B6E6" w:rsidR="00B640A6" w:rsidRDefault="00B640A6" w:rsidP="00B640A6">
      <w:pPr>
        <w:pStyle w:val="NormalWeb"/>
        <w:spacing w:line="480" w:lineRule="auto"/>
        <w:ind w:left="851" w:hanging="851"/>
        <w:rPr>
          <w:rFonts w:ascii="Arial" w:hAnsi="Arial" w:cs="Arial"/>
          <w:color w:val="000000"/>
        </w:rPr>
      </w:pPr>
      <w:r w:rsidRPr="00B640A6">
        <w:rPr>
          <w:rFonts w:ascii="Arial" w:hAnsi="Arial" w:cs="Arial"/>
          <w:color w:val="000000"/>
        </w:rPr>
        <w:t>Agnew, R. (1992). Foundation for a general strain theory of crime and delinquency. </w:t>
      </w:r>
      <w:r w:rsidRPr="00B640A6">
        <w:rPr>
          <w:rFonts w:ascii="Arial" w:hAnsi="Arial" w:cs="Arial"/>
          <w:i/>
          <w:iCs/>
          <w:color w:val="000000"/>
        </w:rPr>
        <w:t>Criminology, 30</w:t>
      </w:r>
      <w:r w:rsidRPr="00B640A6">
        <w:rPr>
          <w:rFonts w:ascii="Arial" w:hAnsi="Arial" w:cs="Arial"/>
          <w:color w:val="000000"/>
        </w:rPr>
        <w:t xml:space="preserve">(1), 47–87. </w:t>
      </w:r>
      <w:hyperlink r:id="rId5" w:history="1">
        <w:r w:rsidRPr="00B640A6">
          <w:rPr>
            <w:rStyle w:val="Hyperlink"/>
            <w:rFonts w:ascii="Arial" w:hAnsi="Arial" w:cs="Arial"/>
          </w:rPr>
          <w:t>https://www.d.umn.edu/~jmaahs/MA%20Theory%20Articles/Agnew%20GST.pdf</w:t>
        </w:r>
      </w:hyperlink>
    </w:p>
    <w:p w14:paraId="42B2CB44" w14:textId="5DC6BF26" w:rsidR="004E5C8F" w:rsidRPr="00F73CFF"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t>Agnew, R. (2019). General strain theory: Current status and directions for further research. In F. T. Cullen, J. P. Wright, &amp; K. R. Blevins (Eds.),</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Taking stock: The status of criminological theory</w:t>
      </w:r>
      <w:r w:rsidRPr="00F73CFF">
        <w:rPr>
          <w:rStyle w:val="apple-converted-space"/>
          <w:rFonts w:ascii="Arial" w:eastAsiaTheme="majorEastAsia" w:hAnsi="Arial" w:cs="Arial"/>
          <w:color w:val="000000"/>
        </w:rPr>
        <w:t> </w:t>
      </w:r>
      <w:r w:rsidRPr="00F73CFF">
        <w:rPr>
          <w:rFonts w:ascii="Arial" w:hAnsi="Arial" w:cs="Arial"/>
          <w:color w:val="000000"/>
        </w:rPr>
        <w:t>(pp. 101–123). Routledge.</w:t>
      </w:r>
    </w:p>
    <w:p w14:paraId="602CD262" w14:textId="77777777" w:rsidR="004E5C8F"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t>Akers, R. L. (2017).</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Social learning and social structure: A general theory of crime and deviance</w:t>
      </w:r>
      <w:r w:rsidRPr="00F73CFF">
        <w:rPr>
          <w:rStyle w:val="apple-converted-space"/>
          <w:rFonts w:ascii="Arial" w:eastAsiaTheme="majorEastAsia" w:hAnsi="Arial" w:cs="Arial"/>
          <w:color w:val="000000"/>
        </w:rPr>
        <w:t> </w:t>
      </w:r>
      <w:r w:rsidRPr="00F73CFF">
        <w:rPr>
          <w:rFonts w:ascii="Arial" w:hAnsi="Arial" w:cs="Arial"/>
          <w:color w:val="000000"/>
        </w:rPr>
        <w:t>(2nd ed.). Routledge.</w:t>
      </w:r>
    </w:p>
    <w:p w14:paraId="273B4A24" w14:textId="1A324A5D" w:rsidR="006814FF" w:rsidRDefault="006814FF" w:rsidP="004E5C8F">
      <w:pPr>
        <w:pStyle w:val="NormalWeb"/>
        <w:spacing w:line="480" w:lineRule="auto"/>
        <w:ind w:left="851" w:hanging="851"/>
        <w:rPr>
          <w:rFonts w:ascii="Arial" w:hAnsi="Arial" w:cs="Arial"/>
          <w:color w:val="000000"/>
        </w:rPr>
      </w:pPr>
      <w:r w:rsidRPr="006814FF">
        <w:rPr>
          <w:rFonts w:ascii="Arial" w:hAnsi="Arial" w:cs="Arial"/>
          <w:color w:val="000000"/>
        </w:rPr>
        <w:t>Allen, J. P., Marsh, P., McFarland, C., McElhaney, K. B., Land, D. J., Jodl, K. M., &amp; Peck, S. (2002). Attachment and autonomy as predictors of the development of social skills and delinquency during midadolescence. </w:t>
      </w:r>
      <w:r w:rsidRPr="006814FF">
        <w:rPr>
          <w:rFonts w:ascii="Arial" w:hAnsi="Arial" w:cs="Arial"/>
          <w:i/>
          <w:iCs/>
          <w:color w:val="000000"/>
        </w:rPr>
        <w:t>Journal of consulting and clinical psychology</w:t>
      </w:r>
      <w:r w:rsidRPr="006814FF">
        <w:rPr>
          <w:rFonts w:ascii="Arial" w:hAnsi="Arial" w:cs="Arial"/>
          <w:color w:val="000000"/>
        </w:rPr>
        <w:t>, </w:t>
      </w:r>
      <w:r w:rsidRPr="006814FF">
        <w:rPr>
          <w:rFonts w:ascii="Arial" w:hAnsi="Arial" w:cs="Arial"/>
          <w:i/>
          <w:iCs/>
          <w:color w:val="000000"/>
        </w:rPr>
        <w:t>70</w:t>
      </w:r>
      <w:r w:rsidRPr="006814FF">
        <w:rPr>
          <w:rFonts w:ascii="Arial" w:hAnsi="Arial" w:cs="Arial"/>
          <w:color w:val="000000"/>
        </w:rPr>
        <w:t xml:space="preserve">(1), 56–66. </w:t>
      </w:r>
      <w:hyperlink r:id="rId6" w:history="1">
        <w:r w:rsidR="00B22132" w:rsidRPr="00E319DE">
          <w:rPr>
            <w:rStyle w:val="Hyperlink"/>
            <w:rFonts w:ascii="Arial" w:hAnsi="Arial" w:cs="Arial"/>
          </w:rPr>
          <w:t>https://doi.org/10.1037//0022-006x.70.1.56</w:t>
        </w:r>
      </w:hyperlink>
    </w:p>
    <w:p w14:paraId="60146CE2" w14:textId="7F66EB5A" w:rsidR="00B22132" w:rsidRDefault="00B22132" w:rsidP="004E5C8F">
      <w:pPr>
        <w:pStyle w:val="NormalWeb"/>
        <w:spacing w:line="480" w:lineRule="auto"/>
        <w:ind w:left="851" w:hanging="851"/>
        <w:rPr>
          <w:rFonts w:ascii="Arial" w:hAnsi="Arial" w:cs="Arial"/>
          <w:color w:val="000000"/>
        </w:rPr>
      </w:pPr>
      <w:r w:rsidRPr="00B22132">
        <w:rPr>
          <w:rFonts w:ascii="Arial" w:hAnsi="Arial" w:cs="Arial"/>
          <w:color w:val="000000"/>
        </w:rPr>
        <w:t>Arnez, J., &amp; Condry, R. (2021). Criminological perspectives on school exclusion and youth offending. </w:t>
      </w:r>
      <w:r w:rsidRPr="00B22132">
        <w:rPr>
          <w:rFonts w:ascii="Arial" w:hAnsi="Arial" w:cs="Arial"/>
          <w:i/>
          <w:iCs/>
          <w:color w:val="000000"/>
        </w:rPr>
        <w:t>Emotional and Behavioural Difficulties</w:t>
      </w:r>
      <w:r w:rsidRPr="00B22132">
        <w:rPr>
          <w:rFonts w:ascii="Arial" w:hAnsi="Arial" w:cs="Arial"/>
          <w:color w:val="000000"/>
        </w:rPr>
        <w:t>, </w:t>
      </w:r>
      <w:r w:rsidRPr="00B22132">
        <w:rPr>
          <w:rFonts w:ascii="Arial" w:hAnsi="Arial" w:cs="Arial"/>
          <w:i/>
          <w:iCs/>
          <w:color w:val="000000"/>
        </w:rPr>
        <w:t>26</w:t>
      </w:r>
      <w:r w:rsidRPr="00B22132">
        <w:rPr>
          <w:rFonts w:ascii="Arial" w:hAnsi="Arial" w:cs="Arial"/>
          <w:color w:val="000000"/>
        </w:rPr>
        <w:t>(1), 87–100. https://doi.org/10.1080/13632752.2021.1905233</w:t>
      </w:r>
    </w:p>
    <w:p w14:paraId="1E5EA169" w14:textId="05021A7E" w:rsidR="004E5C8F" w:rsidRDefault="004E5C8F" w:rsidP="004E5C8F">
      <w:pPr>
        <w:pStyle w:val="NormalWeb"/>
        <w:spacing w:line="480" w:lineRule="auto"/>
        <w:ind w:left="851" w:hanging="851"/>
        <w:rPr>
          <w:rFonts w:ascii="Arial" w:hAnsi="Arial" w:cs="Arial"/>
          <w:color w:val="000000"/>
        </w:rPr>
      </w:pPr>
      <w:r w:rsidRPr="004E5C8F">
        <w:rPr>
          <w:rFonts w:ascii="Arial" w:hAnsi="Arial" w:cs="Arial"/>
          <w:color w:val="000000"/>
        </w:rPr>
        <w:t>Bandura, A. (197</w:t>
      </w:r>
      <w:r>
        <w:rPr>
          <w:rFonts w:ascii="Arial" w:hAnsi="Arial" w:cs="Arial"/>
          <w:color w:val="000000"/>
        </w:rPr>
        <w:t>1</w:t>
      </w:r>
      <w:r w:rsidRPr="004E5C8F">
        <w:rPr>
          <w:rFonts w:ascii="Arial" w:hAnsi="Arial" w:cs="Arial"/>
          <w:color w:val="000000"/>
        </w:rPr>
        <w:t>). </w:t>
      </w:r>
      <w:r w:rsidRPr="004E5C8F">
        <w:rPr>
          <w:rFonts w:ascii="Arial" w:hAnsi="Arial" w:cs="Arial"/>
          <w:i/>
          <w:iCs/>
          <w:color w:val="000000"/>
        </w:rPr>
        <w:t>Social learning theory</w:t>
      </w:r>
      <w:r w:rsidRPr="004E5C8F">
        <w:rPr>
          <w:rFonts w:ascii="Arial" w:hAnsi="Arial" w:cs="Arial"/>
          <w:color w:val="000000"/>
        </w:rPr>
        <w:t>. Prentice Hall</w:t>
      </w:r>
      <w:r>
        <w:rPr>
          <w:rFonts w:ascii="Arial" w:hAnsi="Arial" w:cs="Arial"/>
          <w:color w:val="000000"/>
        </w:rPr>
        <w:t xml:space="preserve">, 1-46. </w:t>
      </w:r>
      <w:hyperlink r:id="rId7" w:history="1">
        <w:r w:rsidR="00B640A6" w:rsidRPr="00E319DE">
          <w:rPr>
            <w:rStyle w:val="Hyperlink"/>
            <w:rFonts w:ascii="Arial" w:hAnsi="Arial" w:cs="Arial"/>
          </w:rPr>
          <w:t>https://www.asecib.ase.ro/mps/Bandura_SocialLearningTheory.pdf</w:t>
        </w:r>
      </w:hyperlink>
    </w:p>
    <w:p w14:paraId="0443B7B4" w14:textId="7E90A2DA" w:rsidR="00B640A6" w:rsidRDefault="00B640A6" w:rsidP="00B640A6">
      <w:pPr>
        <w:pStyle w:val="NormalWeb"/>
        <w:spacing w:line="480" w:lineRule="auto"/>
        <w:ind w:left="851" w:hanging="851"/>
        <w:rPr>
          <w:rFonts w:ascii="Arial" w:hAnsi="Arial" w:cs="Arial"/>
          <w:color w:val="000000"/>
        </w:rPr>
      </w:pPr>
      <w:r w:rsidRPr="00B640A6">
        <w:rPr>
          <w:rFonts w:ascii="Arial" w:hAnsi="Arial" w:cs="Arial"/>
          <w:color w:val="000000"/>
        </w:rPr>
        <w:lastRenderedPageBreak/>
        <w:t>Baron, S. W. (2004). General strain, street youth and crime: A test of Agnew’s revised theory. </w:t>
      </w:r>
      <w:r w:rsidRPr="00B640A6">
        <w:rPr>
          <w:rFonts w:ascii="Arial" w:hAnsi="Arial" w:cs="Arial"/>
          <w:i/>
          <w:iCs/>
          <w:color w:val="000000"/>
        </w:rPr>
        <w:t>Criminology, 42</w:t>
      </w:r>
      <w:r w:rsidRPr="00B640A6">
        <w:rPr>
          <w:rFonts w:ascii="Arial" w:hAnsi="Arial" w:cs="Arial"/>
          <w:color w:val="000000"/>
        </w:rPr>
        <w:t>(2), 457–483. </w:t>
      </w:r>
      <w:hyperlink r:id="rId8" w:tgtFrame="_new" w:history="1">
        <w:r w:rsidRPr="00B640A6">
          <w:rPr>
            <w:rStyle w:val="Hyperlink"/>
            <w:rFonts w:ascii="Arial" w:hAnsi="Arial" w:cs="Arial"/>
          </w:rPr>
          <w:t>https://doi.org/10.1111/j.1745-9125.2004.tb00526.x</w:t>
        </w:r>
      </w:hyperlink>
    </w:p>
    <w:p w14:paraId="18435E78" w14:textId="2EE56263" w:rsidR="00B640A6" w:rsidRPr="00F73CFF" w:rsidRDefault="00B640A6" w:rsidP="004E5C8F">
      <w:pPr>
        <w:pStyle w:val="NormalWeb"/>
        <w:spacing w:line="480" w:lineRule="auto"/>
        <w:ind w:left="851" w:hanging="851"/>
        <w:rPr>
          <w:rFonts w:ascii="Arial" w:hAnsi="Arial" w:cs="Arial"/>
          <w:color w:val="000000"/>
        </w:rPr>
      </w:pPr>
      <w:r w:rsidRPr="00B640A6">
        <w:rPr>
          <w:rFonts w:ascii="Arial" w:hAnsi="Arial" w:cs="Arial"/>
          <w:color w:val="000000"/>
        </w:rPr>
        <w:t>Boman, J. H., 4th, Mowen, T. J., &amp; Higgins, G. E. (2019). Social Learning, Self-Control, and Offending Specialization and Versatility among Friends. </w:t>
      </w:r>
      <w:r w:rsidRPr="00B640A6">
        <w:rPr>
          <w:rFonts w:ascii="Arial" w:hAnsi="Arial" w:cs="Arial"/>
          <w:i/>
          <w:iCs/>
          <w:color w:val="000000"/>
        </w:rPr>
        <w:t>American journal of criminal justice: AJCJ</w:t>
      </w:r>
      <w:r w:rsidRPr="00B640A6">
        <w:rPr>
          <w:rFonts w:ascii="Arial" w:hAnsi="Arial" w:cs="Arial"/>
          <w:color w:val="000000"/>
        </w:rPr>
        <w:t>, </w:t>
      </w:r>
      <w:r w:rsidRPr="00B640A6">
        <w:rPr>
          <w:rFonts w:ascii="Arial" w:hAnsi="Arial" w:cs="Arial"/>
          <w:i/>
          <w:iCs/>
          <w:color w:val="000000"/>
        </w:rPr>
        <w:t>44</w:t>
      </w:r>
      <w:r w:rsidRPr="00B640A6">
        <w:rPr>
          <w:rFonts w:ascii="Arial" w:hAnsi="Arial" w:cs="Arial"/>
          <w:color w:val="000000"/>
        </w:rPr>
        <w:t>(1), 3–22. https://doi.org/10.1007/s12103-018-9445-7</w:t>
      </w:r>
    </w:p>
    <w:p w14:paraId="328FDBE9" w14:textId="77777777" w:rsidR="004E5C8F" w:rsidRPr="00F73CFF"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t>Bowlby, J. (1988).</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A secure base: Parent-child attachment and healthy human development</w:t>
      </w:r>
      <w:r w:rsidRPr="00F73CFF">
        <w:rPr>
          <w:rFonts w:ascii="Arial" w:hAnsi="Arial" w:cs="Arial"/>
          <w:color w:val="000000"/>
        </w:rPr>
        <w:t>. Basic Books.</w:t>
      </w:r>
    </w:p>
    <w:p w14:paraId="53F4391C" w14:textId="77777777" w:rsidR="004E5C8F" w:rsidRPr="00F73CFF"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t>Case, S., &amp; Haines, K. (2020).</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Children first, offenders second: The centrality of engagement in positive youth justice</w:t>
      </w:r>
      <w:r w:rsidRPr="00F73CFF">
        <w:rPr>
          <w:rFonts w:ascii="Arial" w:hAnsi="Arial" w:cs="Arial"/>
          <w:color w:val="000000"/>
        </w:rPr>
        <w:t>. The Howard Journal of Crime and Justice, 59(4), 529–546.</w:t>
      </w:r>
      <w:r w:rsidRPr="00F73CFF">
        <w:rPr>
          <w:rStyle w:val="apple-converted-space"/>
          <w:rFonts w:ascii="Arial" w:eastAsiaTheme="majorEastAsia" w:hAnsi="Arial" w:cs="Arial"/>
          <w:color w:val="000000"/>
        </w:rPr>
        <w:t> </w:t>
      </w:r>
      <w:r w:rsidRPr="00F73CFF">
        <w:rPr>
          <w:rFonts w:ascii="Arial" w:hAnsi="Arial" w:cs="Arial"/>
          <w:color w:val="000000"/>
        </w:rPr>
        <w:t>https://doi.org/10.1111/hojo.12370</w:t>
      </w:r>
    </w:p>
    <w:p w14:paraId="5B3FBB3D" w14:textId="02B4B0BB" w:rsidR="004E5C8F"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t>Farrington, D. P. (2024). Developmental crime prevention manifesto—or “saving children from a life of crime” 2.0.</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Journal of Developmental and Life-Course Criminology, 10</w:t>
      </w:r>
      <w:r w:rsidRPr="00F73CFF">
        <w:rPr>
          <w:rFonts w:ascii="Arial" w:hAnsi="Arial" w:cs="Arial"/>
          <w:color w:val="000000"/>
        </w:rPr>
        <w:t>(4), 457–476.</w:t>
      </w:r>
      <w:r w:rsidRPr="00F73CFF">
        <w:rPr>
          <w:rStyle w:val="apple-converted-space"/>
          <w:rFonts w:ascii="Arial" w:eastAsiaTheme="majorEastAsia" w:hAnsi="Arial" w:cs="Arial"/>
          <w:color w:val="000000"/>
        </w:rPr>
        <w:t> </w:t>
      </w:r>
      <w:hyperlink r:id="rId9" w:history="1">
        <w:r w:rsidR="006814FF" w:rsidRPr="00E319DE">
          <w:rPr>
            <w:rStyle w:val="Hyperlink"/>
            <w:rFonts w:ascii="Arial" w:hAnsi="Arial" w:cs="Arial"/>
          </w:rPr>
          <w:t>https://doi.org/10.1007/s40865-025-00270-z</w:t>
        </w:r>
      </w:hyperlink>
    </w:p>
    <w:p w14:paraId="13F66D36" w14:textId="75874914" w:rsidR="00A873C6" w:rsidRDefault="00A873C6" w:rsidP="00A873C6">
      <w:pPr>
        <w:pStyle w:val="NormalWeb"/>
        <w:spacing w:line="480" w:lineRule="auto"/>
        <w:ind w:left="851" w:hanging="851"/>
        <w:rPr>
          <w:rFonts w:ascii="Arial" w:hAnsi="Arial" w:cs="Arial"/>
          <w:color w:val="000000"/>
        </w:rPr>
      </w:pPr>
      <w:r w:rsidRPr="00A873C6">
        <w:rPr>
          <w:rFonts w:ascii="Arial" w:hAnsi="Arial" w:cs="Arial"/>
          <w:color w:val="000000"/>
        </w:rPr>
        <w:t>Farrington, D. P., Ttofi, M. M., &amp; Piquero, A. R. (2017). Risk, promotive, and protective factors in youth offending: Results from the Cambridge Study in Delinquent Development. </w:t>
      </w:r>
      <w:r w:rsidRPr="00A873C6">
        <w:rPr>
          <w:rFonts w:ascii="Arial" w:hAnsi="Arial" w:cs="Arial"/>
          <w:i/>
          <w:iCs/>
          <w:color w:val="000000"/>
        </w:rPr>
        <w:t>Journal of Criminal Justice, 45</w:t>
      </w:r>
      <w:r w:rsidRPr="00A873C6">
        <w:rPr>
          <w:rFonts w:ascii="Arial" w:hAnsi="Arial" w:cs="Arial"/>
          <w:color w:val="000000"/>
        </w:rPr>
        <w:t>, 63–70. </w:t>
      </w:r>
      <w:hyperlink r:id="rId10" w:history="1">
        <w:r w:rsidRPr="00A873C6">
          <w:rPr>
            <w:rStyle w:val="Hyperlink"/>
            <w:rFonts w:ascii="Arial" w:hAnsi="Arial" w:cs="Arial"/>
          </w:rPr>
          <w:t>https://doi.org/10.1016/j.jcrimjus.2016.02.014</w:t>
        </w:r>
      </w:hyperlink>
      <w:r>
        <w:rPr>
          <w:rFonts w:ascii="Arial" w:hAnsi="Arial" w:cs="Arial"/>
          <w:color w:val="000000"/>
        </w:rPr>
        <w:t xml:space="preserve"> </w:t>
      </w:r>
    </w:p>
    <w:p w14:paraId="4844384E" w14:textId="62127A3F" w:rsidR="00DD3639" w:rsidRDefault="00DD3639" w:rsidP="00DD3639">
      <w:pPr>
        <w:pStyle w:val="NormalWeb"/>
        <w:spacing w:line="480" w:lineRule="auto"/>
        <w:ind w:left="851" w:hanging="851"/>
        <w:rPr>
          <w:rFonts w:ascii="Arial" w:hAnsi="Arial" w:cs="Arial"/>
          <w:color w:val="000000"/>
        </w:rPr>
      </w:pPr>
      <w:r w:rsidRPr="00DD3639">
        <w:rPr>
          <w:rFonts w:ascii="Arial" w:hAnsi="Arial" w:cs="Arial"/>
          <w:color w:val="000000"/>
        </w:rPr>
        <w:t>Farrington, D. (2010). Family influences on delinquency. </w:t>
      </w:r>
      <w:r w:rsidRPr="00DD3639">
        <w:rPr>
          <w:rFonts w:ascii="Arial" w:hAnsi="Arial" w:cs="Arial"/>
          <w:i/>
          <w:iCs/>
          <w:color w:val="000000"/>
        </w:rPr>
        <w:t>Juvenile justice and delinquency</w:t>
      </w:r>
      <w:r w:rsidRPr="00DD3639">
        <w:rPr>
          <w:rFonts w:ascii="Arial" w:hAnsi="Arial" w:cs="Arial"/>
          <w:color w:val="000000"/>
        </w:rPr>
        <w:t>, </w:t>
      </w:r>
      <w:r w:rsidRPr="00DD3639">
        <w:rPr>
          <w:rFonts w:ascii="Arial" w:hAnsi="Arial" w:cs="Arial"/>
          <w:i/>
          <w:iCs/>
          <w:color w:val="000000"/>
        </w:rPr>
        <w:t>10</w:t>
      </w:r>
      <w:r w:rsidRPr="00DD3639">
        <w:rPr>
          <w:rFonts w:ascii="Arial" w:hAnsi="Arial" w:cs="Arial"/>
          <w:color w:val="000000"/>
        </w:rPr>
        <w:t>, 203-222</w:t>
      </w:r>
    </w:p>
    <w:p w14:paraId="191C07F1" w14:textId="5E5ED615" w:rsidR="006814FF" w:rsidRDefault="006814FF" w:rsidP="004E5C8F">
      <w:pPr>
        <w:pStyle w:val="NormalWeb"/>
        <w:spacing w:line="480" w:lineRule="auto"/>
        <w:ind w:left="851" w:hanging="851"/>
        <w:rPr>
          <w:rFonts w:ascii="Arial" w:hAnsi="Arial" w:cs="Arial"/>
          <w:color w:val="000000"/>
        </w:rPr>
      </w:pPr>
      <w:r w:rsidRPr="006814FF">
        <w:rPr>
          <w:rFonts w:ascii="Arial" w:hAnsi="Arial" w:cs="Arial"/>
          <w:color w:val="000000"/>
        </w:rPr>
        <w:lastRenderedPageBreak/>
        <w:t>Fearon, R. P., Bakermans-Kranenburg, M. J., van Ijzendoorn, M. H., Lapsley, A. M., &amp; Roisman, G. I. (2010). The significance of insecure attachment and disorganization in the development of children's externalizing behavior: a meta-analytic study. </w:t>
      </w:r>
      <w:r w:rsidRPr="006814FF">
        <w:rPr>
          <w:rFonts w:ascii="Arial" w:hAnsi="Arial" w:cs="Arial"/>
          <w:i/>
          <w:iCs/>
          <w:color w:val="000000"/>
        </w:rPr>
        <w:t>Child development</w:t>
      </w:r>
      <w:r w:rsidRPr="006814FF">
        <w:rPr>
          <w:rFonts w:ascii="Arial" w:hAnsi="Arial" w:cs="Arial"/>
          <w:color w:val="000000"/>
        </w:rPr>
        <w:t>, </w:t>
      </w:r>
      <w:r w:rsidRPr="006814FF">
        <w:rPr>
          <w:rFonts w:ascii="Arial" w:hAnsi="Arial" w:cs="Arial"/>
          <w:i/>
          <w:iCs/>
          <w:color w:val="000000"/>
        </w:rPr>
        <w:t>81</w:t>
      </w:r>
      <w:r w:rsidRPr="006814FF">
        <w:rPr>
          <w:rFonts w:ascii="Arial" w:hAnsi="Arial" w:cs="Arial"/>
          <w:color w:val="000000"/>
        </w:rPr>
        <w:t xml:space="preserve">(2), 435–456. </w:t>
      </w:r>
      <w:hyperlink r:id="rId11" w:history="1">
        <w:r w:rsidRPr="00E319DE">
          <w:rPr>
            <w:rStyle w:val="Hyperlink"/>
            <w:rFonts w:ascii="Arial" w:hAnsi="Arial" w:cs="Arial"/>
          </w:rPr>
          <w:t>https://doi.org/10.1111/j.1467-8624.2009.01405.x</w:t>
        </w:r>
      </w:hyperlink>
    </w:p>
    <w:p w14:paraId="28D17F55" w14:textId="67AED56C" w:rsidR="00B640A6" w:rsidRDefault="00B640A6" w:rsidP="004E5C8F">
      <w:pPr>
        <w:pStyle w:val="NormalWeb"/>
        <w:spacing w:line="480" w:lineRule="auto"/>
        <w:ind w:left="851" w:hanging="851"/>
        <w:rPr>
          <w:rFonts w:ascii="Arial" w:hAnsi="Arial" w:cs="Arial"/>
          <w:color w:val="000000"/>
        </w:rPr>
      </w:pPr>
      <w:r w:rsidRPr="00B640A6">
        <w:rPr>
          <w:rFonts w:ascii="Arial" w:hAnsi="Arial" w:cs="Arial"/>
          <w:color w:val="000000"/>
        </w:rPr>
        <w:t>Froggio, G. (2007). Strain and Juvenile Delinquency: A Critical Review of Agnew’s General Strain Theory. </w:t>
      </w:r>
      <w:r w:rsidRPr="00B640A6">
        <w:rPr>
          <w:rFonts w:ascii="Arial" w:hAnsi="Arial" w:cs="Arial"/>
          <w:i/>
          <w:iCs/>
          <w:color w:val="000000"/>
        </w:rPr>
        <w:t>Journal of Loss and Trauma</w:t>
      </w:r>
      <w:r w:rsidRPr="00B640A6">
        <w:rPr>
          <w:rFonts w:ascii="Arial" w:hAnsi="Arial" w:cs="Arial"/>
          <w:color w:val="000000"/>
        </w:rPr>
        <w:t>, </w:t>
      </w:r>
      <w:r w:rsidRPr="00B640A6">
        <w:rPr>
          <w:rFonts w:ascii="Arial" w:hAnsi="Arial" w:cs="Arial"/>
          <w:i/>
          <w:iCs/>
          <w:color w:val="000000"/>
        </w:rPr>
        <w:t>12</w:t>
      </w:r>
      <w:r w:rsidRPr="00B640A6">
        <w:rPr>
          <w:rFonts w:ascii="Arial" w:hAnsi="Arial" w:cs="Arial"/>
          <w:color w:val="000000"/>
        </w:rPr>
        <w:t xml:space="preserve">(4), 383–418. </w:t>
      </w:r>
      <w:hyperlink r:id="rId12" w:history="1">
        <w:r w:rsidR="00A873C6" w:rsidRPr="00E319DE">
          <w:rPr>
            <w:rStyle w:val="Hyperlink"/>
            <w:rFonts w:ascii="Arial" w:hAnsi="Arial" w:cs="Arial"/>
          </w:rPr>
          <w:t>https://doi.org/10.1080/15325020701249363</w:t>
        </w:r>
      </w:hyperlink>
    </w:p>
    <w:p w14:paraId="06F908F7" w14:textId="09EA84D3" w:rsidR="00A873C6" w:rsidRDefault="00A873C6" w:rsidP="004E5C8F">
      <w:pPr>
        <w:pStyle w:val="NormalWeb"/>
        <w:spacing w:line="480" w:lineRule="auto"/>
        <w:ind w:left="851" w:hanging="851"/>
        <w:rPr>
          <w:rFonts w:ascii="Arial" w:hAnsi="Arial" w:cs="Arial"/>
          <w:color w:val="000000"/>
        </w:rPr>
      </w:pPr>
      <w:r w:rsidRPr="00A873C6">
        <w:rPr>
          <w:rFonts w:ascii="Arial" w:hAnsi="Arial" w:cs="Arial"/>
          <w:color w:val="000000"/>
        </w:rPr>
        <w:t>Henry, K. L., Knight, K. E., &amp; Thornberry, T. P. (2012). School disengagement as a predictor of dropout, delinquency, and problem substance use during adolescence and early adulthood. </w:t>
      </w:r>
      <w:r w:rsidRPr="00A873C6">
        <w:rPr>
          <w:rFonts w:ascii="Arial" w:hAnsi="Arial" w:cs="Arial"/>
          <w:i/>
          <w:iCs/>
          <w:color w:val="000000"/>
        </w:rPr>
        <w:t>Journal of youth and adolescence</w:t>
      </w:r>
      <w:r w:rsidRPr="00A873C6">
        <w:rPr>
          <w:rFonts w:ascii="Arial" w:hAnsi="Arial" w:cs="Arial"/>
          <w:color w:val="000000"/>
        </w:rPr>
        <w:t>, </w:t>
      </w:r>
      <w:r w:rsidRPr="00A873C6">
        <w:rPr>
          <w:rFonts w:ascii="Arial" w:hAnsi="Arial" w:cs="Arial"/>
          <w:i/>
          <w:iCs/>
          <w:color w:val="000000"/>
        </w:rPr>
        <w:t>41</w:t>
      </w:r>
      <w:r w:rsidRPr="00A873C6">
        <w:rPr>
          <w:rFonts w:ascii="Arial" w:hAnsi="Arial" w:cs="Arial"/>
          <w:color w:val="000000"/>
        </w:rPr>
        <w:t>(2), 156–166. https://doi.org/10.1007/s10964-011-9665-3</w:t>
      </w:r>
    </w:p>
    <w:p w14:paraId="5D6E4BE3" w14:textId="4CD5A9BD" w:rsidR="006814FF" w:rsidRPr="00F73CFF" w:rsidRDefault="006814FF" w:rsidP="004E5C8F">
      <w:pPr>
        <w:pStyle w:val="NormalWeb"/>
        <w:spacing w:line="480" w:lineRule="auto"/>
        <w:ind w:left="851" w:hanging="851"/>
        <w:rPr>
          <w:rFonts w:ascii="Arial" w:hAnsi="Arial" w:cs="Arial"/>
          <w:color w:val="000000"/>
        </w:rPr>
      </w:pPr>
      <w:r w:rsidRPr="006814FF">
        <w:rPr>
          <w:rFonts w:ascii="Arial" w:hAnsi="Arial" w:cs="Arial"/>
          <w:color w:val="000000"/>
        </w:rPr>
        <w:t>Hoeve, M., Dubas, J. S., Eichelsheim, V. I., van der Laan, P. H., Smeenk, W., &amp; Gerris, J. R. (2009). The relationship between parenting and delinquency: a meta-analysis. </w:t>
      </w:r>
      <w:r w:rsidRPr="006814FF">
        <w:rPr>
          <w:rFonts w:ascii="Arial" w:hAnsi="Arial" w:cs="Arial"/>
          <w:i/>
          <w:iCs/>
          <w:color w:val="000000"/>
        </w:rPr>
        <w:t>Journal of abnormal child psychology</w:t>
      </w:r>
      <w:r w:rsidRPr="006814FF">
        <w:rPr>
          <w:rFonts w:ascii="Arial" w:hAnsi="Arial" w:cs="Arial"/>
          <w:color w:val="000000"/>
        </w:rPr>
        <w:t>, </w:t>
      </w:r>
      <w:r w:rsidRPr="006814FF">
        <w:rPr>
          <w:rFonts w:ascii="Arial" w:hAnsi="Arial" w:cs="Arial"/>
          <w:i/>
          <w:iCs/>
          <w:color w:val="000000"/>
        </w:rPr>
        <w:t>37</w:t>
      </w:r>
      <w:r w:rsidRPr="006814FF">
        <w:rPr>
          <w:rFonts w:ascii="Arial" w:hAnsi="Arial" w:cs="Arial"/>
          <w:color w:val="000000"/>
        </w:rPr>
        <w:t>(6), 749–775. https://doi.org/10.1007/s10802-009-9310-8</w:t>
      </w:r>
    </w:p>
    <w:p w14:paraId="36FF0BB8" w14:textId="77777777" w:rsidR="004E5C8F"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t>Holloway, E. D., Irgens, M., McPhee, J., Folk, J. B., &amp; Tolou-Shams, M. (2024). Youth recidivism: Youth self-report matters.</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Frontiers in Psychology, 14</w:t>
      </w:r>
      <w:r w:rsidRPr="00F73CFF">
        <w:rPr>
          <w:rFonts w:ascii="Arial" w:hAnsi="Arial" w:cs="Arial"/>
          <w:color w:val="000000"/>
        </w:rPr>
        <w:t>, 1208317.</w:t>
      </w:r>
      <w:r w:rsidRPr="00F73CFF">
        <w:rPr>
          <w:rStyle w:val="apple-converted-space"/>
          <w:rFonts w:ascii="Arial" w:eastAsiaTheme="majorEastAsia" w:hAnsi="Arial" w:cs="Arial"/>
          <w:color w:val="000000"/>
        </w:rPr>
        <w:t> </w:t>
      </w:r>
      <w:hyperlink r:id="rId13" w:tgtFrame="_new" w:history="1">
        <w:r w:rsidRPr="00F73CFF">
          <w:rPr>
            <w:rStyle w:val="Hyperlink"/>
            <w:rFonts w:ascii="Arial" w:eastAsiaTheme="majorEastAsia" w:hAnsi="Arial" w:cs="Arial"/>
          </w:rPr>
          <w:t>https://doi.org/10.3389/fpsyg.2023.1208317</w:t>
        </w:r>
      </w:hyperlink>
    </w:p>
    <w:p w14:paraId="598088CF" w14:textId="3CD2E2C0" w:rsidR="00B57028" w:rsidRDefault="00B57028" w:rsidP="004E5C8F">
      <w:pPr>
        <w:pStyle w:val="NormalWeb"/>
        <w:spacing w:line="480" w:lineRule="auto"/>
        <w:ind w:left="851" w:hanging="851"/>
        <w:rPr>
          <w:rFonts w:ascii="Arial" w:hAnsi="Arial" w:cs="Arial"/>
          <w:color w:val="000000"/>
        </w:rPr>
      </w:pPr>
      <w:r w:rsidRPr="00B57028">
        <w:rPr>
          <w:rFonts w:ascii="Arial" w:hAnsi="Arial" w:cs="Arial"/>
          <w:color w:val="000000"/>
        </w:rPr>
        <w:t>Ibabe, I., Jaureguizar, J., &amp; Bentler, P. M. (2013). Protective factors for adolescent violence against authority. </w:t>
      </w:r>
      <w:r w:rsidRPr="00B57028">
        <w:rPr>
          <w:rFonts w:ascii="Arial" w:hAnsi="Arial" w:cs="Arial"/>
          <w:i/>
          <w:iCs/>
          <w:color w:val="000000"/>
        </w:rPr>
        <w:t>The Spanish journal of psychology</w:t>
      </w:r>
      <w:r w:rsidRPr="00B57028">
        <w:rPr>
          <w:rFonts w:ascii="Arial" w:hAnsi="Arial" w:cs="Arial"/>
          <w:color w:val="000000"/>
        </w:rPr>
        <w:t>, </w:t>
      </w:r>
      <w:r w:rsidRPr="00B57028">
        <w:rPr>
          <w:rFonts w:ascii="Arial" w:hAnsi="Arial" w:cs="Arial"/>
          <w:i/>
          <w:iCs/>
          <w:color w:val="000000"/>
        </w:rPr>
        <w:t>16</w:t>
      </w:r>
      <w:r w:rsidRPr="00B57028">
        <w:rPr>
          <w:rFonts w:ascii="Arial" w:hAnsi="Arial" w:cs="Arial"/>
          <w:color w:val="000000"/>
        </w:rPr>
        <w:t xml:space="preserve">, E76. </w:t>
      </w:r>
      <w:hyperlink r:id="rId14" w:history="1">
        <w:r w:rsidR="00EB7B3B" w:rsidRPr="00E319DE">
          <w:rPr>
            <w:rStyle w:val="Hyperlink"/>
            <w:rFonts w:ascii="Arial" w:hAnsi="Arial" w:cs="Arial"/>
          </w:rPr>
          <w:t>https://doi.org/10.1017/sjp.2013.72</w:t>
        </w:r>
      </w:hyperlink>
    </w:p>
    <w:p w14:paraId="18F059A2" w14:textId="1DF3F142" w:rsidR="00EB7B3B" w:rsidRDefault="00EB7B3B" w:rsidP="00EB7B3B">
      <w:pPr>
        <w:pStyle w:val="NormalWeb"/>
        <w:spacing w:line="480" w:lineRule="auto"/>
        <w:ind w:left="851" w:hanging="851"/>
        <w:rPr>
          <w:rFonts w:ascii="Arial" w:hAnsi="Arial" w:cs="Arial"/>
          <w:color w:val="000000"/>
        </w:rPr>
      </w:pPr>
      <w:r w:rsidRPr="00EB7B3B">
        <w:rPr>
          <w:rFonts w:ascii="Arial" w:hAnsi="Arial" w:cs="Arial"/>
          <w:color w:val="000000"/>
        </w:rPr>
        <w:lastRenderedPageBreak/>
        <w:t>Intravia, J., Jones, S., &amp; Piquero, A. R. (2011). The Roles of Social Bonds, Personality, and Perceived Costs: An Empirical Investigation Into Hirschi’s “New” Control Theory: An Empirical Investigation Into Hirschi’s “New” Control Theory. </w:t>
      </w:r>
      <w:r w:rsidRPr="00EB7B3B">
        <w:rPr>
          <w:rFonts w:ascii="Arial" w:hAnsi="Arial" w:cs="Arial"/>
          <w:i/>
          <w:iCs/>
          <w:color w:val="000000"/>
        </w:rPr>
        <w:t>International Journal of Offender Therapy and Comparative Criminology</w:t>
      </w:r>
      <w:r w:rsidRPr="00EB7B3B">
        <w:rPr>
          <w:rFonts w:ascii="Arial" w:hAnsi="Arial" w:cs="Arial"/>
          <w:color w:val="000000"/>
        </w:rPr>
        <w:t>, </w:t>
      </w:r>
      <w:r w:rsidRPr="00EB7B3B">
        <w:rPr>
          <w:rFonts w:ascii="Arial" w:hAnsi="Arial" w:cs="Arial"/>
          <w:i/>
          <w:iCs/>
          <w:color w:val="000000"/>
        </w:rPr>
        <w:t>56</w:t>
      </w:r>
      <w:r w:rsidRPr="00EB7B3B">
        <w:rPr>
          <w:rFonts w:ascii="Arial" w:hAnsi="Arial" w:cs="Arial"/>
          <w:color w:val="000000"/>
        </w:rPr>
        <w:t>(8), 1182-1200. </w:t>
      </w:r>
      <w:hyperlink r:id="rId15" w:history="1">
        <w:r w:rsidRPr="00EB7B3B">
          <w:rPr>
            <w:rStyle w:val="Hyperlink"/>
            <w:rFonts w:ascii="Arial" w:hAnsi="Arial" w:cs="Arial"/>
          </w:rPr>
          <w:t>https://doi.org/10.1177/0306624X11422998</w:t>
        </w:r>
      </w:hyperlink>
      <w:r w:rsidRPr="00EB7B3B">
        <w:rPr>
          <w:rFonts w:ascii="Arial" w:hAnsi="Arial" w:cs="Arial"/>
          <w:color w:val="000000"/>
        </w:rPr>
        <w:t> </w:t>
      </w:r>
    </w:p>
    <w:p w14:paraId="051C76A7" w14:textId="332E0DB3" w:rsidR="00A873C6" w:rsidRPr="00F73CFF" w:rsidRDefault="00A873C6" w:rsidP="004E5C8F">
      <w:pPr>
        <w:pStyle w:val="NormalWeb"/>
        <w:spacing w:line="480" w:lineRule="auto"/>
        <w:ind w:left="851" w:hanging="851"/>
        <w:rPr>
          <w:rFonts w:ascii="Arial" w:hAnsi="Arial" w:cs="Arial"/>
          <w:color w:val="000000"/>
        </w:rPr>
      </w:pPr>
      <w:r w:rsidRPr="00A873C6">
        <w:rPr>
          <w:rFonts w:ascii="Arial" w:hAnsi="Arial" w:cs="Arial"/>
          <w:color w:val="000000"/>
        </w:rPr>
        <w:t>Jerrim, J. (2025). School absences, exclusions and criminal sentences amongst high-achieving children from disadvantaged socio-economic backgrounds. </w:t>
      </w:r>
      <w:r w:rsidRPr="00A873C6">
        <w:rPr>
          <w:rFonts w:ascii="Arial" w:hAnsi="Arial" w:cs="Arial"/>
          <w:i/>
          <w:iCs/>
          <w:color w:val="000000"/>
        </w:rPr>
        <w:t>Research Papers in Education</w:t>
      </w:r>
      <w:r w:rsidRPr="00A873C6">
        <w:rPr>
          <w:rFonts w:ascii="Arial" w:hAnsi="Arial" w:cs="Arial"/>
          <w:color w:val="000000"/>
        </w:rPr>
        <w:t>, 1–28. https://doi.org/10.1080/02671522.2025.2555232</w:t>
      </w:r>
    </w:p>
    <w:p w14:paraId="717175A5" w14:textId="7218D782" w:rsidR="004E5C8F"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t>Kerig, P. K., Ford, J. D., Alexander, A. R., &amp; Toth, S. L. (2024). Interventions for trauma-affected youth in the juvenile justice system: An overview of challenges and opportunities.</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Psychological Injury and Law, 17</w:t>
      </w:r>
      <w:r w:rsidRPr="00F73CFF">
        <w:rPr>
          <w:rFonts w:ascii="Arial" w:hAnsi="Arial" w:cs="Arial"/>
          <w:color w:val="000000"/>
        </w:rPr>
        <w:t>(2), 199–220.</w:t>
      </w:r>
      <w:r w:rsidRPr="00F73CFF">
        <w:rPr>
          <w:rStyle w:val="apple-converted-space"/>
          <w:rFonts w:ascii="Arial" w:eastAsiaTheme="majorEastAsia" w:hAnsi="Arial" w:cs="Arial"/>
          <w:color w:val="000000"/>
        </w:rPr>
        <w:t> </w:t>
      </w:r>
      <w:hyperlink r:id="rId16" w:history="1">
        <w:r w:rsidR="00B57028" w:rsidRPr="00E319DE">
          <w:rPr>
            <w:rStyle w:val="Hyperlink"/>
            <w:rFonts w:ascii="Arial" w:hAnsi="Arial" w:cs="Arial"/>
          </w:rPr>
          <w:t>https://doi.org/10.1007/s12207-024-09497-5</w:t>
        </w:r>
      </w:hyperlink>
    </w:p>
    <w:p w14:paraId="397C231B" w14:textId="69439174" w:rsidR="00B57028" w:rsidRDefault="00B57028" w:rsidP="004E5C8F">
      <w:pPr>
        <w:pStyle w:val="NormalWeb"/>
        <w:spacing w:line="480" w:lineRule="auto"/>
        <w:ind w:left="851" w:hanging="851"/>
        <w:rPr>
          <w:rFonts w:ascii="Arial" w:hAnsi="Arial" w:cs="Arial"/>
          <w:color w:val="000000"/>
        </w:rPr>
      </w:pPr>
      <w:r w:rsidRPr="00B57028">
        <w:rPr>
          <w:rFonts w:ascii="Arial" w:hAnsi="Arial" w:cs="Arial"/>
          <w:color w:val="000000"/>
        </w:rPr>
        <w:t>Kroese, J., Bernasco, W., Liefbroer, A. C., &amp; Rouwendal, J. (2021). Growing up in single-parent families and the criminal involvement of adolescents: a systematic review. </w:t>
      </w:r>
      <w:r w:rsidRPr="00B57028">
        <w:rPr>
          <w:rFonts w:ascii="Arial" w:hAnsi="Arial" w:cs="Arial"/>
          <w:i/>
          <w:iCs/>
          <w:color w:val="000000"/>
        </w:rPr>
        <w:t>Psychology, Crime &amp; Law</w:t>
      </w:r>
      <w:r w:rsidRPr="00B57028">
        <w:rPr>
          <w:rFonts w:ascii="Arial" w:hAnsi="Arial" w:cs="Arial"/>
          <w:color w:val="000000"/>
        </w:rPr>
        <w:t>, </w:t>
      </w:r>
      <w:r w:rsidRPr="00B57028">
        <w:rPr>
          <w:rFonts w:ascii="Arial" w:hAnsi="Arial" w:cs="Arial"/>
          <w:i/>
          <w:iCs/>
          <w:color w:val="000000"/>
        </w:rPr>
        <w:t>27</w:t>
      </w:r>
      <w:r w:rsidRPr="00B57028">
        <w:rPr>
          <w:rFonts w:ascii="Arial" w:hAnsi="Arial" w:cs="Arial"/>
          <w:color w:val="000000"/>
        </w:rPr>
        <w:t>(1), 61–75. https://doi.org/10.1080/1068316X.2020.1774589</w:t>
      </w:r>
    </w:p>
    <w:p w14:paraId="526D506D" w14:textId="74A7C40F" w:rsidR="00B57028" w:rsidRPr="00F73CFF" w:rsidRDefault="00B57028" w:rsidP="004E5C8F">
      <w:pPr>
        <w:pStyle w:val="NormalWeb"/>
        <w:spacing w:line="480" w:lineRule="auto"/>
        <w:ind w:left="851" w:hanging="851"/>
        <w:rPr>
          <w:rFonts w:ascii="Arial" w:hAnsi="Arial" w:cs="Arial"/>
          <w:color w:val="000000"/>
        </w:rPr>
      </w:pPr>
      <w:r w:rsidRPr="00B57028">
        <w:rPr>
          <w:rFonts w:ascii="Arial" w:hAnsi="Arial" w:cs="Arial"/>
          <w:color w:val="000000"/>
        </w:rPr>
        <w:t>Lutz, M., Zani, D., Fritz, M., Dudeck, M., &amp; Franke, I. (2022). A review and comparative analysis of the risk-needs-responsivity, good lives, and recovery models in forensic psychiatric treatment. </w:t>
      </w:r>
      <w:r w:rsidRPr="00B57028">
        <w:rPr>
          <w:rFonts w:ascii="Arial" w:hAnsi="Arial" w:cs="Arial"/>
          <w:i/>
          <w:iCs/>
          <w:color w:val="000000"/>
        </w:rPr>
        <w:t>Frontiers in psychiatry</w:t>
      </w:r>
      <w:r w:rsidRPr="00B57028">
        <w:rPr>
          <w:rFonts w:ascii="Arial" w:hAnsi="Arial" w:cs="Arial"/>
          <w:color w:val="000000"/>
        </w:rPr>
        <w:t>, </w:t>
      </w:r>
      <w:r w:rsidRPr="00B57028">
        <w:rPr>
          <w:rFonts w:ascii="Arial" w:hAnsi="Arial" w:cs="Arial"/>
          <w:i/>
          <w:iCs/>
          <w:color w:val="000000"/>
        </w:rPr>
        <w:t>13</w:t>
      </w:r>
      <w:r w:rsidRPr="00B57028">
        <w:rPr>
          <w:rFonts w:ascii="Arial" w:hAnsi="Arial" w:cs="Arial"/>
          <w:color w:val="000000"/>
        </w:rPr>
        <w:t>, 988905. https://doi.org/10.3389/fpsyt.2022.988905</w:t>
      </w:r>
    </w:p>
    <w:p w14:paraId="34E6A178" w14:textId="3BD10D2B" w:rsidR="00B57028" w:rsidRDefault="004E5C8F" w:rsidP="001D384C">
      <w:pPr>
        <w:pStyle w:val="NormalWeb"/>
        <w:spacing w:line="480" w:lineRule="auto"/>
        <w:ind w:left="851" w:hanging="851"/>
        <w:rPr>
          <w:rFonts w:ascii="Arial" w:hAnsi="Arial" w:cs="Arial"/>
          <w:color w:val="000000"/>
        </w:rPr>
      </w:pPr>
      <w:r w:rsidRPr="00F73CFF">
        <w:rPr>
          <w:rFonts w:ascii="Arial" w:hAnsi="Arial" w:cs="Arial"/>
          <w:color w:val="000000"/>
        </w:rPr>
        <w:lastRenderedPageBreak/>
        <w:t>Moffitt, T. E. (2018). Male antisocial behaviour in adolescence and beyond.</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Nature Human Behaviour, 2</w:t>
      </w:r>
      <w:r w:rsidRPr="00F73CFF">
        <w:rPr>
          <w:rFonts w:ascii="Arial" w:hAnsi="Arial" w:cs="Arial"/>
          <w:color w:val="000000"/>
        </w:rPr>
        <w:t>(3), 177–186.</w:t>
      </w:r>
      <w:r w:rsidRPr="00F73CFF">
        <w:rPr>
          <w:rStyle w:val="apple-converted-space"/>
          <w:rFonts w:ascii="Arial" w:eastAsiaTheme="majorEastAsia" w:hAnsi="Arial" w:cs="Arial"/>
          <w:color w:val="000000"/>
        </w:rPr>
        <w:t> </w:t>
      </w:r>
      <w:hyperlink r:id="rId17" w:history="1">
        <w:r w:rsidR="00B57028" w:rsidRPr="00E319DE">
          <w:rPr>
            <w:rStyle w:val="Hyperlink"/>
            <w:rFonts w:ascii="Arial" w:hAnsi="Arial" w:cs="Arial"/>
          </w:rPr>
          <w:t>https://doi.org/10.1038/s41562-018-0309-4</w:t>
        </w:r>
      </w:hyperlink>
    </w:p>
    <w:p w14:paraId="633551C6" w14:textId="6C77D10D" w:rsidR="00B57028" w:rsidRDefault="00B57028" w:rsidP="001D384C">
      <w:pPr>
        <w:pStyle w:val="NormalWeb"/>
        <w:spacing w:line="480" w:lineRule="auto"/>
        <w:ind w:left="851" w:hanging="851"/>
        <w:rPr>
          <w:rFonts w:ascii="Arial" w:hAnsi="Arial" w:cs="Arial"/>
          <w:color w:val="000000"/>
        </w:rPr>
      </w:pPr>
      <w:r w:rsidRPr="00B57028">
        <w:rPr>
          <w:rFonts w:ascii="Arial" w:hAnsi="Arial" w:cs="Arial"/>
          <w:color w:val="000000"/>
        </w:rPr>
        <w:t>Moore, K., Ahern, E., O'Meara Daly, E., Houghton, S., McAuliffe, H., &amp; Rogers, E. (2025). Youth Justice Services: Relationships, Rehabilitation and the Reality of the Young People Involved-A Meta-synthesis of the Qualitative Literature. </w:t>
      </w:r>
      <w:r w:rsidRPr="00B57028">
        <w:rPr>
          <w:rFonts w:ascii="Arial" w:hAnsi="Arial" w:cs="Arial"/>
          <w:i/>
          <w:iCs/>
          <w:color w:val="000000"/>
        </w:rPr>
        <w:t>Clinical child and family psychology review</w:t>
      </w:r>
      <w:r w:rsidRPr="00B57028">
        <w:rPr>
          <w:rFonts w:ascii="Arial" w:hAnsi="Arial" w:cs="Arial"/>
          <w:color w:val="000000"/>
        </w:rPr>
        <w:t>, </w:t>
      </w:r>
      <w:r w:rsidRPr="00B57028">
        <w:rPr>
          <w:rFonts w:ascii="Arial" w:hAnsi="Arial" w:cs="Arial"/>
          <w:i/>
          <w:iCs/>
          <w:color w:val="000000"/>
        </w:rPr>
        <w:t>28</w:t>
      </w:r>
      <w:r w:rsidRPr="00B57028">
        <w:rPr>
          <w:rFonts w:ascii="Arial" w:hAnsi="Arial" w:cs="Arial"/>
          <w:color w:val="000000"/>
        </w:rPr>
        <w:t xml:space="preserve">(3), 631–649. </w:t>
      </w:r>
      <w:hyperlink r:id="rId18" w:history="1">
        <w:r w:rsidRPr="00E319DE">
          <w:rPr>
            <w:rStyle w:val="Hyperlink"/>
            <w:rFonts w:ascii="Arial" w:hAnsi="Arial" w:cs="Arial"/>
          </w:rPr>
          <w:t>https://doi.org/10.1007/s10567-025-00534-6</w:t>
        </w:r>
      </w:hyperlink>
      <w:r>
        <w:rPr>
          <w:rFonts w:ascii="Arial" w:hAnsi="Arial" w:cs="Arial"/>
          <w:color w:val="000000"/>
        </w:rPr>
        <w:t xml:space="preserve"> </w:t>
      </w:r>
    </w:p>
    <w:p w14:paraId="4D8F5BC0" w14:textId="77777777" w:rsidR="00EB7B3B" w:rsidRDefault="00EB7B3B" w:rsidP="00EB7B3B">
      <w:pPr>
        <w:pStyle w:val="NormalWeb"/>
        <w:spacing w:line="480" w:lineRule="auto"/>
        <w:ind w:left="851" w:hanging="851"/>
        <w:rPr>
          <w:rFonts w:ascii="Arial" w:hAnsi="Arial" w:cs="Arial"/>
          <w:color w:val="1B1B1B"/>
          <w:shd w:val="clear" w:color="auto" w:fill="FFFFFF"/>
        </w:rPr>
      </w:pPr>
      <w:r w:rsidRPr="00EB7B3B">
        <w:rPr>
          <w:rFonts w:ascii="Arial" w:hAnsi="Arial" w:cs="Arial"/>
          <w:color w:val="1B1B1B"/>
          <w:shd w:val="clear" w:color="auto" w:fill="FFFFFF"/>
        </w:rPr>
        <w:t>Murray, J., Farrington, D. P., &amp; Sekol, I. (2012). Children's antisocial behavior, mental health, drug use, and educational performance after parental incarceration: a systematic review and meta-analysis.</w:t>
      </w:r>
      <w:r w:rsidRPr="00EB7B3B">
        <w:rPr>
          <w:rFonts w:ascii="Arial" w:eastAsiaTheme="majorEastAsia" w:hAnsi="Arial" w:cs="Arial"/>
          <w:color w:val="1B1B1B"/>
          <w:shd w:val="clear" w:color="auto" w:fill="FFFFFF"/>
        </w:rPr>
        <w:t> </w:t>
      </w:r>
      <w:r w:rsidRPr="00EB7B3B">
        <w:rPr>
          <w:rFonts w:ascii="Arial" w:hAnsi="Arial" w:cs="Arial"/>
          <w:i/>
          <w:iCs/>
          <w:color w:val="1B1B1B"/>
          <w:shd w:val="clear" w:color="auto" w:fill="FFFFFF"/>
        </w:rPr>
        <w:t>Psychological bulletin</w:t>
      </w:r>
      <w:r w:rsidRPr="00EB7B3B">
        <w:rPr>
          <w:rFonts w:ascii="Arial" w:hAnsi="Arial" w:cs="Arial"/>
          <w:color w:val="1B1B1B"/>
          <w:shd w:val="clear" w:color="auto" w:fill="FFFFFF"/>
        </w:rPr>
        <w:t>,</w:t>
      </w:r>
      <w:r w:rsidRPr="00EB7B3B">
        <w:rPr>
          <w:rFonts w:ascii="Arial" w:eastAsiaTheme="majorEastAsia" w:hAnsi="Arial" w:cs="Arial"/>
          <w:color w:val="1B1B1B"/>
          <w:shd w:val="clear" w:color="auto" w:fill="FFFFFF"/>
        </w:rPr>
        <w:t> </w:t>
      </w:r>
      <w:r w:rsidRPr="00EB7B3B">
        <w:rPr>
          <w:rFonts w:ascii="Arial" w:hAnsi="Arial" w:cs="Arial"/>
          <w:i/>
          <w:iCs/>
          <w:color w:val="1B1B1B"/>
          <w:shd w:val="clear" w:color="auto" w:fill="FFFFFF"/>
        </w:rPr>
        <w:t>138</w:t>
      </w:r>
      <w:r w:rsidRPr="00EB7B3B">
        <w:rPr>
          <w:rFonts w:ascii="Arial" w:hAnsi="Arial" w:cs="Arial"/>
          <w:color w:val="1B1B1B"/>
          <w:shd w:val="clear" w:color="auto" w:fill="FFFFFF"/>
        </w:rPr>
        <w:t xml:space="preserve">(2), 175–210. </w:t>
      </w:r>
      <w:hyperlink r:id="rId19" w:history="1">
        <w:r w:rsidRPr="00EB7B3B">
          <w:rPr>
            <w:rStyle w:val="Hyperlink"/>
            <w:rFonts w:ascii="Arial" w:hAnsi="Arial" w:cs="Arial"/>
            <w:shd w:val="clear" w:color="auto" w:fill="FFFFFF"/>
          </w:rPr>
          <w:t>https://doi.org/10.1037/a0026407</w:t>
        </w:r>
      </w:hyperlink>
    </w:p>
    <w:p w14:paraId="637A9E35" w14:textId="692ACF3A" w:rsidR="00EB7B3B" w:rsidRPr="00EB7B3B" w:rsidRDefault="00EB7B3B" w:rsidP="00EB7B3B">
      <w:pPr>
        <w:pStyle w:val="NormalWeb"/>
        <w:spacing w:line="480" w:lineRule="auto"/>
        <w:ind w:left="851" w:hanging="851"/>
        <w:rPr>
          <w:rFonts w:ascii="Arial" w:hAnsi="Arial" w:cs="Arial"/>
          <w:color w:val="1B1B1B"/>
          <w:shd w:val="clear" w:color="auto" w:fill="FFFFFF"/>
        </w:rPr>
      </w:pPr>
      <w:r w:rsidRPr="00EB7B3B">
        <w:rPr>
          <w:rFonts w:ascii="Arial" w:hAnsi="Arial" w:cs="Arial"/>
          <w:color w:val="1B1B1B"/>
          <w:shd w:val="clear" w:color="auto" w:fill="FFFFFF"/>
        </w:rPr>
        <w:t xml:space="preserve">Nissar, M., Ullah, S., Ali, M., &amp; Alam, S. (2015). Juvenile delinquency: The Influence of family, peer and economic factors on juvenile delinquents. </w:t>
      </w:r>
      <w:r w:rsidRPr="00EB7B3B">
        <w:rPr>
          <w:rFonts w:ascii="Arial" w:hAnsi="Arial" w:cs="Arial"/>
          <w:i/>
          <w:iCs/>
          <w:color w:val="1B1B1B"/>
          <w:shd w:val="clear" w:color="auto" w:fill="FFFFFF"/>
        </w:rPr>
        <w:t xml:space="preserve">Applied Science Reports, 9(1), </w:t>
      </w:r>
      <w:r w:rsidRPr="00EB7B3B">
        <w:rPr>
          <w:rFonts w:ascii="Arial" w:hAnsi="Arial" w:cs="Arial"/>
          <w:color w:val="1B1B1B"/>
          <w:shd w:val="clear" w:color="auto" w:fill="FFFFFF"/>
        </w:rPr>
        <w:t xml:space="preserve">37-48. </w:t>
      </w:r>
    </w:p>
    <w:p w14:paraId="6C67BD98" w14:textId="6E93BDD6" w:rsidR="001D384C" w:rsidRDefault="004E5C8F" w:rsidP="001D384C">
      <w:pPr>
        <w:pStyle w:val="NormalWeb"/>
        <w:spacing w:line="480" w:lineRule="auto"/>
        <w:ind w:left="851" w:hanging="851"/>
        <w:rPr>
          <w:rFonts w:ascii="Arial" w:hAnsi="Arial" w:cs="Arial"/>
          <w:color w:val="000000"/>
        </w:rPr>
      </w:pPr>
      <w:r w:rsidRPr="00F73CFF">
        <w:rPr>
          <w:rFonts w:ascii="Arial" w:hAnsi="Arial" w:cs="Arial"/>
          <w:color w:val="000000"/>
        </w:rPr>
        <w:t>Paddock, E., Chou, S., &amp; Browne, K. (2021). Child and adolescent offending. In J. M. Brown &amp; M. A. H. Horvath (Eds.),</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The Cambridge handbook of forensic psychology</w:t>
      </w:r>
      <w:r w:rsidRPr="00F73CFF">
        <w:rPr>
          <w:rStyle w:val="apple-converted-space"/>
          <w:rFonts w:ascii="Arial" w:eastAsiaTheme="majorEastAsia" w:hAnsi="Arial" w:cs="Arial"/>
          <w:color w:val="000000"/>
        </w:rPr>
        <w:t> </w:t>
      </w:r>
      <w:r w:rsidRPr="00F73CFF">
        <w:rPr>
          <w:rFonts w:ascii="Arial" w:hAnsi="Arial" w:cs="Arial"/>
          <w:color w:val="000000"/>
        </w:rPr>
        <w:t>(pp. 35–53). Cambridge University Press.</w:t>
      </w:r>
      <w:r w:rsidRPr="00F73CFF">
        <w:rPr>
          <w:rStyle w:val="apple-converted-space"/>
          <w:rFonts w:ascii="Arial" w:eastAsiaTheme="majorEastAsia" w:hAnsi="Arial" w:cs="Arial"/>
          <w:color w:val="000000"/>
        </w:rPr>
        <w:t> </w:t>
      </w:r>
      <w:hyperlink r:id="rId20" w:history="1">
        <w:r w:rsidR="001D384C" w:rsidRPr="00E319DE">
          <w:rPr>
            <w:rStyle w:val="Hyperlink"/>
            <w:rFonts w:ascii="Arial" w:hAnsi="Arial" w:cs="Arial"/>
          </w:rPr>
          <w:t>https://doi.org/10.1017/9781108605603.004</w:t>
        </w:r>
      </w:hyperlink>
    </w:p>
    <w:p w14:paraId="1DD654F6" w14:textId="310A112D" w:rsidR="001D384C" w:rsidRPr="00F73CFF" w:rsidRDefault="001D384C" w:rsidP="001D384C">
      <w:pPr>
        <w:pStyle w:val="NormalWeb"/>
        <w:spacing w:line="480" w:lineRule="auto"/>
        <w:ind w:left="851" w:hanging="851"/>
        <w:rPr>
          <w:rFonts w:ascii="Arial" w:hAnsi="Arial" w:cs="Arial"/>
          <w:color w:val="000000"/>
        </w:rPr>
      </w:pPr>
      <w:r w:rsidRPr="001D384C">
        <w:rPr>
          <w:rFonts w:ascii="Arial" w:hAnsi="Arial" w:cs="Arial"/>
          <w:color w:val="000000"/>
        </w:rPr>
        <w:t>Pratt, T. C., Cullen, F. T., Sellers, C. S., Thomas Winfree, L., Madensen, T. D., Daigle, L. E., Fearn, N. E., &amp; Gau, J. M. (2019). The empirical status of social learning theory: A meta-analysis. </w:t>
      </w:r>
      <w:r w:rsidRPr="001D384C">
        <w:rPr>
          <w:rFonts w:ascii="Arial" w:hAnsi="Arial" w:cs="Arial"/>
          <w:i/>
          <w:iCs/>
          <w:color w:val="000000"/>
        </w:rPr>
        <w:t>Justice Quarterly, 36</w:t>
      </w:r>
      <w:r w:rsidRPr="001D384C">
        <w:rPr>
          <w:rFonts w:ascii="Arial" w:hAnsi="Arial" w:cs="Arial"/>
          <w:color w:val="000000"/>
        </w:rPr>
        <w:t>(1), 1–32. https://doi.org/10.1080/07418825.2017.1417254</w:t>
      </w:r>
    </w:p>
    <w:p w14:paraId="556A98DB" w14:textId="77777777" w:rsidR="004E5C8F" w:rsidRPr="00F73CFF"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lastRenderedPageBreak/>
        <w:t>Steinberg, L. (2017). Adolescence (11th ed.). McGraw-Hill Education.</w:t>
      </w:r>
    </w:p>
    <w:p w14:paraId="2409A3E3" w14:textId="77777777" w:rsidR="00F64F37"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t>Sykes, G. M., &amp; Matza, D. (1957). Techniques of neutralization: A theory of delinquency.</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American Sociological Review, 22</w:t>
      </w:r>
      <w:r w:rsidRPr="00F73CFF">
        <w:rPr>
          <w:rFonts w:ascii="Arial" w:hAnsi="Arial" w:cs="Arial"/>
          <w:color w:val="000000"/>
        </w:rPr>
        <w:t>(6), 664–670.</w:t>
      </w:r>
      <w:r w:rsidRPr="00F73CFF">
        <w:rPr>
          <w:rStyle w:val="apple-converted-space"/>
          <w:rFonts w:ascii="Arial" w:eastAsiaTheme="majorEastAsia" w:hAnsi="Arial" w:cs="Arial"/>
          <w:color w:val="000000"/>
        </w:rPr>
        <w:t> </w:t>
      </w:r>
      <w:hyperlink r:id="rId21" w:history="1">
        <w:r w:rsidR="00462571" w:rsidRPr="00E319DE">
          <w:rPr>
            <w:rStyle w:val="Hyperlink"/>
            <w:rFonts w:ascii="Arial" w:hAnsi="Arial" w:cs="Arial"/>
          </w:rPr>
          <w:t>https://doi.org/10.2307/2089195</w:t>
        </w:r>
      </w:hyperlink>
    </w:p>
    <w:p w14:paraId="75432B48" w14:textId="22C34B94" w:rsidR="00F64F37" w:rsidRDefault="00F64F37" w:rsidP="004E5C8F">
      <w:pPr>
        <w:pStyle w:val="NormalWeb"/>
        <w:spacing w:line="480" w:lineRule="auto"/>
        <w:ind w:left="851" w:hanging="851"/>
        <w:rPr>
          <w:rFonts w:ascii="Arial" w:hAnsi="Arial" w:cs="Arial"/>
          <w:color w:val="000000"/>
        </w:rPr>
      </w:pPr>
      <w:r w:rsidRPr="00F64F37">
        <w:rPr>
          <w:rFonts w:ascii="Arial" w:hAnsi="Arial" w:cs="Arial"/>
          <w:color w:val="000000"/>
        </w:rPr>
        <w:t>Wang, J., Yang, Y., Tang, Y., Wu, M., Jiang, S., &amp; Zou, H. (2021). Longitudinal links among parent-child attachment, emotion parenting, and problem behaviors of preadolescents. </w:t>
      </w:r>
      <w:r w:rsidRPr="00F64F37">
        <w:rPr>
          <w:rFonts w:ascii="Arial" w:hAnsi="Arial" w:cs="Arial"/>
          <w:i/>
          <w:iCs/>
          <w:color w:val="000000"/>
        </w:rPr>
        <w:t>Children and Youth Services Review</w:t>
      </w:r>
      <w:r w:rsidRPr="00F64F37">
        <w:rPr>
          <w:rFonts w:ascii="Arial" w:hAnsi="Arial" w:cs="Arial"/>
          <w:color w:val="000000"/>
        </w:rPr>
        <w:t>, </w:t>
      </w:r>
      <w:r w:rsidRPr="00F64F37">
        <w:rPr>
          <w:rFonts w:ascii="Arial" w:hAnsi="Arial" w:cs="Arial"/>
          <w:i/>
          <w:iCs/>
          <w:color w:val="000000"/>
        </w:rPr>
        <w:t>121</w:t>
      </w:r>
      <w:r w:rsidRPr="00F64F37">
        <w:rPr>
          <w:rFonts w:ascii="Arial" w:hAnsi="Arial" w:cs="Arial"/>
          <w:color w:val="000000"/>
        </w:rPr>
        <w:t>, 105797.</w:t>
      </w:r>
      <w:r>
        <w:rPr>
          <w:rFonts w:ascii="Arial" w:hAnsi="Arial" w:cs="Arial"/>
          <w:color w:val="000000"/>
        </w:rPr>
        <w:t xml:space="preserve"> </w:t>
      </w:r>
      <w:hyperlink r:id="rId22" w:tgtFrame="_blank" w:tooltip="Persistent link using digital object identifier" w:history="1">
        <w:r w:rsidRPr="00F64F37">
          <w:rPr>
            <w:rStyle w:val="Hyperlink"/>
            <w:rFonts w:ascii="Arial" w:hAnsi="Arial" w:cs="Arial"/>
          </w:rPr>
          <w:t>https://doi.org/10.1016/j.childyouth.2020.105797</w:t>
        </w:r>
      </w:hyperlink>
    </w:p>
    <w:p w14:paraId="033C1BC4" w14:textId="7B45137D" w:rsidR="00462571" w:rsidRPr="00F73CFF" w:rsidRDefault="00462571" w:rsidP="004E5C8F">
      <w:pPr>
        <w:pStyle w:val="NormalWeb"/>
        <w:spacing w:line="480" w:lineRule="auto"/>
        <w:ind w:left="851" w:hanging="851"/>
        <w:rPr>
          <w:rFonts w:ascii="Arial" w:hAnsi="Arial" w:cs="Arial"/>
          <w:color w:val="000000"/>
        </w:rPr>
      </w:pPr>
      <w:r w:rsidRPr="00462571">
        <w:rPr>
          <w:rFonts w:ascii="Arial" w:hAnsi="Arial" w:cs="Arial"/>
          <w:color w:val="000000"/>
        </w:rPr>
        <w:t>Weerasekera P. (1993). Formulation: a multiperspective model. </w:t>
      </w:r>
      <w:r w:rsidRPr="00462571">
        <w:rPr>
          <w:rFonts w:ascii="Arial" w:hAnsi="Arial" w:cs="Arial"/>
          <w:i/>
          <w:iCs/>
          <w:color w:val="000000"/>
        </w:rPr>
        <w:t>Canadian journal of psychiatry. Revue canadienne de psychiatrie</w:t>
      </w:r>
      <w:r w:rsidRPr="00462571">
        <w:rPr>
          <w:rFonts w:ascii="Arial" w:hAnsi="Arial" w:cs="Arial"/>
          <w:color w:val="000000"/>
        </w:rPr>
        <w:t>, </w:t>
      </w:r>
      <w:r w:rsidRPr="00462571">
        <w:rPr>
          <w:rFonts w:ascii="Arial" w:hAnsi="Arial" w:cs="Arial"/>
          <w:i/>
          <w:iCs/>
          <w:color w:val="000000"/>
        </w:rPr>
        <w:t>38</w:t>
      </w:r>
      <w:r w:rsidRPr="00462571">
        <w:rPr>
          <w:rFonts w:ascii="Arial" w:hAnsi="Arial" w:cs="Arial"/>
          <w:color w:val="000000"/>
        </w:rPr>
        <w:t>(5), 351–358. https://doi.org/10.1177/070674379303800513</w:t>
      </w:r>
    </w:p>
    <w:p w14:paraId="6ED03CC6" w14:textId="77777777" w:rsidR="004E5C8F" w:rsidRPr="00F73CFF"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t>Youth Justice Board for England and Wales. (2022).</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Standards for children in the youth justice system 2022</w:t>
      </w:r>
      <w:r w:rsidRPr="00F73CFF">
        <w:rPr>
          <w:rFonts w:ascii="Arial" w:hAnsi="Arial" w:cs="Arial"/>
          <w:color w:val="000000"/>
        </w:rPr>
        <w:t>. Ministry of Justice.</w:t>
      </w:r>
      <w:r w:rsidRPr="00F73CFF">
        <w:rPr>
          <w:rStyle w:val="apple-converted-space"/>
          <w:rFonts w:ascii="Arial" w:eastAsiaTheme="majorEastAsia" w:hAnsi="Arial" w:cs="Arial"/>
          <w:color w:val="000000"/>
        </w:rPr>
        <w:t> </w:t>
      </w:r>
      <w:r w:rsidRPr="00F73CFF">
        <w:rPr>
          <w:rFonts w:ascii="Arial" w:hAnsi="Arial" w:cs="Arial"/>
          <w:color w:val="000000"/>
        </w:rPr>
        <w:t>https://www.gov.uk/government/publications/youth-justice-standards-for-children-2022</w:t>
      </w:r>
    </w:p>
    <w:p w14:paraId="45B8683F" w14:textId="77777777" w:rsidR="004E5C8F" w:rsidRPr="00F73CFF" w:rsidRDefault="004E5C8F" w:rsidP="004E5C8F">
      <w:pPr>
        <w:pStyle w:val="NormalWeb"/>
        <w:spacing w:line="480" w:lineRule="auto"/>
        <w:ind w:left="851" w:hanging="851"/>
        <w:rPr>
          <w:rFonts w:ascii="Arial" w:hAnsi="Arial" w:cs="Arial"/>
          <w:color w:val="000000"/>
        </w:rPr>
      </w:pPr>
      <w:r w:rsidRPr="00F73CFF">
        <w:rPr>
          <w:rFonts w:ascii="Arial" w:hAnsi="Arial" w:cs="Arial"/>
          <w:color w:val="000000"/>
        </w:rPr>
        <w:t>Youth Justice Services Meta-Synthesis Research Group. (2025). Youth justice services: Relationships, rehabilitation and the reality of delivering interventions—A systematic meta-synthesis.</w:t>
      </w:r>
      <w:r w:rsidRPr="00F73CFF">
        <w:rPr>
          <w:rStyle w:val="apple-converted-space"/>
          <w:rFonts w:ascii="Arial" w:eastAsiaTheme="majorEastAsia" w:hAnsi="Arial" w:cs="Arial"/>
          <w:color w:val="000000"/>
        </w:rPr>
        <w:t> </w:t>
      </w:r>
      <w:r w:rsidRPr="00F73CFF">
        <w:rPr>
          <w:rStyle w:val="Emphasis"/>
          <w:rFonts w:ascii="Arial" w:eastAsiaTheme="majorEastAsia" w:hAnsi="Arial" w:cs="Arial"/>
          <w:color w:val="000000"/>
        </w:rPr>
        <w:t>Clinical Child and Family Psychology Review, 28</w:t>
      </w:r>
      <w:r w:rsidRPr="00F73CFF">
        <w:rPr>
          <w:rFonts w:ascii="Arial" w:hAnsi="Arial" w:cs="Arial"/>
          <w:color w:val="000000"/>
        </w:rPr>
        <w:t>(3), 631–649.</w:t>
      </w:r>
      <w:r w:rsidRPr="00F73CFF">
        <w:rPr>
          <w:rStyle w:val="apple-converted-space"/>
          <w:rFonts w:ascii="Arial" w:eastAsiaTheme="majorEastAsia" w:hAnsi="Arial" w:cs="Arial"/>
          <w:color w:val="000000"/>
        </w:rPr>
        <w:t> </w:t>
      </w:r>
      <w:hyperlink r:id="rId23" w:tgtFrame="_new" w:history="1">
        <w:r w:rsidRPr="00F73CFF">
          <w:rPr>
            <w:rStyle w:val="Hyperlink"/>
            <w:rFonts w:ascii="Arial" w:eastAsiaTheme="majorEastAsia" w:hAnsi="Arial" w:cs="Arial"/>
          </w:rPr>
          <w:t>https://doi.org/10.1007/s10567-025-00534-6</w:t>
        </w:r>
      </w:hyperlink>
    </w:p>
    <w:p w14:paraId="43EF51E4" w14:textId="77777777" w:rsidR="00903B61" w:rsidRPr="00903B61" w:rsidRDefault="00903B61" w:rsidP="00903B61">
      <w:pPr>
        <w:spacing w:line="360" w:lineRule="auto"/>
        <w:ind w:firstLine="851"/>
        <w:rPr>
          <w:rFonts w:ascii="Arial" w:hAnsi="Arial" w:cs="Arial"/>
          <w:b/>
          <w:bCs/>
        </w:rPr>
      </w:pPr>
    </w:p>
    <w:sectPr w:rsidR="00903B61" w:rsidRPr="00903B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DB3137"/>
    <w:multiLevelType w:val="hybridMultilevel"/>
    <w:tmpl w:val="2F960056"/>
    <w:lvl w:ilvl="0" w:tplc="54A2446C">
      <w:numFmt w:val="bullet"/>
      <w:lvlText w:val="-"/>
      <w:lvlJc w:val="left"/>
      <w:pPr>
        <w:ind w:left="1211" w:hanging="360"/>
      </w:pPr>
      <w:rPr>
        <w:rFonts w:ascii="Arial" w:eastAsiaTheme="minorHAnsi" w:hAnsi="Arial" w:cs="Arial" w:hint="default"/>
      </w:rPr>
    </w:lvl>
    <w:lvl w:ilvl="1" w:tplc="08090003" w:tentative="1">
      <w:start w:val="1"/>
      <w:numFmt w:val="bullet"/>
      <w:lvlText w:val="o"/>
      <w:lvlJc w:val="left"/>
      <w:pPr>
        <w:ind w:left="1931" w:hanging="360"/>
      </w:pPr>
      <w:rPr>
        <w:rFonts w:ascii="Courier New" w:hAnsi="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 w15:restartNumberingAfterBreak="0">
    <w:nsid w:val="32203E6D"/>
    <w:multiLevelType w:val="hybridMultilevel"/>
    <w:tmpl w:val="463A7498"/>
    <w:lvl w:ilvl="0" w:tplc="0298036A">
      <w:numFmt w:val="bullet"/>
      <w:lvlText w:val="-"/>
      <w:lvlJc w:val="left"/>
      <w:pPr>
        <w:ind w:left="1211" w:hanging="360"/>
      </w:pPr>
      <w:rPr>
        <w:rFonts w:ascii="Arial" w:eastAsiaTheme="minorHAnsi" w:hAnsi="Arial" w:cs="Arial" w:hint="default"/>
      </w:rPr>
    </w:lvl>
    <w:lvl w:ilvl="1" w:tplc="08090003" w:tentative="1">
      <w:start w:val="1"/>
      <w:numFmt w:val="bullet"/>
      <w:lvlText w:val="o"/>
      <w:lvlJc w:val="left"/>
      <w:pPr>
        <w:ind w:left="1931" w:hanging="360"/>
      </w:pPr>
      <w:rPr>
        <w:rFonts w:ascii="Courier New" w:hAnsi="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hint="default"/>
      </w:rPr>
    </w:lvl>
    <w:lvl w:ilvl="8" w:tplc="08090005" w:tentative="1">
      <w:start w:val="1"/>
      <w:numFmt w:val="bullet"/>
      <w:lvlText w:val=""/>
      <w:lvlJc w:val="left"/>
      <w:pPr>
        <w:ind w:left="6971" w:hanging="360"/>
      </w:pPr>
      <w:rPr>
        <w:rFonts w:ascii="Wingdings" w:hAnsi="Wingdings" w:hint="default"/>
      </w:rPr>
    </w:lvl>
  </w:abstractNum>
  <w:num w:numId="1" w16cid:durableId="1175609714">
    <w:abstractNumId w:val="0"/>
  </w:num>
  <w:num w:numId="2" w16cid:durableId="4912209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B6D"/>
    <w:rsid w:val="000005AB"/>
    <w:rsid w:val="00080957"/>
    <w:rsid w:val="0013457C"/>
    <w:rsid w:val="001D384C"/>
    <w:rsid w:val="002F6B6D"/>
    <w:rsid w:val="00316245"/>
    <w:rsid w:val="003B74A1"/>
    <w:rsid w:val="004345B0"/>
    <w:rsid w:val="00462571"/>
    <w:rsid w:val="004E5C8F"/>
    <w:rsid w:val="006674F0"/>
    <w:rsid w:val="006814FF"/>
    <w:rsid w:val="0068778B"/>
    <w:rsid w:val="00876280"/>
    <w:rsid w:val="00903B61"/>
    <w:rsid w:val="00A23BF4"/>
    <w:rsid w:val="00A873C6"/>
    <w:rsid w:val="00A923A9"/>
    <w:rsid w:val="00AF5D80"/>
    <w:rsid w:val="00B22132"/>
    <w:rsid w:val="00B57028"/>
    <w:rsid w:val="00B640A6"/>
    <w:rsid w:val="00BE2678"/>
    <w:rsid w:val="00D325A5"/>
    <w:rsid w:val="00D97BA9"/>
    <w:rsid w:val="00DD3639"/>
    <w:rsid w:val="00EB7B3B"/>
    <w:rsid w:val="00F17820"/>
    <w:rsid w:val="00F64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DFB46"/>
  <w15:chartTrackingRefBased/>
  <w15:docId w15:val="{F5D19AA0-0717-6342-ADE5-869312634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B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6B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6B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6B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6B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6B6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6B6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6B6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6B6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B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6B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6B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6B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6B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6B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6B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6B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6B6D"/>
    <w:rPr>
      <w:rFonts w:eastAsiaTheme="majorEastAsia" w:cstheme="majorBidi"/>
      <w:color w:val="272727" w:themeColor="text1" w:themeTint="D8"/>
    </w:rPr>
  </w:style>
  <w:style w:type="paragraph" w:styleId="Title">
    <w:name w:val="Title"/>
    <w:basedOn w:val="Normal"/>
    <w:next w:val="Normal"/>
    <w:link w:val="TitleChar"/>
    <w:uiPriority w:val="10"/>
    <w:qFormat/>
    <w:rsid w:val="002F6B6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6B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6B6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6B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6B6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6B6D"/>
    <w:rPr>
      <w:i/>
      <w:iCs/>
      <w:color w:val="404040" w:themeColor="text1" w:themeTint="BF"/>
    </w:rPr>
  </w:style>
  <w:style w:type="paragraph" w:styleId="ListParagraph">
    <w:name w:val="List Paragraph"/>
    <w:basedOn w:val="Normal"/>
    <w:uiPriority w:val="34"/>
    <w:qFormat/>
    <w:rsid w:val="002F6B6D"/>
    <w:pPr>
      <w:ind w:left="720"/>
      <w:contextualSpacing/>
    </w:pPr>
  </w:style>
  <w:style w:type="character" w:styleId="IntenseEmphasis">
    <w:name w:val="Intense Emphasis"/>
    <w:basedOn w:val="DefaultParagraphFont"/>
    <w:uiPriority w:val="21"/>
    <w:qFormat/>
    <w:rsid w:val="002F6B6D"/>
    <w:rPr>
      <w:i/>
      <w:iCs/>
      <w:color w:val="0F4761" w:themeColor="accent1" w:themeShade="BF"/>
    </w:rPr>
  </w:style>
  <w:style w:type="paragraph" w:styleId="IntenseQuote">
    <w:name w:val="Intense Quote"/>
    <w:basedOn w:val="Normal"/>
    <w:next w:val="Normal"/>
    <w:link w:val="IntenseQuoteChar"/>
    <w:uiPriority w:val="30"/>
    <w:qFormat/>
    <w:rsid w:val="002F6B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6B6D"/>
    <w:rPr>
      <w:i/>
      <w:iCs/>
      <w:color w:val="0F4761" w:themeColor="accent1" w:themeShade="BF"/>
    </w:rPr>
  </w:style>
  <w:style w:type="character" w:styleId="IntenseReference">
    <w:name w:val="Intense Reference"/>
    <w:basedOn w:val="DefaultParagraphFont"/>
    <w:uiPriority w:val="32"/>
    <w:qFormat/>
    <w:rsid w:val="002F6B6D"/>
    <w:rPr>
      <w:b/>
      <w:bCs/>
      <w:smallCaps/>
      <w:color w:val="0F4761" w:themeColor="accent1" w:themeShade="BF"/>
      <w:spacing w:val="5"/>
    </w:rPr>
  </w:style>
  <w:style w:type="paragraph" w:styleId="NormalWeb">
    <w:name w:val="Normal (Web)"/>
    <w:basedOn w:val="Normal"/>
    <w:uiPriority w:val="99"/>
    <w:unhideWhenUsed/>
    <w:rsid w:val="004E5C8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E5C8F"/>
  </w:style>
  <w:style w:type="character" w:styleId="Emphasis">
    <w:name w:val="Emphasis"/>
    <w:basedOn w:val="DefaultParagraphFont"/>
    <w:uiPriority w:val="20"/>
    <w:qFormat/>
    <w:rsid w:val="004E5C8F"/>
    <w:rPr>
      <w:i/>
      <w:iCs/>
    </w:rPr>
  </w:style>
  <w:style w:type="character" w:styleId="Hyperlink">
    <w:name w:val="Hyperlink"/>
    <w:basedOn w:val="DefaultParagraphFont"/>
    <w:uiPriority w:val="99"/>
    <w:unhideWhenUsed/>
    <w:rsid w:val="004E5C8F"/>
    <w:rPr>
      <w:color w:val="467886" w:themeColor="hyperlink"/>
      <w:u w:val="single"/>
    </w:rPr>
  </w:style>
  <w:style w:type="character" w:styleId="UnresolvedMention">
    <w:name w:val="Unresolved Mention"/>
    <w:basedOn w:val="DefaultParagraphFont"/>
    <w:uiPriority w:val="99"/>
    <w:semiHidden/>
    <w:unhideWhenUsed/>
    <w:rsid w:val="004625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5-9125.2004.tb00526.x" TargetMode="External"/><Relationship Id="rId13" Type="http://schemas.openxmlformats.org/officeDocument/2006/relationships/hyperlink" Target="https://doi.org/10.3389/fpsyg.2023.1208317" TargetMode="External"/><Relationship Id="rId18" Type="http://schemas.openxmlformats.org/officeDocument/2006/relationships/hyperlink" Target="https://doi.org/10.1007/s10567-025-00534-6" TargetMode="External"/><Relationship Id="rId3" Type="http://schemas.openxmlformats.org/officeDocument/2006/relationships/settings" Target="settings.xml"/><Relationship Id="rId21" Type="http://schemas.openxmlformats.org/officeDocument/2006/relationships/hyperlink" Target="https://doi.org/10.2307/2089195" TargetMode="External"/><Relationship Id="rId7" Type="http://schemas.openxmlformats.org/officeDocument/2006/relationships/hyperlink" Target="https://www.asecib.ase.ro/mps/Bandura_SocialLearningTheory.pdf" TargetMode="External"/><Relationship Id="rId12" Type="http://schemas.openxmlformats.org/officeDocument/2006/relationships/hyperlink" Target="https://doi.org/10.1080/15325020701249363" TargetMode="External"/><Relationship Id="rId17" Type="http://schemas.openxmlformats.org/officeDocument/2006/relationships/hyperlink" Target="https://doi.org/10.1038/s41562-018-0309-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07/s12207-024-09497-5" TargetMode="External"/><Relationship Id="rId20" Type="http://schemas.openxmlformats.org/officeDocument/2006/relationships/hyperlink" Target="https://doi.org/10.1017/9781108605603.004" TargetMode="External"/><Relationship Id="rId1" Type="http://schemas.openxmlformats.org/officeDocument/2006/relationships/numbering" Target="numbering.xml"/><Relationship Id="rId6" Type="http://schemas.openxmlformats.org/officeDocument/2006/relationships/hyperlink" Target="https://doi.org/10.1037//0022-006x.70.1.56" TargetMode="External"/><Relationship Id="rId11" Type="http://schemas.openxmlformats.org/officeDocument/2006/relationships/hyperlink" Target="https://doi.org/10.1111/j.1467-8624.2009.01405.x" TargetMode="External"/><Relationship Id="rId24" Type="http://schemas.openxmlformats.org/officeDocument/2006/relationships/fontTable" Target="fontTable.xml"/><Relationship Id="rId5" Type="http://schemas.openxmlformats.org/officeDocument/2006/relationships/hyperlink" Target="https://www.d.umn.edu/~jmaahs/MA%20Theory%20Articles/Agnew%20GST.pdf" TargetMode="External"/><Relationship Id="rId15" Type="http://schemas.openxmlformats.org/officeDocument/2006/relationships/hyperlink" Target="https://doi.org/10.1177/0306624X11422998" TargetMode="External"/><Relationship Id="rId23" Type="http://schemas.openxmlformats.org/officeDocument/2006/relationships/hyperlink" Target="https://doi.org/10.1007/s10567-025-00534-6" TargetMode="External"/><Relationship Id="rId10" Type="http://schemas.openxmlformats.org/officeDocument/2006/relationships/hyperlink" Target="https://doi.org/10.1016/j.jcrimjus.2016.02.014" TargetMode="External"/><Relationship Id="rId19" Type="http://schemas.openxmlformats.org/officeDocument/2006/relationships/hyperlink" Target="https://doi.org/10.1037/a0026407" TargetMode="External"/><Relationship Id="rId4" Type="http://schemas.openxmlformats.org/officeDocument/2006/relationships/webSettings" Target="webSettings.xml"/><Relationship Id="rId9" Type="http://schemas.openxmlformats.org/officeDocument/2006/relationships/hyperlink" Target="https://doi.org/10.1007/s40865-025-00270-z" TargetMode="External"/><Relationship Id="rId14" Type="http://schemas.openxmlformats.org/officeDocument/2006/relationships/hyperlink" Target="https://doi.org/10.1017/sjp.2013.72" TargetMode="External"/><Relationship Id="rId22" Type="http://schemas.openxmlformats.org/officeDocument/2006/relationships/hyperlink" Target="https://doi.org/10.1016/j.childyouth.2020.1057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4124</Words>
  <Characters>23508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Phillips (2012754)</dc:creator>
  <cp:keywords/>
  <dc:description/>
  <cp:lastModifiedBy>Kayleigh Phillips (2012754)</cp:lastModifiedBy>
  <cp:revision>3</cp:revision>
  <dcterms:created xsi:type="dcterms:W3CDTF">2026-01-15T19:14:00Z</dcterms:created>
  <dcterms:modified xsi:type="dcterms:W3CDTF">2026-01-15T19:15:00Z</dcterms:modified>
</cp:coreProperties>
</file>