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0853A5B4" w:rsidR="00AD6D75" w:rsidRPr="00BB05A0" w:rsidRDefault="00DD39B4" w:rsidP="009F4F9E">
      <w:pPr>
        <w:pStyle w:val="COVERPAGETEXT"/>
      </w:pPr>
      <w:r>
        <w:t>Euan Kelly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18BEC43" w:rsidR="00AD6D75" w:rsidRPr="00BB05A0" w:rsidRDefault="00DD39B4" w:rsidP="009F4F9E">
      <w:pPr>
        <w:pStyle w:val="COVERPAGETEXT"/>
      </w:pPr>
      <w:r>
        <w:t>NSEDA Assignment F</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06E484C" w:rsidR="00AD6D75" w:rsidRPr="00BB05A0" w:rsidRDefault="00DD39B4" w:rsidP="009F4F9E">
      <w:pPr>
        <w:pStyle w:val="COVERPAGETEXT"/>
      </w:pPr>
      <w:r>
        <w:t>University of Wales Trinity Saint David</w:t>
      </w:r>
    </w:p>
    <w:p w14:paraId="7B6B882C" w14:textId="6EC65C8C" w:rsidR="00AD6D75" w:rsidRPr="00BB05A0" w:rsidRDefault="00DD39B4" w:rsidP="009F4F9E">
      <w:pPr>
        <w:pStyle w:val="COVERPAGETEXT"/>
      </w:pPr>
      <w:r>
        <w:t>Nuclear Safety ACDA5023</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7485BA02" w:rsidR="00AD6D75" w:rsidRPr="00BB05A0" w:rsidRDefault="00AD6D75" w:rsidP="009F4F9E">
      <w:pPr>
        <w:pStyle w:val="COVERPAGETEXT"/>
      </w:pPr>
      <w:r>
        <w:t xml:space="preserve">Academic Year: </w:t>
      </w:r>
      <w:r w:rsidR="00DD39B4">
        <w:t>2023</w:t>
      </w:r>
      <w:r>
        <w:t xml:space="preserve"> -</w:t>
      </w:r>
      <w:r w:rsidRPr="00931620">
        <w:t xml:space="preserve"> </w:t>
      </w:r>
      <w:r w:rsidR="00DD39B4">
        <w:t>2028</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09A3457C" w:rsidR="00AD6D75" w:rsidRDefault="00AD6D75" w:rsidP="009F4F9E">
      <w:pPr>
        <w:pStyle w:val="COVERPAGETEXT"/>
      </w:pPr>
      <w:r w:rsidRPr="00BB05A0">
        <w:t>Supervisor:</w:t>
      </w:r>
      <w:r w:rsidRPr="00BB05A0">
        <w:tab/>
      </w:r>
      <w:r>
        <w:t xml:space="preserve"> </w:t>
      </w:r>
      <w:r w:rsidR="00DD39B4">
        <w:t>Sam Mason</w:t>
      </w:r>
    </w:p>
    <w:p w14:paraId="52B1F4ED" w14:textId="54310C83" w:rsidR="00DD39B4" w:rsidRDefault="00DD39B4" w:rsidP="00DD39B4">
      <w:pPr>
        <w:pStyle w:val="COVERPAGETEXT"/>
      </w:pPr>
      <w:r>
        <w:t>August 2026</w:t>
      </w:r>
    </w:p>
    <w:p w14:paraId="0E6CE6AD" w14:textId="5F2E30EC" w:rsidR="00DD39B4" w:rsidRDefault="00DD39B4" w:rsidP="00DD39B4">
      <w:pPr>
        <w:spacing w:before="0" w:after="200" w:line="276" w:lineRule="auto"/>
        <w:jc w:val="left"/>
      </w:pPr>
    </w:p>
    <w:p w14:paraId="4D2A8E88" w14:textId="77777777" w:rsidR="00DD39B4" w:rsidRDefault="00DD39B4" w:rsidP="00DD39B4">
      <w:pPr>
        <w:spacing w:before="0" w:after="200" w:line="276" w:lineRule="auto"/>
        <w:jc w:val="left"/>
      </w:pPr>
    </w:p>
    <w:p w14:paraId="5B210D6A" w14:textId="77777777" w:rsidR="00DD39B4" w:rsidRDefault="00DD39B4" w:rsidP="00DD39B4">
      <w:pPr>
        <w:spacing w:before="0" w:after="200" w:line="276" w:lineRule="auto"/>
        <w:jc w:val="left"/>
      </w:pPr>
    </w:p>
    <w:p w14:paraId="62A1FF1A" w14:textId="77777777" w:rsidR="00DD39B4" w:rsidRDefault="00DD39B4" w:rsidP="00DD39B4">
      <w:pPr>
        <w:spacing w:before="0" w:after="200" w:line="276" w:lineRule="auto"/>
        <w:jc w:val="left"/>
      </w:pPr>
    </w:p>
    <w:p w14:paraId="39099009" w14:textId="77777777" w:rsidR="00DD39B4" w:rsidRDefault="00DD39B4" w:rsidP="00DD39B4">
      <w:pPr>
        <w:spacing w:before="0" w:after="200" w:line="276" w:lineRule="auto"/>
        <w:jc w:val="left"/>
      </w:pPr>
    </w:p>
    <w:p w14:paraId="51FCA216" w14:textId="77777777" w:rsidR="00DD39B4" w:rsidRDefault="00DD39B4" w:rsidP="00DD39B4">
      <w:pPr>
        <w:spacing w:before="0" w:after="200" w:line="276" w:lineRule="auto"/>
        <w:jc w:val="left"/>
      </w:pPr>
    </w:p>
    <w:sdt>
      <w:sdtPr>
        <w:rPr>
          <w:rFonts w:ascii="Arial" w:eastAsia="Times New Roman" w:hAnsi="Arial" w:cs="Times New Roman"/>
          <w:b w:val="0"/>
          <w:bCs w:val="0"/>
          <w:color w:val="auto"/>
          <w:sz w:val="24"/>
          <w:szCs w:val="24"/>
          <w:lang w:val="en-GB" w:eastAsia="en-US"/>
        </w:rPr>
        <w:id w:val="-523400465"/>
        <w:docPartObj>
          <w:docPartGallery w:val="Table of Contents"/>
          <w:docPartUnique/>
        </w:docPartObj>
      </w:sdtPr>
      <w:sdtEndPr>
        <w:rPr>
          <w:noProof/>
        </w:rPr>
      </w:sdtEndPr>
      <w:sdtContent>
        <w:p w14:paraId="7DDE572D" w14:textId="71DAC292" w:rsidR="008B6B06" w:rsidRDefault="008B6B06">
          <w:pPr>
            <w:pStyle w:val="TOCHeading"/>
          </w:pPr>
          <w:r>
            <w:t>Table of Contents</w:t>
          </w:r>
        </w:p>
        <w:p w14:paraId="108F57CF" w14:textId="600EA30D" w:rsidR="0005343B" w:rsidRDefault="008B6B06">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239377146" w:history="1">
            <w:r w:rsidR="0005343B" w:rsidRPr="004D3E6C">
              <w:rPr>
                <w:rStyle w:val="Hyperlink"/>
              </w:rPr>
              <w:t>1 Introduction</w:t>
            </w:r>
            <w:r w:rsidR="0005343B">
              <w:rPr>
                <w:webHidden/>
              </w:rPr>
              <w:tab/>
            </w:r>
            <w:r w:rsidR="0005343B">
              <w:rPr>
                <w:webHidden/>
              </w:rPr>
              <w:fldChar w:fldCharType="begin"/>
            </w:r>
            <w:r w:rsidR="0005343B">
              <w:rPr>
                <w:webHidden/>
              </w:rPr>
              <w:instrText xml:space="preserve"> PAGEREF _Toc239377146 \h </w:instrText>
            </w:r>
            <w:r w:rsidR="0005343B">
              <w:rPr>
                <w:webHidden/>
              </w:rPr>
            </w:r>
            <w:r w:rsidR="0005343B">
              <w:rPr>
                <w:webHidden/>
              </w:rPr>
              <w:fldChar w:fldCharType="separate"/>
            </w:r>
            <w:r w:rsidR="0005343B">
              <w:rPr>
                <w:webHidden/>
              </w:rPr>
              <w:t>4</w:t>
            </w:r>
            <w:r w:rsidR="0005343B">
              <w:rPr>
                <w:webHidden/>
              </w:rPr>
              <w:fldChar w:fldCharType="end"/>
            </w:r>
          </w:hyperlink>
        </w:p>
        <w:p w14:paraId="66284D3B" w14:textId="7A5A2911" w:rsidR="0005343B" w:rsidRDefault="0005343B">
          <w:pPr>
            <w:pStyle w:val="TOC1"/>
            <w:rPr>
              <w:rFonts w:asciiTheme="minorHAnsi" w:eastAsiaTheme="minorEastAsia" w:hAnsiTheme="minorHAnsi" w:cstheme="minorBidi"/>
              <w:kern w:val="2"/>
              <w:lang w:eastAsia="en-GB"/>
              <w14:ligatures w14:val="standardContextual"/>
            </w:rPr>
          </w:pPr>
          <w:hyperlink w:anchor="_Toc239377147" w:history="1">
            <w:r w:rsidRPr="004D3E6C">
              <w:rPr>
                <w:rStyle w:val="Hyperlink"/>
              </w:rPr>
              <w:t>2 Iridium-192 as a radiography source</w:t>
            </w:r>
            <w:r>
              <w:rPr>
                <w:webHidden/>
              </w:rPr>
              <w:tab/>
            </w:r>
            <w:r>
              <w:rPr>
                <w:webHidden/>
              </w:rPr>
              <w:fldChar w:fldCharType="begin"/>
            </w:r>
            <w:r>
              <w:rPr>
                <w:webHidden/>
              </w:rPr>
              <w:instrText xml:space="preserve"> PAGEREF _Toc239377147 \h </w:instrText>
            </w:r>
            <w:r>
              <w:rPr>
                <w:webHidden/>
              </w:rPr>
            </w:r>
            <w:r>
              <w:rPr>
                <w:webHidden/>
              </w:rPr>
              <w:fldChar w:fldCharType="separate"/>
            </w:r>
            <w:r>
              <w:rPr>
                <w:webHidden/>
              </w:rPr>
              <w:t>4</w:t>
            </w:r>
            <w:r>
              <w:rPr>
                <w:webHidden/>
              </w:rPr>
              <w:fldChar w:fldCharType="end"/>
            </w:r>
          </w:hyperlink>
        </w:p>
        <w:p w14:paraId="3327B0A5" w14:textId="73680CB6" w:rsidR="0005343B" w:rsidRDefault="0005343B">
          <w:pPr>
            <w:pStyle w:val="TOC1"/>
            <w:rPr>
              <w:rFonts w:asciiTheme="minorHAnsi" w:eastAsiaTheme="minorEastAsia" w:hAnsiTheme="minorHAnsi" w:cstheme="minorBidi"/>
              <w:kern w:val="2"/>
              <w:lang w:eastAsia="en-GB"/>
              <w14:ligatures w14:val="standardContextual"/>
            </w:rPr>
          </w:pPr>
          <w:hyperlink w:anchor="_Toc239377148" w:history="1">
            <w:r w:rsidRPr="004D3E6C">
              <w:rPr>
                <w:rStyle w:val="Hyperlink"/>
              </w:rPr>
              <w:t>3 Source Activity</w:t>
            </w:r>
            <w:r>
              <w:rPr>
                <w:webHidden/>
              </w:rPr>
              <w:tab/>
            </w:r>
            <w:r>
              <w:rPr>
                <w:webHidden/>
              </w:rPr>
              <w:fldChar w:fldCharType="begin"/>
            </w:r>
            <w:r>
              <w:rPr>
                <w:webHidden/>
              </w:rPr>
              <w:instrText xml:space="preserve"> PAGEREF _Toc239377148 \h </w:instrText>
            </w:r>
            <w:r>
              <w:rPr>
                <w:webHidden/>
              </w:rPr>
            </w:r>
            <w:r>
              <w:rPr>
                <w:webHidden/>
              </w:rPr>
              <w:fldChar w:fldCharType="separate"/>
            </w:r>
            <w:r>
              <w:rPr>
                <w:webHidden/>
              </w:rPr>
              <w:t>4</w:t>
            </w:r>
            <w:r>
              <w:rPr>
                <w:webHidden/>
              </w:rPr>
              <w:fldChar w:fldCharType="end"/>
            </w:r>
          </w:hyperlink>
        </w:p>
        <w:p w14:paraId="14B0661D" w14:textId="52D48ABF" w:rsidR="0005343B" w:rsidRDefault="0005343B">
          <w:pPr>
            <w:pStyle w:val="TOC1"/>
            <w:rPr>
              <w:rFonts w:asciiTheme="minorHAnsi" w:eastAsiaTheme="minorEastAsia" w:hAnsiTheme="minorHAnsi" w:cstheme="minorBidi"/>
              <w:kern w:val="2"/>
              <w:lang w:eastAsia="en-GB"/>
              <w14:ligatures w14:val="standardContextual"/>
            </w:rPr>
          </w:pPr>
          <w:hyperlink w:anchor="_Toc239377149" w:history="1">
            <w:r w:rsidRPr="004D3E6C">
              <w:rPr>
                <w:rStyle w:val="Hyperlink"/>
              </w:rPr>
              <w:t>4 Dose Rate</w:t>
            </w:r>
            <w:r>
              <w:rPr>
                <w:webHidden/>
              </w:rPr>
              <w:tab/>
            </w:r>
            <w:r>
              <w:rPr>
                <w:webHidden/>
              </w:rPr>
              <w:fldChar w:fldCharType="begin"/>
            </w:r>
            <w:r>
              <w:rPr>
                <w:webHidden/>
              </w:rPr>
              <w:instrText xml:space="preserve"> PAGEREF _Toc239377149 \h </w:instrText>
            </w:r>
            <w:r>
              <w:rPr>
                <w:webHidden/>
              </w:rPr>
            </w:r>
            <w:r>
              <w:rPr>
                <w:webHidden/>
              </w:rPr>
              <w:fldChar w:fldCharType="separate"/>
            </w:r>
            <w:r>
              <w:rPr>
                <w:webHidden/>
              </w:rPr>
              <w:t>6</w:t>
            </w:r>
            <w:r>
              <w:rPr>
                <w:webHidden/>
              </w:rPr>
              <w:fldChar w:fldCharType="end"/>
            </w:r>
          </w:hyperlink>
        </w:p>
        <w:p w14:paraId="4E4A148A" w14:textId="08A85FB7"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0" w:history="1">
            <w:r w:rsidRPr="004D3E6C">
              <w:rPr>
                <w:rStyle w:val="Hyperlink"/>
                <w:noProof/>
              </w:rPr>
              <w:t>4.1 One Metre Dose Rate</w:t>
            </w:r>
            <w:r>
              <w:rPr>
                <w:noProof/>
                <w:webHidden/>
              </w:rPr>
              <w:tab/>
            </w:r>
            <w:r>
              <w:rPr>
                <w:noProof/>
                <w:webHidden/>
              </w:rPr>
              <w:fldChar w:fldCharType="begin"/>
            </w:r>
            <w:r>
              <w:rPr>
                <w:noProof/>
                <w:webHidden/>
              </w:rPr>
              <w:instrText xml:space="preserve"> PAGEREF _Toc239377150 \h </w:instrText>
            </w:r>
            <w:r>
              <w:rPr>
                <w:noProof/>
                <w:webHidden/>
              </w:rPr>
            </w:r>
            <w:r>
              <w:rPr>
                <w:noProof/>
                <w:webHidden/>
              </w:rPr>
              <w:fldChar w:fldCharType="separate"/>
            </w:r>
            <w:r>
              <w:rPr>
                <w:noProof/>
                <w:webHidden/>
              </w:rPr>
              <w:t>6</w:t>
            </w:r>
            <w:r>
              <w:rPr>
                <w:noProof/>
                <w:webHidden/>
              </w:rPr>
              <w:fldChar w:fldCharType="end"/>
            </w:r>
          </w:hyperlink>
        </w:p>
        <w:p w14:paraId="0B02E035" w14:textId="6658BDD5"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1" w:history="1">
            <w:r w:rsidRPr="004D3E6C">
              <w:rPr>
                <w:rStyle w:val="Hyperlink"/>
                <w:noProof/>
              </w:rPr>
              <w:t>4.2 Initial Recovery Dose Rate</w:t>
            </w:r>
            <w:r>
              <w:rPr>
                <w:noProof/>
                <w:webHidden/>
              </w:rPr>
              <w:tab/>
            </w:r>
            <w:r>
              <w:rPr>
                <w:noProof/>
                <w:webHidden/>
              </w:rPr>
              <w:fldChar w:fldCharType="begin"/>
            </w:r>
            <w:r>
              <w:rPr>
                <w:noProof/>
                <w:webHidden/>
              </w:rPr>
              <w:instrText xml:space="preserve"> PAGEREF _Toc239377151 \h </w:instrText>
            </w:r>
            <w:r>
              <w:rPr>
                <w:noProof/>
                <w:webHidden/>
              </w:rPr>
            </w:r>
            <w:r>
              <w:rPr>
                <w:noProof/>
                <w:webHidden/>
              </w:rPr>
              <w:fldChar w:fldCharType="separate"/>
            </w:r>
            <w:r>
              <w:rPr>
                <w:noProof/>
                <w:webHidden/>
              </w:rPr>
              <w:t>7</w:t>
            </w:r>
            <w:r>
              <w:rPr>
                <w:noProof/>
                <w:webHidden/>
              </w:rPr>
              <w:fldChar w:fldCharType="end"/>
            </w:r>
          </w:hyperlink>
        </w:p>
        <w:p w14:paraId="085FFE37" w14:textId="04F107CF"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2" w:history="1">
            <w:r w:rsidRPr="004D3E6C">
              <w:rPr>
                <w:rStyle w:val="Hyperlink"/>
                <w:noProof/>
              </w:rPr>
              <w:t>4.3 Hands-On Intervention Dose Rate</w:t>
            </w:r>
            <w:r>
              <w:rPr>
                <w:noProof/>
                <w:webHidden/>
              </w:rPr>
              <w:tab/>
            </w:r>
            <w:r>
              <w:rPr>
                <w:noProof/>
                <w:webHidden/>
              </w:rPr>
              <w:fldChar w:fldCharType="begin"/>
            </w:r>
            <w:r>
              <w:rPr>
                <w:noProof/>
                <w:webHidden/>
              </w:rPr>
              <w:instrText xml:space="preserve"> PAGEREF _Toc239377152 \h </w:instrText>
            </w:r>
            <w:r>
              <w:rPr>
                <w:noProof/>
                <w:webHidden/>
              </w:rPr>
            </w:r>
            <w:r>
              <w:rPr>
                <w:noProof/>
                <w:webHidden/>
              </w:rPr>
              <w:fldChar w:fldCharType="separate"/>
            </w:r>
            <w:r>
              <w:rPr>
                <w:noProof/>
                <w:webHidden/>
              </w:rPr>
              <w:t>7</w:t>
            </w:r>
            <w:r>
              <w:rPr>
                <w:noProof/>
                <w:webHidden/>
              </w:rPr>
              <w:fldChar w:fldCharType="end"/>
            </w:r>
          </w:hyperlink>
        </w:p>
        <w:p w14:paraId="65A836DB" w14:textId="03439B37" w:rsidR="0005343B" w:rsidRDefault="0005343B">
          <w:pPr>
            <w:pStyle w:val="TOC1"/>
            <w:rPr>
              <w:rFonts w:asciiTheme="minorHAnsi" w:eastAsiaTheme="minorEastAsia" w:hAnsiTheme="minorHAnsi" w:cstheme="minorBidi"/>
              <w:kern w:val="2"/>
              <w:lang w:eastAsia="en-GB"/>
              <w14:ligatures w14:val="standardContextual"/>
            </w:rPr>
          </w:pPr>
          <w:hyperlink w:anchor="_Toc239377153" w:history="1">
            <w:r w:rsidRPr="004D3E6C">
              <w:rPr>
                <w:rStyle w:val="Hyperlink"/>
              </w:rPr>
              <w:t>5 Effective Dose</w:t>
            </w:r>
            <w:r>
              <w:rPr>
                <w:webHidden/>
              </w:rPr>
              <w:tab/>
            </w:r>
            <w:r>
              <w:rPr>
                <w:webHidden/>
              </w:rPr>
              <w:fldChar w:fldCharType="begin"/>
            </w:r>
            <w:r>
              <w:rPr>
                <w:webHidden/>
              </w:rPr>
              <w:instrText xml:space="preserve"> PAGEREF _Toc239377153 \h </w:instrText>
            </w:r>
            <w:r>
              <w:rPr>
                <w:webHidden/>
              </w:rPr>
            </w:r>
            <w:r>
              <w:rPr>
                <w:webHidden/>
              </w:rPr>
              <w:fldChar w:fldCharType="separate"/>
            </w:r>
            <w:r>
              <w:rPr>
                <w:webHidden/>
              </w:rPr>
              <w:t>9</w:t>
            </w:r>
            <w:r>
              <w:rPr>
                <w:webHidden/>
              </w:rPr>
              <w:fldChar w:fldCharType="end"/>
            </w:r>
          </w:hyperlink>
        </w:p>
        <w:p w14:paraId="014D5637" w14:textId="2A5FED10"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4" w:history="1">
            <w:r w:rsidRPr="004D3E6C">
              <w:rPr>
                <w:rStyle w:val="Hyperlink"/>
                <w:noProof/>
              </w:rPr>
              <w:t>5.1 Initial Recovery Effective Dose</w:t>
            </w:r>
            <w:r>
              <w:rPr>
                <w:noProof/>
                <w:webHidden/>
              </w:rPr>
              <w:tab/>
            </w:r>
            <w:r>
              <w:rPr>
                <w:noProof/>
                <w:webHidden/>
              </w:rPr>
              <w:fldChar w:fldCharType="begin"/>
            </w:r>
            <w:r>
              <w:rPr>
                <w:noProof/>
                <w:webHidden/>
              </w:rPr>
              <w:instrText xml:space="preserve"> PAGEREF _Toc239377154 \h </w:instrText>
            </w:r>
            <w:r>
              <w:rPr>
                <w:noProof/>
                <w:webHidden/>
              </w:rPr>
            </w:r>
            <w:r>
              <w:rPr>
                <w:noProof/>
                <w:webHidden/>
              </w:rPr>
              <w:fldChar w:fldCharType="separate"/>
            </w:r>
            <w:r>
              <w:rPr>
                <w:noProof/>
                <w:webHidden/>
              </w:rPr>
              <w:t>9</w:t>
            </w:r>
            <w:r>
              <w:rPr>
                <w:noProof/>
                <w:webHidden/>
              </w:rPr>
              <w:fldChar w:fldCharType="end"/>
            </w:r>
          </w:hyperlink>
        </w:p>
        <w:p w14:paraId="0EF1299D" w14:textId="1923A095"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5" w:history="1">
            <w:r w:rsidRPr="004D3E6C">
              <w:rPr>
                <w:rStyle w:val="Hyperlink"/>
                <w:noProof/>
              </w:rPr>
              <w:t>5.2 Hands-On Intervention Effective Dose</w:t>
            </w:r>
            <w:r>
              <w:rPr>
                <w:noProof/>
                <w:webHidden/>
              </w:rPr>
              <w:tab/>
            </w:r>
            <w:r>
              <w:rPr>
                <w:noProof/>
                <w:webHidden/>
              </w:rPr>
              <w:fldChar w:fldCharType="begin"/>
            </w:r>
            <w:r>
              <w:rPr>
                <w:noProof/>
                <w:webHidden/>
              </w:rPr>
              <w:instrText xml:space="preserve"> PAGEREF _Toc239377155 \h </w:instrText>
            </w:r>
            <w:r>
              <w:rPr>
                <w:noProof/>
                <w:webHidden/>
              </w:rPr>
            </w:r>
            <w:r>
              <w:rPr>
                <w:noProof/>
                <w:webHidden/>
              </w:rPr>
              <w:fldChar w:fldCharType="separate"/>
            </w:r>
            <w:r>
              <w:rPr>
                <w:noProof/>
                <w:webHidden/>
              </w:rPr>
              <w:t>9</w:t>
            </w:r>
            <w:r>
              <w:rPr>
                <w:noProof/>
                <w:webHidden/>
              </w:rPr>
              <w:fldChar w:fldCharType="end"/>
            </w:r>
          </w:hyperlink>
        </w:p>
        <w:p w14:paraId="54D63743" w14:textId="1453933C"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6" w:history="1">
            <w:r w:rsidRPr="004D3E6C">
              <w:rPr>
                <w:rStyle w:val="Hyperlink"/>
                <w:noProof/>
              </w:rPr>
              <w:t>5.3 Dose Rate Comparisons and Discrepancies</w:t>
            </w:r>
            <w:r>
              <w:rPr>
                <w:noProof/>
                <w:webHidden/>
              </w:rPr>
              <w:tab/>
            </w:r>
            <w:r>
              <w:rPr>
                <w:noProof/>
                <w:webHidden/>
              </w:rPr>
              <w:fldChar w:fldCharType="begin"/>
            </w:r>
            <w:r>
              <w:rPr>
                <w:noProof/>
                <w:webHidden/>
              </w:rPr>
              <w:instrText xml:space="preserve"> PAGEREF _Toc239377156 \h </w:instrText>
            </w:r>
            <w:r>
              <w:rPr>
                <w:noProof/>
                <w:webHidden/>
              </w:rPr>
            </w:r>
            <w:r>
              <w:rPr>
                <w:noProof/>
                <w:webHidden/>
              </w:rPr>
              <w:fldChar w:fldCharType="separate"/>
            </w:r>
            <w:r>
              <w:rPr>
                <w:noProof/>
                <w:webHidden/>
              </w:rPr>
              <w:t>10</w:t>
            </w:r>
            <w:r>
              <w:rPr>
                <w:noProof/>
                <w:webHidden/>
              </w:rPr>
              <w:fldChar w:fldCharType="end"/>
            </w:r>
          </w:hyperlink>
        </w:p>
        <w:p w14:paraId="3912F8C5" w14:textId="7FA92F81" w:rsidR="0005343B" w:rsidRDefault="0005343B">
          <w:pPr>
            <w:pStyle w:val="TOC1"/>
            <w:rPr>
              <w:rFonts w:asciiTheme="minorHAnsi" w:eastAsiaTheme="minorEastAsia" w:hAnsiTheme="minorHAnsi" w:cstheme="minorBidi"/>
              <w:kern w:val="2"/>
              <w:lang w:eastAsia="en-GB"/>
              <w14:ligatures w14:val="standardContextual"/>
            </w:rPr>
          </w:pPr>
          <w:hyperlink w:anchor="_Toc239377157" w:history="1">
            <w:r w:rsidRPr="004D3E6C">
              <w:rPr>
                <w:rStyle w:val="Hyperlink"/>
              </w:rPr>
              <w:t>6 Health Implications</w:t>
            </w:r>
            <w:r>
              <w:rPr>
                <w:webHidden/>
              </w:rPr>
              <w:tab/>
            </w:r>
            <w:r>
              <w:rPr>
                <w:webHidden/>
              </w:rPr>
              <w:fldChar w:fldCharType="begin"/>
            </w:r>
            <w:r>
              <w:rPr>
                <w:webHidden/>
              </w:rPr>
              <w:instrText xml:space="preserve"> PAGEREF _Toc239377157 \h </w:instrText>
            </w:r>
            <w:r>
              <w:rPr>
                <w:webHidden/>
              </w:rPr>
            </w:r>
            <w:r>
              <w:rPr>
                <w:webHidden/>
              </w:rPr>
              <w:fldChar w:fldCharType="separate"/>
            </w:r>
            <w:r>
              <w:rPr>
                <w:webHidden/>
              </w:rPr>
              <w:t>11</w:t>
            </w:r>
            <w:r>
              <w:rPr>
                <w:webHidden/>
              </w:rPr>
              <w:fldChar w:fldCharType="end"/>
            </w:r>
          </w:hyperlink>
        </w:p>
        <w:p w14:paraId="27DE5D42" w14:textId="76CA07C9"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8" w:history="1">
            <w:r w:rsidRPr="004D3E6C">
              <w:rPr>
                <w:rStyle w:val="Hyperlink"/>
                <w:noProof/>
              </w:rPr>
              <w:t>6.1 Short-Term Effects</w:t>
            </w:r>
            <w:r>
              <w:rPr>
                <w:noProof/>
                <w:webHidden/>
              </w:rPr>
              <w:tab/>
            </w:r>
            <w:r>
              <w:rPr>
                <w:noProof/>
                <w:webHidden/>
              </w:rPr>
              <w:fldChar w:fldCharType="begin"/>
            </w:r>
            <w:r>
              <w:rPr>
                <w:noProof/>
                <w:webHidden/>
              </w:rPr>
              <w:instrText xml:space="preserve"> PAGEREF _Toc239377158 \h </w:instrText>
            </w:r>
            <w:r>
              <w:rPr>
                <w:noProof/>
                <w:webHidden/>
              </w:rPr>
            </w:r>
            <w:r>
              <w:rPr>
                <w:noProof/>
                <w:webHidden/>
              </w:rPr>
              <w:fldChar w:fldCharType="separate"/>
            </w:r>
            <w:r>
              <w:rPr>
                <w:noProof/>
                <w:webHidden/>
              </w:rPr>
              <w:t>11</w:t>
            </w:r>
            <w:r>
              <w:rPr>
                <w:noProof/>
                <w:webHidden/>
              </w:rPr>
              <w:fldChar w:fldCharType="end"/>
            </w:r>
          </w:hyperlink>
        </w:p>
        <w:p w14:paraId="18AC6F97" w14:textId="02D6D90B"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59" w:history="1">
            <w:r w:rsidRPr="004D3E6C">
              <w:rPr>
                <w:rStyle w:val="Hyperlink"/>
                <w:noProof/>
              </w:rPr>
              <w:t>6.2 Long-Term Effects</w:t>
            </w:r>
            <w:r>
              <w:rPr>
                <w:noProof/>
                <w:webHidden/>
              </w:rPr>
              <w:tab/>
            </w:r>
            <w:r>
              <w:rPr>
                <w:noProof/>
                <w:webHidden/>
              </w:rPr>
              <w:fldChar w:fldCharType="begin"/>
            </w:r>
            <w:r>
              <w:rPr>
                <w:noProof/>
                <w:webHidden/>
              </w:rPr>
              <w:instrText xml:space="preserve"> PAGEREF _Toc239377159 \h </w:instrText>
            </w:r>
            <w:r>
              <w:rPr>
                <w:noProof/>
                <w:webHidden/>
              </w:rPr>
            </w:r>
            <w:r>
              <w:rPr>
                <w:noProof/>
                <w:webHidden/>
              </w:rPr>
              <w:fldChar w:fldCharType="separate"/>
            </w:r>
            <w:r>
              <w:rPr>
                <w:noProof/>
                <w:webHidden/>
              </w:rPr>
              <w:t>11</w:t>
            </w:r>
            <w:r>
              <w:rPr>
                <w:noProof/>
                <w:webHidden/>
              </w:rPr>
              <w:fldChar w:fldCharType="end"/>
            </w:r>
          </w:hyperlink>
        </w:p>
        <w:p w14:paraId="2A41B9B1" w14:textId="5295B0EE" w:rsidR="0005343B" w:rsidRDefault="0005343B">
          <w:pPr>
            <w:pStyle w:val="TOC1"/>
            <w:rPr>
              <w:rFonts w:asciiTheme="minorHAnsi" w:eastAsiaTheme="minorEastAsia" w:hAnsiTheme="minorHAnsi" w:cstheme="minorBidi"/>
              <w:kern w:val="2"/>
              <w:lang w:eastAsia="en-GB"/>
              <w14:ligatures w14:val="standardContextual"/>
            </w:rPr>
          </w:pPr>
          <w:hyperlink w:anchor="_Toc239377160" w:history="1">
            <w:r w:rsidRPr="004D3E6C">
              <w:rPr>
                <w:rStyle w:val="Hyperlink"/>
              </w:rPr>
              <w:t>7 Ionising Radiation Regulations 2017 Compliance</w:t>
            </w:r>
            <w:r>
              <w:rPr>
                <w:webHidden/>
              </w:rPr>
              <w:tab/>
            </w:r>
            <w:r>
              <w:rPr>
                <w:webHidden/>
              </w:rPr>
              <w:fldChar w:fldCharType="begin"/>
            </w:r>
            <w:r>
              <w:rPr>
                <w:webHidden/>
              </w:rPr>
              <w:instrText xml:space="preserve"> PAGEREF _Toc239377160 \h </w:instrText>
            </w:r>
            <w:r>
              <w:rPr>
                <w:webHidden/>
              </w:rPr>
            </w:r>
            <w:r>
              <w:rPr>
                <w:webHidden/>
              </w:rPr>
              <w:fldChar w:fldCharType="separate"/>
            </w:r>
            <w:r>
              <w:rPr>
                <w:webHidden/>
              </w:rPr>
              <w:t>12</w:t>
            </w:r>
            <w:r>
              <w:rPr>
                <w:webHidden/>
              </w:rPr>
              <w:fldChar w:fldCharType="end"/>
            </w:r>
          </w:hyperlink>
        </w:p>
        <w:p w14:paraId="367D79DE" w14:textId="5A2E9EFA" w:rsidR="0005343B" w:rsidRDefault="0005343B">
          <w:pPr>
            <w:pStyle w:val="TOC1"/>
            <w:rPr>
              <w:rFonts w:asciiTheme="minorHAnsi" w:eastAsiaTheme="minorEastAsia" w:hAnsiTheme="minorHAnsi" w:cstheme="minorBidi"/>
              <w:kern w:val="2"/>
              <w:lang w:eastAsia="en-GB"/>
              <w14:ligatures w14:val="standardContextual"/>
            </w:rPr>
          </w:pPr>
          <w:hyperlink w:anchor="_Toc239377161" w:history="1">
            <w:r w:rsidRPr="004D3E6C">
              <w:rPr>
                <w:rStyle w:val="Hyperlink"/>
              </w:rPr>
              <w:t>8 Office of Nuclear Regulation Safety Assessment Principles</w:t>
            </w:r>
            <w:r>
              <w:rPr>
                <w:webHidden/>
              </w:rPr>
              <w:tab/>
            </w:r>
            <w:r>
              <w:rPr>
                <w:webHidden/>
              </w:rPr>
              <w:fldChar w:fldCharType="begin"/>
            </w:r>
            <w:r>
              <w:rPr>
                <w:webHidden/>
              </w:rPr>
              <w:instrText xml:space="preserve"> PAGEREF _Toc239377161 \h </w:instrText>
            </w:r>
            <w:r>
              <w:rPr>
                <w:webHidden/>
              </w:rPr>
            </w:r>
            <w:r>
              <w:rPr>
                <w:webHidden/>
              </w:rPr>
              <w:fldChar w:fldCharType="separate"/>
            </w:r>
            <w:r>
              <w:rPr>
                <w:webHidden/>
              </w:rPr>
              <w:t>13</w:t>
            </w:r>
            <w:r>
              <w:rPr>
                <w:webHidden/>
              </w:rPr>
              <w:fldChar w:fldCharType="end"/>
            </w:r>
          </w:hyperlink>
        </w:p>
        <w:p w14:paraId="06B906D4" w14:textId="0FEEFEAC"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62" w:history="1">
            <w:r w:rsidRPr="004D3E6C">
              <w:rPr>
                <w:rStyle w:val="Hyperlink"/>
                <w:noProof/>
              </w:rPr>
              <w:t>8.1 EKP.3 Defence in Depth</w:t>
            </w:r>
            <w:r>
              <w:rPr>
                <w:noProof/>
                <w:webHidden/>
              </w:rPr>
              <w:tab/>
            </w:r>
            <w:r>
              <w:rPr>
                <w:noProof/>
                <w:webHidden/>
              </w:rPr>
              <w:fldChar w:fldCharType="begin"/>
            </w:r>
            <w:r>
              <w:rPr>
                <w:noProof/>
                <w:webHidden/>
              </w:rPr>
              <w:instrText xml:space="preserve"> PAGEREF _Toc239377162 \h </w:instrText>
            </w:r>
            <w:r>
              <w:rPr>
                <w:noProof/>
                <w:webHidden/>
              </w:rPr>
            </w:r>
            <w:r>
              <w:rPr>
                <w:noProof/>
                <w:webHidden/>
              </w:rPr>
              <w:fldChar w:fldCharType="separate"/>
            </w:r>
            <w:r>
              <w:rPr>
                <w:noProof/>
                <w:webHidden/>
              </w:rPr>
              <w:t>13</w:t>
            </w:r>
            <w:r>
              <w:rPr>
                <w:noProof/>
                <w:webHidden/>
              </w:rPr>
              <w:fldChar w:fldCharType="end"/>
            </w:r>
          </w:hyperlink>
        </w:p>
        <w:p w14:paraId="0347A9F1" w14:textId="263B7BCC"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63" w:history="1">
            <w:r w:rsidRPr="004D3E6C">
              <w:rPr>
                <w:rStyle w:val="Hyperlink"/>
                <w:noProof/>
              </w:rPr>
              <w:t>8.2 EDR .1 Failure to Safety</w:t>
            </w:r>
            <w:r>
              <w:rPr>
                <w:noProof/>
                <w:webHidden/>
              </w:rPr>
              <w:tab/>
            </w:r>
            <w:r>
              <w:rPr>
                <w:noProof/>
                <w:webHidden/>
              </w:rPr>
              <w:fldChar w:fldCharType="begin"/>
            </w:r>
            <w:r>
              <w:rPr>
                <w:noProof/>
                <w:webHidden/>
              </w:rPr>
              <w:instrText xml:space="preserve"> PAGEREF _Toc239377163 \h </w:instrText>
            </w:r>
            <w:r>
              <w:rPr>
                <w:noProof/>
                <w:webHidden/>
              </w:rPr>
            </w:r>
            <w:r>
              <w:rPr>
                <w:noProof/>
                <w:webHidden/>
              </w:rPr>
              <w:fldChar w:fldCharType="separate"/>
            </w:r>
            <w:r>
              <w:rPr>
                <w:noProof/>
                <w:webHidden/>
              </w:rPr>
              <w:t>14</w:t>
            </w:r>
            <w:r>
              <w:rPr>
                <w:noProof/>
                <w:webHidden/>
              </w:rPr>
              <w:fldChar w:fldCharType="end"/>
            </w:r>
          </w:hyperlink>
        </w:p>
        <w:p w14:paraId="6F4F3B7E" w14:textId="1C8D0E48" w:rsidR="0005343B" w:rsidRDefault="0005343B">
          <w:pPr>
            <w:pStyle w:val="TOC2"/>
            <w:rPr>
              <w:rFonts w:asciiTheme="minorHAnsi" w:eastAsiaTheme="minorEastAsia" w:hAnsiTheme="minorHAnsi" w:cstheme="minorBidi"/>
              <w:noProof/>
              <w:kern w:val="2"/>
              <w:lang w:eastAsia="en-GB"/>
              <w14:ligatures w14:val="standardContextual"/>
            </w:rPr>
          </w:pPr>
          <w:hyperlink w:anchor="_Toc239377164" w:history="1">
            <w:r w:rsidRPr="004D3E6C">
              <w:rPr>
                <w:rStyle w:val="Hyperlink"/>
                <w:noProof/>
              </w:rPr>
              <w:t>8.3 EMT.2 Maintenance, Inspection and Testing</w:t>
            </w:r>
            <w:r>
              <w:rPr>
                <w:noProof/>
                <w:webHidden/>
              </w:rPr>
              <w:tab/>
            </w:r>
            <w:r>
              <w:rPr>
                <w:noProof/>
                <w:webHidden/>
              </w:rPr>
              <w:fldChar w:fldCharType="begin"/>
            </w:r>
            <w:r>
              <w:rPr>
                <w:noProof/>
                <w:webHidden/>
              </w:rPr>
              <w:instrText xml:space="preserve"> PAGEREF _Toc239377164 \h </w:instrText>
            </w:r>
            <w:r>
              <w:rPr>
                <w:noProof/>
                <w:webHidden/>
              </w:rPr>
            </w:r>
            <w:r>
              <w:rPr>
                <w:noProof/>
                <w:webHidden/>
              </w:rPr>
              <w:fldChar w:fldCharType="separate"/>
            </w:r>
            <w:r>
              <w:rPr>
                <w:noProof/>
                <w:webHidden/>
              </w:rPr>
              <w:t>14</w:t>
            </w:r>
            <w:r>
              <w:rPr>
                <w:noProof/>
                <w:webHidden/>
              </w:rPr>
              <w:fldChar w:fldCharType="end"/>
            </w:r>
          </w:hyperlink>
        </w:p>
        <w:p w14:paraId="4DAA52C7" w14:textId="742B47A7" w:rsidR="0005343B" w:rsidRDefault="0005343B">
          <w:pPr>
            <w:pStyle w:val="TOC1"/>
            <w:rPr>
              <w:rFonts w:asciiTheme="minorHAnsi" w:eastAsiaTheme="minorEastAsia" w:hAnsiTheme="minorHAnsi" w:cstheme="minorBidi"/>
              <w:kern w:val="2"/>
              <w:lang w:eastAsia="en-GB"/>
              <w14:ligatures w14:val="standardContextual"/>
            </w:rPr>
          </w:pPr>
          <w:hyperlink w:anchor="_Toc239377165" w:history="1">
            <w:r w:rsidRPr="004D3E6C">
              <w:rPr>
                <w:rStyle w:val="Hyperlink"/>
              </w:rPr>
              <w:t>9 Suggested Improvements to Achieve ALARP</w:t>
            </w:r>
            <w:r>
              <w:rPr>
                <w:webHidden/>
              </w:rPr>
              <w:tab/>
            </w:r>
            <w:r>
              <w:rPr>
                <w:webHidden/>
              </w:rPr>
              <w:fldChar w:fldCharType="begin"/>
            </w:r>
            <w:r>
              <w:rPr>
                <w:webHidden/>
              </w:rPr>
              <w:instrText xml:space="preserve"> PAGEREF _Toc239377165 \h </w:instrText>
            </w:r>
            <w:r>
              <w:rPr>
                <w:webHidden/>
              </w:rPr>
            </w:r>
            <w:r>
              <w:rPr>
                <w:webHidden/>
              </w:rPr>
              <w:fldChar w:fldCharType="separate"/>
            </w:r>
            <w:r>
              <w:rPr>
                <w:webHidden/>
              </w:rPr>
              <w:t>15</w:t>
            </w:r>
            <w:r>
              <w:rPr>
                <w:webHidden/>
              </w:rPr>
              <w:fldChar w:fldCharType="end"/>
            </w:r>
          </w:hyperlink>
        </w:p>
        <w:p w14:paraId="1A366C65" w14:textId="3CE1056F" w:rsidR="0005343B" w:rsidRDefault="0005343B">
          <w:pPr>
            <w:pStyle w:val="TOC1"/>
            <w:rPr>
              <w:rFonts w:asciiTheme="minorHAnsi" w:eastAsiaTheme="minorEastAsia" w:hAnsiTheme="minorHAnsi" w:cstheme="minorBidi"/>
              <w:kern w:val="2"/>
              <w:lang w:eastAsia="en-GB"/>
              <w14:ligatures w14:val="standardContextual"/>
            </w:rPr>
          </w:pPr>
          <w:hyperlink w:anchor="_Toc239377166" w:history="1">
            <w:r w:rsidRPr="004D3E6C">
              <w:rPr>
                <w:rStyle w:val="Hyperlink"/>
              </w:rPr>
              <w:t>10 References</w:t>
            </w:r>
            <w:r>
              <w:rPr>
                <w:webHidden/>
              </w:rPr>
              <w:tab/>
            </w:r>
            <w:r>
              <w:rPr>
                <w:webHidden/>
              </w:rPr>
              <w:fldChar w:fldCharType="begin"/>
            </w:r>
            <w:r>
              <w:rPr>
                <w:webHidden/>
              </w:rPr>
              <w:instrText xml:space="preserve"> PAGEREF _Toc239377166 \h </w:instrText>
            </w:r>
            <w:r>
              <w:rPr>
                <w:webHidden/>
              </w:rPr>
            </w:r>
            <w:r>
              <w:rPr>
                <w:webHidden/>
              </w:rPr>
              <w:fldChar w:fldCharType="separate"/>
            </w:r>
            <w:r>
              <w:rPr>
                <w:webHidden/>
              </w:rPr>
              <w:t>1</w:t>
            </w:r>
            <w:r>
              <w:rPr>
                <w:webHidden/>
              </w:rPr>
              <w:fldChar w:fldCharType="end"/>
            </w:r>
          </w:hyperlink>
        </w:p>
        <w:p w14:paraId="55C35700" w14:textId="34E918D6" w:rsidR="008B6B06" w:rsidRDefault="008B6B06">
          <w:r>
            <w:rPr>
              <w:b/>
              <w:bCs/>
              <w:noProof/>
            </w:rPr>
            <w:fldChar w:fldCharType="end"/>
          </w:r>
        </w:p>
      </w:sdtContent>
    </w:sdt>
    <w:p w14:paraId="16831FCC" w14:textId="671EDAA3" w:rsidR="00312EC7" w:rsidRDefault="00312EC7" w:rsidP="00DD39B4">
      <w:pPr>
        <w:spacing w:before="0" w:after="200" w:line="276" w:lineRule="auto"/>
        <w:jc w:val="left"/>
        <w:rPr>
          <w:rFonts w:cs="Arial"/>
          <w:sz w:val="28"/>
          <w:szCs w:val="28"/>
        </w:rPr>
      </w:pPr>
    </w:p>
    <w:p w14:paraId="25B69DD8" w14:textId="77777777" w:rsidR="00312EC7" w:rsidRDefault="00312EC7">
      <w:pPr>
        <w:spacing w:before="0" w:after="200" w:line="276" w:lineRule="auto"/>
        <w:jc w:val="left"/>
        <w:rPr>
          <w:rFonts w:cs="Arial"/>
          <w:sz w:val="28"/>
          <w:szCs w:val="28"/>
        </w:rPr>
      </w:pPr>
      <w:r>
        <w:rPr>
          <w:rFonts w:cs="Arial"/>
          <w:sz w:val="28"/>
          <w:szCs w:val="28"/>
        </w:rPr>
        <w:br w:type="page"/>
      </w:r>
    </w:p>
    <w:p w14:paraId="5B17A8DC" w14:textId="35882D5F" w:rsidR="0013036D" w:rsidRDefault="00312EC7">
      <w:pPr>
        <w:pStyle w:val="TableofFigures"/>
        <w:tabs>
          <w:tab w:val="right" w:leader="dot" w:pos="8494"/>
        </w:tabs>
        <w:rPr>
          <w:rFonts w:asciiTheme="minorHAnsi" w:eastAsiaTheme="minorEastAsia" w:hAnsiTheme="minorHAnsi" w:cstheme="minorBidi"/>
          <w:noProof/>
          <w:kern w:val="2"/>
          <w:lang w:eastAsia="en-GB"/>
          <w14:ligatures w14:val="standardContextual"/>
        </w:rPr>
      </w:pPr>
      <w:r>
        <w:rPr>
          <w:rFonts w:cs="Arial"/>
          <w:sz w:val="28"/>
          <w:szCs w:val="28"/>
        </w:rPr>
        <w:lastRenderedPageBreak/>
        <w:fldChar w:fldCharType="begin"/>
      </w:r>
      <w:r>
        <w:rPr>
          <w:rFonts w:cs="Arial"/>
          <w:sz w:val="28"/>
          <w:szCs w:val="28"/>
        </w:rPr>
        <w:instrText xml:space="preserve"> TOC \h \z \c "Equation" </w:instrText>
      </w:r>
      <w:r>
        <w:rPr>
          <w:rFonts w:cs="Arial"/>
          <w:sz w:val="28"/>
          <w:szCs w:val="28"/>
        </w:rPr>
        <w:fldChar w:fldCharType="separate"/>
      </w:r>
      <w:hyperlink w:anchor="_Toc239375431" w:history="1">
        <w:r w:rsidR="0013036D" w:rsidRPr="00192537">
          <w:rPr>
            <w:rStyle w:val="Hyperlink"/>
            <w:noProof/>
          </w:rPr>
          <w:t>Equation 1 - Source Activity Equation</w:t>
        </w:r>
        <w:r w:rsidR="0013036D">
          <w:rPr>
            <w:noProof/>
            <w:webHidden/>
          </w:rPr>
          <w:tab/>
        </w:r>
        <w:r w:rsidR="0013036D">
          <w:rPr>
            <w:noProof/>
            <w:webHidden/>
          </w:rPr>
          <w:fldChar w:fldCharType="begin"/>
        </w:r>
        <w:r w:rsidR="0013036D">
          <w:rPr>
            <w:noProof/>
            <w:webHidden/>
          </w:rPr>
          <w:instrText xml:space="preserve"> PAGEREF _Toc239375431 \h </w:instrText>
        </w:r>
        <w:r w:rsidR="0013036D">
          <w:rPr>
            <w:noProof/>
            <w:webHidden/>
          </w:rPr>
        </w:r>
        <w:r w:rsidR="0013036D">
          <w:rPr>
            <w:noProof/>
            <w:webHidden/>
          </w:rPr>
          <w:fldChar w:fldCharType="separate"/>
        </w:r>
        <w:r w:rsidR="0013036D">
          <w:rPr>
            <w:noProof/>
            <w:webHidden/>
          </w:rPr>
          <w:t>5</w:t>
        </w:r>
        <w:r w:rsidR="0013036D">
          <w:rPr>
            <w:noProof/>
            <w:webHidden/>
          </w:rPr>
          <w:fldChar w:fldCharType="end"/>
        </w:r>
      </w:hyperlink>
    </w:p>
    <w:p w14:paraId="35B5DAD0" w14:textId="19998C91" w:rsidR="0013036D" w:rsidRDefault="0013036D">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9375432" w:history="1">
        <w:r w:rsidRPr="00192537">
          <w:rPr>
            <w:rStyle w:val="Hyperlink"/>
            <w:noProof/>
          </w:rPr>
          <w:t>Equation 2 - Dose Rate Equation</w:t>
        </w:r>
        <w:r>
          <w:rPr>
            <w:noProof/>
            <w:webHidden/>
          </w:rPr>
          <w:tab/>
        </w:r>
        <w:r>
          <w:rPr>
            <w:noProof/>
            <w:webHidden/>
          </w:rPr>
          <w:fldChar w:fldCharType="begin"/>
        </w:r>
        <w:r>
          <w:rPr>
            <w:noProof/>
            <w:webHidden/>
          </w:rPr>
          <w:instrText xml:space="preserve"> PAGEREF _Toc239375432 \h </w:instrText>
        </w:r>
        <w:r>
          <w:rPr>
            <w:noProof/>
            <w:webHidden/>
          </w:rPr>
        </w:r>
        <w:r>
          <w:rPr>
            <w:noProof/>
            <w:webHidden/>
          </w:rPr>
          <w:fldChar w:fldCharType="separate"/>
        </w:r>
        <w:r>
          <w:rPr>
            <w:noProof/>
            <w:webHidden/>
          </w:rPr>
          <w:t>6</w:t>
        </w:r>
        <w:r>
          <w:rPr>
            <w:noProof/>
            <w:webHidden/>
          </w:rPr>
          <w:fldChar w:fldCharType="end"/>
        </w:r>
      </w:hyperlink>
    </w:p>
    <w:p w14:paraId="19838F58" w14:textId="1C981DB4" w:rsidR="008B6B06" w:rsidRDefault="00312EC7" w:rsidP="00DD39B4">
      <w:pPr>
        <w:spacing w:before="0" w:after="200" w:line="276" w:lineRule="auto"/>
        <w:jc w:val="left"/>
        <w:rPr>
          <w:rFonts w:cs="Arial"/>
          <w:sz w:val="28"/>
          <w:szCs w:val="28"/>
        </w:rPr>
      </w:pPr>
      <w:r>
        <w:rPr>
          <w:rFonts w:cs="Arial"/>
          <w:sz w:val="28"/>
          <w:szCs w:val="28"/>
        </w:rPr>
        <w:fldChar w:fldCharType="end"/>
      </w:r>
    </w:p>
    <w:p w14:paraId="7A0DA1C1" w14:textId="39FE91C0" w:rsidR="0013036D" w:rsidRDefault="001911EC">
      <w:pPr>
        <w:pStyle w:val="TableofFigures"/>
        <w:tabs>
          <w:tab w:val="right" w:leader="dot" w:pos="8494"/>
        </w:tabs>
        <w:rPr>
          <w:rFonts w:asciiTheme="minorHAnsi" w:eastAsiaTheme="minorEastAsia" w:hAnsiTheme="minorHAnsi" w:cstheme="minorBidi"/>
          <w:noProof/>
          <w:kern w:val="2"/>
          <w:lang w:eastAsia="en-GB"/>
          <w14:ligatures w14:val="standardContextual"/>
        </w:rPr>
      </w:pPr>
      <w:r>
        <w:rPr>
          <w:rFonts w:cs="Arial"/>
          <w:sz w:val="28"/>
          <w:szCs w:val="28"/>
        </w:rPr>
        <w:fldChar w:fldCharType="begin"/>
      </w:r>
      <w:r>
        <w:rPr>
          <w:rFonts w:cs="Arial"/>
          <w:sz w:val="28"/>
          <w:szCs w:val="28"/>
        </w:rPr>
        <w:instrText xml:space="preserve"> TOC \h \z \c "Figure" </w:instrText>
      </w:r>
      <w:r>
        <w:rPr>
          <w:rFonts w:cs="Arial"/>
          <w:sz w:val="28"/>
          <w:szCs w:val="28"/>
        </w:rPr>
        <w:fldChar w:fldCharType="separate"/>
      </w:r>
      <w:hyperlink w:anchor="_Toc239375433" w:history="1">
        <w:r w:rsidR="0013036D" w:rsidRPr="00A95B2A">
          <w:rPr>
            <w:rStyle w:val="Hyperlink"/>
            <w:noProof/>
          </w:rPr>
          <w:t>Figure 1 - Defence in Depth Level</w:t>
        </w:r>
        <w:r w:rsidR="0013036D">
          <w:rPr>
            <w:noProof/>
            <w:webHidden/>
          </w:rPr>
          <w:tab/>
        </w:r>
        <w:r w:rsidR="0013036D">
          <w:rPr>
            <w:noProof/>
            <w:webHidden/>
          </w:rPr>
          <w:fldChar w:fldCharType="begin"/>
        </w:r>
        <w:r w:rsidR="0013036D">
          <w:rPr>
            <w:noProof/>
            <w:webHidden/>
          </w:rPr>
          <w:instrText xml:space="preserve"> PAGEREF _Toc239375433 \h </w:instrText>
        </w:r>
        <w:r w:rsidR="0013036D">
          <w:rPr>
            <w:noProof/>
            <w:webHidden/>
          </w:rPr>
        </w:r>
        <w:r w:rsidR="0013036D">
          <w:rPr>
            <w:noProof/>
            <w:webHidden/>
          </w:rPr>
          <w:fldChar w:fldCharType="separate"/>
        </w:r>
        <w:r w:rsidR="0013036D">
          <w:rPr>
            <w:noProof/>
            <w:webHidden/>
          </w:rPr>
          <w:t>14</w:t>
        </w:r>
        <w:r w:rsidR="0013036D">
          <w:rPr>
            <w:noProof/>
            <w:webHidden/>
          </w:rPr>
          <w:fldChar w:fldCharType="end"/>
        </w:r>
      </w:hyperlink>
    </w:p>
    <w:p w14:paraId="75F89979" w14:textId="780359A7" w:rsidR="008B6B06" w:rsidRDefault="001911EC">
      <w:pPr>
        <w:spacing w:before="0" w:after="200" w:line="276" w:lineRule="auto"/>
        <w:jc w:val="left"/>
        <w:rPr>
          <w:rFonts w:cs="Arial"/>
          <w:sz w:val="28"/>
          <w:szCs w:val="28"/>
        </w:rPr>
      </w:pPr>
      <w:r>
        <w:rPr>
          <w:rFonts w:cs="Arial"/>
          <w:sz w:val="28"/>
          <w:szCs w:val="28"/>
        </w:rPr>
        <w:fldChar w:fldCharType="end"/>
      </w:r>
      <w:r w:rsidR="008B6B06">
        <w:rPr>
          <w:rFonts w:cs="Arial"/>
          <w:sz w:val="28"/>
          <w:szCs w:val="28"/>
        </w:rPr>
        <w:br w:type="page"/>
      </w:r>
    </w:p>
    <w:p w14:paraId="5F2F139A" w14:textId="6FBFF8E6" w:rsidR="00DD39B4" w:rsidRDefault="008B6B06" w:rsidP="00334201">
      <w:pPr>
        <w:pStyle w:val="Heading1"/>
        <w:spacing w:line="360" w:lineRule="auto"/>
      </w:pPr>
      <w:bookmarkStart w:id="0" w:name="_Toc239377146"/>
      <w:r>
        <w:lastRenderedPageBreak/>
        <w:t>Introduction</w:t>
      </w:r>
      <w:bookmarkEnd w:id="0"/>
      <w:r>
        <w:t xml:space="preserve"> </w:t>
      </w:r>
    </w:p>
    <w:p w14:paraId="058806F3" w14:textId="5E8888EA" w:rsidR="008B6B06" w:rsidRDefault="008B6B06" w:rsidP="00334201">
      <w:r>
        <w:t>This report will investigate an incident involving Iridium 192 (</w:t>
      </w:r>
      <w:r w:rsidR="00A422B8">
        <w:rPr>
          <w:vertAlign w:val="superscript"/>
        </w:rPr>
        <w:t>192</w:t>
      </w:r>
      <w:r w:rsidR="00A422B8">
        <w:t xml:space="preserve">Ir) </w:t>
      </w:r>
      <w:r w:rsidR="001B249B">
        <w:t xml:space="preserve">in an industrial gamma radiography </w:t>
      </w:r>
      <w:r w:rsidR="00A63A2F">
        <w:t>source.</w:t>
      </w:r>
      <w:r w:rsidR="00707E0F">
        <w:t xml:space="preserve"> The source became stuck inside the guide tube </w:t>
      </w:r>
      <w:r w:rsidR="00C67B8C">
        <w:t xml:space="preserve">of </w:t>
      </w:r>
      <w:r w:rsidR="00707E0F">
        <w:t xml:space="preserve">a remote device during a weld inspection. </w:t>
      </w:r>
      <w:r w:rsidR="007E5113">
        <w:t>Unknown to the staff</w:t>
      </w:r>
      <w:r w:rsidR="00C67B8C">
        <w:t>,</w:t>
      </w:r>
      <w:r w:rsidR="007E5113">
        <w:t xml:space="preserve"> the source </w:t>
      </w:r>
      <w:r w:rsidR="000A5566">
        <w:t>failed to return</w:t>
      </w:r>
      <w:r w:rsidR="007E5113">
        <w:t xml:space="preserve"> to its shielded position</w:t>
      </w:r>
      <w:r w:rsidR="00C67B8C">
        <w:t>,</w:t>
      </w:r>
      <w:r w:rsidR="007E5113">
        <w:t xml:space="preserve"> and they </w:t>
      </w:r>
      <w:r w:rsidR="000A5566">
        <w:t>approached</w:t>
      </w:r>
      <w:r w:rsidR="007555C4">
        <w:t xml:space="preserve"> the source</w:t>
      </w:r>
      <w:r w:rsidR="00C67B8C">
        <w:t>,</w:t>
      </w:r>
      <w:r w:rsidR="007555C4">
        <w:t xml:space="preserve"> resulting in a significant radiation exposure. This report will </w:t>
      </w:r>
      <w:r w:rsidR="00C67B8C">
        <w:t>analyse</w:t>
      </w:r>
      <w:r w:rsidR="007555C4">
        <w:t xml:space="preserve"> </w:t>
      </w:r>
      <w:r w:rsidR="00C67B8C">
        <w:t xml:space="preserve">the radiological consequences as well as the </w:t>
      </w:r>
      <w:r w:rsidR="00F96E56">
        <w:t>effectiveness</w:t>
      </w:r>
      <w:r w:rsidR="00C67B8C">
        <w:t xml:space="preserve"> of the engineering and safety controls in place. </w:t>
      </w:r>
    </w:p>
    <w:p w14:paraId="385366CA" w14:textId="77777777" w:rsidR="002C423F" w:rsidRDefault="002C423F" w:rsidP="00334201"/>
    <w:p w14:paraId="2046A9A4" w14:textId="72558505" w:rsidR="002C423F" w:rsidRDefault="0086054C" w:rsidP="00334201">
      <w:pPr>
        <w:pStyle w:val="Heading1"/>
        <w:spacing w:line="360" w:lineRule="auto"/>
      </w:pPr>
      <w:bookmarkStart w:id="1" w:name="_Toc239377147"/>
      <w:r>
        <w:t>Iridium-192 as a radiography source</w:t>
      </w:r>
      <w:bookmarkEnd w:id="1"/>
    </w:p>
    <w:p w14:paraId="0B2F4E56" w14:textId="483B70A1" w:rsidR="0086054C" w:rsidRDefault="0086054C" w:rsidP="00334201">
      <w:r>
        <w:t>Iridium-192 excels as a radiography source</w:t>
      </w:r>
      <w:r w:rsidR="00FF3697">
        <w:t xml:space="preserve"> in this scenario due to its </w:t>
      </w:r>
      <w:r w:rsidR="00713650">
        <w:t xml:space="preserve">ability to emit </w:t>
      </w:r>
      <w:r w:rsidR="00D578AB">
        <w:t xml:space="preserve">gamma energy sufficient to penetrate dense materials such as steel. This enables the inspection of welded joints and other structural </w:t>
      </w:r>
      <w:r w:rsidR="00EC5F84">
        <w:t>components for internal defects, including cracks and voids, without causing damage to the material</w:t>
      </w:r>
      <w:r w:rsidR="00BA7C03">
        <w:t xml:space="preserve"> </w:t>
      </w:r>
      <w:sdt>
        <w:sdtPr>
          <w:id w:val="-1693603622"/>
          <w:citation/>
        </w:sdtPr>
        <w:sdtEndPr/>
        <w:sdtContent>
          <w:r w:rsidR="00BA7C03">
            <w:fldChar w:fldCharType="begin"/>
          </w:r>
          <w:r w:rsidR="00BA7C03">
            <w:instrText xml:space="preserve"> CITATION Gam24 \l 2057 </w:instrText>
          </w:r>
          <w:r w:rsidR="00BA7C03">
            <w:fldChar w:fldCharType="separate"/>
          </w:r>
          <w:r w:rsidR="008B6EE1">
            <w:rPr>
              <w:noProof/>
            </w:rPr>
            <w:t>(GammaBuana, 2024)</w:t>
          </w:r>
          <w:r w:rsidR="00BA7C03">
            <w:fldChar w:fldCharType="end"/>
          </w:r>
        </w:sdtContent>
      </w:sdt>
      <w:r w:rsidR="00BA7C03">
        <w:t>.</w:t>
      </w:r>
      <w:r w:rsidR="00694BE1">
        <w:t xml:space="preserve"> </w:t>
      </w:r>
      <w:r w:rsidR="00355B4E">
        <w:t>As the</w:t>
      </w:r>
      <w:r w:rsidR="00BB3847">
        <w:t xml:space="preserve"> </w:t>
      </w:r>
      <w:r w:rsidR="00355B4E">
        <w:t>gamma</w:t>
      </w:r>
      <w:r w:rsidR="00BB3847">
        <w:t xml:space="preserve"> rays</w:t>
      </w:r>
      <w:r w:rsidR="00355B4E">
        <w:t xml:space="preserve"> </w:t>
      </w:r>
      <w:r w:rsidR="00BB3847">
        <w:t>produced by Iridium</w:t>
      </w:r>
      <w:r w:rsidR="00355B4E">
        <w:t xml:space="preserve">-192 are </w:t>
      </w:r>
      <w:r w:rsidR="00D70E75">
        <w:t>so high, it means the operation requires smaller quantities of the source and therefore makes it easier to store and operate</w:t>
      </w:r>
      <w:r w:rsidR="00BB3847">
        <w:t>.</w:t>
      </w:r>
      <w:r w:rsidR="00D70E75">
        <w:t xml:space="preserve">  </w:t>
      </w:r>
      <w:r w:rsidR="00694BE1">
        <w:t xml:space="preserve">Additionally, Iridium-192 has a </w:t>
      </w:r>
      <w:r w:rsidR="00DA7602">
        <w:t>half-life</w:t>
      </w:r>
      <w:r w:rsidR="00694BE1">
        <w:t xml:space="preserve"> of </w:t>
      </w:r>
      <w:r w:rsidR="00694BE1" w:rsidRPr="00C65C7C">
        <w:t>7</w:t>
      </w:r>
      <w:r w:rsidR="00405C82" w:rsidRPr="00C65C7C">
        <w:t>3.83</w:t>
      </w:r>
      <w:r w:rsidR="00694BE1" w:rsidRPr="00C65C7C">
        <w:t xml:space="preserve"> days</w:t>
      </w:r>
      <w:r w:rsidR="00694BE1">
        <w:t>. Thi</w:t>
      </w:r>
      <w:r w:rsidR="00DA7602">
        <w:t xml:space="preserve">s gives a practical balance between a source </w:t>
      </w:r>
      <w:r w:rsidR="00036878">
        <w:t>maintaining</w:t>
      </w:r>
      <w:r w:rsidR="00DA7602">
        <w:t xml:space="preserve"> </w:t>
      </w:r>
      <w:r w:rsidR="00036878">
        <w:t xml:space="preserve">the ability to produce effective radiographic images </w:t>
      </w:r>
      <w:r w:rsidR="00BB3847">
        <w:t>as well as being replaced periodically</w:t>
      </w:r>
      <w:r w:rsidR="002B1D37">
        <w:t xml:space="preserve"> </w:t>
      </w:r>
      <w:sdt>
        <w:sdtPr>
          <w:id w:val="10804878"/>
          <w:citation/>
        </w:sdtPr>
        <w:sdtEndPr/>
        <w:sdtContent>
          <w:r w:rsidR="00405C82">
            <w:fldChar w:fldCharType="begin"/>
          </w:r>
          <w:r w:rsidR="009A7019">
            <w:instrText xml:space="preserve">CITATION Nat16 \l 2057 </w:instrText>
          </w:r>
          <w:r w:rsidR="00405C82">
            <w:fldChar w:fldCharType="separate"/>
          </w:r>
          <w:r w:rsidR="008B6EE1">
            <w:rPr>
              <w:noProof/>
            </w:rPr>
            <w:t>(National Library of Medicine, 2016)</w:t>
          </w:r>
          <w:r w:rsidR="00405C82">
            <w:fldChar w:fldCharType="end"/>
          </w:r>
        </w:sdtContent>
      </w:sdt>
    </w:p>
    <w:p w14:paraId="52EA5AA7" w14:textId="77777777" w:rsidR="00BA7C03" w:rsidRDefault="00BA7C03" w:rsidP="00334201"/>
    <w:p w14:paraId="7167A85F" w14:textId="6EF6047E" w:rsidR="00BA7C03" w:rsidRDefault="00DB7F3A" w:rsidP="00334201">
      <w:pPr>
        <w:pStyle w:val="Heading1"/>
        <w:spacing w:line="360" w:lineRule="auto"/>
      </w:pPr>
      <w:bookmarkStart w:id="2" w:name="_Toc239377148"/>
      <w:r>
        <w:t>Source Activity</w:t>
      </w:r>
      <w:bookmarkEnd w:id="2"/>
    </w:p>
    <w:p w14:paraId="3472EC44" w14:textId="1831AE32" w:rsidR="008D1ABE" w:rsidRDefault="00E87C7A" w:rsidP="00334201">
      <w:r>
        <w:t>Source activity refers to the rate at which unstable atoms decay within a</w:t>
      </w:r>
      <w:r w:rsidR="004D4171">
        <w:t xml:space="preserve"> radioactive </w:t>
      </w:r>
      <w:r>
        <w:t>isotope</w:t>
      </w:r>
      <w:r w:rsidR="004D4171">
        <w:t>;</w:t>
      </w:r>
      <w:r>
        <w:t xml:space="preserve"> the SI unit in which this process is measured is becquerels (Bq)</w:t>
      </w:r>
      <w:r w:rsidR="004D4171">
        <w:t xml:space="preserve">, where one Bq represents one decay per second. As a radioactive isotope </w:t>
      </w:r>
      <w:r w:rsidR="00924C2E">
        <w:t>continues</w:t>
      </w:r>
      <w:r w:rsidR="004D4171">
        <w:t xml:space="preserve"> to decay</w:t>
      </w:r>
      <w:r w:rsidR="0098183D">
        <w:t xml:space="preserve">, the number of unstable atoms decreases, resulting in a reduction in activity over time. </w:t>
      </w:r>
      <w:r w:rsidR="00D74578">
        <w:t xml:space="preserve">All radioactive isotopes have a </w:t>
      </w:r>
      <w:r w:rsidR="00924C2E">
        <w:t>half-life;</w:t>
      </w:r>
      <w:r w:rsidR="00D74578">
        <w:t xml:space="preserve"> this is the time required for half of the unstable </w:t>
      </w:r>
      <w:r w:rsidR="00924C2E">
        <w:t>atoms</w:t>
      </w:r>
      <w:r w:rsidR="00D74578">
        <w:t xml:space="preserve"> in a radioactive source </w:t>
      </w:r>
      <w:r w:rsidR="00924C2E">
        <w:t xml:space="preserve">to decay </w:t>
      </w:r>
      <w:sdt>
        <w:sdtPr>
          <w:id w:val="-1789115533"/>
          <w:citation/>
        </w:sdtPr>
        <w:sdtEndPr/>
        <w:sdtContent>
          <w:r w:rsidR="0086041F">
            <w:fldChar w:fldCharType="begin"/>
          </w:r>
          <w:r w:rsidR="0086041F">
            <w:instrText xml:space="preserve"> CITATION Ric15 \l 2057 </w:instrText>
          </w:r>
          <w:r w:rsidR="0086041F">
            <w:fldChar w:fldCharType="separate"/>
          </w:r>
          <w:r w:rsidR="008B6EE1">
            <w:rPr>
              <w:noProof/>
            </w:rPr>
            <w:t>(Renneboog, 2015)</w:t>
          </w:r>
          <w:r w:rsidR="0086041F">
            <w:fldChar w:fldCharType="end"/>
          </w:r>
        </w:sdtContent>
      </w:sdt>
      <w:r w:rsidR="00924C2E">
        <w:t xml:space="preserve">. As mentioned, Iridium-192 has a half-life of 73.83 days. </w:t>
      </w:r>
    </w:p>
    <w:p w14:paraId="27D74947" w14:textId="42BD5FCF" w:rsidR="00BA7C03" w:rsidRDefault="001464BD" w:rsidP="00334201">
      <w:r>
        <w:lastRenderedPageBreak/>
        <w:t xml:space="preserve">The brief provides the original activity as </w:t>
      </w:r>
      <w:r w:rsidR="00463BD2">
        <w:t>16 TBq,</w:t>
      </w:r>
      <w:r>
        <w:t xml:space="preserve"> and the delta </w:t>
      </w:r>
      <w:r w:rsidR="004663A7">
        <w:t xml:space="preserve">time between </w:t>
      </w:r>
      <w:r w:rsidR="008D1ABE">
        <w:t xml:space="preserve">the </w:t>
      </w:r>
      <w:r w:rsidR="004663A7">
        <w:t xml:space="preserve">source activity </w:t>
      </w:r>
      <w:r w:rsidR="008D1ABE">
        <w:t>and</w:t>
      </w:r>
      <w:r w:rsidR="004663A7">
        <w:t xml:space="preserve"> the incident is 1</w:t>
      </w:r>
      <w:r w:rsidR="008D1ABE">
        <w:t xml:space="preserve">34 days. Using </w:t>
      </w:r>
      <w:r w:rsidR="008D1ABE" w:rsidRPr="00413816">
        <w:t>Equation 1</w:t>
      </w:r>
      <w:sdt>
        <w:sdtPr>
          <w:id w:val="1641459602"/>
          <w:citation/>
        </w:sdtPr>
        <w:sdtEndPr/>
        <w:sdtContent>
          <w:r w:rsidR="00413816">
            <w:fldChar w:fldCharType="begin"/>
          </w:r>
          <w:r w:rsidR="00413816">
            <w:instrText xml:space="preserve"> CITATION Lib26 \l 2057 </w:instrText>
          </w:r>
          <w:r w:rsidR="00413816">
            <w:fldChar w:fldCharType="separate"/>
          </w:r>
          <w:r w:rsidR="008B6EE1">
            <w:rPr>
              <w:noProof/>
            </w:rPr>
            <w:t xml:space="preserve"> (LibreTexts Physics, n.d.)</w:t>
          </w:r>
          <w:r w:rsidR="00413816">
            <w:fldChar w:fldCharType="end"/>
          </w:r>
        </w:sdtContent>
      </w:sdt>
      <w:r w:rsidR="008D1ABE">
        <w:t xml:space="preserve">, the source activity on the day of the incident can be calculated. </w:t>
      </w:r>
    </w:p>
    <w:p w14:paraId="7BEEDFE0" w14:textId="77777777" w:rsidR="00312EC7" w:rsidRDefault="00D47F1B" w:rsidP="00334201">
      <w:pPr>
        <w:pStyle w:val="Caption"/>
        <w:jc w:val="center"/>
      </w:pPr>
      <m:oMath>
        <m:r>
          <m:rPr>
            <m:sty m:val="bi"/>
          </m:rPr>
          <w:rPr>
            <w:rFonts w:ascii="Cambria Math" w:hAnsi="Cambria Math"/>
            <w:sz w:val="32"/>
            <w:szCs w:val="28"/>
          </w:rPr>
          <m:t>A=</m:t>
        </m:r>
        <m:sSub>
          <m:sSubPr>
            <m:ctrlPr>
              <w:rPr>
                <w:rFonts w:ascii="Cambria Math" w:hAnsi="Cambria Math"/>
                <w:b w:val="0"/>
                <w:bCs w:val="0"/>
                <w:i/>
                <w:sz w:val="36"/>
                <w:szCs w:val="36"/>
              </w:rPr>
            </m:ctrlPr>
          </m:sSubPr>
          <m:e>
            <m:r>
              <m:rPr>
                <m:sty m:val="bi"/>
              </m:rPr>
              <w:rPr>
                <w:rFonts w:ascii="Cambria Math" w:hAnsi="Cambria Math"/>
                <w:sz w:val="32"/>
                <w:szCs w:val="28"/>
              </w:rPr>
              <m:t>A</m:t>
            </m:r>
          </m:e>
          <m:sub>
            <m:r>
              <m:rPr>
                <m:sty m:val="bi"/>
              </m:rPr>
              <w:rPr>
                <w:rFonts w:ascii="Cambria Math" w:hAnsi="Cambria Math"/>
                <w:sz w:val="32"/>
                <w:szCs w:val="28"/>
              </w:rPr>
              <m:t>0</m:t>
            </m:r>
          </m:sub>
        </m:sSub>
        <m:sSup>
          <m:sSupPr>
            <m:ctrlPr>
              <w:rPr>
                <w:rFonts w:ascii="Cambria Math" w:hAnsi="Cambria Math"/>
                <w:b w:val="0"/>
                <w:bCs w:val="0"/>
                <w:i/>
                <w:sz w:val="36"/>
                <w:szCs w:val="36"/>
              </w:rPr>
            </m:ctrlPr>
          </m:sSupPr>
          <m:e>
            <m:d>
              <m:dPr>
                <m:ctrlPr>
                  <w:rPr>
                    <w:rFonts w:ascii="Cambria Math" w:hAnsi="Cambria Math"/>
                    <w:i/>
                    <w:sz w:val="32"/>
                    <w:szCs w:val="28"/>
                  </w:rPr>
                </m:ctrlPr>
              </m:dPr>
              <m:e>
                <m:f>
                  <m:fPr>
                    <m:ctrlPr>
                      <w:rPr>
                        <w:rFonts w:ascii="Cambria Math" w:hAnsi="Cambria Math"/>
                        <w:b w:val="0"/>
                        <w:bCs w:val="0"/>
                        <w:i/>
                        <w:sz w:val="36"/>
                        <w:szCs w:val="36"/>
                      </w:rPr>
                    </m:ctrlPr>
                  </m:fPr>
                  <m:num>
                    <m:r>
                      <m:rPr>
                        <m:sty m:val="bi"/>
                      </m:rPr>
                      <w:rPr>
                        <w:rFonts w:ascii="Cambria Math" w:hAnsi="Cambria Math"/>
                        <w:sz w:val="32"/>
                        <w:szCs w:val="28"/>
                      </w:rPr>
                      <m:t>1</m:t>
                    </m:r>
                  </m:num>
                  <m:den>
                    <m:r>
                      <m:rPr>
                        <m:sty m:val="bi"/>
                      </m:rPr>
                      <w:rPr>
                        <w:rFonts w:ascii="Cambria Math" w:hAnsi="Cambria Math"/>
                        <w:sz w:val="32"/>
                        <w:szCs w:val="28"/>
                      </w:rPr>
                      <m:t>2</m:t>
                    </m:r>
                  </m:den>
                </m:f>
              </m:e>
            </m:d>
          </m:e>
          <m:sup>
            <m:r>
              <m:rPr>
                <m:sty m:val="bi"/>
              </m:rPr>
              <w:rPr>
                <w:rFonts w:ascii="Cambria Math" w:hAnsi="Cambria Math"/>
                <w:sz w:val="32"/>
                <w:szCs w:val="28"/>
              </w:rPr>
              <m:t>t/T</m:t>
            </m:r>
            <m:r>
              <m:rPr>
                <m:sty m:val="bi"/>
              </m:rPr>
              <w:rPr>
                <w:rFonts w:ascii="Cambria Math" w:hAnsi="Cambria Math"/>
                <w:sz w:val="32"/>
                <w:szCs w:val="28"/>
              </w:rPr>
              <m:t>0.5</m:t>
            </m:r>
          </m:sup>
        </m:sSup>
      </m:oMath>
      <w:r w:rsidR="00A85C8C">
        <w:t xml:space="preserve">   </w:t>
      </w:r>
    </w:p>
    <w:p w14:paraId="2D215FC6" w14:textId="74F1D114" w:rsidR="00D47F1B" w:rsidRPr="00BA7C03" w:rsidRDefault="00A85C8C" w:rsidP="00334201">
      <w:pPr>
        <w:pStyle w:val="Caption"/>
        <w:jc w:val="center"/>
      </w:pPr>
      <w:bookmarkStart w:id="3" w:name="_Toc239375431"/>
      <w:r>
        <w:t xml:space="preserve">Equation </w:t>
      </w:r>
      <w:fldSimple w:instr=" SEQ Equation \* ARABIC ">
        <w:r w:rsidR="00841554">
          <w:rPr>
            <w:noProof/>
          </w:rPr>
          <w:t>1</w:t>
        </w:r>
      </w:fldSimple>
      <w:r>
        <w:t xml:space="preserve"> - Source Activity</w:t>
      </w:r>
      <w:r w:rsidR="00B02037">
        <w:t xml:space="preserve"> Equation</w:t>
      </w:r>
      <w:bookmarkEnd w:id="3"/>
    </w:p>
    <w:p w14:paraId="4A297578" w14:textId="77777777" w:rsidR="00BA7C03" w:rsidRPr="00BA7C03" w:rsidRDefault="00BA7C03" w:rsidP="00334201"/>
    <w:p w14:paraId="37FA7E08" w14:textId="33D475B7" w:rsidR="00DD39B4" w:rsidRDefault="00A85C8C" w:rsidP="00334201">
      <w:r>
        <w:t>Where</w:t>
      </w:r>
      <w:r w:rsidR="008F3647">
        <w:t>:</w:t>
      </w:r>
    </w:p>
    <w:p w14:paraId="4AB12210" w14:textId="71A0864A" w:rsidR="008F3647" w:rsidRDefault="008F3647" w:rsidP="00334201">
      <w:r>
        <w:t xml:space="preserve">A = </w:t>
      </w:r>
      <w:r w:rsidR="0074277D">
        <w:t>C</w:t>
      </w:r>
      <w:r>
        <w:t xml:space="preserve">urrent time activity </w:t>
      </w:r>
      <w:r w:rsidR="00E20F03">
        <w:t>(TBq)</w:t>
      </w:r>
    </w:p>
    <w:p w14:paraId="7B016998" w14:textId="60FE1DBE" w:rsidR="008F3647" w:rsidRDefault="008F3647" w:rsidP="00334201">
      <w:r>
        <w:t>A</w:t>
      </w:r>
      <w:r>
        <w:rPr>
          <w:vertAlign w:val="subscript"/>
        </w:rPr>
        <w:t>0</w:t>
      </w:r>
      <w:r>
        <w:t xml:space="preserve"> = Initial activity </w:t>
      </w:r>
      <w:r w:rsidR="00E20F03">
        <w:t>(TBq)</w:t>
      </w:r>
    </w:p>
    <w:p w14:paraId="6946007D" w14:textId="553C241F" w:rsidR="00DD39B4" w:rsidRDefault="0074277D" w:rsidP="00334201">
      <w:r>
        <w:t>t = Time delta</w:t>
      </w:r>
      <w:r w:rsidR="00E20F03">
        <w:t xml:space="preserve"> (Days)</w:t>
      </w:r>
    </w:p>
    <w:p w14:paraId="509BC052" w14:textId="221F7CB9" w:rsidR="0074277D" w:rsidRDefault="0074277D" w:rsidP="00334201">
      <w:r>
        <w:t>T</w:t>
      </w:r>
      <w:r w:rsidR="00FA181C">
        <w:rPr>
          <w:vertAlign w:val="subscript"/>
        </w:rPr>
        <w:t>0.5</w:t>
      </w:r>
      <w:r>
        <w:rPr>
          <w:vertAlign w:val="subscript"/>
        </w:rPr>
        <w:t xml:space="preserve"> </w:t>
      </w:r>
      <w:r>
        <w:t xml:space="preserve">= </w:t>
      </w:r>
      <w:r w:rsidR="00E20F03">
        <w:t>half-life (Days)</w:t>
      </w:r>
    </w:p>
    <w:p w14:paraId="66929061" w14:textId="5CEEE941" w:rsidR="00B02037" w:rsidRDefault="00B02037" w:rsidP="00334201">
      <w:r>
        <w:t xml:space="preserve">The source activity on the day of the incident is: </w:t>
      </w:r>
    </w:p>
    <w:p w14:paraId="7E8368D0" w14:textId="77777777" w:rsidR="00DD39B4" w:rsidRDefault="00DD39B4" w:rsidP="00334201">
      <w:pPr>
        <w:pStyle w:val="COVERPAGETEXT"/>
        <w:spacing w:line="360" w:lineRule="auto"/>
        <w:jc w:val="left"/>
      </w:pPr>
    </w:p>
    <w:p w14:paraId="769B59D5" w14:textId="77777777" w:rsidR="00DD39B4" w:rsidRDefault="00DD39B4" w:rsidP="00334201">
      <w:pPr>
        <w:pStyle w:val="COVERPAGETEXT"/>
        <w:spacing w:line="360" w:lineRule="auto"/>
        <w:jc w:val="left"/>
      </w:pPr>
    </w:p>
    <w:p w14:paraId="5FD983A3" w14:textId="135AB15D" w:rsidR="00DD39B4" w:rsidRPr="007C0AF6" w:rsidRDefault="003C59C1" w:rsidP="00334201">
      <w:pPr>
        <w:pStyle w:val="COVERPAGETEXT"/>
        <w:spacing w:line="360" w:lineRule="auto"/>
        <w:jc w:val="left"/>
        <w:rPr>
          <w:sz w:val="24"/>
          <w:szCs w:val="24"/>
        </w:rPr>
      </w:pPr>
      <m:oMathPara>
        <m:oMath>
          <m:r>
            <w:rPr>
              <w:rFonts w:ascii="Cambria Math" w:hAnsi="Cambria Math"/>
              <w:sz w:val="24"/>
              <w:szCs w:val="24"/>
            </w:rPr>
            <m:t>A=</m:t>
          </m:r>
          <m:r>
            <w:rPr>
              <w:rFonts w:ascii="Cambria Math" w:hAnsi="Cambria Math" w:cs="Times New Roman"/>
              <w:sz w:val="24"/>
              <w:szCs w:val="24"/>
            </w:rPr>
            <m:t xml:space="preserve">16TBq </m:t>
          </m:r>
          <m:sSup>
            <m:sSupPr>
              <m:ctrlPr>
                <w:rPr>
                  <w:rFonts w:ascii="Cambria Math" w:hAnsi="Cambria Math" w:cs="Times New Roman"/>
                  <w:i/>
                  <w:sz w:val="24"/>
                  <w:szCs w:val="24"/>
                </w:rPr>
              </m:ctrlPr>
            </m:sSupPr>
            <m:e>
              <m:d>
                <m:dPr>
                  <m:ctrlPr>
                    <w:rPr>
                      <w:rFonts w:ascii="Cambria Math" w:hAnsi="Cambria Math"/>
                      <w:i/>
                      <w:sz w:val="24"/>
                      <w:szCs w:val="24"/>
                    </w:rPr>
                  </m:ctrlPr>
                </m:dPr>
                <m:e>
                  <m:f>
                    <m:fPr>
                      <m:ctrlPr>
                        <w:rPr>
                          <w:rFonts w:ascii="Cambria Math" w:hAnsi="Cambria Math" w:cs="Times New Roman"/>
                          <w:i/>
                          <w:sz w:val="24"/>
                          <w:szCs w:val="24"/>
                        </w:rPr>
                      </m:ctrlPr>
                    </m:fPr>
                    <m:num>
                      <m:r>
                        <w:rPr>
                          <w:rFonts w:ascii="Cambria Math" w:hAnsi="Cambria Math"/>
                          <w:sz w:val="24"/>
                          <w:szCs w:val="24"/>
                        </w:rPr>
                        <m:t>1</m:t>
                      </m:r>
                    </m:num>
                    <m:den>
                      <m:r>
                        <w:rPr>
                          <w:rFonts w:ascii="Cambria Math" w:hAnsi="Cambria Math"/>
                          <w:sz w:val="24"/>
                          <w:szCs w:val="24"/>
                        </w:rPr>
                        <m:t>2</m:t>
                      </m:r>
                    </m:den>
                  </m:f>
                </m:e>
              </m:d>
            </m:e>
            <m:sup>
              <m:r>
                <w:rPr>
                  <w:rFonts w:ascii="Cambria Math" w:hAnsi="Cambria Math"/>
                  <w:sz w:val="24"/>
                  <w:szCs w:val="24"/>
                </w:rPr>
                <m:t>134/73.83</m:t>
              </m:r>
            </m:sup>
          </m:sSup>
        </m:oMath>
      </m:oMathPara>
    </w:p>
    <w:p w14:paraId="360E843F" w14:textId="77777777" w:rsidR="007C0AF6" w:rsidRDefault="007C0AF6" w:rsidP="00334201">
      <w:pPr>
        <w:pStyle w:val="COVERPAGETEXT"/>
        <w:spacing w:line="360" w:lineRule="auto"/>
        <w:rPr>
          <w:sz w:val="24"/>
          <w:szCs w:val="24"/>
        </w:rPr>
      </w:pPr>
    </w:p>
    <w:p w14:paraId="64CF85FC" w14:textId="77777777" w:rsidR="007C0AF6" w:rsidRDefault="007C0AF6" w:rsidP="00334201">
      <w:pPr>
        <w:pStyle w:val="COVERPAGETEXT"/>
        <w:spacing w:line="360" w:lineRule="auto"/>
        <w:rPr>
          <w:sz w:val="24"/>
          <w:szCs w:val="24"/>
        </w:rPr>
      </w:pPr>
    </w:p>
    <w:p w14:paraId="07F52C90" w14:textId="77777777" w:rsidR="007C0AF6" w:rsidRDefault="00587D49" w:rsidP="00334201">
      <w:pPr>
        <w:pStyle w:val="COVERPAGETEXT"/>
        <w:spacing w:line="360" w:lineRule="auto"/>
        <w:rPr>
          <w:sz w:val="24"/>
          <w:szCs w:val="24"/>
        </w:rPr>
      </w:pPr>
      <w:r>
        <w:rPr>
          <w:sz w:val="24"/>
          <w:szCs w:val="24"/>
        </w:rPr>
        <w:t>=</w:t>
      </w:r>
      <w:r w:rsidR="009E6C44">
        <w:rPr>
          <w:sz w:val="24"/>
          <w:szCs w:val="24"/>
        </w:rPr>
        <w:t>4.55TBq</w:t>
      </w:r>
      <w:r w:rsidR="00163B15">
        <w:rPr>
          <w:sz w:val="24"/>
          <w:szCs w:val="24"/>
        </w:rPr>
        <w:t xml:space="preserve"> or 4.55 x 10</w:t>
      </w:r>
      <w:r w:rsidR="00163B15">
        <w:rPr>
          <w:sz w:val="24"/>
          <w:szCs w:val="24"/>
          <w:vertAlign w:val="superscript"/>
        </w:rPr>
        <w:t xml:space="preserve">12 </w:t>
      </w:r>
      <w:r w:rsidR="00163B15">
        <w:rPr>
          <w:sz w:val="24"/>
          <w:szCs w:val="24"/>
        </w:rPr>
        <w:t>Bq</w:t>
      </w:r>
    </w:p>
    <w:p w14:paraId="2E89526D" w14:textId="6E24F2FD" w:rsidR="00CA64B0" w:rsidRDefault="00CA64B0" w:rsidP="00334201">
      <w:pPr>
        <w:spacing w:before="0" w:after="200"/>
        <w:jc w:val="left"/>
      </w:pPr>
    </w:p>
    <w:p w14:paraId="57690E48" w14:textId="77777777" w:rsidR="00ED0288" w:rsidRDefault="00ED0288" w:rsidP="00334201">
      <w:pPr>
        <w:spacing w:before="0" w:after="200"/>
        <w:jc w:val="left"/>
      </w:pPr>
    </w:p>
    <w:p w14:paraId="17B91E37" w14:textId="77777777" w:rsidR="00ED0288" w:rsidRDefault="00ED0288" w:rsidP="00334201">
      <w:pPr>
        <w:spacing w:before="0" w:after="200"/>
        <w:jc w:val="left"/>
      </w:pPr>
    </w:p>
    <w:p w14:paraId="3F42C408" w14:textId="77777777" w:rsidR="00ED0288" w:rsidRDefault="00ED0288" w:rsidP="00334201">
      <w:pPr>
        <w:spacing w:before="0" w:after="200"/>
        <w:jc w:val="left"/>
      </w:pPr>
    </w:p>
    <w:p w14:paraId="3822E5F0" w14:textId="77777777" w:rsidR="00ED0288" w:rsidRDefault="00ED0288" w:rsidP="00334201">
      <w:pPr>
        <w:spacing w:before="0" w:after="200"/>
        <w:jc w:val="left"/>
      </w:pPr>
    </w:p>
    <w:p w14:paraId="138C6090" w14:textId="77777777" w:rsidR="00CA64B0" w:rsidRDefault="00CA64B0" w:rsidP="00334201">
      <w:pPr>
        <w:pStyle w:val="COVERPAGETEXT"/>
        <w:spacing w:line="360" w:lineRule="auto"/>
        <w:jc w:val="left"/>
        <w:rPr>
          <w:sz w:val="24"/>
          <w:szCs w:val="24"/>
        </w:rPr>
      </w:pPr>
    </w:p>
    <w:p w14:paraId="539BC5F8" w14:textId="61795CCC" w:rsidR="00C87A15" w:rsidRDefault="00CA64B0" w:rsidP="00334201">
      <w:pPr>
        <w:pStyle w:val="Heading1"/>
        <w:spacing w:line="360" w:lineRule="auto"/>
      </w:pPr>
      <w:bookmarkStart w:id="4" w:name="_Toc239377149"/>
      <w:r>
        <w:lastRenderedPageBreak/>
        <w:t>Dose Rate</w:t>
      </w:r>
      <w:bookmarkEnd w:id="4"/>
    </w:p>
    <w:p w14:paraId="319570DF" w14:textId="71BE9712" w:rsidR="00B65D7D" w:rsidRPr="00B65D7D" w:rsidRDefault="00B65D7D" w:rsidP="00B65D7D">
      <w:pPr>
        <w:pStyle w:val="Heading2"/>
      </w:pPr>
      <w:bookmarkStart w:id="5" w:name="_Toc239377150"/>
      <w:r>
        <w:t>One Metre Dose Rate</w:t>
      </w:r>
      <w:bookmarkEnd w:id="5"/>
    </w:p>
    <w:p w14:paraId="2EEDD0DF" w14:textId="626B7B6F" w:rsidR="006235E5" w:rsidRDefault="004F70DD" w:rsidP="00334201">
      <w:r>
        <w:t xml:space="preserve">This section of the report focuses </w:t>
      </w:r>
      <w:r w:rsidR="00BD1783">
        <w:t>on</w:t>
      </w:r>
      <w:r>
        <w:t xml:space="preserve"> the dose rates associated with </w:t>
      </w:r>
      <w:r w:rsidR="00BD1783">
        <w:t xml:space="preserve">the </w:t>
      </w:r>
      <w:r>
        <w:t>Ir-192</w:t>
      </w:r>
      <w:r w:rsidR="00BD1783">
        <w:t xml:space="preserve"> source during this incident. Dose rate refers to the </w:t>
      </w:r>
      <w:r w:rsidR="00F24527">
        <w:t xml:space="preserve">quantity of radiation received per unit of time and is most commonly expressed as </w:t>
      </w:r>
      <w:r w:rsidR="001B586D">
        <w:t xml:space="preserve">Sv/h, </w:t>
      </w:r>
      <w:r w:rsidR="00F24527">
        <w:t>mSv/h</w:t>
      </w:r>
      <w:r w:rsidR="001B586D">
        <w:t xml:space="preserve"> or </w:t>
      </w:r>
      <w:r w:rsidR="008A24A2" w:rsidRPr="008A24A2">
        <w:t>μSv/h</w:t>
      </w:r>
      <w:r w:rsidR="00D441CE">
        <w:t xml:space="preserve"> </w:t>
      </w:r>
      <w:sdt>
        <w:sdtPr>
          <w:id w:val="-1751570308"/>
          <w:citation/>
        </w:sdtPr>
        <w:sdtEndPr/>
        <w:sdtContent>
          <w:r w:rsidR="00D441CE">
            <w:fldChar w:fldCharType="begin"/>
          </w:r>
          <w:r w:rsidR="00D441CE">
            <w:instrText xml:space="preserve"> CITATION Lex26 \l 2057 </w:instrText>
          </w:r>
          <w:r w:rsidR="00D441CE">
            <w:fldChar w:fldCharType="separate"/>
          </w:r>
          <w:r w:rsidR="008B6EE1">
            <w:rPr>
              <w:noProof/>
            </w:rPr>
            <w:t>(LexisNexis, 2026)</w:t>
          </w:r>
          <w:r w:rsidR="00D441CE">
            <w:fldChar w:fldCharType="end"/>
          </w:r>
        </w:sdtContent>
      </w:sdt>
      <w:r w:rsidR="00F24527">
        <w:t xml:space="preserve">. </w:t>
      </w:r>
    </w:p>
    <w:p w14:paraId="55C86232" w14:textId="2AE10E4C" w:rsidR="00B53A12" w:rsidRDefault="00CF74B1" w:rsidP="00334201">
      <w:r>
        <w:t xml:space="preserve">The unshielded dose rate </w:t>
      </w:r>
      <w:r w:rsidR="00DD0C11">
        <w:t>at 1m is shown. In this scenario</w:t>
      </w:r>
      <w:r w:rsidR="00FC37BB">
        <w:t>,</w:t>
      </w:r>
      <w:r w:rsidR="00DD0C11">
        <w:t xml:space="preserve"> it is treated as a point source</w:t>
      </w:r>
      <w:r w:rsidR="00FC37BB">
        <w:t>,</w:t>
      </w:r>
      <w:r w:rsidR="00DD0C11">
        <w:t xml:space="preserve"> meaning the radiation </w:t>
      </w:r>
      <w:r w:rsidR="00FC37BB">
        <w:t xml:space="preserve">is all exiting the source from a single point, equally in all directions. </w:t>
      </w:r>
    </w:p>
    <w:p w14:paraId="70563167" w14:textId="39FB1235" w:rsidR="00312EC7" w:rsidRDefault="00B53A12" w:rsidP="00334201">
      <w:pPr>
        <w:pStyle w:val="Caption"/>
        <w:keepNext/>
        <w:jc w:val="center"/>
      </w:pPr>
      <m:oMathPara>
        <m:oMath>
          <m:r>
            <m:rPr>
              <m:sty m:val="bi"/>
            </m:rPr>
            <w:rPr>
              <w:rFonts w:ascii="Cambria Math" w:hAnsi="Cambria Math"/>
              <w:sz w:val="32"/>
              <w:szCs w:val="32"/>
            </w:rPr>
            <m:t>D=</m:t>
          </m:r>
          <m:f>
            <m:fPr>
              <m:ctrlPr>
                <w:rPr>
                  <w:rFonts w:ascii="Cambria Math" w:hAnsi="Cambria Math"/>
                  <w:b w:val="0"/>
                  <w:bCs w:val="0"/>
                  <w:i/>
                  <w:sz w:val="32"/>
                  <w:szCs w:val="32"/>
                </w:rPr>
              </m:ctrlPr>
            </m:fPr>
            <m:num>
              <m:r>
                <m:rPr>
                  <m:sty m:val="bi"/>
                </m:rPr>
                <w:rPr>
                  <w:rFonts w:ascii="Cambria Math" w:hAnsi="Cambria Math"/>
                  <w:sz w:val="32"/>
                  <w:szCs w:val="32"/>
                </w:rPr>
                <m:t>Aτ</m:t>
              </m:r>
            </m:num>
            <m:den>
              <m:sSup>
                <m:sSupPr>
                  <m:ctrlPr>
                    <w:rPr>
                      <w:rFonts w:ascii="Cambria Math" w:hAnsi="Cambria Math"/>
                      <w:b w:val="0"/>
                      <w:bCs w:val="0"/>
                      <w:i/>
                      <w:sz w:val="32"/>
                      <w:szCs w:val="32"/>
                    </w:rPr>
                  </m:ctrlPr>
                </m:sSupPr>
                <m:e>
                  <m:r>
                    <m:rPr>
                      <m:sty m:val="bi"/>
                    </m:rPr>
                    <w:rPr>
                      <w:rFonts w:ascii="Cambria Math" w:hAnsi="Cambria Math"/>
                      <w:sz w:val="32"/>
                      <w:szCs w:val="32"/>
                    </w:rPr>
                    <m:t>r</m:t>
                  </m:r>
                </m:e>
                <m:sup>
                  <m:r>
                    <m:rPr>
                      <m:sty m:val="bi"/>
                    </m:rPr>
                    <w:rPr>
                      <w:rFonts w:ascii="Cambria Math" w:hAnsi="Cambria Math"/>
                      <w:sz w:val="32"/>
                      <w:szCs w:val="32"/>
                    </w:rPr>
                    <m:t>2</m:t>
                  </m:r>
                </m:sup>
              </m:sSup>
            </m:den>
          </m:f>
        </m:oMath>
      </m:oMathPara>
    </w:p>
    <w:p w14:paraId="18FA1F99" w14:textId="160F9F12" w:rsidR="00B53A12" w:rsidRDefault="00841554" w:rsidP="00334201">
      <w:pPr>
        <w:pStyle w:val="Caption"/>
        <w:keepNext/>
        <w:jc w:val="center"/>
      </w:pPr>
      <w:bookmarkStart w:id="6" w:name="_Toc239375432"/>
      <w:r>
        <w:t xml:space="preserve">Equation </w:t>
      </w:r>
      <w:fldSimple w:instr=" SEQ Equation \* ARABIC ">
        <w:r>
          <w:rPr>
            <w:noProof/>
          </w:rPr>
          <w:t>2</w:t>
        </w:r>
      </w:fldSimple>
      <w:r>
        <w:t xml:space="preserve"> - Dose Rate Equation</w:t>
      </w:r>
      <w:bookmarkEnd w:id="6"/>
    </w:p>
    <w:p w14:paraId="27E0958A" w14:textId="63D391F2" w:rsidR="00ED0288" w:rsidRDefault="00ED0288" w:rsidP="00334201">
      <w:r>
        <w:t xml:space="preserve">Where: </w:t>
      </w:r>
    </w:p>
    <w:p w14:paraId="762116C9" w14:textId="77777777" w:rsidR="00ED0288" w:rsidRDefault="00ED0288" w:rsidP="00334201">
      <w:r>
        <w:t>D= Dose Rate</w:t>
      </w:r>
    </w:p>
    <w:p w14:paraId="0BDB7FB2" w14:textId="0D5786DC" w:rsidR="00ED0288" w:rsidRDefault="004A7A35" w:rsidP="00334201">
      <m:oMath>
        <m:r>
          <w:rPr>
            <w:rFonts w:ascii="Cambria Math" w:hAnsi="Cambria Math" w:cs="Arial"/>
            <w:sz w:val="28"/>
            <w:szCs w:val="28"/>
          </w:rPr>
          <m:t>τ</m:t>
        </m:r>
      </m:oMath>
      <w:r w:rsidR="00ED0288">
        <w:t>= Gamma Constant</w:t>
      </w:r>
    </w:p>
    <w:p w14:paraId="31FD12EE" w14:textId="77777777" w:rsidR="00ED0288" w:rsidRDefault="008A4B09" w:rsidP="00334201">
      <w:r>
        <w:t>A= Activity Source</w:t>
      </w:r>
    </w:p>
    <w:p w14:paraId="7DF76570" w14:textId="7B7CE5BB" w:rsidR="00CC7D43" w:rsidRDefault="008A4B09" w:rsidP="00334201">
      <w:r>
        <w:t>R= Distance from source</w:t>
      </w:r>
    </w:p>
    <w:p w14:paraId="147411AC" w14:textId="77777777" w:rsidR="00133EA9" w:rsidRDefault="00133EA9" w:rsidP="00334201"/>
    <w:p w14:paraId="6338C779" w14:textId="77777777" w:rsidR="00CC7D43" w:rsidRDefault="003F03A6" w:rsidP="00334201">
      <w:r>
        <w:t>4.55TBq = 4550 GBq</w:t>
      </w:r>
    </w:p>
    <w:p w14:paraId="6B9869CD" w14:textId="39CE2B25" w:rsidR="003F03A6" w:rsidRDefault="003F03A6" w:rsidP="00334201">
      <w:r>
        <w:t xml:space="preserve">Gamma </w:t>
      </w:r>
      <w:r w:rsidR="006206F9">
        <w:t>constant</w:t>
      </w:r>
      <w:r>
        <w:t xml:space="preserve"> = 0.13</w:t>
      </w:r>
      <w:r w:rsidR="0044667E">
        <w:t xml:space="preserve"> </w:t>
      </w:r>
      <w:r w:rsidR="00C04E54">
        <w:t>mSv</w:t>
      </w:r>
      <w:r w:rsidR="009416A5">
        <w:t xml:space="preserve">/h </w:t>
      </w:r>
      <w:sdt>
        <w:sdtPr>
          <w:id w:val="1738127070"/>
          <w:citation/>
        </w:sdtPr>
        <w:sdtEndPr/>
        <w:sdtContent>
          <w:r w:rsidR="0044667E">
            <w:fldChar w:fldCharType="begin"/>
          </w:r>
          <w:r w:rsidR="0044667E">
            <w:instrText xml:space="preserve"> CITATION Ema13 \l 2057 </w:instrText>
          </w:r>
          <w:r w:rsidR="0044667E">
            <w:fldChar w:fldCharType="separate"/>
          </w:r>
          <w:r w:rsidR="008B6EE1">
            <w:rPr>
              <w:noProof/>
            </w:rPr>
            <w:t>(Massoud, 2013)</w:t>
          </w:r>
          <w:r w:rsidR="0044667E">
            <w:fldChar w:fldCharType="end"/>
          </w:r>
        </w:sdtContent>
      </w:sdt>
      <w:r>
        <w:t xml:space="preserve"> </w:t>
      </w:r>
    </w:p>
    <w:p w14:paraId="1F5AAC82" w14:textId="34B21F5E" w:rsidR="006A1C99" w:rsidRDefault="006206F9" w:rsidP="00334201">
      <w:r>
        <w:t>Distance from source  = 1 metre</w:t>
      </w:r>
    </w:p>
    <w:p w14:paraId="3C145AE0" w14:textId="77777777" w:rsidR="006A1C99" w:rsidRPr="006A1C99" w:rsidRDefault="006A1C99" w:rsidP="00334201">
      <m:oMathPara>
        <m:oMath>
          <m:r>
            <w:rPr>
              <w:rFonts w:ascii="Cambria Math" w:hAnsi="Cambria Math"/>
            </w:rPr>
            <m:t>D=</m:t>
          </m:r>
          <m:f>
            <m:fPr>
              <m:ctrlPr>
                <w:rPr>
                  <w:rFonts w:ascii="Cambria Math" w:hAnsi="Cambria Math"/>
                  <w:i/>
                </w:rPr>
              </m:ctrlPr>
            </m:fPr>
            <m:num>
              <m:r>
                <w:rPr>
                  <w:rFonts w:ascii="Cambria Math" w:hAnsi="Cambria Math"/>
                </w:rPr>
                <m:t>0.13x4550</m:t>
              </m:r>
            </m:num>
            <m:den>
              <m:sSup>
                <m:sSupPr>
                  <m:ctrlPr>
                    <w:rPr>
                      <w:rFonts w:ascii="Cambria Math" w:hAnsi="Cambria Math"/>
                      <w:i/>
                    </w:rPr>
                  </m:ctrlPr>
                </m:sSupPr>
                <m:e>
                  <m:r>
                    <w:rPr>
                      <w:rFonts w:ascii="Cambria Math" w:hAnsi="Cambria Math"/>
                    </w:rPr>
                    <m:t>1</m:t>
                  </m:r>
                </m:e>
                <m:sup>
                  <m:r>
                    <w:rPr>
                      <w:rFonts w:ascii="Cambria Math" w:hAnsi="Cambria Math"/>
                    </w:rPr>
                    <m:t>2</m:t>
                  </m:r>
                </m:sup>
              </m:sSup>
            </m:den>
          </m:f>
        </m:oMath>
      </m:oMathPara>
    </w:p>
    <w:p w14:paraId="2A54CB54" w14:textId="77777777" w:rsidR="00920120" w:rsidRDefault="006A1C99" w:rsidP="00334201">
      <w:r>
        <w:t xml:space="preserve">= </w:t>
      </w:r>
      <w:r w:rsidR="00920120">
        <w:t xml:space="preserve">591.5 </w:t>
      </w:r>
      <w:r w:rsidR="00D1688F">
        <w:t xml:space="preserve"> mSvh</w:t>
      </w:r>
      <w:r w:rsidR="0044667E">
        <w:t xml:space="preserve"> per hour</w:t>
      </w:r>
    </w:p>
    <w:p w14:paraId="0DB5D802" w14:textId="15C5808F" w:rsidR="009416A5" w:rsidRDefault="00A10AF2" w:rsidP="00334201">
      <w:r>
        <w:lastRenderedPageBreak/>
        <w:t>Because this is treated as a point source, the answer is reliable given</w:t>
      </w:r>
      <w:r w:rsidR="00515BAB">
        <w:t xml:space="preserve"> the small size of the Ir-192 pellet and the 1 m distance from the source. However, the brief </w:t>
      </w:r>
      <w:r w:rsidR="000E5A3B">
        <w:t>notes</w:t>
      </w:r>
      <w:r w:rsidR="00515BAB">
        <w:t xml:space="preserve"> that </w:t>
      </w:r>
      <w:r w:rsidR="00A124B3">
        <w:t xml:space="preserve">during operations the source was </w:t>
      </w:r>
      <w:r w:rsidR="00587C42">
        <w:t>contained in a shielded exposure device</w:t>
      </w:r>
      <w:r w:rsidR="00C82B02">
        <w:t>,</w:t>
      </w:r>
      <w:r w:rsidR="00587C42">
        <w:t xml:space="preserve"> as well as the use of a projection </w:t>
      </w:r>
      <w:r w:rsidR="00C82B02">
        <w:t>sheath</w:t>
      </w:r>
      <w:r w:rsidR="00587C42">
        <w:t xml:space="preserve"> and guide tube. </w:t>
      </w:r>
      <w:r w:rsidR="00E23467">
        <w:t xml:space="preserve">These mitigations could reduce or alter the </w:t>
      </w:r>
      <w:r w:rsidR="003D048E">
        <w:t>radiation reaching the worker</w:t>
      </w:r>
      <w:r w:rsidR="00E673E3">
        <w:t>, and the calculated value is therefore a worst-case at 1m</w:t>
      </w:r>
      <w:r w:rsidR="003D048E">
        <w:t>.</w:t>
      </w:r>
    </w:p>
    <w:p w14:paraId="0C0E91E8" w14:textId="5747CD90" w:rsidR="0044667E" w:rsidRDefault="00B65D7D" w:rsidP="00B65D7D">
      <w:pPr>
        <w:pStyle w:val="Heading2"/>
      </w:pPr>
      <w:bookmarkStart w:id="7" w:name="_Toc239377151"/>
      <w:r>
        <w:t>Initial Recovery Dose Rate</w:t>
      </w:r>
      <w:bookmarkEnd w:id="7"/>
    </w:p>
    <w:p w14:paraId="1A5AB70F" w14:textId="45121454" w:rsidR="00E856CB" w:rsidRDefault="00E856CB" w:rsidP="00334201">
      <w:pPr>
        <w:rPr>
          <w:rFonts w:cs="Arial"/>
        </w:rPr>
      </w:pPr>
      <w:r>
        <w:t>There were two key stages of interaction during this event</w:t>
      </w:r>
      <w:r w:rsidR="00C3136A">
        <w:t>:</w:t>
      </w:r>
      <w:r>
        <w:t xml:space="preserve"> the </w:t>
      </w:r>
      <w:r w:rsidR="00C3136A">
        <w:t xml:space="preserve">initial recovery phase and the hands-on intervention phase. </w:t>
      </w:r>
      <w:r w:rsidR="003F28DD">
        <w:t>During the initial recovery phase</w:t>
      </w:r>
      <w:r w:rsidR="009745C1">
        <w:t>,</w:t>
      </w:r>
      <w:r w:rsidR="003F28DD">
        <w:t xml:space="preserve"> the radiographer remained approximately 0.8m from the source</w:t>
      </w:r>
      <w:r w:rsidR="009745C1">
        <w:t xml:space="preserve">. </w:t>
      </w:r>
      <w:r w:rsidR="00344FCB">
        <w:rPr>
          <w:rFonts w:cs="Arial"/>
        </w:rPr>
        <w:t>T</w:t>
      </w:r>
      <w:r w:rsidR="00344FCB" w:rsidRPr="009713E1">
        <w:rPr>
          <w:rFonts w:cs="Arial"/>
        </w:rPr>
        <w:t>he radiation field at the torso is estimated to have corresponded to approximately 20–30% of the nominal unshielded field at that distance</w:t>
      </w:r>
      <w:r w:rsidR="00A3795A">
        <w:rPr>
          <w:rFonts w:cs="Arial"/>
        </w:rPr>
        <w:t xml:space="preserve">. </w:t>
      </w:r>
    </w:p>
    <w:p w14:paraId="1B692315" w14:textId="72A69616" w:rsidR="00C71A95" w:rsidRDefault="00C71A95" w:rsidP="00334201">
      <w:r>
        <w:rPr>
          <w:rFonts w:cs="Arial"/>
        </w:rPr>
        <w:t xml:space="preserve">To estimate the dose rate during this phase, the nominal unshielded dose rate was first calculated at 0.8m using the previously calculated </w:t>
      </w:r>
      <w:r w:rsidR="00804E1D">
        <w:rPr>
          <w:rFonts w:cs="Arial"/>
        </w:rPr>
        <w:t>activity and gamma constant.</w:t>
      </w:r>
    </w:p>
    <w:p w14:paraId="2B6066D3" w14:textId="00BAD3C4" w:rsidR="009416A5" w:rsidRDefault="00520DFA" w:rsidP="00334201">
      <w:r>
        <w:t>Distance to source</w:t>
      </w:r>
      <w:r w:rsidR="00F63EB6">
        <w:t xml:space="preserve"> at initial recovery</w:t>
      </w:r>
      <w:r>
        <w:t xml:space="preserve"> = 0.8m</w:t>
      </w:r>
    </w:p>
    <w:p w14:paraId="2E151ED6" w14:textId="031A69C1" w:rsidR="009416A5" w:rsidRDefault="00C11963" w:rsidP="00334201">
      <m:oMathPara>
        <m:oMath>
          <m:r>
            <w:rPr>
              <w:rFonts w:ascii="Cambria Math" w:hAnsi="Cambria Math"/>
            </w:rPr>
            <m:t>D=</m:t>
          </m:r>
          <m:f>
            <m:fPr>
              <m:ctrlPr>
                <w:rPr>
                  <w:rFonts w:ascii="Cambria Math" w:hAnsi="Cambria Math"/>
                  <w:i/>
                </w:rPr>
              </m:ctrlPr>
            </m:fPr>
            <m:num>
              <m:r>
                <w:rPr>
                  <w:rFonts w:ascii="Cambria Math" w:hAnsi="Cambria Math"/>
                </w:rPr>
                <m:t>0.13x4550</m:t>
              </m:r>
            </m:num>
            <m:den>
              <m:sSup>
                <m:sSupPr>
                  <m:ctrlPr>
                    <w:rPr>
                      <w:rFonts w:ascii="Cambria Math" w:hAnsi="Cambria Math"/>
                      <w:i/>
                    </w:rPr>
                  </m:ctrlPr>
                </m:sSupPr>
                <m:e>
                  <m:r>
                    <w:rPr>
                      <w:rFonts w:ascii="Cambria Math" w:hAnsi="Cambria Math"/>
                    </w:rPr>
                    <m:t>0.8</m:t>
                  </m:r>
                </m:e>
                <m:sup>
                  <m:r>
                    <w:rPr>
                      <w:rFonts w:ascii="Cambria Math" w:hAnsi="Cambria Math"/>
                    </w:rPr>
                    <m:t>2</m:t>
                  </m:r>
                </m:sup>
              </m:sSup>
            </m:den>
          </m:f>
        </m:oMath>
      </m:oMathPara>
    </w:p>
    <w:p w14:paraId="09015F57" w14:textId="39B82CBF" w:rsidR="00C11963" w:rsidRDefault="00C11963" w:rsidP="00334201">
      <w:pPr>
        <w:jc w:val="center"/>
      </w:pPr>
      <w:r>
        <w:t xml:space="preserve">= </w:t>
      </w:r>
      <w:r w:rsidR="00C6356A">
        <w:t>924</w:t>
      </w:r>
      <w:r w:rsidR="00793B7D">
        <w:t>.</w:t>
      </w:r>
      <w:r w:rsidR="000639CE">
        <w:t xml:space="preserve">2 </w:t>
      </w:r>
      <w:r w:rsidR="00D6552A">
        <w:t>mSvh/h</w:t>
      </w:r>
    </w:p>
    <w:p w14:paraId="5CF2BBC2" w14:textId="0F81130A" w:rsidR="00D6552A" w:rsidRDefault="00804E1D" w:rsidP="00334201">
      <w:pPr>
        <w:rPr>
          <w:rFonts w:cs="Arial"/>
        </w:rPr>
      </w:pPr>
      <w:r>
        <w:t xml:space="preserve">As the brief states that the torso </w:t>
      </w:r>
      <w:r w:rsidR="00F5779B">
        <w:t>received</w:t>
      </w:r>
      <w:r>
        <w:t xml:space="preserve"> approximately 20-30% </w:t>
      </w:r>
      <w:r w:rsidR="00F5779B">
        <w:t>of the nominal unshielded field, the estimated dose rate during the initial recovery phase</w:t>
      </w:r>
      <w:r w:rsidR="00A15819">
        <w:t xml:space="preserve"> is between the two calculated values:</w:t>
      </w:r>
    </w:p>
    <w:p w14:paraId="6A0C943B" w14:textId="4F0B54B2" w:rsidR="004A13D5" w:rsidRDefault="004A13D5" w:rsidP="00334201">
      <w:pPr>
        <w:rPr>
          <w:rFonts w:cs="Arial"/>
        </w:rPr>
      </w:pPr>
      <w:r>
        <w:rPr>
          <w:rFonts w:cs="Arial"/>
        </w:rPr>
        <w:t>924</w:t>
      </w:r>
      <w:r w:rsidR="004117EC">
        <w:rPr>
          <w:rFonts w:cs="Arial"/>
        </w:rPr>
        <w:t>.</w:t>
      </w:r>
      <w:r>
        <w:rPr>
          <w:rFonts w:cs="Arial"/>
        </w:rPr>
        <w:t xml:space="preserve">2 mSv/h x 0.2 </w:t>
      </w:r>
      <w:r w:rsidR="00012B20">
        <w:rPr>
          <w:rFonts w:cs="Arial"/>
        </w:rPr>
        <w:t>= 18</w:t>
      </w:r>
      <w:r w:rsidR="00D25091">
        <w:rPr>
          <w:rFonts w:cs="Arial"/>
        </w:rPr>
        <w:t>4.8 mSv/h</w:t>
      </w:r>
      <w:r w:rsidR="00012B20">
        <w:rPr>
          <w:rFonts w:cs="Arial"/>
        </w:rPr>
        <w:t xml:space="preserve"> </w:t>
      </w:r>
    </w:p>
    <w:p w14:paraId="7B58A738" w14:textId="00BD0710" w:rsidR="00012B20" w:rsidRDefault="00012B20" w:rsidP="00334201">
      <w:pPr>
        <w:rPr>
          <w:rFonts w:cs="Arial"/>
        </w:rPr>
      </w:pPr>
      <w:r>
        <w:rPr>
          <w:rFonts w:cs="Arial"/>
        </w:rPr>
        <w:t>924</w:t>
      </w:r>
      <w:r w:rsidR="004117EC">
        <w:rPr>
          <w:rFonts w:cs="Arial"/>
        </w:rPr>
        <w:t>.</w:t>
      </w:r>
      <w:r>
        <w:rPr>
          <w:rFonts w:cs="Arial"/>
        </w:rPr>
        <w:t xml:space="preserve">2 mSv/h x 0.3 = </w:t>
      </w:r>
      <w:r w:rsidR="00D25091">
        <w:rPr>
          <w:rFonts w:cs="Arial"/>
        </w:rPr>
        <w:t>277.3 mSv/h</w:t>
      </w:r>
    </w:p>
    <w:p w14:paraId="2E24B0FD" w14:textId="4CE51FF2" w:rsidR="00843656" w:rsidRDefault="00843656" w:rsidP="00843656">
      <w:pPr>
        <w:pStyle w:val="Heading2"/>
      </w:pPr>
      <w:bookmarkStart w:id="8" w:name="_Toc239377152"/>
      <w:r>
        <w:t>Hands-On Intervention Dose Rate</w:t>
      </w:r>
      <w:bookmarkEnd w:id="8"/>
    </w:p>
    <w:p w14:paraId="0AFE1AE0" w14:textId="37B79235" w:rsidR="003C4111" w:rsidRDefault="007131E6" w:rsidP="00334201">
      <w:pPr>
        <w:rPr>
          <w:rFonts w:cs="Arial"/>
        </w:rPr>
      </w:pPr>
      <w:r>
        <w:rPr>
          <w:rFonts w:cs="Arial"/>
        </w:rPr>
        <w:t>Following the initial recovery attem</w:t>
      </w:r>
      <w:r w:rsidR="001C6A7D">
        <w:rPr>
          <w:rFonts w:cs="Arial"/>
        </w:rPr>
        <w:t>pt, the radiographer moved closer to the source to investigate the crank housing and guide tube connection. During this assessment</w:t>
      </w:r>
      <w:r w:rsidR="00EE0E85">
        <w:rPr>
          <w:rFonts w:cs="Arial"/>
        </w:rPr>
        <w:t>,</w:t>
      </w:r>
      <w:r w:rsidR="001C6A7D">
        <w:rPr>
          <w:rFonts w:cs="Arial"/>
        </w:rPr>
        <w:t xml:space="preserve"> </w:t>
      </w:r>
      <w:r w:rsidR="004D26AD">
        <w:rPr>
          <w:rFonts w:cs="Arial"/>
        </w:rPr>
        <w:t xml:space="preserve">the radiographer was approximately 0.5m away from the source. At </w:t>
      </w:r>
      <w:r w:rsidR="004D26AD">
        <w:rPr>
          <w:rFonts w:cs="Arial"/>
        </w:rPr>
        <w:lastRenderedPageBreak/>
        <w:t>this closer distance</w:t>
      </w:r>
      <w:r w:rsidR="009D2A48">
        <w:rPr>
          <w:rFonts w:cs="Arial"/>
        </w:rPr>
        <w:t>,</w:t>
      </w:r>
      <w:r w:rsidR="004D26AD">
        <w:rPr>
          <w:rFonts w:cs="Arial"/>
        </w:rPr>
        <w:t xml:space="preserve"> the shielding provided </w:t>
      </w:r>
      <w:r w:rsidR="009D2A48">
        <w:rPr>
          <w:rFonts w:cs="Arial"/>
        </w:rPr>
        <w:t>by the exposure device was less effective</w:t>
      </w:r>
      <w:r w:rsidR="00EE0E85">
        <w:rPr>
          <w:rFonts w:cs="Arial"/>
        </w:rPr>
        <w:t>,</w:t>
      </w:r>
      <w:r w:rsidR="009D2A48">
        <w:rPr>
          <w:rFonts w:cs="Arial"/>
        </w:rPr>
        <w:t xml:space="preserve"> a</w:t>
      </w:r>
      <w:r w:rsidR="00EE0E85">
        <w:rPr>
          <w:rFonts w:cs="Arial"/>
        </w:rPr>
        <w:t>nd there was less obstruction between the radiographer and the source. The radiation field at the torso was therefore estimated to be</w:t>
      </w:r>
      <w:r w:rsidR="004F1B4D">
        <w:rPr>
          <w:rFonts w:cs="Arial"/>
        </w:rPr>
        <w:t xml:space="preserve"> 40-60% of the nominal unshielded field.</w:t>
      </w:r>
    </w:p>
    <w:p w14:paraId="78988102" w14:textId="334639AF" w:rsidR="003C4111" w:rsidRPr="003C4111" w:rsidRDefault="003C4111" w:rsidP="00334201">
      <w:r>
        <w:rPr>
          <w:rFonts w:cs="Arial"/>
        </w:rPr>
        <w:t>To estimate the dose rate during this phase, the nominal unshielded dose rate was calculated at 0.5m using activity and the gamma constant for Ir-192.</w:t>
      </w:r>
    </w:p>
    <w:p w14:paraId="3330FD18" w14:textId="0FECADBF" w:rsidR="009C2226" w:rsidRDefault="00F63EB6" w:rsidP="00334201">
      <w:r>
        <w:t xml:space="preserve">Distance to source at hands-on intervention = </w:t>
      </w:r>
      <w:r w:rsidR="009C2226">
        <w:t>0.5m</w:t>
      </w:r>
    </w:p>
    <w:p w14:paraId="42C2F868" w14:textId="6C2A6B04" w:rsidR="009C2226" w:rsidRPr="009C2226" w:rsidRDefault="003516C9" w:rsidP="00334201">
      <m:oMathPara>
        <m:oMath>
          <m:r>
            <w:rPr>
              <w:rFonts w:ascii="Cambria Math" w:hAnsi="Cambria Math"/>
            </w:rPr>
            <m:t>D=</m:t>
          </m:r>
          <m:f>
            <m:fPr>
              <m:ctrlPr>
                <w:rPr>
                  <w:rFonts w:ascii="Cambria Math" w:hAnsi="Cambria Math"/>
                  <w:i/>
                </w:rPr>
              </m:ctrlPr>
            </m:fPr>
            <m:num>
              <m:r>
                <w:rPr>
                  <w:rFonts w:ascii="Cambria Math" w:hAnsi="Cambria Math"/>
                </w:rPr>
                <m:t>0.13x4550</m:t>
              </m:r>
            </m:num>
            <m:den>
              <m:sSup>
                <m:sSupPr>
                  <m:ctrlPr>
                    <w:rPr>
                      <w:rFonts w:ascii="Cambria Math" w:hAnsi="Cambria Math"/>
                      <w:i/>
                    </w:rPr>
                  </m:ctrlPr>
                </m:sSupPr>
                <m:e>
                  <m:r>
                    <w:rPr>
                      <w:rFonts w:ascii="Cambria Math" w:hAnsi="Cambria Math"/>
                    </w:rPr>
                    <m:t>0.5</m:t>
                  </m:r>
                </m:e>
                <m:sup>
                  <m:r>
                    <w:rPr>
                      <w:rFonts w:ascii="Cambria Math" w:hAnsi="Cambria Math"/>
                    </w:rPr>
                    <m:t>2</m:t>
                  </m:r>
                </m:sup>
              </m:sSup>
            </m:den>
          </m:f>
        </m:oMath>
      </m:oMathPara>
    </w:p>
    <w:p w14:paraId="609FE2C2" w14:textId="77777777" w:rsidR="004F40EF" w:rsidRDefault="004F40EF" w:rsidP="00334201">
      <w:r>
        <w:t xml:space="preserve">= 2366 mSv/h </w:t>
      </w:r>
    </w:p>
    <w:p w14:paraId="695A00EE" w14:textId="19579580" w:rsidR="003516C9" w:rsidRPr="00AF2B00" w:rsidRDefault="00BD4E7E" w:rsidP="00334201">
      <w:pPr>
        <w:rPr>
          <w:rFonts w:cs="Arial"/>
        </w:rPr>
      </w:pPr>
      <w:r>
        <w:t>The</w:t>
      </w:r>
      <w:r w:rsidR="00063499">
        <w:t xml:space="preserve"> increased radiation field at the torso</w:t>
      </w:r>
      <w:r w:rsidR="001272DE">
        <w:t xml:space="preserve"> to 40-60%</w:t>
      </w:r>
      <w:r w:rsidR="00063499">
        <w:t xml:space="preserve"> due to the closer distance </w:t>
      </w:r>
      <w:r w:rsidR="001272DE">
        <w:t>shows the worker was exposed to</w:t>
      </w:r>
      <w:r w:rsidR="00DD53D9">
        <w:t xml:space="preserve"> the following dose rates</w:t>
      </w:r>
      <w:r w:rsidR="004F40EF">
        <w:rPr>
          <w:rFonts w:cs="Arial"/>
        </w:rPr>
        <w:t>:</w:t>
      </w:r>
    </w:p>
    <w:p w14:paraId="7544C712" w14:textId="2201E602" w:rsidR="004F40EF" w:rsidRDefault="004F40EF" w:rsidP="00334201">
      <w:r>
        <w:t xml:space="preserve">2366 x 0.40 </w:t>
      </w:r>
      <w:r w:rsidR="008429DF">
        <w:t>= 946.4 mSv/h</w:t>
      </w:r>
    </w:p>
    <w:p w14:paraId="2BFD67B0" w14:textId="77777777" w:rsidR="008429DF" w:rsidRDefault="008429DF" w:rsidP="00334201">
      <w:r>
        <w:t>2366 x 0.60 =  1419.6 mSv/h</w:t>
      </w:r>
    </w:p>
    <w:p w14:paraId="6D0FDA1D" w14:textId="16E5F109" w:rsidR="00DD53D9" w:rsidRDefault="00D25C99" w:rsidP="00334201">
      <w:r>
        <w:t xml:space="preserve">The results from these </w:t>
      </w:r>
      <w:r w:rsidR="00A2704A">
        <w:t>calculations</w:t>
      </w:r>
      <w:r>
        <w:t xml:space="preserve"> demonstrate the inverse square law, where the dose rate </w:t>
      </w:r>
      <w:r w:rsidR="00926C26">
        <w:t>increases as the distance from the source decreases</w:t>
      </w:r>
      <w:r w:rsidR="00A2704A">
        <w:t xml:space="preserve"> </w:t>
      </w:r>
      <w:sdt>
        <w:sdtPr>
          <w:id w:val="-355653373"/>
          <w:citation/>
        </w:sdtPr>
        <w:sdtEndPr/>
        <w:sdtContent>
          <w:r w:rsidR="002E10D5">
            <w:fldChar w:fldCharType="begin"/>
          </w:r>
          <w:r w:rsidR="002E10D5">
            <w:instrText xml:space="preserve"> CITATION Ion24 \l 2057 </w:instrText>
          </w:r>
          <w:r w:rsidR="002E10D5">
            <w:fldChar w:fldCharType="separate"/>
          </w:r>
          <w:r w:rsidR="008B6EE1">
            <w:rPr>
              <w:noProof/>
            </w:rPr>
            <w:t>(Ionactive, 2024)</w:t>
          </w:r>
          <w:r w:rsidR="002E10D5">
            <w:fldChar w:fldCharType="end"/>
          </w:r>
        </w:sdtContent>
      </w:sdt>
      <w:r w:rsidR="00926C26">
        <w:t>.</w:t>
      </w:r>
      <w:r w:rsidR="005D6D6E">
        <w:t xml:space="preserve"> This occurs as the radiat</w:t>
      </w:r>
      <w:r w:rsidR="00A2704A">
        <w:t>ion emitted spreads over an increasingly larger area as it travels from the source until it interacts with the worker.</w:t>
      </w:r>
      <w:r w:rsidR="00BF55A0">
        <w:t xml:space="preserve"> The estimated dose rate increased from </w:t>
      </w:r>
      <w:r w:rsidR="00A74A62">
        <w:t xml:space="preserve">591.5 mSv/h at 1m, to 924.2mSv/h at 0.8 to finally reaching </w:t>
      </w:r>
      <w:r w:rsidR="00FD2841">
        <w:t>2366mSv/h at 0.5</w:t>
      </w:r>
      <w:r w:rsidR="0091763B">
        <w:t xml:space="preserve">m. This demonstrates the importance of safe distances when working with radioactive materials </w:t>
      </w:r>
      <w:r w:rsidR="00784CCB">
        <w:t>and that distances can dictate greater exposure than time spent near a source.</w:t>
      </w:r>
      <w:r w:rsidR="000E6132">
        <w:t xml:space="preserve"> </w:t>
      </w:r>
    </w:p>
    <w:p w14:paraId="6967B844" w14:textId="0AC12D47" w:rsidR="00843656" w:rsidRDefault="000E6132" w:rsidP="00924880">
      <w:r>
        <w:t>In addition to closing the distance to the source</w:t>
      </w:r>
      <w:r w:rsidR="00A85D35">
        <w:t xml:space="preserve">, the worker became less shielded as they progressed closer to the source, increasing the </w:t>
      </w:r>
      <w:r w:rsidR="00D34304">
        <w:t>unshielded field to the worker's torso. As a result of this, the dose rate significantly increased</w:t>
      </w:r>
      <w:r w:rsidR="001054AE">
        <w:t xml:space="preserve"> from the initial recovery to the hands-on phase</w:t>
      </w:r>
      <w:r w:rsidR="00845839">
        <w:t>, demonstrating that both distance and shielding are essential to keeping workers safe and risk As Low As Reasonably Practicable (ALARP)</w:t>
      </w:r>
      <w:r w:rsidR="005C384C">
        <w:t xml:space="preserve"> in line with IRR 2017 </w:t>
      </w:r>
      <w:sdt>
        <w:sdtPr>
          <w:id w:val="499014734"/>
          <w:citation/>
        </w:sdtPr>
        <w:sdtEndPr/>
        <w:sdtContent>
          <w:r w:rsidR="008E7820">
            <w:fldChar w:fldCharType="begin"/>
          </w:r>
          <w:r w:rsidR="008E7820">
            <w:instrText xml:space="preserve"> CITATION UKS17 \l 2057 </w:instrText>
          </w:r>
          <w:r w:rsidR="008E7820">
            <w:fldChar w:fldCharType="separate"/>
          </w:r>
          <w:r w:rsidR="008B6EE1">
            <w:rPr>
              <w:noProof/>
            </w:rPr>
            <w:t>(UK Statutory Instrument, 2017)</w:t>
          </w:r>
          <w:r w:rsidR="008E7820">
            <w:fldChar w:fldCharType="end"/>
          </w:r>
        </w:sdtContent>
      </w:sdt>
      <w:r w:rsidR="00845839">
        <w:t xml:space="preserve">. </w:t>
      </w:r>
    </w:p>
    <w:p w14:paraId="52B5D774" w14:textId="1D13DE96" w:rsidR="00D07024" w:rsidRDefault="00D07024" w:rsidP="000060AC">
      <w:pPr>
        <w:pStyle w:val="Heading1"/>
      </w:pPr>
      <w:bookmarkStart w:id="9" w:name="_Toc239377153"/>
      <w:r>
        <w:lastRenderedPageBreak/>
        <w:t>Effective Dose</w:t>
      </w:r>
      <w:bookmarkEnd w:id="9"/>
    </w:p>
    <w:p w14:paraId="56A9BB96" w14:textId="56DE7B0A" w:rsidR="00843656" w:rsidRDefault="002B789F" w:rsidP="000060AC">
      <w:pPr>
        <w:pStyle w:val="Heading2"/>
      </w:pPr>
      <w:bookmarkStart w:id="10" w:name="_Toc239377154"/>
      <w:r>
        <w:t>Initial Recovery Effective Dose</w:t>
      </w:r>
      <w:bookmarkEnd w:id="10"/>
    </w:p>
    <w:p w14:paraId="106CD556" w14:textId="77777777" w:rsidR="002B789F" w:rsidRPr="002B789F" w:rsidRDefault="002B789F" w:rsidP="002B789F"/>
    <w:p w14:paraId="71250F2B" w14:textId="55D7198C" w:rsidR="00BF0694" w:rsidRDefault="00E1105C" w:rsidP="00334201">
      <w:pPr>
        <w:spacing w:before="0" w:after="200"/>
        <w:jc w:val="left"/>
      </w:pPr>
      <w:r>
        <w:t xml:space="preserve">During the initial recovery phase, the radiographer </w:t>
      </w:r>
      <w:r w:rsidR="00B80A5D">
        <w:t xml:space="preserve">remained approximately 0.8m from the effective source for 60-90 seconds. </w:t>
      </w:r>
      <w:r w:rsidR="00983705">
        <w:t>As shown above, the estimated dose rate to the torso was between 185</w:t>
      </w:r>
      <w:r w:rsidR="009163E9">
        <w:t xml:space="preserve"> </w:t>
      </w:r>
      <w:r w:rsidR="00DB0700">
        <w:t>-</w:t>
      </w:r>
      <w:r w:rsidR="009163E9">
        <w:t xml:space="preserve"> </w:t>
      </w:r>
      <w:r w:rsidR="00DB0700">
        <w:t xml:space="preserve">277mSv/h. To calculate the </w:t>
      </w:r>
      <w:r w:rsidR="009163E9">
        <w:t xml:space="preserve">effective </w:t>
      </w:r>
      <w:r w:rsidR="00DB0700">
        <w:t xml:space="preserve">dose received during the </w:t>
      </w:r>
      <w:r w:rsidR="00EE25EE">
        <w:t>radiographer's</w:t>
      </w:r>
      <w:r w:rsidR="00DB0700">
        <w:t xml:space="preserve"> interaction</w:t>
      </w:r>
      <w:r w:rsidR="00EE25EE">
        <w:t>, the exposure time must be converted from seconds into hours</w:t>
      </w:r>
      <w:r w:rsidR="00C40F1A">
        <w:t>,</w:t>
      </w:r>
      <w:r w:rsidR="00EE25EE">
        <w:t xml:space="preserve"> as the dose rate is expressed</w:t>
      </w:r>
      <w:r w:rsidR="00C40F1A">
        <w:t xml:space="preserve"> in mSv/h.</w:t>
      </w:r>
    </w:p>
    <w:p w14:paraId="4D275C8E" w14:textId="418B4B11" w:rsidR="00994B5A" w:rsidRDefault="00430D17" w:rsidP="00334201">
      <w:pPr>
        <w:spacing w:before="0" w:after="200"/>
        <w:jc w:val="left"/>
      </w:pPr>
      <w:r>
        <w:t>Exposure time = 60</w:t>
      </w:r>
      <w:r w:rsidR="009163E9">
        <w:t xml:space="preserve"> </w:t>
      </w:r>
      <w:r>
        <w:t>-</w:t>
      </w:r>
      <w:r w:rsidR="009163E9">
        <w:t xml:space="preserve"> </w:t>
      </w:r>
      <w:r>
        <w:t xml:space="preserve">90 seconds  (divide by 3600 to </w:t>
      </w:r>
      <w:r w:rsidR="00994B5A">
        <w:t xml:space="preserve">get into hours) </w:t>
      </w:r>
    </w:p>
    <w:p w14:paraId="311324FE" w14:textId="54529125" w:rsidR="004C337A" w:rsidRDefault="00994B5A" w:rsidP="00334201">
      <w:pPr>
        <w:spacing w:before="0" w:after="200"/>
        <w:jc w:val="left"/>
      </w:pPr>
      <w:r>
        <w:t>= 0.0167 – 0.025</w:t>
      </w:r>
      <w:r w:rsidR="005B72F3">
        <w:t xml:space="preserve"> </w:t>
      </w:r>
      <w:r>
        <w:t xml:space="preserve">hrs </w:t>
      </w:r>
    </w:p>
    <w:p w14:paraId="07F389D3" w14:textId="582F9082" w:rsidR="005769C3" w:rsidRDefault="00102370" w:rsidP="00334201">
      <w:pPr>
        <w:spacing w:before="0" w:after="200"/>
        <w:jc w:val="left"/>
      </w:pPr>
      <w:r>
        <w:t>185 x 0.0167</w:t>
      </w:r>
      <w:r w:rsidR="00700407">
        <w:t xml:space="preserve"> =  </w:t>
      </w:r>
      <w:r w:rsidR="00713AE2">
        <w:t>3.08 mSv</w:t>
      </w:r>
    </w:p>
    <w:p w14:paraId="17F435F6" w14:textId="7EE04419" w:rsidR="00713AE2" w:rsidRDefault="00713AE2" w:rsidP="00334201">
      <w:pPr>
        <w:spacing w:before="0" w:after="200"/>
        <w:jc w:val="left"/>
      </w:pPr>
      <w:r>
        <w:t>277 x 0.025 = 6.93 mSv</w:t>
      </w:r>
    </w:p>
    <w:p w14:paraId="1658EFAA" w14:textId="57014CA8" w:rsidR="009F4AF3" w:rsidRDefault="00B35282" w:rsidP="00334201">
      <w:pPr>
        <w:spacing w:before="0" w:after="200"/>
        <w:jc w:val="left"/>
      </w:pPr>
      <w:r>
        <w:t>Overall</w:t>
      </w:r>
      <w:r w:rsidR="00EF3E49">
        <w:t xml:space="preserve"> exposure to </w:t>
      </w:r>
      <w:r>
        <w:t xml:space="preserve">the </w:t>
      </w:r>
      <w:r w:rsidR="00EF3E49">
        <w:t xml:space="preserve">radiographer </w:t>
      </w:r>
      <w:r>
        <w:t>during initial recovery is 3.1</w:t>
      </w:r>
      <w:r w:rsidR="00153099">
        <w:t xml:space="preserve"> </w:t>
      </w:r>
      <w:r>
        <w:t>–</w:t>
      </w:r>
      <w:r w:rsidR="00153099">
        <w:t xml:space="preserve"> </w:t>
      </w:r>
      <w:r>
        <w:t xml:space="preserve">6.9 mSv/h. </w:t>
      </w:r>
    </w:p>
    <w:p w14:paraId="18339D78" w14:textId="7715D5E2" w:rsidR="00164AB0" w:rsidRDefault="002B789F" w:rsidP="000060AC">
      <w:pPr>
        <w:pStyle w:val="Heading2"/>
      </w:pPr>
      <w:bookmarkStart w:id="11" w:name="_Toc239377155"/>
      <w:r>
        <w:t>Hands-On Intervention Effective Dose</w:t>
      </w:r>
      <w:bookmarkEnd w:id="11"/>
    </w:p>
    <w:p w14:paraId="761A0BE1" w14:textId="77777777" w:rsidR="002B789F" w:rsidRPr="002B789F" w:rsidRDefault="002B789F" w:rsidP="002B789F"/>
    <w:p w14:paraId="3DE32C4B" w14:textId="27DB9251" w:rsidR="007E56C8" w:rsidRPr="00B31516" w:rsidRDefault="006051B4" w:rsidP="00334201">
      <w:pPr>
        <w:spacing w:before="0" w:after="200"/>
        <w:jc w:val="left"/>
        <w:rPr>
          <w:rFonts w:cs="Arial"/>
        </w:rPr>
      </w:pPr>
      <w:r>
        <w:t xml:space="preserve">During the </w:t>
      </w:r>
      <w:r w:rsidR="007E56C8">
        <w:t xml:space="preserve">hands-on intervention phase, the radiographer </w:t>
      </w:r>
      <w:r w:rsidR="00504DAD" w:rsidRPr="009713E1">
        <w:rPr>
          <w:rFonts w:cs="Arial"/>
        </w:rPr>
        <w:t xml:space="preserve">crouched and handled the crank housing and guide tube connection for approximately 10–15 </w:t>
      </w:r>
      <w:r w:rsidR="007E56C8">
        <w:rPr>
          <w:rFonts w:cs="Arial"/>
        </w:rPr>
        <w:t>seconds.</w:t>
      </w:r>
      <w:r w:rsidR="00153099">
        <w:rPr>
          <w:rFonts w:cs="Arial"/>
        </w:rPr>
        <w:t xml:space="preserve"> At this stage, the dose rate increased due to the inverse square law and reduced shielding, giving a dose rate of </w:t>
      </w:r>
      <w:r w:rsidR="00153099">
        <w:t xml:space="preserve">946-1420 mSv/h. </w:t>
      </w:r>
    </w:p>
    <w:p w14:paraId="45528E83" w14:textId="77777777" w:rsidR="00C55A3E" w:rsidRDefault="007E30E6" w:rsidP="00334201">
      <w:pPr>
        <w:spacing w:before="0" w:after="200"/>
        <w:jc w:val="left"/>
      </w:pPr>
      <w:r>
        <w:t>Exposure time = 10-15 seconds  (divide by 3600 to get into hours)</w:t>
      </w:r>
    </w:p>
    <w:p w14:paraId="3649418E" w14:textId="33B03CB9" w:rsidR="005B72F3" w:rsidRDefault="007E30E6" w:rsidP="00334201">
      <w:pPr>
        <w:spacing w:before="0" w:after="200"/>
        <w:jc w:val="left"/>
      </w:pPr>
      <w:r>
        <w:t>= 0.00278 – 0.00417</w:t>
      </w:r>
      <w:r w:rsidR="005B72F3">
        <w:t xml:space="preserve"> hrs</w:t>
      </w:r>
    </w:p>
    <w:p w14:paraId="69C9663F" w14:textId="18F6F44B" w:rsidR="00B31516" w:rsidRDefault="00031613" w:rsidP="00334201">
      <w:pPr>
        <w:spacing w:before="0" w:after="200"/>
        <w:jc w:val="left"/>
      </w:pPr>
      <w:r>
        <w:t>946</w:t>
      </w:r>
      <w:r w:rsidR="00B31516">
        <w:t xml:space="preserve"> x 0.0</w:t>
      </w:r>
      <w:r>
        <w:t>0278</w:t>
      </w:r>
      <w:r w:rsidR="00B31516">
        <w:t xml:space="preserve"> =  </w:t>
      </w:r>
      <w:r>
        <w:t>2.63</w:t>
      </w:r>
      <w:r w:rsidR="00B31516">
        <w:t xml:space="preserve"> mSv</w:t>
      </w:r>
    </w:p>
    <w:p w14:paraId="6E646815" w14:textId="700BD15F" w:rsidR="00B31516" w:rsidRDefault="006A6E99" w:rsidP="00334201">
      <w:pPr>
        <w:spacing w:before="0" w:after="200"/>
        <w:jc w:val="left"/>
      </w:pPr>
      <w:r>
        <w:t>1420</w:t>
      </w:r>
      <w:r w:rsidR="00B31516">
        <w:t xml:space="preserve"> x 0</w:t>
      </w:r>
      <w:r w:rsidR="00031613">
        <w:t>.00417</w:t>
      </w:r>
      <w:r w:rsidR="00B31516">
        <w:t xml:space="preserve"> = </w:t>
      </w:r>
      <w:r w:rsidR="00031613">
        <w:t>5.92</w:t>
      </w:r>
      <w:r w:rsidR="00B31516">
        <w:t xml:space="preserve"> mSv</w:t>
      </w:r>
    </w:p>
    <w:p w14:paraId="4B720E70" w14:textId="447423A7" w:rsidR="006A6E99" w:rsidRDefault="00B31516" w:rsidP="00334201">
      <w:pPr>
        <w:spacing w:before="0" w:after="200"/>
        <w:jc w:val="left"/>
      </w:pPr>
      <w:r>
        <w:t xml:space="preserve">Overall exposure to the radiographer during </w:t>
      </w:r>
      <w:r w:rsidR="00BB093E">
        <w:t xml:space="preserve">hands-on </w:t>
      </w:r>
      <w:r>
        <w:t xml:space="preserve">recovery is </w:t>
      </w:r>
      <w:r w:rsidR="006A6E99">
        <w:t xml:space="preserve">2.6 </w:t>
      </w:r>
      <w:r>
        <w:t>–</w:t>
      </w:r>
      <w:r w:rsidR="006A6E99">
        <w:t xml:space="preserve"> 5.9</w:t>
      </w:r>
      <w:r>
        <w:t xml:space="preserve"> mS</w:t>
      </w:r>
      <w:r w:rsidR="00683AB6">
        <w:t>v.</w:t>
      </w:r>
    </w:p>
    <w:p w14:paraId="3FEE37CB" w14:textId="45B4BF7A" w:rsidR="006A6E99" w:rsidRDefault="00BB093E" w:rsidP="00334201">
      <w:pPr>
        <w:spacing w:before="0" w:after="200"/>
        <w:jc w:val="left"/>
      </w:pPr>
      <w:r>
        <w:lastRenderedPageBreak/>
        <w:t xml:space="preserve">Therefore, the estimated total </w:t>
      </w:r>
      <w:r w:rsidR="003923BB">
        <w:t xml:space="preserve">effective dose to the radiographer across both phases </w:t>
      </w:r>
      <w:r w:rsidR="00255C7C">
        <w:t>was</w:t>
      </w:r>
      <w:r w:rsidR="003923BB">
        <w:t xml:space="preserve"> approximately 5.7 – 12.8 mSv</w:t>
      </w:r>
      <w:r w:rsidR="00255C7C">
        <w:t>. The value is a broad range because both exposure events and the unshielded percentages were not exact and were estimates within the case study.</w:t>
      </w:r>
    </w:p>
    <w:p w14:paraId="0F1BB24F" w14:textId="668F2664" w:rsidR="007747C5" w:rsidRDefault="006648EC" w:rsidP="00334201">
      <w:pPr>
        <w:spacing w:before="0" w:after="200"/>
        <w:jc w:val="left"/>
      </w:pPr>
      <w:r>
        <w:t>3.1</w:t>
      </w:r>
      <w:r w:rsidR="00255C7C">
        <w:t xml:space="preserve"> </w:t>
      </w:r>
      <w:r>
        <w:t>+</w:t>
      </w:r>
      <w:r w:rsidR="00255C7C">
        <w:t xml:space="preserve"> </w:t>
      </w:r>
      <w:r>
        <w:t>2.6 = 5.7</w:t>
      </w:r>
      <w:r w:rsidR="001A497F">
        <w:t>mSv</w:t>
      </w:r>
      <w:r>
        <w:t xml:space="preserve"> (lower limit) </w:t>
      </w:r>
    </w:p>
    <w:p w14:paraId="6A02931C" w14:textId="2843D651" w:rsidR="006648EC" w:rsidRDefault="006648EC" w:rsidP="00334201">
      <w:pPr>
        <w:spacing w:before="0" w:after="200"/>
        <w:jc w:val="left"/>
      </w:pPr>
      <w:r>
        <w:t>6.9</w:t>
      </w:r>
      <w:r w:rsidR="00255C7C">
        <w:t xml:space="preserve"> </w:t>
      </w:r>
      <w:r>
        <w:t>+</w:t>
      </w:r>
      <w:r w:rsidR="00255C7C">
        <w:t xml:space="preserve"> </w:t>
      </w:r>
      <w:r>
        <w:t xml:space="preserve">5.9= </w:t>
      </w:r>
      <w:r w:rsidR="001A497F">
        <w:t>12.8mSv (upper limit)</w:t>
      </w:r>
    </w:p>
    <w:p w14:paraId="6BE927EC" w14:textId="02008C9E" w:rsidR="00E601AA" w:rsidRDefault="00BA02B2" w:rsidP="00334201">
      <w:pPr>
        <w:spacing w:before="0" w:after="200"/>
        <w:jc w:val="left"/>
      </w:pPr>
      <w:r>
        <w:t xml:space="preserve">Unlike the dose rate, the effective dose rate received by the </w:t>
      </w:r>
      <w:r w:rsidR="00E601AA">
        <w:t>radiographer</w:t>
      </w:r>
      <w:r>
        <w:t xml:space="preserve"> was higher </w:t>
      </w:r>
      <w:r w:rsidR="00E601AA">
        <w:t>during</w:t>
      </w:r>
      <w:r>
        <w:t xml:space="preserve"> the initial recovery phase. This was primarily due to the longer </w:t>
      </w:r>
      <w:r w:rsidR="00904453">
        <w:t xml:space="preserve">exposure time to the source. Although </w:t>
      </w:r>
      <w:r w:rsidR="00172B17">
        <w:t xml:space="preserve">the </w:t>
      </w:r>
      <w:r w:rsidR="00904453">
        <w:t xml:space="preserve">dose rate was lower at 0.8m, the fact </w:t>
      </w:r>
      <w:r w:rsidR="00172B17">
        <w:t xml:space="preserve">that </w:t>
      </w:r>
      <w:r w:rsidR="00904453">
        <w:t xml:space="preserve">the radiographer stayed there for 60-90 seconds </w:t>
      </w:r>
      <w:r w:rsidR="00172B17">
        <w:t>resulted in a greater overall effective dose compared to the shorter time at 0.5m.</w:t>
      </w:r>
    </w:p>
    <w:p w14:paraId="6C8E1B6E" w14:textId="25530D7D" w:rsidR="002B789F" w:rsidRDefault="002B789F" w:rsidP="000060AC">
      <w:pPr>
        <w:pStyle w:val="Heading2"/>
      </w:pPr>
      <w:bookmarkStart w:id="12" w:name="_Toc239377156"/>
      <w:r>
        <w:t>Dose Rate Comparisons and Discrepancies</w:t>
      </w:r>
      <w:bookmarkEnd w:id="12"/>
    </w:p>
    <w:p w14:paraId="55C0CD47" w14:textId="77777777" w:rsidR="002B789F" w:rsidRPr="002B789F" w:rsidRDefault="002B789F" w:rsidP="002B789F"/>
    <w:p w14:paraId="30C669F7" w14:textId="6085D0B3" w:rsidR="00683AB6" w:rsidRPr="002E10D5" w:rsidRDefault="00C31A0D" w:rsidP="00334201">
      <w:pPr>
        <w:spacing w:before="0" w:after="200"/>
      </w:pPr>
      <w:r w:rsidRPr="002E10D5">
        <w:t xml:space="preserve">The estimated </w:t>
      </w:r>
      <w:r w:rsidR="00616C72" w:rsidRPr="002E10D5">
        <w:t xml:space="preserve">effective dose rate for the radiographer was calculated to be approximately </w:t>
      </w:r>
      <w:r w:rsidR="00683AB6" w:rsidRPr="002E10D5">
        <w:t xml:space="preserve">5.7- 12.9 mSv/h.This is </w:t>
      </w:r>
      <w:r w:rsidR="00B12675" w:rsidRPr="002E10D5">
        <w:t>reasonably</w:t>
      </w:r>
      <w:r w:rsidR="00762B69" w:rsidRPr="002E10D5">
        <w:t xml:space="preserve"> accurate to the readings on both the </w:t>
      </w:r>
      <w:r w:rsidR="00FE3B89" w:rsidRPr="002E10D5">
        <w:t>EPD (8.6mSv) and the TLD (11.4 mSv)</w:t>
      </w:r>
      <w:r w:rsidR="00316181" w:rsidRPr="002E10D5">
        <w:t xml:space="preserve">.  The difference is likely to be due to the estimated dose </w:t>
      </w:r>
      <w:r w:rsidR="00173DD4" w:rsidRPr="002E10D5">
        <w:t>being</w:t>
      </w:r>
      <w:r w:rsidR="00316181" w:rsidRPr="002E10D5">
        <w:t xml:space="preserve"> calculated </w:t>
      </w:r>
      <w:r w:rsidR="00173DD4" w:rsidRPr="002E10D5">
        <w:t>on approximate distances and exposure times</w:t>
      </w:r>
      <w:r w:rsidR="00B03B7C" w:rsidRPr="002E10D5">
        <w:t>,</w:t>
      </w:r>
      <w:r w:rsidR="00173DD4" w:rsidRPr="002E10D5">
        <w:t xml:space="preserve"> as well as shielding levels. </w:t>
      </w:r>
      <w:r w:rsidR="00EB2005" w:rsidRPr="002E10D5">
        <w:t xml:space="preserve">Each of the dosimeters was located in different areas of the body, with the EPD on the chest and the TLD on the waist. </w:t>
      </w:r>
      <w:r w:rsidR="00E5658F" w:rsidRPr="002E10D5">
        <w:t xml:space="preserve">As the radiation field </w:t>
      </w:r>
      <w:r w:rsidR="00000035" w:rsidRPr="002E10D5">
        <w:t xml:space="preserve">varied </w:t>
      </w:r>
      <w:r w:rsidR="00E525F5" w:rsidRPr="002E10D5">
        <w:t>depending</w:t>
      </w:r>
      <w:r w:rsidR="00000035" w:rsidRPr="002E10D5">
        <w:t xml:space="preserve"> on the position of the radiographer</w:t>
      </w:r>
      <w:r w:rsidR="002E10D5" w:rsidRPr="002E10D5">
        <w:t>,</w:t>
      </w:r>
      <w:r w:rsidR="00000035" w:rsidRPr="002E10D5">
        <w:t xml:space="preserve"> and they changed position throughout the exposure </w:t>
      </w:r>
      <w:r w:rsidR="00E525F5" w:rsidRPr="002E10D5">
        <w:t xml:space="preserve">during the incident, the two dosimeters would have been exposed to different levels of radiation, providing conflicting results. </w:t>
      </w:r>
      <w:r w:rsidR="00F53A2C" w:rsidRPr="002E10D5">
        <w:t xml:space="preserve"> </w:t>
      </w:r>
    </w:p>
    <w:p w14:paraId="65965B4A" w14:textId="41197662" w:rsidR="00F53A2C" w:rsidRDefault="00F53A2C" w:rsidP="00334201">
      <w:pPr>
        <w:spacing w:before="0" w:after="200"/>
      </w:pPr>
      <w:r>
        <w:t xml:space="preserve">Additionally, the dosimeters </w:t>
      </w:r>
      <w:r w:rsidR="00450AB1">
        <w:t xml:space="preserve">used in this case serve different roles. The EPD </w:t>
      </w:r>
      <w:r w:rsidR="000934D6">
        <w:t xml:space="preserve"> provides </w:t>
      </w:r>
      <w:r w:rsidR="00B03B7C">
        <w:t>real-time</w:t>
      </w:r>
      <w:r w:rsidR="000934D6">
        <w:t xml:space="preserve"> dose </w:t>
      </w:r>
      <w:r w:rsidR="00B03B7C">
        <w:t xml:space="preserve">and dose rate measurements and can alert the user with an alarm when a specified level has been reached </w:t>
      </w:r>
      <w:sdt>
        <w:sdtPr>
          <w:id w:val="-1871364015"/>
          <w:citation/>
        </w:sdtPr>
        <w:sdtEndPr/>
        <w:sdtContent>
          <w:r w:rsidR="00B03B7C">
            <w:fldChar w:fldCharType="begin"/>
          </w:r>
          <w:r w:rsidR="00B03B7C">
            <w:instrText xml:space="preserve"> CITATION Gam26 \l 2057 </w:instrText>
          </w:r>
          <w:r w:rsidR="00B03B7C">
            <w:fldChar w:fldCharType="separate"/>
          </w:r>
          <w:r w:rsidR="008B6EE1">
            <w:rPr>
              <w:noProof/>
            </w:rPr>
            <w:t>(Gamma Data, n.d.)</w:t>
          </w:r>
          <w:r w:rsidR="00B03B7C">
            <w:fldChar w:fldCharType="end"/>
          </w:r>
        </w:sdtContent>
      </w:sdt>
      <w:r w:rsidR="00B03B7C">
        <w:t xml:space="preserve">.  </w:t>
      </w:r>
      <w:r w:rsidR="00E50030">
        <w:t>The TLD</w:t>
      </w:r>
      <w:r w:rsidR="00A46DC9">
        <w:t xml:space="preserve">, on the other hand, does not display the dose values in real time. It uses a crystalline material within the reader to </w:t>
      </w:r>
      <w:r w:rsidR="00B45999">
        <w:t xml:space="preserve">trap and store the radiation, which is then </w:t>
      </w:r>
      <w:r w:rsidR="00B45999">
        <w:lastRenderedPageBreak/>
        <w:t xml:space="preserve">sent to a lab for further analysis </w:t>
      </w:r>
      <w:r w:rsidR="006C2DAC">
        <w:t xml:space="preserve">to understand the exposure levels </w:t>
      </w:r>
      <w:sdt>
        <w:sdtPr>
          <w:id w:val="113796827"/>
          <w:citation/>
        </w:sdtPr>
        <w:sdtEndPr/>
        <w:sdtContent>
          <w:r w:rsidR="006C2DAC">
            <w:fldChar w:fldCharType="begin"/>
          </w:r>
          <w:r w:rsidR="006C2DAC">
            <w:instrText xml:space="preserve"> CITATION Chr26 \l 2057 </w:instrText>
          </w:r>
          <w:r w:rsidR="006C2DAC">
            <w:fldChar w:fldCharType="separate"/>
          </w:r>
          <w:r w:rsidR="008B6EE1">
            <w:rPr>
              <w:noProof/>
            </w:rPr>
            <w:t>(Passmore, 2026)</w:t>
          </w:r>
          <w:r w:rsidR="006C2DAC">
            <w:fldChar w:fldCharType="end"/>
          </w:r>
        </w:sdtContent>
      </w:sdt>
      <w:r w:rsidR="006C2DAC">
        <w:t xml:space="preserve">. </w:t>
      </w:r>
    </w:p>
    <w:p w14:paraId="126AC83D" w14:textId="77777777" w:rsidR="00E310D0" w:rsidRDefault="00E310D0" w:rsidP="00334201">
      <w:pPr>
        <w:spacing w:before="0" w:after="200"/>
        <w:jc w:val="left"/>
      </w:pPr>
    </w:p>
    <w:p w14:paraId="2117DAC6" w14:textId="1E9413AE" w:rsidR="00E310D0" w:rsidRDefault="00613231" w:rsidP="00334201">
      <w:pPr>
        <w:pStyle w:val="Heading1"/>
        <w:spacing w:line="360" w:lineRule="auto"/>
      </w:pPr>
      <w:bookmarkStart w:id="13" w:name="_Toc239377157"/>
      <w:r>
        <w:t>Health Implications</w:t>
      </w:r>
      <w:bookmarkEnd w:id="13"/>
    </w:p>
    <w:p w14:paraId="3E36B4A7" w14:textId="64762720" w:rsidR="00613231" w:rsidRDefault="00E66C4B" w:rsidP="00334201">
      <w:pPr>
        <w:pStyle w:val="Heading2"/>
        <w:spacing w:line="360" w:lineRule="auto"/>
      </w:pPr>
      <w:bookmarkStart w:id="14" w:name="_Toc239377158"/>
      <w:r>
        <w:t>Short</w:t>
      </w:r>
      <w:r w:rsidR="00537A3B">
        <w:t>-</w:t>
      </w:r>
      <w:r>
        <w:t>Term</w:t>
      </w:r>
      <w:r w:rsidR="00537A3B">
        <w:t xml:space="preserve"> Effects</w:t>
      </w:r>
      <w:bookmarkEnd w:id="14"/>
    </w:p>
    <w:p w14:paraId="7791602B" w14:textId="67EFF0C4" w:rsidR="00537A3B" w:rsidRDefault="00C30818" w:rsidP="00334201">
      <w:r>
        <w:t>Short-term</w:t>
      </w:r>
      <w:r w:rsidR="0033621B">
        <w:t xml:space="preserve"> effects detailed in the report are </w:t>
      </w:r>
      <w:r w:rsidR="00D218F7">
        <w:t xml:space="preserve">that the radiographer felt faint </w:t>
      </w:r>
      <w:r w:rsidR="00A669F8">
        <w:t>and nauseous</w:t>
      </w:r>
      <w:r w:rsidR="0023532A">
        <w:t xml:space="preserve">. </w:t>
      </w:r>
      <w:r>
        <w:t>These are signs of acute radiation syndrome, which generally requires a whole-body dose of at least 700 mSv</w:t>
      </w:r>
      <w:r w:rsidR="00DC458B">
        <w:t xml:space="preserve"> in a short space of time. In this case, the highest level recorded by the dosimeters was 11.4mSv, </w:t>
      </w:r>
      <w:r w:rsidR="004C22FB">
        <w:t>very</w:t>
      </w:r>
      <w:r w:rsidR="00DC458B">
        <w:t xml:space="preserve"> far away from the required 700</w:t>
      </w:r>
      <w:r w:rsidR="004C22FB">
        <w:t xml:space="preserve">mSv </w:t>
      </w:r>
      <w:sdt>
        <w:sdtPr>
          <w:id w:val="1146928941"/>
          <w:citation/>
        </w:sdtPr>
        <w:sdtEndPr/>
        <w:sdtContent>
          <w:r w:rsidR="00A75DD4">
            <w:fldChar w:fldCharType="begin"/>
          </w:r>
          <w:r w:rsidR="00A75DD4">
            <w:instrText xml:space="preserve"> CITATION Mal24 \l 2057 </w:instrText>
          </w:r>
          <w:r w:rsidR="00A75DD4">
            <w:fldChar w:fldCharType="separate"/>
          </w:r>
          <w:r w:rsidR="008B6EE1">
            <w:rPr>
              <w:noProof/>
            </w:rPr>
            <w:t>(Mallika Singh, 2024)</w:t>
          </w:r>
          <w:r w:rsidR="00A75DD4">
            <w:fldChar w:fldCharType="end"/>
          </w:r>
        </w:sdtContent>
      </w:sdt>
      <w:r w:rsidR="00DC458B">
        <w:t xml:space="preserve">. </w:t>
      </w:r>
      <w:r w:rsidR="009F687C">
        <w:t xml:space="preserve">These effects </w:t>
      </w:r>
      <w:r w:rsidR="00280267">
        <w:t>on</w:t>
      </w:r>
      <w:r w:rsidR="009F687C">
        <w:t xml:space="preserve"> the radiographer are likely psychological </w:t>
      </w:r>
      <w:r w:rsidR="00280267">
        <w:t>impacts</w:t>
      </w:r>
      <w:r w:rsidR="009F687C">
        <w:t xml:space="preserve"> of experiencing a </w:t>
      </w:r>
      <w:r w:rsidR="00280267">
        <w:t>high-stress</w:t>
      </w:r>
      <w:r w:rsidR="000765AB">
        <w:t xml:space="preserve"> event</w:t>
      </w:r>
      <w:r w:rsidR="00280267">
        <w:t>,</w:t>
      </w:r>
      <w:r w:rsidR="000765AB">
        <w:t xml:space="preserve"> where they may feel a level of uncertainty about the impacts it may have on their life</w:t>
      </w:r>
      <w:r w:rsidR="001C5F33">
        <w:t>, such as cancer</w:t>
      </w:r>
      <w:r w:rsidR="00280267">
        <w:t>, leading to an influx of anxiety</w:t>
      </w:r>
      <w:r w:rsidR="001C5F33">
        <w:t xml:space="preserve"> and feeling unwell </w:t>
      </w:r>
      <w:sdt>
        <w:sdtPr>
          <w:id w:val="1742675507"/>
          <w:citation/>
        </w:sdtPr>
        <w:sdtEndPr/>
        <w:sdtContent>
          <w:r w:rsidR="001C5F33">
            <w:fldChar w:fldCharType="begin"/>
          </w:r>
          <w:r w:rsidR="003C2D72">
            <w:instrText xml:space="preserve">CITATION OSH26 \l 2057 </w:instrText>
          </w:r>
          <w:r w:rsidR="001C5F33">
            <w:fldChar w:fldCharType="separate"/>
          </w:r>
          <w:r w:rsidR="008B6EE1">
            <w:rPr>
              <w:noProof/>
            </w:rPr>
            <w:t>(OSHA, n.d.)</w:t>
          </w:r>
          <w:r w:rsidR="001C5F33">
            <w:fldChar w:fldCharType="end"/>
          </w:r>
        </w:sdtContent>
      </w:sdt>
      <w:r w:rsidR="00280267">
        <w:t xml:space="preserve">. </w:t>
      </w:r>
      <w:r w:rsidR="009F687C">
        <w:t xml:space="preserve"> </w:t>
      </w:r>
    </w:p>
    <w:p w14:paraId="26E1D607" w14:textId="38DF4060" w:rsidR="00537A3B" w:rsidRDefault="00537A3B" w:rsidP="00334201">
      <w:pPr>
        <w:pStyle w:val="Heading2"/>
        <w:spacing w:line="360" w:lineRule="auto"/>
      </w:pPr>
      <w:bookmarkStart w:id="15" w:name="_Toc239377159"/>
      <w:r>
        <w:t>Long-Term Effects</w:t>
      </w:r>
      <w:bookmarkEnd w:id="15"/>
    </w:p>
    <w:p w14:paraId="50624696" w14:textId="295FDFFE" w:rsidR="00537A3B" w:rsidRDefault="004529A5" w:rsidP="00334201">
      <w:r>
        <w:t xml:space="preserve">The main long term effect of radiation exposure is the increased likelihood of cancer. </w:t>
      </w:r>
      <w:r w:rsidR="00A97492">
        <w:t>This is known as a stochastic effect</w:t>
      </w:r>
      <w:r w:rsidR="00554E56">
        <w:t>,</w:t>
      </w:r>
      <w:r w:rsidR="00A97492">
        <w:t xml:space="preserve"> where the likelihood of developing cancer increases with the increase </w:t>
      </w:r>
      <w:r w:rsidR="00554E56">
        <w:t xml:space="preserve">in radiation dose. ICRP 103 provides the cancer detriment </w:t>
      </w:r>
      <w:r w:rsidR="00C2754E">
        <w:t xml:space="preserve">for both workers in this field and the whole population. The cancer detriment is calculated through the following equation: </w:t>
      </w:r>
      <w:r w:rsidR="008507B2">
        <w:t xml:space="preserve">Fatal cancer + loss of life weighting factor for non-fatal cancers. </w:t>
      </w:r>
      <w:r w:rsidR="00703045">
        <w:t xml:space="preserve">ICRP 103 states the </w:t>
      </w:r>
      <w:r w:rsidR="005A66CF">
        <w:t>detriment-adjusted</w:t>
      </w:r>
      <w:r w:rsidR="00703045">
        <w:t xml:space="preserve"> </w:t>
      </w:r>
      <w:r w:rsidR="005A66CF">
        <w:t>nominal risk coefficient for cancer in adult workers is 4.1% per Sv</w:t>
      </w:r>
      <w:r w:rsidR="0023532A">
        <w:t xml:space="preserve"> </w:t>
      </w:r>
      <w:sdt>
        <w:sdtPr>
          <w:id w:val="-1226381220"/>
          <w:citation/>
        </w:sdtPr>
        <w:sdtEndPr/>
        <w:sdtContent>
          <w:r w:rsidR="00EE2B48">
            <w:fldChar w:fldCharType="begin"/>
          </w:r>
          <w:r w:rsidR="00EE2B48">
            <w:instrText xml:space="preserve"> CITATION ICR07 \l 2057 </w:instrText>
          </w:r>
          <w:r w:rsidR="00EE2B48">
            <w:fldChar w:fldCharType="separate"/>
          </w:r>
          <w:r w:rsidR="008B6EE1">
            <w:rPr>
              <w:noProof/>
            </w:rPr>
            <w:t>(ICRP, 2007)</w:t>
          </w:r>
          <w:r w:rsidR="00EE2B48">
            <w:fldChar w:fldCharType="end"/>
          </w:r>
        </w:sdtContent>
      </w:sdt>
      <w:r w:rsidR="005A66CF">
        <w:t xml:space="preserve">. </w:t>
      </w:r>
      <w:r w:rsidR="004923C1">
        <w:t xml:space="preserve">The increased likelihood of cancer in this incident </w:t>
      </w:r>
      <w:r w:rsidR="009323C3">
        <w:t>using the highest dose level measured is shown below:</w:t>
      </w:r>
    </w:p>
    <w:p w14:paraId="6F55FACC" w14:textId="15BA373E" w:rsidR="009323C3" w:rsidRPr="00537A3B" w:rsidRDefault="009323C3" w:rsidP="00334201">
      <m:oMathPara>
        <m:oMath>
          <m:r>
            <w:rPr>
              <w:rFonts w:ascii="Cambria Math" w:hAnsi="Cambria Math"/>
            </w:rPr>
            <m:t xml:space="preserve">11.4 x 3 x </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x 4.1=0.047%</m:t>
          </m:r>
        </m:oMath>
      </m:oMathPara>
    </w:p>
    <w:p w14:paraId="5896D2A6" w14:textId="77777777" w:rsidR="00006CD9" w:rsidRDefault="00006CD9" w:rsidP="00334201"/>
    <w:p w14:paraId="1BDBC43B" w14:textId="77777777" w:rsidR="00006CD9" w:rsidRDefault="003D022F" w:rsidP="00334201">
      <w:r>
        <w:t xml:space="preserve">However, this is an estimate based on the entire population, and other factors such as age, weight and other factors can alter results slightly. </w:t>
      </w:r>
    </w:p>
    <w:p w14:paraId="643D6A7B" w14:textId="77777777" w:rsidR="001A7322" w:rsidRDefault="001A7322" w:rsidP="00334201"/>
    <w:p w14:paraId="2EA48684" w14:textId="77777777" w:rsidR="001A7322" w:rsidRDefault="00BD0604" w:rsidP="00334201">
      <w:pPr>
        <w:pStyle w:val="Heading1"/>
        <w:spacing w:line="360" w:lineRule="auto"/>
      </w:pPr>
      <w:bookmarkStart w:id="16" w:name="_Toc239377160"/>
      <w:r>
        <w:t>Ionising Radiation Regulations 2017 Compliance</w:t>
      </w:r>
      <w:bookmarkEnd w:id="16"/>
    </w:p>
    <w:p w14:paraId="010979A8" w14:textId="77777777" w:rsidR="00BD0604" w:rsidRDefault="00BD0604" w:rsidP="00334201"/>
    <w:p w14:paraId="3CAB05AC" w14:textId="6DF13DDA" w:rsidR="00A049D3" w:rsidRDefault="00216E4D" w:rsidP="0012066B">
      <w:r>
        <w:t xml:space="preserve">The brief </w:t>
      </w:r>
      <w:r w:rsidR="00E20197">
        <w:t>indicates</w:t>
      </w:r>
      <w:r>
        <w:t xml:space="preserve"> that</w:t>
      </w:r>
      <w:r w:rsidR="00E20197">
        <w:t xml:space="preserve"> although several controls suggested within the Ionising Radiation Regulations 2017 (IRR 17) were in </w:t>
      </w:r>
      <w:r w:rsidR="00986983">
        <w:t xml:space="preserve">place during the event, the overall process did not adequately prevent radiation exposure </w:t>
      </w:r>
      <w:r w:rsidR="008D5D3C">
        <w:t>so far as reasonably practicable</w:t>
      </w:r>
      <w:r w:rsidR="00A049D3">
        <w:t>,</w:t>
      </w:r>
      <w:r w:rsidR="00540171">
        <w:t xml:space="preserve"> as required, </w:t>
      </w:r>
      <w:r w:rsidR="002D34B4">
        <w:t xml:space="preserve">as </w:t>
      </w:r>
      <w:r w:rsidR="00540171">
        <w:t xml:space="preserve">stated in Part 1 Section 9 </w:t>
      </w:r>
      <w:sdt>
        <w:sdtPr>
          <w:id w:val="-1040280976"/>
          <w:citation/>
        </w:sdtPr>
        <w:sdtEndPr/>
        <w:sdtContent>
          <w:r w:rsidR="00540171">
            <w:fldChar w:fldCharType="begin"/>
          </w:r>
          <w:r w:rsidR="00540171">
            <w:instrText xml:space="preserve"> CITATION UKS17 \l 2057 </w:instrText>
          </w:r>
          <w:r w:rsidR="00540171">
            <w:fldChar w:fldCharType="separate"/>
          </w:r>
          <w:r w:rsidR="008B6EE1">
            <w:rPr>
              <w:noProof/>
            </w:rPr>
            <w:t>(UK Statutory Instrument, 2017)</w:t>
          </w:r>
          <w:r w:rsidR="00540171">
            <w:fldChar w:fldCharType="end"/>
          </w:r>
        </w:sdtContent>
      </w:sdt>
      <w:r w:rsidR="008D5D3C">
        <w:t xml:space="preserve">. </w:t>
      </w:r>
      <w:r w:rsidR="00B06F76">
        <w:t xml:space="preserve"> The regulation states that </w:t>
      </w:r>
      <w:r w:rsidR="00234F94">
        <w:t>employers must complete risk assessments, restrict exposure, maintain equipment</w:t>
      </w:r>
      <w:r w:rsidR="00A049D3">
        <w:t>,</w:t>
      </w:r>
      <w:r w:rsidR="00A46681">
        <w:t xml:space="preserve"> </w:t>
      </w:r>
      <w:r w:rsidR="002D34B4">
        <w:t>and</w:t>
      </w:r>
      <w:r w:rsidR="00A46681">
        <w:t xml:space="preserve"> </w:t>
      </w:r>
      <w:r w:rsidR="00A049D3">
        <w:t xml:space="preserve">rehearse contingency plans should an incident occur.   </w:t>
      </w:r>
    </w:p>
    <w:p w14:paraId="7A1A0169" w14:textId="23F34421" w:rsidR="001121C9" w:rsidRDefault="004B56D1" w:rsidP="0012066B">
      <w:r>
        <w:t xml:space="preserve">The report states that </w:t>
      </w:r>
      <w:r w:rsidR="006C5487">
        <w:t xml:space="preserve">the source was shielded </w:t>
      </w:r>
      <w:r w:rsidR="00E44A8C">
        <w:t>by an exposure device which was remotely operated</w:t>
      </w:r>
      <w:r w:rsidR="0001062D">
        <w:t>,</w:t>
      </w:r>
      <w:r w:rsidR="005900FE">
        <w:t xml:space="preserve"> as well as sheathing to restrict exposure to the workers further. </w:t>
      </w:r>
      <w:r w:rsidR="0001062D">
        <w:t>Additionally</w:t>
      </w:r>
      <w:r w:rsidR="00F53C05">
        <w:t xml:space="preserve">, </w:t>
      </w:r>
      <w:r w:rsidR="0001062D">
        <w:t>personnel</w:t>
      </w:r>
      <w:r w:rsidR="00F53C05">
        <w:t xml:space="preserve"> were instructed to wear an EPD and TLD to understand the dose rates they were exposed to</w:t>
      </w:r>
      <w:r w:rsidR="0001062D">
        <w:t xml:space="preserve">, as well as alerting them when they had reached the maximum exposure limit through the EPD. </w:t>
      </w:r>
      <w:r w:rsidR="003A554B">
        <w:t xml:space="preserve"> Although IRR17 does not specify the </w:t>
      </w:r>
      <w:r w:rsidR="0070539B">
        <w:t>requirement</w:t>
      </w:r>
      <w:r w:rsidR="003A554B">
        <w:t xml:space="preserve"> for a dosimeter, they are a very effective way to understand the current </w:t>
      </w:r>
      <w:r w:rsidR="0070539B">
        <w:t xml:space="preserve">exposure levels to the staff and help reduce the risk of high exposure levels through the active monitoring and alerting system found in an EPD. </w:t>
      </w:r>
    </w:p>
    <w:p w14:paraId="01C7D99E" w14:textId="61D06C1C" w:rsidR="006A5B1B" w:rsidRDefault="006A5B1B" w:rsidP="0012066B">
      <w:r>
        <w:t xml:space="preserve">However, significant </w:t>
      </w:r>
      <w:r w:rsidR="00433169">
        <w:t xml:space="preserve">failures in compliance </w:t>
      </w:r>
      <w:r w:rsidR="002B5D15">
        <w:t>with</w:t>
      </w:r>
      <w:r w:rsidR="00433169">
        <w:t xml:space="preserve"> IRR17 are visible throughout. Firstly, </w:t>
      </w:r>
      <w:r w:rsidR="002B5D15">
        <w:t xml:space="preserve">stiffness within </w:t>
      </w:r>
      <w:r w:rsidR="000D52F7">
        <w:t>the source retraction</w:t>
      </w:r>
      <w:r w:rsidR="002B5D15">
        <w:t xml:space="preserve"> had been reported in the months </w:t>
      </w:r>
      <w:r w:rsidR="006B45DE">
        <w:t>before</w:t>
      </w:r>
      <w:r w:rsidR="000D52F7">
        <w:t xml:space="preserve"> the incident, whilst the </w:t>
      </w:r>
      <w:r w:rsidR="001B1C53">
        <w:t>guide tube was routed in an unusual route</w:t>
      </w:r>
      <w:r w:rsidR="006B45DE">
        <w:t>,</w:t>
      </w:r>
      <w:r w:rsidR="001B1C53">
        <w:t xml:space="preserve"> creating tighter bends than appropriate. </w:t>
      </w:r>
      <w:r w:rsidR="003176E7">
        <w:t>This implies that appropriate risk assessments had not been carried out where required</w:t>
      </w:r>
      <w:r w:rsidR="00446F5E">
        <w:t xml:space="preserve">, and as required in </w:t>
      </w:r>
      <w:r w:rsidR="00F761D8">
        <w:t>Part</w:t>
      </w:r>
      <w:r w:rsidR="00446F5E">
        <w:t xml:space="preserve"> 1</w:t>
      </w:r>
      <w:r w:rsidR="00F761D8">
        <w:t>,</w:t>
      </w:r>
      <w:r w:rsidR="00446F5E">
        <w:t xml:space="preserve"> Section 11 of IRR17</w:t>
      </w:r>
      <w:r w:rsidR="009A4536">
        <w:t>,</w:t>
      </w:r>
      <w:r w:rsidR="00446F5E">
        <w:t xml:space="preserve"> it suggests that </w:t>
      </w:r>
      <w:r w:rsidR="009A4536">
        <w:t xml:space="preserve"> they failed to comply with “</w:t>
      </w:r>
      <w:r w:rsidR="009A4536" w:rsidRPr="009A4536">
        <w:t>where appropriate, that thorough examinations and tests of such controls, features or devices are carried out at suitable intervals.</w:t>
      </w:r>
      <w:r w:rsidR="009A4536">
        <w:t xml:space="preserve">” </w:t>
      </w:r>
    </w:p>
    <w:p w14:paraId="750413C4" w14:textId="77777777" w:rsidR="009A4536" w:rsidRDefault="009A4536" w:rsidP="0012066B"/>
    <w:p w14:paraId="24654729" w14:textId="15AA9A29" w:rsidR="00E342BE" w:rsidRDefault="00BF0EE4" w:rsidP="0012066B">
      <w:r>
        <w:lastRenderedPageBreak/>
        <w:t>The event also appears to be non-compliance with Part 1</w:t>
      </w:r>
      <w:r w:rsidR="00F761D8">
        <w:t>,</w:t>
      </w:r>
      <w:r>
        <w:t xml:space="preserve"> Section 13</w:t>
      </w:r>
      <w:r w:rsidR="00C3490F">
        <w:t xml:space="preserve">, which states that contingency plans are required where a radiation accident is likely to occur. The brief states that the radiographer approached the </w:t>
      </w:r>
      <w:r w:rsidR="0040438D">
        <w:t xml:space="preserve">source and </w:t>
      </w:r>
      <w:r w:rsidR="0012066B">
        <w:t>corrected</w:t>
      </w:r>
      <w:r w:rsidR="0040438D">
        <w:t xml:space="preserve"> the fault before the position of the source had been confirmed. </w:t>
      </w:r>
      <w:r w:rsidR="00981949">
        <w:t xml:space="preserve"> HSE </w:t>
      </w:r>
      <w:r w:rsidR="00972ACD">
        <w:t>specifically states</w:t>
      </w:r>
      <w:r w:rsidR="00981949">
        <w:t xml:space="preserve"> in their guidance that </w:t>
      </w:r>
      <w:r w:rsidR="00972ACD">
        <w:t>a contingency plan is required if a radiography source becomes stuck in order to reduce risk to the staff</w:t>
      </w:r>
      <w:r w:rsidR="00E019F8">
        <w:t xml:space="preserve"> </w:t>
      </w:r>
      <w:sdt>
        <w:sdtPr>
          <w:id w:val="1367638502"/>
          <w:citation/>
        </w:sdtPr>
        <w:sdtEndPr/>
        <w:sdtContent>
          <w:r w:rsidR="00E019F8">
            <w:fldChar w:fldCharType="begin"/>
          </w:r>
          <w:r w:rsidR="00E019F8">
            <w:instrText xml:space="preserve"> CITATION Hea261 \l 2057 </w:instrText>
          </w:r>
          <w:r w:rsidR="00E019F8">
            <w:fldChar w:fldCharType="separate"/>
          </w:r>
          <w:r w:rsidR="008B6EE1">
            <w:rPr>
              <w:noProof/>
            </w:rPr>
            <w:t>(Health and Safety Executive, 2026)</w:t>
          </w:r>
          <w:r w:rsidR="00E019F8">
            <w:fldChar w:fldCharType="end"/>
          </w:r>
        </w:sdtContent>
      </w:sdt>
      <w:r w:rsidR="00972ACD">
        <w:t>.</w:t>
      </w:r>
      <w:r w:rsidR="00E019F8">
        <w:t xml:space="preserve"> </w:t>
      </w:r>
    </w:p>
    <w:p w14:paraId="53CA9AF2" w14:textId="12D7FD89" w:rsidR="008F1163" w:rsidRDefault="008F1163" w:rsidP="0012066B">
      <w:r>
        <w:t xml:space="preserve">Overall, it is appropriate to say there are major </w:t>
      </w:r>
      <w:r w:rsidR="00B619B6">
        <w:t>non-compliances</w:t>
      </w:r>
      <w:r>
        <w:t xml:space="preserve"> with IRR17 which could </w:t>
      </w:r>
      <w:r w:rsidR="00B619B6">
        <w:t>have</w:t>
      </w:r>
      <w:r>
        <w:t xml:space="preserve"> significantly reduced the exposure </w:t>
      </w:r>
      <w:r w:rsidR="00B619B6">
        <w:t xml:space="preserve">to the staff. The poor maintenance schedules also played a critical </w:t>
      </w:r>
      <w:r w:rsidR="0012066B">
        <w:t>role</w:t>
      </w:r>
      <w:r w:rsidR="00B619B6">
        <w:t xml:space="preserve"> in allowing the scenario to occur. </w:t>
      </w:r>
    </w:p>
    <w:p w14:paraId="4EC70C93" w14:textId="77777777" w:rsidR="00B619B6" w:rsidRDefault="00B619B6" w:rsidP="00334201"/>
    <w:p w14:paraId="3FC6C7A6" w14:textId="783C0C59" w:rsidR="00AE7820" w:rsidRDefault="00AE7820" w:rsidP="00AE7820">
      <w:pPr>
        <w:pStyle w:val="Heading1"/>
      </w:pPr>
      <w:bookmarkStart w:id="17" w:name="_Toc239377161"/>
      <w:r>
        <w:t>Office of Nuclear Regulation Safety Assessment Principles</w:t>
      </w:r>
      <w:bookmarkEnd w:id="17"/>
    </w:p>
    <w:p w14:paraId="04E8708F" w14:textId="77777777" w:rsidR="00E7242C" w:rsidRDefault="006C1E5C" w:rsidP="00E7242C">
      <w:pPr>
        <w:pStyle w:val="Heading2"/>
      </w:pPr>
      <w:bookmarkStart w:id="18" w:name="_Toc239377162"/>
      <w:r>
        <w:t>EKP.3 Defence in Depth</w:t>
      </w:r>
      <w:bookmarkEnd w:id="18"/>
    </w:p>
    <w:p w14:paraId="1C5740FF" w14:textId="781DFA51" w:rsidR="006C1E5C" w:rsidRDefault="006C1E5C" w:rsidP="006C1E5C">
      <w:r>
        <w:t xml:space="preserve">EKP.3 requires nuclear facilities to have multiple layers of safety to </w:t>
      </w:r>
      <w:r w:rsidR="008462A8">
        <w:t>prevent faults</w:t>
      </w:r>
      <w:r w:rsidR="00003760">
        <w:t xml:space="preserve"> and failures. </w:t>
      </w:r>
      <w:r w:rsidR="007F5264">
        <w:t xml:space="preserve">If prevention fails, </w:t>
      </w:r>
      <w:r w:rsidR="000E2F83">
        <w:t xml:space="preserve">EKP.3 aims to ensure detection, limit </w:t>
      </w:r>
      <w:r w:rsidR="00847074">
        <w:t xml:space="preserve">potential consequences and stop escalation </w:t>
      </w:r>
      <w:sdt>
        <w:sdtPr>
          <w:id w:val="-2096158584"/>
          <w:citation/>
        </w:sdtPr>
        <w:sdtEndPr/>
        <w:sdtContent>
          <w:r w:rsidR="00847074">
            <w:fldChar w:fldCharType="begin"/>
          </w:r>
          <w:r w:rsidR="00847074">
            <w:instrText xml:space="preserve"> CITATION Off \l 2057 </w:instrText>
          </w:r>
          <w:r w:rsidR="00847074">
            <w:fldChar w:fldCharType="separate"/>
          </w:r>
          <w:r w:rsidR="008B6EE1">
            <w:rPr>
              <w:noProof/>
            </w:rPr>
            <w:t>(Office for Nuclear Regulation, n.d.)</w:t>
          </w:r>
          <w:r w:rsidR="00847074">
            <w:fldChar w:fldCharType="end"/>
          </w:r>
        </w:sdtContent>
      </w:sdt>
      <w:r w:rsidR="00847074">
        <w:t xml:space="preserve">. </w:t>
      </w:r>
    </w:p>
    <w:p w14:paraId="72AFC572" w14:textId="77777777" w:rsidR="00B83679" w:rsidRDefault="00B83679" w:rsidP="006C1E5C">
      <w:r>
        <w:t xml:space="preserve">In this </w:t>
      </w:r>
      <w:r w:rsidR="00012887">
        <w:t>scenario</w:t>
      </w:r>
      <w:r>
        <w:t xml:space="preserve">, the system had several barriers </w:t>
      </w:r>
      <w:r w:rsidR="008E2433">
        <w:t>related to the shielded container, remote operation,</w:t>
      </w:r>
      <w:r w:rsidR="00012887">
        <w:t xml:space="preserve"> and radiation detectors on the workers.  </w:t>
      </w:r>
      <w:r w:rsidR="008E2433">
        <w:t xml:space="preserve">However, these barriers were not sufficiently independent. Once the source failed to retract, </w:t>
      </w:r>
      <w:r w:rsidR="00C415D6">
        <w:t>the operator assumed it had functioned as required and approached the source, effectively defeating the procedural barrier</w:t>
      </w:r>
      <w:r w:rsidR="00DF6859">
        <w:t xml:space="preserve"> and exposing themselves to increased doses of radiation. The incident </w:t>
      </w:r>
      <w:r w:rsidR="00441275">
        <w:t xml:space="preserve">demonstrates poor defence-in-depth because a single mechanical failure, in addition to human error, was sufficient to bypass the whole Swiss cheese model of defence. </w:t>
      </w:r>
    </w:p>
    <w:p w14:paraId="41FE6DE3" w14:textId="77777777" w:rsidR="00441275" w:rsidRDefault="00441275" w:rsidP="006C1E5C"/>
    <w:p w14:paraId="37EF2ED1" w14:textId="73E9AF87" w:rsidR="00D30525" w:rsidRDefault="00982207" w:rsidP="006C1E5C">
      <w:r>
        <w:rPr>
          <w:noProof/>
        </w:rPr>
        <w:lastRenderedPageBreak/>
        <mc:AlternateContent>
          <mc:Choice Requires="wps">
            <w:drawing>
              <wp:anchor distT="0" distB="0" distL="114300" distR="114300" simplePos="0" relativeHeight="251660288" behindDoc="0" locked="0" layoutInCell="1" allowOverlap="1" wp14:anchorId="1B4EA8FA" wp14:editId="3E7A343F">
                <wp:simplePos x="0" y="0"/>
                <wp:positionH relativeFrom="column">
                  <wp:posOffset>-1270</wp:posOffset>
                </wp:positionH>
                <wp:positionV relativeFrom="paragraph">
                  <wp:posOffset>3499485</wp:posOffset>
                </wp:positionV>
                <wp:extent cx="5400040" cy="635"/>
                <wp:effectExtent l="0" t="0" r="0" b="0"/>
                <wp:wrapTopAndBottom/>
                <wp:docPr id="25705000" name="Text Box 1"/>
                <wp:cNvGraphicFramePr/>
                <a:graphic xmlns:a="http://schemas.openxmlformats.org/drawingml/2006/main">
                  <a:graphicData uri="http://schemas.microsoft.com/office/word/2010/wordprocessingShape">
                    <wps:wsp>
                      <wps:cNvSpPr txBox="1"/>
                      <wps:spPr>
                        <a:xfrm>
                          <a:off x="0" y="0"/>
                          <a:ext cx="5400040" cy="635"/>
                        </a:xfrm>
                        <a:prstGeom prst="rect">
                          <a:avLst/>
                        </a:prstGeom>
                        <a:solidFill>
                          <a:prstClr val="white"/>
                        </a:solidFill>
                        <a:ln>
                          <a:noFill/>
                        </a:ln>
                      </wps:spPr>
                      <wps:txbx>
                        <w:txbxContent>
                          <w:p w14:paraId="5E600A1F" w14:textId="325724F7" w:rsidR="00982207" w:rsidRPr="00982207" w:rsidRDefault="00982207" w:rsidP="00982207">
                            <w:pPr>
                              <w:pStyle w:val="Caption"/>
                              <w:jc w:val="center"/>
                            </w:pPr>
                            <w:bookmarkStart w:id="19" w:name="_Toc239375433"/>
                            <w:r>
                              <w:t xml:space="preserve">Figure </w:t>
                            </w:r>
                            <w:fldSimple w:instr=" SEQ Figure \* ARABIC ">
                              <w:r>
                                <w:rPr>
                                  <w:noProof/>
                                </w:rPr>
                                <w:t>1</w:t>
                              </w:r>
                            </w:fldSimple>
                            <w:r>
                              <w:t xml:space="preserve"> - Defence in Depth Level</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B4EA8FA" id="_x0000_t202" coordsize="21600,21600" o:spt="202" path="m,l,21600r21600,l21600,xe">
                <v:stroke joinstyle="miter"/>
                <v:path gradientshapeok="t" o:connecttype="rect"/>
              </v:shapetype>
              <v:shape id="Text Box 1" o:spid="_x0000_s1026" type="#_x0000_t202" style="position:absolute;left:0;text-align:left;margin-left:-.1pt;margin-top:275.55pt;width:425.2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" stroked="f">
                <v:textbox style="mso-fit-shape-to-text:t" inset="0,0,0,0">
                  <w:txbxContent>
                    <w:p w14:paraId="5E600A1F" w14:textId="325724F7" w:rsidR="00982207" w:rsidRPr="00982207" w:rsidRDefault="00982207" w:rsidP="00982207">
                      <w:pPr>
                        <w:pStyle w:val="Caption"/>
                        <w:jc w:val="center"/>
                      </w:pPr>
                      <w:bookmarkStart w:id="20" w:name="_Toc239375433"/>
                      <w:r>
                        <w:t xml:space="preserve">Figure </w:t>
                      </w:r>
                      <w:fldSimple w:instr=" SEQ Figure \* ARABIC ">
                        <w:r>
                          <w:rPr>
                            <w:noProof/>
                          </w:rPr>
                          <w:t>1</w:t>
                        </w:r>
                      </w:fldSimple>
                      <w:r>
                        <w:t xml:space="preserve"> - Defence in Depth Level</w:t>
                      </w:r>
                      <w:bookmarkEnd w:id="20"/>
                    </w:p>
                  </w:txbxContent>
                </v:textbox>
                <w10:wrap type="topAndBottom"/>
              </v:shape>
            </w:pict>
          </mc:Fallback>
        </mc:AlternateContent>
      </w:r>
      <w:r>
        <w:rPr>
          <w:noProof/>
        </w:rPr>
        <w:drawing>
          <wp:anchor distT="0" distB="0" distL="114300" distR="114300" simplePos="0" relativeHeight="251658240" behindDoc="0" locked="0" layoutInCell="1" allowOverlap="1" wp14:anchorId="4C3079EA" wp14:editId="55F85513">
            <wp:simplePos x="0" y="0"/>
            <wp:positionH relativeFrom="column">
              <wp:posOffset>-1833</wp:posOffset>
            </wp:positionH>
            <wp:positionV relativeFrom="paragraph">
              <wp:posOffset>72</wp:posOffset>
            </wp:positionV>
            <wp:extent cx="5400040" cy="3442335"/>
            <wp:effectExtent l="0" t="0" r="0" b="5715"/>
            <wp:wrapTopAndBottom/>
            <wp:docPr id="1817682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682036" name=""/>
                    <pic:cNvPicPr/>
                  </pic:nvPicPr>
                  <pic:blipFill>
                    <a:blip r:embed="rId12">
                      <a:extLst>
                        <a:ext uri="{28A0092B-C50C-407E-A947-70E740481C1C}">
                          <a14:useLocalDpi xmlns:a14="http://schemas.microsoft.com/office/drawing/2010/main" val="0"/>
                        </a:ext>
                      </a:extLst>
                    </a:blip>
                    <a:stretch>
                      <a:fillRect/>
                    </a:stretch>
                  </pic:blipFill>
                  <pic:spPr>
                    <a:xfrm>
                      <a:off x="0" y="0"/>
                      <a:ext cx="5400040" cy="3442335"/>
                    </a:xfrm>
                    <a:prstGeom prst="rect">
                      <a:avLst/>
                    </a:prstGeom>
                  </pic:spPr>
                </pic:pic>
              </a:graphicData>
            </a:graphic>
          </wp:anchor>
        </w:drawing>
      </w:r>
      <w:r w:rsidR="00B615B4">
        <w:t xml:space="preserve">Using Figure 1, the ONR states that there are 5 levels to demonstrate effective compliance with EPK.3. </w:t>
      </w:r>
      <w:r w:rsidR="00D30525">
        <w:t xml:space="preserve">This scenario failed at only level 2 due to the fact that they were unable to detect any failure until it was too late and the workers had become exposed. </w:t>
      </w:r>
      <w:r w:rsidR="00B615B4">
        <w:t xml:space="preserve"> </w:t>
      </w:r>
    </w:p>
    <w:p w14:paraId="5224B951" w14:textId="77777777" w:rsidR="001A2C73" w:rsidRDefault="004A4375" w:rsidP="004A4375">
      <w:pPr>
        <w:pStyle w:val="Heading2"/>
      </w:pPr>
      <w:bookmarkStart w:id="21" w:name="_Toc239377163"/>
      <w:r>
        <w:t>EDR .1 Failure to Safety</w:t>
      </w:r>
      <w:bookmarkEnd w:id="21"/>
    </w:p>
    <w:p w14:paraId="4DBABD20" w14:textId="6B365075" w:rsidR="001A2C73" w:rsidRDefault="001A2C73" w:rsidP="0086284F">
      <w:r>
        <w:t xml:space="preserve">EDR.1 </w:t>
      </w:r>
      <w:r w:rsidR="00277681">
        <w:t xml:space="preserve">requires a nuclear facility to ensure equipment is inherently safe or fail </w:t>
      </w:r>
      <w:r w:rsidR="0086284F">
        <w:t xml:space="preserve">safely, with unsafe failure modes identified. </w:t>
      </w:r>
      <w:r w:rsidR="007F265D">
        <w:t xml:space="preserve"> </w:t>
      </w:r>
      <w:r w:rsidR="00536CC6">
        <w:t>In this incident, the source retraction equipment failed in an unsafe manner. The machinery was not designed to alert staff to a failure</w:t>
      </w:r>
      <w:r w:rsidR="00F948DB">
        <w:t>,</w:t>
      </w:r>
      <w:r w:rsidR="00536CC6">
        <w:t xml:space="preserve"> </w:t>
      </w:r>
      <w:r w:rsidR="00F948DB">
        <w:t>and therefore no automatic response was in place to warn staff of the hazard and prevent them from approaching the source. This demonstrates very poor compliance with EDR.1</w:t>
      </w:r>
      <w:r w:rsidR="00CD68B9">
        <w:t xml:space="preserve"> </w:t>
      </w:r>
      <w:sdt>
        <w:sdtPr>
          <w:id w:val="1850147350"/>
          <w:citation/>
        </w:sdtPr>
        <w:sdtEndPr/>
        <w:sdtContent>
          <w:r w:rsidR="00CD68B9">
            <w:fldChar w:fldCharType="begin"/>
          </w:r>
          <w:r w:rsidR="00CD68B9">
            <w:instrText xml:space="preserve"> CITATION Off \l 2057 </w:instrText>
          </w:r>
          <w:r w:rsidR="00CD68B9">
            <w:fldChar w:fldCharType="separate"/>
          </w:r>
          <w:r w:rsidR="008B6EE1">
            <w:rPr>
              <w:noProof/>
            </w:rPr>
            <w:t>(Office for Nuclear Regulation, n.d.)</w:t>
          </w:r>
          <w:r w:rsidR="00CD68B9">
            <w:fldChar w:fldCharType="end"/>
          </w:r>
        </w:sdtContent>
      </w:sdt>
      <w:r w:rsidR="00F948DB">
        <w:t xml:space="preserve">. </w:t>
      </w:r>
    </w:p>
    <w:p w14:paraId="77CB5882" w14:textId="77777777" w:rsidR="007543DD" w:rsidRDefault="006C5FC5" w:rsidP="00CD68B9">
      <w:pPr>
        <w:pStyle w:val="Heading2"/>
      </w:pPr>
      <w:bookmarkStart w:id="22" w:name="_Toc239377164"/>
      <w:r>
        <w:t>EMT.2</w:t>
      </w:r>
      <w:r w:rsidR="00CD68B9">
        <w:t xml:space="preserve"> Maintenance, Inspection and Testing</w:t>
      </w:r>
      <w:bookmarkEnd w:id="22"/>
    </w:p>
    <w:p w14:paraId="481CBA0C" w14:textId="2CF8C56B" w:rsidR="007543DD" w:rsidRDefault="007543DD" w:rsidP="007543DD">
      <w:r>
        <w:t>EMT.2 requires structures, systems</w:t>
      </w:r>
      <w:r w:rsidR="00EA6B01">
        <w:t xml:space="preserve"> and components to </w:t>
      </w:r>
      <w:r w:rsidR="00E36CC9">
        <w:t>receive</w:t>
      </w:r>
      <w:r w:rsidR="00EA6B01">
        <w:t xml:space="preserve"> regular and systematic examination, inspection, maintenance and testing as defined in the safety case. </w:t>
      </w:r>
    </w:p>
    <w:p w14:paraId="2E5BB0CC" w14:textId="5432819A" w:rsidR="00EA6B01" w:rsidRDefault="00EA6B01" w:rsidP="007543DD">
      <w:r>
        <w:lastRenderedPageBreak/>
        <w:t>Although access is not provided to the safety case, it is known that recent performance issues</w:t>
      </w:r>
      <w:r w:rsidR="005D2E8C">
        <w:t>,</w:t>
      </w:r>
      <w:r>
        <w:t xml:space="preserve"> </w:t>
      </w:r>
      <w:r w:rsidR="00E36CC9">
        <w:t>such as stiffness</w:t>
      </w:r>
      <w:r w:rsidR="005D2E8C">
        <w:t>,</w:t>
      </w:r>
      <w:r w:rsidR="00E36CC9">
        <w:t xml:space="preserve"> had been reported, but no action was taken. This is in clear violation of EMT.2, as required maintenance has not been completed and staff were aware of the issues. This poses a massive threat and is likely the first failure of the scenario, and should the repairs be made, the incident could have been prevented entirely</w:t>
      </w:r>
      <w:r w:rsidR="009C1942">
        <w:t xml:space="preserve"> </w:t>
      </w:r>
      <w:sdt>
        <w:sdtPr>
          <w:id w:val="-2022307355"/>
          <w:citation/>
        </w:sdtPr>
        <w:sdtEndPr/>
        <w:sdtContent>
          <w:r w:rsidR="009C1942">
            <w:fldChar w:fldCharType="begin"/>
          </w:r>
          <w:r w:rsidR="009C1942">
            <w:instrText xml:space="preserve"> CITATION Off \l 2057 </w:instrText>
          </w:r>
          <w:r w:rsidR="009C1942">
            <w:fldChar w:fldCharType="separate"/>
          </w:r>
          <w:r w:rsidR="008B6EE1">
            <w:rPr>
              <w:noProof/>
            </w:rPr>
            <w:t>(Office for Nuclear Regulation, n.d.)</w:t>
          </w:r>
          <w:r w:rsidR="009C1942">
            <w:fldChar w:fldCharType="end"/>
          </w:r>
        </w:sdtContent>
      </w:sdt>
      <w:r w:rsidR="00E36CC9">
        <w:t xml:space="preserve">. </w:t>
      </w:r>
    </w:p>
    <w:p w14:paraId="4C3EFE91" w14:textId="77777777" w:rsidR="00E36CC9" w:rsidRDefault="00E36CC9" w:rsidP="007543DD"/>
    <w:p w14:paraId="769C057D" w14:textId="77777777" w:rsidR="009C063F" w:rsidRDefault="00D13A9C" w:rsidP="00A068B8">
      <w:pPr>
        <w:pStyle w:val="Heading1"/>
      </w:pPr>
      <w:bookmarkStart w:id="23" w:name="_Toc239377165"/>
      <w:r>
        <w:t xml:space="preserve">Suggested </w:t>
      </w:r>
      <w:r w:rsidR="00A068B8">
        <w:t>Improvements</w:t>
      </w:r>
      <w:r>
        <w:t xml:space="preserve"> </w:t>
      </w:r>
      <w:r w:rsidR="00A068B8">
        <w:t>to Achieve ALARP</w:t>
      </w:r>
      <w:bookmarkEnd w:id="23"/>
    </w:p>
    <w:p w14:paraId="49D9F7C0" w14:textId="2BE71444" w:rsidR="009C063F" w:rsidRDefault="009C063F" w:rsidP="00AD0F4D">
      <w:r>
        <w:t xml:space="preserve">Firstly,  clear contingency plans should be implemented in line with HSE guidance to ensure complete </w:t>
      </w:r>
      <w:r w:rsidR="001517E7">
        <w:t>shutdown</w:t>
      </w:r>
      <w:r>
        <w:t xml:space="preserve"> of operation and situational awareness of the hazard is </w:t>
      </w:r>
      <w:r w:rsidR="001517E7">
        <w:t xml:space="preserve">maintained </w:t>
      </w:r>
      <w:sdt>
        <w:sdtPr>
          <w:id w:val="1850212119"/>
          <w:citation/>
        </w:sdtPr>
        <w:sdtEndPr/>
        <w:sdtContent>
          <w:r w:rsidR="001517E7">
            <w:fldChar w:fldCharType="begin"/>
          </w:r>
          <w:r w:rsidR="001517E7">
            <w:instrText xml:space="preserve"> CITATION Hea261 \l 2057 </w:instrText>
          </w:r>
          <w:r w:rsidR="001517E7">
            <w:fldChar w:fldCharType="separate"/>
          </w:r>
          <w:r w:rsidR="008B6EE1">
            <w:rPr>
              <w:noProof/>
            </w:rPr>
            <w:t>(Health and Safety Executive, 2026)</w:t>
          </w:r>
          <w:r w:rsidR="001517E7">
            <w:fldChar w:fldCharType="end"/>
          </w:r>
        </w:sdtContent>
      </w:sdt>
      <w:r w:rsidR="001517E7">
        <w:t xml:space="preserve">.  The </w:t>
      </w:r>
      <w:r w:rsidR="005D2E8C">
        <w:t>contingency</w:t>
      </w:r>
      <w:r w:rsidR="001517E7">
        <w:t xml:space="preserve"> plan should look to remove workers from the area,</w:t>
      </w:r>
      <w:r w:rsidR="00D7157C">
        <w:t xml:space="preserve"> restrict access to only those needing to be there, </w:t>
      </w:r>
      <w:r w:rsidR="005D2E8C">
        <w:t xml:space="preserve">and </w:t>
      </w:r>
      <w:r w:rsidR="00D7157C">
        <w:t>survey the incident from a safe location where the dose rate</w:t>
      </w:r>
      <w:r w:rsidR="005D2E8C">
        <w:t xml:space="preserve"> is as low as reasonably practicable. </w:t>
      </w:r>
      <w:r w:rsidR="001B6481">
        <w:t xml:space="preserve"> Assistance in the contingency plan </w:t>
      </w:r>
      <w:r w:rsidR="00E92F3B">
        <w:t>can</w:t>
      </w:r>
      <w:r w:rsidR="001B6481">
        <w:t xml:space="preserve"> be provided </w:t>
      </w:r>
      <w:r w:rsidR="00E92F3B">
        <w:t>by</w:t>
      </w:r>
      <w:r w:rsidR="001B6481">
        <w:t xml:space="preserve"> the Radiation Protection Adviser (RPA)</w:t>
      </w:r>
      <w:r w:rsidR="00AD0F4D">
        <w:t>,</w:t>
      </w:r>
      <w:r w:rsidR="001B6481">
        <w:t xml:space="preserve"> </w:t>
      </w:r>
      <w:r w:rsidR="007A749B">
        <w:t>whom</w:t>
      </w:r>
      <w:r w:rsidR="001B6481">
        <w:t xml:space="preserve"> the worker had contacted </w:t>
      </w:r>
      <w:r w:rsidR="00185F4C">
        <w:t>post-incident</w:t>
      </w:r>
      <w:r w:rsidR="007A749B">
        <w:t>;</w:t>
      </w:r>
      <w:r w:rsidR="00E92F3B">
        <w:t xml:space="preserve"> it is required in IRR17 that all nuclear facilities </w:t>
      </w:r>
      <w:r w:rsidR="007A749B">
        <w:t xml:space="preserve">should consult an RPA </w:t>
      </w:r>
      <w:sdt>
        <w:sdtPr>
          <w:id w:val="1622577258"/>
          <w:citation/>
        </w:sdtPr>
        <w:sdtEndPr/>
        <w:sdtContent>
          <w:r w:rsidR="007A749B">
            <w:fldChar w:fldCharType="begin"/>
          </w:r>
          <w:r w:rsidR="007A749B">
            <w:instrText xml:space="preserve"> CITATION UKS17 \l 2057 </w:instrText>
          </w:r>
          <w:r w:rsidR="007A749B">
            <w:fldChar w:fldCharType="separate"/>
          </w:r>
          <w:r w:rsidR="008B6EE1">
            <w:rPr>
              <w:noProof/>
            </w:rPr>
            <w:t>(UK Statutory Instrument, 2017)</w:t>
          </w:r>
          <w:r w:rsidR="007A749B">
            <w:fldChar w:fldCharType="end"/>
          </w:r>
        </w:sdtContent>
      </w:sdt>
      <w:r w:rsidR="001B6481">
        <w:t xml:space="preserve">. They </w:t>
      </w:r>
      <w:r w:rsidR="00185F4C">
        <w:t>can</w:t>
      </w:r>
      <w:r w:rsidR="001B6481">
        <w:t xml:space="preserve"> </w:t>
      </w:r>
      <w:r w:rsidR="00185F4C">
        <w:t xml:space="preserve">reconstruct scenarios and understand the risks involved, allowing detailed plans to be created from this. </w:t>
      </w:r>
    </w:p>
    <w:p w14:paraId="0F7D9D6D" w14:textId="1DACBCC2" w:rsidR="00465460" w:rsidRDefault="007A749B" w:rsidP="00AD0F4D">
      <w:r>
        <w:t>Secondly,</w:t>
      </w:r>
      <w:r w:rsidR="006A4AA9">
        <w:t xml:space="preserve"> </w:t>
      </w:r>
      <w:r w:rsidR="009E604A">
        <w:t xml:space="preserve">the </w:t>
      </w:r>
      <w:r w:rsidR="001F3F58">
        <w:t>remote</w:t>
      </w:r>
      <w:r w:rsidR="009E604A">
        <w:t xml:space="preserve"> drive, guide tube and </w:t>
      </w:r>
      <w:r w:rsidR="001F3F58">
        <w:t>associated machinery should undergo inspection, maintenance and testing routinely</w:t>
      </w:r>
      <w:r w:rsidR="006A4AA9">
        <w:t xml:space="preserve">. Should equipment show any signs of stiffness or loss of performance, it should be removed immediately and not used again until further inspections have been completed. This is particularly important due to the ignored </w:t>
      </w:r>
      <w:r w:rsidR="00220306">
        <w:t>stiffness</w:t>
      </w:r>
      <w:r w:rsidR="006A4AA9">
        <w:t xml:space="preserve"> </w:t>
      </w:r>
      <w:r w:rsidR="00220306">
        <w:t xml:space="preserve">before the incident, leading to the failure of the task.  </w:t>
      </w:r>
      <w:r w:rsidR="005776B6">
        <w:t>This would also support EMT.2 as well as EPk.3</w:t>
      </w:r>
      <w:r w:rsidR="00465460">
        <w:t>,</w:t>
      </w:r>
      <w:r w:rsidR="005776B6">
        <w:t xml:space="preserve"> where it would help </w:t>
      </w:r>
      <w:r w:rsidR="00465460">
        <w:t>rise</w:t>
      </w:r>
      <w:r w:rsidR="005776B6">
        <w:t xml:space="preserve"> above level 2 </w:t>
      </w:r>
      <w:r w:rsidR="00465460">
        <w:t>and demonstrate</w:t>
      </w:r>
      <w:r w:rsidR="005776B6">
        <w:t xml:space="preserve"> </w:t>
      </w:r>
      <w:r w:rsidR="00465460">
        <w:t>greater robustness to failure</w:t>
      </w:r>
      <w:r w:rsidR="003F7755">
        <w:t xml:space="preserve"> </w:t>
      </w:r>
      <w:sdt>
        <w:sdtPr>
          <w:id w:val="1377589692"/>
          <w:citation/>
        </w:sdtPr>
        <w:sdtEndPr/>
        <w:sdtContent>
          <w:r w:rsidR="003F7755">
            <w:fldChar w:fldCharType="begin"/>
          </w:r>
          <w:r w:rsidR="003F7755">
            <w:instrText xml:space="preserve"> CITATION Off \l 2057 </w:instrText>
          </w:r>
          <w:r w:rsidR="003F7755">
            <w:fldChar w:fldCharType="separate"/>
          </w:r>
          <w:r w:rsidR="008B6EE1">
            <w:rPr>
              <w:noProof/>
            </w:rPr>
            <w:t>(Office for Nuclear Regulation, n.d.)</w:t>
          </w:r>
          <w:r w:rsidR="003F7755">
            <w:fldChar w:fldCharType="end"/>
          </w:r>
        </w:sdtContent>
      </w:sdt>
      <w:r w:rsidR="00465460">
        <w:t xml:space="preserve">. </w:t>
      </w:r>
    </w:p>
    <w:p w14:paraId="43E3C9A9" w14:textId="323709FF" w:rsidR="00E33B5E" w:rsidRDefault="00E33B5E" w:rsidP="00AD0F4D">
      <w:r>
        <w:t xml:space="preserve">Finally, </w:t>
      </w:r>
      <w:r w:rsidR="00615CAC">
        <w:t xml:space="preserve">although the failure was specified as due to equipment failure, human factors led to the exposure to the radiographer. </w:t>
      </w:r>
      <w:r w:rsidR="002637A0">
        <w:t xml:space="preserve">There is mention of </w:t>
      </w:r>
      <w:r w:rsidR="009409C4">
        <w:t xml:space="preserve">operating in a congested workspace, working late into the shift </w:t>
      </w:r>
      <w:r w:rsidR="00693120">
        <w:t xml:space="preserve">as well as poor </w:t>
      </w:r>
      <w:r w:rsidR="0085699F">
        <w:t>set-up</w:t>
      </w:r>
      <w:r w:rsidR="00693120">
        <w:t xml:space="preserve"> of equipment. All of these factors</w:t>
      </w:r>
      <w:r w:rsidR="002023BA">
        <w:t xml:space="preserve"> may have increased pressure on workers as well </w:t>
      </w:r>
      <w:r w:rsidR="002023BA">
        <w:lastRenderedPageBreak/>
        <w:t>as tiredness</w:t>
      </w:r>
      <w:r w:rsidR="00287BEC">
        <w:t>,</w:t>
      </w:r>
      <w:r w:rsidR="002023BA">
        <w:t xml:space="preserve"> leading to a lapse in </w:t>
      </w:r>
      <w:r w:rsidR="00287BEC">
        <w:t>judgment</w:t>
      </w:r>
      <w:r w:rsidR="002023BA">
        <w:t xml:space="preserve"> of the risks</w:t>
      </w:r>
      <w:r w:rsidR="00287BEC">
        <w:t xml:space="preserve">, especially in the case of the radiographer assuming the source had retracted. </w:t>
      </w:r>
      <w:r w:rsidR="0008416D">
        <w:t xml:space="preserve">To reduce the effects of human factors, </w:t>
      </w:r>
      <w:r w:rsidR="0086765F">
        <w:t xml:space="preserve">workers should receive </w:t>
      </w:r>
      <w:r w:rsidR="009C2894">
        <w:t>appropriate</w:t>
      </w:r>
      <w:r w:rsidR="0086765F">
        <w:t xml:space="preserve"> training to treat any abnormal resistance in equipment as a potential radiation hazard and confirm the source has returned </w:t>
      </w:r>
      <w:r w:rsidR="002F564F">
        <w:t>using a survey meter</w:t>
      </w:r>
      <w:r w:rsidR="00D0745A">
        <w:t xml:space="preserve"> from the beginning. Regular emergency drills </w:t>
      </w:r>
      <w:r w:rsidR="009C2894">
        <w:t xml:space="preserve">could help enforce the correct response. In addition to this, fatigue and shift management could be introduced to ensure staff remain fit and healthy for the entirety of their shift to reduce the risk of human-caused incidents. </w:t>
      </w:r>
    </w:p>
    <w:p w14:paraId="2456A5F0" w14:textId="138AAB6F" w:rsidR="007A749B" w:rsidRPr="009C063F" w:rsidRDefault="00465460" w:rsidP="00AD0F4D">
      <w:pPr>
        <w:sectPr w:rsidR="007A749B" w:rsidRPr="009C063F" w:rsidSect="00E8581B">
          <w:footerReference w:type="default" r:id="rId13"/>
          <w:pgSz w:w="11906" w:h="16838" w:code="9"/>
          <w:pgMar w:top="1701" w:right="1701" w:bottom="1701" w:left="1701" w:header="709" w:footer="851" w:gutter="0"/>
          <w:pgNumType w:start="1"/>
          <w:cols w:space="708"/>
          <w:docGrid w:linePitch="360"/>
        </w:sectPr>
      </w:pPr>
      <w:r>
        <w:t>Overall,</w:t>
      </w:r>
      <w:r w:rsidR="00FC655F">
        <w:t xml:space="preserve"> these improvements help achieve ALARP risk as they directly address the causes of the incident and should be implemented to follow existing </w:t>
      </w:r>
      <w:r w:rsidR="004D54ED">
        <w:t xml:space="preserve">guidance as well as legislation such as that in IRR17. </w:t>
      </w:r>
      <w:r w:rsidR="00322A2F">
        <w:t xml:space="preserve">Although other improvements can be made, </w:t>
      </w:r>
      <w:r w:rsidR="00AD0F4D">
        <w:t>implementing</w:t>
      </w:r>
      <w:r w:rsidR="00322A2F">
        <w:t xml:space="preserve"> the </w:t>
      </w:r>
      <w:r w:rsidR="00602034">
        <w:t>first two suggestions</w:t>
      </w:r>
      <w:r w:rsidR="00322A2F">
        <w:t xml:space="preserve"> would help significantly </w:t>
      </w:r>
      <w:r w:rsidR="00AD0F4D">
        <w:t>reduce the likelihood of machine failure and potential consequences of a similar incident</w:t>
      </w:r>
      <w:r w:rsidR="00B80F63">
        <w:t xml:space="preserve">, in combination with a greater understanding of the effect of human factors to help reduce the likelihood of personnel causing the incidents. </w:t>
      </w:r>
      <w:r w:rsidR="00AD0F4D">
        <w:t xml:space="preserve"> </w:t>
      </w:r>
      <w:r w:rsidR="00FC655F">
        <w:t xml:space="preserve"> </w:t>
      </w:r>
    </w:p>
    <w:bookmarkStart w:id="24" w:name="_Toc239377166" w:displacedByCustomXml="next"/>
    <w:bookmarkStart w:id="25" w:name="_Toc299631638" w:displacedByCustomXml="next"/>
    <w:bookmarkStart w:id="26" w:name="_Toc299631561" w:displacedByCustomXml="next"/>
    <w:bookmarkStart w:id="27" w:name="_Toc299631471" w:displacedByCustomXml="next"/>
    <w:bookmarkStart w:id="28" w:name="_Toc299631411" w:displacedByCustomXml="next"/>
    <w:bookmarkStart w:id="29" w:name="_Toc299621183" w:displacedByCustomXml="next"/>
    <w:bookmarkStart w:id="30" w:name="_Toc290554218" w:displacedByCustomXml="next"/>
    <w:sdt>
      <w:sdtPr>
        <w:rPr>
          <w:rFonts w:cs="Times New Roman"/>
          <w:b w:val="0"/>
          <w:bCs w:val="0"/>
          <w:kern w:val="0"/>
          <w:sz w:val="24"/>
          <w:szCs w:val="24"/>
        </w:rPr>
        <w:id w:val="316926574"/>
        <w:docPartObj>
          <w:docPartGallery w:val="Bibliographies"/>
          <w:docPartUnique/>
        </w:docPartObj>
      </w:sdtPr>
      <w:sdtEndPr/>
      <w:sdtContent>
        <w:p w14:paraId="77923993" w14:textId="5A870905" w:rsidR="00BA7C03" w:rsidRDefault="00BA7C03" w:rsidP="00334201">
          <w:pPr>
            <w:pStyle w:val="Heading1"/>
            <w:spacing w:line="360" w:lineRule="auto"/>
          </w:pPr>
          <w:r>
            <w:t>References</w:t>
          </w:r>
          <w:bookmarkEnd w:id="24"/>
        </w:p>
        <w:sdt>
          <w:sdtPr>
            <w:id w:val="-573587230"/>
            <w:bibliography/>
          </w:sdtPr>
          <w:sdtEndPr/>
          <w:sdtContent>
            <w:p w14:paraId="7BCC55E5" w14:textId="77777777" w:rsidR="008B6EE1" w:rsidRDefault="00BA7C03" w:rsidP="008B6EE1">
              <w:pPr>
                <w:pStyle w:val="Bibliography"/>
                <w:rPr>
                  <w:noProof/>
                </w:rPr>
              </w:pPr>
              <w:r w:rsidRPr="00A731F7">
                <w:rPr>
                  <w:sz w:val="22"/>
                  <w:szCs w:val="22"/>
                </w:rPr>
                <w:fldChar w:fldCharType="begin"/>
              </w:r>
              <w:r w:rsidRPr="00A731F7">
                <w:rPr>
                  <w:sz w:val="22"/>
                  <w:szCs w:val="22"/>
                </w:rPr>
                <w:instrText xml:space="preserve"> BIBLIOGRAPHY </w:instrText>
              </w:r>
              <w:r w:rsidRPr="00A731F7">
                <w:rPr>
                  <w:sz w:val="22"/>
                  <w:szCs w:val="22"/>
                </w:rPr>
                <w:fldChar w:fldCharType="separate"/>
              </w:r>
              <w:r w:rsidR="008B6EE1">
                <w:rPr>
                  <w:noProof/>
                </w:rPr>
                <w:t xml:space="preserve">Gamma Data, n.d. </w:t>
              </w:r>
              <w:r w:rsidR="008B6EE1">
                <w:rPr>
                  <w:i/>
                  <w:iCs/>
                  <w:noProof/>
                </w:rPr>
                <w:t xml:space="preserve">Electronic Personal Dosimeter. </w:t>
              </w:r>
              <w:r w:rsidR="008B6EE1">
                <w:rPr>
                  <w:noProof/>
                </w:rPr>
                <w:t xml:space="preserve">[Online] </w:t>
              </w:r>
              <w:r w:rsidR="008B6EE1">
                <w:rPr>
                  <w:noProof/>
                </w:rPr>
                <w:br/>
                <w:t xml:space="preserve">Available at: </w:t>
              </w:r>
              <w:r w:rsidR="008B6EE1">
                <w:rPr>
                  <w:noProof/>
                  <w:u w:val="single"/>
                </w:rPr>
                <w:t>https://gammadata.se/products/radiation-detection/dosimetry/electronic-personal-dosimeter/</w:t>
              </w:r>
              <w:r w:rsidR="008B6EE1">
                <w:rPr>
                  <w:noProof/>
                </w:rPr>
                <w:br/>
                <w:t>[Accessed 28 August 2026].</w:t>
              </w:r>
            </w:p>
            <w:p w14:paraId="69081CD0" w14:textId="77777777" w:rsidR="008B6EE1" w:rsidRDefault="008B6EE1" w:rsidP="008B6EE1">
              <w:pPr>
                <w:pStyle w:val="Bibliography"/>
                <w:rPr>
                  <w:noProof/>
                </w:rPr>
              </w:pPr>
              <w:r>
                <w:rPr>
                  <w:noProof/>
                </w:rPr>
                <w:t xml:space="preserve">GammaBuana, 2024. </w:t>
              </w:r>
              <w:r>
                <w:rPr>
                  <w:i/>
                  <w:iCs/>
                  <w:noProof/>
                </w:rPr>
                <w:t xml:space="preserve">Radiography Projector (Iridium-192), A Comprehensive Overview. </w:t>
              </w:r>
              <w:r>
                <w:rPr>
                  <w:noProof/>
                </w:rPr>
                <w:t xml:space="preserve">[Online] </w:t>
              </w:r>
              <w:r>
                <w:rPr>
                  <w:noProof/>
                </w:rPr>
                <w:br/>
                <w:t xml:space="preserve">Available at: </w:t>
              </w:r>
              <w:r>
                <w:rPr>
                  <w:noProof/>
                  <w:u w:val="single"/>
                </w:rPr>
                <w:t>https://gammabuana.com/radiography-projector-iridium-192-a-comprehensive-overview/</w:t>
              </w:r>
              <w:r>
                <w:rPr>
                  <w:noProof/>
                </w:rPr>
                <w:br/>
                <w:t>[Accessed 29 July 2026].</w:t>
              </w:r>
            </w:p>
            <w:p w14:paraId="774643AE" w14:textId="77777777" w:rsidR="008B6EE1" w:rsidRDefault="008B6EE1" w:rsidP="008B6EE1">
              <w:pPr>
                <w:pStyle w:val="Bibliography"/>
                <w:rPr>
                  <w:noProof/>
                </w:rPr>
              </w:pPr>
              <w:r>
                <w:rPr>
                  <w:noProof/>
                </w:rPr>
                <w:t xml:space="preserve">Health and Safety Executive, 2026. Industrial radiography – managing radiation risks. In: </w:t>
              </w:r>
              <w:r>
                <w:rPr>
                  <w:i/>
                  <w:iCs/>
                  <w:noProof/>
                </w:rPr>
                <w:t xml:space="preserve">Ionising Radiation Protection Series No 1. </w:t>
              </w:r>
              <w:r>
                <w:rPr>
                  <w:noProof/>
                </w:rPr>
                <w:t>s.l.:s.n., p. 10.</w:t>
              </w:r>
            </w:p>
            <w:p w14:paraId="5D9F6E88" w14:textId="77777777" w:rsidR="008B6EE1" w:rsidRDefault="008B6EE1" w:rsidP="008B6EE1">
              <w:pPr>
                <w:pStyle w:val="Bibliography"/>
                <w:rPr>
                  <w:noProof/>
                </w:rPr>
              </w:pPr>
              <w:r>
                <w:rPr>
                  <w:noProof/>
                </w:rPr>
                <w:t xml:space="preserve">ICRP, 2007. </w:t>
              </w:r>
              <w:r>
                <w:rPr>
                  <w:i/>
                  <w:iCs/>
                  <w:noProof/>
                </w:rPr>
                <w:t xml:space="preserve">ICRP Publication 103. </w:t>
              </w:r>
              <w:r>
                <w:rPr>
                  <w:noProof/>
                </w:rPr>
                <w:t>s.l.:s.n.</w:t>
              </w:r>
            </w:p>
            <w:p w14:paraId="48604F37" w14:textId="77777777" w:rsidR="008B6EE1" w:rsidRDefault="008B6EE1" w:rsidP="008B6EE1">
              <w:pPr>
                <w:pStyle w:val="Bibliography"/>
                <w:rPr>
                  <w:noProof/>
                </w:rPr>
              </w:pPr>
              <w:r>
                <w:rPr>
                  <w:noProof/>
                </w:rPr>
                <w:t xml:space="preserve">Ionactive, 2024. </w:t>
              </w:r>
              <w:r>
                <w:rPr>
                  <w:i/>
                  <w:iCs/>
                  <w:noProof/>
                </w:rPr>
                <w:t xml:space="preserve">Inverse Square law. </w:t>
              </w:r>
              <w:r>
                <w:rPr>
                  <w:noProof/>
                </w:rPr>
                <w:t xml:space="preserve">[Online] </w:t>
              </w:r>
              <w:r>
                <w:rPr>
                  <w:noProof/>
                </w:rPr>
                <w:br/>
                <w:t xml:space="preserve">Available at: </w:t>
              </w:r>
              <w:r>
                <w:rPr>
                  <w:noProof/>
                  <w:u w:val="single"/>
                </w:rPr>
                <w:t>https://ionactive.co.uk/resource-hub/glossary/inverse-square-law</w:t>
              </w:r>
              <w:r>
                <w:rPr>
                  <w:noProof/>
                </w:rPr>
                <w:br/>
                <w:t>[Accessed 28 August 2026].</w:t>
              </w:r>
            </w:p>
            <w:p w14:paraId="31CBDBD4" w14:textId="77777777" w:rsidR="008B6EE1" w:rsidRDefault="008B6EE1" w:rsidP="008B6EE1">
              <w:pPr>
                <w:pStyle w:val="Bibliography"/>
                <w:rPr>
                  <w:noProof/>
                </w:rPr>
              </w:pPr>
              <w:r>
                <w:rPr>
                  <w:noProof/>
                </w:rPr>
                <w:t xml:space="preserve">LexisNexis, 2026. </w:t>
              </w:r>
              <w:r>
                <w:rPr>
                  <w:i/>
                  <w:iCs/>
                  <w:noProof/>
                </w:rPr>
                <w:t xml:space="preserve">Dose rate meaning. </w:t>
              </w:r>
              <w:r>
                <w:rPr>
                  <w:noProof/>
                </w:rPr>
                <w:t xml:space="preserve">[Online] </w:t>
              </w:r>
              <w:r>
                <w:rPr>
                  <w:noProof/>
                </w:rPr>
                <w:br/>
                <w:t xml:space="preserve">Available at: </w:t>
              </w:r>
              <w:r>
                <w:rPr>
                  <w:noProof/>
                  <w:u w:val="single"/>
                </w:rPr>
                <w:t>https://www.lexisnexis.com/en-gb/legal/glossary/dose-rate</w:t>
              </w:r>
              <w:r>
                <w:rPr>
                  <w:noProof/>
                </w:rPr>
                <w:br/>
                <w:t>[Accessed 28 August 2026].</w:t>
              </w:r>
            </w:p>
            <w:p w14:paraId="74BD2E9A" w14:textId="77777777" w:rsidR="008B6EE1" w:rsidRDefault="008B6EE1" w:rsidP="008B6EE1">
              <w:pPr>
                <w:pStyle w:val="Bibliography"/>
                <w:rPr>
                  <w:noProof/>
                </w:rPr>
              </w:pPr>
              <w:r>
                <w:rPr>
                  <w:noProof/>
                </w:rPr>
                <w:t xml:space="preserve">LibreTexts Physics, n.d. </w:t>
              </w:r>
              <w:r>
                <w:rPr>
                  <w:i/>
                  <w:iCs/>
                  <w:noProof/>
                </w:rPr>
                <w:t xml:space="preserve">10.4 Radioactive Decay. </w:t>
              </w:r>
              <w:r>
                <w:rPr>
                  <w:noProof/>
                </w:rPr>
                <w:t xml:space="preserve">[Online] </w:t>
              </w:r>
              <w:r>
                <w:rPr>
                  <w:noProof/>
                </w:rPr>
                <w:br/>
                <w:t xml:space="preserve">Available at: </w:t>
              </w:r>
              <w:r>
                <w:rPr>
                  <w:noProof/>
                  <w:u w:val="single"/>
                </w:rPr>
                <w:t>https://phys.libretexts.org/Bookshelves/University_Physics/University_Physics_(OpenStax)/University_Physics_III_-_Optics_and_Modern_Physics_(OpenStax)/10%3A__Nuclear_Physics/10.04%3A_Radioactive_Decay</w:t>
              </w:r>
              <w:r>
                <w:rPr>
                  <w:noProof/>
                </w:rPr>
                <w:br/>
                <w:t>[Accessed July 2026].</w:t>
              </w:r>
            </w:p>
            <w:p w14:paraId="18B1BAF1" w14:textId="77777777" w:rsidR="008B6EE1" w:rsidRDefault="008B6EE1" w:rsidP="008B6EE1">
              <w:pPr>
                <w:pStyle w:val="Bibliography"/>
                <w:rPr>
                  <w:noProof/>
                </w:rPr>
              </w:pPr>
              <w:r>
                <w:rPr>
                  <w:noProof/>
                </w:rPr>
                <w:lastRenderedPageBreak/>
                <w:t xml:space="preserve">Mallika Singh, M., 2024. </w:t>
              </w:r>
              <w:r>
                <w:rPr>
                  <w:i/>
                  <w:iCs/>
                  <w:noProof/>
                </w:rPr>
                <w:t xml:space="preserve">Acute Radiation Exposure. </w:t>
              </w:r>
              <w:r>
                <w:rPr>
                  <w:noProof/>
                </w:rPr>
                <w:t xml:space="preserve">[Online] </w:t>
              </w:r>
              <w:r>
                <w:rPr>
                  <w:noProof/>
                </w:rPr>
                <w:br/>
                <w:t xml:space="preserve">Available at: </w:t>
              </w:r>
              <w:r>
                <w:rPr>
                  <w:noProof/>
                  <w:u w:val="single"/>
                </w:rPr>
                <w:t>https://coreem.net/core/acute-radiation-exposure/</w:t>
              </w:r>
              <w:r>
                <w:rPr>
                  <w:noProof/>
                </w:rPr>
                <w:br/>
                <w:t>[Accessed 28 August 2026].</w:t>
              </w:r>
            </w:p>
            <w:p w14:paraId="755D5FBA" w14:textId="77777777" w:rsidR="008B6EE1" w:rsidRDefault="008B6EE1" w:rsidP="008B6EE1">
              <w:pPr>
                <w:pStyle w:val="Bibliography"/>
                <w:rPr>
                  <w:noProof/>
                </w:rPr>
              </w:pPr>
              <w:r>
                <w:rPr>
                  <w:noProof/>
                </w:rPr>
                <w:t xml:space="preserve">Massoud, E., 2013. </w:t>
              </w:r>
              <w:r>
                <w:rPr>
                  <w:i/>
                  <w:iCs/>
                  <w:noProof/>
                </w:rPr>
                <w:t xml:space="preserve">Dose Assessment for Some Industrial Gamma Sources with, </w:t>
              </w:r>
              <w:r>
                <w:rPr>
                  <w:noProof/>
                </w:rPr>
                <w:t>s.l.: s.n.</w:t>
              </w:r>
            </w:p>
            <w:p w14:paraId="1A2E5AE8" w14:textId="77777777" w:rsidR="008B6EE1" w:rsidRDefault="008B6EE1" w:rsidP="008B6EE1">
              <w:pPr>
                <w:pStyle w:val="Bibliography"/>
                <w:rPr>
                  <w:noProof/>
                </w:rPr>
              </w:pPr>
              <w:r>
                <w:rPr>
                  <w:noProof/>
                </w:rPr>
                <w:t xml:space="preserve">National Library of Medicine, 2016. </w:t>
              </w:r>
              <w:r>
                <w:rPr>
                  <w:i/>
                  <w:iCs/>
                  <w:noProof/>
                </w:rPr>
                <w:t xml:space="preserve">Long-term health effects of persistent exposure to low-dose lr-192 gamma rays. </w:t>
              </w:r>
              <w:r>
                <w:rPr>
                  <w:noProof/>
                </w:rPr>
                <w:t xml:space="preserve">[Online] </w:t>
              </w:r>
              <w:r>
                <w:rPr>
                  <w:noProof/>
                </w:rPr>
                <w:br/>
                <w:t xml:space="preserve">Available at: </w:t>
              </w:r>
              <w:r>
                <w:rPr>
                  <w:noProof/>
                  <w:u w:val="single"/>
                </w:rPr>
                <w:t>https://pmc.ncbi.nlm.nih.gov/articles/PMC5038503/</w:t>
              </w:r>
              <w:r>
                <w:rPr>
                  <w:noProof/>
                </w:rPr>
                <w:br/>
                <w:t>[Accessed 29 July 2026].</w:t>
              </w:r>
            </w:p>
            <w:p w14:paraId="7F624554" w14:textId="77777777" w:rsidR="008B6EE1" w:rsidRDefault="008B6EE1" w:rsidP="008B6EE1">
              <w:pPr>
                <w:pStyle w:val="Bibliography"/>
                <w:rPr>
                  <w:noProof/>
                </w:rPr>
              </w:pPr>
              <w:r>
                <w:rPr>
                  <w:noProof/>
                </w:rPr>
                <w:t>Office for Nuclear Regulation, n.d. SAFETY ASSESSMENT PRINCIPLES FOR NUCLEAR FACILITIES. In: s.l.:s.n., p. 226.</w:t>
              </w:r>
            </w:p>
            <w:p w14:paraId="780A998E" w14:textId="77777777" w:rsidR="008B6EE1" w:rsidRDefault="008B6EE1" w:rsidP="008B6EE1">
              <w:pPr>
                <w:pStyle w:val="Bibliography"/>
                <w:rPr>
                  <w:noProof/>
                </w:rPr>
              </w:pPr>
              <w:r>
                <w:rPr>
                  <w:noProof/>
                </w:rPr>
                <w:t xml:space="preserve">OSHA, n.d. </w:t>
              </w:r>
              <w:r>
                <w:rPr>
                  <w:i/>
                  <w:iCs/>
                  <w:noProof/>
                </w:rPr>
                <w:t xml:space="preserve">Radiation Emergency Preparedness and Response. </w:t>
              </w:r>
              <w:r>
                <w:rPr>
                  <w:noProof/>
                </w:rPr>
                <w:t xml:space="preserve">[Online] </w:t>
              </w:r>
              <w:r>
                <w:rPr>
                  <w:noProof/>
                </w:rPr>
                <w:br/>
                <w:t xml:space="preserve">Available at: </w:t>
              </w:r>
              <w:r>
                <w:rPr>
                  <w:noProof/>
                  <w:u w:val="single"/>
                </w:rPr>
                <w:t>https://www.osha.gov/emergency-preparedness/radiation/background</w:t>
              </w:r>
              <w:r>
                <w:rPr>
                  <w:noProof/>
                </w:rPr>
                <w:br/>
                <w:t>[Accessed 28 August 2026].</w:t>
              </w:r>
            </w:p>
            <w:p w14:paraId="49B1C81C" w14:textId="77777777" w:rsidR="008B6EE1" w:rsidRDefault="008B6EE1" w:rsidP="008B6EE1">
              <w:pPr>
                <w:pStyle w:val="Bibliography"/>
                <w:rPr>
                  <w:noProof/>
                </w:rPr>
              </w:pPr>
              <w:r>
                <w:rPr>
                  <w:noProof/>
                </w:rPr>
                <w:t xml:space="preserve">Passmore, C., 2026. </w:t>
              </w:r>
              <w:r>
                <w:rPr>
                  <w:i/>
                  <w:iCs/>
                  <w:noProof/>
                </w:rPr>
                <w:t xml:space="preserve">Thermoluminescent Dosimeter (TLD): How It Works, Types, &amp; Choosing the Right Badge. </w:t>
              </w:r>
              <w:r>
                <w:rPr>
                  <w:noProof/>
                </w:rPr>
                <w:t xml:space="preserve">[Online] </w:t>
              </w:r>
              <w:r>
                <w:rPr>
                  <w:noProof/>
                </w:rPr>
                <w:br/>
                <w:t xml:space="preserve">Available at: </w:t>
              </w:r>
              <w:r>
                <w:rPr>
                  <w:noProof/>
                  <w:u w:val="single"/>
                </w:rPr>
                <w:t>https://radetco.com/thermoluminescent-dosimeter-tld-everything-you-need-to-know/</w:t>
              </w:r>
              <w:r>
                <w:rPr>
                  <w:noProof/>
                </w:rPr>
                <w:br/>
                <w:t>[Accessed 28 August 2026].</w:t>
              </w:r>
            </w:p>
            <w:p w14:paraId="4456A6D3" w14:textId="77777777" w:rsidR="008B6EE1" w:rsidRDefault="008B6EE1" w:rsidP="008B6EE1">
              <w:pPr>
                <w:pStyle w:val="Bibliography"/>
                <w:rPr>
                  <w:noProof/>
                </w:rPr>
              </w:pPr>
              <w:r>
                <w:rPr>
                  <w:noProof/>
                </w:rPr>
                <w:t xml:space="preserve">Renneboog, R. M., 2015. </w:t>
              </w:r>
              <w:r>
                <w:rPr>
                  <w:i/>
                  <w:iCs/>
                  <w:noProof/>
                </w:rPr>
                <w:t xml:space="preserve">Half-Life. </w:t>
              </w:r>
              <w:r>
                <w:rPr>
                  <w:noProof/>
                </w:rPr>
                <w:t xml:space="preserve">[Online] </w:t>
              </w:r>
              <w:r>
                <w:rPr>
                  <w:noProof/>
                </w:rPr>
                <w:br/>
                <w:t xml:space="preserve">Available at: </w:t>
              </w:r>
              <w:r>
                <w:rPr>
                  <w:noProof/>
                  <w:u w:val="single"/>
                </w:rPr>
                <w:t>https://www.ebsco.com/research-starters/chemistry/half-life</w:t>
              </w:r>
              <w:r>
                <w:rPr>
                  <w:noProof/>
                </w:rPr>
                <w:br/>
                <w:t>[Accessed 29 July 2026].</w:t>
              </w:r>
            </w:p>
            <w:p w14:paraId="4B4ABF86" w14:textId="77777777" w:rsidR="008B6EE1" w:rsidRDefault="008B6EE1" w:rsidP="008B6EE1">
              <w:pPr>
                <w:pStyle w:val="Bibliography"/>
                <w:rPr>
                  <w:noProof/>
                </w:rPr>
              </w:pPr>
              <w:r>
                <w:rPr>
                  <w:noProof/>
                </w:rPr>
                <w:t xml:space="preserve">UK Statutory Instrument, 2017. </w:t>
              </w:r>
              <w:r>
                <w:rPr>
                  <w:i/>
                  <w:iCs/>
                  <w:noProof/>
                </w:rPr>
                <w:t xml:space="preserve">The Ionising Radiations Regulations 2017 - Restriction of exposure. </w:t>
              </w:r>
              <w:r>
                <w:rPr>
                  <w:noProof/>
                </w:rPr>
                <w:t xml:space="preserve">[Online] </w:t>
              </w:r>
              <w:r>
                <w:rPr>
                  <w:noProof/>
                </w:rPr>
                <w:br/>
                <w:t xml:space="preserve">Available at: </w:t>
              </w:r>
              <w:r>
                <w:rPr>
                  <w:noProof/>
                  <w:u w:val="single"/>
                </w:rPr>
                <w:t>https://www.legislation.gov.uk/uksi/2017/1075/regulation/9?view=plain</w:t>
              </w:r>
              <w:r>
                <w:rPr>
                  <w:noProof/>
                </w:rPr>
                <w:br/>
                <w:t>[Accessed 31 August 2026].</w:t>
              </w:r>
            </w:p>
            <w:p w14:paraId="3FB7A155" w14:textId="2F408DA7" w:rsidR="00BA7C03" w:rsidRDefault="00BA7C03" w:rsidP="008B6EE1">
              <w:r w:rsidRPr="00A731F7">
                <w:rPr>
                  <w:b/>
                  <w:bCs/>
                  <w:noProof/>
                  <w:sz w:val="22"/>
                  <w:szCs w:val="22"/>
                </w:rPr>
                <w:fldChar w:fldCharType="end"/>
              </w:r>
            </w:p>
          </w:sdtContent>
        </w:sdt>
      </w:sdtContent>
    </w:sdt>
    <w:p w14:paraId="002A004E" w14:textId="513D0E0B" w:rsidR="00DD39B4" w:rsidRPr="00DD39B4" w:rsidRDefault="00DD39B4" w:rsidP="00DD39B4">
      <w:pPr>
        <w:pStyle w:val="Heading1"/>
        <w:sectPr w:rsidR="00DD39B4" w:rsidRPr="00DD39B4" w:rsidSect="0012066B">
          <w:footerReference w:type="default" r:id="rId14"/>
          <w:pgSz w:w="11906" w:h="16838" w:code="9"/>
          <w:pgMar w:top="1701" w:right="1701" w:bottom="1701" w:left="1701" w:header="709" w:footer="851" w:gutter="0"/>
          <w:pgNumType w:start="1"/>
          <w:cols w:space="708"/>
          <w:docGrid w:linePitch="360"/>
        </w:sectPr>
      </w:pPr>
    </w:p>
    <w:bookmarkEnd w:id="30"/>
    <w:bookmarkEnd w:id="29"/>
    <w:bookmarkEnd w:id="28"/>
    <w:bookmarkEnd w:id="27"/>
    <w:bookmarkEnd w:id="26"/>
    <w:bookmarkEnd w:id="25"/>
    <w:p w14:paraId="6131CB69" w14:textId="666C7411" w:rsidR="004747AF" w:rsidRDefault="004747AF" w:rsidP="00DD39B4"/>
    <w:sectPr w:rsidR="004747AF" w:rsidSect="000D3AB7">
      <w:headerReference w:type="default" r:id="rId15"/>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1DBCA2" w14:textId="77777777" w:rsidR="004D603A" w:rsidRDefault="004D603A">
      <w:r>
        <w:separator/>
      </w:r>
    </w:p>
  </w:endnote>
  <w:endnote w:type="continuationSeparator" w:id="0">
    <w:p w14:paraId="55640F34" w14:textId="77777777" w:rsidR="004D603A" w:rsidRDefault="004D6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10580F">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9808566" w:rsidR="002B0693" w:rsidRDefault="002B0693" w:rsidP="00053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773CA" w14:textId="77777777" w:rsidR="004D603A" w:rsidRDefault="004D603A">
      <w:r>
        <w:separator/>
      </w:r>
    </w:p>
  </w:footnote>
  <w:footnote w:type="continuationSeparator" w:id="0">
    <w:p w14:paraId="3BCE7FB4" w14:textId="77777777" w:rsidR="004D603A" w:rsidRDefault="004D60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035"/>
    <w:rsid w:val="00003760"/>
    <w:rsid w:val="00004209"/>
    <w:rsid w:val="000060AC"/>
    <w:rsid w:val="00006CD9"/>
    <w:rsid w:val="0001062D"/>
    <w:rsid w:val="00012887"/>
    <w:rsid w:val="00012B20"/>
    <w:rsid w:val="000146A5"/>
    <w:rsid w:val="00015A13"/>
    <w:rsid w:val="00016BC8"/>
    <w:rsid w:val="00030A2A"/>
    <w:rsid w:val="00031613"/>
    <w:rsid w:val="0003188E"/>
    <w:rsid w:val="00036878"/>
    <w:rsid w:val="00045D6F"/>
    <w:rsid w:val="0005343B"/>
    <w:rsid w:val="00063499"/>
    <w:rsid w:val="000639CE"/>
    <w:rsid w:val="00063CEE"/>
    <w:rsid w:val="00065259"/>
    <w:rsid w:val="00065A60"/>
    <w:rsid w:val="00067512"/>
    <w:rsid w:val="00071CD5"/>
    <w:rsid w:val="000765AB"/>
    <w:rsid w:val="0008416D"/>
    <w:rsid w:val="00086305"/>
    <w:rsid w:val="000934D6"/>
    <w:rsid w:val="00097727"/>
    <w:rsid w:val="000A4407"/>
    <w:rsid w:val="000A5566"/>
    <w:rsid w:val="000B6677"/>
    <w:rsid w:val="000B7C11"/>
    <w:rsid w:val="000C6559"/>
    <w:rsid w:val="000D13EE"/>
    <w:rsid w:val="000D3236"/>
    <w:rsid w:val="000D3AB7"/>
    <w:rsid w:val="000D52F7"/>
    <w:rsid w:val="000E1E14"/>
    <w:rsid w:val="000E2F83"/>
    <w:rsid w:val="000E5531"/>
    <w:rsid w:val="000E5A3B"/>
    <w:rsid w:val="000E6132"/>
    <w:rsid w:val="000F3FC7"/>
    <w:rsid w:val="000F5578"/>
    <w:rsid w:val="00102370"/>
    <w:rsid w:val="001054AE"/>
    <w:rsid w:val="0010580F"/>
    <w:rsid w:val="001121C9"/>
    <w:rsid w:val="0012066B"/>
    <w:rsid w:val="00126903"/>
    <w:rsid w:val="001272DE"/>
    <w:rsid w:val="00130109"/>
    <w:rsid w:val="0013036D"/>
    <w:rsid w:val="00132B6A"/>
    <w:rsid w:val="00133EA9"/>
    <w:rsid w:val="00140808"/>
    <w:rsid w:val="00145332"/>
    <w:rsid w:val="001464BD"/>
    <w:rsid w:val="001507DE"/>
    <w:rsid w:val="001517E7"/>
    <w:rsid w:val="00153099"/>
    <w:rsid w:val="00153B9F"/>
    <w:rsid w:val="00163B15"/>
    <w:rsid w:val="00164AB0"/>
    <w:rsid w:val="00171953"/>
    <w:rsid w:val="00172B17"/>
    <w:rsid w:val="00173DD4"/>
    <w:rsid w:val="001850E2"/>
    <w:rsid w:val="00185F4C"/>
    <w:rsid w:val="00187AAB"/>
    <w:rsid w:val="001911EC"/>
    <w:rsid w:val="00196CAA"/>
    <w:rsid w:val="001A06C7"/>
    <w:rsid w:val="001A0A15"/>
    <w:rsid w:val="001A2C73"/>
    <w:rsid w:val="001A497F"/>
    <w:rsid w:val="001A6831"/>
    <w:rsid w:val="001A7322"/>
    <w:rsid w:val="001B0633"/>
    <w:rsid w:val="001B1C53"/>
    <w:rsid w:val="001B249B"/>
    <w:rsid w:val="001B586D"/>
    <w:rsid w:val="001B63F7"/>
    <w:rsid w:val="001B6481"/>
    <w:rsid w:val="001C1403"/>
    <w:rsid w:val="001C1A69"/>
    <w:rsid w:val="001C2208"/>
    <w:rsid w:val="001C23E5"/>
    <w:rsid w:val="001C471F"/>
    <w:rsid w:val="001C5F33"/>
    <w:rsid w:val="001C6A7D"/>
    <w:rsid w:val="001D1974"/>
    <w:rsid w:val="001D2FAF"/>
    <w:rsid w:val="001D636A"/>
    <w:rsid w:val="001D7982"/>
    <w:rsid w:val="001D7A87"/>
    <w:rsid w:val="001E00D5"/>
    <w:rsid w:val="001E388D"/>
    <w:rsid w:val="001E606C"/>
    <w:rsid w:val="001E7302"/>
    <w:rsid w:val="001F1539"/>
    <w:rsid w:val="001F3055"/>
    <w:rsid w:val="001F3F58"/>
    <w:rsid w:val="001F41DE"/>
    <w:rsid w:val="001F7EBB"/>
    <w:rsid w:val="002023BA"/>
    <w:rsid w:val="00204473"/>
    <w:rsid w:val="002121F3"/>
    <w:rsid w:val="00216E4D"/>
    <w:rsid w:val="00220306"/>
    <w:rsid w:val="00224C6D"/>
    <w:rsid w:val="00224E7F"/>
    <w:rsid w:val="00230B99"/>
    <w:rsid w:val="00232B80"/>
    <w:rsid w:val="00233D78"/>
    <w:rsid w:val="00234F94"/>
    <w:rsid w:val="0023532A"/>
    <w:rsid w:val="002353E2"/>
    <w:rsid w:val="00243313"/>
    <w:rsid w:val="00245DA7"/>
    <w:rsid w:val="00246995"/>
    <w:rsid w:val="0025099B"/>
    <w:rsid w:val="00255C7C"/>
    <w:rsid w:val="002637A0"/>
    <w:rsid w:val="00267F4D"/>
    <w:rsid w:val="00277681"/>
    <w:rsid w:val="00280267"/>
    <w:rsid w:val="00285034"/>
    <w:rsid w:val="002861B4"/>
    <w:rsid w:val="00287BEC"/>
    <w:rsid w:val="002A5491"/>
    <w:rsid w:val="002A7DD0"/>
    <w:rsid w:val="002B0693"/>
    <w:rsid w:val="002B133F"/>
    <w:rsid w:val="002B1D37"/>
    <w:rsid w:val="002B5D15"/>
    <w:rsid w:val="002B7456"/>
    <w:rsid w:val="002B789F"/>
    <w:rsid w:val="002B7B28"/>
    <w:rsid w:val="002C423F"/>
    <w:rsid w:val="002D05CE"/>
    <w:rsid w:val="002D34B4"/>
    <w:rsid w:val="002D4A7B"/>
    <w:rsid w:val="002E10D5"/>
    <w:rsid w:val="002F564F"/>
    <w:rsid w:val="002F7211"/>
    <w:rsid w:val="00300D50"/>
    <w:rsid w:val="00304798"/>
    <w:rsid w:val="0030548F"/>
    <w:rsid w:val="00306DDF"/>
    <w:rsid w:val="00312EC7"/>
    <w:rsid w:val="00316181"/>
    <w:rsid w:val="003176E7"/>
    <w:rsid w:val="00322A2F"/>
    <w:rsid w:val="00322EC0"/>
    <w:rsid w:val="00334201"/>
    <w:rsid w:val="0033621B"/>
    <w:rsid w:val="00344FCB"/>
    <w:rsid w:val="00346DB7"/>
    <w:rsid w:val="003500A4"/>
    <w:rsid w:val="003516C9"/>
    <w:rsid w:val="00351E83"/>
    <w:rsid w:val="003550A0"/>
    <w:rsid w:val="00355B4E"/>
    <w:rsid w:val="0035720C"/>
    <w:rsid w:val="00361EFD"/>
    <w:rsid w:val="0037068D"/>
    <w:rsid w:val="00372935"/>
    <w:rsid w:val="00377F8A"/>
    <w:rsid w:val="003923BB"/>
    <w:rsid w:val="00393F05"/>
    <w:rsid w:val="003A554B"/>
    <w:rsid w:val="003A5815"/>
    <w:rsid w:val="003B075E"/>
    <w:rsid w:val="003B1C9F"/>
    <w:rsid w:val="003B2155"/>
    <w:rsid w:val="003B4B8E"/>
    <w:rsid w:val="003C2D72"/>
    <w:rsid w:val="003C4111"/>
    <w:rsid w:val="003C59C1"/>
    <w:rsid w:val="003D022F"/>
    <w:rsid w:val="003D048E"/>
    <w:rsid w:val="003F03A6"/>
    <w:rsid w:val="003F28DD"/>
    <w:rsid w:val="003F563F"/>
    <w:rsid w:val="003F67A2"/>
    <w:rsid w:val="003F7755"/>
    <w:rsid w:val="004015E2"/>
    <w:rsid w:val="00404309"/>
    <w:rsid w:val="0040438D"/>
    <w:rsid w:val="00405C82"/>
    <w:rsid w:val="004117EC"/>
    <w:rsid w:val="00413816"/>
    <w:rsid w:val="0041685B"/>
    <w:rsid w:val="0042035E"/>
    <w:rsid w:val="00423DB3"/>
    <w:rsid w:val="00430D17"/>
    <w:rsid w:val="00433169"/>
    <w:rsid w:val="00441275"/>
    <w:rsid w:val="00445061"/>
    <w:rsid w:val="00445556"/>
    <w:rsid w:val="0044667E"/>
    <w:rsid w:val="00446F5E"/>
    <w:rsid w:val="00450AB1"/>
    <w:rsid w:val="004529A5"/>
    <w:rsid w:val="004534AC"/>
    <w:rsid w:val="00460314"/>
    <w:rsid w:val="0046152D"/>
    <w:rsid w:val="00463BD2"/>
    <w:rsid w:val="00465460"/>
    <w:rsid w:val="004663A7"/>
    <w:rsid w:val="004747AF"/>
    <w:rsid w:val="0049076B"/>
    <w:rsid w:val="004923C1"/>
    <w:rsid w:val="004A1164"/>
    <w:rsid w:val="004A133A"/>
    <w:rsid w:val="004A13D5"/>
    <w:rsid w:val="004A4375"/>
    <w:rsid w:val="004A7A35"/>
    <w:rsid w:val="004B5597"/>
    <w:rsid w:val="004B56D1"/>
    <w:rsid w:val="004B5D2E"/>
    <w:rsid w:val="004C03F0"/>
    <w:rsid w:val="004C22FB"/>
    <w:rsid w:val="004C2C9C"/>
    <w:rsid w:val="004C337A"/>
    <w:rsid w:val="004D265B"/>
    <w:rsid w:val="004D26AD"/>
    <w:rsid w:val="004D4171"/>
    <w:rsid w:val="004D54ED"/>
    <w:rsid w:val="004D5EBD"/>
    <w:rsid w:val="004D603A"/>
    <w:rsid w:val="004E7AF1"/>
    <w:rsid w:val="004F1B4D"/>
    <w:rsid w:val="004F40EF"/>
    <w:rsid w:val="004F70DD"/>
    <w:rsid w:val="00504DAD"/>
    <w:rsid w:val="005064F6"/>
    <w:rsid w:val="005125CD"/>
    <w:rsid w:val="005134B3"/>
    <w:rsid w:val="00515BAB"/>
    <w:rsid w:val="00520DFA"/>
    <w:rsid w:val="0052247A"/>
    <w:rsid w:val="005244BB"/>
    <w:rsid w:val="00524E57"/>
    <w:rsid w:val="005304A9"/>
    <w:rsid w:val="00536CC6"/>
    <w:rsid w:val="00537A3B"/>
    <w:rsid w:val="00540171"/>
    <w:rsid w:val="00541950"/>
    <w:rsid w:val="00543179"/>
    <w:rsid w:val="00547EA4"/>
    <w:rsid w:val="005528A4"/>
    <w:rsid w:val="00554E56"/>
    <w:rsid w:val="00556D07"/>
    <w:rsid w:val="00571D27"/>
    <w:rsid w:val="005769C3"/>
    <w:rsid w:val="005776B6"/>
    <w:rsid w:val="005800F4"/>
    <w:rsid w:val="00587C42"/>
    <w:rsid w:val="00587D49"/>
    <w:rsid w:val="005900FE"/>
    <w:rsid w:val="005A29B0"/>
    <w:rsid w:val="005A66CF"/>
    <w:rsid w:val="005B72F3"/>
    <w:rsid w:val="005C0204"/>
    <w:rsid w:val="005C0AF1"/>
    <w:rsid w:val="005C384C"/>
    <w:rsid w:val="005C6FA2"/>
    <w:rsid w:val="005D1BF4"/>
    <w:rsid w:val="005D2E8C"/>
    <w:rsid w:val="005D4968"/>
    <w:rsid w:val="005D68D1"/>
    <w:rsid w:val="005D6D6E"/>
    <w:rsid w:val="005E3ACA"/>
    <w:rsid w:val="005E4B39"/>
    <w:rsid w:val="00600F1E"/>
    <w:rsid w:val="00602034"/>
    <w:rsid w:val="006051B4"/>
    <w:rsid w:val="00613231"/>
    <w:rsid w:val="006159AA"/>
    <w:rsid w:val="00615CAC"/>
    <w:rsid w:val="00616C72"/>
    <w:rsid w:val="00620197"/>
    <w:rsid w:val="006206F9"/>
    <w:rsid w:val="006235E5"/>
    <w:rsid w:val="00623A81"/>
    <w:rsid w:val="00626744"/>
    <w:rsid w:val="0062728E"/>
    <w:rsid w:val="006342AB"/>
    <w:rsid w:val="0064114F"/>
    <w:rsid w:val="006454D8"/>
    <w:rsid w:val="00652F83"/>
    <w:rsid w:val="0065601E"/>
    <w:rsid w:val="006573D9"/>
    <w:rsid w:val="006575E8"/>
    <w:rsid w:val="006648EC"/>
    <w:rsid w:val="00671FA2"/>
    <w:rsid w:val="00683AB6"/>
    <w:rsid w:val="00684F95"/>
    <w:rsid w:val="00685088"/>
    <w:rsid w:val="00693120"/>
    <w:rsid w:val="00693975"/>
    <w:rsid w:val="00694BE1"/>
    <w:rsid w:val="006A19EC"/>
    <w:rsid w:val="006A1C99"/>
    <w:rsid w:val="006A3182"/>
    <w:rsid w:val="006A31C5"/>
    <w:rsid w:val="006A4AA9"/>
    <w:rsid w:val="006A5B1B"/>
    <w:rsid w:val="006A6706"/>
    <w:rsid w:val="006A6E99"/>
    <w:rsid w:val="006A797F"/>
    <w:rsid w:val="006B45DE"/>
    <w:rsid w:val="006C1E5C"/>
    <w:rsid w:val="006C2DAC"/>
    <w:rsid w:val="006C5487"/>
    <w:rsid w:val="006C5FC5"/>
    <w:rsid w:val="006C6C98"/>
    <w:rsid w:val="006D680A"/>
    <w:rsid w:val="006E7473"/>
    <w:rsid w:val="006F2AAA"/>
    <w:rsid w:val="006F48A8"/>
    <w:rsid w:val="006F6F09"/>
    <w:rsid w:val="00700407"/>
    <w:rsid w:val="00700D30"/>
    <w:rsid w:val="0070144B"/>
    <w:rsid w:val="00703045"/>
    <w:rsid w:val="007038FC"/>
    <w:rsid w:val="0070539B"/>
    <w:rsid w:val="0070544E"/>
    <w:rsid w:val="00705B59"/>
    <w:rsid w:val="00706FC0"/>
    <w:rsid w:val="00707E0F"/>
    <w:rsid w:val="007131E6"/>
    <w:rsid w:val="00713650"/>
    <w:rsid w:val="00713AE2"/>
    <w:rsid w:val="00720589"/>
    <w:rsid w:val="007240B6"/>
    <w:rsid w:val="00735256"/>
    <w:rsid w:val="0074277D"/>
    <w:rsid w:val="00747451"/>
    <w:rsid w:val="00747900"/>
    <w:rsid w:val="0075020C"/>
    <w:rsid w:val="00751BC0"/>
    <w:rsid w:val="007543DD"/>
    <w:rsid w:val="007555C4"/>
    <w:rsid w:val="00762B69"/>
    <w:rsid w:val="00765044"/>
    <w:rsid w:val="00770B4B"/>
    <w:rsid w:val="007747C5"/>
    <w:rsid w:val="00784CCB"/>
    <w:rsid w:val="00792A54"/>
    <w:rsid w:val="00793B7D"/>
    <w:rsid w:val="00795AC0"/>
    <w:rsid w:val="007A5657"/>
    <w:rsid w:val="007A749B"/>
    <w:rsid w:val="007C0AF6"/>
    <w:rsid w:val="007D48F0"/>
    <w:rsid w:val="007E30E6"/>
    <w:rsid w:val="007E5113"/>
    <w:rsid w:val="007E56C8"/>
    <w:rsid w:val="007E5A18"/>
    <w:rsid w:val="007F0255"/>
    <w:rsid w:val="007F10F9"/>
    <w:rsid w:val="007F186D"/>
    <w:rsid w:val="007F265D"/>
    <w:rsid w:val="007F5264"/>
    <w:rsid w:val="007F5C55"/>
    <w:rsid w:val="00801843"/>
    <w:rsid w:val="00804E1D"/>
    <w:rsid w:val="00806B8E"/>
    <w:rsid w:val="00807610"/>
    <w:rsid w:val="00807CDF"/>
    <w:rsid w:val="00830238"/>
    <w:rsid w:val="00833618"/>
    <w:rsid w:val="00835E1B"/>
    <w:rsid w:val="00837448"/>
    <w:rsid w:val="00841554"/>
    <w:rsid w:val="008428F4"/>
    <w:rsid w:val="008429DF"/>
    <w:rsid w:val="00843656"/>
    <w:rsid w:val="00845839"/>
    <w:rsid w:val="008462A8"/>
    <w:rsid w:val="008462C0"/>
    <w:rsid w:val="00847074"/>
    <w:rsid w:val="008507B2"/>
    <w:rsid w:val="00851ADB"/>
    <w:rsid w:val="0085699F"/>
    <w:rsid w:val="0086041F"/>
    <w:rsid w:val="0086054C"/>
    <w:rsid w:val="0086284F"/>
    <w:rsid w:val="0086308A"/>
    <w:rsid w:val="00863C40"/>
    <w:rsid w:val="0086765F"/>
    <w:rsid w:val="00875581"/>
    <w:rsid w:val="00875B58"/>
    <w:rsid w:val="00876ECB"/>
    <w:rsid w:val="0088087A"/>
    <w:rsid w:val="00884ECE"/>
    <w:rsid w:val="008906BD"/>
    <w:rsid w:val="008A24A2"/>
    <w:rsid w:val="008A41B7"/>
    <w:rsid w:val="008A4B09"/>
    <w:rsid w:val="008B6240"/>
    <w:rsid w:val="008B6B06"/>
    <w:rsid w:val="008B6EE1"/>
    <w:rsid w:val="008B72AE"/>
    <w:rsid w:val="008B731F"/>
    <w:rsid w:val="008C56B9"/>
    <w:rsid w:val="008D00C5"/>
    <w:rsid w:val="008D0F71"/>
    <w:rsid w:val="008D1530"/>
    <w:rsid w:val="008D1ABE"/>
    <w:rsid w:val="008D1F23"/>
    <w:rsid w:val="008D5D3C"/>
    <w:rsid w:val="008D5D60"/>
    <w:rsid w:val="008D5DD7"/>
    <w:rsid w:val="008D5E4C"/>
    <w:rsid w:val="008E2433"/>
    <w:rsid w:val="008E5A35"/>
    <w:rsid w:val="008E7820"/>
    <w:rsid w:val="008E7822"/>
    <w:rsid w:val="008F0A2B"/>
    <w:rsid w:val="008F1163"/>
    <w:rsid w:val="008F2598"/>
    <w:rsid w:val="008F3647"/>
    <w:rsid w:val="00904453"/>
    <w:rsid w:val="0090590B"/>
    <w:rsid w:val="009163E9"/>
    <w:rsid w:val="0091763B"/>
    <w:rsid w:val="00920120"/>
    <w:rsid w:val="00922BCA"/>
    <w:rsid w:val="00924880"/>
    <w:rsid w:val="00924C2E"/>
    <w:rsid w:val="00925B40"/>
    <w:rsid w:val="00926C26"/>
    <w:rsid w:val="00932120"/>
    <w:rsid w:val="009323C3"/>
    <w:rsid w:val="009330E2"/>
    <w:rsid w:val="009333A3"/>
    <w:rsid w:val="0093381A"/>
    <w:rsid w:val="009404A4"/>
    <w:rsid w:val="0094060A"/>
    <w:rsid w:val="009409C4"/>
    <w:rsid w:val="009416A5"/>
    <w:rsid w:val="009417DC"/>
    <w:rsid w:val="00941D35"/>
    <w:rsid w:val="009504C2"/>
    <w:rsid w:val="00955262"/>
    <w:rsid w:val="0095743F"/>
    <w:rsid w:val="009616E1"/>
    <w:rsid w:val="00963412"/>
    <w:rsid w:val="00972ACD"/>
    <w:rsid w:val="0097457E"/>
    <w:rsid w:val="009745C1"/>
    <w:rsid w:val="00974BD2"/>
    <w:rsid w:val="0098183D"/>
    <w:rsid w:val="00981949"/>
    <w:rsid w:val="00982207"/>
    <w:rsid w:val="00983705"/>
    <w:rsid w:val="00986983"/>
    <w:rsid w:val="00987BFA"/>
    <w:rsid w:val="009915B1"/>
    <w:rsid w:val="00994B5A"/>
    <w:rsid w:val="00995B4F"/>
    <w:rsid w:val="00996FFA"/>
    <w:rsid w:val="009A4536"/>
    <w:rsid w:val="009A7019"/>
    <w:rsid w:val="009B52E2"/>
    <w:rsid w:val="009B68EF"/>
    <w:rsid w:val="009B7734"/>
    <w:rsid w:val="009C063F"/>
    <w:rsid w:val="009C1942"/>
    <w:rsid w:val="009C2226"/>
    <w:rsid w:val="009C2894"/>
    <w:rsid w:val="009D2A48"/>
    <w:rsid w:val="009E38AB"/>
    <w:rsid w:val="009E604A"/>
    <w:rsid w:val="009E6C44"/>
    <w:rsid w:val="009F3396"/>
    <w:rsid w:val="009F42D6"/>
    <w:rsid w:val="009F4AF3"/>
    <w:rsid w:val="009F4F9E"/>
    <w:rsid w:val="009F687C"/>
    <w:rsid w:val="00A0329E"/>
    <w:rsid w:val="00A03CBA"/>
    <w:rsid w:val="00A049D3"/>
    <w:rsid w:val="00A068B8"/>
    <w:rsid w:val="00A10AF2"/>
    <w:rsid w:val="00A124B3"/>
    <w:rsid w:val="00A128AB"/>
    <w:rsid w:val="00A15819"/>
    <w:rsid w:val="00A226AF"/>
    <w:rsid w:val="00A259D4"/>
    <w:rsid w:val="00A25E3F"/>
    <w:rsid w:val="00A2704A"/>
    <w:rsid w:val="00A32D79"/>
    <w:rsid w:val="00A33D5D"/>
    <w:rsid w:val="00A36F61"/>
    <w:rsid w:val="00A3795A"/>
    <w:rsid w:val="00A422B8"/>
    <w:rsid w:val="00A46681"/>
    <w:rsid w:val="00A46DC9"/>
    <w:rsid w:val="00A623B9"/>
    <w:rsid w:val="00A633BD"/>
    <w:rsid w:val="00A63A2F"/>
    <w:rsid w:val="00A651C5"/>
    <w:rsid w:val="00A66351"/>
    <w:rsid w:val="00A669F8"/>
    <w:rsid w:val="00A731F7"/>
    <w:rsid w:val="00A73AAF"/>
    <w:rsid w:val="00A74A62"/>
    <w:rsid w:val="00A75DD4"/>
    <w:rsid w:val="00A85C8C"/>
    <w:rsid w:val="00A85D35"/>
    <w:rsid w:val="00A916EE"/>
    <w:rsid w:val="00A95671"/>
    <w:rsid w:val="00A97492"/>
    <w:rsid w:val="00AA1E42"/>
    <w:rsid w:val="00AA2009"/>
    <w:rsid w:val="00AA4D83"/>
    <w:rsid w:val="00AA61F1"/>
    <w:rsid w:val="00AB555F"/>
    <w:rsid w:val="00AD0F4D"/>
    <w:rsid w:val="00AD1A00"/>
    <w:rsid w:val="00AD6D75"/>
    <w:rsid w:val="00AE480E"/>
    <w:rsid w:val="00AE7820"/>
    <w:rsid w:val="00AF2B00"/>
    <w:rsid w:val="00B02037"/>
    <w:rsid w:val="00B03B7C"/>
    <w:rsid w:val="00B03D9F"/>
    <w:rsid w:val="00B06F76"/>
    <w:rsid w:val="00B12675"/>
    <w:rsid w:val="00B14E76"/>
    <w:rsid w:val="00B1530F"/>
    <w:rsid w:val="00B17824"/>
    <w:rsid w:val="00B20072"/>
    <w:rsid w:val="00B20B2C"/>
    <w:rsid w:val="00B222FD"/>
    <w:rsid w:val="00B23BE4"/>
    <w:rsid w:val="00B2492B"/>
    <w:rsid w:val="00B30745"/>
    <w:rsid w:val="00B31516"/>
    <w:rsid w:val="00B35282"/>
    <w:rsid w:val="00B3777B"/>
    <w:rsid w:val="00B40908"/>
    <w:rsid w:val="00B45999"/>
    <w:rsid w:val="00B516D8"/>
    <w:rsid w:val="00B53A12"/>
    <w:rsid w:val="00B53E08"/>
    <w:rsid w:val="00B615B4"/>
    <w:rsid w:val="00B619B6"/>
    <w:rsid w:val="00B61C1B"/>
    <w:rsid w:val="00B62048"/>
    <w:rsid w:val="00B65D7D"/>
    <w:rsid w:val="00B765F2"/>
    <w:rsid w:val="00B77263"/>
    <w:rsid w:val="00B80A5D"/>
    <w:rsid w:val="00B80F63"/>
    <w:rsid w:val="00B83679"/>
    <w:rsid w:val="00B8752D"/>
    <w:rsid w:val="00B96699"/>
    <w:rsid w:val="00B9798F"/>
    <w:rsid w:val="00B97F63"/>
    <w:rsid w:val="00BA02B2"/>
    <w:rsid w:val="00BA0D4C"/>
    <w:rsid w:val="00BA279E"/>
    <w:rsid w:val="00BA5321"/>
    <w:rsid w:val="00BA7C03"/>
    <w:rsid w:val="00BB093E"/>
    <w:rsid w:val="00BB3847"/>
    <w:rsid w:val="00BC00B2"/>
    <w:rsid w:val="00BC4978"/>
    <w:rsid w:val="00BD0604"/>
    <w:rsid w:val="00BD1783"/>
    <w:rsid w:val="00BD2A70"/>
    <w:rsid w:val="00BD4E7E"/>
    <w:rsid w:val="00BE1C94"/>
    <w:rsid w:val="00BE4963"/>
    <w:rsid w:val="00BE77DE"/>
    <w:rsid w:val="00BF0694"/>
    <w:rsid w:val="00BF0EE4"/>
    <w:rsid w:val="00BF4B1B"/>
    <w:rsid w:val="00BF55A0"/>
    <w:rsid w:val="00BF5778"/>
    <w:rsid w:val="00BF5E7B"/>
    <w:rsid w:val="00C04DD4"/>
    <w:rsid w:val="00C04E54"/>
    <w:rsid w:val="00C10332"/>
    <w:rsid w:val="00C11963"/>
    <w:rsid w:val="00C23009"/>
    <w:rsid w:val="00C27103"/>
    <w:rsid w:val="00C2754E"/>
    <w:rsid w:val="00C30818"/>
    <w:rsid w:val="00C3136A"/>
    <w:rsid w:val="00C31A0D"/>
    <w:rsid w:val="00C3490F"/>
    <w:rsid w:val="00C40F1A"/>
    <w:rsid w:val="00C415D6"/>
    <w:rsid w:val="00C4482E"/>
    <w:rsid w:val="00C44DF7"/>
    <w:rsid w:val="00C473DF"/>
    <w:rsid w:val="00C519EA"/>
    <w:rsid w:val="00C52F9C"/>
    <w:rsid w:val="00C53236"/>
    <w:rsid w:val="00C55A3E"/>
    <w:rsid w:val="00C626AF"/>
    <w:rsid w:val="00C6288A"/>
    <w:rsid w:val="00C62DD8"/>
    <w:rsid w:val="00C6356A"/>
    <w:rsid w:val="00C658CA"/>
    <w:rsid w:val="00C65A43"/>
    <w:rsid w:val="00C65C7C"/>
    <w:rsid w:val="00C67B8C"/>
    <w:rsid w:val="00C71A95"/>
    <w:rsid w:val="00C71D1F"/>
    <w:rsid w:val="00C72E15"/>
    <w:rsid w:val="00C80FB8"/>
    <w:rsid w:val="00C82B02"/>
    <w:rsid w:val="00C82E8D"/>
    <w:rsid w:val="00C86B03"/>
    <w:rsid w:val="00C87A15"/>
    <w:rsid w:val="00C90A14"/>
    <w:rsid w:val="00CA64B0"/>
    <w:rsid w:val="00CA7AF4"/>
    <w:rsid w:val="00CC21F1"/>
    <w:rsid w:val="00CC7A1B"/>
    <w:rsid w:val="00CC7D43"/>
    <w:rsid w:val="00CD59BC"/>
    <w:rsid w:val="00CD68B9"/>
    <w:rsid w:val="00CD6BE3"/>
    <w:rsid w:val="00CD7166"/>
    <w:rsid w:val="00CE3F44"/>
    <w:rsid w:val="00CF66E5"/>
    <w:rsid w:val="00CF6AA9"/>
    <w:rsid w:val="00CF74B1"/>
    <w:rsid w:val="00D00922"/>
    <w:rsid w:val="00D03E8E"/>
    <w:rsid w:val="00D04795"/>
    <w:rsid w:val="00D07024"/>
    <w:rsid w:val="00D0745A"/>
    <w:rsid w:val="00D135C3"/>
    <w:rsid w:val="00D13A9C"/>
    <w:rsid w:val="00D1594C"/>
    <w:rsid w:val="00D1688F"/>
    <w:rsid w:val="00D218F7"/>
    <w:rsid w:val="00D233FE"/>
    <w:rsid w:val="00D234C6"/>
    <w:rsid w:val="00D23D5B"/>
    <w:rsid w:val="00D25091"/>
    <w:rsid w:val="00D25C99"/>
    <w:rsid w:val="00D273DD"/>
    <w:rsid w:val="00D30525"/>
    <w:rsid w:val="00D32612"/>
    <w:rsid w:val="00D333B2"/>
    <w:rsid w:val="00D34064"/>
    <w:rsid w:val="00D34304"/>
    <w:rsid w:val="00D34F1D"/>
    <w:rsid w:val="00D351A6"/>
    <w:rsid w:val="00D3724C"/>
    <w:rsid w:val="00D441CE"/>
    <w:rsid w:val="00D47F1B"/>
    <w:rsid w:val="00D507DF"/>
    <w:rsid w:val="00D52AC3"/>
    <w:rsid w:val="00D54B4D"/>
    <w:rsid w:val="00D578AB"/>
    <w:rsid w:val="00D6552A"/>
    <w:rsid w:val="00D70E75"/>
    <w:rsid w:val="00D7157C"/>
    <w:rsid w:val="00D74578"/>
    <w:rsid w:val="00DA28B2"/>
    <w:rsid w:val="00DA328D"/>
    <w:rsid w:val="00DA7602"/>
    <w:rsid w:val="00DA7B8C"/>
    <w:rsid w:val="00DB0700"/>
    <w:rsid w:val="00DB0932"/>
    <w:rsid w:val="00DB7F3A"/>
    <w:rsid w:val="00DC322E"/>
    <w:rsid w:val="00DC458B"/>
    <w:rsid w:val="00DC4A0E"/>
    <w:rsid w:val="00DC6E45"/>
    <w:rsid w:val="00DD0C11"/>
    <w:rsid w:val="00DD39B4"/>
    <w:rsid w:val="00DD3DA3"/>
    <w:rsid w:val="00DD53D9"/>
    <w:rsid w:val="00DE4B07"/>
    <w:rsid w:val="00DF6781"/>
    <w:rsid w:val="00DF6859"/>
    <w:rsid w:val="00E019F8"/>
    <w:rsid w:val="00E025DC"/>
    <w:rsid w:val="00E06505"/>
    <w:rsid w:val="00E1105C"/>
    <w:rsid w:val="00E17857"/>
    <w:rsid w:val="00E20197"/>
    <w:rsid w:val="00E20F03"/>
    <w:rsid w:val="00E23467"/>
    <w:rsid w:val="00E27131"/>
    <w:rsid w:val="00E27644"/>
    <w:rsid w:val="00E310D0"/>
    <w:rsid w:val="00E33B5E"/>
    <w:rsid w:val="00E342BE"/>
    <w:rsid w:val="00E367E5"/>
    <w:rsid w:val="00E36CC9"/>
    <w:rsid w:val="00E37F83"/>
    <w:rsid w:val="00E42F75"/>
    <w:rsid w:val="00E44A8C"/>
    <w:rsid w:val="00E50030"/>
    <w:rsid w:val="00E525F5"/>
    <w:rsid w:val="00E53D4B"/>
    <w:rsid w:val="00E5658F"/>
    <w:rsid w:val="00E601AA"/>
    <w:rsid w:val="00E60686"/>
    <w:rsid w:val="00E66614"/>
    <w:rsid w:val="00E66C4B"/>
    <w:rsid w:val="00E673E3"/>
    <w:rsid w:val="00E71C90"/>
    <w:rsid w:val="00E7242C"/>
    <w:rsid w:val="00E75826"/>
    <w:rsid w:val="00E8030E"/>
    <w:rsid w:val="00E81DD4"/>
    <w:rsid w:val="00E856CB"/>
    <w:rsid w:val="00E8581B"/>
    <w:rsid w:val="00E87C7A"/>
    <w:rsid w:val="00E92F3B"/>
    <w:rsid w:val="00E94F51"/>
    <w:rsid w:val="00E94FC1"/>
    <w:rsid w:val="00EA3654"/>
    <w:rsid w:val="00EA6B01"/>
    <w:rsid w:val="00EB2005"/>
    <w:rsid w:val="00EB311A"/>
    <w:rsid w:val="00EB47D6"/>
    <w:rsid w:val="00EC42E2"/>
    <w:rsid w:val="00EC4663"/>
    <w:rsid w:val="00EC473B"/>
    <w:rsid w:val="00EC5F84"/>
    <w:rsid w:val="00EC746C"/>
    <w:rsid w:val="00ED0288"/>
    <w:rsid w:val="00EE07F2"/>
    <w:rsid w:val="00EE0E85"/>
    <w:rsid w:val="00EE25EE"/>
    <w:rsid w:val="00EE2B48"/>
    <w:rsid w:val="00EF21A6"/>
    <w:rsid w:val="00EF35D7"/>
    <w:rsid w:val="00EF3E49"/>
    <w:rsid w:val="00EF5C69"/>
    <w:rsid w:val="00F06E63"/>
    <w:rsid w:val="00F15523"/>
    <w:rsid w:val="00F16E24"/>
    <w:rsid w:val="00F2159F"/>
    <w:rsid w:val="00F24527"/>
    <w:rsid w:val="00F32ADB"/>
    <w:rsid w:val="00F33025"/>
    <w:rsid w:val="00F33B50"/>
    <w:rsid w:val="00F4072F"/>
    <w:rsid w:val="00F44E18"/>
    <w:rsid w:val="00F451A3"/>
    <w:rsid w:val="00F4729A"/>
    <w:rsid w:val="00F509C2"/>
    <w:rsid w:val="00F53A2C"/>
    <w:rsid w:val="00F53C05"/>
    <w:rsid w:val="00F551D0"/>
    <w:rsid w:val="00F5779B"/>
    <w:rsid w:val="00F63A2A"/>
    <w:rsid w:val="00F63EB6"/>
    <w:rsid w:val="00F65825"/>
    <w:rsid w:val="00F66ADF"/>
    <w:rsid w:val="00F70D29"/>
    <w:rsid w:val="00F718E3"/>
    <w:rsid w:val="00F72FA5"/>
    <w:rsid w:val="00F73103"/>
    <w:rsid w:val="00F73DA6"/>
    <w:rsid w:val="00F761D8"/>
    <w:rsid w:val="00F844CE"/>
    <w:rsid w:val="00F84DA7"/>
    <w:rsid w:val="00F86DFA"/>
    <w:rsid w:val="00F93DEB"/>
    <w:rsid w:val="00F948DB"/>
    <w:rsid w:val="00F96E56"/>
    <w:rsid w:val="00FA181C"/>
    <w:rsid w:val="00FA2F84"/>
    <w:rsid w:val="00FA46DB"/>
    <w:rsid w:val="00FA55B5"/>
    <w:rsid w:val="00FA7F7D"/>
    <w:rsid w:val="00FB6B73"/>
    <w:rsid w:val="00FB6BE4"/>
    <w:rsid w:val="00FC37BB"/>
    <w:rsid w:val="00FC655F"/>
    <w:rsid w:val="00FC6BAC"/>
    <w:rsid w:val="00FD2841"/>
    <w:rsid w:val="00FE3B89"/>
    <w:rsid w:val="00FE7279"/>
    <w:rsid w:val="00FE7B73"/>
    <w:rsid w:val="00FF2483"/>
    <w:rsid w:val="00FF2553"/>
    <w:rsid w:val="00FF3216"/>
    <w:rsid w:val="00FF3697"/>
    <w:rsid w:val="00FF6BD8"/>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Bibliography">
    <w:name w:val="Bibliography"/>
    <w:basedOn w:val="Normal"/>
    <w:next w:val="Normal"/>
    <w:uiPriority w:val="37"/>
    <w:unhideWhenUsed/>
    <w:rsid w:val="00BA7C03"/>
  </w:style>
  <w:style w:type="character" w:styleId="PlaceholderText">
    <w:name w:val="Placeholder Text"/>
    <w:basedOn w:val="DefaultParagraphFont"/>
    <w:uiPriority w:val="99"/>
    <w:semiHidden/>
    <w:rsid w:val="00D47F1B"/>
    <w:rPr>
      <w:color w:val="666666"/>
    </w:rPr>
  </w:style>
  <w:style w:type="character" w:styleId="CommentReference">
    <w:name w:val="annotation reference"/>
    <w:basedOn w:val="DefaultParagraphFont"/>
    <w:uiPriority w:val="99"/>
    <w:semiHidden/>
    <w:unhideWhenUsed/>
    <w:rsid w:val="00BF0694"/>
    <w:rPr>
      <w:sz w:val="16"/>
      <w:szCs w:val="16"/>
    </w:rPr>
  </w:style>
  <w:style w:type="paragraph" w:styleId="CommentText">
    <w:name w:val="annotation text"/>
    <w:basedOn w:val="Normal"/>
    <w:link w:val="CommentTextChar"/>
    <w:uiPriority w:val="99"/>
    <w:unhideWhenUsed/>
    <w:rsid w:val="00BF0694"/>
    <w:pPr>
      <w:spacing w:line="240" w:lineRule="auto"/>
    </w:pPr>
    <w:rPr>
      <w:sz w:val="20"/>
      <w:szCs w:val="20"/>
    </w:rPr>
  </w:style>
  <w:style w:type="character" w:customStyle="1" w:styleId="CommentTextChar">
    <w:name w:val="Comment Text Char"/>
    <w:basedOn w:val="DefaultParagraphFont"/>
    <w:link w:val="CommentText"/>
    <w:uiPriority w:val="99"/>
    <w:rsid w:val="00BF0694"/>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BF0694"/>
    <w:rPr>
      <w:b/>
      <w:bCs/>
    </w:rPr>
  </w:style>
  <w:style w:type="character" w:customStyle="1" w:styleId="CommentSubjectChar">
    <w:name w:val="Comment Subject Char"/>
    <w:basedOn w:val="CommentTextChar"/>
    <w:link w:val="CommentSubject"/>
    <w:uiPriority w:val="99"/>
    <w:semiHidden/>
    <w:rsid w:val="00BF0694"/>
    <w:rPr>
      <w:rFonts w:ascii="Arial" w:eastAsia="Times New Roman" w:hAnsi="Arial"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79931">
      <w:bodyDiv w:val="1"/>
      <w:marLeft w:val="0"/>
      <w:marRight w:val="0"/>
      <w:marTop w:val="0"/>
      <w:marBottom w:val="0"/>
      <w:divBdr>
        <w:top w:val="none" w:sz="0" w:space="0" w:color="auto"/>
        <w:left w:val="none" w:sz="0" w:space="0" w:color="auto"/>
        <w:bottom w:val="none" w:sz="0" w:space="0" w:color="auto"/>
        <w:right w:val="none" w:sz="0" w:space="0" w:color="auto"/>
      </w:divBdr>
    </w:div>
    <w:div w:id="19742314">
      <w:bodyDiv w:val="1"/>
      <w:marLeft w:val="0"/>
      <w:marRight w:val="0"/>
      <w:marTop w:val="0"/>
      <w:marBottom w:val="0"/>
      <w:divBdr>
        <w:top w:val="none" w:sz="0" w:space="0" w:color="auto"/>
        <w:left w:val="none" w:sz="0" w:space="0" w:color="auto"/>
        <w:bottom w:val="none" w:sz="0" w:space="0" w:color="auto"/>
        <w:right w:val="none" w:sz="0" w:space="0" w:color="auto"/>
      </w:divBdr>
    </w:div>
    <w:div w:id="45642850">
      <w:bodyDiv w:val="1"/>
      <w:marLeft w:val="0"/>
      <w:marRight w:val="0"/>
      <w:marTop w:val="0"/>
      <w:marBottom w:val="0"/>
      <w:divBdr>
        <w:top w:val="none" w:sz="0" w:space="0" w:color="auto"/>
        <w:left w:val="none" w:sz="0" w:space="0" w:color="auto"/>
        <w:bottom w:val="none" w:sz="0" w:space="0" w:color="auto"/>
        <w:right w:val="none" w:sz="0" w:space="0" w:color="auto"/>
      </w:divBdr>
    </w:div>
    <w:div w:id="47194085">
      <w:bodyDiv w:val="1"/>
      <w:marLeft w:val="0"/>
      <w:marRight w:val="0"/>
      <w:marTop w:val="0"/>
      <w:marBottom w:val="0"/>
      <w:divBdr>
        <w:top w:val="none" w:sz="0" w:space="0" w:color="auto"/>
        <w:left w:val="none" w:sz="0" w:space="0" w:color="auto"/>
        <w:bottom w:val="none" w:sz="0" w:space="0" w:color="auto"/>
        <w:right w:val="none" w:sz="0" w:space="0" w:color="auto"/>
      </w:divBdr>
    </w:div>
    <w:div w:id="51853608">
      <w:bodyDiv w:val="1"/>
      <w:marLeft w:val="0"/>
      <w:marRight w:val="0"/>
      <w:marTop w:val="0"/>
      <w:marBottom w:val="0"/>
      <w:divBdr>
        <w:top w:val="none" w:sz="0" w:space="0" w:color="auto"/>
        <w:left w:val="none" w:sz="0" w:space="0" w:color="auto"/>
        <w:bottom w:val="none" w:sz="0" w:space="0" w:color="auto"/>
        <w:right w:val="none" w:sz="0" w:space="0" w:color="auto"/>
      </w:divBdr>
    </w:div>
    <w:div w:id="52438241">
      <w:bodyDiv w:val="1"/>
      <w:marLeft w:val="0"/>
      <w:marRight w:val="0"/>
      <w:marTop w:val="0"/>
      <w:marBottom w:val="0"/>
      <w:divBdr>
        <w:top w:val="none" w:sz="0" w:space="0" w:color="auto"/>
        <w:left w:val="none" w:sz="0" w:space="0" w:color="auto"/>
        <w:bottom w:val="none" w:sz="0" w:space="0" w:color="auto"/>
        <w:right w:val="none" w:sz="0" w:space="0" w:color="auto"/>
      </w:divBdr>
    </w:div>
    <w:div w:id="56176262">
      <w:bodyDiv w:val="1"/>
      <w:marLeft w:val="0"/>
      <w:marRight w:val="0"/>
      <w:marTop w:val="0"/>
      <w:marBottom w:val="0"/>
      <w:divBdr>
        <w:top w:val="none" w:sz="0" w:space="0" w:color="auto"/>
        <w:left w:val="none" w:sz="0" w:space="0" w:color="auto"/>
        <w:bottom w:val="none" w:sz="0" w:space="0" w:color="auto"/>
        <w:right w:val="none" w:sz="0" w:space="0" w:color="auto"/>
      </w:divBdr>
    </w:div>
    <w:div w:id="72629957">
      <w:bodyDiv w:val="1"/>
      <w:marLeft w:val="0"/>
      <w:marRight w:val="0"/>
      <w:marTop w:val="0"/>
      <w:marBottom w:val="0"/>
      <w:divBdr>
        <w:top w:val="none" w:sz="0" w:space="0" w:color="auto"/>
        <w:left w:val="none" w:sz="0" w:space="0" w:color="auto"/>
        <w:bottom w:val="none" w:sz="0" w:space="0" w:color="auto"/>
        <w:right w:val="none" w:sz="0" w:space="0" w:color="auto"/>
      </w:divBdr>
    </w:div>
    <w:div w:id="79451674">
      <w:bodyDiv w:val="1"/>
      <w:marLeft w:val="0"/>
      <w:marRight w:val="0"/>
      <w:marTop w:val="0"/>
      <w:marBottom w:val="0"/>
      <w:divBdr>
        <w:top w:val="none" w:sz="0" w:space="0" w:color="auto"/>
        <w:left w:val="none" w:sz="0" w:space="0" w:color="auto"/>
        <w:bottom w:val="none" w:sz="0" w:space="0" w:color="auto"/>
        <w:right w:val="none" w:sz="0" w:space="0" w:color="auto"/>
      </w:divBdr>
    </w:div>
    <w:div w:id="81683727">
      <w:bodyDiv w:val="1"/>
      <w:marLeft w:val="0"/>
      <w:marRight w:val="0"/>
      <w:marTop w:val="0"/>
      <w:marBottom w:val="0"/>
      <w:divBdr>
        <w:top w:val="none" w:sz="0" w:space="0" w:color="auto"/>
        <w:left w:val="none" w:sz="0" w:space="0" w:color="auto"/>
        <w:bottom w:val="none" w:sz="0" w:space="0" w:color="auto"/>
        <w:right w:val="none" w:sz="0" w:space="0" w:color="auto"/>
      </w:divBdr>
    </w:div>
    <w:div w:id="119342687">
      <w:bodyDiv w:val="1"/>
      <w:marLeft w:val="0"/>
      <w:marRight w:val="0"/>
      <w:marTop w:val="0"/>
      <w:marBottom w:val="0"/>
      <w:divBdr>
        <w:top w:val="none" w:sz="0" w:space="0" w:color="auto"/>
        <w:left w:val="none" w:sz="0" w:space="0" w:color="auto"/>
        <w:bottom w:val="none" w:sz="0" w:space="0" w:color="auto"/>
        <w:right w:val="none" w:sz="0" w:space="0" w:color="auto"/>
      </w:divBdr>
    </w:div>
    <w:div w:id="122381995">
      <w:bodyDiv w:val="1"/>
      <w:marLeft w:val="0"/>
      <w:marRight w:val="0"/>
      <w:marTop w:val="0"/>
      <w:marBottom w:val="0"/>
      <w:divBdr>
        <w:top w:val="none" w:sz="0" w:space="0" w:color="auto"/>
        <w:left w:val="none" w:sz="0" w:space="0" w:color="auto"/>
        <w:bottom w:val="none" w:sz="0" w:space="0" w:color="auto"/>
        <w:right w:val="none" w:sz="0" w:space="0" w:color="auto"/>
      </w:divBdr>
    </w:div>
    <w:div w:id="123357764">
      <w:bodyDiv w:val="1"/>
      <w:marLeft w:val="0"/>
      <w:marRight w:val="0"/>
      <w:marTop w:val="0"/>
      <w:marBottom w:val="0"/>
      <w:divBdr>
        <w:top w:val="none" w:sz="0" w:space="0" w:color="auto"/>
        <w:left w:val="none" w:sz="0" w:space="0" w:color="auto"/>
        <w:bottom w:val="none" w:sz="0" w:space="0" w:color="auto"/>
        <w:right w:val="none" w:sz="0" w:space="0" w:color="auto"/>
      </w:divBdr>
    </w:div>
    <w:div w:id="133527641">
      <w:bodyDiv w:val="1"/>
      <w:marLeft w:val="0"/>
      <w:marRight w:val="0"/>
      <w:marTop w:val="0"/>
      <w:marBottom w:val="0"/>
      <w:divBdr>
        <w:top w:val="none" w:sz="0" w:space="0" w:color="auto"/>
        <w:left w:val="none" w:sz="0" w:space="0" w:color="auto"/>
        <w:bottom w:val="none" w:sz="0" w:space="0" w:color="auto"/>
        <w:right w:val="none" w:sz="0" w:space="0" w:color="auto"/>
      </w:divBdr>
    </w:div>
    <w:div w:id="134572069">
      <w:bodyDiv w:val="1"/>
      <w:marLeft w:val="0"/>
      <w:marRight w:val="0"/>
      <w:marTop w:val="0"/>
      <w:marBottom w:val="0"/>
      <w:divBdr>
        <w:top w:val="none" w:sz="0" w:space="0" w:color="auto"/>
        <w:left w:val="none" w:sz="0" w:space="0" w:color="auto"/>
        <w:bottom w:val="none" w:sz="0" w:space="0" w:color="auto"/>
        <w:right w:val="none" w:sz="0" w:space="0" w:color="auto"/>
      </w:divBdr>
    </w:div>
    <w:div w:id="137888280">
      <w:bodyDiv w:val="1"/>
      <w:marLeft w:val="0"/>
      <w:marRight w:val="0"/>
      <w:marTop w:val="0"/>
      <w:marBottom w:val="0"/>
      <w:divBdr>
        <w:top w:val="none" w:sz="0" w:space="0" w:color="auto"/>
        <w:left w:val="none" w:sz="0" w:space="0" w:color="auto"/>
        <w:bottom w:val="none" w:sz="0" w:space="0" w:color="auto"/>
        <w:right w:val="none" w:sz="0" w:space="0" w:color="auto"/>
      </w:divBdr>
    </w:div>
    <w:div w:id="142478050">
      <w:bodyDiv w:val="1"/>
      <w:marLeft w:val="0"/>
      <w:marRight w:val="0"/>
      <w:marTop w:val="0"/>
      <w:marBottom w:val="0"/>
      <w:divBdr>
        <w:top w:val="none" w:sz="0" w:space="0" w:color="auto"/>
        <w:left w:val="none" w:sz="0" w:space="0" w:color="auto"/>
        <w:bottom w:val="none" w:sz="0" w:space="0" w:color="auto"/>
        <w:right w:val="none" w:sz="0" w:space="0" w:color="auto"/>
      </w:divBdr>
    </w:div>
    <w:div w:id="153111589">
      <w:bodyDiv w:val="1"/>
      <w:marLeft w:val="0"/>
      <w:marRight w:val="0"/>
      <w:marTop w:val="0"/>
      <w:marBottom w:val="0"/>
      <w:divBdr>
        <w:top w:val="none" w:sz="0" w:space="0" w:color="auto"/>
        <w:left w:val="none" w:sz="0" w:space="0" w:color="auto"/>
        <w:bottom w:val="none" w:sz="0" w:space="0" w:color="auto"/>
        <w:right w:val="none" w:sz="0" w:space="0" w:color="auto"/>
      </w:divBdr>
    </w:div>
    <w:div w:id="158543100">
      <w:bodyDiv w:val="1"/>
      <w:marLeft w:val="0"/>
      <w:marRight w:val="0"/>
      <w:marTop w:val="0"/>
      <w:marBottom w:val="0"/>
      <w:divBdr>
        <w:top w:val="none" w:sz="0" w:space="0" w:color="auto"/>
        <w:left w:val="none" w:sz="0" w:space="0" w:color="auto"/>
        <w:bottom w:val="none" w:sz="0" w:space="0" w:color="auto"/>
        <w:right w:val="none" w:sz="0" w:space="0" w:color="auto"/>
      </w:divBdr>
    </w:div>
    <w:div w:id="158737141">
      <w:bodyDiv w:val="1"/>
      <w:marLeft w:val="0"/>
      <w:marRight w:val="0"/>
      <w:marTop w:val="0"/>
      <w:marBottom w:val="0"/>
      <w:divBdr>
        <w:top w:val="none" w:sz="0" w:space="0" w:color="auto"/>
        <w:left w:val="none" w:sz="0" w:space="0" w:color="auto"/>
        <w:bottom w:val="none" w:sz="0" w:space="0" w:color="auto"/>
        <w:right w:val="none" w:sz="0" w:space="0" w:color="auto"/>
      </w:divBdr>
    </w:div>
    <w:div w:id="159851544">
      <w:bodyDiv w:val="1"/>
      <w:marLeft w:val="0"/>
      <w:marRight w:val="0"/>
      <w:marTop w:val="0"/>
      <w:marBottom w:val="0"/>
      <w:divBdr>
        <w:top w:val="none" w:sz="0" w:space="0" w:color="auto"/>
        <w:left w:val="none" w:sz="0" w:space="0" w:color="auto"/>
        <w:bottom w:val="none" w:sz="0" w:space="0" w:color="auto"/>
        <w:right w:val="none" w:sz="0" w:space="0" w:color="auto"/>
      </w:divBdr>
    </w:div>
    <w:div w:id="160707201">
      <w:bodyDiv w:val="1"/>
      <w:marLeft w:val="0"/>
      <w:marRight w:val="0"/>
      <w:marTop w:val="0"/>
      <w:marBottom w:val="0"/>
      <w:divBdr>
        <w:top w:val="none" w:sz="0" w:space="0" w:color="auto"/>
        <w:left w:val="none" w:sz="0" w:space="0" w:color="auto"/>
        <w:bottom w:val="none" w:sz="0" w:space="0" w:color="auto"/>
        <w:right w:val="none" w:sz="0" w:space="0" w:color="auto"/>
      </w:divBdr>
    </w:div>
    <w:div w:id="160975547">
      <w:bodyDiv w:val="1"/>
      <w:marLeft w:val="0"/>
      <w:marRight w:val="0"/>
      <w:marTop w:val="0"/>
      <w:marBottom w:val="0"/>
      <w:divBdr>
        <w:top w:val="none" w:sz="0" w:space="0" w:color="auto"/>
        <w:left w:val="none" w:sz="0" w:space="0" w:color="auto"/>
        <w:bottom w:val="none" w:sz="0" w:space="0" w:color="auto"/>
        <w:right w:val="none" w:sz="0" w:space="0" w:color="auto"/>
      </w:divBdr>
    </w:div>
    <w:div w:id="168446326">
      <w:bodyDiv w:val="1"/>
      <w:marLeft w:val="0"/>
      <w:marRight w:val="0"/>
      <w:marTop w:val="0"/>
      <w:marBottom w:val="0"/>
      <w:divBdr>
        <w:top w:val="none" w:sz="0" w:space="0" w:color="auto"/>
        <w:left w:val="none" w:sz="0" w:space="0" w:color="auto"/>
        <w:bottom w:val="none" w:sz="0" w:space="0" w:color="auto"/>
        <w:right w:val="none" w:sz="0" w:space="0" w:color="auto"/>
      </w:divBdr>
    </w:div>
    <w:div w:id="176501313">
      <w:bodyDiv w:val="1"/>
      <w:marLeft w:val="0"/>
      <w:marRight w:val="0"/>
      <w:marTop w:val="0"/>
      <w:marBottom w:val="0"/>
      <w:divBdr>
        <w:top w:val="none" w:sz="0" w:space="0" w:color="auto"/>
        <w:left w:val="none" w:sz="0" w:space="0" w:color="auto"/>
        <w:bottom w:val="none" w:sz="0" w:space="0" w:color="auto"/>
        <w:right w:val="none" w:sz="0" w:space="0" w:color="auto"/>
      </w:divBdr>
    </w:div>
    <w:div w:id="180357778">
      <w:bodyDiv w:val="1"/>
      <w:marLeft w:val="0"/>
      <w:marRight w:val="0"/>
      <w:marTop w:val="0"/>
      <w:marBottom w:val="0"/>
      <w:divBdr>
        <w:top w:val="none" w:sz="0" w:space="0" w:color="auto"/>
        <w:left w:val="none" w:sz="0" w:space="0" w:color="auto"/>
        <w:bottom w:val="none" w:sz="0" w:space="0" w:color="auto"/>
        <w:right w:val="none" w:sz="0" w:space="0" w:color="auto"/>
      </w:divBdr>
    </w:div>
    <w:div w:id="180361757">
      <w:bodyDiv w:val="1"/>
      <w:marLeft w:val="0"/>
      <w:marRight w:val="0"/>
      <w:marTop w:val="0"/>
      <w:marBottom w:val="0"/>
      <w:divBdr>
        <w:top w:val="none" w:sz="0" w:space="0" w:color="auto"/>
        <w:left w:val="none" w:sz="0" w:space="0" w:color="auto"/>
        <w:bottom w:val="none" w:sz="0" w:space="0" w:color="auto"/>
        <w:right w:val="none" w:sz="0" w:space="0" w:color="auto"/>
      </w:divBdr>
    </w:div>
    <w:div w:id="208693561">
      <w:bodyDiv w:val="1"/>
      <w:marLeft w:val="0"/>
      <w:marRight w:val="0"/>
      <w:marTop w:val="0"/>
      <w:marBottom w:val="0"/>
      <w:divBdr>
        <w:top w:val="none" w:sz="0" w:space="0" w:color="auto"/>
        <w:left w:val="none" w:sz="0" w:space="0" w:color="auto"/>
        <w:bottom w:val="none" w:sz="0" w:space="0" w:color="auto"/>
        <w:right w:val="none" w:sz="0" w:space="0" w:color="auto"/>
      </w:divBdr>
    </w:div>
    <w:div w:id="229005787">
      <w:bodyDiv w:val="1"/>
      <w:marLeft w:val="0"/>
      <w:marRight w:val="0"/>
      <w:marTop w:val="0"/>
      <w:marBottom w:val="0"/>
      <w:divBdr>
        <w:top w:val="none" w:sz="0" w:space="0" w:color="auto"/>
        <w:left w:val="none" w:sz="0" w:space="0" w:color="auto"/>
        <w:bottom w:val="none" w:sz="0" w:space="0" w:color="auto"/>
        <w:right w:val="none" w:sz="0" w:space="0" w:color="auto"/>
      </w:divBdr>
    </w:div>
    <w:div w:id="232351289">
      <w:bodyDiv w:val="1"/>
      <w:marLeft w:val="0"/>
      <w:marRight w:val="0"/>
      <w:marTop w:val="0"/>
      <w:marBottom w:val="0"/>
      <w:divBdr>
        <w:top w:val="none" w:sz="0" w:space="0" w:color="auto"/>
        <w:left w:val="none" w:sz="0" w:space="0" w:color="auto"/>
        <w:bottom w:val="none" w:sz="0" w:space="0" w:color="auto"/>
        <w:right w:val="none" w:sz="0" w:space="0" w:color="auto"/>
      </w:divBdr>
    </w:div>
    <w:div w:id="235021536">
      <w:bodyDiv w:val="1"/>
      <w:marLeft w:val="0"/>
      <w:marRight w:val="0"/>
      <w:marTop w:val="0"/>
      <w:marBottom w:val="0"/>
      <w:divBdr>
        <w:top w:val="none" w:sz="0" w:space="0" w:color="auto"/>
        <w:left w:val="none" w:sz="0" w:space="0" w:color="auto"/>
        <w:bottom w:val="none" w:sz="0" w:space="0" w:color="auto"/>
        <w:right w:val="none" w:sz="0" w:space="0" w:color="auto"/>
      </w:divBdr>
    </w:div>
    <w:div w:id="236791741">
      <w:bodyDiv w:val="1"/>
      <w:marLeft w:val="0"/>
      <w:marRight w:val="0"/>
      <w:marTop w:val="0"/>
      <w:marBottom w:val="0"/>
      <w:divBdr>
        <w:top w:val="none" w:sz="0" w:space="0" w:color="auto"/>
        <w:left w:val="none" w:sz="0" w:space="0" w:color="auto"/>
        <w:bottom w:val="none" w:sz="0" w:space="0" w:color="auto"/>
        <w:right w:val="none" w:sz="0" w:space="0" w:color="auto"/>
      </w:divBdr>
    </w:div>
    <w:div w:id="237860149">
      <w:bodyDiv w:val="1"/>
      <w:marLeft w:val="0"/>
      <w:marRight w:val="0"/>
      <w:marTop w:val="0"/>
      <w:marBottom w:val="0"/>
      <w:divBdr>
        <w:top w:val="none" w:sz="0" w:space="0" w:color="auto"/>
        <w:left w:val="none" w:sz="0" w:space="0" w:color="auto"/>
        <w:bottom w:val="none" w:sz="0" w:space="0" w:color="auto"/>
        <w:right w:val="none" w:sz="0" w:space="0" w:color="auto"/>
      </w:divBdr>
    </w:div>
    <w:div w:id="248974421">
      <w:bodyDiv w:val="1"/>
      <w:marLeft w:val="0"/>
      <w:marRight w:val="0"/>
      <w:marTop w:val="0"/>
      <w:marBottom w:val="0"/>
      <w:divBdr>
        <w:top w:val="none" w:sz="0" w:space="0" w:color="auto"/>
        <w:left w:val="none" w:sz="0" w:space="0" w:color="auto"/>
        <w:bottom w:val="none" w:sz="0" w:space="0" w:color="auto"/>
        <w:right w:val="none" w:sz="0" w:space="0" w:color="auto"/>
      </w:divBdr>
    </w:div>
    <w:div w:id="256716269">
      <w:bodyDiv w:val="1"/>
      <w:marLeft w:val="0"/>
      <w:marRight w:val="0"/>
      <w:marTop w:val="0"/>
      <w:marBottom w:val="0"/>
      <w:divBdr>
        <w:top w:val="none" w:sz="0" w:space="0" w:color="auto"/>
        <w:left w:val="none" w:sz="0" w:space="0" w:color="auto"/>
        <w:bottom w:val="none" w:sz="0" w:space="0" w:color="auto"/>
        <w:right w:val="none" w:sz="0" w:space="0" w:color="auto"/>
      </w:divBdr>
    </w:div>
    <w:div w:id="256795075">
      <w:bodyDiv w:val="1"/>
      <w:marLeft w:val="0"/>
      <w:marRight w:val="0"/>
      <w:marTop w:val="0"/>
      <w:marBottom w:val="0"/>
      <w:divBdr>
        <w:top w:val="none" w:sz="0" w:space="0" w:color="auto"/>
        <w:left w:val="none" w:sz="0" w:space="0" w:color="auto"/>
        <w:bottom w:val="none" w:sz="0" w:space="0" w:color="auto"/>
        <w:right w:val="none" w:sz="0" w:space="0" w:color="auto"/>
      </w:divBdr>
    </w:div>
    <w:div w:id="257251264">
      <w:bodyDiv w:val="1"/>
      <w:marLeft w:val="0"/>
      <w:marRight w:val="0"/>
      <w:marTop w:val="0"/>
      <w:marBottom w:val="0"/>
      <w:divBdr>
        <w:top w:val="none" w:sz="0" w:space="0" w:color="auto"/>
        <w:left w:val="none" w:sz="0" w:space="0" w:color="auto"/>
        <w:bottom w:val="none" w:sz="0" w:space="0" w:color="auto"/>
        <w:right w:val="none" w:sz="0" w:space="0" w:color="auto"/>
      </w:divBdr>
    </w:div>
    <w:div w:id="257644678">
      <w:bodyDiv w:val="1"/>
      <w:marLeft w:val="0"/>
      <w:marRight w:val="0"/>
      <w:marTop w:val="0"/>
      <w:marBottom w:val="0"/>
      <w:divBdr>
        <w:top w:val="none" w:sz="0" w:space="0" w:color="auto"/>
        <w:left w:val="none" w:sz="0" w:space="0" w:color="auto"/>
        <w:bottom w:val="none" w:sz="0" w:space="0" w:color="auto"/>
        <w:right w:val="none" w:sz="0" w:space="0" w:color="auto"/>
      </w:divBdr>
    </w:div>
    <w:div w:id="266741113">
      <w:bodyDiv w:val="1"/>
      <w:marLeft w:val="0"/>
      <w:marRight w:val="0"/>
      <w:marTop w:val="0"/>
      <w:marBottom w:val="0"/>
      <w:divBdr>
        <w:top w:val="none" w:sz="0" w:space="0" w:color="auto"/>
        <w:left w:val="none" w:sz="0" w:space="0" w:color="auto"/>
        <w:bottom w:val="none" w:sz="0" w:space="0" w:color="auto"/>
        <w:right w:val="none" w:sz="0" w:space="0" w:color="auto"/>
      </w:divBdr>
    </w:div>
    <w:div w:id="271017868">
      <w:bodyDiv w:val="1"/>
      <w:marLeft w:val="0"/>
      <w:marRight w:val="0"/>
      <w:marTop w:val="0"/>
      <w:marBottom w:val="0"/>
      <w:divBdr>
        <w:top w:val="none" w:sz="0" w:space="0" w:color="auto"/>
        <w:left w:val="none" w:sz="0" w:space="0" w:color="auto"/>
        <w:bottom w:val="none" w:sz="0" w:space="0" w:color="auto"/>
        <w:right w:val="none" w:sz="0" w:space="0" w:color="auto"/>
      </w:divBdr>
    </w:div>
    <w:div w:id="274291796">
      <w:bodyDiv w:val="1"/>
      <w:marLeft w:val="0"/>
      <w:marRight w:val="0"/>
      <w:marTop w:val="0"/>
      <w:marBottom w:val="0"/>
      <w:divBdr>
        <w:top w:val="none" w:sz="0" w:space="0" w:color="auto"/>
        <w:left w:val="none" w:sz="0" w:space="0" w:color="auto"/>
        <w:bottom w:val="none" w:sz="0" w:space="0" w:color="auto"/>
        <w:right w:val="none" w:sz="0" w:space="0" w:color="auto"/>
      </w:divBdr>
    </w:div>
    <w:div w:id="282006878">
      <w:bodyDiv w:val="1"/>
      <w:marLeft w:val="0"/>
      <w:marRight w:val="0"/>
      <w:marTop w:val="0"/>
      <w:marBottom w:val="0"/>
      <w:divBdr>
        <w:top w:val="none" w:sz="0" w:space="0" w:color="auto"/>
        <w:left w:val="none" w:sz="0" w:space="0" w:color="auto"/>
        <w:bottom w:val="none" w:sz="0" w:space="0" w:color="auto"/>
        <w:right w:val="none" w:sz="0" w:space="0" w:color="auto"/>
      </w:divBdr>
    </w:div>
    <w:div w:id="285282905">
      <w:bodyDiv w:val="1"/>
      <w:marLeft w:val="0"/>
      <w:marRight w:val="0"/>
      <w:marTop w:val="0"/>
      <w:marBottom w:val="0"/>
      <w:divBdr>
        <w:top w:val="none" w:sz="0" w:space="0" w:color="auto"/>
        <w:left w:val="none" w:sz="0" w:space="0" w:color="auto"/>
        <w:bottom w:val="none" w:sz="0" w:space="0" w:color="auto"/>
        <w:right w:val="none" w:sz="0" w:space="0" w:color="auto"/>
      </w:divBdr>
    </w:div>
    <w:div w:id="287057247">
      <w:bodyDiv w:val="1"/>
      <w:marLeft w:val="0"/>
      <w:marRight w:val="0"/>
      <w:marTop w:val="0"/>
      <w:marBottom w:val="0"/>
      <w:divBdr>
        <w:top w:val="none" w:sz="0" w:space="0" w:color="auto"/>
        <w:left w:val="none" w:sz="0" w:space="0" w:color="auto"/>
        <w:bottom w:val="none" w:sz="0" w:space="0" w:color="auto"/>
        <w:right w:val="none" w:sz="0" w:space="0" w:color="auto"/>
      </w:divBdr>
    </w:div>
    <w:div w:id="287274312">
      <w:bodyDiv w:val="1"/>
      <w:marLeft w:val="0"/>
      <w:marRight w:val="0"/>
      <w:marTop w:val="0"/>
      <w:marBottom w:val="0"/>
      <w:divBdr>
        <w:top w:val="none" w:sz="0" w:space="0" w:color="auto"/>
        <w:left w:val="none" w:sz="0" w:space="0" w:color="auto"/>
        <w:bottom w:val="none" w:sz="0" w:space="0" w:color="auto"/>
        <w:right w:val="none" w:sz="0" w:space="0" w:color="auto"/>
      </w:divBdr>
    </w:div>
    <w:div w:id="292953733">
      <w:bodyDiv w:val="1"/>
      <w:marLeft w:val="0"/>
      <w:marRight w:val="0"/>
      <w:marTop w:val="0"/>
      <w:marBottom w:val="0"/>
      <w:divBdr>
        <w:top w:val="none" w:sz="0" w:space="0" w:color="auto"/>
        <w:left w:val="none" w:sz="0" w:space="0" w:color="auto"/>
        <w:bottom w:val="none" w:sz="0" w:space="0" w:color="auto"/>
        <w:right w:val="none" w:sz="0" w:space="0" w:color="auto"/>
      </w:divBdr>
    </w:div>
    <w:div w:id="298459098">
      <w:bodyDiv w:val="1"/>
      <w:marLeft w:val="0"/>
      <w:marRight w:val="0"/>
      <w:marTop w:val="0"/>
      <w:marBottom w:val="0"/>
      <w:divBdr>
        <w:top w:val="none" w:sz="0" w:space="0" w:color="auto"/>
        <w:left w:val="none" w:sz="0" w:space="0" w:color="auto"/>
        <w:bottom w:val="none" w:sz="0" w:space="0" w:color="auto"/>
        <w:right w:val="none" w:sz="0" w:space="0" w:color="auto"/>
      </w:divBdr>
    </w:div>
    <w:div w:id="313028064">
      <w:bodyDiv w:val="1"/>
      <w:marLeft w:val="0"/>
      <w:marRight w:val="0"/>
      <w:marTop w:val="0"/>
      <w:marBottom w:val="0"/>
      <w:divBdr>
        <w:top w:val="none" w:sz="0" w:space="0" w:color="auto"/>
        <w:left w:val="none" w:sz="0" w:space="0" w:color="auto"/>
        <w:bottom w:val="none" w:sz="0" w:space="0" w:color="auto"/>
        <w:right w:val="none" w:sz="0" w:space="0" w:color="auto"/>
      </w:divBdr>
    </w:div>
    <w:div w:id="314916388">
      <w:bodyDiv w:val="1"/>
      <w:marLeft w:val="0"/>
      <w:marRight w:val="0"/>
      <w:marTop w:val="0"/>
      <w:marBottom w:val="0"/>
      <w:divBdr>
        <w:top w:val="none" w:sz="0" w:space="0" w:color="auto"/>
        <w:left w:val="none" w:sz="0" w:space="0" w:color="auto"/>
        <w:bottom w:val="none" w:sz="0" w:space="0" w:color="auto"/>
        <w:right w:val="none" w:sz="0" w:space="0" w:color="auto"/>
      </w:divBdr>
    </w:div>
    <w:div w:id="324893345">
      <w:bodyDiv w:val="1"/>
      <w:marLeft w:val="0"/>
      <w:marRight w:val="0"/>
      <w:marTop w:val="0"/>
      <w:marBottom w:val="0"/>
      <w:divBdr>
        <w:top w:val="none" w:sz="0" w:space="0" w:color="auto"/>
        <w:left w:val="none" w:sz="0" w:space="0" w:color="auto"/>
        <w:bottom w:val="none" w:sz="0" w:space="0" w:color="auto"/>
        <w:right w:val="none" w:sz="0" w:space="0" w:color="auto"/>
      </w:divBdr>
    </w:div>
    <w:div w:id="329257760">
      <w:bodyDiv w:val="1"/>
      <w:marLeft w:val="0"/>
      <w:marRight w:val="0"/>
      <w:marTop w:val="0"/>
      <w:marBottom w:val="0"/>
      <w:divBdr>
        <w:top w:val="none" w:sz="0" w:space="0" w:color="auto"/>
        <w:left w:val="none" w:sz="0" w:space="0" w:color="auto"/>
        <w:bottom w:val="none" w:sz="0" w:space="0" w:color="auto"/>
        <w:right w:val="none" w:sz="0" w:space="0" w:color="auto"/>
      </w:divBdr>
    </w:div>
    <w:div w:id="349182056">
      <w:bodyDiv w:val="1"/>
      <w:marLeft w:val="0"/>
      <w:marRight w:val="0"/>
      <w:marTop w:val="0"/>
      <w:marBottom w:val="0"/>
      <w:divBdr>
        <w:top w:val="none" w:sz="0" w:space="0" w:color="auto"/>
        <w:left w:val="none" w:sz="0" w:space="0" w:color="auto"/>
        <w:bottom w:val="none" w:sz="0" w:space="0" w:color="auto"/>
        <w:right w:val="none" w:sz="0" w:space="0" w:color="auto"/>
      </w:divBdr>
    </w:div>
    <w:div w:id="364910384">
      <w:bodyDiv w:val="1"/>
      <w:marLeft w:val="0"/>
      <w:marRight w:val="0"/>
      <w:marTop w:val="0"/>
      <w:marBottom w:val="0"/>
      <w:divBdr>
        <w:top w:val="none" w:sz="0" w:space="0" w:color="auto"/>
        <w:left w:val="none" w:sz="0" w:space="0" w:color="auto"/>
        <w:bottom w:val="none" w:sz="0" w:space="0" w:color="auto"/>
        <w:right w:val="none" w:sz="0" w:space="0" w:color="auto"/>
      </w:divBdr>
    </w:div>
    <w:div w:id="371541949">
      <w:bodyDiv w:val="1"/>
      <w:marLeft w:val="0"/>
      <w:marRight w:val="0"/>
      <w:marTop w:val="0"/>
      <w:marBottom w:val="0"/>
      <w:divBdr>
        <w:top w:val="none" w:sz="0" w:space="0" w:color="auto"/>
        <w:left w:val="none" w:sz="0" w:space="0" w:color="auto"/>
        <w:bottom w:val="none" w:sz="0" w:space="0" w:color="auto"/>
        <w:right w:val="none" w:sz="0" w:space="0" w:color="auto"/>
      </w:divBdr>
    </w:div>
    <w:div w:id="372190123">
      <w:bodyDiv w:val="1"/>
      <w:marLeft w:val="0"/>
      <w:marRight w:val="0"/>
      <w:marTop w:val="0"/>
      <w:marBottom w:val="0"/>
      <w:divBdr>
        <w:top w:val="none" w:sz="0" w:space="0" w:color="auto"/>
        <w:left w:val="none" w:sz="0" w:space="0" w:color="auto"/>
        <w:bottom w:val="none" w:sz="0" w:space="0" w:color="auto"/>
        <w:right w:val="none" w:sz="0" w:space="0" w:color="auto"/>
      </w:divBdr>
    </w:div>
    <w:div w:id="375619001">
      <w:bodyDiv w:val="1"/>
      <w:marLeft w:val="0"/>
      <w:marRight w:val="0"/>
      <w:marTop w:val="0"/>
      <w:marBottom w:val="0"/>
      <w:divBdr>
        <w:top w:val="none" w:sz="0" w:space="0" w:color="auto"/>
        <w:left w:val="none" w:sz="0" w:space="0" w:color="auto"/>
        <w:bottom w:val="none" w:sz="0" w:space="0" w:color="auto"/>
        <w:right w:val="none" w:sz="0" w:space="0" w:color="auto"/>
      </w:divBdr>
    </w:div>
    <w:div w:id="376128852">
      <w:bodyDiv w:val="1"/>
      <w:marLeft w:val="0"/>
      <w:marRight w:val="0"/>
      <w:marTop w:val="0"/>
      <w:marBottom w:val="0"/>
      <w:divBdr>
        <w:top w:val="none" w:sz="0" w:space="0" w:color="auto"/>
        <w:left w:val="none" w:sz="0" w:space="0" w:color="auto"/>
        <w:bottom w:val="none" w:sz="0" w:space="0" w:color="auto"/>
        <w:right w:val="none" w:sz="0" w:space="0" w:color="auto"/>
      </w:divBdr>
    </w:div>
    <w:div w:id="393239235">
      <w:bodyDiv w:val="1"/>
      <w:marLeft w:val="0"/>
      <w:marRight w:val="0"/>
      <w:marTop w:val="0"/>
      <w:marBottom w:val="0"/>
      <w:divBdr>
        <w:top w:val="none" w:sz="0" w:space="0" w:color="auto"/>
        <w:left w:val="none" w:sz="0" w:space="0" w:color="auto"/>
        <w:bottom w:val="none" w:sz="0" w:space="0" w:color="auto"/>
        <w:right w:val="none" w:sz="0" w:space="0" w:color="auto"/>
      </w:divBdr>
    </w:div>
    <w:div w:id="395783766">
      <w:bodyDiv w:val="1"/>
      <w:marLeft w:val="0"/>
      <w:marRight w:val="0"/>
      <w:marTop w:val="0"/>
      <w:marBottom w:val="0"/>
      <w:divBdr>
        <w:top w:val="none" w:sz="0" w:space="0" w:color="auto"/>
        <w:left w:val="none" w:sz="0" w:space="0" w:color="auto"/>
        <w:bottom w:val="none" w:sz="0" w:space="0" w:color="auto"/>
        <w:right w:val="none" w:sz="0" w:space="0" w:color="auto"/>
      </w:divBdr>
    </w:div>
    <w:div w:id="397677748">
      <w:bodyDiv w:val="1"/>
      <w:marLeft w:val="0"/>
      <w:marRight w:val="0"/>
      <w:marTop w:val="0"/>
      <w:marBottom w:val="0"/>
      <w:divBdr>
        <w:top w:val="none" w:sz="0" w:space="0" w:color="auto"/>
        <w:left w:val="none" w:sz="0" w:space="0" w:color="auto"/>
        <w:bottom w:val="none" w:sz="0" w:space="0" w:color="auto"/>
        <w:right w:val="none" w:sz="0" w:space="0" w:color="auto"/>
      </w:divBdr>
    </w:div>
    <w:div w:id="404379737">
      <w:bodyDiv w:val="1"/>
      <w:marLeft w:val="0"/>
      <w:marRight w:val="0"/>
      <w:marTop w:val="0"/>
      <w:marBottom w:val="0"/>
      <w:divBdr>
        <w:top w:val="none" w:sz="0" w:space="0" w:color="auto"/>
        <w:left w:val="none" w:sz="0" w:space="0" w:color="auto"/>
        <w:bottom w:val="none" w:sz="0" w:space="0" w:color="auto"/>
        <w:right w:val="none" w:sz="0" w:space="0" w:color="auto"/>
      </w:divBdr>
    </w:div>
    <w:div w:id="40692817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4590970">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25074542">
      <w:bodyDiv w:val="1"/>
      <w:marLeft w:val="0"/>
      <w:marRight w:val="0"/>
      <w:marTop w:val="0"/>
      <w:marBottom w:val="0"/>
      <w:divBdr>
        <w:top w:val="none" w:sz="0" w:space="0" w:color="auto"/>
        <w:left w:val="none" w:sz="0" w:space="0" w:color="auto"/>
        <w:bottom w:val="none" w:sz="0" w:space="0" w:color="auto"/>
        <w:right w:val="none" w:sz="0" w:space="0" w:color="auto"/>
      </w:divBdr>
    </w:div>
    <w:div w:id="445975620">
      <w:bodyDiv w:val="1"/>
      <w:marLeft w:val="0"/>
      <w:marRight w:val="0"/>
      <w:marTop w:val="0"/>
      <w:marBottom w:val="0"/>
      <w:divBdr>
        <w:top w:val="none" w:sz="0" w:space="0" w:color="auto"/>
        <w:left w:val="none" w:sz="0" w:space="0" w:color="auto"/>
        <w:bottom w:val="none" w:sz="0" w:space="0" w:color="auto"/>
        <w:right w:val="none" w:sz="0" w:space="0" w:color="auto"/>
      </w:divBdr>
    </w:div>
    <w:div w:id="447049433">
      <w:bodyDiv w:val="1"/>
      <w:marLeft w:val="0"/>
      <w:marRight w:val="0"/>
      <w:marTop w:val="0"/>
      <w:marBottom w:val="0"/>
      <w:divBdr>
        <w:top w:val="none" w:sz="0" w:space="0" w:color="auto"/>
        <w:left w:val="none" w:sz="0" w:space="0" w:color="auto"/>
        <w:bottom w:val="none" w:sz="0" w:space="0" w:color="auto"/>
        <w:right w:val="none" w:sz="0" w:space="0" w:color="auto"/>
      </w:divBdr>
    </w:div>
    <w:div w:id="453450944">
      <w:bodyDiv w:val="1"/>
      <w:marLeft w:val="0"/>
      <w:marRight w:val="0"/>
      <w:marTop w:val="0"/>
      <w:marBottom w:val="0"/>
      <w:divBdr>
        <w:top w:val="none" w:sz="0" w:space="0" w:color="auto"/>
        <w:left w:val="none" w:sz="0" w:space="0" w:color="auto"/>
        <w:bottom w:val="none" w:sz="0" w:space="0" w:color="auto"/>
        <w:right w:val="none" w:sz="0" w:space="0" w:color="auto"/>
      </w:divBdr>
    </w:div>
    <w:div w:id="461457933">
      <w:bodyDiv w:val="1"/>
      <w:marLeft w:val="0"/>
      <w:marRight w:val="0"/>
      <w:marTop w:val="0"/>
      <w:marBottom w:val="0"/>
      <w:divBdr>
        <w:top w:val="none" w:sz="0" w:space="0" w:color="auto"/>
        <w:left w:val="none" w:sz="0" w:space="0" w:color="auto"/>
        <w:bottom w:val="none" w:sz="0" w:space="0" w:color="auto"/>
        <w:right w:val="none" w:sz="0" w:space="0" w:color="auto"/>
      </w:divBdr>
    </w:div>
    <w:div w:id="472866774">
      <w:bodyDiv w:val="1"/>
      <w:marLeft w:val="0"/>
      <w:marRight w:val="0"/>
      <w:marTop w:val="0"/>
      <w:marBottom w:val="0"/>
      <w:divBdr>
        <w:top w:val="none" w:sz="0" w:space="0" w:color="auto"/>
        <w:left w:val="none" w:sz="0" w:space="0" w:color="auto"/>
        <w:bottom w:val="none" w:sz="0" w:space="0" w:color="auto"/>
        <w:right w:val="none" w:sz="0" w:space="0" w:color="auto"/>
      </w:divBdr>
    </w:div>
    <w:div w:id="472872006">
      <w:bodyDiv w:val="1"/>
      <w:marLeft w:val="0"/>
      <w:marRight w:val="0"/>
      <w:marTop w:val="0"/>
      <w:marBottom w:val="0"/>
      <w:divBdr>
        <w:top w:val="none" w:sz="0" w:space="0" w:color="auto"/>
        <w:left w:val="none" w:sz="0" w:space="0" w:color="auto"/>
        <w:bottom w:val="none" w:sz="0" w:space="0" w:color="auto"/>
        <w:right w:val="none" w:sz="0" w:space="0" w:color="auto"/>
      </w:divBdr>
    </w:div>
    <w:div w:id="473521514">
      <w:bodyDiv w:val="1"/>
      <w:marLeft w:val="0"/>
      <w:marRight w:val="0"/>
      <w:marTop w:val="0"/>
      <w:marBottom w:val="0"/>
      <w:divBdr>
        <w:top w:val="none" w:sz="0" w:space="0" w:color="auto"/>
        <w:left w:val="none" w:sz="0" w:space="0" w:color="auto"/>
        <w:bottom w:val="none" w:sz="0" w:space="0" w:color="auto"/>
        <w:right w:val="none" w:sz="0" w:space="0" w:color="auto"/>
      </w:divBdr>
    </w:div>
    <w:div w:id="479805919">
      <w:bodyDiv w:val="1"/>
      <w:marLeft w:val="0"/>
      <w:marRight w:val="0"/>
      <w:marTop w:val="0"/>
      <w:marBottom w:val="0"/>
      <w:divBdr>
        <w:top w:val="none" w:sz="0" w:space="0" w:color="auto"/>
        <w:left w:val="none" w:sz="0" w:space="0" w:color="auto"/>
        <w:bottom w:val="none" w:sz="0" w:space="0" w:color="auto"/>
        <w:right w:val="none" w:sz="0" w:space="0" w:color="auto"/>
      </w:divBdr>
    </w:div>
    <w:div w:id="480394275">
      <w:bodyDiv w:val="1"/>
      <w:marLeft w:val="0"/>
      <w:marRight w:val="0"/>
      <w:marTop w:val="0"/>
      <w:marBottom w:val="0"/>
      <w:divBdr>
        <w:top w:val="none" w:sz="0" w:space="0" w:color="auto"/>
        <w:left w:val="none" w:sz="0" w:space="0" w:color="auto"/>
        <w:bottom w:val="none" w:sz="0" w:space="0" w:color="auto"/>
        <w:right w:val="none" w:sz="0" w:space="0" w:color="auto"/>
      </w:divBdr>
    </w:div>
    <w:div w:id="498665792">
      <w:bodyDiv w:val="1"/>
      <w:marLeft w:val="0"/>
      <w:marRight w:val="0"/>
      <w:marTop w:val="0"/>
      <w:marBottom w:val="0"/>
      <w:divBdr>
        <w:top w:val="none" w:sz="0" w:space="0" w:color="auto"/>
        <w:left w:val="none" w:sz="0" w:space="0" w:color="auto"/>
        <w:bottom w:val="none" w:sz="0" w:space="0" w:color="auto"/>
        <w:right w:val="none" w:sz="0" w:space="0" w:color="auto"/>
      </w:divBdr>
    </w:div>
    <w:div w:id="526141747">
      <w:bodyDiv w:val="1"/>
      <w:marLeft w:val="0"/>
      <w:marRight w:val="0"/>
      <w:marTop w:val="0"/>
      <w:marBottom w:val="0"/>
      <w:divBdr>
        <w:top w:val="none" w:sz="0" w:space="0" w:color="auto"/>
        <w:left w:val="none" w:sz="0" w:space="0" w:color="auto"/>
        <w:bottom w:val="none" w:sz="0" w:space="0" w:color="auto"/>
        <w:right w:val="none" w:sz="0" w:space="0" w:color="auto"/>
      </w:divBdr>
    </w:div>
    <w:div w:id="526674658">
      <w:bodyDiv w:val="1"/>
      <w:marLeft w:val="0"/>
      <w:marRight w:val="0"/>
      <w:marTop w:val="0"/>
      <w:marBottom w:val="0"/>
      <w:divBdr>
        <w:top w:val="none" w:sz="0" w:space="0" w:color="auto"/>
        <w:left w:val="none" w:sz="0" w:space="0" w:color="auto"/>
        <w:bottom w:val="none" w:sz="0" w:space="0" w:color="auto"/>
        <w:right w:val="none" w:sz="0" w:space="0" w:color="auto"/>
      </w:divBdr>
    </w:div>
    <w:div w:id="530148908">
      <w:bodyDiv w:val="1"/>
      <w:marLeft w:val="0"/>
      <w:marRight w:val="0"/>
      <w:marTop w:val="0"/>
      <w:marBottom w:val="0"/>
      <w:divBdr>
        <w:top w:val="none" w:sz="0" w:space="0" w:color="auto"/>
        <w:left w:val="none" w:sz="0" w:space="0" w:color="auto"/>
        <w:bottom w:val="none" w:sz="0" w:space="0" w:color="auto"/>
        <w:right w:val="none" w:sz="0" w:space="0" w:color="auto"/>
      </w:divBdr>
    </w:div>
    <w:div w:id="530654298">
      <w:bodyDiv w:val="1"/>
      <w:marLeft w:val="0"/>
      <w:marRight w:val="0"/>
      <w:marTop w:val="0"/>
      <w:marBottom w:val="0"/>
      <w:divBdr>
        <w:top w:val="none" w:sz="0" w:space="0" w:color="auto"/>
        <w:left w:val="none" w:sz="0" w:space="0" w:color="auto"/>
        <w:bottom w:val="none" w:sz="0" w:space="0" w:color="auto"/>
        <w:right w:val="none" w:sz="0" w:space="0" w:color="auto"/>
      </w:divBdr>
    </w:div>
    <w:div w:id="534122628">
      <w:bodyDiv w:val="1"/>
      <w:marLeft w:val="0"/>
      <w:marRight w:val="0"/>
      <w:marTop w:val="0"/>
      <w:marBottom w:val="0"/>
      <w:divBdr>
        <w:top w:val="none" w:sz="0" w:space="0" w:color="auto"/>
        <w:left w:val="none" w:sz="0" w:space="0" w:color="auto"/>
        <w:bottom w:val="none" w:sz="0" w:space="0" w:color="auto"/>
        <w:right w:val="none" w:sz="0" w:space="0" w:color="auto"/>
      </w:divBdr>
    </w:div>
    <w:div w:id="547225936">
      <w:bodyDiv w:val="1"/>
      <w:marLeft w:val="0"/>
      <w:marRight w:val="0"/>
      <w:marTop w:val="0"/>
      <w:marBottom w:val="0"/>
      <w:divBdr>
        <w:top w:val="none" w:sz="0" w:space="0" w:color="auto"/>
        <w:left w:val="none" w:sz="0" w:space="0" w:color="auto"/>
        <w:bottom w:val="none" w:sz="0" w:space="0" w:color="auto"/>
        <w:right w:val="none" w:sz="0" w:space="0" w:color="auto"/>
      </w:divBdr>
    </w:div>
    <w:div w:id="548227109">
      <w:bodyDiv w:val="1"/>
      <w:marLeft w:val="0"/>
      <w:marRight w:val="0"/>
      <w:marTop w:val="0"/>
      <w:marBottom w:val="0"/>
      <w:divBdr>
        <w:top w:val="none" w:sz="0" w:space="0" w:color="auto"/>
        <w:left w:val="none" w:sz="0" w:space="0" w:color="auto"/>
        <w:bottom w:val="none" w:sz="0" w:space="0" w:color="auto"/>
        <w:right w:val="none" w:sz="0" w:space="0" w:color="auto"/>
      </w:divBdr>
    </w:div>
    <w:div w:id="554893480">
      <w:bodyDiv w:val="1"/>
      <w:marLeft w:val="0"/>
      <w:marRight w:val="0"/>
      <w:marTop w:val="0"/>
      <w:marBottom w:val="0"/>
      <w:divBdr>
        <w:top w:val="none" w:sz="0" w:space="0" w:color="auto"/>
        <w:left w:val="none" w:sz="0" w:space="0" w:color="auto"/>
        <w:bottom w:val="none" w:sz="0" w:space="0" w:color="auto"/>
        <w:right w:val="none" w:sz="0" w:space="0" w:color="auto"/>
      </w:divBdr>
    </w:div>
    <w:div w:id="556208926">
      <w:bodyDiv w:val="1"/>
      <w:marLeft w:val="0"/>
      <w:marRight w:val="0"/>
      <w:marTop w:val="0"/>
      <w:marBottom w:val="0"/>
      <w:divBdr>
        <w:top w:val="none" w:sz="0" w:space="0" w:color="auto"/>
        <w:left w:val="none" w:sz="0" w:space="0" w:color="auto"/>
        <w:bottom w:val="none" w:sz="0" w:space="0" w:color="auto"/>
        <w:right w:val="none" w:sz="0" w:space="0" w:color="auto"/>
      </w:divBdr>
    </w:div>
    <w:div w:id="556285065">
      <w:bodyDiv w:val="1"/>
      <w:marLeft w:val="0"/>
      <w:marRight w:val="0"/>
      <w:marTop w:val="0"/>
      <w:marBottom w:val="0"/>
      <w:divBdr>
        <w:top w:val="none" w:sz="0" w:space="0" w:color="auto"/>
        <w:left w:val="none" w:sz="0" w:space="0" w:color="auto"/>
        <w:bottom w:val="none" w:sz="0" w:space="0" w:color="auto"/>
        <w:right w:val="none" w:sz="0" w:space="0" w:color="auto"/>
      </w:divBdr>
    </w:div>
    <w:div w:id="560796306">
      <w:bodyDiv w:val="1"/>
      <w:marLeft w:val="0"/>
      <w:marRight w:val="0"/>
      <w:marTop w:val="0"/>
      <w:marBottom w:val="0"/>
      <w:divBdr>
        <w:top w:val="none" w:sz="0" w:space="0" w:color="auto"/>
        <w:left w:val="none" w:sz="0" w:space="0" w:color="auto"/>
        <w:bottom w:val="none" w:sz="0" w:space="0" w:color="auto"/>
        <w:right w:val="none" w:sz="0" w:space="0" w:color="auto"/>
      </w:divBdr>
    </w:div>
    <w:div w:id="561596900">
      <w:bodyDiv w:val="1"/>
      <w:marLeft w:val="0"/>
      <w:marRight w:val="0"/>
      <w:marTop w:val="0"/>
      <w:marBottom w:val="0"/>
      <w:divBdr>
        <w:top w:val="none" w:sz="0" w:space="0" w:color="auto"/>
        <w:left w:val="none" w:sz="0" w:space="0" w:color="auto"/>
        <w:bottom w:val="none" w:sz="0" w:space="0" w:color="auto"/>
        <w:right w:val="none" w:sz="0" w:space="0" w:color="auto"/>
      </w:divBdr>
    </w:div>
    <w:div w:id="582183212">
      <w:bodyDiv w:val="1"/>
      <w:marLeft w:val="0"/>
      <w:marRight w:val="0"/>
      <w:marTop w:val="0"/>
      <w:marBottom w:val="0"/>
      <w:divBdr>
        <w:top w:val="none" w:sz="0" w:space="0" w:color="auto"/>
        <w:left w:val="none" w:sz="0" w:space="0" w:color="auto"/>
        <w:bottom w:val="none" w:sz="0" w:space="0" w:color="auto"/>
        <w:right w:val="none" w:sz="0" w:space="0" w:color="auto"/>
      </w:divBdr>
    </w:div>
    <w:div w:id="589587480">
      <w:bodyDiv w:val="1"/>
      <w:marLeft w:val="0"/>
      <w:marRight w:val="0"/>
      <w:marTop w:val="0"/>
      <w:marBottom w:val="0"/>
      <w:divBdr>
        <w:top w:val="none" w:sz="0" w:space="0" w:color="auto"/>
        <w:left w:val="none" w:sz="0" w:space="0" w:color="auto"/>
        <w:bottom w:val="none" w:sz="0" w:space="0" w:color="auto"/>
        <w:right w:val="none" w:sz="0" w:space="0" w:color="auto"/>
      </w:divBdr>
    </w:div>
    <w:div w:id="608052807">
      <w:bodyDiv w:val="1"/>
      <w:marLeft w:val="0"/>
      <w:marRight w:val="0"/>
      <w:marTop w:val="0"/>
      <w:marBottom w:val="0"/>
      <w:divBdr>
        <w:top w:val="none" w:sz="0" w:space="0" w:color="auto"/>
        <w:left w:val="none" w:sz="0" w:space="0" w:color="auto"/>
        <w:bottom w:val="none" w:sz="0" w:space="0" w:color="auto"/>
        <w:right w:val="none" w:sz="0" w:space="0" w:color="auto"/>
      </w:divBdr>
    </w:div>
    <w:div w:id="609357211">
      <w:bodyDiv w:val="1"/>
      <w:marLeft w:val="0"/>
      <w:marRight w:val="0"/>
      <w:marTop w:val="0"/>
      <w:marBottom w:val="0"/>
      <w:divBdr>
        <w:top w:val="none" w:sz="0" w:space="0" w:color="auto"/>
        <w:left w:val="none" w:sz="0" w:space="0" w:color="auto"/>
        <w:bottom w:val="none" w:sz="0" w:space="0" w:color="auto"/>
        <w:right w:val="none" w:sz="0" w:space="0" w:color="auto"/>
      </w:divBdr>
    </w:div>
    <w:div w:id="623314419">
      <w:bodyDiv w:val="1"/>
      <w:marLeft w:val="0"/>
      <w:marRight w:val="0"/>
      <w:marTop w:val="0"/>
      <w:marBottom w:val="0"/>
      <w:divBdr>
        <w:top w:val="none" w:sz="0" w:space="0" w:color="auto"/>
        <w:left w:val="none" w:sz="0" w:space="0" w:color="auto"/>
        <w:bottom w:val="none" w:sz="0" w:space="0" w:color="auto"/>
        <w:right w:val="none" w:sz="0" w:space="0" w:color="auto"/>
      </w:divBdr>
    </w:div>
    <w:div w:id="631399773">
      <w:bodyDiv w:val="1"/>
      <w:marLeft w:val="0"/>
      <w:marRight w:val="0"/>
      <w:marTop w:val="0"/>
      <w:marBottom w:val="0"/>
      <w:divBdr>
        <w:top w:val="none" w:sz="0" w:space="0" w:color="auto"/>
        <w:left w:val="none" w:sz="0" w:space="0" w:color="auto"/>
        <w:bottom w:val="none" w:sz="0" w:space="0" w:color="auto"/>
        <w:right w:val="none" w:sz="0" w:space="0" w:color="auto"/>
      </w:divBdr>
    </w:div>
    <w:div w:id="631789260">
      <w:bodyDiv w:val="1"/>
      <w:marLeft w:val="0"/>
      <w:marRight w:val="0"/>
      <w:marTop w:val="0"/>
      <w:marBottom w:val="0"/>
      <w:divBdr>
        <w:top w:val="none" w:sz="0" w:space="0" w:color="auto"/>
        <w:left w:val="none" w:sz="0" w:space="0" w:color="auto"/>
        <w:bottom w:val="none" w:sz="0" w:space="0" w:color="auto"/>
        <w:right w:val="none" w:sz="0" w:space="0" w:color="auto"/>
      </w:divBdr>
    </w:div>
    <w:div w:id="632059321">
      <w:bodyDiv w:val="1"/>
      <w:marLeft w:val="0"/>
      <w:marRight w:val="0"/>
      <w:marTop w:val="0"/>
      <w:marBottom w:val="0"/>
      <w:divBdr>
        <w:top w:val="none" w:sz="0" w:space="0" w:color="auto"/>
        <w:left w:val="none" w:sz="0" w:space="0" w:color="auto"/>
        <w:bottom w:val="none" w:sz="0" w:space="0" w:color="auto"/>
        <w:right w:val="none" w:sz="0" w:space="0" w:color="auto"/>
      </w:divBdr>
    </w:div>
    <w:div w:id="634987951">
      <w:bodyDiv w:val="1"/>
      <w:marLeft w:val="0"/>
      <w:marRight w:val="0"/>
      <w:marTop w:val="0"/>
      <w:marBottom w:val="0"/>
      <w:divBdr>
        <w:top w:val="none" w:sz="0" w:space="0" w:color="auto"/>
        <w:left w:val="none" w:sz="0" w:space="0" w:color="auto"/>
        <w:bottom w:val="none" w:sz="0" w:space="0" w:color="auto"/>
        <w:right w:val="none" w:sz="0" w:space="0" w:color="auto"/>
      </w:divBdr>
    </w:div>
    <w:div w:id="643895529">
      <w:bodyDiv w:val="1"/>
      <w:marLeft w:val="0"/>
      <w:marRight w:val="0"/>
      <w:marTop w:val="0"/>
      <w:marBottom w:val="0"/>
      <w:divBdr>
        <w:top w:val="none" w:sz="0" w:space="0" w:color="auto"/>
        <w:left w:val="none" w:sz="0" w:space="0" w:color="auto"/>
        <w:bottom w:val="none" w:sz="0" w:space="0" w:color="auto"/>
        <w:right w:val="none" w:sz="0" w:space="0" w:color="auto"/>
      </w:divBdr>
    </w:div>
    <w:div w:id="648291266">
      <w:bodyDiv w:val="1"/>
      <w:marLeft w:val="0"/>
      <w:marRight w:val="0"/>
      <w:marTop w:val="0"/>
      <w:marBottom w:val="0"/>
      <w:divBdr>
        <w:top w:val="none" w:sz="0" w:space="0" w:color="auto"/>
        <w:left w:val="none" w:sz="0" w:space="0" w:color="auto"/>
        <w:bottom w:val="none" w:sz="0" w:space="0" w:color="auto"/>
        <w:right w:val="none" w:sz="0" w:space="0" w:color="auto"/>
      </w:divBdr>
    </w:div>
    <w:div w:id="653753100">
      <w:bodyDiv w:val="1"/>
      <w:marLeft w:val="0"/>
      <w:marRight w:val="0"/>
      <w:marTop w:val="0"/>
      <w:marBottom w:val="0"/>
      <w:divBdr>
        <w:top w:val="none" w:sz="0" w:space="0" w:color="auto"/>
        <w:left w:val="none" w:sz="0" w:space="0" w:color="auto"/>
        <w:bottom w:val="none" w:sz="0" w:space="0" w:color="auto"/>
        <w:right w:val="none" w:sz="0" w:space="0" w:color="auto"/>
      </w:divBdr>
    </w:div>
    <w:div w:id="662657994">
      <w:bodyDiv w:val="1"/>
      <w:marLeft w:val="0"/>
      <w:marRight w:val="0"/>
      <w:marTop w:val="0"/>
      <w:marBottom w:val="0"/>
      <w:divBdr>
        <w:top w:val="none" w:sz="0" w:space="0" w:color="auto"/>
        <w:left w:val="none" w:sz="0" w:space="0" w:color="auto"/>
        <w:bottom w:val="none" w:sz="0" w:space="0" w:color="auto"/>
        <w:right w:val="none" w:sz="0" w:space="0" w:color="auto"/>
      </w:divBdr>
    </w:div>
    <w:div w:id="665934575">
      <w:bodyDiv w:val="1"/>
      <w:marLeft w:val="0"/>
      <w:marRight w:val="0"/>
      <w:marTop w:val="0"/>
      <w:marBottom w:val="0"/>
      <w:divBdr>
        <w:top w:val="none" w:sz="0" w:space="0" w:color="auto"/>
        <w:left w:val="none" w:sz="0" w:space="0" w:color="auto"/>
        <w:bottom w:val="none" w:sz="0" w:space="0" w:color="auto"/>
        <w:right w:val="none" w:sz="0" w:space="0" w:color="auto"/>
      </w:divBdr>
    </w:div>
    <w:div w:id="669022069">
      <w:bodyDiv w:val="1"/>
      <w:marLeft w:val="0"/>
      <w:marRight w:val="0"/>
      <w:marTop w:val="0"/>
      <w:marBottom w:val="0"/>
      <w:divBdr>
        <w:top w:val="none" w:sz="0" w:space="0" w:color="auto"/>
        <w:left w:val="none" w:sz="0" w:space="0" w:color="auto"/>
        <w:bottom w:val="none" w:sz="0" w:space="0" w:color="auto"/>
        <w:right w:val="none" w:sz="0" w:space="0" w:color="auto"/>
      </w:divBdr>
    </w:div>
    <w:div w:id="674040180">
      <w:bodyDiv w:val="1"/>
      <w:marLeft w:val="0"/>
      <w:marRight w:val="0"/>
      <w:marTop w:val="0"/>
      <w:marBottom w:val="0"/>
      <w:divBdr>
        <w:top w:val="none" w:sz="0" w:space="0" w:color="auto"/>
        <w:left w:val="none" w:sz="0" w:space="0" w:color="auto"/>
        <w:bottom w:val="none" w:sz="0" w:space="0" w:color="auto"/>
        <w:right w:val="none" w:sz="0" w:space="0" w:color="auto"/>
      </w:divBdr>
    </w:div>
    <w:div w:id="677077890">
      <w:bodyDiv w:val="1"/>
      <w:marLeft w:val="0"/>
      <w:marRight w:val="0"/>
      <w:marTop w:val="0"/>
      <w:marBottom w:val="0"/>
      <w:divBdr>
        <w:top w:val="none" w:sz="0" w:space="0" w:color="auto"/>
        <w:left w:val="none" w:sz="0" w:space="0" w:color="auto"/>
        <w:bottom w:val="none" w:sz="0" w:space="0" w:color="auto"/>
        <w:right w:val="none" w:sz="0" w:space="0" w:color="auto"/>
      </w:divBdr>
    </w:div>
    <w:div w:id="678703522">
      <w:bodyDiv w:val="1"/>
      <w:marLeft w:val="0"/>
      <w:marRight w:val="0"/>
      <w:marTop w:val="0"/>
      <w:marBottom w:val="0"/>
      <w:divBdr>
        <w:top w:val="none" w:sz="0" w:space="0" w:color="auto"/>
        <w:left w:val="none" w:sz="0" w:space="0" w:color="auto"/>
        <w:bottom w:val="none" w:sz="0" w:space="0" w:color="auto"/>
        <w:right w:val="none" w:sz="0" w:space="0" w:color="auto"/>
      </w:divBdr>
    </w:div>
    <w:div w:id="684868867">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88874463">
      <w:bodyDiv w:val="1"/>
      <w:marLeft w:val="0"/>
      <w:marRight w:val="0"/>
      <w:marTop w:val="0"/>
      <w:marBottom w:val="0"/>
      <w:divBdr>
        <w:top w:val="none" w:sz="0" w:space="0" w:color="auto"/>
        <w:left w:val="none" w:sz="0" w:space="0" w:color="auto"/>
        <w:bottom w:val="none" w:sz="0" w:space="0" w:color="auto"/>
        <w:right w:val="none" w:sz="0" w:space="0" w:color="auto"/>
      </w:divBdr>
    </w:div>
    <w:div w:id="689070474">
      <w:bodyDiv w:val="1"/>
      <w:marLeft w:val="0"/>
      <w:marRight w:val="0"/>
      <w:marTop w:val="0"/>
      <w:marBottom w:val="0"/>
      <w:divBdr>
        <w:top w:val="none" w:sz="0" w:space="0" w:color="auto"/>
        <w:left w:val="none" w:sz="0" w:space="0" w:color="auto"/>
        <w:bottom w:val="none" w:sz="0" w:space="0" w:color="auto"/>
        <w:right w:val="none" w:sz="0" w:space="0" w:color="auto"/>
      </w:divBdr>
    </w:div>
    <w:div w:id="689643902">
      <w:bodyDiv w:val="1"/>
      <w:marLeft w:val="0"/>
      <w:marRight w:val="0"/>
      <w:marTop w:val="0"/>
      <w:marBottom w:val="0"/>
      <w:divBdr>
        <w:top w:val="none" w:sz="0" w:space="0" w:color="auto"/>
        <w:left w:val="none" w:sz="0" w:space="0" w:color="auto"/>
        <w:bottom w:val="none" w:sz="0" w:space="0" w:color="auto"/>
        <w:right w:val="none" w:sz="0" w:space="0" w:color="auto"/>
      </w:divBdr>
    </w:div>
    <w:div w:id="693841884">
      <w:bodyDiv w:val="1"/>
      <w:marLeft w:val="0"/>
      <w:marRight w:val="0"/>
      <w:marTop w:val="0"/>
      <w:marBottom w:val="0"/>
      <w:divBdr>
        <w:top w:val="none" w:sz="0" w:space="0" w:color="auto"/>
        <w:left w:val="none" w:sz="0" w:space="0" w:color="auto"/>
        <w:bottom w:val="none" w:sz="0" w:space="0" w:color="auto"/>
        <w:right w:val="none" w:sz="0" w:space="0" w:color="auto"/>
      </w:divBdr>
    </w:div>
    <w:div w:id="711267520">
      <w:bodyDiv w:val="1"/>
      <w:marLeft w:val="0"/>
      <w:marRight w:val="0"/>
      <w:marTop w:val="0"/>
      <w:marBottom w:val="0"/>
      <w:divBdr>
        <w:top w:val="none" w:sz="0" w:space="0" w:color="auto"/>
        <w:left w:val="none" w:sz="0" w:space="0" w:color="auto"/>
        <w:bottom w:val="none" w:sz="0" w:space="0" w:color="auto"/>
        <w:right w:val="none" w:sz="0" w:space="0" w:color="auto"/>
      </w:divBdr>
    </w:div>
    <w:div w:id="722875546">
      <w:bodyDiv w:val="1"/>
      <w:marLeft w:val="0"/>
      <w:marRight w:val="0"/>
      <w:marTop w:val="0"/>
      <w:marBottom w:val="0"/>
      <w:divBdr>
        <w:top w:val="none" w:sz="0" w:space="0" w:color="auto"/>
        <w:left w:val="none" w:sz="0" w:space="0" w:color="auto"/>
        <w:bottom w:val="none" w:sz="0" w:space="0" w:color="auto"/>
        <w:right w:val="none" w:sz="0" w:space="0" w:color="auto"/>
      </w:divBdr>
    </w:div>
    <w:div w:id="730925117">
      <w:bodyDiv w:val="1"/>
      <w:marLeft w:val="0"/>
      <w:marRight w:val="0"/>
      <w:marTop w:val="0"/>
      <w:marBottom w:val="0"/>
      <w:divBdr>
        <w:top w:val="none" w:sz="0" w:space="0" w:color="auto"/>
        <w:left w:val="none" w:sz="0" w:space="0" w:color="auto"/>
        <w:bottom w:val="none" w:sz="0" w:space="0" w:color="auto"/>
        <w:right w:val="none" w:sz="0" w:space="0" w:color="auto"/>
      </w:divBdr>
    </w:div>
    <w:div w:id="733701185">
      <w:bodyDiv w:val="1"/>
      <w:marLeft w:val="0"/>
      <w:marRight w:val="0"/>
      <w:marTop w:val="0"/>
      <w:marBottom w:val="0"/>
      <w:divBdr>
        <w:top w:val="none" w:sz="0" w:space="0" w:color="auto"/>
        <w:left w:val="none" w:sz="0" w:space="0" w:color="auto"/>
        <w:bottom w:val="none" w:sz="0" w:space="0" w:color="auto"/>
        <w:right w:val="none" w:sz="0" w:space="0" w:color="auto"/>
      </w:divBdr>
    </w:div>
    <w:div w:id="745687673">
      <w:bodyDiv w:val="1"/>
      <w:marLeft w:val="0"/>
      <w:marRight w:val="0"/>
      <w:marTop w:val="0"/>
      <w:marBottom w:val="0"/>
      <w:divBdr>
        <w:top w:val="none" w:sz="0" w:space="0" w:color="auto"/>
        <w:left w:val="none" w:sz="0" w:space="0" w:color="auto"/>
        <w:bottom w:val="none" w:sz="0" w:space="0" w:color="auto"/>
        <w:right w:val="none" w:sz="0" w:space="0" w:color="auto"/>
      </w:divBdr>
    </w:div>
    <w:div w:id="760640893">
      <w:bodyDiv w:val="1"/>
      <w:marLeft w:val="0"/>
      <w:marRight w:val="0"/>
      <w:marTop w:val="0"/>
      <w:marBottom w:val="0"/>
      <w:divBdr>
        <w:top w:val="none" w:sz="0" w:space="0" w:color="auto"/>
        <w:left w:val="none" w:sz="0" w:space="0" w:color="auto"/>
        <w:bottom w:val="none" w:sz="0" w:space="0" w:color="auto"/>
        <w:right w:val="none" w:sz="0" w:space="0" w:color="auto"/>
      </w:divBdr>
    </w:div>
    <w:div w:id="767115803">
      <w:bodyDiv w:val="1"/>
      <w:marLeft w:val="0"/>
      <w:marRight w:val="0"/>
      <w:marTop w:val="0"/>
      <w:marBottom w:val="0"/>
      <w:divBdr>
        <w:top w:val="none" w:sz="0" w:space="0" w:color="auto"/>
        <w:left w:val="none" w:sz="0" w:space="0" w:color="auto"/>
        <w:bottom w:val="none" w:sz="0" w:space="0" w:color="auto"/>
        <w:right w:val="none" w:sz="0" w:space="0" w:color="auto"/>
      </w:divBdr>
    </w:div>
    <w:div w:id="770125413">
      <w:bodyDiv w:val="1"/>
      <w:marLeft w:val="0"/>
      <w:marRight w:val="0"/>
      <w:marTop w:val="0"/>
      <w:marBottom w:val="0"/>
      <w:divBdr>
        <w:top w:val="none" w:sz="0" w:space="0" w:color="auto"/>
        <w:left w:val="none" w:sz="0" w:space="0" w:color="auto"/>
        <w:bottom w:val="none" w:sz="0" w:space="0" w:color="auto"/>
        <w:right w:val="none" w:sz="0" w:space="0" w:color="auto"/>
      </w:divBdr>
    </w:div>
    <w:div w:id="778766918">
      <w:bodyDiv w:val="1"/>
      <w:marLeft w:val="0"/>
      <w:marRight w:val="0"/>
      <w:marTop w:val="0"/>
      <w:marBottom w:val="0"/>
      <w:divBdr>
        <w:top w:val="none" w:sz="0" w:space="0" w:color="auto"/>
        <w:left w:val="none" w:sz="0" w:space="0" w:color="auto"/>
        <w:bottom w:val="none" w:sz="0" w:space="0" w:color="auto"/>
        <w:right w:val="none" w:sz="0" w:space="0" w:color="auto"/>
      </w:divBdr>
    </w:div>
    <w:div w:id="780421658">
      <w:bodyDiv w:val="1"/>
      <w:marLeft w:val="0"/>
      <w:marRight w:val="0"/>
      <w:marTop w:val="0"/>
      <w:marBottom w:val="0"/>
      <w:divBdr>
        <w:top w:val="none" w:sz="0" w:space="0" w:color="auto"/>
        <w:left w:val="none" w:sz="0" w:space="0" w:color="auto"/>
        <w:bottom w:val="none" w:sz="0" w:space="0" w:color="auto"/>
        <w:right w:val="none" w:sz="0" w:space="0" w:color="auto"/>
      </w:divBdr>
    </w:div>
    <w:div w:id="783614223">
      <w:bodyDiv w:val="1"/>
      <w:marLeft w:val="0"/>
      <w:marRight w:val="0"/>
      <w:marTop w:val="0"/>
      <w:marBottom w:val="0"/>
      <w:divBdr>
        <w:top w:val="none" w:sz="0" w:space="0" w:color="auto"/>
        <w:left w:val="none" w:sz="0" w:space="0" w:color="auto"/>
        <w:bottom w:val="none" w:sz="0" w:space="0" w:color="auto"/>
        <w:right w:val="none" w:sz="0" w:space="0" w:color="auto"/>
      </w:divBdr>
    </w:div>
    <w:div w:id="784929690">
      <w:bodyDiv w:val="1"/>
      <w:marLeft w:val="0"/>
      <w:marRight w:val="0"/>
      <w:marTop w:val="0"/>
      <w:marBottom w:val="0"/>
      <w:divBdr>
        <w:top w:val="none" w:sz="0" w:space="0" w:color="auto"/>
        <w:left w:val="none" w:sz="0" w:space="0" w:color="auto"/>
        <w:bottom w:val="none" w:sz="0" w:space="0" w:color="auto"/>
        <w:right w:val="none" w:sz="0" w:space="0" w:color="auto"/>
      </w:divBdr>
    </w:div>
    <w:div w:id="796607747">
      <w:bodyDiv w:val="1"/>
      <w:marLeft w:val="0"/>
      <w:marRight w:val="0"/>
      <w:marTop w:val="0"/>
      <w:marBottom w:val="0"/>
      <w:divBdr>
        <w:top w:val="none" w:sz="0" w:space="0" w:color="auto"/>
        <w:left w:val="none" w:sz="0" w:space="0" w:color="auto"/>
        <w:bottom w:val="none" w:sz="0" w:space="0" w:color="auto"/>
        <w:right w:val="none" w:sz="0" w:space="0" w:color="auto"/>
      </w:divBdr>
    </w:div>
    <w:div w:id="806051260">
      <w:bodyDiv w:val="1"/>
      <w:marLeft w:val="0"/>
      <w:marRight w:val="0"/>
      <w:marTop w:val="0"/>
      <w:marBottom w:val="0"/>
      <w:divBdr>
        <w:top w:val="none" w:sz="0" w:space="0" w:color="auto"/>
        <w:left w:val="none" w:sz="0" w:space="0" w:color="auto"/>
        <w:bottom w:val="none" w:sz="0" w:space="0" w:color="auto"/>
        <w:right w:val="none" w:sz="0" w:space="0" w:color="auto"/>
      </w:divBdr>
    </w:div>
    <w:div w:id="830484740">
      <w:bodyDiv w:val="1"/>
      <w:marLeft w:val="0"/>
      <w:marRight w:val="0"/>
      <w:marTop w:val="0"/>
      <w:marBottom w:val="0"/>
      <w:divBdr>
        <w:top w:val="none" w:sz="0" w:space="0" w:color="auto"/>
        <w:left w:val="none" w:sz="0" w:space="0" w:color="auto"/>
        <w:bottom w:val="none" w:sz="0" w:space="0" w:color="auto"/>
        <w:right w:val="none" w:sz="0" w:space="0" w:color="auto"/>
      </w:divBdr>
    </w:div>
    <w:div w:id="840968177">
      <w:bodyDiv w:val="1"/>
      <w:marLeft w:val="0"/>
      <w:marRight w:val="0"/>
      <w:marTop w:val="0"/>
      <w:marBottom w:val="0"/>
      <w:divBdr>
        <w:top w:val="none" w:sz="0" w:space="0" w:color="auto"/>
        <w:left w:val="none" w:sz="0" w:space="0" w:color="auto"/>
        <w:bottom w:val="none" w:sz="0" w:space="0" w:color="auto"/>
        <w:right w:val="none" w:sz="0" w:space="0" w:color="auto"/>
      </w:divBdr>
    </w:div>
    <w:div w:id="841357005">
      <w:bodyDiv w:val="1"/>
      <w:marLeft w:val="0"/>
      <w:marRight w:val="0"/>
      <w:marTop w:val="0"/>
      <w:marBottom w:val="0"/>
      <w:divBdr>
        <w:top w:val="none" w:sz="0" w:space="0" w:color="auto"/>
        <w:left w:val="none" w:sz="0" w:space="0" w:color="auto"/>
        <w:bottom w:val="none" w:sz="0" w:space="0" w:color="auto"/>
        <w:right w:val="none" w:sz="0" w:space="0" w:color="auto"/>
      </w:divBdr>
    </w:div>
    <w:div w:id="846364113">
      <w:bodyDiv w:val="1"/>
      <w:marLeft w:val="0"/>
      <w:marRight w:val="0"/>
      <w:marTop w:val="0"/>
      <w:marBottom w:val="0"/>
      <w:divBdr>
        <w:top w:val="none" w:sz="0" w:space="0" w:color="auto"/>
        <w:left w:val="none" w:sz="0" w:space="0" w:color="auto"/>
        <w:bottom w:val="none" w:sz="0" w:space="0" w:color="auto"/>
        <w:right w:val="none" w:sz="0" w:space="0" w:color="auto"/>
      </w:divBdr>
    </w:div>
    <w:div w:id="859661651">
      <w:bodyDiv w:val="1"/>
      <w:marLeft w:val="0"/>
      <w:marRight w:val="0"/>
      <w:marTop w:val="0"/>
      <w:marBottom w:val="0"/>
      <w:divBdr>
        <w:top w:val="none" w:sz="0" w:space="0" w:color="auto"/>
        <w:left w:val="none" w:sz="0" w:space="0" w:color="auto"/>
        <w:bottom w:val="none" w:sz="0" w:space="0" w:color="auto"/>
        <w:right w:val="none" w:sz="0" w:space="0" w:color="auto"/>
      </w:divBdr>
    </w:div>
    <w:div w:id="884677939">
      <w:bodyDiv w:val="1"/>
      <w:marLeft w:val="0"/>
      <w:marRight w:val="0"/>
      <w:marTop w:val="0"/>
      <w:marBottom w:val="0"/>
      <w:divBdr>
        <w:top w:val="none" w:sz="0" w:space="0" w:color="auto"/>
        <w:left w:val="none" w:sz="0" w:space="0" w:color="auto"/>
        <w:bottom w:val="none" w:sz="0" w:space="0" w:color="auto"/>
        <w:right w:val="none" w:sz="0" w:space="0" w:color="auto"/>
      </w:divBdr>
    </w:div>
    <w:div w:id="893780756">
      <w:bodyDiv w:val="1"/>
      <w:marLeft w:val="0"/>
      <w:marRight w:val="0"/>
      <w:marTop w:val="0"/>
      <w:marBottom w:val="0"/>
      <w:divBdr>
        <w:top w:val="none" w:sz="0" w:space="0" w:color="auto"/>
        <w:left w:val="none" w:sz="0" w:space="0" w:color="auto"/>
        <w:bottom w:val="none" w:sz="0" w:space="0" w:color="auto"/>
        <w:right w:val="none" w:sz="0" w:space="0" w:color="auto"/>
      </w:divBdr>
    </w:div>
    <w:div w:id="895894003">
      <w:bodyDiv w:val="1"/>
      <w:marLeft w:val="0"/>
      <w:marRight w:val="0"/>
      <w:marTop w:val="0"/>
      <w:marBottom w:val="0"/>
      <w:divBdr>
        <w:top w:val="none" w:sz="0" w:space="0" w:color="auto"/>
        <w:left w:val="none" w:sz="0" w:space="0" w:color="auto"/>
        <w:bottom w:val="none" w:sz="0" w:space="0" w:color="auto"/>
        <w:right w:val="none" w:sz="0" w:space="0" w:color="auto"/>
      </w:divBdr>
    </w:div>
    <w:div w:id="898593358">
      <w:bodyDiv w:val="1"/>
      <w:marLeft w:val="0"/>
      <w:marRight w:val="0"/>
      <w:marTop w:val="0"/>
      <w:marBottom w:val="0"/>
      <w:divBdr>
        <w:top w:val="none" w:sz="0" w:space="0" w:color="auto"/>
        <w:left w:val="none" w:sz="0" w:space="0" w:color="auto"/>
        <w:bottom w:val="none" w:sz="0" w:space="0" w:color="auto"/>
        <w:right w:val="none" w:sz="0" w:space="0" w:color="auto"/>
      </w:divBdr>
    </w:div>
    <w:div w:id="907155716">
      <w:bodyDiv w:val="1"/>
      <w:marLeft w:val="0"/>
      <w:marRight w:val="0"/>
      <w:marTop w:val="0"/>
      <w:marBottom w:val="0"/>
      <w:divBdr>
        <w:top w:val="none" w:sz="0" w:space="0" w:color="auto"/>
        <w:left w:val="none" w:sz="0" w:space="0" w:color="auto"/>
        <w:bottom w:val="none" w:sz="0" w:space="0" w:color="auto"/>
        <w:right w:val="none" w:sz="0" w:space="0" w:color="auto"/>
      </w:divBdr>
    </w:div>
    <w:div w:id="907498763">
      <w:bodyDiv w:val="1"/>
      <w:marLeft w:val="0"/>
      <w:marRight w:val="0"/>
      <w:marTop w:val="0"/>
      <w:marBottom w:val="0"/>
      <w:divBdr>
        <w:top w:val="none" w:sz="0" w:space="0" w:color="auto"/>
        <w:left w:val="none" w:sz="0" w:space="0" w:color="auto"/>
        <w:bottom w:val="none" w:sz="0" w:space="0" w:color="auto"/>
        <w:right w:val="none" w:sz="0" w:space="0" w:color="auto"/>
      </w:divBdr>
    </w:div>
    <w:div w:id="910041539">
      <w:bodyDiv w:val="1"/>
      <w:marLeft w:val="0"/>
      <w:marRight w:val="0"/>
      <w:marTop w:val="0"/>
      <w:marBottom w:val="0"/>
      <w:divBdr>
        <w:top w:val="none" w:sz="0" w:space="0" w:color="auto"/>
        <w:left w:val="none" w:sz="0" w:space="0" w:color="auto"/>
        <w:bottom w:val="none" w:sz="0" w:space="0" w:color="auto"/>
        <w:right w:val="none" w:sz="0" w:space="0" w:color="auto"/>
      </w:divBdr>
    </w:div>
    <w:div w:id="916356271">
      <w:bodyDiv w:val="1"/>
      <w:marLeft w:val="0"/>
      <w:marRight w:val="0"/>
      <w:marTop w:val="0"/>
      <w:marBottom w:val="0"/>
      <w:divBdr>
        <w:top w:val="none" w:sz="0" w:space="0" w:color="auto"/>
        <w:left w:val="none" w:sz="0" w:space="0" w:color="auto"/>
        <w:bottom w:val="none" w:sz="0" w:space="0" w:color="auto"/>
        <w:right w:val="none" w:sz="0" w:space="0" w:color="auto"/>
      </w:divBdr>
    </w:div>
    <w:div w:id="932513100">
      <w:bodyDiv w:val="1"/>
      <w:marLeft w:val="0"/>
      <w:marRight w:val="0"/>
      <w:marTop w:val="0"/>
      <w:marBottom w:val="0"/>
      <w:divBdr>
        <w:top w:val="none" w:sz="0" w:space="0" w:color="auto"/>
        <w:left w:val="none" w:sz="0" w:space="0" w:color="auto"/>
        <w:bottom w:val="none" w:sz="0" w:space="0" w:color="auto"/>
        <w:right w:val="none" w:sz="0" w:space="0" w:color="auto"/>
      </w:divBdr>
    </w:div>
    <w:div w:id="932519732">
      <w:bodyDiv w:val="1"/>
      <w:marLeft w:val="0"/>
      <w:marRight w:val="0"/>
      <w:marTop w:val="0"/>
      <w:marBottom w:val="0"/>
      <w:divBdr>
        <w:top w:val="none" w:sz="0" w:space="0" w:color="auto"/>
        <w:left w:val="none" w:sz="0" w:space="0" w:color="auto"/>
        <w:bottom w:val="none" w:sz="0" w:space="0" w:color="auto"/>
        <w:right w:val="none" w:sz="0" w:space="0" w:color="auto"/>
      </w:divBdr>
    </w:div>
    <w:div w:id="935600495">
      <w:bodyDiv w:val="1"/>
      <w:marLeft w:val="0"/>
      <w:marRight w:val="0"/>
      <w:marTop w:val="0"/>
      <w:marBottom w:val="0"/>
      <w:divBdr>
        <w:top w:val="none" w:sz="0" w:space="0" w:color="auto"/>
        <w:left w:val="none" w:sz="0" w:space="0" w:color="auto"/>
        <w:bottom w:val="none" w:sz="0" w:space="0" w:color="auto"/>
        <w:right w:val="none" w:sz="0" w:space="0" w:color="auto"/>
      </w:divBdr>
    </w:div>
    <w:div w:id="936907965">
      <w:bodyDiv w:val="1"/>
      <w:marLeft w:val="0"/>
      <w:marRight w:val="0"/>
      <w:marTop w:val="0"/>
      <w:marBottom w:val="0"/>
      <w:divBdr>
        <w:top w:val="none" w:sz="0" w:space="0" w:color="auto"/>
        <w:left w:val="none" w:sz="0" w:space="0" w:color="auto"/>
        <w:bottom w:val="none" w:sz="0" w:space="0" w:color="auto"/>
        <w:right w:val="none" w:sz="0" w:space="0" w:color="auto"/>
      </w:divBdr>
    </w:div>
    <w:div w:id="937834921">
      <w:bodyDiv w:val="1"/>
      <w:marLeft w:val="0"/>
      <w:marRight w:val="0"/>
      <w:marTop w:val="0"/>
      <w:marBottom w:val="0"/>
      <w:divBdr>
        <w:top w:val="none" w:sz="0" w:space="0" w:color="auto"/>
        <w:left w:val="none" w:sz="0" w:space="0" w:color="auto"/>
        <w:bottom w:val="none" w:sz="0" w:space="0" w:color="auto"/>
        <w:right w:val="none" w:sz="0" w:space="0" w:color="auto"/>
      </w:divBdr>
    </w:div>
    <w:div w:id="939876752">
      <w:bodyDiv w:val="1"/>
      <w:marLeft w:val="0"/>
      <w:marRight w:val="0"/>
      <w:marTop w:val="0"/>
      <w:marBottom w:val="0"/>
      <w:divBdr>
        <w:top w:val="none" w:sz="0" w:space="0" w:color="auto"/>
        <w:left w:val="none" w:sz="0" w:space="0" w:color="auto"/>
        <w:bottom w:val="none" w:sz="0" w:space="0" w:color="auto"/>
        <w:right w:val="none" w:sz="0" w:space="0" w:color="auto"/>
      </w:divBdr>
    </w:div>
    <w:div w:id="951397396">
      <w:bodyDiv w:val="1"/>
      <w:marLeft w:val="0"/>
      <w:marRight w:val="0"/>
      <w:marTop w:val="0"/>
      <w:marBottom w:val="0"/>
      <w:divBdr>
        <w:top w:val="none" w:sz="0" w:space="0" w:color="auto"/>
        <w:left w:val="none" w:sz="0" w:space="0" w:color="auto"/>
        <w:bottom w:val="none" w:sz="0" w:space="0" w:color="auto"/>
        <w:right w:val="none" w:sz="0" w:space="0" w:color="auto"/>
      </w:divBdr>
    </w:div>
    <w:div w:id="956375810">
      <w:bodyDiv w:val="1"/>
      <w:marLeft w:val="0"/>
      <w:marRight w:val="0"/>
      <w:marTop w:val="0"/>
      <w:marBottom w:val="0"/>
      <w:divBdr>
        <w:top w:val="none" w:sz="0" w:space="0" w:color="auto"/>
        <w:left w:val="none" w:sz="0" w:space="0" w:color="auto"/>
        <w:bottom w:val="none" w:sz="0" w:space="0" w:color="auto"/>
        <w:right w:val="none" w:sz="0" w:space="0" w:color="auto"/>
      </w:divBdr>
    </w:div>
    <w:div w:id="963540917">
      <w:bodyDiv w:val="1"/>
      <w:marLeft w:val="0"/>
      <w:marRight w:val="0"/>
      <w:marTop w:val="0"/>
      <w:marBottom w:val="0"/>
      <w:divBdr>
        <w:top w:val="none" w:sz="0" w:space="0" w:color="auto"/>
        <w:left w:val="none" w:sz="0" w:space="0" w:color="auto"/>
        <w:bottom w:val="none" w:sz="0" w:space="0" w:color="auto"/>
        <w:right w:val="none" w:sz="0" w:space="0" w:color="auto"/>
      </w:divBdr>
    </w:div>
    <w:div w:id="976953943">
      <w:bodyDiv w:val="1"/>
      <w:marLeft w:val="0"/>
      <w:marRight w:val="0"/>
      <w:marTop w:val="0"/>
      <w:marBottom w:val="0"/>
      <w:divBdr>
        <w:top w:val="none" w:sz="0" w:space="0" w:color="auto"/>
        <w:left w:val="none" w:sz="0" w:space="0" w:color="auto"/>
        <w:bottom w:val="none" w:sz="0" w:space="0" w:color="auto"/>
        <w:right w:val="none" w:sz="0" w:space="0" w:color="auto"/>
      </w:divBdr>
    </w:div>
    <w:div w:id="983849768">
      <w:bodyDiv w:val="1"/>
      <w:marLeft w:val="0"/>
      <w:marRight w:val="0"/>
      <w:marTop w:val="0"/>
      <w:marBottom w:val="0"/>
      <w:divBdr>
        <w:top w:val="none" w:sz="0" w:space="0" w:color="auto"/>
        <w:left w:val="none" w:sz="0" w:space="0" w:color="auto"/>
        <w:bottom w:val="none" w:sz="0" w:space="0" w:color="auto"/>
        <w:right w:val="none" w:sz="0" w:space="0" w:color="auto"/>
      </w:divBdr>
    </w:div>
    <w:div w:id="990215913">
      <w:bodyDiv w:val="1"/>
      <w:marLeft w:val="0"/>
      <w:marRight w:val="0"/>
      <w:marTop w:val="0"/>
      <w:marBottom w:val="0"/>
      <w:divBdr>
        <w:top w:val="none" w:sz="0" w:space="0" w:color="auto"/>
        <w:left w:val="none" w:sz="0" w:space="0" w:color="auto"/>
        <w:bottom w:val="none" w:sz="0" w:space="0" w:color="auto"/>
        <w:right w:val="none" w:sz="0" w:space="0" w:color="auto"/>
      </w:divBdr>
    </w:div>
    <w:div w:id="990407593">
      <w:bodyDiv w:val="1"/>
      <w:marLeft w:val="0"/>
      <w:marRight w:val="0"/>
      <w:marTop w:val="0"/>
      <w:marBottom w:val="0"/>
      <w:divBdr>
        <w:top w:val="none" w:sz="0" w:space="0" w:color="auto"/>
        <w:left w:val="none" w:sz="0" w:space="0" w:color="auto"/>
        <w:bottom w:val="none" w:sz="0" w:space="0" w:color="auto"/>
        <w:right w:val="none" w:sz="0" w:space="0" w:color="auto"/>
      </w:divBdr>
    </w:div>
    <w:div w:id="993491768">
      <w:bodyDiv w:val="1"/>
      <w:marLeft w:val="0"/>
      <w:marRight w:val="0"/>
      <w:marTop w:val="0"/>
      <w:marBottom w:val="0"/>
      <w:divBdr>
        <w:top w:val="none" w:sz="0" w:space="0" w:color="auto"/>
        <w:left w:val="none" w:sz="0" w:space="0" w:color="auto"/>
        <w:bottom w:val="none" w:sz="0" w:space="0" w:color="auto"/>
        <w:right w:val="none" w:sz="0" w:space="0" w:color="auto"/>
      </w:divBdr>
    </w:div>
    <w:div w:id="998922803">
      <w:bodyDiv w:val="1"/>
      <w:marLeft w:val="0"/>
      <w:marRight w:val="0"/>
      <w:marTop w:val="0"/>
      <w:marBottom w:val="0"/>
      <w:divBdr>
        <w:top w:val="none" w:sz="0" w:space="0" w:color="auto"/>
        <w:left w:val="none" w:sz="0" w:space="0" w:color="auto"/>
        <w:bottom w:val="none" w:sz="0" w:space="0" w:color="auto"/>
        <w:right w:val="none" w:sz="0" w:space="0" w:color="auto"/>
      </w:divBdr>
    </w:div>
    <w:div w:id="1005476174">
      <w:bodyDiv w:val="1"/>
      <w:marLeft w:val="0"/>
      <w:marRight w:val="0"/>
      <w:marTop w:val="0"/>
      <w:marBottom w:val="0"/>
      <w:divBdr>
        <w:top w:val="none" w:sz="0" w:space="0" w:color="auto"/>
        <w:left w:val="none" w:sz="0" w:space="0" w:color="auto"/>
        <w:bottom w:val="none" w:sz="0" w:space="0" w:color="auto"/>
        <w:right w:val="none" w:sz="0" w:space="0" w:color="auto"/>
      </w:divBdr>
    </w:div>
    <w:div w:id="1012337571">
      <w:bodyDiv w:val="1"/>
      <w:marLeft w:val="0"/>
      <w:marRight w:val="0"/>
      <w:marTop w:val="0"/>
      <w:marBottom w:val="0"/>
      <w:divBdr>
        <w:top w:val="none" w:sz="0" w:space="0" w:color="auto"/>
        <w:left w:val="none" w:sz="0" w:space="0" w:color="auto"/>
        <w:bottom w:val="none" w:sz="0" w:space="0" w:color="auto"/>
        <w:right w:val="none" w:sz="0" w:space="0" w:color="auto"/>
      </w:divBdr>
    </w:div>
    <w:div w:id="1019746310">
      <w:bodyDiv w:val="1"/>
      <w:marLeft w:val="0"/>
      <w:marRight w:val="0"/>
      <w:marTop w:val="0"/>
      <w:marBottom w:val="0"/>
      <w:divBdr>
        <w:top w:val="none" w:sz="0" w:space="0" w:color="auto"/>
        <w:left w:val="none" w:sz="0" w:space="0" w:color="auto"/>
        <w:bottom w:val="none" w:sz="0" w:space="0" w:color="auto"/>
        <w:right w:val="none" w:sz="0" w:space="0" w:color="auto"/>
      </w:divBdr>
    </w:div>
    <w:div w:id="1022897870">
      <w:bodyDiv w:val="1"/>
      <w:marLeft w:val="0"/>
      <w:marRight w:val="0"/>
      <w:marTop w:val="0"/>
      <w:marBottom w:val="0"/>
      <w:divBdr>
        <w:top w:val="none" w:sz="0" w:space="0" w:color="auto"/>
        <w:left w:val="none" w:sz="0" w:space="0" w:color="auto"/>
        <w:bottom w:val="none" w:sz="0" w:space="0" w:color="auto"/>
        <w:right w:val="none" w:sz="0" w:space="0" w:color="auto"/>
      </w:divBdr>
    </w:div>
    <w:div w:id="1023482071">
      <w:bodyDiv w:val="1"/>
      <w:marLeft w:val="0"/>
      <w:marRight w:val="0"/>
      <w:marTop w:val="0"/>
      <w:marBottom w:val="0"/>
      <w:divBdr>
        <w:top w:val="none" w:sz="0" w:space="0" w:color="auto"/>
        <w:left w:val="none" w:sz="0" w:space="0" w:color="auto"/>
        <w:bottom w:val="none" w:sz="0" w:space="0" w:color="auto"/>
        <w:right w:val="none" w:sz="0" w:space="0" w:color="auto"/>
      </w:divBdr>
    </w:div>
    <w:div w:id="1028333585">
      <w:bodyDiv w:val="1"/>
      <w:marLeft w:val="0"/>
      <w:marRight w:val="0"/>
      <w:marTop w:val="0"/>
      <w:marBottom w:val="0"/>
      <w:divBdr>
        <w:top w:val="none" w:sz="0" w:space="0" w:color="auto"/>
        <w:left w:val="none" w:sz="0" w:space="0" w:color="auto"/>
        <w:bottom w:val="none" w:sz="0" w:space="0" w:color="auto"/>
        <w:right w:val="none" w:sz="0" w:space="0" w:color="auto"/>
      </w:divBdr>
    </w:div>
    <w:div w:id="1031997722">
      <w:bodyDiv w:val="1"/>
      <w:marLeft w:val="0"/>
      <w:marRight w:val="0"/>
      <w:marTop w:val="0"/>
      <w:marBottom w:val="0"/>
      <w:divBdr>
        <w:top w:val="none" w:sz="0" w:space="0" w:color="auto"/>
        <w:left w:val="none" w:sz="0" w:space="0" w:color="auto"/>
        <w:bottom w:val="none" w:sz="0" w:space="0" w:color="auto"/>
        <w:right w:val="none" w:sz="0" w:space="0" w:color="auto"/>
      </w:divBdr>
    </w:div>
    <w:div w:id="1040396570">
      <w:bodyDiv w:val="1"/>
      <w:marLeft w:val="0"/>
      <w:marRight w:val="0"/>
      <w:marTop w:val="0"/>
      <w:marBottom w:val="0"/>
      <w:divBdr>
        <w:top w:val="none" w:sz="0" w:space="0" w:color="auto"/>
        <w:left w:val="none" w:sz="0" w:space="0" w:color="auto"/>
        <w:bottom w:val="none" w:sz="0" w:space="0" w:color="auto"/>
        <w:right w:val="none" w:sz="0" w:space="0" w:color="auto"/>
      </w:divBdr>
    </w:div>
    <w:div w:id="1051803730">
      <w:bodyDiv w:val="1"/>
      <w:marLeft w:val="0"/>
      <w:marRight w:val="0"/>
      <w:marTop w:val="0"/>
      <w:marBottom w:val="0"/>
      <w:divBdr>
        <w:top w:val="none" w:sz="0" w:space="0" w:color="auto"/>
        <w:left w:val="none" w:sz="0" w:space="0" w:color="auto"/>
        <w:bottom w:val="none" w:sz="0" w:space="0" w:color="auto"/>
        <w:right w:val="none" w:sz="0" w:space="0" w:color="auto"/>
      </w:divBdr>
    </w:div>
    <w:div w:id="1060322317">
      <w:bodyDiv w:val="1"/>
      <w:marLeft w:val="0"/>
      <w:marRight w:val="0"/>
      <w:marTop w:val="0"/>
      <w:marBottom w:val="0"/>
      <w:divBdr>
        <w:top w:val="none" w:sz="0" w:space="0" w:color="auto"/>
        <w:left w:val="none" w:sz="0" w:space="0" w:color="auto"/>
        <w:bottom w:val="none" w:sz="0" w:space="0" w:color="auto"/>
        <w:right w:val="none" w:sz="0" w:space="0" w:color="auto"/>
      </w:divBdr>
    </w:div>
    <w:div w:id="1061171104">
      <w:bodyDiv w:val="1"/>
      <w:marLeft w:val="0"/>
      <w:marRight w:val="0"/>
      <w:marTop w:val="0"/>
      <w:marBottom w:val="0"/>
      <w:divBdr>
        <w:top w:val="none" w:sz="0" w:space="0" w:color="auto"/>
        <w:left w:val="none" w:sz="0" w:space="0" w:color="auto"/>
        <w:bottom w:val="none" w:sz="0" w:space="0" w:color="auto"/>
        <w:right w:val="none" w:sz="0" w:space="0" w:color="auto"/>
      </w:divBdr>
    </w:div>
    <w:div w:id="1074158763">
      <w:bodyDiv w:val="1"/>
      <w:marLeft w:val="0"/>
      <w:marRight w:val="0"/>
      <w:marTop w:val="0"/>
      <w:marBottom w:val="0"/>
      <w:divBdr>
        <w:top w:val="none" w:sz="0" w:space="0" w:color="auto"/>
        <w:left w:val="none" w:sz="0" w:space="0" w:color="auto"/>
        <w:bottom w:val="none" w:sz="0" w:space="0" w:color="auto"/>
        <w:right w:val="none" w:sz="0" w:space="0" w:color="auto"/>
      </w:divBdr>
    </w:div>
    <w:div w:id="1084912655">
      <w:bodyDiv w:val="1"/>
      <w:marLeft w:val="0"/>
      <w:marRight w:val="0"/>
      <w:marTop w:val="0"/>
      <w:marBottom w:val="0"/>
      <w:divBdr>
        <w:top w:val="none" w:sz="0" w:space="0" w:color="auto"/>
        <w:left w:val="none" w:sz="0" w:space="0" w:color="auto"/>
        <w:bottom w:val="none" w:sz="0" w:space="0" w:color="auto"/>
        <w:right w:val="none" w:sz="0" w:space="0" w:color="auto"/>
      </w:divBdr>
    </w:div>
    <w:div w:id="1086733639">
      <w:bodyDiv w:val="1"/>
      <w:marLeft w:val="0"/>
      <w:marRight w:val="0"/>
      <w:marTop w:val="0"/>
      <w:marBottom w:val="0"/>
      <w:divBdr>
        <w:top w:val="none" w:sz="0" w:space="0" w:color="auto"/>
        <w:left w:val="none" w:sz="0" w:space="0" w:color="auto"/>
        <w:bottom w:val="none" w:sz="0" w:space="0" w:color="auto"/>
        <w:right w:val="none" w:sz="0" w:space="0" w:color="auto"/>
      </w:divBdr>
    </w:div>
    <w:div w:id="1090927289">
      <w:bodyDiv w:val="1"/>
      <w:marLeft w:val="0"/>
      <w:marRight w:val="0"/>
      <w:marTop w:val="0"/>
      <w:marBottom w:val="0"/>
      <w:divBdr>
        <w:top w:val="none" w:sz="0" w:space="0" w:color="auto"/>
        <w:left w:val="none" w:sz="0" w:space="0" w:color="auto"/>
        <w:bottom w:val="none" w:sz="0" w:space="0" w:color="auto"/>
        <w:right w:val="none" w:sz="0" w:space="0" w:color="auto"/>
      </w:divBdr>
    </w:div>
    <w:div w:id="1110004847">
      <w:bodyDiv w:val="1"/>
      <w:marLeft w:val="0"/>
      <w:marRight w:val="0"/>
      <w:marTop w:val="0"/>
      <w:marBottom w:val="0"/>
      <w:divBdr>
        <w:top w:val="none" w:sz="0" w:space="0" w:color="auto"/>
        <w:left w:val="none" w:sz="0" w:space="0" w:color="auto"/>
        <w:bottom w:val="none" w:sz="0" w:space="0" w:color="auto"/>
        <w:right w:val="none" w:sz="0" w:space="0" w:color="auto"/>
      </w:divBdr>
    </w:div>
    <w:div w:id="1116675296">
      <w:bodyDiv w:val="1"/>
      <w:marLeft w:val="0"/>
      <w:marRight w:val="0"/>
      <w:marTop w:val="0"/>
      <w:marBottom w:val="0"/>
      <w:divBdr>
        <w:top w:val="none" w:sz="0" w:space="0" w:color="auto"/>
        <w:left w:val="none" w:sz="0" w:space="0" w:color="auto"/>
        <w:bottom w:val="none" w:sz="0" w:space="0" w:color="auto"/>
        <w:right w:val="none" w:sz="0" w:space="0" w:color="auto"/>
      </w:divBdr>
    </w:div>
    <w:div w:id="1121995931">
      <w:bodyDiv w:val="1"/>
      <w:marLeft w:val="0"/>
      <w:marRight w:val="0"/>
      <w:marTop w:val="0"/>
      <w:marBottom w:val="0"/>
      <w:divBdr>
        <w:top w:val="none" w:sz="0" w:space="0" w:color="auto"/>
        <w:left w:val="none" w:sz="0" w:space="0" w:color="auto"/>
        <w:bottom w:val="none" w:sz="0" w:space="0" w:color="auto"/>
        <w:right w:val="none" w:sz="0" w:space="0" w:color="auto"/>
      </w:divBdr>
    </w:div>
    <w:div w:id="1133330593">
      <w:bodyDiv w:val="1"/>
      <w:marLeft w:val="0"/>
      <w:marRight w:val="0"/>
      <w:marTop w:val="0"/>
      <w:marBottom w:val="0"/>
      <w:divBdr>
        <w:top w:val="none" w:sz="0" w:space="0" w:color="auto"/>
        <w:left w:val="none" w:sz="0" w:space="0" w:color="auto"/>
        <w:bottom w:val="none" w:sz="0" w:space="0" w:color="auto"/>
        <w:right w:val="none" w:sz="0" w:space="0" w:color="auto"/>
      </w:divBdr>
    </w:div>
    <w:div w:id="1142044081">
      <w:bodyDiv w:val="1"/>
      <w:marLeft w:val="0"/>
      <w:marRight w:val="0"/>
      <w:marTop w:val="0"/>
      <w:marBottom w:val="0"/>
      <w:divBdr>
        <w:top w:val="none" w:sz="0" w:space="0" w:color="auto"/>
        <w:left w:val="none" w:sz="0" w:space="0" w:color="auto"/>
        <w:bottom w:val="none" w:sz="0" w:space="0" w:color="auto"/>
        <w:right w:val="none" w:sz="0" w:space="0" w:color="auto"/>
      </w:divBdr>
    </w:div>
    <w:div w:id="1146820494">
      <w:bodyDiv w:val="1"/>
      <w:marLeft w:val="0"/>
      <w:marRight w:val="0"/>
      <w:marTop w:val="0"/>
      <w:marBottom w:val="0"/>
      <w:divBdr>
        <w:top w:val="none" w:sz="0" w:space="0" w:color="auto"/>
        <w:left w:val="none" w:sz="0" w:space="0" w:color="auto"/>
        <w:bottom w:val="none" w:sz="0" w:space="0" w:color="auto"/>
        <w:right w:val="none" w:sz="0" w:space="0" w:color="auto"/>
      </w:divBdr>
    </w:div>
    <w:div w:id="1147743028">
      <w:bodyDiv w:val="1"/>
      <w:marLeft w:val="0"/>
      <w:marRight w:val="0"/>
      <w:marTop w:val="0"/>
      <w:marBottom w:val="0"/>
      <w:divBdr>
        <w:top w:val="none" w:sz="0" w:space="0" w:color="auto"/>
        <w:left w:val="none" w:sz="0" w:space="0" w:color="auto"/>
        <w:bottom w:val="none" w:sz="0" w:space="0" w:color="auto"/>
        <w:right w:val="none" w:sz="0" w:space="0" w:color="auto"/>
      </w:divBdr>
    </w:div>
    <w:div w:id="1148477424">
      <w:bodyDiv w:val="1"/>
      <w:marLeft w:val="0"/>
      <w:marRight w:val="0"/>
      <w:marTop w:val="0"/>
      <w:marBottom w:val="0"/>
      <w:divBdr>
        <w:top w:val="none" w:sz="0" w:space="0" w:color="auto"/>
        <w:left w:val="none" w:sz="0" w:space="0" w:color="auto"/>
        <w:bottom w:val="none" w:sz="0" w:space="0" w:color="auto"/>
        <w:right w:val="none" w:sz="0" w:space="0" w:color="auto"/>
      </w:divBdr>
    </w:div>
    <w:div w:id="1152671755">
      <w:bodyDiv w:val="1"/>
      <w:marLeft w:val="0"/>
      <w:marRight w:val="0"/>
      <w:marTop w:val="0"/>
      <w:marBottom w:val="0"/>
      <w:divBdr>
        <w:top w:val="none" w:sz="0" w:space="0" w:color="auto"/>
        <w:left w:val="none" w:sz="0" w:space="0" w:color="auto"/>
        <w:bottom w:val="none" w:sz="0" w:space="0" w:color="auto"/>
        <w:right w:val="none" w:sz="0" w:space="0" w:color="auto"/>
      </w:divBdr>
    </w:div>
    <w:div w:id="1154491815">
      <w:bodyDiv w:val="1"/>
      <w:marLeft w:val="0"/>
      <w:marRight w:val="0"/>
      <w:marTop w:val="0"/>
      <w:marBottom w:val="0"/>
      <w:divBdr>
        <w:top w:val="none" w:sz="0" w:space="0" w:color="auto"/>
        <w:left w:val="none" w:sz="0" w:space="0" w:color="auto"/>
        <w:bottom w:val="none" w:sz="0" w:space="0" w:color="auto"/>
        <w:right w:val="none" w:sz="0" w:space="0" w:color="auto"/>
      </w:divBdr>
    </w:div>
    <w:div w:id="1168204978">
      <w:bodyDiv w:val="1"/>
      <w:marLeft w:val="0"/>
      <w:marRight w:val="0"/>
      <w:marTop w:val="0"/>
      <w:marBottom w:val="0"/>
      <w:divBdr>
        <w:top w:val="none" w:sz="0" w:space="0" w:color="auto"/>
        <w:left w:val="none" w:sz="0" w:space="0" w:color="auto"/>
        <w:bottom w:val="none" w:sz="0" w:space="0" w:color="auto"/>
        <w:right w:val="none" w:sz="0" w:space="0" w:color="auto"/>
      </w:divBdr>
    </w:div>
    <w:div w:id="1172601392">
      <w:bodyDiv w:val="1"/>
      <w:marLeft w:val="0"/>
      <w:marRight w:val="0"/>
      <w:marTop w:val="0"/>
      <w:marBottom w:val="0"/>
      <w:divBdr>
        <w:top w:val="none" w:sz="0" w:space="0" w:color="auto"/>
        <w:left w:val="none" w:sz="0" w:space="0" w:color="auto"/>
        <w:bottom w:val="none" w:sz="0" w:space="0" w:color="auto"/>
        <w:right w:val="none" w:sz="0" w:space="0" w:color="auto"/>
      </w:divBdr>
    </w:div>
    <w:div w:id="1173761038">
      <w:bodyDiv w:val="1"/>
      <w:marLeft w:val="0"/>
      <w:marRight w:val="0"/>
      <w:marTop w:val="0"/>
      <w:marBottom w:val="0"/>
      <w:divBdr>
        <w:top w:val="none" w:sz="0" w:space="0" w:color="auto"/>
        <w:left w:val="none" w:sz="0" w:space="0" w:color="auto"/>
        <w:bottom w:val="none" w:sz="0" w:space="0" w:color="auto"/>
        <w:right w:val="none" w:sz="0" w:space="0" w:color="auto"/>
      </w:divBdr>
    </w:div>
    <w:div w:id="1173881869">
      <w:bodyDiv w:val="1"/>
      <w:marLeft w:val="0"/>
      <w:marRight w:val="0"/>
      <w:marTop w:val="0"/>
      <w:marBottom w:val="0"/>
      <w:divBdr>
        <w:top w:val="none" w:sz="0" w:space="0" w:color="auto"/>
        <w:left w:val="none" w:sz="0" w:space="0" w:color="auto"/>
        <w:bottom w:val="none" w:sz="0" w:space="0" w:color="auto"/>
        <w:right w:val="none" w:sz="0" w:space="0" w:color="auto"/>
      </w:divBdr>
    </w:div>
    <w:div w:id="1180392908">
      <w:bodyDiv w:val="1"/>
      <w:marLeft w:val="0"/>
      <w:marRight w:val="0"/>
      <w:marTop w:val="0"/>
      <w:marBottom w:val="0"/>
      <w:divBdr>
        <w:top w:val="none" w:sz="0" w:space="0" w:color="auto"/>
        <w:left w:val="none" w:sz="0" w:space="0" w:color="auto"/>
        <w:bottom w:val="none" w:sz="0" w:space="0" w:color="auto"/>
        <w:right w:val="none" w:sz="0" w:space="0" w:color="auto"/>
      </w:divBdr>
    </w:div>
    <w:div w:id="1185746878">
      <w:bodyDiv w:val="1"/>
      <w:marLeft w:val="0"/>
      <w:marRight w:val="0"/>
      <w:marTop w:val="0"/>
      <w:marBottom w:val="0"/>
      <w:divBdr>
        <w:top w:val="none" w:sz="0" w:space="0" w:color="auto"/>
        <w:left w:val="none" w:sz="0" w:space="0" w:color="auto"/>
        <w:bottom w:val="none" w:sz="0" w:space="0" w:color="auto"/>
        <w:right w:val="none" w:sz="0" w:space="0" w:color="auto"/>
      </w:divBdr>
    </w:div>
    <w:div w:id="1187402864">
      <w:bodyDiv w:val="1"/>
      <w:marLeft w:val="0"/>
      <w:marRight w:val="0"/>
      <w:marTop w:val="0"/>
      <w:marBottom w:val="0"/>
      <w:divBdr>
        <w:top w:val="none" w:sz="0" w:space="0" w:color="auto"/>
        <w:left w:val="none" w:sz="0" w:space="0" w:color="auto"/>
        <w:bottom w:val="none" w:sz="0" w:space="0" w:color="auto"/>
        <w:right w:val="none" w:sz="0" w:space="0" w:color="auto"/>
      </w:divBdr>
    </w:div>
    <w:div w:id="1191719548">
      <w:bodyDiv w:val="1"/>
      <w:marLeft w:val="0"/>
      <w:marRight w:val="0"/>
      <w:marTop w:val="0"/>
      <w:marBottom w:val="0"/>
      <w:divBdr>
        <w:top w:val="none" w:sz="0" w:space="0" w:color="auto"/>
        <w:left w:val="none" w:sz="0" w:space="0" w:color="auto"/>
        <w:bottom w:val="none" w:sz="0" w:space="0" w:color="auto"/>
        <w:right w:val="none" w:sz="0" w:space="0" w:color="auto"/>
      </w:divBdr>
    </w:div>
    <w:div w:id="1192449317">
      <w:bodyDiv w:val="1"/>
      <w:marLeft w:val="0"/>
      <w:marRight w:val="0"/>
      <w:marTop w:val="0"/>
      <w:marBottom w:val="0"/>
      <w:divBdr>
        <w:top w:val="none" w:sz="0" w:space="0" w:color="auto"/>
        <w:left w:val="none" w:sz="0" w:space="0" w:color="auto"/>
        <w:bottom w:val="none" w:sz="0" w:space="0" w:color="auto"/>
        <w:right w:val="none" w:sz="0" w:space="0" w:color="auto"/>
      </w:divBdr>
    </w:div>
    <w:div w:id="1220361846">
      <w:bodyDiv w:val="1"/>
      <w:marLeft w:val="0"/>
      <w:marRight w:val="0"/>
      <w:marTop w:val="0"/>
      <w:marBottom w:val="0"/>
      <w:divBdr>
        <w:top w:val="none" w:sz="0" w:space="0" w:color="auto"/>
        <w:left w:val="none" w:sz="0" w:space="0" w:color="auto"/>
        <w:bottom w:val="none" w:sz="0" w:space="0" w:color="auto"/>
        <w:right w:val="none" w:sz="0" w:space="0" w:color="auto"/>
      </w:divBdr>
    </w:div>
    <w:div w:id="1220631578">
      <w:bodyDiv w:val="1"/>
      <w:marLeft w:val="0"/>
      <w:marRight w:val="0"/>
      <w:marTop w:val="0"/>
      <w:marBottom w:val="0"/>
      <w:divBdr>
        <w:top w:val="none" w:sz="0" w:space="0" w:color="auto"/>
        <w:left w:val="none" w:sz="0" w:space="0" w:color="auto"/>
        <w:bottom w:val="none" w:sz="0" w:space="0" w:color="auto"/>
        <w:right w:val="none" w:sz="0" w:space="0" w:color="auto"/>
      </w:divBdr>
    </w:div>
    <w:div w:id="1227372665">
      <w:bodyDiv w:val="1"/>
      <w:marLeft w:val="0"/>
      <w:marRight w:val="0"/>
      <w:marTop w:val="0"/>
      <w:marBottom w:val="0"/>
      <w:divBdr>
        <w:top w:val="none" w:sz="0" w:space="0" w:color="auto"/>
        <w:left w:val="none" w:sz="0" w:space="0" w:color="auto"/>
        <w:bottom w:val="none" w:sz="0" w:space="0" w:color="auto"/>
        <w:right w:val="none" w:sz="0" w:space="0" w:color="auto"/>
      </w:divBdr>
    </w:div>
    <w:div w:id="1233546067">
      <w:bodyDiv w:val="1"/>
      <w:marLeft w:val="0"/>
      <w:marRight w:val="0"/>
      <w:marTop w:val="0"/>
      <w:marBottom w:val="0"/>
      <w:divBdr>
        <w:top w:val="none" w:sz="0" w:space="0" w:color="auto"/>
        <w:left w:val="none" w:sz="0" w:space="0" w:color="auto"/>
        <w:bottom w:val="none" w:sz="0" w:space="0" w:color="auto"/>
        <w:right w:val="none" w:sz="0" w:space="0" w:color="auto"/>
      </w:divBdr>
    </w:div>
    <w:div w:id="1254167902">
      <w:bodyDiv w:val="1"/>
      <w:marLeft w:val="0"/>
      <w:marRight w:val="0"/>
      <w:marTop w:val="0"/>
      <w:marBottom w:val="0"/>
      <w:divBdr>
        <w:top w:val="none" w:sz="0" w:space="0" w:color="auto"/>
        <w:left w:val="none" w:sz="0" w:space="0" w:color="auto"/>
        <w:bottom w:val="none" w:sz="0" w:space="0" w:color="auto"/>
        <w:right w:val="none" w:sz="0" w:space="0" w:color="auto"/>
      </w:divBdr>
    </w:div>
    <w:div w:id="1258098788">
      <w:bodyDiv w:val="1"/>
      <w:marLeft w:val="0"/>
      <w:marRight w:val="0"/>
      <w:marTop w:val="0"/>
      <w:marBottom w:val="0"/>
      <w:divBdr>
        <w:top w:val="none" w:sz="0" w:space="0" w:color="auto"/>
        <w:left w:val="none" w:sz="0" w:space="0" w:color="auto"/>
        <w:bottom w:val="none" w:sz="0" w:space="0" w:color="auto"/>
        <w:right w:val="none" w:sz="0" w:space="0" w:color="auto"/>
      </w:divBdr>
    </w:div>
    <w:div w:id="1278217521">
      <w:bodyDiv w:val="1"/>
      <w:marLeft w:val="0"/>
      <w:marRight w:val="0"/>
      <w:marTop w:val="0"/>
      <w:marBottom w:val="0"/>
      <w:divBdr>
        <w:top w:val="none" w:sz="0" w:space="0" w:color="auto"/>
        <w:left w:val="none" w:sz="0" w:space="0" w:color="auto"/>
        <w:bottom w:val="none" w:sz="0" w:space="0" w:color="auto"/>
        <w:right w:val="none" w:sz="0" w:space="0" w:color="auto"/>
      </w:divBdr>
    </w:div>
    <w:div w:id="1282035870">
      <w:bodyDiv w:val="1"/>
      <w:marLeft w:val="0"/>
      <w:marRight w:val="0"/>
      <w:marTop w:val="0"/>
      <w:marBottom w:val="0"/>
      <w:divBdr>
        <w:top w:val="none" w:sz="0" w:space="0" w:color="auto"/>
        <w:left w:val="none" w:sz="0" w:space="0" w:color="auto"/>
        <w:bottom w:val="none" w:sz="0" w:space="0" w:color="auto"/>
        <w:right w:val="none" w:sz="0" w:space="0" w:color="auto"/>
      </w:divBdr>
    </w:div>
    <w:div w:id="1287081573">
      <w:bodyDiv w:val="1"/>
      <w:marLeft w:val="0"/>
      <w:marRight w:val="0"/>
      <w:marTop w:val="0"/>
      <w:marBottom w:val="0"/>
      <w:divBdr>
        <w:top w:val="none" w:sz="0" w:space="0" w:color="auto"/>
        <w:left w:val="none" w:sz="0" w:space="0" w:color="auto"/>
        <w:bottom w:val="none" w:sz="0" w:space="0" w:color="auto"/>
        <w:right w:val="none" w:sz="0" w:space="0" w:color="auto"/>
      </w:divBdr>
    </w:div>
    <w:div w:id="1293175944">
      <w:bodyDiv w:val="1"/>
      <w:marLeft w:val="0"/>
      <w:marRight w:val="0"/>
      <w:marTop w:val="0"/>
      <w:marBottom w:val="0"/>
      <w:divBdr>
        <w:top w:val="none" w:sz="0" w:space="0" w:color="auto"/>
        <w:left w:val="none" w:sz="0" w:space="0" w:color="auto"/>
        <w:bottom w:val="none" w:sz="0" w:space="0" w:color="auto"/>
        <w:right w:val="none" w:sz="0" w:space="0" w:color="auto"/>
      </w:divBdr>
    </w:div>
    <w:div w:id="1300383605">
      <w:bodyDiv w:val="1"/>
      <w:marLeft w:val="0"/>
      <w:marRight w:val="0"/>
      <w:marTop w:val="0"/>
      <w:marBottom w:val="0"/>
      <w:divBdr>
        <w:top w:val="none" w:sz="0" w:space="0" w:color="auto"/>
        <w:left w:val="none" w:sz="0" w:space="0" w:color="auto"/>
        <w:bottom w:val="none" w:sz="0" w:space="0" w:color="auto"/>
        <w:right w:val="none" w:sz="0" w:space="0" w:color="auto"/>
      </w:divBdr>
    </w:div>
    <w:div w:id="1301224459">
      <w:bodyDiv w:val="1"/>
      <w:marLeft w:val="0"/>
      <w:marRight w:val="0"/>
      <w:marTop w:val="0"/>
      <w:marBottom w:val="0"/>
      <w:divBdr>
        <w:top w:val="none" w:sz="0" w:space="0" w:color="auto"/>
        <w:left w:val="none" w:sz="0" w:space="0" w:color="auto"/>
        <w:bottom w:val="none" w:sz="0" w:space="0" w:color="auto"/>
        <w:right w:val="none" w:sz="0" w:space="0" w:color="auto"/>
      </w:divBdr>
    </w:div>
    <w:div w:id="1301687909">
      <w:bodyDiv w:val="1"/>
      <w:marLeft w:val="0"/>
      <w:marRight w:val="0"/>
      <w:marTop w:val="0"/>
      <w:marBottom w:val="0"/>
      <w:divBdr>
        <w:top w:val="none" w:sz="0" w:space="0" w:color="auto"/>
        <w:left w:val="none" w:sz="0" w:space="0" w:color="auto"/>
        <w:bottom w:val="none" w:sz="0" w:space="0" w:color="auto"/>
        <w:right w:val="none" w:sz="0" w:space="0" w:color="auto"/>
      </w:divBdr>
    </w:div>
    <w:div w:id="1313482935">
      <w:bodyDiv w:val="1"/>
      <w:marLeft w:val="0"/>
      <w:marRight w:val="0"/>
      <w:marTop w:val="0"/>
      <w:marBottom w:val="0"/>
      <w:divBdr>
        <w:top w:val="none" w:sz="0" w:space="0" w:color="auto"/>
        <w:left w:val="none" w:sz="0" w:space="0" w:color="auto"/>
        <w:bottom w:val="none" w:sz="0" w:space="0" w:color="auto"/>
        <w:right w:val="none" w:sz="0" w:space="0" w:color="auto"/>
      </w:divBdr>
    </w:div>
    <w:div w:id="1316301957">
      <w:bodyDiv w:val="1"/>
      <w:marLeft w:val="0"/>
      <w:marRight w:val="0"/>
      <w:marTop w:val="0"/>
      <w:marBottom w:val="0"/>
      <w:divBdr>
        <w:top w:val="none" w:sz="0" w:space="0" w:color="auto"/>
        <w:left w:val="none" w:sz="0" w:space="0" w:color="auto"/>
        <w:bottom w:val="none" w:sz="0" w:space="0" w:color="auto"/>
        <w:right w:val="none" w:sz="0" w:space="0" w:color="auto"/>
      </w:divBdr>
    </w:div>
    <w:div w:id="1317107953">
      <w:bodyDiv w:val="1"/>
      <w:marLeft w:val="0"/>
      <w:marRight w:val="0"/>
      <w:marTop w:val="0"/>
      <w:marBottom w:val="0"/>
      <w:divBdr>
        <w:top w:val="none" w:sz="0" w:space="0" w:color="auto"/>
        <w:left w:val="none" w:sz="0" w:space="0" w:color="auto"/>
        <w:bottom w:val="none" w:sz="0" w:space="0" w:color="auto"/>
        <w:right w:val="none" w:sz="0" w:space="0" w:color="auto"/>
      </w:divBdr>
    </w:div>
    <w:div w:id="1326741910">
      <w:bodyDiv w:val="1"/>
      <w:marLeft w:val="0"/>
      <w:marRight w:val="0"/>
      <w:marTop w:val="0"/>
      <w:marBottom w:val="0"/>
      <w:divBdr>
        <w:top w:val="none" w:sz="0" w:space="0" w:color="auto"/>
        <w:left w:val="none" w:sz="0" w:space="0" w:color="auto"/>
        <w:bottom w:val="none" w:sz="0" w:space="0" w:color="auto"/>
        <w:right w:val="none" w:sz="0" w:space="0" w:color="auto"/>
      </w:divBdr>
    </w:div>
    <w:div w:id="1338995552">
      <w:bodyDiv w:val="1"/>
      <w:marLeft w:val="0"/>
      <w:marRight w:val="0"/>
      <w:marTop w:val="0"/>
      <w:marBottom w:val="0"/>
      <w:divBdr>
        <w:top w:val="none" w:sz="0" w:space="0" w:color="auto"/>
        <w:left w:val="none" w:sz="0" w:space="0" w:color="auto"/>
        <w:bottom w:val="none" w:sz="0" w:space="0" w:color="auto"/>
        <w:right w:val="none" w:sz="0" w:space="0" w:color="auto"/>
      </w:divBdr>
    </w:div>
    <w:div w:id="1341155589">
      <w:bodyDiv w:val="1"/>
      <w:marLeft w:val="0"/>
      <w:marRight w:val="0"/>
      <w:marTop w:val="0"/>
      <w:marBottom w:val="0"/>
      <w:divBdr>
        <w:top w:val="none" w:sz="0" w:space="0" w:color="auto"/>
        <w:left w:val="none" w:sz="0" w:space="0" w:color="auto"/>
        <w:bottom w:val="none" w:sz="0" w:space="0" w:color="auto"/>
        <w:right w:val="none" w:sz="0" w:space="0" w:color="auto"/>
      </w:divBdr>
    </w:div>
    <w:div w:id="1343705609">
      <w:bodyDiv w:val="1"/>
      <w:marLeft w:val="0"/>
      <w:marRight w:val="0"/>
      <w:marTop w:val="0"/>
      <w:marBottom w:val="0"/>
      <w:divBdr>
        <w:top w:val="none" w:sz="0" w:space="0" w:color="auto"/>
        <w:left w:val="none" w:sz="0" w:space="0" w:color="auto"/>
        <w:bottom w:val="none" w:sz="0" w:space="0" w:color="auto"/>
        <w:right w:val="none" w:sz="0" w:space="0" w:color="auto"/>
      </w:divBdr>
    </w:div>
    <w:div w:id="1350840695">
      <w:bodyDiv w:val="1"/>
      <w:marLeft w:val="0"/>
      <w:marRight w:val="0"/>
      <w:marTop w:val="0"/>
      <w:marBottom w:val="0"/>
      <w:divBdr>
        <w:top w:val="none" w:sz="0" w:space="0" w:color="auto"/>
        <w:left w:val="none" w:sz="0" w:space="0" w:color="auto"/>
        <w:bottom w:val="none" w:sz="0" w:space="0" w:color="auto"/>
        <w:right w:val="none" w:sz="0" w:space="0" w:color="auto"/>
      </w:divBdr>
    </w:div>
    <w:div w:id="1356728909">
      <w:bodyDiv w:val="1"/>
      <w:marLeft w:val="0"/>
      <w:marRight w:val="0"/>
      <w:marTop w:val="0"/>
      <w:marBottom w:val="0"/>
      <w:divBdr>
        <w:top w:val="none" w:sz="0" w:space="0" w:color="auto"/>
        <w:left w:val="none" w:sz="0" w:space="0" w:color="auto"/>
        <w:bottom w:val="none" w:sz="0" w:space="0" w:color="auto"/>
        <w:right w:val="none" w:sz="0" w:space="0" w:color="auto"/>
      </w:divBdr>
    </w:div>
    <w:div w:id="1364401855">
      <w:bodyDiv w:val="1"/>
      <w:marLeft w:val="0"/>
      <w:marRight w:val="0"/>
      <w:marTop w:val="0"/>
      <w:marBottom w:val="0"/>
      <w:divBdr>
        <w:top w:val="none" w:sz="0" w:space="0" w:color="auto"/>
        <w:left w:val="none" w:sz="0" w:space="0" w:color="auto"/>
        <w:bottom w:val="none" w:sz="0" w:space="0" w:color="auto"/>
        <w:right w:val="none" w:sz="0" w:space="0" w:color="auto"/>
      </w:divBdr>
    </w:div>
    <w:div w:id="1366254470">
      <w:bodyDiv w:val="1"/>
      <w:marLeft w:val="0"/>
      <w:marRight w:val="0"/>
      <w:marTop w:val="0"/>
      <w:marBottom w:val="0"/>
      <w:divBdr>
        <w:top w:val="none" w:sz="0" w:space="0" w:color="auto"/>
        <w:left w:val="none" w:sz="0" w:space="0" w:color="auto"/>
        <w:bottom w:val="none" w:sz="0" w:space="0" w:color="auto"/>
        <w:right w:val="none" w:sz="0" w:space="0" w:color="auto"/>
      </w:divBdr>
    </w:div>
    <w:div w:id="1372074941">
      <w:bodyDiv w:val="1"/>
      <w:marLeft w:val="0"/>
      <w:marRight w:val="0"/>
      <w:marTop w:val="0"/>
      <w:marBottom w:val="0"/>
      <w:divBdr>
        <w:top w:val="none" w:sz="0" w:space="0" w:color="auto"/>
        <w:left w:val="none" w:sz="0" w:space="0" w:color="auto"/>
        <w:bottom w:val="none" w:sz="0" w:space="0" w:color="auto"/>
        <w:right w:val="none" w:sz="0" w:space="0" w:color="auto"/>
      </w:divBdr>
    </w:div>
    <w:div w:id="1374960560">
      <w:bodyDiv w:val="1"/>
      <w:marLeft w:val="0"/>
      <w:marRight w:val="0"/>
      <w:marTop w:val="0"/>
      <w:marBottom w:val="0"/>
      <w:divBdr>
        <w:top w:val="none" w:sz="0" w:space="0" w:color="auto"/>
        <w:left w:val="none" w:sz="0" w:space="0" w:color="auto"/>
        <w:bottom w:val="none" w:sz="0" w:space="0" w:color="auto"/>
        <w:right w:val="none" w:sz="0" w:space="0" w:color="auto"/>
      </w:divBdr>
    </w:div>
    <w:div w:id="1384448416">
      <w:bodyDiv w:val="1"/>
      <w:marLeft w:val="0"/>
      <w:marRight w:val="0"/>
      <w:marTop w:val="0"/>
      <w:marBottom w:val="0"/>
      <w:divBdr>
        <w:top w:val="none" w:sz="0" w:space="0" w:color="auto"/>
        <w:left w:val="none" w:sz="0" w:space="0" w:color="auto"/>
        <w:bottom w:val="none" w:sz="0" w:space="0" w:color="auto"/>
        <w:right w:val="none" w:sz="0" w:space="0" w:color="auto"/>
      </w:divBdr>
    </w:div>
    <w:div w:id="1390222877">
      <w:bodyDiv w:val="1"/>
      <w:marLeft w:val="0"/>
      <w:marRight w:val="0"/>
      <w:marTop w:val="0"/>
      <w:marBottom w:val="0"/>
      <w:divBdr>
        <w:top w:val="none" w:sz="0" w:space="0" w:color="auto"/>
        <w:left w:val="none" w:sz="0" w:space="0" w:color="auto"/>
        <w:bottom w:val="none" w:sz="0" w:space="0" w:color="auto"/>
        <w:right w:val="none" w:sz="0" w:space="0" w:color="auto"/>
      </w:divBdr>
    </w:div>
    <w:div w:id="1404138341">
      <w:bodyDiv w:val="1"/>
      <w:marLeft w:val="0"/>
      <w:marRight w:val="0"/>
      <w:marTop w:val="0"/>
      <w:marBottom w:val="0"/>
      <w:divBdr>
        <w:top w:val="none" w:sz="0" w:space="0" w:color="auto"/>
        <w:left w:val="none" w:sz="0" w:space="0" w:color="auto"/>
        <w:bottom w:val="none" w:sz="0" w:space="0" w:color="auto"/>
        <w:right w:val="none" w:sz="0" w:space="0" w:color="auto"/>
      </w:divBdr>
    </w:div>
    <w:div w:id="1408841504">
      <w:bodyDiv w:val="1"/>
      <w:marLeft w:val="0"/>
      <w:marRight w:val="0"/>
      <w:marTop w:val="0"/>
      <w:marBottom w:val="0"/>
      <w:divBdr>
        <w:top w:val="none" w:sz="0" w:space="0" w:color="auto"/>
        <w:left w:val="none" w:sz="0" w:space="0" w:color="auto"/>
        <w:bottom w:val="none" w:sz="0" w:space="0" w:color="auto"/>
        <w:right w:val="none" w:sz="0" w:space="0" w:color="auto"/>
      </w:divBdr>
    </w:div>
    <w:div w:id="1410882305">
      <w:bodyDiv w:val="1"/>
      <w:marLeft w:val="0"/>
      <w:marRight w:val="0"/>
      <w:marTop w:val="0"/>
      <w:marBottom w:val="0"/>
      <w:divBdr>
        <w:top w:val="none" w:sz="0" w:space="0" w:color="auto"/>
        <w:left w:val="none" w:sz="0" w:space="0" w:color="auto"/>
        <w:bottom w:val="none" w:sz="0" w:space="0" w:color="auto"/>
        <w:right w:val="none" w:sz="0" w:space="0" w:color="auto"/>
      </w:divBdr>
    </w:div>
    <w:div w:id="1414668069">
      <w:bodyDiv w:val="1"/>
      <w:marLeft w:val="0"/>
      <w:marRight w:val="0"/>
      <w:marTop w:val="0"/>
      <w:marBottom w:val="0"/>
      <w:divBdr>
        <w:top w:val="none" w:sz="0" w:space="0" w:color="auto"/>
        <w:left w:val="none" w:sz="0" w:space="0" w:color="auto"/>
        <w:bottom w:val="none" w:sz="0" w:space="0" w:color="auto"/>
        <w:right w:val="none" w:sz="0" w:space="0" w:color="auto"/>
      </w:divBdr>
    </w:div>
    <w:div w:id="1426077426">
      <w:bodyDiv w:val="1"/>
      <w:marLeft w:val="0"/>
      <w:marRight w:val="0"/>
      <w:marTop w:val="0"/>
      <w:marBottom w:val="0"/>
      <w:divBdr>
        <w:top w:val="none" w:sz="0" w:space="0" w:color="auto"/>
        <w:left w:val="none" w:sz="0" w:space="0" w:color="auto"/>
        <w:bottom w:val="none" w:sz="0" w:space="0" w:color="auto"/>
        <w:right w:val="none" w:sz="0" w:space="0" w:color="auto"/>
      </w:divBdr>
    </w:div>
    <w:div w:id="1427653412">
      <w:bodyDiv w:val="1"/>
      <w:marLeft w:val="0"/>
      <w:marRight w:val="0"/>
      <w:marTop w:val="0"/>
      <w:marBottom w:val="0"/>
      <w:divBdr>
        <w:top w:val="none" w:sz="0" w:space="0" w:color="auto"/>
        <w:left w:val="none" w:sz="0" w:space="0" w:color="auto"/>
        <w:bottom w:val="none" w:sz="0" w:space="0" w:color="auto"/>
        <w:right w:val="none" w:sz="0" w:space="0" w:color="auto"/>
      </w:divBdr>
    </w:div>
    <w:div w:id="1445342361">
      <w:bodyDiv w:val="1"/>
      <w:marLeft w:val="0"/>
      <w:marRight w:val="0"/>
      <w:marTop w:val="0"/>
      <w:marBottom w:val="0"/>
      <w:divBdr>
        <w:top w:val="none" w:sz="0" w:space="0" w:color="auto"/>
        <w:left w:val="none" w:sz="0" w:space="0" w:color="auto"/>
        <w:bottom w:val="none" w:sz="0" w:space="0" w:color="auto"/>
        <w:right w:val="none" w:sz="0" w:space="0" w:color="auto"/>
      </w:divBdr>
    </w:div>
    <w:div w:id="1451515598">
      <w:bodyDiv w:val="1"/>
      <w:marLeft w:val="0"/>
      <w:marRight w:val="0"/>
      <w:marTop w:val="0"/>
      <w:marBottom w:val="0"/>
      <w:divBdr>
        <w:top w:val="none" w:sz="0" w:space="0" w:color="auto"/>
        <w:left w:val="none" w:sz="0" w:space="0" w:color="auto"/>
        <w:bottom w:val="none" w:sz="0" w:space="0" w:color="auto"/>
        <w:right w:val="none" w:sz="0" w:space="0" w:color="auto"/>
      </w:divBdr>
    </w:div>
    <w:div w:id="1454322193">
      <w:bodyDiv w:val="1"/>
      <w:marLeft w:val="0"/>
      <w:marRight w:val="0"/>
      <w:marTop w:val="0"/>
      <w:marBottom w:val="0"/>
      <w:divBdr>
        <w:top w:val="none" w:sz="0" w:space="0" w:color="auto"/>
        <w:left w:val="none" w:sz="0" w:space="0" w:color="auto"/>
        <w:bottom w:val="none" w:sz="0" w:space="0" w:color="auto"/>
        <w:right w:val="none" w:sz="0" w:space="0" w:color="auto"/>
      </w:divBdr>
    </w:div>
    <w:div w:id="1454517197">
      <w:bodyDiv w:val="1"/>
      <w:marLeft w:val="0"/>
      <w:marRight w:val="0"/>
      <w:marTop w:val="0"/>
      <w:marBottom w:val="0"/>
      <w:divBdr>
        <w:top w:val="none" w:sz="0" w:space="0" w:color="auto"/>
        <w:left w:val="none" w:sz="0" w:space="0" w:color="auto"/>
        <w:bottom w:val="none" w:sz="0" w:space="0" w:color="auto"/>
        <w:right w:val="none" w:sz="0" w:space="0" w:color="auto"/>
      </w:divBdr>
    </w:div>
    <w:div w:id="1456949564">
      <w:bodyDiv w:val="1"/>
      <w:marLeft w:val="0"/>
      <w:marRight w:val="0"/>
      <w:marTop w:val="0"/>
      <w:marBottom w:val="0"/>
      <w:divBdr>
        <w:top w:val="none" w:sz="0" w:space="0" w:color="auto"/>
        <w:left w:val="none" w:sz="0" w:space="0" w:color="auto"/>
        <w:bottom w:val="none" w:sz="0" w:space="0" w:color="auto"/>
        <w:right w:val="none" w:sz="0" w:space="0" w:color="auto"/>
      </w:divBdr>
    </w:div>
    <w:div w:id="1466237788">
      <w:bodyDiv w:val="1"/>
      <w:marLeft w:val="0"/>
      <w:marRight w:val="0"/>
      <w:marTop w:val="0"/>
      <w:marBottom w:val="0"/>
      <w:divBdr>
        <w:top w:val="none" w:sz="0" w:space="0" w:color="auto"/>
        <w:left w:val="none" w:sz="0" w:space="0" w:color="auto"/>
        <w:bottom w:val="none" w:sz="0" w:space="0" w:color="auto"/>
        <w:right w:val="none" w:sz="0" w:space="0" w:color="auto"/>
      </w:divBdr>
    </w:div>
    <w:div w:id="1468085908">
      <w:bodyDiv w:val="1"/>
      <w:marLeft w:val="0"/>
      <w:marRight w:val="0"/>
      <w:marTop w:val="0"/>
      <w:marBottom w:val="0"/>
      <w:divBdr>
        <w:top w:val="none" w:sz="0" w:space="0" w:color="auto"/>
        <w:left w:val="none" w:sz="0" w:space="0" w:color="auto"/>
        <w:bottom w:val="none" w:sz="0" w:space="0" w:color="auto"/>
        <w:right w:val="none" w:sz="0" w:space="0" w:color="auto"/>
      </w:divBdr>
    </w:div>
    <w:div w:id="1468620334">
      <w:bodyDiv w:val="1"/>
      <w:marLeft w:val="0"/>
      <w:marRight w:val="0"/>
      <w:marTop w:val="0"/>
      <w:marBottom w:val="0"/>
      <w:divBdr>
        <w:top w:val="none" w:sz="0" w:space="0" w:color="auto"/>
        <w:left w:val="none" w:sz="0" w:space="0" w:color="auto"/>
        <w:bottom w:val="none" w:sz="0" w:space="0" w:color="auto"/>
        <w:right w:val="none" w:sz="0" w:space="0" w:color="auto"/>
      </w:divBdr>
    </w:div>
    <w:div w:id="1470440285">
      <w:bodyDiv w:val="1"/>
      <w:marLeft w:val="0"/>
      <w:marRight w:val="0"/>
      <w:marTop w:val="0"/>
      <w:marBottom w:val="0"/>
      <w:divBdr>
        <w:top w:val="none" w:sz="0" w:space="0" w:color="auto"/>
        <w:left w:val="none" w:sz="0" w:space="0" w:color="auto"/>
        <w:bottom w:val="none" w:sz="0" w:space="0" w:color="auto"/>
        <w:right w:val="none" w:sz="0" w:space="0" w:color="auto"/>
      </w:divBdr>
    </w:div>
    <w:div w:id="1479566541">
      <w:bodyDiv w:val="1"/>
      <w:marLeft w:val="0"/>
      <w:marRight w:val="0"/>
      <w:marTop w:val="0"/>
      <w:marBottom w:val="0"/>
      <w:divBdr>
        <w:top w:val="none" w:sz="0" w:space="0" w:color="auto"/>
        <w:left w:val="none" w:sz="0" w:space="0" w:color="auto"/>
        <w:bottom w:val="none" w:sz="0" w:space="0" w:color="auto"/>
        <w:right w:val="none" w:sz="0" w:space="0" w:color="auto"/>
      </w:divBdr>
    </w:div>
    <w:div w:id="1481388783">
      <w:bodyDiv w:val="1"/>
      <w:marLeft w:val="0"/>
      <w:marRight w:val="0"/>
      <w:marTop w:val="0"/>
      <w:marBottom w:val="0"/>
      <w:divBdr>
        <w:top w:val="none" w:sz="0" w:space="0" w:color="auto"/>
        <w:left w:val="none" w:sz="0" w:space="0" w:color="auto"/>
        <w:bottom w:val="none" w:sz="0" w:space="0" w:color="auto"/>
        <w:right w:val="none" w:sz="0" w:space="0" w:color="auto"/>
      </w:divBdr>
    </w:div>
    <w:div w:id="1490708767">
      <w:bodyDiv w:val="1"/>
      <w:marLeft w:val="0"/>
      <w:marRight w:val="0"/>
      <w:marTop w:val="0"/>
      <w:marBottom w:val="0"/>
      <w:divBdr>
        <w:top w:val="none" w:sz="0" w:space="0" w:color="auto"/>
        <w:left w:val="none" w:sz="0" w:space="0" w:color="auto"/>
        <w:bottom w:val="none" w:sz="0" w:space="0" w:color="auto"/>
        <w:right w:val="none" w:sz="0" w:space="0" w:color="auto"/>
      </w:divBdr>
    </w:div>
    <w:div w:id="1492209088">
      <w:bodyDiv w:val="1"/>
      <w:marLeft w:val="0"/>
      <w:marRight w:val="0"/>
      <w:marTop w:val="0"/>
      <w:marBottom w:val="0"/>
      <w:divBdr>
        <w:top w:val="none" w:sz="0" w:space="0" w:color="auto"/>
        <w:left w:val="none" w:sz="0" w:space="0" w:color="auto"/>
        <w:bottom w:val="none" w:sz="0" w:space="0" w:color="auto"/>
        <w:right w:val="none" w:sz="0" w:space="0" w:color="auto"/>
      </w:divBdr>
    </w:div>
    <w:div w:id="1498379927">
      <w:bodyDiv w:val="1"/>
      <w:marLeft w:val="0"/>
      <w:marRight w:val="0"/>
      <w:marTop w:val="0"/>
      <w:marBottom w:val="0"/>
      <w:divBdr>
        <w:top w:val="none" w:sz="0" w:space="0" w:color="auto"/>
        <w:left w:val="none" w:sz="0" w:space="0" w:color="auto"/>
        <w:bottom w:val="none" w:sz="0" w:space="0" w:color="auto"/>
        <w:right w:val="none" w:sz="0" w:space="0" w:color="auto"/>
      </w:divBdr>
    </w:div>
    <w:div w:id="1498955481">
      <w:bodyDiv w:val="1"/>
      <w:marLeft w:val="0"/>
      <w:marRight w:val="0"/>
      <w:marTop w:val="0"/>
      <w:marBottom w:val="0"/>
      <w:divBdr>
        <w:top w:val="none" w:sz="0" w:space="0" w:color="auto"/>
        <w:left w:val="none" w:sz="0" w:space="0" w:color="auto"/>
        <w:bottom w:val="none" w:sz="0" w:space="0" w:color="auto"/>
        <w:right w:val="none" w:sz="0" w:space="0" w:color="auto"/>
      </w:divBdr>
    </w:div>
    <w:div w:id="1500735711">
      <w:bodyDiv w:val="1"/>
      <w:marLeft w:val="0"/>
      <w:marRight w:val="0"/>
      <w:marTop w:val="0"/>
      <w:marBottom w:val="0"/>
      <w:divBdr>
        <w:top w:val="none" w:sz="0" w:space="0" w:color="auto"/>
        <w:left w:val="none" w:sz="0" w:space="0" w:color="auto"/>
        <w:bottom w:val="none" w:sz="0" w:space="0" w:color="auto"/>
        <w:right w:val="none" w:sz="0" w:space="0" w:color="auto"/>
      </w:divBdr>
    </w:div>
    <w:div w:id="1512796600">
      <w:bodyDiv w:val="1"/>
      <w:marLeft w:val="0"/>
      <w:marRight w:val="0"/>
      <w:marTop w:val="0"/>
      <w:marBottom w:val="0"/>
      <w:divBdr>
        <w:top w:val="none" w:sz="0" w:space="0" w:color="auto"/>
        <w:left w:val="none" w:sz="0" w:space="0" w:color="auto"/>
        <w:bottom w:val="none" w:sz="0" w:space="0" w:color="auto"/>
        <w:right w:val="none" w:sz="0" w:space="0" w:color="auto"/>
      </w:divBdr>
    </w:div>
    <w:div w:id="1526752556">
      <w:bodyDiv w:val="1"/>
      <w:marLeft w:val="0"/>
      <w:marRight w:val="0"/>
      <w:marTop w:val="0"/>
      <w:marBottom w:val="0"/>
      <w:divBdr>
        <w:top w:val="none" w:sz="0" w:space="0" w:color="auto"/>
        <w:left w:val="none" w:sz="0" w:space="0" w:color="auto"/>
        <w:bottom w:val="none" w:sz="0" w:space="0" w:color="auto"/>
        <w:right w:val="none" w:sz="0" w:space="0" w:color="auto"/>
      </w:divBdr>
    </w:div>
    <w:div w:id="1539665075">
      <w:bodyDiv w:val="1"/>
      <w:marLeft w:val="0"/>
      <w:marRight w:val="0"/>
      <w:marTop w:val="0"/>
      <w:marBottom w:val="0"/>
      <w:divBdr>
        <w:top w:val="none" w:sz="0" w:space="0" w:color="auto"/>
        <w:left w:val="none" w:sz="0" w:space="0" w:color="auto"/>
        <w:bottom w:val="none" w:sz="0" w:space="0" w:color="auto"/>
        <w:right w:val="none" w:sz="0" w:space="0" w:color="auto"/>
      </w:divBdr>
    </w:div>
    <w:div w:id="1540975040">
      <w:bodyDiv w:val="1"/>
      <w:marLeft w:val="0"/>
      <w:marRight w:val="0"/>
      <w:marTop w:val="0"/>
      <w:marBottom w:val="0"/>
      <w:divBdr>
        <w:top w:val="none" w:sz="0" w:space="0" w:color="auto"/>
        <w:left w:val="none" w:sz="0" w:space="0" w:color="auto"/>
        <w:bottom w:val="none" w:sz="0" w:space="0" w:color="auto"/>
        <w:right w:val="none" w:sz="0" w:space="0" w:color="auto"/>
      </w:divBdr>
    </w:div>
    <w:div w:id="1541167103">
      <w:bodyDiv w:val="1"/>
      <w:marLeft w:val="0"/>
      <w:marRight w:val="0"/>
      <w:marTop w:val="0"/>
      <w:marBottom w:val="0"/>
      <w:divBdr>
        <w:top w:val="none" w:sz="0" w:space="0" w:color="auto"/>
        <w:left w:val="none" w:sz="0" w:space="0" w:color="auto"/>
        <w:bottom w:val="none" w:sz="0" w:space="0" w:color="auto"/>
        <w:right w:val="none" w:sz="0" w:space="0" w:color="auto"/>
      </w:divBdr>
    </w:div>
    <w:div w:id="1547529015">
      <w:bodyDiv w:val="1"/>
      <w:marLeft w:val="0"/>
      <w:marRight w:val="0"/>
      <w:marTop w:val="0"/>
      <w:marBottom w:val="0"/>
      <w:divBdr>
        <w:top w:val="none" w:sz="0" w:space="0" w:color="auto"/>
        <w:left w:val="none" w:sz="0" w:space="0" w:color="auto"/>
        <w:bottom w:val="none" w:sz="0" w:space="0" w:color="auto"/>
        <w:right w:val="none" w:sz="0" w:space="0" w:color="auto"/>
      </w:divBdr>
    </w:div>
    <w:div w:id="1548952386">
      <w:bodyDiv w:val="1"/>
      <w:marLeft w:val="0"/>
      <w:marRight w:val="0"/>
      <w:marTop w:val="0"/>
      <w:marBottom w:val="0"/>
      <w:divBdr>
        <w:top w:val="none" w:sz="0" w:space="0" w:color="auto"/>
        <w:left w:val="none" w:sz="0" w:space="0" w:color="auto"/>
        <w:bottom w:val="none" w:sz="0" w:space="0" w:color="auto"/>
        <w:right w:val="none" w:sz="0" w:space="0" w:color="auto"/>
      </w:divBdr>
    </w:div>
    <w:div w:id="1554461292">
      <w:bodyDiv w:val="1"/>
      <w:marLeft w:val="0"/>
      <w:marRight w:val="0"/>
      <w:marTop w:val="0"/>
      <w:marBottom w:val="0"/>
      <w:divBdr>
        <w:top w:val="none" w:sz="0" w:space="0" w:color="auto"/>
        <w:left w:val="none" w:sz="0" w:space="0" w:color="auto"/>
        <w:bottom w:val="none" w:sz="0" w:space="0" w:color="auto"/>
        <w:right w:val="none" w:sz="0" w:space="0" w:color="auto"/>
      </w:divBdr>
    </w:div>
    <w:div w:id="1556814718">
      <w:bodyDiv w:val="1"/>
      <w:marLeft w:val="0"/>
      <w:marRight w:val="0"/>
      <w:marTop w:val="0"/>
      <w:marBottom w:val="0"/>
      <w:divBdr>
        <w:top w:val="none" w:sz="0" w:space="0" w:color="auto"/>
        <w:left w:val="none" w:sz="0" w:space="0" w:color="auto"/>
        <w:bottom w:val="none" w:sz="0" w:space="0" w:color="auto"/>
        <w:right w:val="none" w:sz="0" w:space="0" w:color="auto"/>
      </w:divBdr>
    </w:div>
    <w:div w:id="1557005608">
      <w:bodyDiv w:val="1"/>
      <w:marLeft w:val="0"/>
      <w:marRight w:val="0"/>
      <w:marTop w:val="0"/>
      <w:marBottom w:val="0"/>
      <w:divBdr>
        <w:top w:val="none" w:sz="0" w:space="0" w:color="auto"/>
        <w:left w:val="none" w:sz="0" w:space="0" w:color="auto"/>
        <w:bottom w:val="none" w:sz="0" w:space="0" w:color="auto"/>
        <w:right w:val="none" w:sz="0" w:space="0" w:color="auto"/>
      </w:divBdr>
    </w:div>
    <w:div w:id="1566065003">
      <w:bodyDiv w:val="1"/>
      <w:marLeft w:val="0"/>
      <w:marRight w:val="0"/>
      <w:marTop w:val="0"/>
      <w:marBottom w:val="0"/>
      <w:divBdr>
        <w:top w:val="none" w:sz="0" w:space="0" w:color="auto"/>
        <w:left w:val="none" w:sz="0" w:space="0" w:color="auto"/>
        <w:bottom w:val="none" w:sz="0" w:space="0" w:color="auto"/>
        <w:right w:val="none" w:sz="0" w:space="0" w:color="auto"/>
      </w:divBdr>
    </w:div>
    <w:div w:id="1569460980">
      <w:bodyDiv w:val="1"/>
      <w:marLeft w:val="0"/>
      <w:marRight w:val="0"/>
      <w:marTop w:val="0"/>
      <w:marBottom w:val="0"/>
      <w:divBdr>
        <w:top w:val="none" w:sz="0" w:space="0" w:color="auto"/>
        <w:left w:val="none" w:sz="0" w:space="0" w:color="auto"/>
        <w:bottom w:val="none" w:sz="0" w:space="0" w:color="auto"/>
        <w:right w:val="none" w:sz="0" w:space="0" w:color="auto"/>
      </w:divBdr>
    </w:div>
    <w:div w:id="1570069811">
      <w:bodyDiv w:val="1"/>
      <w:marLeft w:val="0"/>
      <w:marRight w:val="0"/>
      <w:marTop w:val="0"/>
      <w:marBottom w:val="0"/>
      <w:divBdr>
        <w:top w:val="none" w:sz="0" w:space="0" w:color="auto"/>
        <w:left w:val="none" w:sz="0" w:space="0" w:color="auto"/>
        <w:bottom w:val="none" w:sz="0" w:space="0" w:color="auto"/>
        <w:right w:val="none" w:sz="0" w:space="0" w:color="auto"/>
      </w:divBdr>
    </w:div>
    <w:div w:id="1575823256">
      <w:bodyDiv w:val="1"/>
      <w:marLeft w:val="0"/>
      <w:marRight w:val="0"/>
      <w:marTop w:val="0"/>
      <w:marBottom w:val="0"/>
      <w:divBdr>
        <w:top w:val="none" w:sz="0" w:space="0" w:color="auto"/>
        <w:left w:val="none" w:sz="0" w:space="0" w:color="auto"/>
        <w:bottom w:val="none" w:sz="0" w:space="0" w:color="auto"/>
        <w:right w:val="none" w:sz="0" w:space="0" w:color="auto"/>
      </w:divBdr>
    </w:div>
    <w:div w:id="1584995634">
      <w:bodyDiv w:val="1"/>
      <w:marLeft w:val="0"/>
      <w:marRight w:val="0"/>
      <w:marTop w:val="0"/>
      <w:marBottom w:val="0"/>
      <w:divBdr>
        <w:top w:val="none" w:sz="0" w:space="0" w:color="auto"/>
        <w:left w:val="none" w:sz="0" w:space="0" w:color="auto"/>
        <w:bottom w:val="none" w:sz="0" w:space="0" w:color="auto"/>
        <w:right w:val="none" w:sz="0" w:space="0" w:color="auto"/>
      </w:divBdr>
    </w:div>
    <w:div w:id="1586187139">
      <w:bodyDiv w:val="1"/>
      <w:marLeft w:val="0"/>
      <w:marRight w:val="0"/>
      <w:marTop w:val="0"/>
      <w:marBottom w:val="0"/>
      <w:divBdr>
        <w:top w:val="none" w:sz="0" w:space="0" w:color="auto"/>
        <w:left w:val="none" w:sz="0" w:space="0" w:color="auto"/>
        <w:bottom w:val="none" w:sz="0" w:space="0" w:color="auto"/>
        <w:right w:val="none" w:sz="0" w:space="0" w:color="auto"/>
      </w:divBdr>
    </w:div>
    <w:div w:id="1589655301">
      <w:bodyDiv w:val="1"/>
      <w:marLeft w:val="0"/>
      <w:marRight w:val="0"/>
      <w:marTop w:val="0"/>
      <w:marBottom w:val="0"/>
      <w:divBdr>
        <w:top w:val="none" w:sz="0" w:space="0" w:color="auto"/>
        <w:left w:val="none" w:sz="0" w:space="0" w:color="auto"/>
        <w:bottom w:val="none" w:sz="0" w:space="0" w:color="auto"/>
        <w:right w:val="none" w:sz="0" w:space="0" w:color="auto"/>
      </w:divBdr>
    </w:div>
    <w:div w:id="1590577944">
      <w:bodyDiv w:val="1"/>
      <w:marLeft w:val="0"/>
      <w:marRight w:val="0"/>
      <w:marTop w:val="0"/>
      <w:marBottom w:val="0"/>
      <w:divBdr>
        <w:top w:val="none" w:sz="0" w:space="0" w:color="auto"/>
        <w:left w:val="none" w:sz="0" w:space="0" w:color="auto"/>
        <w:bottom w:val="none" w:sz="0" w:space="0" w:color="auto"/>
        <w:right w:val="none" w:sz="0" w:space="0" w:color="auto"/>
      </w:divBdr>
    </w:div>
    <w:div w:id="1592885186">
      <w:bodyDiv w:val="1"/>
      <w:marLeft w:val="0"/>
      <w:marRight w:val="0"/>
      <w:marTop w:val="0"/>
      <w:marBottom w:val="0"/>
      <w:divBdr>
        <w:top w:val="none" w:sz="0" w:space="0" w:color="auto"/>
        <w:left w:val="none" w:sz="0" w:space="0" w:color="auto"/>
        <w:bottom w:val="none" w:sz="0" w:space="0" w:color="auto"/>
        <w:right w:val="none" w:sz="0" w:space="0" w:color="auto"/>
      </w:divBdr>
    </w:div>
    <w:div w:id="1595942169">
      <w:bodyDiv w:val="1"/>
      <w:marLeft w:val="0"/>
      <w:marRight w:val="0"/>
      <w:marTop w:val="0"/>
      <w:marBottom w:val="0"/>
      <w:divBdr>
        <w:top w:val="none" w:sz="0" w:space="0" w:color="auto"/>
        <w:left w:val="none" w:sz="0" w:space="0" w:color="auto"/>
        <w:bottom w:val="none" w:sz="0" w:space="0" w:color="auto"/>
        <w:right w:val="none" w:sz="0" w:space="0" w:color="auto"/>
      </w:divBdr>
    </w:div>
    <w:div w:id="1596403481">
      <w:bodyDiv w:val="1"/>
      <w:marLeft w:val="0"/>
      <w:marRight w:val="0"/>
      <w:marTop w:val="0"/>
      <w:marBottom w:val="0"/>
      <w:divBdr>
        <w:top w:val="none" w:sz="0" w:space="0" w:color="auto"/>
        <w:left w:val="none" w:sz="0" w:space="0" w:color="auto"/>
        <w:bottom w:val="none" w:sz="0" w:space="0" w:color="auto"/>
        <w:right w:val="none" w:sz="0" w:space="0" w:color="auto"/>
      </w:divBdr>
    </w:div>
    <w:div w:id="1602684588">
      <w:bodyDiv w:val="1"/>
      <w:marLeft w:val="0"/>
      <w:marRight w:val="0"/>
      <w:marTop w:val="0"/>
      <w:marBottom w:val="0"/>
      <w:divBdr>
        <w:top w:val="none" w:sz="0" w:space="0" w:color="auto"/>
        <w:left w:val="none" w:sz="0" w:space="0" w:color="auto"/>
        <w:bottom w:val="none" w:sz="0" w:space="0" w:color="auto"/>
        <w:right w:val="none" w:sz="0" w:space="0" w:color="auto"/>
      </w:divBdr>
    </w:div>
    <w:div w:id="1610089864">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2112136">
      <w:bodyDiv w:val="1"/>
      <w:marLeft w:val="0"/>
      <w:marRight w:val="0"/>
      <w:marTop w:val="0"/>
      <w:marBottom w:val="0"/>
      <w:divBdr>
        <w:top w:val="none" w:sz="0" w:space="0" w:color="auto"/>
        <w:left w:val="none" w:sz="0" w:space="0" w:color="auto"/>
        <w:bottom w:val="none" w:sz="0" w:space="0" w:color="auto"/>
        <w:right w:val="none" w:sz="0" w:space="0" w:color="auto"/>
      </w:divBdr>
    </w:div>
    <w:div w:id="1622876574">
      <w:bodyDiv w:val="1"/>
      <w:marLeft w:val="0"/>
      <w:marRight w:val="0"/>
      <w:marTop w:val="0"/>
      <w:marBottom w:val="0"/>
      <w:divBdr>
        <w:top w:val="none" w:sz="0" w:space="0" w:color="auto"/>
        <w:left w:val="none" w:sz="0" w:space="0" w:color="auto"/>
        <w:bottom w:val="none" w:sz="0" w:space="0" w:color="auto"/>
        <w:right w:val="none" w:sz="0" w:space="0" w:color="auto"/>
      </w:divBdr>
    </w:div>
    <w:div w:id="1635022722">
      <w:bodyDiv w:val="1"/>
      <w:marLeft w:val="0"/>
      <w:marRight w:val="0"/>
      <w:marTop w:val="0"/>
      <w:marBottom w:val="0"/>
      <w:divBdr>
        <w:top w:val="none" w:sz="0" w:space="0" w:color="auto"/>
        <w:left w:val="none" w:sz="0" w:space="0" w:color="auto"/>
        <w:bottom w:val="none" w:sz="0" w:space="0" w:color="auto"/>
        <w:right w:val="none" w:sz="0" w:space="0" w:color="auto"/>
      </w:divBdr>
    </w:div>
    <w:div w:id="1638760350">
      <w:bodyDiv w:val="1"/>
      <w:marLeft w:val="0"/>
      <w:marRight w:val="0"/>
      <w:marTop w:val="0"/>
      <w:marBottom w:val="0"/>
      <w:divBdr>
        <w:top w:val="none" w:sz="0" w:space="0" w:color="auto"/>
        <w:left w:val="none" w:sz="0" w:space="0" w:color="auto"/>
        <w:bottom w:val="none" w:sz="0" w:space="0" w:color="auto"/>
        <w:right w:val="none" w:sz="0" w:space="0" w:color="auto"/>
      </w:divBdr>
    </w:div>
    <w:div w:id="1651665992">
      <w:bodyDiv w:val="1"/>
      <w:marLeft w:val="0"/>
      <w:marRight w:val="0"/>
      <w:marTop w:val="0"/>
      <w:marBottom w:val="0"/>
      <w:divBdr>
        <w:top w:val="none" w:sz="0" w:space="0" w:color="auto"/>
        <w:left w:val="none" w:sz="0" w:space="0" w:color="auto"/>
        <w:bottom w:val="none" w:sz="0" w:space="0" w:color="auto"/>
        <w:right w:val="none" w:sz="0" w:space="0" w:color="auto"/>
      </w:divBdr>
    </w:div>
    <w:div w:id="1652248974">
      <w:bodyDiv w:val="1"/>
      <w:marLeft w:val="0"/>
      <w:marRight w:val="0"/>
      <w:marTop w:val="0"/>
      <w:marBottom w:val="0"/>
      <w:divBdr>
        <w:top w:val="none" w:sz="0" w:space="0" w:color="auto"/>
        <w:left w:val="none" w:sz="0" w:space="0" w:color="auto"/>
        <w:bottom w:val="none" w:sz="0" w:space="0" w:color="auto"/>
        <w:right w:val="none" w:sz="0" w:space="0" w:color="auto"/>
      </w:divBdr>
    </w:div>
    <w:div w:id="1652565569">
      <w:bodyDiv w:val="1"/>
      <w:marLeft w:val="0"/>
      <w:marRight w:val="0"/>
      <w:marTop w:val="0"/>
      <w:marBottom w:val="0"/>
      <w:divBdr>
        <w:top w:val="none" w:sz="0" w:space="0" w:color="auto"/>
        <w:left w:val="none" w:sz="0" w:space="0" w:color="auto"/>
        <w:bottom w:val="none" w:sz="0" w:space="0" w:color="auto"/>
        <w:right w:val="none" w:sz="0" w:space="0" w:color="auto"/>
      </w:divBdr>
    </w:div>
    <w:div w:id="1655455417">
      <w:bodyDiv w:val="1"/>
      <w:marLeft w:val="0"/>
      <w:marRight w:val="0"/>
      <w:marTop w:val="0"/>
      <w:marBottom w:val="0"/>
      <w:divBdr>
        <w:top w:val="none" w:sz="0" w:space="0" w:color="auto"/>
        <w:left w:val="none" w:sz="0" w:space="0" w:color="auto"/>
        <w:bottom w:val="none" w:sz="0" w:space="0" w:color="auto"/>
        <w:right w:val="none" w:sz="0" w:space="0" w:color="auto"/>
      </w:divBdr>
    </w:div>
    <w:div w:id="1664354970">
      <w:bodyDiv w:val="1"/>
      <w:marLeft w:val="0"/>
      <w:marRight w:val="0"/>
      <w:marTop w:val="0"/>
      <w:marBottom w:val="0"/>
      <w:divBdr>
        <w:top w:val="none" w:sz="0" w:space="0" w:color="auto"/>
        <w:left w:val="none" w:sz="0" w:space="0" w:color="auto"/>
        <w:bottom w:val="none" w:sz="0" w:space="0" w:color="auto"/>
        <w:right w:val="none" w:sz="0" w:space="0" w:color="auto"/>
      </w:divBdr>
    </w:div>
    <w:div w:id="1666201457">
      <w:bodyDiv w:val="1"/>
      <w:marLeft w:val="0"/>
      <w:marRight w:val="0"/>
      <w:marTop w:val="0"/>
      <w:marBottom w:val="0"/>
      <w:divBdr>
        <w:top w:val="none" w:sz="0" w:space="0" w:color="auto"/>
        <w:left w:val="none" w:sz="0" w:space="0" w:color="auto"/>
        <w:bottom w:val="none" w:sz="0" w:space="0" w:color="auto"/>
        <w:right w:val="none" w:sz="0" w:space="0" w:color="auto"/>
      </w:divBdr>
    </w:div>
    <w:div w:id="1676761623">
      <w:bodyDiv w:val="1"/>
      <w:marLeft w:val="0"/>
      <w:marRight w:val="0"/>
      <w:marTop w:val="0"/>
      <w:marBottom w:val="0"/>
      <w:divBdr>
        <w:top w:val="none" w:sz="0" w:space="0" w:color="auto"/>
        <w:left w:val="none" w:sz="0" w:space="0" w:color="auto"/>
        <w:bottom w:val="none" w:sz="0" w:space="0" w:color="auto"/>
        <w:right w:val="none" w:sz="0" w:space="0" w:color="auto"/>
      </w:divBdr>
    </w:div>
    <w:div w:id="1683431308">
      <w:bodyDiv w:val="1"/>
      <w:marLeft w:val="0"/>
      <w:marRight w:val="0"/>
      <w:marTop w:val="0"/>
      <w:marBottom w:val="0"/>
      <w:divBdr>
        <w:top w:val="none" w:sz="0" w:space="0" w:color="auto"/>
        <w:left w:val="none" w:sz="0" w:space="0" w:color="auto"/>
        <w:bottom w:val="none" w:sz="0" w:space="0" w:color="auto"/>
        <w:right w:val="none" w:sz="0" w:space="0" w:color="auto"/>
      </w:divBdr>
    </w:div>
    <w:div w:id="1688368885">
      <w:bodyDiv w:val="1"/>
      <w:marLeft w:val="0"/>
      <w:marRight w:val="0"/>
      <w:marTop w:val="0"/>
      <w:marBottom w:val="0"/>
      <w:divBdr>
        <w:top w:val="none" w:sz="0" w:space="0" w:color="auto"/>
        <w:left w:val="none" w:sz="0" w:space="0" w:color="auto"/>
        <w:bottom w:val="none" w:sz="0" w:space="0" w:color="auto"/>
        <w:right w:val="none" w:sz="0" w:space="0" w:color="auto"/>
      </w:divBdr>
    </w:div>
    <w:div w:id="1689942944">
      <w:bodyDiv w:val="1"/>
      <w:marLeft w:val="0"/>
      <w:marRight w:val="0"/>
      <w:marTop w:val="0"/>
      <w:marBottom w:val="0"/>
      <w:divBdr>
        <w:top w:val="none" w:sz="0" w:space="0" w:color="auto"/>
        <w:left w:val="none" w:sz="0" w:space="0" w:color="auto"/>
        <w:bottom w:val="none" w:sz="0" w:space="0" w:color="auto"/>
        <w:right w:val="none" w:sz="0" w:space="0" w:color="auto"/>
      </w:divBdr>
    </w:div>
    <w:div w:id="1695694753">
      <w:bodyDiv w:val="1"/>
      <w:marLeft w:val="0"/>
      <w:marRight w:val="0"/>
      <w:marTop w:val="0"/>
      <w:marBottom w:val="0"/>
      <w:divBdr>
        <w:top w:val="none" w:sz="0" w:space="0" w:color="auto"/>
        <w:left w:val="none" w:sz="0" w:space="0" w:color="auto"/>
        <w:bottom w:val="none" w:sz="0" w:space="0" w:color="auto"/>
        <w:right w:val="none" w:sz="0" w:space="0" w:color="auto"/>
      </w:divBdr>
    </w:div>
    <w:div w:id="1699962203">
      <w:bodyDiv w:val="1"/>
      <w:marLeft w:val="0"/>
      <w:marRight w:val="0"/>
      <w:marTop w:val="0"/>
      <w:marBottom w:val="0"/>
      <w:divBdr>
        <w:top w:val="none" w:sz="0" w:space="0" w:color="auto"/>
        <w:left w:val="none" w:sz="0" w:space="0" w:color="auto"/>
        <w:bottom w:val="none" w:sz="0" w:space="0" w:color="auto"/>
        <w:right w:val="none" w:sz="0" w:space="0" w:color="auto"/>
      </w:divBdr>
    </w:div>
    <w:div w:id="1700935329">
      <w:bodyDiv w:val="1"/>
      <w:marLeft w:val="0"/>
      <w:marRight w:val="0"/>
      <w:marTop w:val="0"/>
      <w:marBottom w:val="0"/>
      <w:divBdr>
        <w:top w:val="none" w:sz="0" w:space="0" w:color="auto"/>
        <w:left w:val="none" w:sz="0" w:space="0" w:color="auto"/>
        <w:bottom w:val="none" w:sz="0" w:space="0" w:color="auto"/>
        <w:right w:val="none" w:sz="0" w:space="0" w:color="auto"/>
      </w:divBdr>
    </w:div>
    <w:div w:id="1706245660">
      <w:bodyDiv w:val="1"/>
      <w:marLeft w:val="0"/>
      <w:marRight w:val="0"/>
      <w:marTop w:val="0"/>
      <w:marBottom w:val="0"/>
      <w:divBdr>
        <w:top w:val="none" w:sz="0" w:space="0" w:color="auto"/>
        <w:left w:val="none" w:sz="0" w:space="0" w:color="auto"/>
        <w:bottom w:val="none" w:sz="0" w:space="0" w:color="auto"/>
        <w:right w:val="none" w:sz="0" w:space="0" w:color="auto"/>
      </w:divBdr>
    </w:div>
    <w:div w:id="1707942696">
      <w:bodyDiv w:val="1"/>
      <w:marLeft w:val="0"/>
      <w:marRight w:val="0"/>
      <w:marTop w:val="0"/>
      <w:marBottom w:val="0"/>
      <w:divBdr>
        <w:top w:val="none" w:sz="0" w:space="0" w:color="auto"/>
        <w:left w:val="none" w:sz="0" w:space="0" w:color="auto"/>
        <w:bottom w:val="none" w:sz="0" w:space="0" w:color="auto"/>
        <w:right w:val="none" w:sz="0" w:space="0" w:color="auto"/>
      </w:divBdr>
    </w:div>
    <w:div w:id="1710493007">
      <w:bodyDiv w:val="1"/>
      <w:marLeft w:val="0"/>
      <w:marRight w:val="0"/>
      <w:marTop w:val="0"/>
      <w:marBottom w:val="0"/>
      <w:divBdr>
        <w:top w:val="none" w:sz="0" w:space="0" w:color="auto"/>
        <w:left w:val="none" w:sz="0" w:space="0" w:color="auto"/>
        <w:bottom w:val="none" w:sz="0" w:space="0" w:color="auto"/>
        <w:right w:val="none" w:sz="0" w:space="0" w:color="auto"/>
      </w:divBdr>
    </w:div>
    <w:div w:id="1711418993">
      <w:bodyDiv w:val="1"/>
      <w:marLeft w:val="0"/>
      <w:marRight w:val="0"/>
      <w:marTop w:val="0"/>
      <w:marBottom w:val="0"/>
      <w:divBdr>
        <w:top w:val="none" w:sz="0" w:space="0" w:color="auto"/>
        <w:left w:val="none" w:sz="0" w:space="0" w:color="auto"/>
        <w:bottom w:val="none" w:sz="0" w:space="0" w:color="auto"/>
        <w:right w:val="none" w:sz="0" w:space="0" w:color="auto"/>
      </w:divBdr>
    </w:div>
    <w:div w:id="1717390607">
      <w:bodyDiv w:val="1"/>
      <w:marLeft w:val="0"/>
      <w:marRight w:val="0"/>
      <w:marTop w:val="0"/>
      <w:marBottom w:val="0"/>
      <w:divBdr>
        <w:top w:val="none" w:sz="0" w:space="0" w:color="auto"/>
        <w:left w:val="none" w:sz="0" w:space="0" w:color="auto"/>
        <w:bottom w:val="none" w:sz="0" w:space="0" w:color="auto"/>
        <w:right w:val="none" w:sz="0" w:space="0" w:color="auto"/>
      </w:divBdr>
    </w:div>
    <w:div w:id="1727872607">
      <w:bodyDiv w:val="1"/>
      <w:marLeft w:val="0"/>
      <w:marRight w:val="0"/>
      <w:marTop w:val="0"/>
      <w:marBottom w:val="0"/>
      <w:divBdr>
        <w:top w:val="none" w:sz="0" w:space="0" w:color="auto"/>
        <w:left w:val="none" w:sz="0" w:space="0" w:color="auto"/>
        <w:bottom w:val="none" w:sz="0" w:space="0" w:color="auto"/>
        <w:right w:val="none" w:sz="0" w:space="0" w:color="auto"/>
      </w:divBdr>
    </w:div>
    <w:div w:id="1731541380">
      <w:bodyDiv w:val="1"/>
      <w:marLeft w:val="0"/>
      <w:marRight w:val="0"/>
      <w:marTop w:val="0"/>
      <w:marBottom w:val="0"/>
      <w:divBdr>
        <w:top w:val="none" w:sz="0" w:space="0" w:color="auto"/>
        <w:left w:val="none" w:sz="0" w:space="0" w:color="auto"/>
        <w:bottom w:val="none" w:sz="0" w:space="0" w:color="auto"/>
        <w:right w:val="none" w:sz="0" w:space="0" w:color="auto"/>
      </w:divBdr>
    </w:div>
    <w:div w:id="1739210337">
      <w:bodyDiv w:val="1"/>
      <w:marLeft w:val="0"/>
      <w:marRight w:val="0"/>
      <w:marTop w:val="0"/>
      <w:marBottom w:val="0"/>
      <w:divBdr>
        <w:top w:val="none" w:sz="0" w:space="0" w:color="auto"/>
        <w:left w:val="none" w:sz="0" w:space="0" w:color="auto"/>
        <w:bottom w:val="none" w:sz="0" w:space="0" w:color="auto"/>
        <w:right w:val="none" w:sz="0" w:space="0" w:color="auto"/>
      </w:divBdr>
    </w:div>
    <w:div w:id="1739939543">
      <w:bodyDiv w:val="1"/>
      <w:marLeft w:val="0"/>
      <w:marRight w:val="0"/>
      <w:marTop w:val="0"/>
      <w:marBottom w:val="0"/>
      <w:divBdr>
        <w:top w:val="none" w:sz="0" w:space="0" w:color="auto"/>
        <w:left w:val="none" w:sz="0" w:space="0" w:color="auto"/>
        <w:bottom w:val="none" w:sz="0" w:space="0" w:color="auto"/>
        <w:right w:val="none" w:sz="0" w:space="0" w:color="auto"/>
      </w:divBdr>
    </w:div>
    <w:div w:id="1742094560">
      <w:bodyDiv w:val="1"/>
      <w:marLeft w:val="0"/>
      <w:marRight w:val="0"/>
      <w:marTop w:val="0"/>
      <w:marBottom w:val="0"/>
      <w:divBdr>
        <w:top w:val="none" w:sz="0" w:space="0" w:color="auto"/>
        <w:left w:val="none" w:sz="0" w:space="0" w:color="auto"/>
        <w:bottom w:val="none" w:sz="0" w:space="0" w:color="auto"/>
        <w:right w:val="none" w:sz="0" w:space="0" w:color="auto"/>
      </w:divBdr>
    </w:div>
    <w:div w:id="1743527340">
      <w:bodyDiv w:val="1"/>
      <w:marLeft w:val="0"/>
      <w:marRight w:val="0"/>
      <w:marTop w:val="0"/>
      <w:marBottom w:val="0"/>
      <w:divBdr>
        <w:top w:val="none" w:sz="0" w:space="0" w:color="auto"/>
        <w:left w:val="none" w:sz="0" w:space="0" w:color="auto"/>
        <w:bottom w:val="none" w:sz="0" w:space="0" w:color="auto"/>
        <w:right w:val="none" w:sz="0" w:space="0" w:color="auto"/>
      </w:divBdr>
    </w:div>
    <w:div w:id="1762873455">
      <w:bodyDiv w:val="1"/>
      <w:marLeft w:val="0"/>
      <w:marRight w:val="0"/>
      <w:marTop w:val="0"/>
      <w:marBottom w:val="0"/>
      <w:divBdr>
        <w:top w:val="none" w:sz="0" w:space="0" w:color="auto"/>
        <w:left w:val="none" w:sz="0" w:space="0" w:color="auto"/>
        <w:bottom w:val="none" w:sz="0" w:space="0" w:color="auto"/>
        <w:right w:val="none" w:sz="0" w:space="0" w:color="auto"/>
      </w:divBdr>
    </w:div>
    <w:div w:id="1767068116">
      <w:bodyDiv w:val="1"/>
      <w:marLeft w:val="0"/>
      <w:marRight w:val="0"/>
      <w:marTop w:val="0"/>
      <w:marBottom w:val="0"/>
      <w:divBdr>
        <w:top w:val="none" w:sz="0" w:space="0" w:color="auto"/>
        <w:left w:val="none" w:sz="0" w:space="0" w:color="auto"/>
        <w:bottom w:val="none" w:sz="0" w:space="0" w:color="auto"/>
        <w:right w:val="none" w:sz="0" w:space="0" w:color="auto"/>
      </w:divBdr>
    </w:div>
    <w:div w:id="1772161718">
      <w:bodyDiv w:val="1"/>
      <w:marLeft w:val="0"/>
      <w:marRight w:val="0"/>
      <w:marTop w:val="0"/>
      <w:marBottom w:val="0"/>
      <w:divBdr>
        <w:top w:val="none" w:sz="0" w:space="0" w:color="auto"/>
        <w:left w:val="none" w:sz="0" w:space="0" w:color="auto"/>
        <w:bottom w:val="none" w:sz="0" w:space="0" w:color="auto"/>
        <w:right w:val="none" w:sz="0" w:space="0" w:color="auto"/>
      </w:divBdr>
    </w:div>
    <w:div w:id="1772168298">
      <w:bodyDiv w:val="1"/>
      <w:marLeft w:val="0"/>
      <w:marRight w:val="0"/>
      <w:marTop w:val="0"/>
      <w:marBottom w:val="0"/>
      <w:divBdr>
        <w:top w:val="none" w:sz="0" w:space="0" w:color="auto"/>
        <w:left w:val="none" w:sz="0" w:space="0" w:color="auto"/>
        <w:bottom w:val="none" w:sz="0" w:space="0" w:color="auto"/>
        <w:right w:val="none" w:sz="0" w:space="0" w:color="auto"/>
      </w:divBdr>
    </w:div>
    <w:div w:id="1772966321">
      <w:bodyDiv w:val="1"/>
      <w:marLeft w:val="0"/>
      <w:marRight w:val="0"/>
      <w:marTop w:val="0"/>
      <w:marBottom w:val="0"/>
      <w:divBdr>
        <w:top w:val="none" w:sz="0" w:space="0" w:color="auto"/>
        <w:left w:val="none" w:sz="0" w:space="0" w:color="auto"/>
        <w:bottom w:val="none" w:sz="0" w:space="0" w:color="auto"/>
        <w:right w:val="none" w:sz="0" w:space="0" w:color="auto"/>
      </w:divBdr>
    </w:div>
    <w:div w:id="1784570011">
      <w:bodyDiv w:val="1"/>
      <w:marLeft w:val="0"/>
      <w:marRight w:val="0"/>
      <w:marTop w:val="0"/>
      <w:marBottom w:val="0"/>
      <w:divBdr>
        <w:top w:val="none" w:sz="0" w:space="0" w:color="auto"/>
        <w:left w:val="none" w:sz="0" w:space="0" w:color="auto"/>
        <w:bottom w:val="none" w:sz="0" w:space="0" w:color="auto"/>
        <w:right w:val="none" w:sz="0" w:space="0" w:color="auto"/>
      </w:divBdr>
    </w:div>
    <w:div w:id="1787263375">
      <w:bodyDiv w:val="1"/>
      <w:marLeft w:val="0"/>
      <w:marRight w:val="0"/>
      <w:marTop w:val="0"/>
      <w:marBottom w:val="0"/>
      <w:divBdr>
        <w:top w:val="none" w:sz="0" w:space="0" w:color="auto"/>
        <w:left w:val="none" w:sz="0" w:space="0" w:color="auto"/>
        <w:bottom w:val="none" w:sz="0" w:space="0" w:color="auto"/>
        <w:right w:val="none" w:sz="0" w:space="0" w:color="auto"/>
      </w:divBdr>
    </w:div>
    <w:div w:id="1792236870">
      <w:bodyDiv w:val="1"/>
      <w:marLeft w:val="0"/>
      <w:marRight w:val="0"/>
      <w:marTop w:val="0"/>
      <w:marBottom w:val="0"/>
      <w:divBdr>
        <w:top w:val="none" w:sz="0" w:space="0" w:color="auto"/>
        <w:left w:val="none" w:sz="0" w:space="0" w:color="auto"/>
        <w:bottom w:val="none" w:sz="0" w:space="0" w:color="auto"/>
        <w:right w:val="none" w:sz="0" w:space="0" w:color="auto"/>
      </w:divBdr>
    </w:div>
    <w:div w:id="1792672473">
      <w:bodyDiv w:val="1"/>
      <w:marLeft w:val="0"/>
      <w:marRight w:val="0"/>
      <w:marTop w:val="0"/>
      <w:marBottom w:val="0"/>
      <w:divBdr>
        <w:top w:val="none" w:sz="0" w:space="0" w:color="auto"/>
        <w:left w:val="none" w:sz="0" w:space="0" w:color="auto"/>
        <w:bottom w:val="none" w:sz="0" w:space="0" w:color="auto"/>
        <w:right w:val="none" w:sz="0" w:space="0" w:color="auto"/>
      </w:divBdr>
    </w:div>
    <w:div w:id="1794012823">
      <w:bodyDiv w:val="1"/>
      <w:marLeft w:val="0"/>
      <w:marRight w:val="0"/>
      <w:marTop w:val="0"/>
      <w:marBottom w:val="0"/>
      <w:divBdr>
        <w:top w:val="none" w:sz="0" w:space="0" w:color="auto"/>
        <w:left w:val="none" w:sz="0" w:space="0" w:color="auto"/>
        <w:bottom w:val="none" w:sz="0" w:space="0" w:color="auto"/>
        <w:right w:val="none" w:sz="0" w:space="0" w:color="auto"/>
      </w:divBdr>
    </w:div>
    <w:div w:id="1796217889">
      <w:bodyDiv w:val="1"/>
      <w:marLeft w:val="0"/>
      <w:marRight w:val="0"/>
      <w:marTop w:val="0"/>
      <w:marBottom w:val="0"/>
      <w:divBdr>
        <w:top w:val="none" w:sz="0" w:space="0" w:color="auto"/>
        <w:left w:val="none" w:sz="0" w:space="0" w:color="auto"/>
        <w:bottom w:val="none" w:sz="0" w:space="0" w:color="auto"/>
        <w:right w:val="none" w:sz="0" w:space="0" w:color="auto"/>
      </w:divBdr>
    </w:div>
    <w:div w:id="1797797819">
      <w:bodyDiv w:val="1"/>
      <w:marLeft w:val="0"/>
      <w:marRight w:val="0"/>
      <w:marTop w:val="0"/>
      <w:marBottom w:val="0"/>
      <w:divBdr>
        <w:top w:val="none" w:sz="0" w:space="0" w:color="auto"/>
        <w:left w:val="none" w:sz="0" w:space="0" w:color="auto"/>
        <w:bottom w:val="none" w:sz="0" w:space="0" w:color="auto"/>
        <w:right w:val="none" w:sz="0" w:space="0" w:color="auto"/>
      </w:divBdr>
    </w:div>
    <w:div w:id="1805388035">
      <w:bodyDiv w:val="1"/>
      <w:marLeft w:val="0"/>
      <w:marRight w:val="0"/>
      <w:marTop w:val="0"/>
      <w:marBottom w:val="0"/>
      <w:divBdr>
        <w:top w:val="none" w:sz="0" w:space="0" w:color="auto"/>
        <w:left w:val="none" w:sz="0" w:space="0" w:color="auto"/>
        <w:bottom w:val="none" w:sz="0" w:space="0" w:color="auto"/>
        <w:right w:val="none" w:sz="0" w:space="0" w:color="auto"/>
      </w:divBdr>
    </w:div>
    <w:div w:id="1810827340">
      <w:bodyDiv w:val="1"/>
      <w:marLeft w:val="0"/>
      <w:marRight w:val="0"/>
      <w:marTop w:val="0"/>
      <w:marBottom w:val="0"/>
      <w:divBdr>
        <w:top w:val="none" w:sz="0" w:space="0" w:color="auto"/>
        <w:left w:val="none" w:sz="0" w:space="0" w:color="auto"/>
        <w:bottom w:val="none" w:sz="0" w:space="0" w:color="auto"/>
        <w:right w:val="none" w:sz="0" w:space="0" w:color="auto"/>
      </w:divBdr>
    </w:div>
    <w:div w:id="1814322865">
      <w:bodyDiv w:val="1"/>
      <w:marLeft w:val="0"/>
      <w:marRight w:val="0"/>
      <w:marTop w:val="0"/>
      <w:marBottom w:val="0"/>
      <w:divBdr>
        <w:top w:val="none" w:sz="0" w:space="0" w:color="auto"/>
        <w:left w:val="none" w:sz="0" w:space="0" w:color="auto"/>
        <w:bottom w:val="none" w:sz="0" w:space="0" w:color="auto"/>
        <w:right w:val="none" w:sz="0" w:space="0" w:color="auto"/>
      </w:divBdr>
    </w:div>
    <w:div w:id="1819490337">
      <w:bodyDiv w:val="1"/>
      <w:marLeft w:val="0"/>
      <w:marRight w:val="0"/>
      <w:marTop w:val="0"/>
      <w:marBottom w:val="0"/>
      <w:divBdr>
        <w:top w:val="none" w:sz="0" w:space="0" w:color="auto"/>
        <w:left w:val="none" w:sz="0" w:space="0" w:color="auto"/>
        <w:bottom w:val="none" w:sz="0" w:space="0" w:color="auto"/>
        <w:right w:val="none" w:sz="0" w:space="0" w:color="auto"/>
      </w:divBdr>
    </w:div>
    <w:div w:id="1820031664">
      <w:bodyDiv w:val="1"/>
      <w:marLeft w:val="0"/>
      <w:marRight w:val="0"/>
      <w:marTop w:val="0"/>
      <w:marBottom w:val="0"/>
      <w:divBdr>
        <w:top w:val="none" w:sz="0" w:space="0" w:color="auto"/>
        <w:left w:val="none" w:sz="0" w:space="0" w:color="auto"/>
        <w:bottom w:val="none" w:sz="0" w:space="0" w:color="auto"/>
        <w:right w:val="none" w:sz="0" w:space="0" w:color="auto"/>
      </w:divBdr>
    </w:div>
    <w:div w:id="1822117347">
      <w:bodyDiv w:val="1"/>
      <w:marLeft w:val="0"/>
      <w:marRight w:val="0"/>
      <w:marTop w:val="0"/>
      <w:marBottom w:val="0"/>
      <w:divBdr>
        <w:top w:val="none" w:sz="0" w:space="0" w:color="auto"/>
        <w:left w:val="none" w:sz="0" w:space="0" w:color="auto"/>
        <w:bottom w:val="none" w:sz="0" w:space="0" w:color="auto"/>
        <w:right w:val="none" w:sz="0" w:space="0" w:color="auto"/>
      </w:divBdr>
    </w:div>
    <w:div w:id="1822578749">
      <w:bodyDiv w:val="1"/>
      <w:marLeft w:val="0"/>
      <w:marRight w:val="0"/>
      <w:marTop w:val="0"/>
      <w:marBottom w:val="0"/>
      <w:divBdr>
        <w:top w:val="none" w:sz="0" w:space="0" w:color="auto"/>
        <w:left w:val="none" w:sz="0" w:space="0" w:color="auto"/>
        <w:bottom w:val="none" w:sz="0" w:space="0" w:color="auto"/>
        <w:right w:val="none" w:sz="0" w:space="0" w:color="auto"/>
      </w:divBdr>
    </w:div>
    <w:div w:id="1822888516">
      <w:bodyDiv w:val="1"/>
      <w:marLeft w:val="0"/>
      <w:marRight w:val="0"/>
      <w:marTop w:val="0"/>
      <w:marBottom w:val="0"/>
      <w:divBdr>
        <w:top w:val="none" w:sz="0" w:space="0" w:color="auto"/>
        <w:left w:val="none" w:sz="0" w:space="0" w:color="auto"/>
        <w:bottom w:val="none" w:sz="0" w:space="0" w:color="auto"/>
        <w:right w:val="none" w:sz="0" w:space="0" w:color="auto"/>
      </w:divBdr>
    </w:div>
    <w:div w:id="1827279116">
      <w:bodyDiv w:val="1"/>
      <w:marLeft w:val="0"/>
      <w:marRight w:val="0"/>
      <w:marTop w:val="0"/>
      <w:marBottom w:val="0"/>
      <w:divBdr>
        <w:top w:val="none" w:sz="0" w:space="0" w:color="auto"/>
        <w:left w:val="none" w:sz="0" w:space="0" w:color="auto"/>
        <w:bottom w:val="none" w:sz="0" w:space="0" w:color="auto"/>
        <w:right w:val="none" w:sz="0" w:space="0" w:color="auto"/>
      </w:divBdr>
    </w:div>
    <w:div w:id="1831406976">
      <w:bodyDiv w:val="1"/>
      <w:marLeft w:val="0"/>
      <w:marRight w:val="0"/>
      <w:marTop w:val="0"/>
      <w:marBottom w:val="0"/>
      <w:divBdr>
        <w:top w:val="none" w:sz="0" w:space="0" w:color="auto"/>
        <w:left w:val="none" w:sz="0" w:space="0" w:color="auto"/>
        <w:bottom w:val="none" w:sz="0" w:space="0" w:color="auto"/>
        <w:right w:val="none" w:sz="0" w:space="0" w:color="auto"/>
      </w:divBdr>
    </w:div>
    <w:div w:id="1835488314">
      <w:bodyDiv w:val="1"/>
      <w:marLeft w:val="0"/>
      <w:marRight w:val="0"/>
      <w:marTop w:val="0"/>
      <w:marBottom w:val="0"/>
      <w:divBdr>
        <w:top w:val="none" w:sz="0" w:space="0" w:color="auto"/>
        <w:left w:val="none" w:sz="0" w:space="0" w:color="auto"/>
        <w:bottom w:val="none" w:sz="0" w:space="0" w:color="auto"/>
        <w:right w:val="none" w:sz="0" w:space="0" w:color="auto"/>
      </w:divBdr>
    </w:div>
    <w:div w:id="1837380438">
      <w:bodyDiv w:val="1"/>
      <w:marLeft w:val="0"/>
      <w:marRight w:val="0"/>
      <w:marTop w:val="0"/>
      <w:marBottom w:val="0"/>
      <w:divBdr>
        <w:top w:val="none" w:sz="0" w:space="0" w:color="auto"/>
        <w:left w:val="none" w:sz="0" w:space="0" w:color="auto"/>
        <w:bottom w:val="none" w:sz="0" w:space="0" w:color="auto"/>
        <w:right w:val="none" w:sz="0" w:space="0" w:color="auto"/>
      </w:divBdr>
    </w:div>
    <w:div w:id="1840000812">
      <w:bodyDiv w:val="1"/>
      <w:marLeft w:val="0"/>
      <w:marRight w:val="0"/>
      <w:marTop w:val="0"/>
      <w:marBottom w:val="0"/>
      <w:divBdr>
        <w:top w:val="none" w:sz="0" w:space="0" w:color="auto"/>
        <w:left w:val="none" w:sz="0" w:space="0" w:color="auto"/>
        <w:bottom w:val="none" w:sz="0" w:space="0" w:color="auto"/>
        <w:right w:val="none" w:sz="0" w:space="0" w:color="auto"/>
      </w:divBdr>
    </w:div>
    <w:div w:id="1840651409">
      <w:bodyDiv w:val="1"/>
      <w:marLeft w:val="0"/>
      <w:marRight w:val="0"/>
      <w:marTop w:val="0"/>
      <w:marBottom w:val="0"/>
      <w:divBdr>
        <w:top w:val="none" w:sz="0" w:space="0" w:color="auto"/>
        <w:left w:val="none" w:sz="0" w:space="0" w:color="auto"/>
        <w:bottom w:val="none" w:sz="0" w:space="0" w:color="auto"/>
        <w:right w:val="none" w:sz="0" w:space="0" w:color="auto"/>
      </w:divBdr>
    </w:div>
    <w:div w:id="1846629796">
      <w:bodyDiv w:val="1"/>
      <w:marLeft w:val="0"/>
      <w:marRight w:val="0"/>
      <w:marTop w:val="0"/>
      <w:marBottom w:val="0"/>
      <w:divBdr>
        <w:top w:val="none" w:sz="0" w:space="0" w:color="auto"/>
        <w:left w:val="none" w:sz="0" w:space="0" w:color="auto"/>
        <w:bottom w:val="none" w:sz="0" w:space="0" w:color="auto"/>
        <w:right w:val="none" w:sz="0" w:space="0" w:color="auto"/>
      </w:divBdr>
    </w:div>
    <w:div w:id="1848209157">
      <w:bodyDiv w:val="1"/>
      <w:marLeft w:val="0"/>
      <w:marRight w:val="0"/>
      <w:marTop w:val="0"/>
      <w:marBottom w:val="0"/>
      <w:divBdr>
        <w:top w:val="none" w:sz="0" w:space="0" w:color="auto"/>
        <w:left w:val="none" w:sz="0" w:space="0" w:color="auto"/>
        <w:bottom w:val="none" w:sz="0" w:space="0" w:color="auto"/>
        <w:right w:val="none" w:sz="0" w:space="0" w:color="auto"/>
      </w:divBdr>
    </w:div>
    <w:div w:id="1848907409">
      <w:bodyDiv w:val="1"/>
      <w:marLeft w:val="0"/>
      <w:marRight w:val="0"/>
      <w:marTop w:val="0"/>
      <w:marBottom w:val="0"/>
      <w:divBdr>
        <w:top w:val="none" w:sz="0" w:space="0" w:color="auto"/>
        <w:left w:val="none" w:sz="0" w:space="0" w:color="auto"/>
        <w:bottom w:val="none" w:sz="0" w:space="0" w:color="auto"/>
        <w:right w:val="none" w:sz="0" w:space="0" w:color="auto"/>
      </w:divBdr>
    </w:div>
    <w:div w:id="1858813312">
      <w:bodyDiv w:val="1"/>
      <w:marLeft w:val="0"/>
      <w:marRight w:val="0"/>
      <w:marTop w:val="0"/>
      <w:marBottom w:val="0"/>
      <w:divBdr>
        <w:top w:val="none" w:sz="0" w:space="0" w:color="auto"/>
        <w:left w:val="none" w:sz="0" w:space="0" w:color="auto"/>
        <w:bottom w:val="none" w:sz="0" w:space="0" w:color="auto"/>
        <w:right w:val="none" w:sz="0" w:space="0" w:color="auto"/>
      </w:divBdr>
    </w:div>
    <w:div w:id="1866751878">
      <w:bodyDiv w:val="1"/>
      <w:marLeft w:val="0"/>
      <w:marRight w:val="0"/>
      <w:marTop w:val="0"/>
      <w:marBottom w:val="0"/>
      <w:divBdr>
        <w:top w:val="none" w:sz="0" w:space="0" w:color="auto"/>
        <w:left w:val="none" w:sz="0" w:space="0" w:color="auto"/>
        <w:bottom w:val="none" w:sz="0" w:space="0" w:color="auto"/>
        <w:right w:val="none" w:sz="0" w:space="0" w:color="auto"/>
      </w:divBdr>
    </w:div>
    <w:div w:id="1869222428">
      <w:bodyDiv w:val="1"/>
      <w:marLeft w:val="0"/>
      <w:marRight w:val="0"/>
      <w:marTop w:val="0"/>
      <w:marBottom w:val="0"/>
      <w:divBdr>
        <w:top w:val="none" w:sz="0" w:space="0" w:color="auto"/>
        <w:left w:val="none" w:sz="0" w:space="0" w:color="auto"/>
        <w:bottom w:val="none" w:sz="0" w:space="0" w:color="auto"/>
        <w:right w:val="none" w:sz="0" w:space="0" w:color="auto"/>
      </w:divBdr>
    </w:div>
    <w:div w:id="1872066873">
      <w:bodyDiv w:val="1"/>
      <w:marLeft w:val="0"/>
      <w:marRight w:val="0"/>
      <w:marTop w:val="0"/>
      <w:marBottom w:val="0"/>
      <w:divBdr>
        <w:top w:val="none" w:sz="0" w:space="0" w:color="auto"/>
        <w:left w:val="none" w:sz="0" w:space="0" w:color="auto"/>
        <w:bottom w:val="none" w:sz="0" w:space="0" w:color="auto"/>
        <w:right w:val="none" w:sz="0" w:space="0" w:color="auto"/>
      </w:divBdr>
    </w:div>
    <w:div w:id="1873375714">
      <w:bodyDiv w:val="1"/>
      <w:marLeft w:val="0"/>
      <w:marRight w:val="0"/>
      <w:marTop w:val="0"/>
      <w:marBottom w:val="0"/>
      <w:divBdr>
        <w:top w:val="none" w:sz="0" w:space="0" w:color="auto"/>
        <w:left w:val="none" w:sz="0" w:space="0" w:color="auto"/>
        <w:bottom w:val="none" w:sz="0" w:space="0" w:color="auto"/>
        <w:right w:val="none" w:sz="0" w:space="0" w:color="auto"/>
      </w:divBdr>
    </w:div>
    <w:div w:id="1883129989">
      <w:bodyDiv w:val="1"/>
      <w:marLeft w:val="0"/>
      <w:marRight w:val="0"/>
      <w:marTop w:val="0"/>
      <w:marBottom w:val="0"/>
      <w:divBdr>
        <w:top w:val="none" w:sz="0" w:space="0" w:color="auto"/>
        <w:left w:val="none" w:sz="0" w:space="0" w:color="auto"/>
        <w:bottom w:val="none" w:sz="0" w:space="0" w:color="auto"/>
        <w:right w:val="none" w:sz="0" w:space="0" w:color="auto"/>
      </w:divBdr>
    </w:div>
    <w:div w:id="1884906932">
      <w:bodyDiv w:val="1"/>
      <w:marLeft w:val="0"/>
      <w:marRight w:val="0"/>
      <w:marTop w:val="0"/>
      <w:marBottom w:val="0"/>
      <w:divBdr>
        <w:top w:val="none" w:sz="0" w:space="0" w:color="auto"/>
        <w:left w:val="none" w:sz="0" w:space="0" w:color="auto"/>
        <w:bottom w:val="none" w:sz="0" w:space="0" w:color="auto"/>
        <w:right w:val="none" w:sz="0" w:space="0" w:color="auto"/>
      </w:divBdr>
    </w:div>
    <w:div w:id="1885945700">
      <w:bodyDiv w:val="1"/>
      <w:marLeft w:val="0"/>
      <w:marRight w:val="0"/>
      <w:marTop w:val="0"/>
      <w:marBottom w:val="0"/>
      <w:divBdr>
        <w:top w:val="none" w:sz="0" w:space="0" w:color="auto"/>
        <w:left w:val="none" w:sz="0" w:space="0" w:color="auto"/>
        <w:bottom w:val="none" w:sz="0" w:space="0" w:color="auto"/>
        <w:right w:val="none" w:sz="0" w:space="0" w:color="auto"/>
      </w:divBdr>
    </w:div>
    <w:div w:id="1887329561">
      <w:bodyDiv w:val="1"/>
      <w:marLeft w:val="0"/>
      <w:marRight w:val="0"/>
      <w:marTop w:val="0"/>
      <w:marBottom w:val="0"/>
      <w:divBdr>
        <w:top w:val="none" w:sz="0" w:space="0" w:color="auto"/>
        <w:left w:val="none" w:sz="0" w:space="0" w:color="auto"/>
        <w:bottom w:val="none" w:sz="0" w:space="0" w:color="auto"/>
        <w:right w:val="none" w:sz="0" w:space="0" w:color="auto"/>
      </w:divBdr>
    </w:div>
    <w:div w:id="1891457366">
      <w:bodyDiv w:val="1"/>
      <w:marLeft w:val="0"/>
      <w:marRight w:val="0"/>
      <w:marTop w:val="0"/>
      <w:marBottom w:val="0"/>
      <w:divBdr>
        <w:top w:val="none" w:sz="0" w:space="0" w:color="auto"/>
        <w:left w:val="none" w:sz="0" w:space="0" w:color="auto"/>
        <w:bottom w:val="none" w:sz="0" w:space="0" w:color="auto"/>
        <w:right w:val="none" w:sz="0" w:space="0" w:color="auto"/>
      </w:divBdr>
    </w:div>
    <w:div w:id="1894193892">
      <w:bodyDiv w:val="1"/>
      <w:marLeft w:val="0"/>
      <w:marRight w:val="0"/>
      <w:marTop w:val="0"/>
      <w:marBottom w:val="0"/>
      <w:divBdr>
        <w:top w:val="none" w:sz="0" w:space="0" w:color="auto"/>
        <w:left w:val="none" w:sz="0" w:space="0" w:color="auto"/>
        <w:bottom w:val="none" w:sz="0" w:space="0" w:color="auto"/>
        <w:right w:val="none" w:sz="0" w:space="0" w:color="auto"/>
      </w:divBdr>
    </w:div>
    <w:div w:id="1894541788">
      <w:bodyDiv w:val="1"/>
      <w:marLeft w:val="0"/>
      <w:marRight w:val="0"/>
      <w:marTop w:val="0"/>
      <w:marBottom w:val="0"/>
      <w:divBdr>
        <w:top w:val="none" w:sz="0" w:space="0" w:color="auto"/>
        <w:left w:val="none" w:sz="0" w:space="0" w:color="auto"/>
        <w:bottom w:val="none" w:sz="0" w:space="0" w:color="auto"/>
        <w:right w:val="none" w:sz="0" w:space="0" w:color="auto"/>
      </w:divBdr>
    </w:div>
    <w:div w:id="1896426749">
      <w:bodyDiv w:val="1"/>
      <w:marLeft w:val="0"/>
      <w:marRight w:val="0"/>
      <w:marTop w:val="0"/>
      <w:marBottom w:val="0"/>
      <w:divBdr>
        <w:top w:val="none" w:sz="0" w:space="0" w:color="auto"/>
        <w:left w:val="none" w:sz="0" w:space="0" w:color="auto"/>
        <w:bottom w:val="none" w:sz="0" w:space="0" w:color="auto"/>
        <w:right w:val="none" w:sz="0" w:space="0" w:color="auto"/>
      </w:divBdr>
    </w:div>
    <w:div w:id="1909152505">
      <w:bodyDiv w:val="1"/>
      <w:marLeft w:val="0"/>
      <w:marRight w:val="0"/>
      <w:marTop w:val="0"/>
      <w:marBottom w:val="0"/>
      <w:divBdr>
        <w:top w:val="none" w:sz="0" w:space="0" w:color="auto"/>
        <w:left w:val="none" w:sz="0" w:space="0" w:color="auto"/>
        <w:bottom w:val="none" w:sz="0" w:space="0" w:color="auto"/>
        <w:right w:val="none" w:sz="0" w:space="0" w:color="auto"/>
      </w:divBdr>
    </w:div>
    <w:div w:id="1915816524">
      <w:bodyDiv w:val="1"/>
      <w:marLeft w:val="0"/>
      <w:marRight w:val="0"/>
      <w:marTop w:val="0"/>
      <w:marBottom w:val="0"/>
      <w:divBdr>
        <w:top w:val="none" w:sz="0" w:space="0" w:color="auto"/>
        <w:left w:val="none" w:sz="0" w:space="0" w:color="auto"/>
        <w:bottom w:val="none" w:sz="0" w:space="0" w:color="auto"/>
        <w:right w:val="none" w:sz="0" w:space="0" w:color="auto"/>
      </w:divBdr>
    </w:div>
    <w:div w:id="1919165451">
      <w:bodyDiv w:val="1"/>
      <w:marLeft w:val="0"/>
      <w:marRight w:val="0"/>
      <w:marTop w:val="0"/>
      <w:marBottom w:val="0"/>
      <w:divBdr>
        <w:top w:val="none" w:sz="0" w:space="0" w:color="auto"/>
        <w:left w:val="none" w:sz="0" w:space="0" w:color="auto"/>
        <w:bottom w:val="none" w:sz="0" w:space="0" w:color="auto"/>
        <w:right w:val="none" w:sz="0" w:space="0" w:color="auto"/>
      </w:divBdr>
    </w:div>
    <w:div w:id="1920675217">
      <w:bodyDiv w:val="1"/>
      <w:marLeft w:val="0"/>
      <w:marRight w:val="0"/>
      <w:marTop w:val="0"/>
      <w:marBottom w:val="0"/>
      <w:divBdr>
        <w:top w:val="none" w:sz="0" w:space="0" w:color="auto"/>
        <w:left w:val="none" w:sz="0" w:space="0" w:color="auto"/>
        <w:bottom w:val="none" w:sz="0" w:space="0" w:color="auto"/>
        <w:right w:val="none" w:sz="0" w:space="0" w:color="auto"/>
      </w:divBdr>
    </w:div>
    <w:div w:id="1921744079">
      <w:bodyDiv w:val="1"/>
      <w:marLeft w:val="0"/>
      <w:marRight w:val="0"/>
      <w:marTop w:val="0"/>
      <w:marBottom w:val="0"/>
      <w:divBdr>
        <w:top w:val="none" w:sz="0" w:space="0" w:color="auto"/>
        <w:left w:val="none" w:sz="0" w:space="0" w:color="auto"/>
        <w:bottom w:val="none" w:sz="0" w:space="0" w:color="auto"/>
        <w:right w:val="none" w:sz="0" w:space="0" w:color="auto"/>
      </w:divBdr>
    </w:div>
    <w:div w:id="1933080780">
      <w:bodyDiv w:val="1"/>
      <w:marLeft w:val="0"/>
      <w:marRight w:val="0"/>
      <w:marTop w:val="0"/>
      <w:marBottom w:val="0"/>
      <w:divBdr>
        <w:top w:val="none" w:sz="0" w:space="0" w:color="auto"/>
        <w:left w:val="none" w:sz="0" w:space="0" w:color="auto"/>
        <w:bottom w:val="none" w:sz="0" w:space="0" w:color="auto"/>
        <w:right w:val="none" w:sz="0" w:space="0" w:color="auto"/>
      </w:divBdr>
    </w:div>
    <w:div w:id="1939554601">
      <w:bodyDiv w:val="1"/>
      <w:marLeft w:val="0"/>
      <w:marRight w:val="0"/>
      <w:marTop w:val="0"/>
      <w:marBottom w:val="0"/>
      <w:divBdr>
        <w:top w:val="none" w:sz="0" w:space="0" w:color="auto"/>
        <w:left w:val="none" w:sz="0" w:space="0" w:color="auto"/>
        <w:bottom w:val="none" w:sz="0" w:space="0" w:color="auto"/>
        <w:right w:val="none" w:sz="0" w:space="0" w:color="auto"/>
      </w:divBdr>
    </w:div>
    <w:div w:id="1944993670">
      <w:bodyDiv w:val="1"/>
      <w:marLeft w:val="0"/>
      <w:marRight w:val="0"/>
      <w:marTop w:val="0"/>
      <w:marBottom w:val="0"/>
      <w:divBdr>
        <w:top w:val="none" w:sz="0" w:space="0" w:color="auto"/>
        <w:left w:val="none" w:sz="0" w:space="0" w:color="auto"/>
        <w:bottom w:val="none" w:sz="0" w:space="0" w:color="auto"/>
        <w:right w:val="none" w:sz="0" w:space="0" w:color="auto"/>
      </w:divBdr>
    </w:div>
    <w:div w:id="1945263364">
      <w:bodyDiv w:val="1"/>
      <w:marLeft w:val="0"/>
      <w:marRight w:val="0"/>
      <w:marTop w:val="0"/>
      <w:marBottom w:val="0"/>
      <w:divBdr>
        <w:top w:val="none" w:sz="0" w:space="0" w:color="auto"/>
        <w:left w:val="none" w:sz="0" w:space="0" w:color="auto"/>
        <w:bottom w:val="none" w:sz="0" w:space="0" w:color="auto"/>
        <w:right w:val="none" w:sz="0" w:space="0" w:color="auto"/>
      </w:divBdr>
    </w:div>
    <w:div w:id="1946227161">
      <w:bodyDiv w:val="1"/>
      <w:marLeft w:val="0"/>
      <w:marRight w:val="0"/>
      <w:marTop w:val="0"/>
      <w:marBottom w:val="0"/>
      <w:divBdr>
        <w:top w:val="none" w:sz="0" w:space="0" w:color="auto"/>
        <w:left w:val="none" w:sz="0" w:space="0" w:color="auto"/>
        <w:bottom w:val="none" w:sz="0" w:space="0" w:color="auto"/>
        <w:right w:val="none" w:sz="0" w:space="0" w:color="auto"/>
      </w:divBdr>
    </w:div>
    <w:div w:id="1950431774">
      <w:bodyDiv w:val="1"/>
      <w:marLeft w:val="0"/>
      <w:marRight w:val="0"/>
      <w:marTop w:val="0"/>
      <w:marBottom w:val="0"/>
      <w:divBdr>
        <w:top w:val="none" w:sz="0" w:space="0" w:color="auto"/>
        <w:left w:val="none" w:sz="0" w:space="0" w:color="auto"/>
        <w:bottom w:val="none" w:sz="0" w:space="0" w:color="auto"/>
        <w:right w:val="none" w:sz="0" w:space="0" w:color="auto"/>
      </w:divBdr>
    </w:div>
    <w:div w:id="1950971947">
      <w:bodyDiv w:val="1"/>
      <w:marLeft w:val="0"/>
      <w:marRight w:val="0"/>
      <w:marTop w:val="0"/>
      <w:marBottom w:val="0"/>
      <w:divBdr>
        <w:top w:val="none" w:sz="0" w:space="0" w:color="auto"/>
        <w:left w:val="none" w:sz="0" w:space="0" w:color="auto"/>
        <w:bottom w:val="none" w:sz="0" w:space="0" w:color="auto"/>
        <w:right w:val="none" w:sz="0" w:space="0" w:color="auto"/>
      </w:divBdr>
    </w:div>
    <w:div w:id="1952590230">
      <w:bodyDiv w:val="1"/>
      <w:marLeft w:val="0"/>
      <w:marRight w:val="0"/>
      <w:marTop w:val="0"/>
      <w:marBottom w:val="0"/>
      <w:divBdr>
        <w:top w:val="none" w:sz="0" w:space="0" w:color="auto"/>
        <w:left w:val="none" w:sz="0" w:space="0" w:color="auto"/>
        <w:bottom w:val="none" w:sz="0" w:space="0" w:color="auto"/>
        <w:right w:val="none" w:sz="0" w:space="0" w:color="auto"/>
      </w:divBdr>
    </w:div>
    <w:div w:id="1959217288">
      <w:bodyDiv w:val="1"/>
      <w:marLeft w:val="0"/>
      <w:marRight w:val="0"/>
      <w:marTop w:val="0"/>
      <w:marBottom w:val="0"/>
      <w:divBdr>
        <w:top w:val="none" w:sz="0" w:space="0" w:color="auto"/>
        <w:left w:val="none" w:sz="0" w:space="0" w:color="auto"/>
        <w:bottom w:val="none" w:sz="0" w:space="0" w:color="auto"/>
        <w:right w:val="none" w:sz="0" w:space="0" w:color="auto"/>
      </w:divBdr>
    </w:div>
    <w:div w:id="1962761822">
      <w:bodyDiv w:val="1"/>
      <w:marLeft w:val="0"/>
      <w:marRight w:val="0"/>
      <w:marTop w:val="0"/>
      <w:marBottom w:val="0"/>
      <w:divBdr>
        <w:top w:val="none" w:sz="0" w:space="0" w:color="auto"/>
        <w:left w:val="none" w:sz="0" w:space="0" w:color="auto"/>
        <w:bottom w:val="none" w:sz="0" w:space="0" w:color="auto"/>
        <w:right w:val="none" w:sz="0" w:space="0" w:color="auto"/>
      </w:divBdr>
    </w:div>
    <w:div w:id="1965699054">
      <w:bodyDiv w:val="1"/>
      <w:marLeft w:val="0"/>
      <w:marRight w:val="0"/>
      <w:marTop w:val="0"/>
      <w:marBottom w:val="0"/>
      <w:divBdr>
        <w:top w:val="none" w:sz="0" w:space="0" w:color="auto"/>
        <w:left w:val="none" w:sz="0" w:space="0" w:color="auto"/>
        <w:bottom w:val="none" w:sz="0" w:space="0" w:color="auto"/>
        <w:right w:val="none" w:sz="0" w:space="0" w:color="auto"/>
      </w:divBdr>
    </w:div>
    <w:div w:id="1968731178">
      <w:bodyDiv w:val="1"/>
      <w:marLeft w:val="0"/>
      <w:marRight w:val="0"/>
      <w:marTop w:val="0"/>
      <w:marBottom w:val="0"/>
      <w:divBdr>
        <w:top w:val="none" w:sz="0" w:space="0" w:color="auto"/>
        <w:left w:val="none" w:sz="0" w:space="0" w:color="auto"/>
        <w:bottom w:val="none" w:sz="0" w:space="0" w:color="auto"/>
        <w:right w:val="none" w:sz="0" w:space="0" w:color="auto"/>
      </w:divBdr>
    </w:div>
    <w:div w:id="1969891778">
      <w:bodyDiv w:val="1"/>
      <w:marLeft w:val="0"/>
      <w:marRight w:val="0"/>
      <w:marTop w:val="0"/>
      <w:marBottom w:val="0"/>
      <w:divBdr>
        <w:top w:val="none" w:sz="0" w:space="0" w:color="auto"/>
        <w:left w:val="none" w:sz="0" w:space="0" w:color="auto"/>
        <w:bottom w:val="none" w:sz="0" w:space="0" w:color="auto"/>
        <w:right w:val="none" w:sz="0" w:space="0" w:color="auto"/>
      </w:divBdr>
    </w:div>
    <w:div w:id="1970554702">
      <w:bodyDiv w:val="1"/>
      <w:marLeft w:val="0"/>
      <w:marRight w:val="0"/>
      <w:marTop w:val="0"/>
      <w:marBottom w:val="0"/>
      <w:divBdr>
        <w:top w:val="none" w:sz="0" w:space="0" w:color="auto"/>
        <w:left w:val="none" w:sz="0" w:space="0" w:color="auto"/>
        <w:bottom w:val="none" w:sz="0" w:space="0" w:color="auto"/>
        <w:right w:val="none" w:sz="0" w:space="0" w:color="auto"/>
      </w:divBdr>
    </w:div>
    <w:div w:id="1971402373">
      <w:bodyDiv w:val="1"/>
      <w:marLeft w:val="0"/>
      <w:marRight w:val="0"/>
      <w:marTop w:val="0"/>
      <w:marBottom w:val="0"/>
      <w:divBdr>
        <w:top w:val="none" w:sz="0" w:space="0" w:color="auto"/>
        <w:left w:val="none" w:sz="0" w:space="0" w:color="auto"/>
        <w:bottom w:val="none" w:sz="0" w:space="0" w:color="auto"/>
        <w:right w:val="none" w:sz="0" w:space="0" w:color="auto"/>
      </w:divBdr>
    </w:div>
    <w:div w:id="1977098221">
      <w:bodyDiv w:val="1"/>
      <w:marLeft w:val="0"/>
      <w:marRight w:val="0"/>
      <w:marTop w:val="0"/>
      <w:marBottom w:val="0"/>
      <w:divBdr>
        <w:top w:val="none" w:sz="0" w:space="0" w:color="auto"/>
        <w:left w:val="none" w:sz="0" w:space="0" w:color="auto"/>
        <w:bottom w:val="none" w:sz="0" w:space="0" w:color="auto"/>
        <w:right w:val="none" w:sz="0" w:space="0" w:color="auto"/>
      </w:divBdr>
    </w:div>
    <w:div w:id="1977907852">
      <w:bodyDiv w:val="1"/>
      <w:marLeft w:val="0"/>
      <w:marRight w:val="0"/>
      <w:marTop w:val="0"/>
      <w:marBottom w:val="0"/>
      <w:divBdr>
        <w:top w:val="none" w:sz="0" w:space="0" w:color="auto"/>
        <w:left w:val="none" w:sz="0" w:space="0" w:color="auto"/>
        <w:bottom w:val="none" w:sz="0" w:space="0" w:color="auto"/>
        <w:right w:val="none" w:sz="0" w:space="0" w:color="auto"/>
      </w:divBdr>
    </w:div>
    <w:div w:id="1984577389">
      <w:bodyDiv w:val="1"/>
      <w:marLeft w:val="0"/>
      <w:marRight w:val="0"/>
      <w:marTop w:val="0"/>
      <w:marBottom w:val="0"/>
      <w:divBdr>
        <w:top w:val="none" w:sz="0" w:space="0" w:color="auto"/>
        <w:left w:val="none" w:sz="0" w:space="0" w:color="auto"/>
        <w:bottom w:val="none" w:sz="0" w:space="0" w:color="auto"/>
        <w:right w:val="none" w:sz="0" w:space="0" w:color="auto"/>
      </w:divBdr>
    </w:div>
    <w:div w:id="1995717047">
      <w:bodyDiv w:val="1"/>
      <w:marLeft w:val="0"/>
      <w:marRight w:val="0"/>
      <w:marTop w:val="0"/>
      <w:marBottom w:val="0"/>
      <w:divBdr>
        <w:top w:val="none" w:sz="0" w:space="0" w:color="auto"/>
        <w:left w:val="none" w:sz="0" w:space="0" w:color="auto"/>
        <w:bottom w:val="none" w:sz="0" w:space="0" w:color="auto"/>
        <w:right w:val="none" w:sz="0" w:space="0" w:color="auto"/>
      </w:divBdr>
    </w:div>
    <w:div w:id="2003924803">
      <w:bodyDiv w:val="1"/>
      <w:marLeft w:val="0"/>
      <w:marRight w:val="0"/>
      <w:marTop w:val="0"/>
      <w:marBottom w:val="0"/>
      <w:divBdr>
        <w:top w:val="none" w:sz="0" w:space="0" w:color="auto"/>
        <w:left w:val="none" w:sz="0" w:space="0" w:color="auto"/>
        <w:bottom w:val="none" w:sz="0" w:space="0" w:color="auto"/>
        <w:right w:val="none" w:sz="0" w:space="0" w:color="auto"/>
      </w:divBdr>
    </w:div>
    <w:div w:id="2010670583">
      <w:bodyDiv w:val="1"/>
      <w:marLeft w:val="0"/>
      <w:marRight w:val="0"/>
      <w:marTop w:val="0"/>
      <w:marBottom w:val="0"/>
      <w:divBdr>
        <w:top w:val="none" w:sz="0" w:space="0" w:color="auto"/>
        <w:left w:val="none" w:sz="0" w:space="0" w:color="auto"/>
        <w:bottom w:val="none" w:sz="0" w:space="0" w:color="auto"/>
        <w:right w:val="none" w:sz="0" w:space="0" w:color="auto"/>
      </w:divBdr>
    </w:div>
    <w:div w:id="2012488573">
      <w:bodyDiv w:val="1"/>
      <w:marLeft w:val="0"/>
      <w:marRight w:val="0"/>
      <w:marTop w:val="0"/>
      <w:marBottom w:val="0"/>
      <w:divBdr>
        <w:top w:val="none" w:sz="0" w:space="0" w:color="auto"/>
        <w:left w:val="none" w:sz="0" w:space="0" w:color="auto"/>
        <w:bottom w:val="none" w:sz="0" w:space="0" w:color="auto"/>
        <w:right w:val="none" w:sz="0" w:space="0" w:color="auto"/>
      </w:divBdr>
    </w:div>
    <w:div w:id="2028366696">
      <w:bodyDiv w:val="1"/>
      <w:marLeft w:val="0"/>
      <w:marRight w:val="0"/>
      <w:marTop w:val="0"/>
      <w:marBottom w:val="0"/>
      <w:divBdr>
        <w:top w:val="none" w:sz="0" w:space="0" w:color="auto"/>
        <w:left w:val="none" w:sz="0" w:space="0" w:color="auto"/>
        <w:bottom w:val="none" w:sz="0" w:space="0" w:color="auto"/>
        <w:right w:val="none" w:sz="0" w:space="0" w:color="auto"/>
      </w:divBdr>
    </w:div>
    <w:div w:id="2030258086">
      <w:bodyDiv w:val="1"/>
      <w:marLeft w:val="0"/>
      <w:marRight w:val="0"/>
      <w:marTop w:val="0"/>
      <w:marBottom w:val="0"/>
      <w:divBdr>
        <w:top w:val="none" w:sz="0" w:space="0" w:color="auto"/>
        <w:left w:val="none" w:sz="0" w:space="0" w:color="auto"/>
        <w:bottom w:val="none" w:sz="0" w:space="0" w:color="auto"/>
        <w:right w:val="none" w:sz="0" w:space="0" w:color="auto"/>
      </w:divBdr>
    </w:div>
    <w:div w:id="2031372345">
      <w:bodyDiv w:val="1"/>
      <w:marLeft w:val="0"/>
      <w:marRight w:val="0"/>
      <w:marTop w:val="0"/>
      <w:marBottom w:val="0"/>
      <w:divBdr>
        <w:top w:val="none" w:sz="0" w:space="0" w:color="auto"/>
        <w:left w:val="none" w:sz="0" w:space="0" w:color="auto"/>
        <w:bottom w:val="none" w:sz="0" w:space="0" w:color="auto"/>
        <w:right w:val="none" w:sz="0" w:space="0" w:color="auto"/>
      </w:divBdr>
    </w:div>
    <w:div w:id="2031905683">
      <w:bodyDiv w:val="1"/>
      <w:marLeft w:val="0"/>
      <w:marRight w:val="0"/>
      <w:marTop w:val="0"/>
      <w:marBottom w:val="0"/>
      <w:divBdr>
        <w:top w:val="none" w:sz="0" w:space="0" w:color="auto"/>
        <w:left w:val="none" w:sz="0" w:space="0" w:color="auto"/>
        <w:bottom w:val="none" w:sz="0" w:space="0" w:color="auto"/>
        <w:right w:val="none" w:sz="0" w:space="0" w:color="auto"/>
      </w:divBdr>
    </w:div>
    <w:div w:id="2036497843">
      <w:bodyDiv w:val="1"/>
      <w:marLeft w:val="0"/>
      <w:marRight w:val="0"/>
      <w:marTop w:val="0"/>
      <w:marBottom w:val="0"/>
      <w:divBdr>
        <w:top w:val="none" w:sz="0" w:space="0" w:color="auto"/>
        <w:left w:val="none" w:sz="0" w:space="0" w:color="auto"/>
        <w:bottom w:val="none" w:sz="0" w:space="0" w:color="auto"/>
        <w:right w:val="none" w:sz="0" w:space="0" w:color="auto"/>
      </w:divBdr>
    </w:div>
    <w:div w:id="2049908093">
      <w:bodyDiv w:val="1"/>
      <w:marLeft w:val="0"/>
      <w:marRight w:val="0"/>
      <w:marTop w:val="0"/>
      <w:marBottom w:val="0"/>
      <w:divBdr>
        <w:top w:val="none" w:sz="0" w:space="0" w:color="auto"/>
        <w:left w:val="none" w:sz="0" w:space="0" w:color="auto"/>
        <w:bottom w:val="none" w:sz="0" w:space="0" w:color="auto"/>
        <w:right w:val="none" w:sz="0" w:space="0" w:color="auto"/>
      </w:divBdr>
    </w:div>
    <w:div w:id="2054773211">
      <w:bodyDiv w:val="1"/>
      <w:marLeft w:val="0"/>
      <w:marRight w:val="0"/>
      <w:marTop w:val="0"/>
      <w:marBottom w:val="0"/>
      <w:divBdr>
        <w:top w:val="none" w:sz="0" w:space="0" w:color="auto"/>
        <w:left w:val="none" w:sz="0" w:space="0" w:color="auto"/>
        <w:bottom w:val="none" w:sz="0" w:space="0" w:color="auto"/>
        <w:right w:val="none" w:sz="0" w:space="0" w:color="auto"/>
      </w:divBdr>
    </w:div>
    <w:div w:id="2055542161">
      <w:bodyDiv w:val="1"/>
      <w:marLeft w:val="0"/>
      <w:marRight w:val="0"/>
      <w:marTop w:val="0"/>
      <w:marBottom w:val="0"/>
      <w:divBdr>
        <w:top w:val="none" w:sz="0" w:space="0" w:color="auto"/>
        <w:left w:val="none" w:sz="0" w:space="0" w:color="auto"/>
        <w:bottom w:val="none" w:sz="0" w:space="0" w:color="auto"/>
        <w:right w:val="none" w:sz="0" w:space="0" w:color="auto"/>
      </w:divBdr>
    </w:div>
    <w:div w:id="2057466603">
      <w:bodyDiv w:val="1"/>
      <w:marLeft w:val="0"/>
      <w:marRight w:val="0"/>
      <w:marTop w:val="0"/>
      <w:marBottom w:val="0"/>
      <w:divBdr>
        <w:top w:val="none" w:sz="0" w:space="0" w:color="auto"/>
        <w:left w:val="none" w:sz="0" w:space="0" w:color="auto"/>
        <w:bottom w:val="none" w:sz="0" w:space="0" w:color="auto"/>
        <w:right w:val="none" w:sz="0" w:space="0" w:color="auto"/>
      </w:divBdr>
    </w:div>
    <w:div w:id="2085491732">
      <w:bodyDiv w:val="1"/>
      <w:marLeft w:val="0"/>
      <w:marRight w:val="0"/>
      <w:marTop w:val="0"/>
      <w:marBottom w:val="0"/>
      <w:divBdr>
        <w:top w:val="none" w:sz="0" w:space="0" w:color="auto"/>
        <w:left w:val="none" w:sz="0" w:space="0" w:color="auto"/>
        <w:bottom w:val="none" w:sz="0" w:space="0" w:color="auto"/>
        <w:right w:val="none" w:sz="0" w:space="0" w:color="auto"/>
      </w:divBdr>
    </w:div>
    <w:div w:id="2087847945">
      <w:bodyDiv w:val="1"/>
      <w:marLeft w:val="0"/>
      <w:marRight w:val="0"/>
      <w:marTop w:val="0"/>
      <w:marBottom w:val="0"/>
      <w:divBdr>
        <w:top w:val="none" w:sz="0" w:space="0" w:color="auto"/>
        <w:left w:val="none" w:sz="0" w:space="0" w:color="auto"/>
        <w:bottom w:val="none" w:sz="0" w:space="0" w:color="auto"/>
        <w:right w:val="none" w:sz="0" w:space="0" w:color="auto"/>
      </w:divBdr>
    </w:div>
    <w:div w:id="2089881955">
      <w:bodyDiv w:val="1"/>
      <w:marLeft w:val="0"/>
      <w:marRight w:val="0"/>
      <w:marTop w:val="0"/>
      <w:marBottom w:val="0"/>
      <w:divBdr>
        <w:top w:val="none" w:sz="0" w:space="0" w:color="auto"/>
        <w:left w:val="none" w:sz="0" w:space="0" w:color="auto"/>
        <w:bottom w:val="none" w:sz="0" w:space="0" w:color="auto"/>
        <w:right w:val="none" w:sz="0" w:space="0" w:color="auto"/>
      </w:divBdr>
    </w:div>
    <w:div w:id="2092770278">
      <w:bodyDiv w:val="1"/>
      <w:marLeft w:val="0"/>
      <w:marRight w:val="0"/>
      <w:marTop w:val="0"/>
      <w:marBottom w:val="0"/>
      <w:divBdr>
        <w:top w:val="none" w:sz="0" w:space="0" w:color="auto"/>
        <w:left w:val="none" w:sz="0" w:space="0" w:color="auto"/>
        <w:bottom w:val="none" w:sz="0" w:space="0" w:color="auto"/>
        <w:right w:val="none" w:sz="0" w:space="0" w:color="auto"/>
      </w:divBdr>
    </w:div>
    <w:div w:id="2095199096">
      <w:bodyDiv w:val="1"/>
      <w:marLeft w:val="0"/>
      <w:marRight w:val="0"/>
      <w:marTop w:val="0"/>
      <w:marBottom w:val="0"/>
      <w:divBdr>
        <w:top w:val="none" w:sz="0" w:space="0" w:color="auto"/>
        <w:left w:val="none" w:sz="0" w:space="0" w:color="auto"/>
        <w:bottom w:val="none" w:sz="0" w:space="0" w:color="auto"/>
        <w:right w:val="none" w:sz="0" w:space="0" w:color="auto"/>
      </w:divBdr>
    </w:div>
    <w:div w:id="2110272329">
      <w:bodyDiv w:val="1"/>
      <w:marLeft w:val="0"/>
      <w:marRight w:val="0"/>
      <w:marTop w:val="0"/>
      <w:marBottom w:val="0"/>
      <w:divBdr>
        <w:top w:val="none" w:sz="0" w:space="0" w:color="auto"/>
        <w:left w:val="none" w:sz="0" w:space="0" w:color="auto"/>
        <w:bottom w:val="none" w:sz="0" w:space="0" w:color="auto"/>
        <w:right w:val="none" w:sz="0" w:space="0" w:color="auto"/>
      </w:divBdr>
    </w:div>
    <w:div w:id="2116778789">
      <w:bodyDiv w:val="1"/>
      <w:marLeft w:val="0"/>
      <w:marRight w:val="0"/>
      <w:marTop w:val="0"/>
      <w:marBottom w:val="0"/>
      <w:divBdr>
        <w:top w:val="none" w:sz="0" w:space="0" w:color="auto"/>
        <w:left w:val="none" w:sz="0" w:space="0" w:color="auto"/>
        <w:bottom w:val="none" w:sz="0" w:space="0" w:color="auto"/>
        <w:right w:val="none" w:sz="0" w:space="0" w:color="auto"/>
      </w:divBdr>
    </w:div>
    <w:div w:id="2119449364">
      <w:bodyDiv w:val="1"/>
      <w:marLeft w:val="0"/>
      <w:marRight w:val="0"/>
      <w:marTop w:val="0"/>
      <w:marBottom w:val="0"/>
      <w:divBdr>
        <w:top w:val="none" w:sz="0" w:space="0" w:color="auto"/>
        <w:left w:val="none" w:sz="0" w:space="0" w:color="auto"/>
        <w:bottom w:val="none" w:sz="0" w:space="0" w:color="auto"/>
        <w:right w:val="none" w:sz="0" w:space="0" w:color="auto"/>
      </w:divBdr>
    </w:div>
    <w:div w:id="2122452311">
      <w:bodyDiv w:val="1"/>
      <w:marLeft w:val="0"/>
      <w:marRight w:val="0"/>
      <w:marTop w:val="0"/>
      <w:marBottom w:val="0"/>
      <w:divBdr>
        <w:top w:val="none" w:sz="0" w:space="0" w:color="auto"/>
        <w:left w:val="none" w:sz="0" w:space="0" w:color="auto"/>
        <w:bottom w:val="none" w:sz="0" w:space="0" w:color="auto"/>
        <w:right w:val="none" w:sz="0" w:space="0" w:color="auto"/>
      </w:divBdr>
    </w:div>
    <w:div w:id="2124566191">
      <w:bodyDiv w:val="1"/>
      <w:marLeft w:val="0"/>
      <w:marRight w:val="0"/>
      <w:marTop w:val="0"/>
      <w:marBottom w:val="0"/>
      <w:divBdr>
        <w:top w:val="none" w:sz="0" w:space="0" w:color="auto"/>
        <w:left w:val="none" w:sz="0" w:space="0" w:color="auto"/>
        <w:bottom w:val="none" w:sz="0" w:space="0" w:color="auto"/>
        <w:right w:val="none" w:sz="0" w:space="0" w:color="auto"/>
      </w:divBdr>
    </w:div>
    <w:div w:id="2132242827">
      <w:bodyDiv w:val="1"/>
      <w:marLeft w:val="0"/>
      <w:marRight w:val="0"/>
      <w:marTop w:val="0"/>
      <w:marBottom w:val="0"/>
      <w:divBdr>
        <w:top w:val="none" w:sz="0" w:space="0" w:color="auto"/>
        <w:left w:val="none" w:sz="0" w:space="0" w:color="auto"/>
        <w:bottom w:val="none" w:sz="0" w:space="0" w:color="auto"/>
        <w:right w:val="none" w:sz="0" w:space="0" w:color="auto"/>
      </w:divBdr>
    </w:div>
    <w:div w:id="2140418119">
      <w:bodyDiv w:val="1"/>
      <w:marLeft w:val="0"/>
      <w:marRight w:val="0"/>
      <w:marTop w:val="0"/>
      <w:marBottom w:val="0"/>
      <w:divBdr>
        <w:top w:val="none" w:sz="0" w:space="0" w:color="auto"/>
        <w:left w:val="none" w:sz="0" w:space="0" w:color="auto"/>
        <w:bottom w:val="none" w:sz="0" w:space="0" w:color="auto"/>
        <w:right w:val="none" w:sz="0" w:space="0" w:color="auto"/>
      </w:divBdr>
    </w:div>
    <w:div w:id="2145731441">
      <w:bodyDiv w:val="1"/>
      <w:marLeft w:val="0"/>
      <w:marRight w:val="0"/>
      <w:marTop w:val="0"/>
      <w:marBottom w:val="0"/>
      <w:divBdr>
        <w:top w:val="none" w:sz="0" w:space="0" w:color="auto"/>
        <w:left w:val="none" w:sz="0" w:space="0" w:color="auto"/>
        <w:bottom w:val="none" w:sz="0" w:space="0" w:color="auto"/>
        <w:right w:val="none" w:sz="0" w:space="0" w:color="auto"/>
      </w:divBdr>
    </w:div>
    <w:div w:id="2145925476">
      <w:bodyDiv w:val="1"/>
      <w:marLeft w:val="0"/>
      <w:marRight w:val="0"/>
      <w:marTop w:val="0"/>
      <w:marBottom w:val="0"/>
      <w:divBdr>
        <w:top w:val="none" w:sz="0" w:space="0" w:color="auto"/>
        <w:left w:val="none" w:sz="0" w:space="0" w:color="auto"/>
        <w:bottom w:val="none" w:sz="0" w:space="0" w:color="auto"/>
        <w:right w:val="none" w:sz="0" w:space="0" w:color="auto"/>
      </w:divBdr>
    </w:div>
    <w:div w:id="21461907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Gam24</b:Tag>
    <b:SourceType>InternetSite</b:SourceType>
    <b:Guid>{DC55D219-BF14-4705-88D4-20B240E724A1}</b:Guid>
    <b:Title>Radiography Projector (Iridium-192), A Comprehensive Overview</b:Title>
    <b:Year>2024</b:Year>
    <b:Author>
      <b:Author>
        <b:NameList>
          <b:Person>
            <b:Last>GammaBuana</b:Last>
          </b:Person>
        </b:NameList>
      </b:Author>
    </b:Author>
    <b:Month>July</b:Month>
    <b:Day>10</b:Day>
    <b:YearAccessed>2026</b:YearAccessed>
    <b:MonthAccessed>July</b:MonthAccessed>
    <b:DayAccessed>29</b:DayAccessed>
    <b:URL>https://gammabuana.com/radiography-projector-iridium-192-a-comprehensive-overview/</b:URL>
    <b:RefOrder>1</b:RefOrder>
  </b:Source>
  <b:Source>
    <b:Tag>Ric15</b:Tag>
    <b:SourceType>InternetSite</b:SourceType>
    <b:Guid>{6D2F3441-1D68-420C-BB90-660139144306}</b:Guid>
    <b:Author>
      <b:Author>
        <b:NameList>
          <b:Person>
            <b:Last>Renneboog</b:Last>
            <b:First>Richard</b:First>
            <b:Middle>M</b:Middle>
          </b:Person>
        </b:NameList>
      </b:Author>
    </b:Author>
    <b:Title>Half-Life</b:Title>
    <b:ProductionCompany>EBCO</b:ProductionCompany>
    <b:Year>2015</b:Year>
    <b:YearAccessed>2026</b:YearAccessed>
    <b:MonthAccessed>July</b:MonthAccessed>
    <b:DayAccessed>29</b:DayAccessed>
    <b:URL>https://www.ebsco.com/research-starters/chemistry/half-life</b:URL>
    <b:RefOrder>3</b:RefOrder>
  </b:Source>
  <b:Source>
    <b:Tag>Ema13</b:Tag>
    <b:SourceType>Report</b:SourceType>
    <b:Guid>{833E42F4-89C7-4A11-B626-8E9999F84ED8}</b:Guid>
    <b:Title>Dose Assessment for Some Industrial Gamma Sources with</b:Title>
    <b:Year>2013</b:Year>
    <b:Author>
      <b:Author>
        <b:NameList>
          <b:Person>
            <b:Last>Massoud</b:Last>
            <b:First>Eman</b:First>
          </b:Person>
        </b:NameList>
      </b:Author>
    </b:Author>
    <b:RefOrder>6</b:RefOrder>
  </b:Source>
  <b:Source>
    <b:Tag>Gam26</b:Tag>
    <b:SourceType>InternetSite</b:SourceType>
    <b:Guid>{57633431-B5B4-4D78-8926-707FD36A44EF}</b:Guid>
    <b:Title>Electronic Personal Dosimeter</b:Title>
    <b:Author>
      <b:Author>
        <b:Corporate>Gamma Data</b:Corporate>
      </b:Author>
    </b:Author>
    <b:YearAccessed>2026</b:YearAccessed>
    <b:MonthAccessed>August</b:MonthAccessed>
    <b:DayAccessed>28</b:DayAccessed>
    <b:URL>https://gammadata.se/products/radiation-detection/dosimetry/electronic-personal-dosimeter/</b:URL>
    <b:RefOrder>9</b:RefOrder>
  </b:Source>
  <b:Source>
    <b:Tag>Chr26</b:Tag>
    <b:SourceType>InternetSite</b:SourceType>
    <b:Guid>{39F2EFE0-8DA0-4A27-BD4C-65011F49484F}</b:Guid>
    <b:Author>
      <b:Author>
        <b:NameList>
          <b:Person>
            <b:Last>Passmore</b:Last>
            <b:First>Chris</b:First>
          </b:Person>
        </b:NameList>
      </b:Author>
    </b:Author>
    <b:Title>Thermoluminescent Dosimeter (TLD): How It Works, Types, &amp; Choosing the Right Badge</b:Title>
    <b:Year>2026</b:Year>
    <b:Month>March</b:Month>
    <b:Day>13</b:Day>
    <b:YearAccessed>2026</b:YearAccessed>
    <b:MonthAccessed>August</b:MonthAccessed>
    <b:DayAccessed>28</b:DayAccessed>
    <b:URL>https://radetco.com/thermoluminescent-dosimeter-tld-everything-you-need-to-know/</b:URL>
    <b:RefOrder>10</b:RefOrder>
  </b:Source>
  <b:Source>
    <b:Tag>Lib26</b:Tag>
    <b:SourceType>InternetSite</b:SourceType>
    <b:Guid>{E879740A-6605-4188-8B92-C933FCCC05C5}</b:Guid>
    <b:Author>
      <b:Author>
        <b:Corporate>LibreTexts Physics</b:Corporate>
      </b:Author>
    </b:Author>
    <b:Title>10.4 Radioactive Decay</b:Title>
    <b:YearAccessed>2026</b:YearAccessed>
    <b:MonthAccessed>July</b:MonthAccessed>
    <b:URL>https://phys.libretexts.org/Bookshelves/University_Physics/University_Physics_(OpenStax)/University_Physics_III_-_Optics_and_Modern_Physics_(OpenStax)/10%3A__Nuclear_Physics/10.04%3A_Radioactive_Decay</b:URL>
    <b:RefOrder>4</b:RefOrder>
  </b:Source>
  <b:Source>
    <b:Tag>Lex26</b:Tag>
    <b:SourceType>InternetSite</b:SourceType>
    <b:Guid>{740A4EB3-B803-4D70-BDDC-6ADB94C13F6C}</b:Guid>
    <b:Author>
      <b:Author>
        <b:Corporate>LexisNexis</b:Corporate>
      </b:Author>
    </b:Author>
    <b:Title>Dose rate meaning</b:Title>
    <b:Year>2026</b:Year>
    <b:YearAccessed>2026</b:YearAccessed>
    <b:MonthAccessed>August</b:MonthAccessed>
    <b:DayAccessed>28</b:DayAccessed>
    <b:URL>https://www.lexisnexis.com/en-gb/legal/glossary/dose-rate</b:URL>
    <b:RefOrder>5</b:RefOrder>
  </b:Source>
  <b:Source>
    <b:Tag>ICR07</b:Tag>
    <b:SourceType>Book</b:SourceType>
    <b:Guid>{65893270-19E5-49A1-A5DC-9E81A5A32DE7}</b:Guid>
    <b:Title>ICRP Publication 103</b:Title>
    <b:Year>2007</b:Year>
    <b:Author>
      <b:Author>
        <b:Corporate>ICRP</b:Corporate>
      </b:Author>
    </b:Author>
    <b:RefOrder>13</b:RefOrder>
  </b:Source>
  <b:Source>
    <b:Tag>Mal24</b:Tag>
    <b:SourceType>InternetSite</b:SourceType>
    <b:Guid>{916D9378-DB9C-4B9A-9D7E-4FD6822B0FB1}</b:Guid>
    <b:Title>Acute Radiation Exposure</b:Title>
    <b:Year>2024</b:Year>
    <b:Author>
      <b:Author>
        <b:NameList>
          <b:Person>
            <b:Last>Mallika Singh</b:Last>
            <b:First>MD</b:First>
          </b:Person>
        </b:NameList>
      </b:Author>
    </b:Author>
    <b:Month>March</b:Month>
    <b:Day>12</b:Day>
    <b:YearAccessed>2026</b:YearAccessed>
    <b:MonthAccessed>August</b:MonthAccessed>
    <b:DayAccessed>28</b:DayAccessed>
    <b:URL>https://coreem.net/core/acute-radiation-exposure/</b:URL>
    <b:RefOrder>11</b:RefOrder>
  </b:Source>
  <b:Source>
    <b:Tag>Ion24</b:Tag>
    <b:SourceType>InternetSite</b:SourceType>
    <b:Guid>{4C699914-4767-4C18-86C6-CA1FB55A68CB}</b:Guid>
    <b:Author>
      <b:Author>
        <b:Corporate>Ionactive</b:Corporate>
      </b:Author>
    </b:Author>
    <b:Title>Inverse Square law</b:Title>
    <b:Year>2024</b:Year>
    <b:Month>March</b:Month>
    <b:Day>17</b:Day>
    <b:YearAccessed>2026</b:YearAccessed>
    <b:MonthAccessed>August</b:MonthAccessed>
    <b:DayAccessed>28</b:DayAccessed>
    <b:URL>https://ionactive.co.uk/resource-hub/glossary/inverse-square-law</b:URL>
    <b:RefOrder>7</b:RefOrder>
  </b:Source>
  <b:Source>
    <b:Tag>UKS17</b:Tag>
    <b:SourceType>DocumentFromInternetSite</b:SourceType>
    <b:Guid>{84425311-B4AE-41AE-9642-556FA308AB29}</b:Guid>
    <b:Title>The Ionising Radiations Regulations 2017 - Restriction of exposure</b:Title>
    <b:Year>2017</b:Year>
    <b:YearAccessed>2026</b:YearAccessed>
    <b:MonthAccessed>August</b:MonthAccessed>
    <b:DayAccessed>31</b:DayAccessed>
    <b:URL>https://www.legislation.gov.uk/uksi/2017/1075/regulation/9?view=plain</b:URL>
    <b:Author>
      <b:Author>
        <b:Corporate>UK Statutory Instrument</b:Corporate>
      </b:Author>
    </b:Author>
    <b:RefOrder>8</b:RefOrder>
  </b:Source>
  <b:Source>
    <b:Tag>Hea261</b:Tag>
    <b:SourceType>BookSection</b:SourceType>
    <b:Guid>{344EE772-90CF-4EDA-8F80-7FF7AD4D1321}</b:Guid>
    <b:Title>Industrial radiography – managing radiation risks</b:Title>
    <b:Year>2026</b:Year>
    <b:Author>
      <b:Author>
        <b:Corporate>Health and Safety Executive</b:Corporate>
      </b:Author>
    </b:Author>
    <b:BookTitle>Ionising Radiation Protection Series No 1</b:BookTitle>
    <b:Pages>10</b:Pages>
    <b:RefOrder>14</b:RefOrder>
  </b:Source>
  <b:Source>
    <b:Tag>Off</b:Tag>
    <b:SourceType>BookSection</b:SourceType>
    <b:Guid>{BBC020A6-D653-487E-A424-85F31E27CBF6}</b:Guid>
    <b:Author>
      <b:Author>
        <b:Corporate>Office for Nuclear Regulation</b:Corporate>
      </b:Author>
    </b:Author>
    <b:Title>SAFETY ASSESSMENT PRINCIPLES FOR NUCLEAR FACILITIES</b:Title>
    <b:Pages>226</b:Pages>
    <b:RefOrder>15</b:RefOrder>
  </b:Source>
  <b:Source>
    <b:Tag>Nat16</b:Tag>
    <b:SourceType>InternetSite</b:SourceType>
    <b:Guid>{A0F185D0-7D49-43B7-8BA5-FBF294A828FE}</b:Guid>
    <b:Author>
      <b:Author>
        <b:Corporate>National Library of Medicine</b:Corporate>
      </b:Author>
    </b:Author>
    <b:Title>Long-term health effects of persistent exposure to low-dose lr-192 gamma rays</b:Title>
    <b:Year>2016</b:Year>
    <b:Month>September</b:Month>
    <b:Day>7</b:Day>
    <b:YearAccessed>2026</b:YearAccessed>
    <b:MonthAccessed>July</b:MonthAccessed>
    <b:DayAccessed>29</b:DayAccessed>
    <b:URL>https://pmc.ncbi.nlm.nih.gov/articles/PMC5038503/</b:URL>
    <b:RefOrder>2</b:RefOrder>
  </b:Source>
  <b:Source>
    <b:Tag>OSH26</b:Tag>
    <b:SourceType>InternetSite</b:SourceType>
    <b:Guid>{76D3F4C4-202C-4FDF-88D9-48436449FF9D}</b:Guid>
    <b:Author>
      <b:Author>
        <b:Corporate>OSHA</b:Corporate>
      </b:Author>
    </b:Author>
    <b:Title>Radiation Emergency Preparedness and Response</b:Title>
    <b:YearAccessed>2026</b:YearAccessed>
    <b:MonthAccessed>August</b:MonthAccessed>
    <b:DayAccessed>28</b:DayAccessed>
    <b:URL>https://www.osha.gov/emergency-preparedness/radiation/background</b:URL>
    <b:RefOrder>12</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49E6DB-E16B-4E7D-A2F8-6A7EE71B5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764</TotalTime>
  <Pages>19</Pages>
  <Words>3715</Words>
  <Characters>21180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24846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Euan Kelly</cp:lastModifiedBy>
  <cp:revision>432</cp:revision>
  <dcterms:created xsi:type="dcterms:W3CDTF">2026-07-29T20:54:00Z</dcterms:created>
  <dcterms:modified xsi:type="dcterms:W3CDTF">2026-09-04T00:18:00Z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2e22c19d1ee93c0d16fbe201063bfa61cdf1efbc688278529d8c45398765d601</vt:lpwstr>
  </property>
</Properties>
</file>