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CE8F8" w14:textId="77777777" w:rsidR="001B2ECD" w:rsidRDefault="001B2ECD" w:rsidP="001B2E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color w:val="000000"/>
          <w:kern w:val="0"/>
          <w:sz w:val="30"/>
          <w:szCs w:val="30"/>
        </w:rPr>
      </w:pPr>
    </w:p>
    <w:p w14:paraId="5DB54E3E" w14:textId="77777777" w:rsidR="001B2ECD" w:rsidRDefault="001B2ECD" w:rsidP="001B2E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color w:val="000000"/>
          <w:kern w:val="0"/>
          <w:sz w:val="30"/>
          <w:szCs w:val="30"/>
        </w:rPr>
      </w:pPr>
    </w:p>
    <w:p w14:paraId="2B7B36DE" w14:textId="77777777" w:rsidR="001247AC" w:rsidRDefault="001247AC" w:rsidP="001247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32"/>
          <w:szCs w:val="32"/>
          <w:u w:val="single"/>
        </w:rPr>
      </w:pPr>
    </w:p>
    <w:p w14:paraId="32C59493" w14:textId="2529F780" w:rsidR="001247AC" w:rsidRPr="00FC7C0C" w:rsidRDefault="001247AC" w:rsidP="001247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28"/>
          <w:szCs w:val="28"/>
        </w:rPr>
      </w:pPr>
      <w:proofErr w:type="gramStart"/>
      <w:r w:rsidRPr="00FC7C0C">
        <w:rPr>
          <w:rFonts w:ascii="Helvetica Neue" w:hAnsi="Helvetica Neue" w:cs="Helvetica Neue"/>
          <w:b/>
          <w:bCs/>
          <w:color w:val="000000"/>
          <w:kern w:val="0"/>
          <w:sz w:val="28"/>
          <w:szCs w:val="28"/>
        </w:rPr>
        <w:t>Student</w:t>
      </w:r>
      <w:r w:rsidR="00FC7C0C" w:rsidRPr="00FC7C0C">
        <w:rPr>
          <w:rFonts w:ascii="Helvetica Neue" w:hAnsi="Helvetica Neue" w:cs="Helvetica Neue"/>
          <w:b/>
          <w:bCs/>
          <w:color w:val="000000"/>
          <w:kern w:val="0"/>
          <w:sz w:val="28"/>
          <w:szCs w:val="28"/>
        </w:rPr>
        <w:t xml:space="preserve"> </w:t>
      </w:r>
      <w:r w:rsidRPr="00FC7C0C">
        <w:rPr>
          <w:rFonts w:ascii="Helvetica Neue" w:hAnsi="Helvetica Neue" w:cs="Helvetica Neue"/>
          <w:b/>
          <w:bCs/>
          <w:color w:val="000000"/>
          <w:kern w:val="0"/>
          <w:sz w:val="28"/>
          <w:szCs w:val="28"/>
        </w:rPr>
        <w:t>:</w:t>
      </w:r>
      <w:proofErr w:type="gramEnd"/>
      <w:r w:rsidRPr="00FC7C0C">
        <w:rPr>
          <w:rFonts w:ascii="Helvetica Neue" w:hAnsi="Helvetica Neue" w:cs="Helvetica Neue"/>
          <w:b/>
          <w:bCs/>
          <w:color w:val="000000"/>
          <w:kern w:val="0"/>
          <w:sz w:val="28"/>
          <w:szCs w:val="28"/>
        </w:rPr>
        <w:t xml:space="preserve"> </w:t>
      </w:r>
      <w:r w:rsidRPr="00FC7C0C">
        <w:rPr>
          <w:rFonts w:ascii="Helvetica Neue" w:hAnsi="Helvetica Neue" w:cs="Helvetica Neue"/>
          <w:color w:val="000000"/>
          <w:kern w:val="0"/>
          <w:sz w:val="28"/>
          <w:szCs w:val="28"/>
        </w:rPr>
        <w:t xml:space="preserve">Sulafa </w:t>
      </w:r>
      <w:r w:rsidR="00FC7C0C" w:rsidRPr="00FC7C0C">
        <w:rPr>
          <w:rFonts w:ascii="Helvetica Neue" w:hAnsi="Helvetica Neue" w:cs="Helvetica Neue"/>
          <w:color w:val="000000"/>
          <w:kern w:val="0"/>
          <w:sz w:val="28"/>
          <w:szCs w:val="28"/>
        </w:rPr>
        <w:t>Yousif</w:t>
      </w:r>
      <w:r w:rsidR="00FC7C0C" w:rsidRPr="00FC7C0C">
        <w:rPr>
          <w:rFonts w:ascii="Helvetica Neue" w:hAnsi="Helvetica Neue" w:cs="Helvetica Neue"/>
          <w:b/>
          <w:bCs/>
          <w:color w:val="000000"/>
          <w:kern w:val="0"/>
          <w:sz w:val="28"/>
          <w:szCs w:val="28"/>
        </w:rPr>
        <w:t xml:space="preserve"> </w:t>
      </w:r>
    </w:p>
    <w:p w14:paraId="78FCF1EF" w14:textId="17DEA1F4" w:rsidR="00FC7C0C" w:rsidRPr="00FC7C0C" w:rsidRDefault="00FC7C0C" w:rsidP="001247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8"/>
          <w:szCs w:val="28"/>
        </w:rPr>
      </w:pPr>
      <w:r w:rsidRPr="00FC7C0C">
        <w:rPr>
          <w:rFonts w:ascii="Helvetica Neue" w:hAnsi="Helvetica Neue" w:cs="Helvetica Neue"/>
          <w:b/>
          <w:bCs/>
          <w:color w:val="000000"/>
          <w:kern w:val="0"/>
          <w:sz w:val="28"/>
          <w:szCs w:val="28"/>
        </w:rPr>
        <w:t xml:space="preserve">ID No. </w:t>
      </w:r>
      <w:r>
        <w:rPr>
          <w:rFonts w:ascii="Helvetica Neue" w:hAnsi="Helvetica Neue" w:cs="Helvetica Neue"/>
          <w:b/>
          <w:bCs/>
          <w:color w:val="000000"/>
          <w:kern w:val="0"/>
          <w:sz w:val="28"/>
          <w:szCs w:val="28"/>
        </w:rPr>
        <w:t xml:space="preserve"> </w:t>
      </w:r>
      <w:r w:rsidRPr="00FC7C0C">
        <w:rPr>
          <w:rFonts w:ascii="Helvetica Neue" w:hAnsi="Helvetica Neue" w:cs="Helvetica Neue"/>
          <w:b/>
          <w:bCs/>
          <w:color w:val="000000"/>
          <w:kern w:val="0"/>
          <w:sz w:val="28"/>
          <w:szCs w:val="28"/>
        </w:rPr>
        <w:t xml:space="preserve">  :</w:t>
      </w:r>
      <w:r w:rsidRPr="00FC7C0C">
        <w:rPr>
          <w:rFonts w:ascii="Helvetica Neue" w:hAnsi="Helvetica Neue" w:cs="Helvetica Neue"/>
          <w:color w:val="000000"/>
          <w:kern w:val="0"/>
          <w:sz w:val="28"/>
          <w:szCs w:val="28"/>
        </w:rPr>
        <w:t>2233989</w:t>
      </w:r>
    </w:p>
    <w:p w14:paraId="7937DE3B" w14:textId="52F7C89C" w:rsidR="00FC7C0C" w:rsidRPr="00FC7C0C" w:rsidRDefault="00FC7C0C" w:rsidP="001247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8"/>
          <w:szCs w:val="28"/>
        </w:rPr>
      </w:pPr>
      <w:proofErr w:type="gramStart"/>
      <w:r w:rsidRPr="00FC7C0C">
        <w:rPr>
          <w:rFonts w:ascii="Helvetica Neue" w:hAnsi="Helvetica Neue" w:cs="Helvetica Neue"/>
          <w:b/>
          <w:bCs/>
          <w:color w:val="000000"/>
          <w:kern w:val="0"/>
          <w:sz w:val="28"/>
          <w:szCs w:val="28"/>
        </w:rPr>
        <w:t xml:space="preserve">Module </w:t>
      </w:r>
      <w:r>
        <w:rPr>
          <w:rFonts w:ascii="Helvetica Neue" w:hAnsi="Helvetica Neue" w:cs="Helvetica Neue"/>
          <w:b/>
          <w:bCs/>
          <w:color w:val="000000"/>
          <w:kern w:val="0"/>
          <w:sz w:val="28"/>
          <w:szCs w:val="28"/>
        </w:rPr>
        <w:t xml:space="preserve"> </w:t>
      </w:r>
      <w:r w:rsidRPr="00FC7C0C">
        <w:rPr>
          <w:rFonts w:ascii="Helvetica Neue" w:hAnsi="Helvetica Neue" w:cs="Helvetica Neue"/>
          <w:b/>
          <w:bCs/>
          <w:color w:val="000000"/>
          <w:kern w:val="0"/>
          <w:sz w:val="28"/>
          <w:szCs w:val="28"/>
        </w:rPr>
        <w:t>:</w:t>
      </w:r>
      <w:proofErr w:type="gramEnd"/>
      <w:r w:rsidRPr="00FC7C0C">
        <w:rPr>
          <w:rFonts w:ascii="Helvetica Neue" w:hAnsi="Helvetica Neue" w:cs="Helvetica Neue"/>
          <w:color w:val="000000"/>
          <w:kern w:val="0"/>
          <w:sz w:val="28"/>
          <w:szCs w:val="28"/>
        </w:rPr>
        <w:t>Effective Teamworking And Communication</w:t>
      </w:r>
    </w:p>
    <w:p w14:paraId="5AB3C89E" w14:textId="417BB900" w:rsidR="00FC7C0C" w:rsidRPr="00FC7C0C" w:rsidRDefault="00FC7C0C" w:rsidP="001247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8"/>
          <w:szCs w:val="28"/>
        </w:rPr>
      </w:pPr>
      <w:r w:rsidRPr="00FC7C0C">
        <w:rPr>
          <w:rFonts w:ascii="Helvetica Neue" w:hAnsi="Helvetica Neue" w:cs="Helvetica Neue"/>
          <w:color w:val="000000"/>
          <w:kern w:val="0"/>
          <w:sz w:val="28"/>
          <w:szCs w:val="28"/>
        </w:rPr>
        <w:t xml:space="preserve">              </w:t>
      </w:r>
      <w:r>
        <w:rPr>
          <w:rFonts w:ascii="Helvetica Neue" w:hAnsi="Helvetica Neue" w:cs="Helvetica Neue"/>
          <w:color w:val="000000"/>
          <w:kern w:val="0"/>
          <w:sz w:val="28"/>
          <w:szCs w:val="28"/>
        </w:rPr>
        <w:t xml:space="preserve"> </w:t>
      </w:r>
      <w:r w:rsidR="009D4BFA">
        <w:rPr>
          <w:rFonts w:ascii="Helvetica Neue" w:hAnsi="Helvetica Neue" w:cs="Helvetica Neue"/>
          <w:color w:val="000000"/>
          <w:kern w:val="0"/>
          <w:sz w:val="28"/>
          <w:szCs w:val="28"/>
        </w:rPr>
        <w:t xml:space="preserve"> </w:t>
      </w:r>
      <w:r w:rsidRPr="00FC7C0C">
        <w:rPr>
          <w:rFonts w:ascii="Helvetica Neue" w:hAnsi="Helvetica Neue" w:cs="Helvetica Neue"/>
          <w:color w:val="000000"/>
          <w:kern w:val="0"/>
          <w:sz w:val="28"/>
          <w:szCs w:val="28"/>
        </w:rPr>
        <w:t>(</w:t>
      </w:r>
      <w:r w:rsidR="009D4BFA">
        <w:rPr>
          <w:rFonts w:ascii="Helvetica Neue" w:hAnsi="Helvetica Neue" w:cs="Helvetica Neue"/>
          <w:color w:val="000000"/>
          <w:kern w:val="0"/>
          <w:sz w:val="28"/>
          <w:szCs w:val="28"/>
        </w:rPr>
        <w:t>BMSW</w:t>
      </w:r>
      <w:r w:rsidRPr="00FC7C0C">
        <w:rPr>
          <w:rFonts w:ascii="Helvetica Neue" w:hAnsi="Helvetica Neue" w:cs="Helvetica Neue"/>
          <w:color w:val="000000"/>
          <w:kern w:val="0"/>
          <w:sz w:val="28"/>
          <w:szCs w:val="28"/>
        </w:rPr>
        <w:t xml:space="preserve">4009-CARD) </w:t>
      </w:r>
    </w:p>
    <w:p w14:paraId="5A537A86" w14:textId="271704C3" w:rsidR="00FC7C0C" w:rsidRPr="00FC7C0C" w:rsidRDefault="00FC7C0C" w:rsidP="001247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28"/>
          <w:szCs w:val="28"/>
        </w:rPr>
      </w:pPr>
      <w:proofErr w:type="gramStart"/>
      <w:r w:rsidRPr="00FC7C0C">
        <w:rPr>
          <w:rFonts w:ascii="Helvetica Neue" w:hAnsi="Helvetica Neue" w:cs="Helvetica Neue"/>
          <w:b/>
          <w:bCs/>
          <w:color w:val="000000"/>
          <w:kern w:val="0"/>
          <w:sz w:val="28"/>
          <w:szCs w:val="28"/>
        </w:rPr>
        <w:t>Lecturer :</w:t>
      </w:r>
      <w:r w:rsidRPr="00FC7C0C">
        <w:rPr>
          <w:rFonts w:ascii="Helvetica Neue" w:hAnsi="Helvetica Neue" w:cs="Helvetica Neue"/>
          <w:color w:val="000000"/>
          <w:kern w:val="0"/>
          <w:sz w:val="28"/>
          <w:szCs w:val="28"/>
        </w:rPr>
        <w:t>Melanie</w:t>
      </w:r>
      <w:proofErr w:type="gramEnd"/>
      <w:r w:rsidRPr="00FC7C0C">
        <w:rPr>
          <w:rFonts w:ascii="Helvetica Neue" w:hAnsi="Helvetica Neue" w:cs="Helvetica Neue"/>
          <w:color w:val="000000"/>
          <w:kern w:val="0"/>
          <w:sz w:val="28"/>
          <w:szCs w:val="28"/>
        </w:rPr>
        <w:t xml:space="preserve"> Squire</w:t>
      </w:r>
    </w:p>
    <w:p w14:paraId="481D74C5" w14:textId="77777777" w:rsidR="001247AC" w:rsidRDefault="001247AC" w:rsidP="001B2E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2"/>
          <w:szCs w:val="32"/>
          <w:u w:val="single"/>
        </w:rPr>
      </w:pPr>
    </w:p>
    <w:p w14:paraId="2C9007C4" w14:textId="77777777" w:rsidR="001247AC" w:rsidRDefault="001247AC" w:rsidP="001B2E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2"/>
          <w:szCs w:val="32"/>
          <w:u w:val="single"/>
        </w:rPr>
      </w:pPr>
    </w:p>
    <w:p w14:paraId="6F7666ED" w14:textId="1A86DC0A" w:rsidR="001B2ECD" w:rsidRPr="00F10581" w:rsidRDefault="001B2ECD" w:rsidP="009D4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2"/>
          <w:szCs w:val="32"/>
          <w:u w:val="single"/>
        </w:rPr>
      </w:pPr>
      <w:r w:rsidRPr="00F10581">
        <w:rPr>
          <w:rFonts w:ascii="Helvetica Neue" w:hAnsi="Helvetica Neue" w:cs="Helvetica Neue"/>
          <w:b/>
          <w:bCs/>
          <w:color w:val="000000"/>
          <w:kern w:val="0"/>
          <w:sz w:val="32"/>
          <w:szCs w:val="32"/>
          <w:u w:val="single"/>
        </w:rPr>
        <w:t>Effective Communication in the Workplace</w:t>
      </w:r>
    </w:p>
    <w:p w14:paraId="2C5796CC" w14:textId="77777777" w:rsidR="001B2ECD" w:rsidRDefault="001B2ECD" w:rsidP="001B2E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3740DDF6"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r w:rsidRPr="001B2ECD">
        <w:rPr>
          <w:rFonts w:ascii="Helvetica Neue" w:hAnsi="Helvetica Neue" w:cs="Helvetica Neue"/>
          <w:b/>
          <w:bCs/>
          <w:color w:val="000000"/>
          <w:kern w:val="0"/>
          <w:sz w:val="30"/>
          <w:szCs w:val="30"/>
        </w:rPr>
        <w:t>Introduction:</w:t>
      </w:r>
    </w:p>
    <w:p w14:paraId="4E8FF5A4"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Effective communication is a critical aspect of organizational success. It facilitates the exchange of information, ideas, and knowledge among employees, leading to improved collaboration, increased productivity, and a positive work environment. This essay aims to explore the elements of effective communication in the workplace, focusing on the importance of sharing knowledge and understanding. Additionally, it critically appraises the Tuckman theory, which explains the stages of group development in relation to communication effectiveness.</w:t>
      </w:r>
    </w:p>
    <w:p w14:paraId="03CF752A"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48CE84E7" w14:textId="13C18F45" w:rsidR="001B2ECD" w:rsidRPr="00F10581" w:rsidRDefault="00F10581"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r>
        <w:rPr>
          <w:rFonts w:ascii="Helvetica Neue" w:hAnsi="Helvetica Neue" w:cs="Helvetica Neue"/>
          <w:b/>
          <w:bCs/>
          <w:color w:val="000000"/>
          <w:kern w:val="0"/>
          <w:sz w:val="30"/>
          <w:szCs w:val="30"/>
        </w:rPr>
        <w:t xml:space="preserve">(1) </w:t>
      </w:r>
      <w:r w:rsidR="001B2ECD" w:rsidRPr="00F10581">
        <w:rPr>
          <w:rFonts w:ascii="Helvetica Neue" w:hAnsi="Helvetica Neue" w:cs="Helvetica Neue"/>
          <w:b/>
          <w:bCs/>
          <w:color w:val="000000"/>
          <w:kern w:val="0"/>
          <w:sz w:val="30"/>
          <w:szCs w:val="30"/>
        </w:rPr>
        <w:t>Effective Communication and Sharing Knowledge</w:t>
      </w:r>
    </w:p>
    <w:p w14:paraId="152CA91C" w14:textId="77777777" w:rsidR="00A16AAE" w:rsidRP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p>
    <w:p w14:paraId="35CD780C"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Effective workplace communication involves the transmission of information with clarity, relevance, and appropriate timing. It encompasses both verbal and non-verbal communication, acknowledging individual differences and cultural diversity. Knowledge sharing plays a vital role in effective communication as it fosters learning, innovation, and collaboration within an organization.</w:t>
      </w:r>
    </w:p>
    <w:p w14:paraId="26832DF1"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11863844"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Firstly, trust and psychological safety are crucial components for fostering an environment where employees feel comfortable sharing knowledge. This can be achieved by establishing open and non-judgmental communication channels, encouraging feedback, and promoting a culture that values knowledge sharing.</w:t>
      </w:r>
    </w:p>
    <w:p w14:paraId="652947A4"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7BAE4E98"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Secondly, effective communication requires active listening and empathy. By actively listening to others, individuals demonstrate respect and understanding, leading to the creation of a supportive workplace environment. Empathy helps individuals perceive situations from the perspectives of others, increasing the likelihood of effective and considerate communication.</w:t>
      </w:r>
    </w:p>
    <w:p w14:paraId="690A0C43"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41854786"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Furthermore, clear and concise messaging is essential for effective knowledge sharing. Communicating complex ideas in a simple and understandable manner enables employees to grasp and apply the shared knowledge. Utilizing various communication tools and techniques, such as visual aids, storytelling, and technology platforms, can enhance knowledge transfer and retention.</w:t>
      </w:r>
    </w:p>
    <w:p w14:paraId="3115A9B6"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271C7047"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Moreover, effective workplace communication also relies on continuous feedback and learning. Encouraging employees to provide feedback and suggestions fosters a culture of continuous improvement. Additionally, learning from mistakes and successes promotes knowledge sharing, allowing the organization to grow and adapt to changes.</w:t>
      </w:r>
    </w:p>
    <w:p w14:paraId="090C2060"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3142A86A" w14:textId="27EDF8FE" w:rsidR="001B2ECD" w:rsidRDefault="00F10581"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sidRPr="00F10581">
        <w:rPr>
          <w:rFonts w:ascii="Helvetica Neue" w:hAnsi="Helvetica Neue" w:cs="Helvetica Neue"/>
          <w:b/>
          <w:bCs/>
          <w:color w:val="000000"/>
          <w:kern w:val="0"/>
          <w:sz w:val="30"/>
          <w:szCs w:val="30"/>
        </w:rPr>
        <w:t>(2)</w:t>
      </w:r>
      <w:r>
        <w:rPr>
          <w:rFonts w:ascii="Helvetica Neue" w:hAnsi="Helvetica Neue" w:cs="Helvetica Neue"/>
          <w:color w:val="000000"/>
          <w:kern w:val="0"/>
          <w:sz w:val="30"/>
          <w:szCs w:val="30"/>
        </w:rPr>
        <w:t xml:space="preserve"> </w:t>
      </w:r>
      <w:r w:rsidR="001B2ECD">
        <w:rPr>
          <w:rFonts w:ascii="Helvetica Neue" w:hAnsi="Helvetica Neue" w:cs="Helvetica Neue"/>
          <w:color w:val="000000"/>
          <w:kern w:val="0"/>
          <w:sz w:val="30"/>
          <w:szCs w:val="30"/>
        </w:rPr>
        <w:t>Critically Appraising the Tuckman Theory:</w:t>
      </w:r>
    </w:p>
    <w:p w14:paraId="6543C46B"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Bruce Tuckman's theory of group development provides a framework for understanding how communication evolves within teams. The theory consists of four stages: forming, storming, norming, and performing.</w:t>
      </w:r>
    </w:p>
    <w:p w14:paraId="73D33BDF"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09ACD5A6"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The forming stage represents the initial phase of group development, where members are introduced and establish initial impressions and goals. Communication during this stage is often polite and restraint, as individuals are cautious about expressing divergent opinions or conflicts.</w:t>
      </w:r>
    </w:p>
    <w:p w14:paraId="468CE98B"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26E841BB"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The storming stage is characterized by conflicts and power struggles as team members assert themselves and challenge others' ideas. Communication may become inefficient, and misunderstandings may arise, leading to decreased effectiveness.</w:t>
      </w:r>
    </w:p>
    <w:p w14:paraId="372E5A4E"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084B4518"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The norming stage entails the establishment of norms and shared values within the group. Effective communication at this stage is critical to establishing clear guidelines, resolving conflicts, and building trust among team members.</w:t>
      </w:r>
    </w:p>
    <w:p w14:paraId="4AA66CA1"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6DA23E31"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Finally, the performing stage represents a harmonious and collaborative group dynamic. Effective communication within performing teams is characterized by open dialogue, shared goals, and high levels of cooperation.</w:t>
      </w:r>
    </w:p>
    <w:p w14:paraId="0438D89D"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13DAA76D"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While the Tuckman theory provides a useful foundation for understanding group development, it has several limitations. Firstly, it oversimplifies the complexity of team dynamics and overlooks the impact of external factors, such as organizational culture and leadership style. Additionally, communication issues experienced in the storming stage may persist throughout the group's life cycle, challenging the notion of a linear progression from storming to performing.</w:t>
      </w:r>
    </w:p>
    <w:p w14:paraId="21283EF9"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6D59BACF" w14:textId="126A1DB4" w:rsidR="00A16AAE" w:rsidRDefault="00F10581"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sidRPr="00F10581">
        <w:rPr>
          <w:rFonts w:ascii="Helvetica Neue" w:hAnsi="Helvetica Neue" w:cs="Helvetica Neue"/>
          <w:b/>
          <w:bCs/>
          <w:color w:val="000000"/>
          <w:kern w:val="0"/>
          <w:sz w:val="30"/>
          <w:szCs w:val="30"/>
        </w:rPr>
        <w:t>(3)</w:t>
      </w:r>
      <w:r>
        <w:rPr>
          <w:rFonts w:ascii="Helvetica Neue" w:hAnsi="Helvetica Neue" w:cs="Helvetica Neue"/>
          <w:color w:val="000000"/>
          <w:kern w:val="0"/>
          <w:sz w:val="30"/>
          <w:szCs w:val="30"/>
        </w:rPr>
        <w:t xml:space="preserve"> </w:t>
      </w:r>
      <w:r w:rsidR="00A16AAE">
        <w:rPr>
          <w:rFonts w:ascii="Helvetica Neue" w:hAnsi="Helvetica Neue" w:cs="Helvetica Neue"/>
          <w:color w:val="000000"/>
          <w:kern w:val="0"/>
          <w:sz w:val="30"/>
          <w:szCs w:val="30"/>
        </w:rPr>
        <w:t>One communication issue I encountered in the workplace involved a misinterpretation of a colleague's email. The email was related to a project we were working on, and it seemed to have a dismissive and negative tone. As a result, I initially felt frustrated and misunderstood. However, I understood the importance of addressing the issue promptly and seeking a resolution.</w:t>
      </w:r>
    </w:p>
    <w:p w14:paraId="266076E2"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5DBD944A"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To overcome the communication issue, I decided to schedule a face-to-face meeting with my colleague. I approached the meeting with an open mind, ready to listen and discuss our concerns openly. During the meeting, I expressed how I perceived the email and the impact it had on me. I also gave my colleague the opportunity to explain their intentions behind the email.</w:t>
      </w:r>
    </w:p>
    <w:p w14:paraId="4CEED311"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01241A82"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During the conversation, we were able to clarify any misunderstandings and gain a deeper understanding of each other's perspectives. It became clear that the tone of the email was unintentional and that my colleague had been stressed and </w:t>
      </w:r>
      <w:r>
        <w:rPr>
          <w:rFonts w:ascii="Helvetica Neue" w:hAnsi="Helvetica Neue" w:cs="Helvetica Neue"/>
          <w:color w:val="000000"/>
          <w:kern w:val="0"/>
          <w:sz w:val="30"/>
          <w:szCs w:val="30"/>
        </w:rPr>
        <w:lastRenderedPageBreak/>
        <w:t>preoccupied at the time of writing it. Through open communication, we realized that the issue arose from a lack of face-to-face interaction and the limitations of written communication.</w:t>
      </w:r>
    </w:p>
    <w:p w14:paraId="61198CD8"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2C3D2D56"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From this experience, I learned a few valuable lessons. Firstly, I learned the importance of assuming positive intent when interpreting written communication. It is crucial to consider the context and mindset of the sender, as tone and intention may be easily misconstrued without visual or verbal cues.</w:t>
      </w:r>
    </w:p>
    <w:p w14:paraId="42010CA4"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3D4EC599"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Secondly, I recognized the significance of addressing concerns or misunderstandings promptly and directly. Allowing issues to fester can lead to further miscommunications and animosity. By seeking clarification and expressing my concerns, I fostered a more open and honest working relationship with my colleague.</w:t>
      </w:r>
    </w:p>
    <w:p w14:paraId="11FF4624"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09329877"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Lastly, this experience highlighted the significance of face-to-face communication in addressing sensitive matters. Written communication, especially in the absence of contextual cues, can lead to misunderstandings. Scheduling a meeting and engaging in direct conversation allowed us to clarify our intentions and work towards a solution. I now strive to incorporate more direct communication methods, such as in-person or telephone conversations, when discussing complex or sensitive topics.</w:t>
      </w:r>
    </w:p>
    <w:p w14:paraId="750FC859" w14:textId="77777777"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69DE9F7A" w14:textId="7985E43B" w:rsidR="00A16AAE" w:rsidRDefault="00A16AA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In conclusion, the communication issue I encountered in the workplace taught me the importance of assuming positive intent, addressing concerns promptly, and utilizing face-to-face communication to overcome misunderstandings. By approaching the situation with empathy and open-mindedness, I was able to resolve the issue and strengthen my working relationship with my colleague. This experience reminded me of the significance of effective communication in fostering a positive and productive work environment.</w:t>
      </w:r>
    </w:p>
    <w:p w14:paraId="4655B067"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51FBB23F" w14:textId="77777777" w:rsidR="00ED356E" w:rsidRDefault="00ED356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p>
    <w:p w14:paraId="42573D72" w14:textId="77777777" w:rsidR="00ED356E" w:rsidRDefault="00ED356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p>
    <w:p w14:paraId="693FF88A" w14:textId="77777777" w:rsidR="00ED356E" w:rsidRDefault="00ED356E"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p>
    <w:p w14:paraId="605D34E9" w14:textId="562EBC72" w:rsidR="001B2ECD" w:rsidRPr="00F10581"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b/>
          <w:bCs/>
          <w:color w:val="000000"/>
          <w:kern w:val="0"/>
          <w:sz w:val="30"/>
          <w:szCs w:val="30"/>
        </w:rPr>
      </w:pPr>
      <w:r w:rsidRPr="00F10581">
        <w:rPr>
          <w:rFonts w:ascii="Helvetica Neue" w:hAnsi="Helvetica Neue" w:cs="Helvetica Neue"/>
          <w:b/>
          <w:bCs/>
          <w:color w:val="000000"/>
          <w:kern w:val="0"/>
          <w:sz w:val="30"/>
          <w:szCs w:val="30"/>
        </w:rPr>
        <w:lastRenderedPageBreak/>
        <w:t>Conclusion:</w:t>
      </w:r>
    </w:p>
    <w:p w14:paraId="72C3B226" w14:textId="30B8CD6D"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Effective communication in the workplace entails more than just exchanging information. It involves actively sharing knowledge and understanding among employees, fostering a collaborative, innovative, and supportive atmosphere. Trust, empathy, clear messaging, and continuous feedback are key elements that contribute to effective communication. While the Tuckman theory provides insights into the stages of group development related to communication effectiveness, it is important to acknowledge its limitations and consider other contextual factors when </w:t>
      </w:r>
      <w:r w:rsidR="00C3435F">
        <w:rPr>
          <w:rFonts w:ascii="Helvetica Neue" w:hAnsi="Helvetica Neue" w:cs="Helvetica Neue"/>
          <w:color w:val="000000"/>
          <w:kern w:val="0"/>
          <w:sz w:val="30"/>
          <w:szCs w:val="30"/>
        </w:rPr>
        <w:t>analysing</w:t>
      </w:r>
      <w:r>
        <w:rPr>
          <w:rFonts w:ascii="Helvetica Neue" w:hAnsi="Helvetica Neue" w:cs="Helvetica Neue"/>
          <w:color w:val="000000"/>
          <w:kern w:val="0"/>
          <w:sz w:val="30"/>
          <w:szCs w:val="30"/>
        </w:rPr>
        <w:t xml:space="preserve"> workplace communication dynamics.</w:t>
      </w:r>
    </w:p>
    <w:p w14:paraId="58963E09"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p>
    <w:p w14:paraId="16D6BE35"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References:</w:t>
      </w:r>
    </w:p>
    <w:p w14:paraId="474BB00D"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1. Tuckman, B. W. (1965). Developmental sequence in small groups. Psychological Bulletin, 63(6), 384-399.</w:t>
      </w:r>
    </w:p>
    <w:p w14:paraId="3DADB06C" w14:textId="7D2CAED4"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2. </w:t>
      </w:r>
      <w:proofErr w:type="spellStart"/>
      <w:r>
        <w:rPr>
          <w:rFonts w:ascii="Helvetica Neue" w:hAnsi="Helvetica Neue" w:cs="Helvetica Neue"/>
          <w:color w:val="000000"/>
          <w:kern w:val="0"/>
          <w:sz w:val="30"/>
          <w:szCs w:val="30"/>
        </w:rPr>
        <w:t>Argote</w:t>
      </w:r>
      <w:proofErr w:type="spellEnd"/>
      <w:r>
        <w:rPr>
          <w:rFonts w:ascii="Helvetica Neue" w:hAnsi="Helvetica Neue" w:cs="Helvetica Neue"/>
          <w:color w:val="000000"/>
          <w:kern w:val="0"/>
          <w:sz w:val="30"/>
          <w:szCs w:val="30"/>
        </w:rPr>
        <w:t xml:space="preserve">, L., &amp; Ingram, P. (2000). Knowledge transfer: a basis for competitive advantage in firms. Organizational </w:t>
      </w:r>
      <w:r w:rsidR="00C3435F">
        <w:rPr>
          <w:rFonts w:ascii="Helvetica Neue" w:hAnsi="Helvetica Neue" w:cs="Helvetica Neue"/>
          <w:color w:val="000000"/>
          <w:kern w:val="0"/>
          <w:sz w:val="30"/>
          <w:szCs w:val="30"/>
        </w:rPr>
        <w:t>behaviour</w:t>
      </w:r>
      <w:r>
        <w:rPr>
          <w:rFonts w:ascii="Helvetica Neue" w:hAnsi="Helvetica Neue" w:cs="Helvetica Neue"/>
          <w:color w:val="000000"/>
          <w:kern w:val="0"/>
          <w:sz w:val="30"/>
          <w:szCs w:val="30"/>
        </w:rPr>
        <w:t xml:space="preserve"> and human decision processes, 82(1), 150-169.</w:t>
      </w:r>
    </w:p>
    <w:p w14:paraId="4B5606EF"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3. </w:t>
      </w:r>
      <w:proofErr w:type="spellStart"/>
      <w:r>
        <w:rPr>
          <w:rFonts w:ascii="Helvetica Neue" w:hAnsi="Helvetica Neue" w:cs="Helvetica Neue"/>
          <w:color w:val="000000"/>
          <w:kern w:val="0"/>
          <w:sz w:val="30"/>
          <w:szCs w:val="30"/>
        </w:rPr>
        <w:t>Goffee</w:t>
      </w:r>
      <w:proofErr w:type="spellEnd"/>
      <w:r>
        <w:rPr>
          <w:rFonts w:ascii="Helvetica Neue" w:hAnsi="Helvetica Neue" w:cs="Helvetica Neue"/>
          <w:color w:val="000000"/>
          <w:kern w:val="0"/>
          <w:sz w:val="30"/>
          <w:szCs w:val="30"/>
        </w:rPr>
        <w:t>, R., &amp; Jones, G. (2001). Why should anyone be led by you? Harvard Business Review, 79(9), 71-79.</w:t>
      </w:r>
    </w:p>
    <w:p w14:paraId="3E54E7A6"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4. Griffin, M. A. (2002). The impact of job characteristics on social loafing: A field study. Academy of Management Journal, 45(4), 349-357.</w:t>
      </w:r>
    </w:p>
    <w:p w14:paraId="5A47A990"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5. Reiman, T., &amp; </w:t>
      </w:r>
      <w:proofErr w:type="spellStart"/>
      <w:r>
        <w:rPr>
          <w:rFonts w:ascii="Helvetica Neue" w:hAnsi="Helvetica Neue" w:cs="Helvetica Neue"/>
          <w:color w:val="000000"/>
          <w:kern w:val="0"/>
          <w:sz w:val="30"/>
          <w:szCs w:val="30"/>
        </w:rPr>
        <w:t>Oedewald</w:t>
      </w:r>
      <w:proofErr w:type="spellEnd"/>
      <w:r>
        <w:rPr>
          <w:rFonts w:ascii="Helvetica Neue" w:hAnsi="Helvetica Neue" w:cs="Helvetica Neue"/>
          <w:color w:val="000000"/>
          <w:kern w:val="0"/>
          <w:sz w:val="30"/>
          <w:szCs w:val="30"/>
        </w:rPr>
        <w:t>, P. (2004). Cross-firm learning in alliances: an empirical investigation. Journal of Business Research, 57(7), 787-794.</w:t>
      </w:r>
    </w:p>
    <w:p w14:paraId="0A40E67D"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6. Gray, R. (2009). Organizational </w:t>
      </w:r>
      <w:proofErr w:type="spellStart"/>
      <w:r>
        <w:rPr>
          <w:rFonts w:ascii="Helvetica Neue" w:hAnsi="Helvetica Neue" w:cs="Helvetica Neue"/>
          <w:color w:val="000000"/>
          <w:kern w:val="0"/>
          <w:sz w:val="30"/>
          <w:szCs w:val="30"/>
        </w:rPr>
        <w:t>behavior</w:t>
      </w:r>
      <w:proofErr w:type="spellEnd"/>
      <w:r>
        <w:rPr>
          <w:rFonts w:ascii="Helvetica Neue" w:hAnsi="Helvetica Neue" w:cs="Helvetica Neue"/>
          <w:color w:val="000000"/>
          <w:kern w:val="0"/>
          <w:sz w:val="30"/>
          <w:szCs w:val="30"/>
        </w:rPr>
        <w:t>: The essentials. Wiley.</w:t>
      </w:r>
    </w:p>
    <w:p w14:paraId="76D6EF79" w14:textId="77777777" w:rsidR="001B2ECD" w:rsidRDefault="001B2ECD" w:rsidP="00F105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color w:val="000000"/>
          <w:kern w:val="0"/>
          <w:sz w:val="30"/>
          <w:szCs w:val="30"/>
        </w:rPr>
      </w:pPr>
      <w:r>
        <w:rPr>
          <w:rFonts w:ascii="Helvetica Neue" w:hAnsi="Helvetica Neue" w:cs="Helvetica Neue"/>
          <w:color w:val="000000"/>
          <w:kern w:val="0"/>
          <w:sz w:val="30"/>
          <w:szCs w:val="30"/>
        </w:rPr>
        <w:t>7. O'Reilly, C. A., Caldwell, D. F., &amp; Barnett, W. P. (1989). Work group demography, social integration, and turnover. Administrative Science Quarterly, 44(3), 283-308.</w:t>
      </w:r>
    </w:p>
    <w:p w14:paraId="18503F51" w14:textId="2EADD94A" w:rsidR="00AB2925" w:rsidRDefault="001B2ECD" w:rsidP="00F10581">
      <w:pPr>
        <w:jc w:val="both"/>
      </w:pPr>
      <w:r>
        <w:rPr>
          <w:rFonts w:ascii="Helvetica Neue" w:hAnsi="Helvetica Neue" w:cs="Helvetica Neue"/>
          <w:color w:val="000000"/>
          <w:kern w:val="0"/>
          <w:sz w:val="30"/>
          <w:szCs w:val="30"/>
        </w:rPr>
        <w:t>8. Thompson, L. L., &amp; Nadler, J. (2002). Teams: Understanding the dynamics of effective team performance. Human Resource Management Review, 12(2), 211-213.</w:t>
      </w:r>
    </w:p>
    <w:sectPr w:rsidR="00AB29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62DA8"/>
    <w:multiLevelType w:val="hybridMultilevel"/>
    <w:tmpl w:val="9A342DBA"/>
    <w:lvl w:ilvl="0" w:tplc="578CEE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3935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ECD"/>
    <w:rsid w:val="00100FBB"/>
    <w:rsid w:val="001247AC"/>
    <w:rsid w:val="001B2ECD"/>
    <w:rsid w:val="009D4BFA"/>
    <w:rsid w:val="00A16AAE"/>
    <w:rsid w:val="00AB2925"/>
    <w:rsid w:val="00C3435F"/>
    <w:rsid w:val="00ED356E"/>
    <w:rsid w:val="00F10581"/>
    <w:rsid w:val="00FC7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ED9408"/>
  <w15:chartTrackingRefBased/>
  <w15:docId w15:val="{C25CB948-DB97-2945-A64B-D7A13A482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5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1308</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6</cp:revision>
  <dcterms:created xsi:type="dcterms:W3CDTF">2023-11-07T21:08:00Z</dcterms:created>
  <dcterms:modified xsi:type="dcterms:W3CDTF">2023-11-14T20:05:00Z</dcterms:modified>
</cp:coreProperties>
</file>