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12CA" w:rsidRPr="00D03B55" w:rsidRDefault="00F312CA" w:rsidP="00565EC9">
      <w:pPr>
        <w:jc w:val="center"/>
        <w:rPr>
          <w:b/>
          <w:sz w:val="24"/>
          <w:szCs w:val="24"/>
        </w:rPr>
      </w:pPr>
      <w:r w:rsidRPr="00D03B55">
        <w:rPr>
          <w:b/>
          <w:sz w:val="24"/>
          <w:szCs w:val="24"/>
        </w:rPr>
        <w:t>Can Testimony ever give us adequate reason to believe a miracle has occurred on the basis of what others tell you?</w:t>
      </w:r>
    </w:p>
    <w:p w:rsidR="00CC3944" w:rsidRPr="00D03B55" w:rsidRDefault="00AD7780" w:rsidP="00CC3944">
      <w:pPr>
        <w:rPr>
          <w:rFonts w:cstheme="minorHAnsi"/>
        </w:rPr>
      </w:pPr>
      <w:r w:rsidRPr="00D03B55">
        <w:rPr>
          <w:rFonts w:cstheme="minorHAnsi"/>
        </w:rPr>
        <w:t xml:space="preserve">The use of the term miracle is broad and </w:t>
      </w:r>
      <w:r w:rsidR="00B63D10" w:rsidRPr="00D03B55">
        <w:rPr>
          <w:rFonts w:cstheme="minorHAnsi"/>
        </w:rPr>
        <w:t>its meaning</w:t>
      </w:r>
      <w:r w:rsidR="000D7E11">
        <w:rPr>
          <w:rFonts w:cstheme="minorHAnsi"/>
        </w:rPr>
        <w:t xml:space="preserve">, </w:t>
      </w:r>
      <w:r w:rsidR="00B63D10" w:rsidRPr="00D03B55">
        <w:rPr>
          <w:rFonts w:cstheme="minorHAnsi"/>
        </w:rPr>
        <w:t>vari</w:t>
      </w:r>
      <w:r w:rsidR="00ED2401">
        <w:rPr>
          <w:rFonts w:cstheme="minorHAnsi"/>
        </w:rPr>
        <w:t>ed</w:t>
      </w:r>
      <w:r w:rsidR="00B63D10" w:rsidRPr="00D03B55">
        <w:rPr>
          <w:rFonts w:cstheme="minorHAnsi"/>
        </w:rPr>
        <w:t xml:space="preserve">.  It can be used to describe an </w:t>
      </w:r>
      <w:r w:rsidR="00F312CA" w:rsidRPr="00D03B55">
        <w:rPr>
          <w:rFonts w:cstheme="minorHAnsi"/>
        </w:rPr>
        <w:t>unlikely event such as an infertile couple conceiving naturally</w:t>
      </w:r>
      <w:r w:rsidR="00B63D10" w:rsidRPr="00D03B55">
        <w:rPr>
          <w:rFonts w:cstheme="minorHAnsi"/>
        </w:rPr>
        <w:t xml:space="preserve">, or every day </w:t>
      </w:r>
      <w:r w:rsidR="00F312CA" w:rsidRPr="00D03B55">
        <w:rPr>
          <w:rFonts w:cstheme="minorHAnsi"/>
        </w:rPr>
        <w:t>occurrences that inspire awe such as “the miracle of life”</w:t>
      </w:r>
      <w:r w:rsidR="00B63D10" w:rsidRPr="00D03B55">
        <w:rPr>
          <w:rFonts w:cstheme="minorHAnsi"/>
        </w:rPr>
        <w:t xml:space="preserve">.  </w:t>
      </w:r>
      <w:r w:rsidR="00CC3944" w:rsidRPr="00D03B55">
        <w:rPr>
          <w:rFonts w:cstheme="minorHAnsi"/>
        </w:rPr>
        <w:t xml:space="preserve">It is probably accurate to say that miracles are most commonly thought to have some form of religious significance and therefore </w:t>
      </w:r>
      <w:r w:rsidR="00D21232">
        <w:rPr>
          <w:rFonts w:cstheme="minorHAnsi"/>
        </w:rPr>
        <w:t xml:space="preserve">it can be </w:t>
      </w:r>
      <w:r w:rsidR="00CC3944" w:rsidRPr="00D03B55">
        <w:rPr>
          <w:rFonts w:cstheme="minorHAnsi"/>
        </w:rPr>
        <w:t>defin</w:t>
      </w:r>
      <w:r w:rsidR="00B51525">
        <w:rPr>
          <w:rFonts w:cstheme="minorHAnsi"/>
        </w:rPr>
        <w:t>ed</w:t>
      </w:r>
      <w:r w:rsidR="00D21232">
        <w:rPr>
          <w:rFonts w:cstheme="minorHAnsi"/>
        </w:rPr>
        <w:t xml:space="preserve"> as</w:t>
      </w:r>
      <w:r w:rsidR="00CC3944" w:rsidRPr="00D03B55">
        <w:rPr>
          <w:rFonts w:cstheme="minorHAnsi"/>
        </w:rPr>
        <w:t>:</w:t>
      </w:r>
    </w:p>
    <w:p w:rsidR="00003E74" w:rsidRDefault="00CC3944" w:rsidP="00CC3944">
      <w:pPr>
        <w:ind w:left="720"/>
        <w:rPr>
          <w:rFonts w:cstheme="minorHAnsi"/>
          <w:color w:val="1A1A1A"/>
          <w:shd w:val="clear" w:color="auto" w:fill="FFFFFF"/>
        </w:rPr>
      </w:pPr>
      <w:r w:rsidRPr="00D03B55">
        <w:rPr>
          <w:rFonts w:cstheme="minorHAnsi"/>
        </w:rPr>
        <w:t>“</w:t>
      </w:r>
      <w:r w:rsidRPr="00D03B55">
        <w:rPr>
          <w:rFonts w:cstheme="minorHAnsi"/>
          <w:color w:val="1A1A1A"/>
          <w:shd w:val="clear" w:color="auto" w:fill="FFFFFF"/>
        </w:rPr>
        <w:t>a work effected in a manner </w:t>
      </w:r>
      <w:r w:rsidRPr="00D03B55">
        <w:rPr>
          <w:rStyle w:val="Emphasis"/>
          <w:rFonts w:cstheme="minorHAnsi"/>
          <w:color w:val="1A1A1A"/>
          <w:shd w:val="clear" w:color="auto" w:fill="FFFFFF"/>
        </w:rPr>
        <w:t>unusual</w:t>
      </w:r>
      <w:r w:rsidRPr="00D03B55">
        <w:rPr>
          <w:rFonts w:cstheme="minorHAnsi"/>
          <w:color w:val="1A1A1A"/>
          <w:shd w:val="clear" w:color="auto" w:fill="FFFFFF"/>
        </w:rPr>
        <w:t>, or different from the common and regular Method of Providence, by the interposition either of God himself, or of some Intelligent Agent superior to Man, for the Proof or Evidence of some particular Doctrine, or in attestation to the Authority of some particular Person”</w:t>
      </w:r>
      <w:r>
        <w:rPr>
          <w:rStyle w:val="FootnoteReference"/>
          <w:rFonts w:cstheme="minorHAnsi"/>
          <w:color w:val="1A1A1A"/>
          <w:shd w:val="clear" w:color="auto" w:fill="FFFFFF"/>
        </w:rPr>
        <w:footnoteReference w:id="1"/>
      </w:r>
      <w:r w:rsidRPr="00D03B55">
        <w:rPr>
          <w:rFonts w:cstheme="minorHAnsi"/>
          <w:color w:val="1A1A1A"/>
          <w:shd w:val="clear" w:color="auto" w:fill="FFFFFF"/>
        </w:rPr>
        <w:t xml:space="preserve"> </w:t>
      </w:r>
    </w:p>
    <w:p w:rsidR="00CC3944" w:rsidRPr="00CC3944" w:rsidRDefault="0019333C" w:rsidP="0019333C">
      <w:pPr>
        <w:rPr>
          <w:rFonts w:cstheme="minorHAnsi"/>
          <w:color w:val="1A1A1A"/>
          <w:shd w:val="clear" w:color="auto" w:fill="FFFFFF"/>
        </w:rPr>
      </w:pPr>
      <w:r w:rsidRPr="00D03B55">
        <w:rPr>
          <w:rFonts w:cstheme="minorHAnsi"/>
        </w:rPr>
        <w:t xml:space="preserve">Belief in miracles is common, however whether it is a rational belief or not will likely depend on your ontological </w:t>
      </w:r>
      <w:r>
        <w:rPr>
          <w:rFonts w:cstheme="minorHAnsi"/>
        </w:rPr>
        <w:t>presuppositions</w:t>
      </w:r>
      <w:r w:rsidRPr="00D03B55">
        <w:rPr>
          <w:rFonts w:cstheme="minorHAnsi"/>
        </w:rPr>
        <w:t xml:space="preserve">.   </w:t>
      </w:r>
    </w:p>
    <w:p w:rsidR="00FD1808" w:rsidRPr="00D03B55" w:rsidRDefault="00565EC9" w:rsidP="00FD1808">
      <w:pPr>
        <w:rPr>
          <w:rFonts w:cstheme="minorHAnsi"/>
          <w:b/>
        </w:rPr>
      </w:pPr>
      <w:r w:rsidRPr="00D03B55">
        <w:rPr>
          <w:rFonts w:cstheme="minorHAnsi"/>
          <w:b/>
        </w:rPr>
        <w:t>An argument against acceptance of testimonial- based belief in miracles.</w:t>
      </w:r>
    </w:p>
    <w:p w:rsidR="00D17A7E" w:rsidRPr="00D03B55" w:rsidRDefault="00B63D10" w:rsidP="00FD1808">
      <w:pPr>
        <w:rPr>
          <w:rFonts w:cstheme="minorHAnsi"/>
        </w:rPr>
      </w:pPr>
      <w:r w:rsidRPr="00D03B55">
        <w:rPr>
          <w:rFonts w:cstheme="minorHAnsi"/>
        </w:rPr>
        <w:t>David Hume (1711- 1776</w:t>
      </w:r>
      <w:r w:rsidR="003905D1" w:rsidRPr="00D03B55">
        <w:rPr>
          <w:rFonts w:cstheme="minorHAnsi"/>
        </w:rPr>
        <w:t>) argued</w:t>
      </w:r>
      <w:r w:rsidR="00FD1808" w:rsidRPr="00D03B55">
        <w:rPr>
          <w:rFonts w:cstheme="minorHAnsi"/>
        </w:rPr>
        <w:t xml:space="preserve"> that no matter how favourable the circumstances, a miracle report can never</w:t>
      </w:r>
      <w:r w:rsidR="00D17A7E" w:rsidRPr="00D03B55">
        <w:rPr>
          <w:rFonts w:cstheme="minorHAnsi"/>
        </w:rPr>
        <w:t xml:space="preserve"> be</w:t>
      </w:r>
      <w:r w:rsidR="00FD1808" w:rsidRPr="00D03B55">
        <w:rPr>
          <w:rFonts w:cstheme="minorHAnsi"/>
        </w:rPr>
        <w:t xml:space="preserve"> believed on testimony.  He reasons that</w:t>
      </w:r>
      <w:r w:rsidR="00D17A7E" w:rsidRPr="00D03B55">
        <w:rPr>
          <w:rFonts w:cstheme="minorHAnsi"/>
        </w:rPr>
        <w:t>:</w:t>
      </w:r>
      <w:r w:rsidR="00FD1808" w:rsidRPr="00D03B55">
        <w:rPr>
          <w:rFonts w:cstheme="minorHAnsi"/>
        </w:rPr>
        <w:t xml:space="preserve"> </w:t>
      </w:r>
      <w:r w:rsidR="00BF7B49" w:rsidRPr="00D03B55">
        <w:rPr>
          <w:rFonts w:cstheme="minorHAnsi"/>
        </w:rPr>
        <w:t xml:space="preserve"> </w:t>
      </w:r>
    </w:p>
    <w:p w:rsidR="00FD1808" w:rsidRPr="00D03B55" w:rsidRDefault="003905D1" w:rsidP="00BF7B49">
      <w:pPr>
        <w:ind w:left="720"/>
        <w:rPr>
          <w:rFonts w:cstheme="minorHAnsi"/>
        </w:rPr>
      </w:pPr>
      <w:r w:rsidRPr="00D03B55">
        <w:rPr>
          <w:rFonts w:cstheme="minorHAnsi"/>
        </w:rPr>
        <w:t>‘</w:t>
      </w:r>
      <w:r w:rsidR="00FD1808" w:rsidRPr="00D03B55">
        <w:rPr>
          <w:rFonts w:cstheme="minorHAnsi"/>
        </w:rPr>
        <w:t>no testimony for any kind of miracle has ever amounted to a probability, much less to a proof; and that, even supposing it amounted to a proof, it would be opposed by another proof; derived from the very nature of the fact which it would endeavour to establish.  It is experience only which gives authority to human testimony; and it is the same experience which assures us of the laws of nature. When therefore these two kinds of experience are contrary, we have nothing to do but subtract the one from the other, and embrace an opinion, either on one side o</w:t>
      </w:r>
      <w:r w:rsidR="00E95157">
        <w:rPr>
          <w:rFonts w:cstheme="minorHAnsi"/>
        </w:rPr>
        <w:t>r</w:t>
      </w:r>
      <w:r w:rsidR="00FD1808" w:rsidRPr="00D03B55">
        <w:rPr>
          <w:rFonts w:cstheme="minorHAnsi"/>
        </w:rPr>
        <w:t xml:space="preserve"> the other, with that assurance which arises from the remainder.</w:t>
      </w:r>
      <w:r w:rsidRPr="00D03B55">
        <w:rPr>
          <w:rFonts w:cstheme="minorHAnsi"/>
        </w:rPr>
        <w:t>’</w:t>
      </w:r>
      <w:r w:rsidR="00EF022D">
        <w:rPr>
          <w:rStyle w:val="FootnoteReference"/>
          <w:rFonts w:cstheme="minorHAnsi"/>
        </w:rPr>
        <w:footnoteReference w:id="2"/>
      </w:r>
    </w:p>
    <w:p w:rsidR="00FD1808" w:rsidRPr="00D03B55" w:rsidRDefault="00FD1808" w:rsidP="00FD1808">
      <w:pPr>
        <w:rPr>
          <w:rFonts w:cstheme="minorHAnsi"/>
        </w:rPr>
      </w:pPr>
      <w:r w:rsidRPr="00D03B55">
        <w:rPr>
          <w:rFonts w:cstheme="minorHAnsi"/>
        </w:rPr>
        <w:t>Hume concedes that ‘there is no species of reasoning more common, more useful, and even necessary to human life, tha</w:t>
      </w:r>
      <w:r w:rsidR="00D17A7E" w:rsidRPr="00D03B55">
        <w:rPr>
          <w:rFonts w:cstheme="minorHAnsi"/>
        </w:rPr>
        <w:t>n</w:t>
      </w:r>
      <w:r w:rsidRPr="00D03B55">
        <w:rPr>
          <w:rFonts w:cstheme="minorHAnsi"/>
        </w:rPr>
        <w:t xml:space="preserve"> that which is derived from the testimony of men and the reports of eyewitnesses and spectators’</w:t>
      </w:r>
      <w:r w:rsidR="00EF022D">
        <w:rPr>
          <w:rStyle w:val="FootnoteReference"/>
          <w:rFonts w:cstheme="minorHAnsi"/>
        </w:rPr>
        <w:footnoteReference w:id="3"/>
      </w:r>
      <w:r w:rsidRPr="00D03B55">
        <w:rPr>
          <w:rFonts w:cstheme="minorHAnsi"/>
        </w:rPr>
        <w:t xml:space="preserve"> however he believes </w:t>
      </w:r>
      <w:r w:rsidR="00581093" w:rsidRPr="00D03B55">
        <w:rPr>
          <w:rFonts w:cstheme="minorHAnsi"/>
        </w:rPr>
        <w:t>our trust in testimony is routed in observations regarding their general reliability</w:t>
      </w:r>
      <w:r w:rsidR="00EF022D">
        <w:rPr>
          <w:rStyle w:val="FootnoteReference"/>
          <w:rFonts w:cstheme="minorHAnsi"/>
        </w:rPr>
        <w:footnoteReference w:id="4"/>
      </w:r>
      <w:r w:rsidR="00BF7B49" w:rsidRPr="00D03B55">
        <w:rPr>
          <w:rFonts w:cstheme="minorHAnsi"/>
        </w:rPr>
        <w:t>,</w:t>
      </w:r>
      <w:r w:rsidR="00581093" w:rsidRPr="00D03B55">
        <w:rPr>
          <w:rFonts w:cstheme="minorHAnsi"/>
        </w:rPr>
        <w:t xml:space="preserve"> as such he considers</w:t>
      </w:r>
      <w:r w:rsidRPr="00D03B55">
        <w:rPr>
          <w:rFonts w:cstheme="minorHAnsi"/>
        </w:rPr>
        <w:t xml:space="preserve"> testimonial knowledge </w:t>
      </w:r>
      <w:r w:rsidR="00EF022D">
        <w:rPr>
          <w:rFonts w:cstheme="minorHAnsi"/>
        </w:rPr>
        <w:t>to be</w:t>
      </w:r>
      <w:r w:rsidR="00581093" w:rsidRPr="00D03B55">
        <w:rPr>
          <w:rFonts w:cstheme="minorHAnsi"/>
        </w:rPr>
        <w:t xml:space="preserve"> dependent on </w:t>
      </w:r>
      <w:r w:rsidRPr="00D03B55">
        <w:rPr>
          <w:rFonts w:cstheme="minorHAnsi"/>
        </w:rPr>
        <w:t>perception and therefore</w:t>
      </w:r>
      <w:r w:rsidR="00EF022D">
        <w:rPr>
          <w:rFonts w:cstheme="minorHAnsi"/>
        </w:rPr>
        <w:t xml:space="preserve"> </w:t>
      </w:r>
      <w:r w:rsidRPr="00D03B55">
        <w:rPr>
          <w:rFonts w:cstheme="minorHAnsi"/>
        </w:rPr>
        <w:t xml:space="preserve">reducible.  </w:t>
      </w:r>
      <w:r w:rsidR="00BF7B49" w:rsidRPr="00D03B55">
        <w:rPr>
          <w:rFonts w:cstheme="minorHAnsi"/>
        </w:rPr>
        <w:t>E</w:t>
      </w:r>
      <w:r w:rsidRPr="00D03B55">
        <w:rPr>
          <w:rFonts w:cstheme="minorHAnsi"/>
        </w:rPr>
        <w:t>xperience contrary to the testimonial evidence</w:t>
      </w:r>
      <w:r w:rsidR="00BF7B49" w:rsidRPr="00D03B55">
        <w:rPr>
          <w:rFonts w:cstheme="minorHAnsi"/>
        </w:rPr>
        <w:t>, therefore,</w:t>
      </w:r>
      <w:r w:rsidRPr="00D03B55">
        <w:rPr>
          <w:rFonts w:cstheme="minorHAnsi"/>
        </w:rPr>
        <w:t xml:space="preserve"> acts as a defeater meaning that it is not justifiable to believe testimony when there is conflicting experiential evidence. In the case of miracles</w:t>
      </w:r>
      <w:r w:rsidR="00D17A7E" w:rsidRPr="00D03B55">
        <w:rPr>
          <w:rFonts w:cstheme="minorHAnsi"/>
        </w:rPr>
        <w:t>,</w:t>
      </w:r>
      <w:r w:rsidRPr="00D03B55">
        <w:rPr>
          <w:rFonts w:cstheme="minorHAnsi"/>
        </w:rPr>
        <w:t xml:space="preserve"> Hume states because ‘a miracle is a violation of the laws of nature; and as a firm and unalterable experience has been established by these laws, the proof against a miracle, from the very nature of the fact, is as entire as any argument from experience can possibly be imagined</w:t>
      </w:r>
      <w:r w:rsidR="00EF022D">
        <w:rPr>
          <w:rFonts w:cstheme="minorHAnsi"/>
        </w:rPr>
        <w:t>’</w:t>
      </w:r>
      <w:r w:rsidRPr="00D03B55">
        <w:rPr>
          <w:rFonts w:cstheme="minorHAnsi"/>
        </w:rPr>
        <w:t>.</w:t>
      </w:r>
      <w:r w:rsidR="00EF022D">
        <w:rPr>
          <w:rStyle w:val="FootnoteReference"/>
          <w:rFonts w:cstheme="minorHAnsi"/>
        </w:rPr>
        <w:footnoteReference w:id="5"/>
      </w:r>
      <w:r w:rsidR="00BF7B49" w:rsidRPr="00D03B55">
        <w:rPr>
          <w:rFonts w:cstheme="minorHAnsi"/>
        </w:rPr>
        <w:t xml:space="preserve"> This is</w:t>
      </w:r>
      <w:r w:rsidR="00ED2401">
        <w:rPr>
          <w:rFonts w:cstheme="minorHAnsi"/>
        </w:rPr>
        <w:t xml:space="preserve"> that</w:t>
      </w:r>
      <w:r w:rsidR="00BF7B49" w:rsidRPr="00D03B55">
        <w:rPr>
          <w:rFonts w:cstheme="minorHAnsi"/>
        </w:rPr>
        <w:t xml:space="preserve"> t</w:t>
      </w:r>
      <w:r w:rsidRPr="00D03B55">
        <w:rPr>
          <w:rFonts w:cstheme="minorHAnsi"/>
        </w:rPr>
        <w:t>he weight of all experience</w:t>
      </w:r>
      <w:r w:rsidR="00CB3B3A" w:rsidRPr="00D03B55">
        <w:rPr>
          <w:rFonts w:cstheme="minorHAnsi"/>
        </w:rPr>
        <w:t>,</w:t>
      </w:r>
      <w:r w:rsidRPr="00D03B55">
        <w:rPr>
          <w:rFonts w:cstheme="minorHAnsi"/>
        </w:rPr>
        <w:t xml:space="preserve"> of all men</w:t>
      </w:r>
      <w:r w:rsidR="00CB3B3A" w:rsidRPr="00D03B55">
        <w:rPr>
          <w:rFonts w:cstheme="minorHAnsi"/>
        </w:rPr>
        <w:t>,</w:t>
      </w:r>
      <w:r w:rsidRPr="00D03B55">
        <w:rPr>
          <w:rFonts w:cstheme="minorHAnsi"/>
        </w:rPr>
        <w:t xml:space="preserve"> in all ages attests to the predictability and reliability of nature’s regularity, therefore based on this weight of experience it can be assumed to a high degree of certainty that </w:t>
      </w:r>
      <w:r w:rsidR="00CB3B3A" w:rsidRPr="00D03B55">
        <w:rPr>
          <w:rFonts w:cstheme="minorHAnsi"/>
        </w:rPr>
        <w:t>men neither resurrect nor</w:t>
      </w:r>
      <w:r w:rsidRPr="00D03B55">
        <w:rPr>
          <w:rFonts w:cstheme="minorHAnsi"/>
        </w:rPr>
        <w:t xml:space="preserve"> walk </w:t>
      </w:r>
      <w:r w:rsidRPr="00D03B55">
        <w:rPr>
          <w:rFonts w:cstheme="minorHAnsi"/>
        </w:rPr>
        <w:lastRenderedPageBreak/>
        <w:t>unaided across water</w:t>
      </w:r>
      <w:r w:rsidR="00BF7B49" w:rsidRPr="00D03B55">
        <w:rPr>
          <w:rFonts w:cstheme="minorHAnsi"/>
        </w:rPr>
        <w:t xml:space="preserve"> for example</w:t>
      </w:r>
      <w:r w:rsidRPr="00D03B55">
        <w:rPr>
          <w:rFonts w:cstheme="minorHAnsi"/>
        </w:rPr>
        <w:t>.  Therefore, testimony that contradicts this</w:t>
      </w:r>
      <w:r w:rsidR="00CB3B3A" w:rsidRPr="00D03B55">
        <w:rPr>
          <w:rFonts w:cstheme="minorHAnsi"/>
        </w:rPr>
        <w:t>,</w:t>
      </w:r>
      <w:r w:rsidRPr="00D03B55">
        <w:rPr>
          <w:rFonts w:cstheme="minorHAnsi"/>
        </w:rPr>
        <w:t xml:space="preserve"> on the balance of probability</w:t>
      </w:r>
      <w:r w:rsidR="00CB3B3A" w:rsidRPr="00D03B55">
        <w:rPr>
          <w:rFonts w:cstheme="minorHAnsi"/>
        </w:rPr>
        <w:t>,</w:t>
      </w:r>
      <w:r w:rsidRPr="00D03B55">
        <w:rPr>
          <w:rFonts w:cstheme="minorHAnsi"/>
        </w:rPr>
        <w:t xml:space="preserve"> is almost certainly false.</w:t>
      </w:r>
      <w:r w:rsidR="00EF022D">
        <w:rPr>
          <w:rStyle w:val="FootnoteReference"/>
          <w:rFonts w:cstheme="minorHAnsi"/>
        </w:rPr>
        <w:footnoteReference w:id="6"/>
      </w:r>
    </w:p>
    <w:p w:rsidR="004659EA" w:rsidRPr="00D03B55" w:rsidRDefault="00FD1808" w:rsidP="00FD1808">
      <w:pPr>
        <w:rPr>
          <w:rFonts w:cstheme="minorHAnsi"/>
        </w:rPr>
      </w:pPr>
      <w:r w:rsidRPr="00D03B55">
        <w:rPr>
          <w:rFonts w:cstheme="minorHAnsi"/>
        </w:rPr>
        <w:t>Interestingly Hume states that ‘it is a miracle, that a dead man should come to li</w:t>
      </w:r>
      <w:r w:rsidR="00CB3B3A" w:rsidRPr="00D03B55">
        <w:rPr>
          <w:rFonts w:cstheme="minorHAnsi"/>
        </w:rPr>
        <w:t>f</w:t>
      </w:r>
      <w:r w:rsidRPr="00D03B55">
        <w:rPr>
          <w:rFonts w:cstheme="minorHAnsi"/>
        </w:rPr>
        <w:t>e; because that has never been observed in any age or country</w:t>
      </w:r>
      <w:r w:rsidR="00EF022D">
        <w:rPr>
          <w:rFonts w:cstheme="minorHAnsi"/>
        </w:rPr>
        <w:t>.</w:t>
      </w:r>
      <w:r w:rsidRPr="00D03B55">
        <w:rPr>
          <w:rFonts w:cstheme="minorHAnsi"/>
        </w:rPr>
        <w:t>’</w:t>
      </w:r>
      <w:r w:rsidR="00EF022D">
        <w:rPr>
          <w:rStyle w:val="FootnoteReference"/>
          <w:rFonts w:cstheme="minorHAnsi"/>
        </w:rPr>
        <w:footnoteReference w:id="7"/>
      </w:r>
      <w:r w:rsidRPr="00D03B55">
        <w:rPr>
          <w:rFonts w:cstheme="minorHAnsi"/>
        </w:rPr>
        <w:t xml:space="preserve"> </w:t>
      </w:r>
      <w:r w:rsidR="00CB3B3A" w:rsidRPr="00D03B55">
        <w:rPr>
          <w:rFonts w:cstheme="minorHAnsi"/>
        </w:rPr>
        <w:t xml:space="preserve">What </w:t>
      </w:r>
      <w:r w:rsidRPr="00D03B55">
        <w:rPr>
          <w:rFonts w:cstheme="minorHAnsi"/>
        </w:rPr>
        <w:t xml:space="preserve">Hume seems to have overlooked, </w:t>
      </w:r>
      <w:r w:rsidR="00CB3B3A" w:rsidRPr="00D03B55">
        <w:rPr>
          <w:rFonts w:cstheme="minorHAnsi"/>
        </w:rPr>
        <w:t xml:space="preserve">is </w:t>
      </w:r>
      <w:r w:rsidRPr="00D03B55">
        <w:rPr>
          <w:rFonts w:cstheme="minorHAnsi"/>
        </w:rPr>
        <w:t>that at least in relation to testimony from an eyewitness, testimony of a miracle is generated only after the event has been perceived</w:t>
      </w:r>
      <w:r w:rsidR="00CB3B3A" w:rsidRPr="00D03B55">
        <w:rPr>
          <w:rFonts w:cstheme="minorHAnsi"/>
        </w:rPr>
        <w:t xml:space="preserve"> (it is grounded in experience)</w:t>
      </w:r>
      <w:r w:rsidRPr="00D03B55">
        <w:rPr>
          <w:rFonts w:cstheme="minorHAnsi"/>
        </w:rPr>
        <w:t>.</w:t>
      </w:r>
      <w:r w:rsidR="00EF022D">
        <w:rPr>
          <w:rFonts w:cstheme="minorHAnsi"/>
        </w:rPr>
        <w:t xml:space="preserve">  </w:t>
      </w:r>
      <w:r w:rsidRPr="00D03B55">
        <w:rPr>
          <w:rFonts w:cstheme="minorHAnsi"/>
        </w:rPr>
        <w:t>In the context of the resurrection of Jesus Christ, his disciples claim to have been eye witnesse</w:t>
      </w:r>
      <w:r w:rsidR="00ED2401">
        <w:rPr>
          <w:rFonts w:cstheme="minorHAnsi"/>
        </w:rPr>
        <w:t>s</w:t>
      </w:r>
      <w:r w:rsidRPr="00D03B55">
        <w:rPr>
          <w:rFonts w:cstheme="minorHAnsi"/>
        </w:rPr>
        <w:t xml:space="preserve"> to the fact; </w:t>
      </w:r>
      <w:r w:rsidR="00750011">
        <w:rPr>
          <w:rFonts w:cstheme="minorHAnsi"/>
        </w:rPr>
        <w:t>‘</w:t>
      </w:r>
      <w:r w:rsidRPr="00D03B55">
        <w:rPr>
          <w:rFonts w:cstheme="minorHAnsi"/>
          <w:color w:val="000000"/>
          <w:shd w:val="clear" w:color="auto" w:fill="FFFFFF"/>
        </w:rPr>
        <w:t>For we did not follow cleverly devised myths when we made known to you the power and coming of our Lord Jesus Christ, but we were eyewitnesses of his majesty</w:t>
      </w:r>
      <w:r w:rsidR="00750011">
        <w:rPr>
          <w:rFonts w:cstheme="minorHAnsi"/>
          <w:color w:val="000000"/>
          <w:shd w:val="clear" w:color="auto" w:fill="FFFFFF"/>
        </w:rPr>
        <w:t>’</w:t>
      </w:r>
      <w:r w:rsidRPr="00D03B55">
        <w:rPr>
          <w:rFonts w:cstheme="minorHAnsi"/>
          <w:color w:val="000000"/>
          <w:shd w:val="clear" w:color="auto" w:fill="FFFFFF"/>
        </w:rPr>
        <w:t>.</w:t>
      </w:r>
      <w:r w:rsidR="00750011">
        <w:rPr>
          <w:rStyle w:val="FootnoteReference"/>
          <w:rFonts w:cstheme="minorHAnsi"/>
          <w:color w:val="000000"/>
          <w:shd w:val="clear" w:color="auto" w:fill="FFFFFF"/>
        </w:rPr>
        <w:footnoteReference w:id="8"/>
      </w:r>
      <w:r w:rsidRPr="00D03B55">
        <w:rPr>
          <w:rFonts w:cstheme="minorHAnsi"/>
          <w:color w:val="000000"/>
          <w:shd w:val="clear" w:color="auto" w:fill="FFFFFF"/>
        </w:rPr>
        <w:t xml:space="preserve">  It somehow seems strange to dismiss eyewitness testimony</w:t>
      </w:r>
      <w:r w:rsidR="00CB3B3A" w:rsidRPr="00D03B55">
        <w:rPr>
          <w:rFonts w:cstheme="minorHAnsi"/>
          <w:color w:val="000000"/>
          <w:shd w:val="clear" w:color="auto" w:fill="FFFFFF"/>
        </w:rPr>
        <w:t xml:space="preserve"> (</w:t>
      </w:r>
      <w:r w:rsidR="00BF7B49" w:rsidRPr="00D03B55">
        <w:rPr>
          <w:rFonts w:cstheme="minorHAnsi"/>
          <w:color w:val="000000"/>
          <w:shd w:val="clear" w:color="auto" w:fill="FFFFFF"/>
        </w:rPr>
        <w:t>t</w:t>
      </w:r>
      <w:r w:rsidRPr="00D03B55">
        <w:rPr>
          <w:rFonts w:cstheme="minorHAnsi"/>
          <w:color w:val="000000"/>
          <w:shd w:val="clear" w:color="auto" w:fill="FFFFFF"/>
        </w:rPr>
        <w:t xml:space="preserve">estimony </w:t>
      </w:r>
      <w:r w:rsidR="00CB3B3A" w:rsidRPr="00D03B55">
        <w:rPr>
          <w:rFonts w:cstheme="minorHAnsi"/>
          <w:color w:val="000000"/>
          <w:shd w:val="clear" w:color="auto" w:fill="FFFFFF"/>
        </w:rPr>
        <w:t xml:space="preserve">that </w:t>
      </w:r>
      <w:r w:rsidRPr="00D03B55">
        <w:rPr>
          <w:rFonts w:cstheme="minorHAnsi"/>
          <w:color w:val="000000"/>
          <w:shd w:val="clear" w:color="auto" w:fill="FFFFFF"/>
        </w:rPr>
        <w:t xml:space="preserve">is </w:t>
      </w:r>
      <w:r w:rsidR="00CB3B3A" w:rsidRPr="00D03B55">
        <w:rPr>
          <w:rFonts w:cstheme="minorHAnsi"/>
          <w:color w:val="000000"/>
          <w:shd w:val="clear" w:color="auto" w:fill="FFFFFF"/>
        </w:rPr>
        <w:t xml:space="preserve">based </w:t>
      </w:r>
      <w:r w:rsidRPr="00D03B55">
        <w:rPr>
          <w:rFonts w:cstheme="minorHAnsi"/>
          <w:color w:val="000000"/>
          <w:shd w:val="clear" w:color="auto" w:fill="FFFFFF"/>
        </w:rPr>
        <w:t xml:space="preserve">on the </w:t>
      </w:r>
      <w:r w:rsidR="00CB3B3A" w:rsidRPr="00D03B55">
        <w:rPr>
          <w:rFonts w:cstheme="minorHAnsi"/>
          <w:color w:val="000000"/>
          <w:shd w:val="clear" w:color="auto" w:fill="FFFFFF"/>
        </w:rPr>
        <w:t xml:space="preserve">attester’s </w:t>
      </w:r>
      <w:r w:rsidRPr="00D03B55">
        <w:rPr>
          <w:rFonts w:cstheme="minorHAnsi"/>
          <w:color w:val="000000"/>
          <w:shd w:val="clear" w:color="auto" w:fill="FFFFFF"/>
        </w:rPr>
        <w:t>direct experience</w:t>
      </w:r>
      <w:r w:rsidR="00CB3B3A" w:rsidRPr="00D03B55">
        <w:rPr>
          <w:rFonts w:cstheme="minorHAnsi"/>
          <w:color w:val="000000"/>
          <w:shd w:val="clear" w:color="auto" w:fill="FFFFFF"/>
        </w:rPr>
        <w:t>)</w:t>
      </w:r>
      <w:r w:rsidRPr="00D03B55">
        <w:rPr>
          <w:rFonts w:cstheme="minorHAnsi"/>
          <w:color w:val="000000"/>
          <w:shd w:val="clear" w:color="auto" w:fill="FFFFFF"/>
        </w:rPr>
        <w:t xml:space="preserve"> simply because you and many other people have not had the same experience.  This is problematic for </w:t>
      </w:r>
      <w:r w:rsidR="00CE7687">
        <w:rPr>
          <w:rFonts w:cstheme="minorHAnsi"/>
          <w:color w:val="000000"/>
          <w:shd w:val="clear" w:color="auto" w:fill="FFFFFF"/>
        </w:rPr>
        <w:t xml:space="preserve">several </w:t>
      </w:r>
      <w:r w:rsidRPr="00D03B55">
        <w:rPr>
          <w:rFonts w:cstheme="minorHAnsi"/>
          <w:color w:val="000000"/>
          <w:shd w:val="clear" w:color="auto" w:fill="FFFFFF"/>
        </w:rPr>
        <w:t>reasons</w:t>
      </w:r>
      <w:r w:rsidRPr="00D03B55">
        <w:rPr>
          <w:rFonts w:cstheme="minorHAnsi"/>
        </w:rPr>
        <w:t xml:space="preserve">.  </w:t>
      </w:r>
    </w:p>
    <w:p w:rsidR="00FD1808" w:rsidRPr="00D03B55" w:rsidRDefault="00FD1808" w:rsidP="00FD1808">
      <w:pPr>
        <w:rPr>
          <w:rFonts w:cstheme="minorHAnsi"/>
        </w:rPr>
      </w:pPr>
      <w:r w:rsidRPr="00D03B55">
        <w:rPr>
          <w:rFonts w:cstheme="minorHAnsi"/>
        </w:rPr>
        <w:t xml:space="preserve">Hume assumes testimony is a non-basic source of knowledge and that it is epistemically dependent upon perception for justification.  </w:t>
      </w:r>
      <w:r w:rsidR="00ED2401">
        <w:rPr>
          <w:rFonts w:cstheme="minorHAnsi"/>
        </w:rPr>
        <w:t>His</w:t>
      </w:r>
      <w:r w:rsidRPr="00D03B55">
        <w:rPr>
          <w:rFonts w:cstheme="minorHAnsi"/>
        </w:rPr>
        <w:t xml:space="preserve"> reducti</w:t>
      </w:r>
      <w:r w:rsidR="004659EA" w:rsidRPr="00D03B55">
        <w:rPr>
          <w:rFonts w:cstheme="minorHAnsi"/>
        </w:rPr>
        <w:t xml:space="preserve">ve attempt to justify </w:t>
      </w:r>
      <w:r w:rsidRPr="00D03B55">
        <w:rPr>
          <w:rFonts w:cstheme="minorHAnsi"/>
        </w:rPr>
        <w:t>testimon</w:t>
      </w:r>
      <w:r w:rsidR="004659EA" w:rsidRPr="00D03B55">
        <w:rPr>
          <w:rFonts w:cstheme="minorHAnsi"/>
        </w:rPr>
        <w:t xml:space="preserve">y through </w:t>
      </w:r>
      <w:r w:rsidRPr="00D03B55">
        <w:rPr>
          <w:rFonts w:cstheme="minorHAnsi"/>
        </w:rPr>
        <w:t>enumerative induction fails because it is itself circular and reliant on testimony.</w:t>
      </w:r>
      <w:r w:rsidR="00CE7687">
        <w:rPr>
          <w:rStyle w:val="FootnoteReference"/>
          <w:rFonts w:cstheme="minorHAnsi"/>
        </w:rPr>
        <w:footnoteReference w:id="9"/>
      </w:r>
      <w:r w:rsidR="00CE7687">
        <w:rPr>
          <w:rFonts w:cstheme="minorHAnsi"/>
        </w:rPr>
        <w:t>,</w:t>
      </w:r>
      <w:r w:rsidR="00CE7687">
        <w:rPr>
          <w:rStyle w:val="FootnoteReference"/>
          <w:rFonts w:cstheme="minorHAnsi"/>
        </w:rPr>
        <w:footnoteReference w:id="10"/>
      </w:r>
      <w:r w:rsidRPr="00D03B55">
        <w:rPr>
          <w:rFonts w:cstheme="minorHAnsi"/>
        </w:rPr>
        <w:t xml:space="preserve">  It seems strange that you would reject testimony </w:t>
      </w:r>
      <w:r w:rsidR="00381F52" w:rsidRPr="00D03B55">
        <w:rPr>
          <w:rFonts w:cstheme="minorHAnsi"/>
        </w:rPr>
        <w:t xml:space="preserve">based on non-contradictory testimony </w:t>
      </w:r>
      <w:r w:rsidRPr="00D03B55">
        <w:rPr>
          <w:rFonts w:cstheme="minorHAnsi"/>
        </w:rPr>
        <w:t>unless there is something wrong with the actual testimony itself.  However</w:t>
      </w:r>
      <w:r w:rsidR="00381F52" w:rsidRPr="00D03B55">
        <w:rPr>
          <w:rFonts w:cstheme="minorHAnsi"/>
        </w:rPr>
        <w:t>,</w:t>
      </w:r>
      <w:r w:rsidRPr="00D03B55">
        <w:rPr>
          <w:rFonts w:cstheme="minorHAnsi"/>
        </w:rPr>
        <w:t xml:space="preserve"> Hume is </w:t>
      </w:r>
      <w:r w:rsidR="003B53B2">
        <w:rPr>
          <w:rFonts w:cstheme="minorHAnsi"/>
        </w:rPr>
        <w:t>asserting</w:t>
      </w:r>
      <w:r w:rsidRPr="00D03B55">
        <w:rPr>
          <w:rFonts w:cstheme="minorHAnsi"/>
        </w:rPr>
        <w:t xml:space="preserve">, regardless of how favourable the circumstances testimony regarding the miraculous </w:t>
      </w:r>
      <w:r w:rsidR="00BF7B49" w:rsidRPr="00D03B55">
        <w:rPr>
          <w:rFonts w:cstheme="minorHAnsi"/>
        </w:rPr>
        <w:t>cannot</w:t>
      </w:r>
      <w:r w:rsidRPr="00D03B55">
        <w:rPr>
          <w:rFonts w:cstheme="minorHAnsi"/>
        </w:rPr>
        <w:t xml:space="preserve"> rationally be believed. </w:t>
      </w:r>
      <w:r w:rsidR="00AD0FFD" w:rsidRPr="00D03B55">
        <w:rPr>
          <w:rFonts w:cstheme="minorHAnsi"/>
        </w:rPr>
        <w:t>Unfortunately</w:t>
      </w:r>
      <w:r w:rsidRPr="00D03B55">
        <w:rPr>
          <w:rFonts w:cstheme="minorHAnsi"/>
        </w:rPr>
        <w:t>, this rejection is not based on the weight of experience</w:t>
      </w:r>
      <w:r w:rsidR="003B53B2">
        <w:rPr>
          <w:rFonts w:cstheme="minorHAnsi"/>
        </w:rPr>
        <w:t xml:space="preserve"> as he suggests</w:t>
      </w:r>
      <w:r w:rsidRPr="00D03B55">
        <w:rPr>
          <w:rFonts w:cstheme="minorHAnsi"/>
        </w:rPr>
        <w:t xml:space="preserve"> since Hume can only have access to his own </w:t>
      </w:r>
      <w:r w:rsidR="00BF7B49" w:rsidRPr="00D03B55">
        <w:rPr>
          <w:rFonts w:cstheme="minorHAnsi"/>
        </w:rPr>
        <w:t xml:space="preserve">personal </w:t>
      </w:r>
      <w:r w:rsidRPr="00D03B55">
        <w:rPr>
          <w:rFonts w:cstheme="minorHAnsi"/>
        </w:rPr>
        <w:t>experiences; it is being rejected based on his own experience to the contrary and others</w:t>
      </w:r>
      <w:r w:rsidR="00BF7B49" w:rsidRPr="00D03B55">
        <w:rPr>
          <w:rFonts w:cstheme="minorHAnsi"/>
        </w:rPr>
        <w:t>’</w:t>
      </w:r>
      <w:r w:rsidR="003B53B2">
        <w:rPr>
          <w:rFonts w:cstheme="minorHAnsi"/>
        </w:rPr>
        <w:t xml:space="preserve"> </w:t>
      </w:r>
      <w:r w:rsidRPr="00D03B55">
        <w:rPr>
          <w:rFonts w:cstheme="minorHAnsi"/>
        </w:rPr>
        <w:t>testimon</w:t>
      </w:r>
      <w:r w:rsidR="00BF7B49" w:rsidRPr="00D03B55">
        <w:rPr>
          <w:rFonts w:cstheme="minorHAnsi"/>
        </w:rPr>
        <w:t>ie</w:t>
      </w:r>
      <w:r w:rsidRPr="00D03B55">
        <w:rPr>
          <w:rFonts w:cstheme="minorHAnsi"/>
        </w:rPr>
        <w:t>s regarding their experiences.  The important thing to note here is that, the testimony is not from eye witnesses who den</w:t>
      </w:r>
      <w:r w:rsidR="00BF7B49" w:rsidRPr="00D03B55">
        <w:rPr>
          <w:rFonts w:cstheme="minorHAnsi"/>
        </w:rPr>
        <w:t>y</w:t>
      </w:r>
      <w:r w:rsidRPr="00D03B55">
        <w:rPr>
          <w:rFonts w:cstheme="minorHAnsi"/>
        </w:rPr>
        <w:t xml:space="preserve"> the miracle, it is simpl</w:t>
      </w:r>
      <w:r w:rsidR="00BF7B49" w:rsidRPr="00D03B55">
        <w:rPr>
          <w:rFonts w:cstheme="minorHAnsi"/>
        </w:rPr>
        <w:t>y</w:t>
      </w:r>
      <w:r w:rsidRPr="00D03B55">
        <w:rPr>
          <w:rFonts w:cstheme="minorHAnsi"/>
        </w:rPr>
        <w:t xml:space="preserve"> testimony affirming dead people tend to stay dead</w:t>
      </w:r>
      <w:r w:rsidR="00BF7B49" w:rsidRPr="00D03B55">
        <w:rPr>
          <w:rFonts w:cstheme="minorHAnsi"/>
        </w:rPr>
        <w:t xml:space="preserve"> (in the case of the resurrection of Jesus Christ)</w:t>
      </w:r>
      <w:r w:rsidRPr="00D03B55">
        <w:rPr>
          <w:rFonts w:cstheme="minorHAnsi"/>
        </w:rPr>
        <w:t>.  Thus</w:t>
      </w:r>
      <w:r w:rsidR="00BF7B49" w:rsidRPr="00D03B55">
        <w:rPr>
          <w:rFonts w:cstheme="minorHAnsi"/>
        </w:rPr>
        <w:t>,</w:t>
      </w:r>
      <w:r w:rsidRPr="00D03B55">
        <w:rPr>
          <w:rFonts w:cstheme="minorHAnsi"/>
        </w:rPr>
        <w:t xml:space="preserve"> the </w:t>
      </w:r>
      <w:r w:rsidR="00BF7B49" w:rsidRPr="00D03B55">
        <w:rPr>
          <w:rFonts w:cstheme="minorHAnsi"/>
        </w:rPr>
        <w:t xml:space="preserve">truth content </w:t>
      </w:r>
      <w:r w:rsidRPr="00D03B55">
        <w:rPr>
          <w:rFonts w:cstheme="minorHAnsi"/>
        </w:rPr>
        <w:t>o</w:t>
      </w:r>
      <w:r w:rsidR="00BF7B49" w:rsidRPr="00D03B55">
        <w:rPr>
          <w:rFonts w:cstheme="minorHAnsi"/>
        </w:rPr>
        <w:t>f</w:t>
      </w:r>
      <w:r w:rsidRPr="00D03B55">
        <w:rPr>
          <w:rFonts w:cstheme="minorHAnsi"/>
        </w:rPr>
        <w:t xml:space="preserve"> the original miracle testimony remains unchallenged.  Both these points suggest that testimony could be considered an ‘irreducible source of knowledge that is on par with perception, memory, and deductive inference’.</w:t>
      </w:r>
      <w:r w:rsidR="003B53B2">
        <w:rPr>
          <w:rStyle w:val="FootnoteReference"/>
          <w:rFonts w:cstheme="minorHAnsi"/>
        </w:rPr>
        <w:footnoteReference w:id="11"/>
      </w:r>
      <w:r w:rsidRPr="00D03B55">
        <w:rPr>
          <w:rFonts w:cstheme="minorHAnsi"/>
        </w:rPr>
        <w:t xml:space="preserve"> An example supporting this would be language acquisition, ‘where one need not believe, as opposed to having adequate ground for knowing or justifiably believing, that the attester gave testimony’ that the chair is a chair.</w:t>
      </w:r>
      <w:r w:rsidR="00070566">
        <w:rPr>
          <w:rStyle w:val="FootnoteReference"/>
          <w:rFonts w:cstheme="minorHAnsi"/>
        </w:rPr>
        <w:footnoteReference w:id="12"/>
      </w:r>
      <w:r w:rsidR="00420BF3">
        <w:rPr>
          <w:rFonts w:cstheme="minorHAnsi"/>
        </w:rPr>
        <w:t>,</w:t>
      </w:r>
      <w:r w:rsidR="00420BF3">
        <w:rPr>
          <w:rStyle w:val="FootnoteReference"/>
          <w:rFonts w:cstheme="minorHAnsi"/>
        </w:rPr>
        <w:footnoteReference w:id="13"/>
      </w:r>
      <w:r w:rsidRPr="00D03B55">
        <w:rPr>
          <w:rFonts w:cstheme="minorHAnsi"/>
        </w:rPr>
        <w:t xml:space="preserve">  </w:t>
      </w:r>
      <w:r w:rsidR="00C41E19" w:rsidRPr="00D03B55">
        <w:rPr>
          <w:rFonts w:cstheme="minorHAnsi"/>
        </w:rPr>
        <w:t xml:space="preserve">A child is less able to use experience to justify belief in the testimony of </w:t>
      </w:r>
      <w:r w:rsidR="00ED2401">
        <w:rPr>
          <w:rFonts w:cstheme="minorHAnsi"/>
        </w:rPr>
        <w:t xml:space="preserve">his </w:t>
      </w:r>
      <w:r w:rsidR="00C41E19" w:rsidRPr="00D03B55">
        <w:rPr>
          <w:rFonts w:cstheme="minorHAnsi"/>
        </w:rPr>
        <w:t>parents, in fact</w:t>
      </w:r>
      <w:r w:rsidR="00BF7B49" w:rsidRPr="00D03B55">
        <w:rPr>
          <w:rFonts w:cstheme="minorHAnsi"/>
        </w:rPr>
        <w:t xml:space="preserve"> it</w:t>
      </w:r>
      <w:r w:rsidR="00C41E19" w:rsidRPr="00D03B55">
        <w:rPr>
          <w:rFonts w:cstheme="minorHAnsi"/>
        </w:rPr>
        <w:t xml:space="preserve"> would seem</w:t>
      </w:r>
      <w:r w:rsidR="00ED2401">
        <w:rPr>
          <w:rFonts w:cstheme="minorHAnsi"/>
        </w:rPr>
        <w:t xml:space="preserve"> his</w:t>
      </w:r>
      <w:r w:rsidR="00C41E19" w:rsidRPr="00D03B55">
        <w:rPr>
          <w:rFonts w:cstheme="minorHAnsi"/>
        </w:rPr>
        <w:t xml:space="preserve"> main source of knowledge early in life is testimony.</w:t>
      </w:r>
    </w:p>
    <w:p w:rsidR="00FD1808" w:rsidRPr="00D03B55" w:rsidRDefault="00FD1808" w:rsidP="00FD1808">
      <w:pPr>
        <w:rPr>
          <w:rFonts w:cstheme="minorHAnsi"/>
        </w:rPr>
      </w:pPr>
      <w:r w:rsidRPr="00D03B55">
        <w:rPr>
          <w:rFonts w:cstheme="minorHAnsi"/>
        </w:rPr>
        <w:lastRenderedPageBreak/>
        <w:t xml:space="preserve">Although it is easy to sympathise with </w:t>
      </w:r>
      <w:r w:rsidR="00ED2401">
        <w:rPr>
          <w:rFonts w:cstheme="minorHAnsi"/>
        </w:rPr>
        <w:t>Hume’s</w:t>
      </w:r>
      <w:r w:rsidRPr="00D03B55">
        <w:rPr>
          <w:rFonts w:cstheme="minorHAnsi"/>
        </w:rPr>
        <w:t xml:space="preserve"> </w:t>
      </w:r>
      <w:r w:rsidR="00AD0FFD" w:rsidRPr="00D03B55">
        <w:rPr>
          <w:rFonts w:cstheme="minorHAnsi"/>
        </w:rPr>
        <w:t>scepticism</w:t>
      </w:r>
      <w:r w:rsidRPr="00D03B55">
        <w:rPr>
          <w:rFonts w:cstheme="minorHAnsi"/>
        </w:rPr>
        <w:t>, and it might well be reasonable to reach the same conclusion in this manner</w:t>
      </w:r>
      <w:r w:rsidR="00C00BC2">
        <w:rPr>
          <w:rFonts w:cstheme="minorHAnsi"/>
        </w:rPr>
        <w:t>,</w:t>
      </w:r>
      <w:r w:rsidRPr="00D03B55">
        <w:rPr>
          <w:rFonts w:cstheme="minorHAnsi"/>
        </w:rPr>
        <w:t xml:space="preserve"> it is important to remember the risk of doing so which is illustrated by Hume</w:t>
      </w:r>
      <w:r w:rsidR="0008029A" w:rsidRPr="00D03B55">
        <w:rPr>
          <w:rFonts w:cstheme="minorHAnsi"/>
        </w:rPr>
        <w:t>’</w:t>
      </w:r>
      <w:r w:rsidRPr="00D03B55">
        <w:rPr>
          <w:rFonts w:cstheme="minorHAnsi"/>
        </w:rPr>
        <w:t>s example of the Indian Prince who ‘reasoned justly’</w:t>
      </w:r>
      <w:r w:rsidR="003B7940">
        <w:rPr>
          <w:rFonts w:cstheme="minorHAnsi"/>
        </w:rPr>
        <w:t xml:space="preserve"> </w:t>
      </w:r>
      <w:r w:rsidRPr="00D03B55">
        <w:rPr>
          <w:rFonts w:cstheme="minorHAnsi"/>
        </w:rPr>
        <w:t xml:space="preserve">to the wrong conclusion because he refused to assent to testimony concerning the effect of frost because ‘it arose from a state of nature with which he was </w:t>
      </w:r>
      <w:r w:rsidR="00AD0FFD" w:rsidRPr="00D03B55">
        <w:rPr>
          <w:rFonts w:cstheme="minorHAnsi"/>
        </w:rPr>
        <w:t>unacquainted</w:t>
      </w:r>
      <w:r w:rsidRPr="00D03B55">
        <w:rPr>
          <w:rFonts w:cstheme="minorHAnsi"/>
        </w:rPr>
        <w:t>’.</w:t>
      </w:r>
      <w:r w:rsidR="00420BF3">
        <w:rPr>
          <w:rStyle w:val="FootnoteReference"/>
          <w:rFonts w:cstheme="minorHAnsi"/>
        </w:rPr>
        <w:footnoteReference w:id="14"/>
      </w:r>
      <w:r w:rsidR="00C41E19" w:rsidRPr="00D03B55">
        <w:rPr>
          <w:rFonts w:cstheme="minorHAnsi"/>
        </w:rPr>
        <w:t xml:space="preserve"> The limitation of using experience as a justifier of testimony is that the ability to discern the truth based on experience is limited by the per</w:t>
      </w:r>
      <w:r w:rsidR="00AD0FFD" w:rsidRPr="00D03B55">
        <w:rPr>
          <w:rFonts w:cstheme="minorHAnsi"/>
        </w:rPr>
        <w:t>s</w:t>
      </w:r>
      <w:r w:rsidR="00C41E19" w:rsidRPr="00D03B55">
        <w:rPr>
          <w:rFonts w:cstheme="minorHAnsi"/>
        </w:rPr>
        <w:t xml:space="preserve">ons’ </w:t>
      </w:r>
      <w:r w:rsidR="00B41A30" w:rsidRPr="00D03B55">
        <w:rPr>
          <w:rFonts w:cstheme="minorHAnsi"/>
        </w:rPr>
        <w:t>‘inductive</w:t>
      </w:r>
      <w:r w:rsidR="00C41E19" w:rsidRPr="00D03B55">
        <w:rPr>
          <w:rFonts w:cstheme="minorHAnsi"/>
        </w:rPr>
        <w:t xml:space="preserve"> base</w:t>
      </w:r>
      <w:r w:rsidR="00B41A30" w:rsidRPr="00D03B55">
        <w:rPr>
          <w:rFonts w:cstheme="minorHAnsi"/>
        </w:rPr>
        <w:t>’.</w:t>
      </w:r>
      <w:r w:rsidR="00420BF3">
        <w:rPr>
          <w:rStyle w:val="FootnoteReference"/>
          <w:rFonts w:cstheme="minorHAnsi"/>
        </w:rPr>
        <w:footnoteReference w:id="15"/>
      </w:r>
      <w:r w:rsidR="00B41A30" w:rsidRPr="00D03B55">
        <w:rPr>
          <w:rFonts w:cstheme="minorHAnsi"/>
        </w:rPr>
        <w:t xml:space="preserve"> </w:t>
      </w:r>
    </w:p>
    <w:p w:rsidR="008F73B5" w:rsidRPr="00D03B55" w:rsidRDefault="008F73B5" w:rsidP="008F73B5">
      <w:pPr>
        <w:rPr>
          <w:rFonts w:cstheme="minorHAnsi"/>
          <w:b/>
        </w:rPr>
      </w:pPr>
      <w:r w:rsidRPr="00D03B55">
        <w:rPr>
          <w:rFonts w:cstheme="minorHAnsi"/>
          <w:b/>
        </w:rPr>
        <w:t>Testimony as a justifiable source of belief.</w:t>
      </w:r>
    </w:p>
    <w:p w:rsidR="008F73B5" w:rsidRPr="00D03B55" w:rsidRDefault="008F73B5" w:rsidP="008F73B5">
      <w:pPr>
        <w:rPr>
          <w:rFonts w:cstheme="minorHAnsi"/>
        </w:rPr>
      </w:pPr>
      <w:r w:rsidRPr="00D03B55">
        <w:rPr>
          <w:rFonts w:cstheme="minorHAnsi"/>
        </w:rPr>
        <w:t>The ubiquitous reliance on testimony would seem to suggest that people tend</w:t>
      </w:r>
      <w:r w:rsidR="00435EA6" w:rsidRPr="00D03B55">
        <w:rPr>
          <w:rFonts w:cstheme="minorHAnsi"/>
        </w:rPr>
        <w:t xml:space="preserve"> </w:t>
      </w:r>
      <w:r w:rsidRPr="00D03B55">
        <w:rPr>
          <w:rFonts w:cstheme="minorHAnsi"/>
        </w:rPr>
        <w:t>to be trusting of testimony.  Hume’s reductionist approach to testimonial</w:t>
      </w:r>
      <w:r w:rsidR="00420C32" w:rsidRPr="00D03B55">
        <w:rPr>
          <w:rFonts w:cstheme="minorHAnsi"/>
        </w:rPr>
        <w:t>-</w:t>
      </w:r>
      <w:r w:rsidRPr="00D03B55">
        <w:rPr>
          <w:rFonts w:cstheme="minorHAnsi"/>
        </w:rPr>
        <w:t xml:space="preserve"> based belief seems not to tally well with</w:t>
      </w:r>
      <w:r w:rsidR="00435EA6" w:rsidRPr="00D03B55">
        <w:rPr>
          <w:rFonts w:cstheme="minorHAnsi"/>
        </w:rPr>
        <w:t xml:space="preserve"> this. </w:t>
      </w:r>
      <w:r w:rsidRPr="00D03B55">
        <w:rPr>
          <w:rFonts w:cstheme="minorHAnsi"/>
        </w:rPr>
        <w:t xml:space="preserve"> Reid argues that the beliefs we form from trusting testimony are held in a basic way rather than by way of induction or abduction from our prior beliefs</w:t>
      </w:r>
      <w:r w:rsidR="00420BF3">
        <w:rPr>
          <w:rFonts w:cstheme="minorHAnsi"/>
        </w:rPr>
        <w:t>.</w:t>
      </w:r>
      <w:r w:rsidR="00420BF3">
        <w:rPr>
          <w:rStyle w:val="FootnoteReference"/>
          <w:rFonts w:cstheme="minorHAnsi"/>
        </w:rPr>
        <w:footnoteReference w:id="16"/>
      </w:r>
      <w:r w:rsidRPr="00D03B55">
        <w:rPr>
          <w:rFonts w:cstheme="minorHAnsi"/>
        </w:rPr>
        <w:t>As mentioned above this theory seems to explain how children may learn during their early years.  Although they require perception and memory, due to their limited experience they cannot be thought of as using inductive reasoning to support testimonial- based beliefs. Language acquisition, for example, appears to occur through a process of trust; they accept what their parents tell them as true</w:t>
      </w:r>
      <w:r w:rsidR="00435EA6" w:rsidRPr="00D03B55">
        <w:rPr>
          <w:rFonts w:cstheme="minorHAnsi"/>
        </w:rPr>
        <w:t>.</w:t>
      </w:r>
      <w:r w:rsidR="00420BF3">
        <w:rPr>
          <w:rStyle w:val="FootnoteReference"/>
          <w:rFonts w:cstheme="minorHAnsi"/>
        </w:rPr>
        <w:footnoteReference w:id="17"/>
      </w:r>
      <w:r w:rsidRPr="00D03B55">
        <w:rPr>
          <w:rFonts w:cstheme="minorHAnsi"/>
        </w:rPr>
        <w:t>Over time they become less reliant on testimony for their beliefs, however it is hard to imag</w:t>
      </w:r>
      <w:r w:rsidR="00D603B2">
        <w:rPr>
          <w:rFonts w:cstheme="minorHAnsi"/>
        </w:rPr>
        <w:t>in</w:t>
      </w:r>
      <w:r w:rsidRPr="00D03B55">
        <w:rPr>
          <w:rFonts w:cstheme="minorHAnsi"/>
        </w:rPr>
        <w:t xml:space="preserve">e a situation where beliefs are formed purely </w:t>
      </w:r>
      <w:r w:rsidR="00D603B2" w:rsidRPr="00D03B55">
        <w:rPr>
          <w:rFonts w:cstheme="minorHAnsi"/>
        </w:rPr>
        <w:t>empirica</w:t>
      </w:r>
      <w:r w:rsidR="00D603B2">
        <w:rPr>
          <w:rFonts w:cstheme="minorHAnsi"/>
        </w:rPr>
        <w:t>ll</w:t>
      </w:r>
      <w:r w:rsidR="00D603B2" w:rsidRPr="00D03B55">
        <w:rPr>
          <w:rFonts w:cstheme="minorHAnsi"/>
        </w:rPr>
        <w:t>y</w:t>
      </w:r>
      <w:r w:rsidRPr="00D03B55">
        <w:rPr>
          <w:rFonts w:cstheme="minorHAnsi"/>
        </w:rPr>
        <w:t xml:space="preserve"> without </w:t>
      </w:r>
      <w:r w:rsidR="00420C32" w:rsidRPr="00D03B55">
        <w:rPr>
          <w:rFonts w:cstheme="minorHAnsi"/>
        </w:rPr>
        <w:t xml:space="preserve">any </w:t>
      </w:r>
      <w:r w:rsidRPr="00D03B55">
        <w:rPr>
          <w:rFonts w:cstheme="minorHAnsi"/>
        </w:rPr>
        <w:t>reliance on testimony</w:t>
      </w:r>
      <w:r w:rsidR="00750143">
        <w:rPr>
          <w:rFonts w:cstheme="minorHAnsi"/>
        </w:rPr>
        <w:t>.</w:t>
      </w:r>
      <w:r w:rsidR="00750143">
        <w:rPr>
          <w:rStyle w:val="FootnoteReference"/>
          <w:rFonts w:cstheme="minorHAnsi"/>
        </w:rPr>
        <w:footnoteReference w:id="18"/>
      </w:r>
      <w:r w:rsidRPr="00D03B55">
        <w:rPr>
          <w:rFonts w:cstheme="minorHAnsi"/>
        </w:rPr>
        <w:t xml:space="preserve"> </w:t>
      </w:r>
    </w:p>
    <w:p w:rsidR="008F73B5" w:rsidRPr="00D03B55" w:rsidRDefault="008F73B5" w:rsidP="008F73B5">
      <w:pPr>
        <w:rPr>
          <w:rFonts w:cstheme="minorHAnsi"/>
        </w:rPr>
      </w:pPr>
      <w:r w:rsidRPr="00D03B55">
        <w:rPr>
          <w:rFonts w:cstheme="minorHAnsi"/>
        </w:rPr>
        <w:t xml:space="preserve">When trying to justify a person’s trust in testimony, only the person’s </w:t>
      </w:r>
      <w:r w:rsidR="00435EA6" w:rsidRPr="00D03B55">
        <w:rPr>
          <w:rFonts w:cstheme="minorHAnsi"/>
        </w:rPr>
        <w:t xml:space="preserve">own </w:t>
      </w:r>
      <w:r w:rsidRPr="00D03B55">
        <w:rPr>
          <w:rFonts w:cstheme="minorHAnsi"/>
        </w:rPr>
        <w:t xml:space="preserve">perceptions and memories are relevant to the justification. This is because other </w:t>
      </w:r>
      <w:r w:rsidR="00435EA6" w:rsidRPr="00D03B55">
        <w:rPr>
          <w:rFonts w:cstheme="minorHAnsi"/>
        </w:rPr>
        <w:t>people’s</w:t>
      </w:r>
      <w:r w:rsidRPr="00D03B55">
        <w:rPr>
          <w:rFonts w:cstheme="minorHAnsi"/>
        </w:rPr>
        <w:t xml:space="preserve"> perceptions and memories are only accessible via testimony.</w:t>
      </w:r>
      <w:r w:rsidR="00435EA6" w:rsidRPr="00D03B55">
        <w:rPr>
          <w:rFonts w:cstheme="minorHAnsi"/>
        </w:rPr>
        <w:t xml:space="preserve"> </w:t>
      </w:r>
      <w:r w:rsidRPr="00D03B55">
        <w:rPr>
          <w:rFonts w:cstheme="minorHAnsi"/>
        </w:rPr>
        <w:t xml:space="preserve"> A general inductive base for belief in testimony is untenable because </w:t>
      </w:r>
      <w:r w:rsidR="00435EA6" w:rsidRPr="00D03B55">
        <w:rPr>
          <w:rFonts w:cstheme="minorHAnsi"/>
        </w:rPr>
        <w:t>testimonial-</w:t>
      </w:r>
      <w:r w:rsidRPr="00D03B55">
        <w:rPr>
          <w:rFonts w:cstheme="minorHAnsi"/>
        </w:rPr>
        <w:t xml:space="preserve"> based beliefs are too diverse to support the relevant induction</w:t>
      </w:r>
      <w:r w:rsidR="00F2540A">
        <w:rPr>
          <w:rFonts w:cstheme="minorHAnsi"/>
        </w:rPr>
        <w:t>.</w:t>
      </w:r>
      <w:r w:rsidR="00F2540A">
        <w:rPr>
          <w:rStyle w:val="FootnoteReference"/>
          <w:rFonts w:cstheme="minorHAnsi"/>
        </w:rPr>
        <w:footnoteReference w:id="19"/>
      </w:r>
    </w:p>
    <w:p w:rsidR="008F73B5" w:rsidRPr="00D03B55" w:rsidRDefault="008F73B5" w:rsidP="008F73B5">
      <w:pPr>
        <w:rPr>
          <w:rFonts w:cstheme="minorHAnsi"/>
        </w:rPr>
      </w:pPr>
      <w:r w:rsidRPr="00D03B55">
        <w:rPr>
          <w:rFonts w:cstheme="minorHAnsi"/>
        </w:rPr>
        <w:t>It has been argued that the credibility of testimony is put forward as a hypothesis so that i</w:t>
      </w:r>
      <w:r w:rsidR="00F2540A">
        <w:rPr>
          <w:rFonts w:cstheme="minorHAnsi"/>
        </w:rPr>
        <w:t>t</w:t>
      </w:r>
      <w:r w:rsidRPr="00D03B55">
        <w:rPr>
          <w:rFonts w:cstheme="minorHAnsi"/>
        </w:rPr>
        <w:t xml:space="preserve"> can either be confirmed or </w:t>
      </w:r>
      <w:r w:rsidR="0047285C" w:rsidRPr="00D03B55">
        <w:rPr>
          <w:rFonts w:cstheme="minorHAnsi"/>
        </w:rPr>
        <w:t>disconfirmed</w:t>
      </w:r>
      <w:r w:rsidR="00B71E8C">
        <w:rPr>
          <w:rFonts w:cstheme="minorHAnsi"/>
        </w:rPr>
        <w:t>.</w:t>
      </w:r>
      <w:r w:rsidR="00B71E8C">
        <w:rPr>
          <w:rStyle w:val="FootnoteReference"/>
          <w:rFonts w:cstheme="minorHAnsi"/>
        </w:rPr>
        <w:footnoteReference w:id="20"/>
      </w:r>
      <w:r w:rsidRPr="00D03B55">
        <w:rPr>
          <w:rFonts w:cstheme="minorHAnsi"/>
        </w:rPr>
        <w:t xml:space="preserve">In this case trust in a testimony is </w:t>
      </w:r>
      <w:r w:rsidR="00435EA6" w:rsidRPr="00D03B55">
        <w:rPr>
          <w:rFonts w:cstheme="minorHAnsi"/>
        </w:rPr>
        <w:t>postponed</w:t>
      </w:r>
      <w:r w:rsidRPr="00D03B55">
        <w:rPr>
          <w:rFonts w:cstheme="minorHAnsi"/>
        </w:rPr>
        <w:t xml:space="preserve"> until such a time that the truth of the testimony can be established empirically.  </w:t>
      </w:r>
      <w:r w:rsidR="009B4AAD">
        <w:rPr>
          <w:rFonts w:cstheme="minorHAnsi"/>
        </w:rPr>
        <w:t>However,</w:t>
      </w:r>
      <w:r w:rsidR="00D637EA">
        <w:rPr>
          <w:rFonts w:cstheme="minorHAnsi"/>
        </w:rPr>
        <w:t xml:space="preserve"> this is not always the case, f</w:t>
      </w:r>
      <w:r w:rsidR="009B4AAD">
        <w:rPr>
          <w:rFonts w:cstheme="minorHAnsi"/>
        </w:rPr>
        <w:t xml:space="preserve">or </w:t>
      </w:r>
      <w:r w:rsidR="00CA1870">
        <w:rPr>
          <w:rFonts w:cstheme="minorHAnsi"/>
        </w:rPr>
        <w:t>example,</w:t>
      </w:r>
      <w:r w:rsidR="009B4AAD">
        <w:rPr>
          <w:rFonts w:cstheme="minorHAnsi"/>
        </w:rPr>
        <w:t xml:space="preserve"> scientific theories such as quantum theory which suggest something can come from nothing</w:t>
      </w:r>
      <w:r w:rsidR="00CA1870">
        <w:rPr>
          <w:rFonts w:cstheme="minorHAnsi"/>
        </w:rPr>
        <w:t xml:space="preserve"> are accepted</w:t>
      </w:r>
      <w:r w:rsidR="009B4AAD">
        <w:rPr>
          <w:rFonts w:cstheme="minorHAnsi"/>
        </w:rPr>
        <w:t xml:space="preserve"> </w:t>
      </w:r>
      <w:r w:rsidR="00CA1870">
        <w:rPr>
          <w:rFonts w:cstheme="minorHAnsi"/>
        </w:rPr>
        <w:t xml:space="preserve">purely </w:t>
      </w:r>
      <w:r w:rsidR="009B4AAD">
        <w:rPr>
          <w:rFonts w:cstheme="minorHAnsi"/>
        </w:rPr>
        <w:t>on the authority of scientists</w:t>
      </w:r>
      <w:r w:rsidR="00CA1870">
        <w:rPr>
          <w:rFonts w:cstheme="minorHAnsi"/>
        </w:rPr>
        <w:t>’ testimony</w:t>
      </w:r>
      <w:r w:rsidR="009B4AAD">
        <w:rPr>
          <w:rFonts w:cstheme="minorHAnsi"/>
        </w:rPr>
        <w:t xml:space="preserve"> despite the fact they are contrary to our experience</w:t>
      </w:r>
      <w:r w:rsidR="00CA1870">
        <w:rPr>
          <w:rFonts w:cstheme="minorHAnsi"/>
        </w:rPr>
        <w:t xml:space="preserve"> (most, if not all, people including scientists have never experienced something </w:t>
      </w:r>
      <w:r w:rsidR="00DD06DB">
        <w:rPr>
          <w:rFonts w:cstheme="minorHAnsi"/>
        </w:rPr>
        <w:t>deriving</w:t>
      </w:r>
      <w:r w:rsidR="00CA1870">
        <w:rPr>
          <w:rFonts w:cstheme="minorHAnsi"/>
        </w:rPr>
        <w:t xml:space="preserve"> from nothing)</w:t>
      </w:r>
      <w:r w:rsidR="009B4AAD">
        <w:rPr>
          <w:rFonts w:cstheme="minorHAnsi"/>
        </w:rPr>
        <w:t xml:space="preserve">.  This is similar for religious testimony </w:t>
      </w:r>
      <w:r w:rsidR="00CA1870">
        <w:rPr>
          <w:rFonts w:cstheme="minorHAnsi"/>
        </w:rPr>
        <w:t>also;</w:t>
      </w:r>
      <w:r w:rsidR="009B4AAD">
        <w:rPr>
          <w:rFonts w:cstheme="minorHAnsi"/>
        </w:rPr>
        <w:t xml:space="preserve"> the gospel miracle </w:t>
      </w:r>
      <w:r w:rsidR="009B4AAD">
        <w:rPr>
          <w:rFonts w:cstheme="minorHAnsi"/>
        </w:rPr>
        <w:lastRenderedPageBreak/>
        <w:t xml:space="preserve">accounts are accepted </w:t>
      </w:r>
      <w:r w:rsidR="00CA1870">
        <w:rPr>
          <w:rFonts w:cstheme="minorHAnsi"/>
        </w:rPr>
        <w:t>as true</w:t>
      </w:r>
      <w:r w:rsidR="0087734D">
        <w:rPr>
          <w:rFonts w:cstheme="minorHAnsi"/>
        </w:rPr>
        <w:t>, by some,</w:t>
      </w:r>
      <w:r w:rsidR="00CA1870">
        <w:rPr>
          <w:rFonts w:cstheme="minorHAnsi"/>
        </w:rPr>
        <w:t xml:space="preserve"> </w:t>
      </w:r>
      <w:r w:rsidR="009B4AAD">
        <w:rPr>
          <w:rFonts w:cstheme="minorHAnsi"/>
        </w:rPr>
        <w:t xml:space="preserve">based on the authority of </w:t>
      </w:r>
      <w:r w:rsidR="00CA1870">
        <w:rPr>
          <w:rFonts w:cstheme="minorHAnsi"/>
        </w:rPr>
        <w:t xml:space="preserve">the </w:t>
      </w:r>
      <w:r w:rsidR="009B4AAD">
        <w:rPr>
          <w:rFonts w:cstheme="minorHAnsi"/>
        </w:rPr>
        <w:t xml:space="preserve">Gospel writers.  </w:t>
      </w:r>
      <w:r w:rsidRPr="00D03B55">
        <w:rPr>
          <w:rFonts w:cstheme="minorHAnsi"/>
        </w:rPr>
        <w:t>It seems</w:t>
      </w:r>
      <w:r w:rsidR="009B4AAD">
        <w:rPr>
          <w:rFonts w:cstheme="minorHAnsi"/>
        </w:rPr>
        <w:t xml:space="preserve"> </w:t>
      </w:r>
      <w:r w:rsidRPr="00D03B55">
        <w:rPr>
          <w:rFonts w:cstheme="minorHAnsi"/>
        </w:rPr>
        <w:t>likely that</w:t>
      </w:r>
      <w:r w:rsidR="00435EA6" w:rsidRPr="00D03B55">
        <w:rPr>
          <w:rFonts w:cstheme="minorHAnsi"/>
        </w:rPr>
        <w:t xml:space="preserve"> most testimonies are made as truth statements</w:t>
      </w:r>
      <w:r w:rsidR="002523E7">
        <w:rPr>
          <w:rFonts w:cstheme="minorHAnsi"/>
        </w:rPr>
        <w:t xml:space="preserve"> and</w:t>
      </w:r>
      <w:r w:rsidRPr="00D03B55">
        <w:rPr>
          <w:rFonts w:cstheme="minorHAnsi"/>
        </w:rPr>
        <w:t xml:space="preserve"> people trust testimony </w:t>
      </w:r>
      <w:r w:rsidR="009B4AAD">
        <w:rPr>
          <w:rFonts w:cstheme="minorHAnsi"/>
        </w:rPr>
        <w:t xml:space="preserve">based on the authority of the testifier </w:t>
      </w:r>
      <w:r w:rsidRPr="00D03B55">
        <w:rPr>
          <w:rFonts w:cstheme="minorHAnsi"/>
        </w:rPr>
        <w:t>and</w:t>
      </w:r>
      <w:r w:rsidR="00F2540A">
        <w:rPr>
          <w:rFonts w:cstheme="minorHAnsi"/>
        </w:rPr>
        <w:t xml:space="preserve"> </w:t>
      </w:r>
      <w:r w:rsidRPr="00D03B55">
        <w:rPr>
          <w:rFonts w:cstheme="minorHAnsi"/>
        </w:rPr>
        <w:t>testimonial</w:t>
      </w:r>
      <w:r w:rsidR="00420C32" w:rsidRPr="00D03B55">
        <w:rPr>
          <w:rFonts w:cstheme="minorHAnsi"/>
        </w:rPr>
        <w:t>- based</w:t>
      </w:r>
      <w:r w:rsidRPr="00D03B55">
        <w:rPr>
          <w:rFonts w:cstheme="minorHAnsi"/>
        </w:rPr>
        <w:t xml:space="preserve"> beliefs </w:t>
      </w:r>
      <w:r w:rsidR="00F2540A">
        <w:rPr>
          <w:rFonts w:cstheme="minorHAnsi"/>
        </w:rPr>
        <w:t>are established</w:t>
      </w:r>
      <w:r w:rsidRPr="00D03B55">
        <w:rPr>
          <w:rFonts w:cstheme="minorHAnsi"/>
        </w:rPr>
        <w:t xml:space="preserve"> </w:t>
      </w:r>
      <w:r w:rsidR="00435EA6" w:rsidRPr="00D03B55">
        <w:rPr>
          <w:rFonts w:cstheme="minorHAnsi"/>
        </w:rPr>
        <w:t>on this</w:t>
      </w:r>
      <w:r w:rsidR="00B71E8C">
        <w:rPr>
          <w:rFonts w:cstheme="minorHAnsi"/>
        </w:rPr>
        <w:t>.</w:t>
      </w:r>
      <w:r w:rsidR="00B71E8C">
        <w:rPr>
          <w:rStyle w:val="FootnoteReference"/>
          <w:rFonts w:cstheme="minorHAnsi"/>
        </w:rPr>
        <w:footnoteReference w:id="21"/>
      </w:r>
      <w:r w:rsidR="00E00142" w:rsidRPr="00D03B55">
        <w:rPr>
          <w:rFonts w:cstheme="minorHAnsi"/>
        </w:rPr>
        <w:t xml:space="preserve">The alternative is an </w:t>
      </w:r>
      <w:r w:rsidRPr="00D03B55">
        <w:rPr>
          <w:rFonts w:cstheme="minorHAnsi"/>
        </w:rPr>
        <w:t>overly burdensome and unrealistic</w:t>
      </w:r>
      <w:r w:rsidR="00E00142" w:rsidRPr="00D03B55">
        <w:rPr>
          <w:rFonts w:cstheme="minorHAnsi"/>
        </w:rPr>
        <w:t xml:space="preserve"> system of confirmation and </w:t>
      </w:r>
      <w:r w:rsidR="0047285C" w:rsidRPr="00D03B55">
        <w:rPr>
          <w:rFonts w:cstheme="minorHAnsi"/>
        </w:rPr>
        <w:t>disconfirmation</w:t>
      </w:r>
      <w:r w:rsidR="00E00142" w:rsidRPr="00D03B55">
        <w:rPr>
          <w:rFonts w:cstheme="minorHAnsi"/>
        </w:rPr>
        <w:t xml:space="preserve"> (even if only done tacitly)</w:t>
      </w:r>
      <w:r w:rsidRPr="00D03B55">
        <w:rPr>
          <w:rFonts w:cstheme="minorHAnsi"/>
        </w:rPr>
        <w:t xml:space="preserve"> considering the volume of testimony we rely on daily. </w:t>
      </w:r>
    </w:p>
    <w:p w:rsidR="008F73B5" w:rsidRPr="00D03B55" w:rsidRDefault="008F73B5" w:rsidP="008F73B5">
      <w:pPr>
        <w:rPr>
          <w:rFonts w:cstheme="minorHAnsi"/>
        </w:rPr>
      </w:pPr>
      <w:r w:rsidRPr="00D03B55">
        <w:rPr>
          <w:rFonts w:cstheme="minorHAnsi"/>
        </w:rPr>
        <w:t xml:space="preserve">The idea of forming testimonial </w:t>
      </w:r>
      <w:r w:rsidR="0057201F">
        <w:rPr>
          <w:rFonts w:cstheme="minorHAnsi"/>
        </w:rPr>
        <w:t xml:space="preserve">based </w:t>
      </w:r>
      <w:r w:rsidRPr="00D03B55">
        <w:rPr>
          <w:rFonts w:cstheme="minorHAnsi"/>
        </w:rPr>
        <w:t>beliefs</w:t>
      </w:r>
      <w:r w:rsidR="0057201F">
        <w:rPr>
          <w:rFonts w:cstheme="minorHAnsi"/>
        </w:rPr>
        <w:t xml:space="preserve"> </w:t>
      </w:r>
      <w:r w:rsidRPr="00D03B55">
        <w:rPr>
          <w:rFonts w:cstheme="minorHAnsi"/>
        </w:rPr>
        <w:t>on trust seems objectionable because</w:t>
      </w:r>
      <w:r w:rsidR="00420C32" w:rsidRPr="00D03B55">
        <w:rPr>
          <w:rFonts w:cstheme="minorHAnsi"/>
        </w:rPr>
        <w:t xml:space="preserve"> </w:t>
      </w:r>
      <w:r w:rsidRPr="00D03B55">
        <w:rPr>
          <w:rFonts w:cstheme="minorHAnsi"/>
        </w:rPr>
        <w:t xml:space="preserve">credulity seems very close to gullibility in this context.  However, trust does not have to be indiscriminate or blind.  If you were to ask the cost of a cup of coffee and the </w:t>
      </w:r>
      <w:r w:rsidR="001B3C2E" w:rsidRPr="00D03B55">
        <w:rPr>
          <w:rFonts w:cstheme="minorHAnsi"/>
        </w:rPr>
        <w:t>Barista</w:t>
      </w:r>
      <w:r w:rsidRPr="00D03B55">
        <w:rPr>
          <w:rFonts w:cstheme="minorHAnsi"/>
        </w:rPr>
        <w:t xml:space="preserve"> informed you £5000, you would immediately question this</w:t>
      </w:r>
      <w:r w:rsidR="00E00142" w:rsidRPr="00D03B55">
        <w:rPr>
          <w:rFonts w:cstheme="minorHAnsi"/>
        </w:rPr>
        <w:t xml:space="preserve">, indicating </w:t>
      </w:r>
      <w:r w:rsidRPr="00D03B55">
        <w:rPr>
          <w:rFonts w:cstheme="minorHAnsi"/>
        </w:rPr>
        <w:t xml:space="preserve">that there is some form of </w:t>
      </w:r>
      <w:r w:rsidR="00E00142" w:rsidRPr="00D03B55">
        <w:rPr>
          <w:rFonts w:cstheme="minorHAnsi"/>
        </w:rPr>
        <w:t xml:space="preserve">truth- </w:t>
      </w:r>
      <w:r w:rsidRPr="00D03B55">
        <w:rPr>
          <w:rFonts w:cstheme="minorHAnsi"/>
        </w:rPr>
        <w:t>vetting process</w:t>
      </w:r>
      <w:r w:rsidR="001B3C2E" w:rsidRPr="00D03B55">
        <w:rPr>
          <w:rFonts w:cstheme="minorHAnsi"/>
        </w:rPr>
        <w:t xml:space="preserve">. </w:t>
      </w:r>
      <w:r w:rsidRPr="00D03B55">
        <w:rPr>
          <w:rFonts w:cstheme="minorHAnsi"/>
        </w:rPr>
        <w:t xml:space="preserve"> </w:t>
      </w:r>
      <w:r w:rsidR="0047285C" w:rsidRPr="00D03B55">
        <w:rPr>
          <w:rFonts w:cstheme="minorHAnsi"/>
        </w:rPr>
        <w:t>This default position of trust</w:t>
      </w:r>
      <w:r w:rsidR="00E00142" w:rsidRPr="00D03B55">
        <w:rPr>
          <w:rFonts w:cstheme="minorHAnsi"/>
        </w:rPr>
        <w:t xml:space="preserve"> </w:t>
      </w:r>
      <w:r w:rsidR="001B3C2E" w:rsidRPr="00D03B55">
        <w:rPr>
          <w:rFonts w:cstheme="minorHAnsi"/>
        </w:rPr>
        <w:t>has led</w:t>
      </w:r>
      <w:r w:rsidRPr="00D03B55">
        <w:rPr>
          <w:rFonts w:cstheme="minorHAnsi"/>
        </w:rPr>
        <w:t xml:space="preserve"> some </w:t>
      </w:r>
      <w:r w:rsidR="001B3C2E" w:rsidRPr="00D03B55">
        <w:rPr>
          <w:rFonts w:cstheme="minorHAnsi"/>
        </w:rPr>
        <w:t xml:space="preserve">to </w:t>
      </w:r>
      <w:r w:rsidRPr="00D03B55">
        <w:rPr>
          <w:rFonts w:cstheme="minorHAnsi"/>
        </w:rPr>
        <w:t xml:space="preserve">argue that </w:t>
      </w:r>
      <w:r w:rsidR="001B3C2E" w:rsidRPr="00D03B55">
        <w:rPr>
          <w:rFonts w:cstheme="minorHAnsi"/>
        </w:rPr>
        <w:t>testimonial</w:t>
      </w:r>
      <w:r w:rsidRPr="00D03B55">
        <w:rPr>
          <w:rFonts w:cstheme="minorHAnsi"/>
        </w:rPr>
        <w:t>- based evidence can be justified a priori based on an ‘</w:t>
      </w:r>
      <w:r w:rsidR="00E00142" w:rsidRPr="00D03B55">
        <w:rPr>
          <w:rFonts w:cstheme="minorHAnsi"/>
        </w:rPr>
        <w:t>acceptance</w:t>
      </w:r>
      <w:r w:rsidRPr="00D03B55">
        <w:rPr>
          <w:rFonts w:cstheme="minorHAnsi"/>
        </w:rPr>
        <w:t xml:space="preserve"> principle</w:t>
      </w:r>
      <w:r w:rsidR="00B71E8C">
        <w:rPr>
          <w:rFonts w:cstheme="minorHAnsi"/>
        </w:rPr>
        <w:t>’</w:t>
      </w:r>
      <w:r w:rsidRPr="00D03B55">
        <w:rPr>
          <w:rFonts w:cstheme="minorHAnsi"/>
        </w:rPr>
        <w:t>.</w:t>
      </w:r>
      <w:r w:rsidR="00B71E8C">
        <w:rPr>
          <w:rStyle w:val="FootnoteReference"/>
          <w:rFonts w:cstheme="minorHAnsi"/>
        </w:rPr>
        <w:footnoteReference w:id="22"/>
      </w:r>
      <w:r w:rsidRPr="00D03B55">
        <w:rPr>
          <w:rFonts w:cstheme="minorHAnsi"/>
        </w:rPr>
        <w:t>Its principle epistemic term is entailmen</w:t>
      </w:r>
      <w:r w:rsidR="0057201F">
        <w:rPr>
          <w:rFonts w:cstheme="minorHAnsi"/>
        </w:rPr>
        <w:t>t</w:t>
      </w:r>
      <w:r w:rsidRPr="00D03B55">
        <w:rPr>
          <w:rFonts w:cstheme="minorHAnsi"/>
        </w:rPr>
        <w:t>:</w:t>
      </w:r>
      <w:r w:rsidR="0057201F">
        <w:rPr>
          <w:rStyle w:val="FootnoteReference"/>
          <w:rFonts w:cstheme="minorHAnsi"/>
        </w:rPr>
        <w:footnoteReference w:id="23"/>
      </w:r>
      <w:r w:rsidRPr="00D03B55">
        <w:rPr>
          <w:rFonts w:cstheme="minorHAnsi"/>
        </w:rPr>
        <w:t xml:space="preserve"> </w:t>
      </w:r>
    </w:p>
    <w:p w:rsidR="008F73B5" w:rsidRPr="00D03B55" w:rsidRDefault="00610060" w:rsidP="008F73B5">
      <w:pPr>
        <w:rPr>
          <w:rFonts w:cstheme="minorHAnsi"/>
        </w:rPr>
      </w:pPr>
      <w:r>
        <w:rPr>
          <w:rFonts w:cstheme="minorHAnsi"/>
        </w:rPr>
        <w:t>‘</w:t>
      </w:r>
      <w:r w:rsidR="008F73B5" w:rsidRPr="00D03B55">
        <w:rPr>
          <w:rFonts w:cstheme="minorHAnsi"/>
        </w:rPr>
        <w:t>A person is entitled to accept as true something that is presented as true and is intelligible to him unless there are stronger reasons not to do so</w:t>
      </w:r>
      <w:r>
        <w:rPr>
          <w:rFonts w:cstheme="minorHAnsi"/>
        </w:rPr>
        <w:t>’</w:t>
      </w:r>
      <w:r w:rsidR="008F73B5" w:rsidRPr="00D03B55">
        <w:rPr>
          <w:rFonts w:cstheme="minorHAnsi"/>
        </w:rPr>
        <w:t>.</w:t>
      </w:r>
      <w:r>
        <w:rPr>
          <w:rStyle w:val="FootnoteReference"/>
          <w:rFonts w:cstheme="minorHAnsi"/>
        </w:rPr>
        <w:footnoteReference w:id="24"/>
      </w:r>
      <w:r w:rsidR="008F73B5" w:rsidRPr="00D03B55">
        <w:rPr>
          <w:rFonts w:cstheme="minorHAnsi"/>
        </w:rPr>
        <w:t xml:space="preserve"> </w:t>
      </w:r>
    </w:p>
    <w:p w:rsidR="008F73B5" w:rsidRPr="00D03B55" w:rsidRDefault="008F73B5" w:rsidP="008F73B5">
      <w:pPr>
        <w:rPr>
          <w:rFonts w:cstheme="minorHAnsi"/>
        </w:rPr>
      </w:pPr>
      <w:r w:rsidRPr="00D03B55">
        <w:rPr>
          <w:rFonts w:cstheme="minorHAnsi"/>
        </w:rPr>
        <w:t>This principle endorses the bias to accept testimony</w:t>
      </w:r>
      <w:r w:rsidR="00E00142" w:rsidRPr="00D03B55">
        <w:rPr>
          <w:rFonts w:cstheme="minorHAnsi"/>
        </w:rPr>
        <w:t xml:space="preserve">, </w:t>
      </w:r>
      <w:r w:rsidRPr="00D03B55">
        <w:rPr>
          <w:rFonts w:cstheme="minorHAnsi"/>
        </w:rPr>
        <w:t>mean</w:t>
      </w:r>
      <w:r w:rsidR="00E00142" w:rsidRPr="00D03B55">
        <w:rPr>
          <w:rFonts w:cstheme="minorHAnsi"/>
        </w:rPr>
        <w:t>ing</w:t>
      </w:r>
      <w:r w:rsidRPr="00D03B55">
        <w:rPr>
          <w:rFonts w:cstheme="minorHAnsi"/>
        </w:rPr>
        <w:t xml:space="preserve"> that the acceptance principle is not epistemically reliant on memory</w:t>
      </w:r>
      <w:r w:rsidR="001B3C2E" w:rsidRPr="00D03B55">
        <w:rPr>
          <w:rFonts w:cstheme="minorHAnsi"/>
        </w:rPr>
        <w:t xml:space="preserve">, </w:t>
      </w:r>
      <w:r w:rsidRPr="00D03B55">
        <w:rPr>
          <w:rFonts w:cstheme="minorHAnsi"/>
        </w:rPr>
        <w:t>perception</w:t>
      </w:r>
      <w:r w:rsidR="001B3C2E" w:rsidRPr="00D03B55">
        <w:rPr>
          <w:rFonts w:cstheme="minorHAnsi"/>
        </w:rPr>
        <w:t xml:space="preserve"> or induction</w:t>
      </w:r>
      <w:r w:rsidRPr="00D03B55">
        <w:rPr>
          <w:rFonts w:cstheme="minorHAnsi"/>
        </w:rPr>
        <w:t xml:space="preserve"> because entailment is by means of the testimonial setting, and applies whether </w:t>
      </w:r>
      <w:r w:rsidR="0057201F">
        <w:rPr>
          <w:rFonts w:cstheme="minorHAnsi"/>
        </w:rPr>
        <w:t xml:space="preserve">or not </w:t>
      </w:r>
      <w:r w:rsidRPr="00D03B55">
        <w:rPr>
          <w:rFonts w:cstheme="minorHAnsi"/>
        </w:rPr>
        <w:t>the recipient of testimony has reasons to trust the speaker.</w:t>
      </w:r>
      <w:r w:rsidR="00610060">
        <w:rPr>
          <w:rStyle w:val="FootnoteReference"/>
          <w:rFonts w:cstheme="minorHAnsi"/>
        </w:rPr>
        <w:footnoteReference w:id="25"/>
      </w:r>
      <w:r w:rsidRPr="00D03B55">
        <w:rPr>
          <w:rFonts w:cstheme="minorHAnsi"/>
        </w:rPr>
        <w:t xml:space="preserve"> This is because intelligibility presupposes rationality and rationality, truth</w:t>
      </w:r>
      <w:r w:rsidR="00610060">
        <w:rPr>
          <w:rFonts w:cstheme="minorHAnsi"/>
        </w:rPr>
        <w:t>.</w:t>
      </w:r>
      <w:r w:rsidR="00610060">
        <w:rPr>
          <w:rStyle w:val="FootnoteReference"/>
          <w:rFonts w:cstheme="minorHAnsi"/>
        </w:rPr>
        <w:footnoteReference w:id="26"/>
      </w:r>
      <w:r w:rsidRPr="00D03B55">
        <w:rPr>
          <w:rFonts w:cstheme="minorHAnsi"/>
        </w:rPr>
        <w:t>However</w:t>
      </w:r>
      <w:r w:rsidR="00E00142" w:rsidRPr="00D03B55">
        <w:rPr>
          <w:rFonts w:cstheme="minorHAnsi"/>
        </w:rPr>
        <w:t>,</w:t>
      </w:r>
      <w:r w:rsidRPr="00D03B55">
        <w:rPr>
          <w:rFonts w:cstheme="minorHAnsi"/>
        </w:rPr>
        <w:t xml:space="preserve"> this concept could struggle to account for Gettier problems i.e</w:t>
      </w:r>
      <w:r w:rsidR="00E00142" w:rsidRPr="00D03B55">
        <w:rPr>
          <w:rFonts w:cstheme="minorHAnsi"/>
        </w:rPr>
        <w:t>.</w:t>
      </w:r>
      <w:r w:rsidRPr="00D03B55">
        <w:rPr>
          <w:rFonts w:cstheme="minorHAnsi"/>
        </w:rPr>
        <w:t xml:space="preserve"> justified beliefs that are false since they are </w:t>
      </w:r>
      <w:r w:rsidR="00E00142" w:rsidRPr="00D03B55">
        <w:rPr>
          <w:rFonts w:cstheme="minorHAnsi"/>
        </w:rPr>
        <w:t xml:space="preserve">both </w:t>
      </w:r>
      <w:r w:rsidRPr="00D03B55">
        <w:rPr>
          <w:rFonts w:cstheme="minorHAnsi"/>
        </w:rPr>
        <w:t>intelligible and rational.  Moreover</w:t>
      </w:r>
      <w:r w:rsidR="00E00142" w:rsidRPr="00D03B55">
        <w:rPr>
          <w:rFonts w:cstheme="minorHAnsi"/>
        </w:rPr>
        <w:t>,</w:t>
      </w:r>
      <w:r w:rsidRPr="00D03B55">
        <w:rPr>
          <w:rFonts w:cstheme="minorHAnsi"/>
        </w:rPr>
        <w:t xml:space="preserve"> this formulation of justification seems to ignore the possibility of an unreliable testifier</w:t>
      </w:r>
      <w:r w:rsidR="00E00142" w:rsidRPr="00D03B55">
        <w:rPr>
          <w:rFonts w:cstheme="minorHAnsi"/>
        </w:rPr>
        <w:t xml:space="preserve"> (whether this be due to deliberate deception or accidental misinformation), c</w:t>
      </w:r>
      <w:r w:rsidRPr="00D03B55">
        <w:rPr>
          <w:rFonts w:cstheme="minorHAnsi"/>
        </w:rPr>
        <w:t xml:space="preserve">onsequently it has been argued that it </w:t>
      </w:r>
      <w:r w:rsidR="00E00142" w:rsidRPr="00D03B55">
        <w:rPr>
          <w:rFonts w:cstheme="minorHAnsi"/>
        </w:rPr>
        <w:t>leads to intellectual</w:t>
      </w:r>
      <w:r w:rsidRPr="00D03B55">
        <w:rPr>
          <w:rFonts w:cstheme="minorHAnsi"/>
        </w:rPr>
        <w:t xml:space="preserve"> </w:t>
      </w:r>
      <w:r w:rsidR="00E00142" w:rsidRPr="00D03B55">
        <w:rPr>
          <w:rFonts w:cstheme="minorHAnsi"/>
        </w:rPr>
        <w:t>irresponsibility</w:t>
      </w:r>
      <w:r w:rsidRPr="00D03B55">
        <w:rPr>
          <w:rFonts w:cstheme="minorHAnsi"/>
        </w:rPr>
        <w:t xml:space="preserve"> and gulli</w:t>
      </w:r>
      <w:r w:rsidR="00E00142" w:rsidRPr="00D03B55">
        <w:rPr>
          <w:rFonts w:cstheme="minorHAnsi"/>
        </w:rPr>
        <w:t>bility.</w:t>
      </w:r>
      <w:r w:rsidR="00610060">
        <w:rPr>
          <w:rStyle w:val="FootnoteReference"/>
          <w:rFonts w:cstheme="minorHAnsi"/>
        </w:rPr>
        <w:footnoteReference w:id="27"/>
      </w:r>
      <w:r w:rsidR="00E00142" w:rsidRPr="00D03B55">
        <w:rPr>
          <w:rFonts w:cstheme="minorHAnsi"/>
        </w:rPr>
        <w:t xml:space="preserve"> </w:t>
      </w:r>
      <w:r w:rsidRPr="00D03B55">
        <w:rPr>
          <w:rFonts w:cstheme="minorHAnsi"/>
        </w:rPr>
        <w:t xml:space="preserve">  </w:t>
      </w:r>
    </w:p>
    <w:p w:rsidR="00B41A30" w:rsidRPr="00D03B55" w:rsidRDefault="00B41A30" w:rsidP="00FD1808">
      <w:pPr>
        <w:rPr>
          <w:rFonts w:cstheme="minorHAnsi"/>
        </w:rPr>
      </w:pPr>
    </w:p>
    <w:p w:rsidR="00D97CED" w:rsidRPr="00D03B55" w:rsidRDefault="00565EC9">
      <w:pPr>
        <w:rPr>
          <w:rFonts w:cstheme="minorHAnsi"/>
          <w:b/>
        </w:rPr>
      </w:pPr>
      <w:r w:rsidRPr="00D03B55">
        <w:rPr>
          <w:rFonts w:cstheme="minorHAnsi"/>
          <w:b/>
        </w:rPr>
        <w:t xml:space="preserve">Ontological </w:t>
      </w:r>
      <w:r w:rsidR="00BF7B49" w:rsidRPr="00D03B55">
        <w:rPr>
          <w:rFonts w:cstheme="minorHAnsi"/>
          <w:b/>
        </w:rPr>
        <w:t>frameworks, Testimony</w:t>
      </w:r>
      <w:r w:rsidR="00B63D10" w:rsidRPr="00D03B55">
        <w:rPr>
          <w:rFonts w:cstheme="minorHAnsi"/>
          <w:b/>
        </w:rPr>
        <w:t xml:space="preserve"> and Miracles</w:t>
      </w:r>
    </w:p>
    <w:p w:rsidR="00B63D10" w:rsidRPr="00D03B55" w:rsidRDefault="00B63D10" w:rsidP="00CC3944">
      <w:pPr>
        <w:rPr>
          <w:rFonts w:cstheme="minorHAnsi"/>
          <w:color w:val="1A1A1A"/>
          <w:shd w:val="clear" w:color="auto" w:fill="FFFFFF"/>
        </w:rPr>
      </w:pPr>
      <w:r w:rsidRPr="00D03B55">
        <w:rPr>
          <w:rFonts w:cstheme="minorHAnsi"/>
        </w:rPr>
        <w:t>A miracle can be understood in various ways.  Hume’s definition</w:t>
      </w:r>
      <w:r w:rsidR="00A957C4">
        <w:rPr>
          <w:rFonts w:cstheme="minorHAnsi"/>
        </w:rPr>
        <w:t>;</w:t>
      </w:r>
      <w:r w:rsidR="00BA1811" w:rsidRPr="00D03B55">
        <w:rPr>
          <w:rFonts w:cstheme="minorHAnsi"/>
        </w:rPr>
        <w:t xml:space="preserve"> </w:t>
      </w:r>
      <w:r w:rsidR="00610060">
        <w:rPr>
          <w:rFonts w:cstheme="minorHAnsi"/>
        </w:rPr>
        <w:t>‘</w:t>
      </w:r>
      <w:r w:rsidR="00BA1811" w:rsidRPr="00D03B55">
        <w:rPr>
          <w:rFonts w:cstheme="minorHAnsi"/>
        </w:rPr>
        <w:t>a</w:t>
      </w:r>
      <w:r w:rsidRPr="00D03B55">
        <w:rPr>
          <w:rFonts w:cstheme="minorHAnsi"/>
        </w:rPr>
        <w:t xml:space="preserve"> miracle is a violation of the laws of </w:t>
      </w:r>
      <w:r w:rsidR="0047285C" w:rsidRPr="00D03B55">
        <w:rPr>
          <w:rFonts w:cstheme="minorHAnsi"/>
        </w:rPr>
        <w:t>nature...</w:t>
      </w:r>
      <w:r w:rsidR="00610060">
        <w:rPr>
          <w:rFonts w:cstheme="minorHAnsi"/>
        </w:rPr>
        <w:t>’</w:t>
      </w:r>
      <w:r w:rsidR="00610060">
        <w:rPr>
          <w:rStyle w:val="FootnoteReference"/>
          <w:rFonts w:cstheme="minorHAnsi"/>
        </w:rPr>
        <w:footnoteReference w:id="28"/>
      </w:r>
      <w:r w:rsidRPr="00D03B55">
        <w:rPr>
          <w:rFonts w:cstheme="minorHAnsi"/>
        </w:rPr>
        <w:t xml:space="preserve"> </w:t>
      </w:r>
      <w:r w:rsidR="00BA1811" w:rsidRPr="00D03B55">
        <w:rPr>
          <w:rFonts w:cstheme="minorHAnsi"/>
        </w:rPr>
        <w:t xml:space="preserve">seems very restrictive.  </w:t>
      </w:r>
      <w:r w:rsidRPr="00D03B55">
        <w:rPr>
          <w:rFonts w:cstheme="minorHAnsi"/>
        </w:rPr>
        <w:t>Defining miracles as such</w:t>
      </w:r>
      <w:r w:rsidR="00A957C4">
        <w:rPr>
          <w:rFonts w:cstheme="minorHAnsi"/>
        </w:rPr>
        <w:t xml:space="preserve"> </w:t>
      </w:r>
      <w:r w:rsidRPr="00D03B55">
        <w:rPr>
          <w:rFonts w:cstheme="minorHAnsi"/>
        </w:rPr>
        <w:t>limit</w:t>
      </w:r>
      <w:r w:rsidR="00A957C4">
        <w:rPr>
          <w:rFonts w:cstheme="minorHAnsi"/>
        </w:rPr>
        <w:t>s</w:t>
      </w:r>
      <w:r w:rsidRPr="00D03B55">
        <w:rPr>
          <w:rFonts w:cstheme="minorHAnsi"/>
        </w:rPr>
        <w:t xml:space="preserve"> what can be included as a miracle.  Events that are inexplicable naturally, are not necessarily violating a ‘law’ of nature, for example, healing through prayer or by command alone, and resurrection of a dead man are not violations of the ‘laws’ of nature, although they are inexplicable based upon our understanding of nature.  The concept of </w:t>
      </w:r>
      <w:r w:rsidR="00610060">
        <w:rPr>
          <w:rFonts w:cstheme="minorHAnsi"/>
        </w:rPr>
        <w:t>‘</w:t>
      </w:r>
      <w:r w:rsidRPr="00D03B55">
        <w:rPr>
          <w:rFonts w:cstheme="minorHAnsi"/>
        </w:rPr>
        <w:t xml:space="preserve">Laws of </w:t>
      </w:r>
      <w:r w:rsidR="00BA1811" w:rsidRPr="00D03B55">
        <w:rPr>
          <w:rFonts w:cstheme="minorHAnsi"/>
        </w:rPr>
        <w:t>nature</w:t>
      </w:r>
      <w:r w:rsidR="00610060">
        <w:rPr>
          <w:rFonts w:cstheme="minorHAnsi"/>
        </w:rPr>
        <w:t>’</w:t>
      </w:r>
      <w:r w:rsidR="00BA1811" w:rsidRPr="00D03B55">
        <w:rPr>
          <w:rFonts w:cstheme="minorHAnsi"/>
        </w:rPr>
        <w:t xml:space="preserve"> is</w:t>
      </w:r>
      <w:r w:rsidRPr="00D03B55">
        <w:rPr>
          <w:rFonts w:cstheme="minorHAnsi"/>
        </w:rPr>
        <w:t xml:space="preserve"> also problematic. </w:t>
      </w:r>
      <w:r w:rsidR="00610060" w:rsidRPr="00D03B55">
        <w:rPr>
          <w:rFonts w:cstheme="minorHAnsi"/>
        </w:rPr>
        <w:t>Certainly,</w:t>
      </w:r>
      <w:r w:rsidRPr="00D03B55">
        <w:rPr>
          <w:rFonts w:cstheme="minorHAnsi"/>
        </w:rPr>
        <w:t xml:space="preserve"> it postdates the concept of a </w:t>
      </w:r>
      <w:r w:rsidRPr="00D03B55">
        <w:rPr>
          <w:rFonts w:cstheme="minorHAnsi"/>
        </w:rPr>
        <w:lastRenderedPageBreak/>
        <w:t>miracle therefore might be incompatible with the ideas of the early writers of miracles</w:t>
      </w:r>
      <w:r w:rsidR="00610060">
        <w:rPr>
          <w:rFonts w:cstheme="minorHAnsi"/>
        </w:rPr>
        <w:t>,</w:t>
      </w:r>
      <w:r w:rsidR="00610060">
        <w:rPr>
          <w:rStyle w:val="FootnoteReference"/>
          <w:rFonts w:cstheme="minorHAnsi"/>
        </w:rPr>
        <w:footnoteReference w:id="29"/>
      </w:r>
      <w:r w:rsidRPr="00D03B55">
        <w:rPr>
          <w:rFonts w:cstheme="minorHAnsi"/>
        </w:rPr>
        <w:t xml:space="preserve"> and there are also concerns regarding whether </w:t>
      </w:r>
      <w:r w:rsidR="00610060">
        <w:rPr>
          <w:rFonts w:cstheme="minorHAnsi"/>
        </w:rPr>
        <w:t>‘</w:t>
      </w:r>
      <w:r w:rsidRPr="00D03B55">
        <w:rPr>
          <w:rFonts w:cstheme="minorHAnsi"/>
        </w:rPr>
        <w:t>laws of nature</w:t>
      </w:r>
      <w:r w:rsidR="00610060">
        <w:rPr>
          <w:rFonts w:cstheme="minorHAnsi"/>
        </w:rPr>
        <w:t>’</w:t>
      </w:r>
      <w:r w:rsidRPr="00D03B55">
        <w:rPr>
          <w:rFonts w:cstheme="minorHAnsi"/>
        </w:rPr>
        <w:t xml:space="preserve"> </w:t>
      </w:r>
      <w:r w:rsidR="0047285C" w:rsidRPr="00D03B55">
        <w:rPr>
          <w:rFonts w:cstheme="minorHAnsi"/>
        </w:rPr>
        <w:t>exist</w:t>
      </w:r>
      <w:r w:rsidR="00610060">
        <w:rPr>
          <w:rFonts w:cstheme="minorHAnsi"/>
        </w:rPr>
        <w:t>.</w:t>
      </w:r>
      <w:r w:rsidR="00610060">
        <w:rPr>
          <w:rStyle w:val="FootnoteReference"/>
          <w:rFonts w:cstheme="minorHAnsi"/>
        </w:rPr>
        <w:footnoteReference w:id="30"/>
      </w:r>
      <w:r w:rsidRPr="00D03B55">
        <w:rPr>
          <w:rFonts w:cstheme="minorHAnsi"/>
        </w:rPr>
        <w:t>The term seems to be used to explain the seemingly uniform and unwavering regularity observed in nature.  As such, some have suggested that a miracle is a non-repeatable counter- instance to a law of nature.</w:t>
      </w:r>
      <w:r w:rsidR="00610060">
        <w:rPr>
          <w:rStyle w:val="FootnoteReference"/>
          <w:rFonts w:cstheme="minorHAnsi"/>
        </w:rPr>
        <w:footnoteReference w:id="31"/>
      </w:r>
      <w:r w:rsidRPr="00D03B55">
        <w:rPr>
          <w:rFonts w:cstheme="minorHAnsi"/>
        </w:rPr>
        <w:t xml:space="preserve">  This would mean that no contradiction need be applied by stating the law of nature and acknowledging its exception</w:t>
      </w:r>
      <w:r w:rsidR="00A957C4">
        <w:rPr>
          <w:rFonts w:cstheme="minorHAnsi"/>
        </w:rPr>
        <w:t>s</w:t>
      </w:r>
      <w:r w:rsidR="00610060">
        <w:rPr>
          <w:rFonts w:cstheme="minorHAnsi"/>
        </w:rPr>
        <w:t>.</w:t>
      </w:r>
      <w:r w:rsidR="00610060">
        <w:rPr>
          <w:rStyle w:val="FootnoteReference"/>
          <w:rFonts w:cstheme="minorHAnsi"/>
        </w:rPr>
        <w:footnoteReference w:id="32"/>
      </w:r>
      <w:r w:rsidRPr="00D03B55">
        <w:rPr>
          <w:rFonts w:cstheme="minorHAnsi"/>
        </w:rPr>
        <w:t xml:space="preserve">However, though less austere this definition still seems to be lacking and since it still refers to ‘natural law’ is open to some of the same criticism regarding Hume’s definition.   </w:t>
      </w:r>
    </w:p>
    <w:p w:rsidR="00C14C1D" w:rsidRDefault="00D57D77" w:rsidP="00B63D10">
      <w:pPr>
        <w:rPr>
          <w:rFonts w:cstheme="minorHAnsi"/>
          <w:color w:val="1A1A1A"/>
          <w:shd w:val="clear" w:color="auto" w:fill="FFFFFF"/>
        </w:rPr>
      </w:pPr>
      <w:r w:rsidRPr="00D03B55">
        <w:rPr>
          <w:rFonts w:cstheme="minorHAnsi"/>
          <w:color w:val="1A1A1A"/>
          <w:shd w:val="clear" w:color="auto" w:fill="FFFFFF"/>
        </w:rPr>
        <w:t>T</w:t>
      </w:r>
      <w:r w:rsidR="00B63D10" w:rsidRPr="00D03B55">
        <w:rPr>
          <w:rFonts w:cstheme="minorHAnsi"/>
          <w:color w:val="1A1A1A"/>
          <w:shd w:val="clear" w:color="auto" w:fill="FFFFFF"/>
        </w:rPr>
        <w:t xml:space="preserve">he </w:t>
      </w:r>
      <w:r w:rsidRPr="00D03B55">
        <w:rPr>
          <w:rFonts w:cstheme="minorHAnsi"/>
          <w:color w:val="1A1A1A"/>
          <w:shd w:val="clear" w:color="auto" w:fill="FFFFFF"/>
        </w:rPr>
        <w:t xml:space="preserve">working </w:t>
      </w:r>
      <w:r w:rsidR="00B63D10" w:rsidRPr="00D03B55">
        <w:rPr>
          <w:rFonts w:cstheme="minorHAnsi"/>
          <w:color w:val="1A1A1A"/>
          <w:shd w:val="clear" w:color="auto" w:fill="FFFFFF"/>
        </w:rPr>
        <w:t>definition of a miracle in relation to the acceptability of believing miraculous reports</w:t>
      </w:r>
      <w:r w:rsidRPr="00D03B55">
        <w:rPr>
          <w:rFonts w:cstheme="minorHAnsi"/>
          <w:color w:val="1A1A1A"/>
          <w:shd w:val="clear" w:color="auto" w:fill="FFFFFF"/>
        </w:rPr>
        <w:t xml:space="preserve"> is important and often </w:t>
      </w:r>
      <w:r w:rsidR="00E811F8">
        <w:rPr>
          <w:rFonts w:cstheme="minorHAnsi"/>
          <w:color w:val="1A1A1A"/>
          <w:shd w:val="clear" w:color="auto" w:fill="FFFFFF"/>
        </w:rPr>
        <w:t>exposes</w:t>
      </w:r>
      <w:r w:rsidRPr="00D03B55">
        <w:rPr>
          <w:rFonts w:cstheme="minorHAnsi"/>
          <w:color w:val="1A1A1A"/>
          <w:shd w:val="clear" w:color="auto" w:fill="FFFFFF"/>
        </w:rPr>
        <w:t xml:space="preserve"> the underlying ontological presupposition of the user.  A naturalistic ontology holds that all spacio-temporal entities are physical entities and Nature, </w:t>
      </w:r>
      <w:r w:rsidR="00E811F8">
        <w:rPr>
          <w:rFonts w:cstheme="minorHAnsi"/>
          <w:color w:val="1A1A1A"/>
          <w:shd w:val="clear" w:color="auto" w:fill="FFFFFF"/>
        </w:rPr>
        <w:t>‘</w:t>
      </w:r>
      <w:r w:rsidRPr="00D03B55">
        <w:rPr>
          <w:rFonts w:cstheme="minorHAnsi"/>
          <w:color w:val="1A1A1A"/>
          <w:shd w:val="clear" w:color="auto" w:fill="FFFFFF"/>
        </w:rPr>
        <w:t>the whole interlocked system</w:t>
      </w:r>
      <w:r w:rsidR="00E811F8">
        <w:rPr>
          <w:rFonts w:cstheme="minorHAnsi"/>
          <w:color w:val="1A1A1A"/>
          <w:shd w:val="clear" w:color="auto" w:fill="FFFFFF"/>
        </w:rPr>
        <w:t>’</w:t>
      </w:r>
      <w:r w:rsidRPr="00D03B55">
        <w:rPr>
          <w:rFonts w:cstheme="minorHAnsi"/>
          <w:color w:val="1A1A1A"/>
          <w:shd w:val="clear" w:color="auto" w:fill="FFFFFF"/>
        </w:rPr>
        <w:t xml:space="preserve"> is all that exists.</w:t>
      </w:r>
      <w:r w:rsidR="00E811F8">
        <w:rPr>
          <w:rStyle w:val="FootnoteReference"/>
          <w:rFonts w:cstheme="minorHAnsi"/>
          <w:color w:val="1A1A1A"/>
          <w:shd w:val="clear" w:color="auto" w:fill="FFFFFF"/>
        </w:rPr>
        <w:footnoteReference w:id="33"/>
      </w:r>
      <w:r w:rsidR="00BA1811" w:rsidRPr="00D03B55">
        <w:rPr>
          <w:rFonts w:cstheme="minorHAnsi"/>
          <w:color w:val="1A1A1A"/>
          <w:shd w:val="clear" w:color="auto" w:fill="FFFFFF"/>
        </w:rPr>
        <w:t xml:space="preserve">This doctrine leaves no room for miracles.  </w:t>
      </w:r>
      <w:r w:rsidRPr="00D03B55">
        <w:rPr>
          <w:rFonts w:cstheme="minorHAnsi"/>
          <w:color w:val="1A1A1A"/>
          <w:shd w:val="clear" w:color="auto" w:fill="FFFFFF"/>
        </w:rPr>
        <w:t xml:space="preserve">Hume’s definition </w:t>
      </w:r>
      <w:r w:rsidR="00BA1811" w:rsidRPr="00D03B55">
        <w:rPr>
          <w:rFonts w:cstheme="minorHAnsi"/>
        </w:rPr>
        <w:t xml:space="preserve">could be intimating that miracles are unnatural events, or that they cannot occur naturally or that they have an unnatural cause(s) or simply that they are outside the scope of empirical enquiry. However, it seems more likely, based on his writings ‘Of Miracles’ in ‘An Enquiry concerning Human Understanding’ (1748), that he was casting miracles as impossible events.  </w:t>
      </w:r>
      <w:r w:rsidR="00BA1811" w:rsidRPr="00D03B55">
        <w:rPr>
          <w:rFonts w:cstheme="minorHAnsi"/>
          <w:color w:val="1A1A1A"/>
          <w:shd w:val="clear" w:color="auto" w:fill="FFFFFF"/>
        </w:rPr>
        <w:t xml:space="preserve">As an empiricist, with a naturalistic ontology, Hume’s definition </w:t>
      </w:r>
      <w:r w:rsidRPr="00D03B55">
        <w:rPr>
          <w:rFonts w:cstheme="minorHAnsi"/>
          <w:color w:val="1A1A1A"/>
          <w:shd w:val="clear" w:color="auto" w:fill="FFFFFF"/>
        </w:rPr>
        <w:t>of miracle leaves no room for any</w:t>
      </w:r>
      <w:r w:rsidR="00746D04" w:rsidRPr="00D03B55">
        <w:rPr>
          <w:rFonts w:cstheme="minorHAnsi"/>
          <w:color w:val="1A1A1A"/>
          <w:shd w:val="clear" w:color="auto" w:fill="FFFFFF"/>
        </w:rPr>
        <w:t xml:space="preserve"> rational belief in them.  If ‘laws’ of nature are understood to be inviolable, </w:t>
      </w:r>
      <w:r w:rsidR="00813442" w:rsidRPr="00D03B55">
        <w:rPr>
          <w:rFonts w:cstheme="minorHAnsi"/>
          <w:color w:val="1A1A1A"/>
          <w:shd w:val="clear" w:color="auto" w:fill="FFFFFF"/>
        </w:rPr>
        <w:t>and knowledge of the world is only possible via experience, the</w:t>
      </w:r>
      <w:r w:rsidR="00A4203D" w:rsidRPr="00D03B55">
        <w:rPr>
          <w:rFonts w:cstheme="minorHAnsi"/>
          <w:color w:val="1A1A1A"/>
          <w:shd w:val="clear" w:color="auto" w:fill="FFFFFF"/>
        </w:rPr>
        <w:t>n</w:t>
      </w:r>
      <w:r w:rsidR="00813442" w:rsidRPr="00D03B55">
        <w:rPr>
          <w:rFonts w:cstheme="minorHAnsi"/>
          <w:color w:val="1A1A1A"/>
          <w:shd w:val="clear" w:color="auto" w:fill="FFFFFF"/>
        </w:rPr>
        <w:t xml:space="preserve"> testimony purporting</w:t>
      </w:r>
      <w:r w:rsidR="00746D04" w:rsidRPr="00D03B55">
        <w:rPr>
          <w:rFonts w:cstheme="minorHAnsi"/>
          <w:color w:val="1A1A1A"/>
          <w:shd w:val="clear" w:color="auto" w:fill="FFFFFF"/>
        </w:rPr>
        <w:t xml:space="preserve"> a violation of natural law is unintelligible.  </w:t>
      </w:r>
    </w:p>
    <w:p w:rsidR="00C257D7" w:rsidRPr="00D03B55" w:rsidRDefault="00746D04" w:rsidP="00B63D10">
      <w:pPr>
        <w:rPr>
          <w:rFonts w:cstheme="minorHAnsi"/>
        </w:rPr>
      </w:pPr>
      <w:r w:rsidRPr="00D03B55">
        <w:rPr>
          <w:rFonts w:cstheme="minorHAnsi"/>
        </w:rPr>
        <w:t xml:space="preserve">Both miracles and </w:t>
      </w:r>
      <w:r w:rsidR="00E811F8">
        <w:rPr>
          <w:rFonts w:cstheme="minorHAnsi"/>
        </w:rPr>
        <w:t>‘</w:t>
      </w:r>
      <w:r w:rsidRPr="00D03B55">
        <w:rPr>
          <w:rFonts w:cstheme="minorHAnsi"/>
        </w:rPr>
        <w:t>laws</w:t>
      </w:r>
      <w:r w:rsidR="00E811F8">
        <w:rPr>
          <w:rFonts w:cstheme="minorHAnsi"/>
        </w:rPr>
        <w:t>’</w:t>
      </w:r>
      <w:r w:rsidRPr="00D03B55">
        <w:rPr>
          <w:rFonts w:cstheme="minorHAnsi"/>
        </w:rPr>
        <w:t xml:space="preserve"> of nature are discern</w:t>
      </w:r>
      <w:r w:rsidR="00A4203D" w:rsidRPr="00D03B55">
        <w:rPr>
          <w:rFonts w:cstheme="minorHAnsi"/>
        </w:rPr>
        <w:t>ed</w:t>
      </w:r>
      <w:r w:rsidRPr="00D03B55">
        <w:rPr>
          <w:rFonts w:cstheme="minorHAnsi"/>
        </w:rPr>
        <w:t xml:space="preserve"> by perception and it is experience of </w:t>
      </w:r>
      <w:r w:rsidR="00A4203D" w:rsidRPr="00D03B55">
        <w:rPr>
          <w:rFonts w:cstheme="minorHAnsi"/>
        </w:rPr>
        <w:t xml:space="preserve">the pattern of </w:t>
      </w:r>
      <w:r w:rsidRPr="00D03B55">
        <w:rPr>
          <w:rFonts w:cstheme="minorHAnsi"/>
        </w:rPr>
        <w:t xml:space="preserve">nature’s regularity that helps identify the miracle (a </w:t>
      </w:r>
      <w:r w:rsidR="00BA1811" w:rsidRPr="00D03B55">
        <w:rPr>
          <w:rFonts w:cstheme="minorHAnsi"/>
        </w:rPr>
        <w:t>disruption</w:t>
      </w:r>
      <w:r w:rsidRPr="00D03B55">
        <w:rPr>
          <w:rFonts w:cstheme="minorHAnsi"/>
        </w:rPr>
        <w:t xml:space="preserve"> in this pattern).  If </w:t>
      </w:r>
      <w:r w:rsidR="00BA1811" w:rsidRPr="00D03B55">
        <w:rPr>
          <w:rFonts w:cstheme="minorHAnsi"/>
        </w:rPr>
        <w:t xml:space="preserve">a </w:t>
      </w:r>
      <w:r w:rsidRPr="00D03B55">
        <w:rPr>
          <w:rFonts w:cstheme="minorHAnsi"/>
        </w:rPr>
        <w:t>miracle occurred frequently and regularly then it would cease to be a miracle.  If you could demonstrate the event/phenomenon was common place enough to provide the weight of evidential testimony that Hume requires to assent to its testimony, th</w:t>
      </w:r>
      <w:r w:rsidR="00A4203D" w:rsidRPr="00D03B55">
        <w:rPr>
          <w:rFonts w:cstheme="minorHAnsi"/>
        </w:rPr>
        <w:t>e</w:t>
      </w:r>
      <w:r w:rsidR="008F14A3" w:rsidRPr="00D03B55">
        <w:rPr>
          <w:rFonts w:cstheme="minorHAnsi"/>
        </w:rPr>
        <w:t>n</w:t>
      </w:r>
      <w:r w:rsidR="00C257D7" w:rsidRPr="00D03B55">
        <w:rPr>
          <w:rFonts w:cstheme="minorHAnsi"/>
        </w:rPr>
        <w:t xml:space="preserve"> it </w:t>
      </w:r>
      <w:r w:rsidRPr="00D03B55">
        <w:rPr>
          <w:rFonts w:cstheme="minorHAnsi"/>
        </w:rPr>
        <w:t xml:space="preserve">would presumably, </w:t>
      </w:r>
      <w:r w:rsidR="00C257D7" w:rsidRPr="00D03B55">
        <w:rPr>
          <w:rFonts w:cstheme="minorHAnsi"/>
        </w:rPr>
        <w:t xml:space="preserve">cease </w:t>
      </w:r>
      <w:r w:rsidRPr="00D03B55">
        <w:rPr>
          <w:rFonts w:cstheme="minorHAnsi"/>
        </w:rPr>
        <w:t>being a miracle</w:t>
      </w:r>
      <w:r w:rsidR="00C257D7" w:rsidRPr="00D03B55">
        <w:rPr>
          <w:rFonts w:cstheme="minorHAnsi"/>
        </w:rPr>
        <w:t xml:space="preserve">; miracles </w:t>
      </w:r>
      <w:r w:rsidR="00A4203D" w:rsidRPr="00D03B55">
        <w:rPr>
          <w:rFonts w:cstheme="minorHAnsi"/>
        </w:rPr>
        <w:t>must</w:t>
      </w:r>
      <w:r w:rsidR="00C257D7" w:rsidRPr="00D03B55">
        <w:rPr>
          <w:rFonts w:cstheme="minorHAnsi"/>
        </w:rPr>
        <w:t xml:space="preserve"> be extraordinary.  Hume argues the fact that miracles are extraordinary </w:t>
      </w:r>
      <w:r w:rsidR="00E811F8">
        <w:rPr>
          <w:rFonts w:cstheme="minorHAnsi"/>
        </w:rPr>
        <w:t>‘</w:t>
      </w:r>
      <w:r w:rsidR="00C257D7" w:rsidRPr="00D03B55">
        <w:rPr>
          <w:rFonts w:cstheme="minorHAnsi"/>
        </w:rPr>
        <w:t>ought to destroy all its authority</w:t>
      </w:r>
      <w:r w:rsidR="00E811F8">
        <w:rPr>
          <w:rFonts w:cstheme="minorHAnsi"/>
        </w:rPr>
        <w:t>’</w:t>
      </w:r>
      <w:r w:rsidRPr="00D03B55">
        <w:rPr>
          <w:rFonts w:cstheme="minorHAnsi"/>
        </w:rPr>
        <w:t>.</w:t>
      </w:r>
      <w:r w:rsidR="00E811F8">
        <w:rPr>
          <w:rStyle w:val="FootnoteReference"/>
          <w:rFonts w:cstheme="minorHAnsi"/>
        </w:rPr>
        <w:footnoteReference w:id="34"/>
      </w:r>
      <w:r w:rsidR="00A4203D" w:rsidRPr="00D03B55">
        <w:rPr>
          <w:rFonts w:cstheme="minorHAnsi"/>
        </w:rPr>
        <w:t>Miracles accounts</w:t>
      </w:r>
      <w:r w:rsidR="007A59D4" w:rsidRPr="00D03B55">
        <w:rPr>
          <w:rFonts w:cstheme="minorHAnsi"/>
        </w:rPr>
        <w:t xml:space="preserve"> (even those of an eyewitness)</w:t>
      </w:r>
      <w:r w:rsidR="00C257D7" w:rsidRPr="00D03B55">
        <w:rPr>
          <w:rFonts w:cstheme="minorHAnsi"/>
        </w:rPr>
        <w:t xml:space="preserve"> </w:t>
      </w:r>
      <w:r w:rsidR="007A59D4" w:rsidRPr="00D03B55">
        <w:rPr>
          <w:rFonts w:cstheme="minorHAnsi"/>
        </w:rPr>
        <w:t>will be made to fit the ontological framework</w:t>
      </w:r>
      <w:r w:rsidR="00C257D7" w:rsidRPr="00D03B55">
        <w:rPr>
          <w:rFonts w:cstheme="minorHAnsi"/>
        </w:rPr>
        <w:t xml:space="preserve"> </w:t>
      </w:r>
      <w:r w:rsidR="007A59D4" w:rsidRPr="00D03B55">
        <w:rPr>
          <w:rFonts w:cstheme="minorHAnsi"/>
        </w:rPr>
        <w:t xml:space="preserve">by either: </w:t>
      </w:r>
      <w:r w:rsidR="00C257D7" w:rsidRPr="00D03B55">
        <w:rPr>
          <w:rFonts w:cstheme="minorHAnsi"/>
        </w:rPr>
        <w:t xml:space="preserve">having no cause since it cannot be empirically </w:t>
      </w:r>
      <w:r w:rsidR="0047285C" w:rsidRPr="00D03B55">
        <w:rPr>
          <w:rFonts w:cstheme="minorHAnsi"/>
        </w:rPr>
        <w:t>established or</w:t>
      </w:r>
      <w:r w:rsidR="00C257D7" w:rsidRPr="00D03B55">
        <w:rPr>
          <w:rFonts w:cstheme="minorHAnsi"/>
        </w:rPr>
        <w:t xml:space="preserve"> </w:t>
      </w:r>
      <w:r w:rsidR="007A59D4" w:rsidRPr="00D03B55">
        <w:rPr>
          <w:rFonts w:cstheme="minorHAnsi"/>
        </w:rPr>
        <w:t xml:space="preserve">being </w:t>
      </w:r>
      <w:r w:rsidR="00C257D7" w:rsidRPr="00D03B55">
        <w:rPr>
          <w:rFonts w:cstheme="minorHAnsi"/>
        </w:rPr>
        <w:t xml:space="preserve">outside of </w:t>
      </w:r>
      <w:r w:rsidR="007A59D4" w:rsidRPr="00D03B55">
        <w:rPr>
          <w:rFonts w:cstheme="minorHAnsi"/>
        </w:rPr>
        <w:t xml:space="preserve">the </w:t>
      </w:r>
      <w:r w:rsidR="00C257D7" w:rsidRPr="00D03B55">
        <w:rPr>
          <w:rFonts w:cstheme="minorHAnsi"/>
        </w:rPr>
        <w:t xml:space="preserve">current range of empirical understanding or </w:t>
      </w:r>
      <w:r w:rsidR="007A59D4" w:rsidRPr="00D03B55">
        <w:rPr>
          <w:rFonts w:cstheme="minorHAnsi"/>
        </w:rPr>
        <w:t xml:space="preserve">being </w:t>
      </w:r>
      <w:r w:rsidR="00C257D7" w:rsidRPr="00D03B55">
        <w:rPr>
          <w:rFonts w:cstheme="minorHAnsi"/>
        </w:rPr>
        <w:t xml:space="preserve">due to an error of perception on the part of the eyewitness.  </w:t>
      </w:r>
      <w:r w:rsidR="001352E2" w:rsidRPr="00D03B55">
        <w:rPr>
          <w:rFonts w:cstheme="minorHAnsi"/>
        </w:rPr>
        <w:t xml:space="preserve">There can be no </w:t>
      </w:r>
      <w:r w:rsidR="007A59D4" w:rsidRPr="00D03B55">
        <w:rPr>
          <w:rFonts w:cstheme="minorHAnsi"/>
        </w:rPr>
        <w:t xml:space="preserve">adequate </w:t>
      </w:r>
      <w:r w:rsidR="001352E2" w:rsidRPr="00D03B55">
        <w:rPr>
          <w:rFonts w:cstheme="minorHAnsi"/>
        </w:rPr>
        <w:t xml:space="preserve">reason to </w:t>
      </w:r>
      <w:r w:rsidR="007A59D4" w:rsidRPr="00D03B55">
        <w:rPr>
          <w:rFonts w:cstheme="minorHAnsi"/>
        </w:rPr>
        <w:t xml:space="preserve">believe a miracle has occurred </w:t>
      </w:r>
      <w:r w:rsidR="007E4655" w:rsidRPr="00D03B55">
        <w:rPr>
          <w:rFonts w:cstheme="minorHAnsi"/>
        </w:rPr>
        <w:t>based on</w:t>
      </w:r>
      <w:r w:rsidR="001352E2" w:rsidRPr="00D03B55">
        <w:rPr>
          <w:rFonts w:cstheme="minorHAnsi"/>
        </w:rPr>
        <w:t xml:space="preserve"> testimony </w:t>
      </w:r>
      <w:r w:rsidR="007A59D4" w:rsidRPr="00D03B55">
        <w:rPr>
          <w:rFonts w:cstheme="minorHAnsi"/>
        </w:rPr>
        <w:t>within</w:t>
      </w:r>
      <w:r w:rsidR="001352E2" w:rsidRPr="00D03B55">
        <w:rPr>
          <w:rFonts w:cstheme="minorHAnsi"/>
        </w:rPr>
        <w:t xml:space="preserve"> </w:t>
      </w:r>
      <w:r w:rsidR="00B17137">
        <w:rPr>
          <w:rFonts w:cstheme="minorHAnsi"/>
        </w:rPr>
        <w:t xml:space="preserve">a </w:t>
      </w:r>
      <w:r w:rsidR="001352E2" w:rsidRPr="00D03B55">
        <w:rPr>
          <w:rFonts w:cstheme="minorHAnsi"/>
        </w:rPr>
        <w:t>naturalistic</w:t>
      </w:r>
      <w:r w:rsidR="007A59D4" w:rsidRPr="00D03B55">
        <w:rPr>
          <w:rFonts w:cstheme="minorHAnsi"/>
        </w:rPr>
        <w:t xml:space="preserve"> </w:t>
      </w:r>
      <w:r w:rsidR="00B17137" w:rsidRPr="00D03B55">
        <w:rPr>
          <w:rFonts w:cstheme="minorHAnsi"/>
        </w:rPr>
        <w:t>ontologi</w:t>
      </w:r>
      <w:r w:rsidR="00B17137">
        <w:rPr>
          <w:rFonts w:cstheme="minorHAnsi"/>
        </w:rPr>
        <w:t>cal framework</w:t>
      </w:r>
      <w:r w:rsidR="001352E2" w:rsidRPr="00D03B55">
        <w:rPr>
          <w:rFonts w:cstheme="minorHAnsi"/>
        </w:rPr>
        <w:t>.</w:t>
      </w:r>
    </w:p>
    <w:p w:rsidR="007A59D4" w:rsidRPr="00D03B55" w:rsidRDefault="000062F2" w:rsidP="000062F2">
      <w:pPr>
        <w:rPr>
          <w:rFonts w:cstheme="minorHAnsi"/>
        </w:rPr>
      </w:pPr>
      <w:r w:rsidRPr="00D03B55">
        <w:rPr>
          <w:rFonts w:cstheme="minorHAnsi"/>
        </w:rPr>
        <w:t>John Locke (</w:t>
      </w:r>
      <w:r w:rsidR="007A59D4" w:rsidRPr="00D03B55">
        <w:rPr>
          <w:rFonts w:cstheme="minorHAnsi"/>
        </w:rPr>
        <w:t>1632- 1704</w:t>
      </w:r>
      <w:r w:rsidRPr="00D03B55">
        <w:rPr>
          <w:rFonts w:cstheme="minorHAnsi"/>
        </w:rPr>
        <w:t>) although an empiricist</w:t>
      </w:r>
      <w:r w:rsidR="007A59D4" w:rsidRPr="00D03B55">
        <w:rPr>
          <w:rFonts w:cstheme="minorHAnsi"/>
        </w:rPr>
        <w:t>, did not hold a naturalistic ontology and suggested that</w:t>
      </w:r>
      <w:r w:rsidRPr="00D03B55">
        <w:rPr>
          <w:rFonts w:cstheme="minorHAnsi"/>
        </w:rPr>
        <w:t xml:space="preserve"> </w:t>
      </w:r>
      <w:r w:rsidR="007A59D4" w:rsidRPr="00D03B55">
        <w:rPr>
          <w:rFonts w:cstheme="minorHAnsi"/>
        </w:rPr>
        <w:t xml:space="preserve"> </w:t>
      </w:r>
    </w:p>
    <w:p w:rsidR="000062F2" w:rsidRPr="00D03B55" w:rsidRDefault="000062F2" w:rsidP="007A59D4">
      <w:pPr>
        <w:ind w:left="720"/>
        <w:rPr>
          <w:rFonts w:cstheme="minorHAnsi"/>
        </w:rPr>
      </w:pPr>
      <w:r w:rsidRPr="00D03B55">
        <w:rPr>
          <w:rFonts w:cstheme="minorHAnsi"/>
        </w:rPr>
        <w:t xml:space="preserve"> </w:t>
      </w:r>
      <w:r w:rsidR="007E4655" w:rsidRPr="007A2944">
        <w:rPr>
          <w:rFonts w:cstheme="minorHAnsi"/>
        </w:rPr>
        <w:t>‘</w:t>
      </w:r>
      <w:r w:rsidR="007A59D4" w:rsidRPr="007A2944">
        <w:rPr>
          <w:rFonts w:cstheme="minorHAnsi"/>
        </w:rPr>
        <w:t>o</w:t>
      </w:r>
      <w:r w:rsidRPr="007A2944">
        <w:rPr>
          <w:rFonts w:cstheme="minorHAnsi"/>
        </w:rPr>
        <w:t>ne case where contrary experience lessens not the testimony</w:t>
      </w:r>
      <w:r w:rsidRPr="00D03B55">
        <w:rPr>
          <w:rFonts w:cstheme="minorHAnsi"/>
        </w:rPr>
        <w:t xml:space="preserve">.  Though the ordinary course of things have justly a mighty influence on the minds of men, to make them give or refuse credit to anything proposed to their belief; yet there is one case, where in the </w:t>
      </w:r>
      <w:r w:rsidRPr="00D03B55">
        <w:rPr>
          <w:rFonts w:cstheme="minorHAnsi"/>
        </w:rPr>
        <w:lastRenderedPageBreak/>
        <w:t>strangeness of the fact lessens not the assent to a fair testimony given of it. For where such supernatural events are suitable ends aimed at by him, who has the power to change the cause of nature, there, under such circumstances, they may be the fitter to precure belief, by how much the more they are beyond, or contrary to ordinary observation. This is the proper case of miracles, which well attested, do not only find credit themselves; but give it also to other truths, which need such confirmation</w:t>
      </w:r>
      <w:r w:rsidR="007E4655">
        <w:rPr>
          <w:rFonts w:cstheme="minorHAnsi"/>
        </w:rPr>
        <w:t>’</w:t>
      </w:r>
      <w:r w:rsidRPr="00D03B55">
        <w:rPr>
          <w:rFonts w:cstheme="minorHAnsi"/>
        </w:rPr>
        <w:t>.</w:t>
      </w:r>
      <w:r w:rsidR="007E4655">
        <w:rPr>
          <w:rStyle w:val="FootnoteReference"/>
          <w:rFonts w:cstheme="minorHAnsi"/>
        </w:rPr>
        <w:footnoteReference w:id="35"/>
      </w:r>
      <w:r w:rsidR="007E4655">
        <w:rPr>
          <w:rFonts w:cstheme="minorHAnsi"/>
        </w:rPr>
        <w:t xml:space="preserve"> </w:t>
      </w:r>
    </w:p>
    <w:p w:rsidR="00D81D81" w:rsidRPr="00D03B55" w:rsidRDefault="000062F2" w:rsidP="00D81D81">
      <w:pPr>
        <w:rPr>
          <w:rFonts w:cstheme="minorHAnsi"/>
          <w:b/>
        </w:rPr>
      </w:pPr>
      <w:r w:rsidRPr="00D03B55">
        <w:rPr>
          <w:rFonts w:cstheme="minorHAnsi"/>
        </w:rPr>
        <w:t xml:space="preserve">Within a </w:t>
      </w:r>
      <w:r w:rsidR="007A59D4" w:rsidRPr="00D03B55">
        <w:rPr>
          <w:rFonts w:cstheme="minorHAnsi"/>
        </w:rPr>
        <w:t>supernaturalist</w:t>
      </w:r>
      <w:r w:rsidRPr="00D03B55">
        <w:rPr>
          <w:rFonts w:cstheme="minorHAnsi"/>
        </w:rPr>
        <w:t xml:space="preserve"> ontological framework</w:t>
      </w:r>
      <w:r w:rsidR="009D32B8">
        <w:rPr>
          <w:rFonts w:cstheme="minorHAnsi"/>
        </w:rPr>
        <w:t xml:space="preserve"> (to which the </w:t>
      </w:r>
      <w:r w:rsidR="007A2944">
        <w:rPr>
          <w:rFonts w:cstheme="minorHAnsi"/>
        </w:rPr>
        <w:t xml:space="preserve">opening </w:t>
      </w:r>
      <w:r w:rsidR="009D32B8">
        <w:rPr>
          <w:rFonts w:cstheme="minorHAnsi"/>
        </w:rPr>
        <w:t xml:space="preserve">definition of miracle </w:t>
      </w:r>
      <w:r w:rsidR="00C05203">
        <w:rPr>
          <w:rFonts w:cstheme="minorHAnsi"/>
        </w:rPr>
        <w:t xml:space="preserve">eludes) </w:t>
      </w:r>
      <w:r w:rsidR="00C05203" w:rsidRPr="00D03B55">
        <w:rPr>
          <w:rFonts w:cstheme="minorHAnsi"/>
        </w:rPr>
        <w:t>miracles</w:t>
      </w:r>
      <w:r w:rsidR="001352E2" w:rsidRPr="00D03B55">
        <w:rPr>
          <w:rFonts w:cstheme="minorHAnsi"/>
        </w:rPr>
        <w:t xml:space="preserve"> </w:t>
      </w:r>
      <w:r w:rsidR="00EE42E4" w:rsidRPr="00D03B55">
        <w:rPr>
          <w:rFonts w:cstheme="minorHAnsi"/>
        </w:rPr>
        <w:t xml:space="preserve">are </w:t>
      </w:r>
      <w:r w:rsidR="001352E2" w:rsidRPr="00D03B55">
        <w:rPr>
          <w:rFonts w:cstheme="minorHAnsi"/>
        </w:rPr>
        <w:t>a rational possibility.  However, this does not entail that</w:t>
      </w:r>
      <w:r w:rsidR="00EE42E4" w:rsidRPr="00D03B55">
        <w:rPr>
          <w:rFonts w:cstheme="minorHAnsi"/>
        </w:rPr>
        <w:t xml:space="preserve"> belief</w:t>
      </w:r>
      <w:r w:rsidR="001352E2" w:rsidRPr="00D03B55">
        <w:rPr>
          <w:rFonts w:cstheme="minorHAnsi"/>
        </w:rPr>
        <w:t xml:space="preserve"> on the basis of what someone tells you is.  The proceeding discussions were intended to demonstrate </w:t>
      </w:r>
      <w:r w:rsidR="007A59D4" w:rsidRPr="00D03B55">
        <w:rPr>
          <w:rFonts w:cstheme="minorHAnsi"/>
        </w:rPr>
        <w:t>that</w:t>
      </w:r>
      <w:r w:rsidR="001352E2" w:rsidRPr="00D03B55">
        <w:rPr>
          <w:rFonts w:cstheme="minorHAnsi"/>
        </w:rPr>
        <w:t xml:space="preserve"> </w:t>
      </w:r>
      <w:r w:rsidR="007A59D4" w:rsidRPr="00D03B55">
        <w:rPr>
          <w:rFonts w:cstheme="minorHAnsi"/>
        </w:rPr>
        <w:t>testimony can provide adequate grounds for belief.</w:t>
      </w:r>
      <w:r w:rsidR="001352E2" w:rsidRPr="00D03B55">
        <w:rPr>
          <w:rFonts w:cstheme="minorHAnsi"/>
        </w:rPr>
        <w:t xml:space="preserve"> Although one is more likely to take an incredulous stance</w:t>
      </w:r>
      <w:r w:rsidR="00D81D81" w:rsidRPr="00D03B55">
        <w:rPr>
          <w:rFonts w:cstheme="minorHAnsi"/>
        </w:rPr>
        <w:t xml:space="preserve"> when hearing testimony regarding a miracle, there is </w:t>
      </w:r>
      <w:r w:rsidRPr="00D03B55">
        <w:rPr>
          <w:rFonts w:cstheme="minorHAnsi"/>
        </w:rPr>
        <w:t>no</w:t>
      </w:r>
      <w:r w:rsidR="00D81D81" w:rsidRPr="00D03B55">
        <w:rPr>
          <w:rFonts w:cstheme="minorHAnsi"/>
        </w:rPr>
        <w:t xml:space="preserve"> reason why a person would not be entitled to accept </w:t>
      </w:r>
      <w:r w:rsidR="00EE42E4" w:rsidRPr="00D03B55">
        <w:rPr>
          <w:rFonts w:cstheme="minorHAnsi"/>
        </w:rPr>
        <w:t>a miracle</w:t>
      </w:r>
      <w:r w:rsidR="00D81D81" w:rsidRPr="00D03B55">
        <w:rPr>
          <w:rFonts w:cstheme="minorHAnsi"/>
        </w:rPr>
        <w:t xml:space="preserve"> account that is presented as true and is intelligible</w:t>
      </w:r>
      <w:r w:rsidR="00EE42E4" w:rsidRPr="00D03B55">
        <w:rPr>
          <w:rFonts w:cstheme="minorHAnsi"/>
        </w:rPr>
        <w:t>,</w:t>
      </w:r>
      <w:r w:rsidR="00D81D81" w:rsidRPr="00D03B55">
        <w:rPr>
          <w:rFonts w:cstheme="minorHAnsi"/>
        </w:rPr>
        <w:t xml:space="preserve"> if there are not stronger reasons not to do so.  Locke suggests the following should be taken into consideration if the testimony of others is to be considered: the number of witnesses, the integrity, the skill of the witnesses, the design of the author, the consistency of the parts and circumstances of relation and contrary testimony.  </w:t>
      </w:r>
      <w:r w:rsidR="00EE42E4" w:rsidRPr="00D03B55">
        <w:rPr>
          <w:rFonts w:cstheme="minorHAnsi"/>
        </w:rPr>
        <w:t>Therefore,</w:t>
      </w:r>
      <w:r w:rsidR="00526D57" w:rsidRPr="00D03B55">
        <w:rPr>
          <w:rFonts w:cstheme="minorHAnsi"/>
        </w:rPr>
        <w:t xml:space="preserve"> </w:t>
      </w:r>
      <w:r w:rsidR="00EE42E4" w:rsidRPr="00D03B55">
        <w:rPr>
          <w:rFonts w:cstheme="minorHAnsi"/>
        </w:rPr>
        <w:t>on</w:t>
      </w:r>
      <w:r w:rsidR="00526D57" w:rsidRPr="00D03B55">
        <w:rPr>
          <w:rFonts w:cstheme="minorHAnsi"/>
        </w:rPr>
        <w:t xml:space="preserve"> hear</w:t>
      </w:r>
      <w:r w:rsidR="00EE42E4" w:rsidRPr="00D03B55">
        <w:rPr>
          <w:rFonts w:cstheme="minorHAnsi"/>
        </w:rPr>
        <w:t>ing</w:t>
      </w:r>
      <w:r w:rsidR="00526D57" w:rsidRPr="00D03B55">
        <w:rPr>
          <w:rFonts w:cstheme="minorHAnsi"/>
        </w:rPr>
        <w:t xml:space="preserve"> multiple consistent testimonies of a miracle, from multiple trustworthy and reliable eyewitnesses with no contradictory accounts, then</w:t>
      </w:r>
      <w:r w:rsidR="00526D57" w:rsidRPr="00D03B55">
        <w:rPr>
          <w:rFonts w:cstheme="minorHAnsi"/>
          <w:b/>
        </w:rPr>
        <w:t xml:space="preserve"> </w:t>
      </w:r>
      <w:r w:rsidR="00D81D81" w:rsidRPr="00D03B55">
        <w:rPr>
          <w:rFonts w:cstheme="minorHAnsi"/>
        </w:rPr>
        <w:t xml:space="preserve">Elizabeth </w:t>
      </w:r>
      <w:r w:rsidR="00EE42E4" w:rsidRPr="00D03B55">
        <w:rPr>
          <w:rFonts w:cstheme="minorHAnsi"/>
        </w:rPr>
        <w:t>F</w:t>
      </w:r>
      <w:r w:rsidR="00D81D81" w:rsidRPr="00D03B55">
        <w:rPr>
          <w:rFonts w:cstheme="minorHAnsi"/>
        </w:rPr>
        <w:t>rickey suggest that under epistemically favourable circumstances</w:t>
      </w:r>
      <w:r w:rsidR="00526D57" w:rsidRPr="00D03B55">
        <w:rPr>
          <w:rFonts w:cstheme="minorHAnsi"/>
        </w:rPr>
        <w:t xml:space="preserve"> </w:t>
      </w:r>
      <w:r w:rsidR="00D81D81" w:rsidRPr="00D03B55">
        <w:rPr>
          <w:rFonts w:cstheme="minorHAnsi"/>
        </w:rPr>
        <w:t>“One properly accepts that P on the basis of trust in another’s testimony that P</w:t>
      </w:r>
      <w:r w:rsidR="00526D57" w:rsidRPr="00D03B55">
        <w:rPr>
          <w:rFonts w:cstheme="minorHAnsi"/>
        </w:rPr>
        <w:t>”</w:t>
      </w:r>
      <w:r w:rsidR="00EE42E4" w:rsidRPr="00D03B55">
        <w:rPr>
          <w:rFonts w:cstheme="minorHAnsi"/>
        </w:rPr>
        <w:t>.</w:t>
      </w:r>
      <w:r w:rsidR="009C12E4">
        <w:rPr>
          <w:rStyle w:val="FootnoteReference"/>
          <w:rFonts w:cstheme="minorHAnsi"/>
        </w:rPr>
        <w:footnoteReference w:id="36"/>
      </w:r>
      <w:r w:rsidR="00EE42E4" w:rsidRPr="00D03B55">
        <w:rPr>
          <w:rFonts w:cstheme="minorHAnsi"/>
        </w:rPr>
        <w:t xml:space="preserve"> </w:t>
      </w:r>
      <w:r w:rsidR="00526D57" w:rsidRPr="00D03B55">
        <w:rPr>
          <w:rFonts w:cstheme="minorHAnsi"/>
        </w:rPr>
        <w:t xml:space="preserve"> </w:t>
      </w:r>
    </w:p>
    <w:p w:rsidR="00B63D10" w:rsidRPr="00D03B55" w:rsidRDefault="00B63D10">
      <w:pPr>
        <w:rPr>
          <w:rFonts w:cstheme="minorHAnsi"/>
        </w:rPr>
      </w:pPr>
    </w:p>
    <w:p w:rsidR="00526D57" w:rsidRDefault="003905D1">
      <w:r w:rsidRPr="00D03B55">
        <w:rPr>
          <w:rFonts w:cstheme="minorHAnsi"/>
        </w:rPr>
        <w:t>Word count: 2</w:t>
      </w:r>
      <w:r w:rsidR="00740149">
        <w:rPr>
          <w:rFonts w:cstheme="minorHAnsi"/>
        </w:rPr>
        <w:t>71</w:t>
      </w:r>
      <w:r w:rsidR="00D45397">
        <w:rPr>
          <w:rFonts w:cstheme="minorHAnsi"/>
        </w:rPr>
        <w:t>9</w:t>
      </w:r>
      <w:bookmarkStart w:id="0" w:name="_GoBack"/>
      <w:bookmarkEnd w:id="0"/>
      <w:r w:rsidRPr="00D03B55">
        <w:rPr>
          <w:rFonts w:cstheme="minorHAnsi"/>
        </w:rPr>
        <w:t xml:space="preserve"> (</w:t>
      </w:r>
      <w:r>
        <w:t>excluding references and bibliography)</w:t>
      </w:r>
    </w:p>
    <w:p w:rsidR="0089566F" w:rsidRDefault="0089566F"/>
    <w:p w:rsidR="0089566F" w:rsidRPr="0089566F" w:rsidRDefault="0089566F" w:rsidP="0089566F">
      <w:pPr>
        <w:rPr>
          <w:rFonts w:cstheme="minorHAnsi"/>
          <w:color w:val="000000"/>
        </w:rPr>
      </w:pPr>
      <w:r w:rsidRPr="0089566F">
        <w:rPr>
          <w:rFonts w:cstheme="minorHAnsi"/>
          <w:color w:val="000000"/>
        </w:rPr>
        <w:t>Bibliography</w:t>
      </w:r>
    </w:p>
    <w:p w:rsidR="0089566F" w:rsidRPr="0089566F" w:rsidRDefault="0089566F" w:rsidP="0089566F">
      <w:pPr>
        <w:rPr>
          <w:rFonts w:cstheme="minorHAnsi"/>
          <w:color w:val="000000"/>
          <w:shd w:val="clear" w:color="auto" w:fill="FFFFFF"/>
        </w:rPr>
      </w:pPr>
      <w:r w:rsidRPr="0089566F">
        <w:rPr>
          <w:rFonts w:cstheme="minorHAnsi"/>
          <w:color w:val="000000"/>
          <w:shd w:val="clear" w:color="auto" w:fill="FFFFFF"/>
        </w:rPr>
        <w:t>Adler, Jonathan</w:t>
      </w:r>
      <w:r w:rsidRPr="0089566F">
        <w:rPr>
          <w:rFonts w:cstheme="minorHAnsi"/>
          <w:i/>
          <w:iCs/>
          <w:color w:val="000000"/>
          <w:shd w:val="clear" w:color="auto" w:fill="FFFFFF"/>
        </w:rPr>
        <w:t>, Epistemological Problems of Testimony</w:t>
      </w:r>
      <w:r w:rsidRPr="0089566F">
        <w:rPr>
          <w:rFonts w:cstheme="minorHAnsi"/>
          <w:color w:val="000000"/>
          <w:shd w:val="clear" w:color="auto" w:fill="FFFFFF"/>
        </w:rPr>
        <w:t> (2012) &lt;https://plato.stanford.edu/entries/testimony-episprob/&gt; [accessed 11 March 2018].</w:t>
      </w:r>
    </w:p>
    <w:p w:rsidR="0089566F" w:rsidRPr="0089566F" w:rsidRDefault="0089566F" w:rsidP="0089566F">
      <w:pPr>
        <w:rPr>
          <w:rFonts w:cstheme="minorHAnsi"/>
          <w:color w:val="000000"/>
          <w:shd w:val="clear" w:color="auto" w:fill="FFFFFF"/>
        </w:rPr>
      </w:pPr>
      <w:r w:rsidRPr="0089566F">
        <w:rPr>
          <w:rFonts w:cstheme="minorHAnsi"/>
          <w:color w:val="000000"/>
          <w:shd w:val="clear" w:color="auto" w:fill="FFFFFF"/>
        </w:rPr>
        <w:t>Audi, Robert, 'The Sources of Knowledge', in </w:t>
      </w:r>
      <w:r w:rsidRPr="0089566F">
        <w:rPr>
          <w:rFonts w:cstheme="minorHAnsi"/>
          <w:i/>
          <w:iCs/>
          <w:color w:val="000000"/>
          <w:shd w:val="clear" w:color="auto" w:fill="FFFFFF"/>
        </w:rPr>
        <w:t>The Oxford Handbook of Epistemology</w:t>
      </w:r>
      <w:r w:rsidRPr="0089566F">
        <w:rPr>
          <w:rFonts w:cstheme="minorHAnsi"/>
          <w:color w:val="000000"/>
          <w:shd w:val="clear" w:color="auto" w:fill="FFFFFF"/>
        </w:rPr>
        <w:t xml:space="preserve">, ed. by Paul </w:t>
      </w:r>
      <w:r w:rsidR="000D7E11" w:rsidRPr="0089566F">
        <w:rPr>
          <w:rFonts w:cstheme="minorHAnsi"/>
          <w:color w:val="000000"/>
          <w:shd w:val="clear" w:color="auto" w:fill="FFFFFF"/>
        </w:rPr>
        <w:t>Moser (</w:t>
      </w:r>
      <w:r w:rsidRPr="0089566F">
        <w:rPr>
          <w:rFonts w:cstheme="minorHAnsi"/>
          <w:color w:val="000000"/>
          <w:shd w:val="clear" w:color="auto" w:fill="FFFFFF"/>
        </w:rPr>
        <w:t>New York: Oxford University Press, 2002), 71- 94</w:t>
      </w:r>
    </w:p>
    <w:p w:rsidR="0089566F" w:rsidRPr="0089566F" w:rsidRDefault="0089566F" w:rsidP="0089566F">
      <w:pPr>
        <w:rPr>
          <w:rFonts w:cstheme="minorHAnsi"/>
          <w:color w:val="000000"/>
          <w:shd w:val="clear" w:color="auto" w:fill="FFFFFF"/>
        </w:rPr>
      </w:pPr>
      <w:r w:rsidRPr="0089566F">
        <w:rPr>
          <w:rFonts w:cstheme="minorHAnsi"/>
          <w:color w:val="000000"/>
          <w:shd w:val="clear" w:color="auto" w:fill="FFFFFF"/>
        </w:rPr>
        <w:t>Coleman, Dorothy, 'Hume, Miracles and Lotteries', </w:t>
      </w:r>
      <w:r w:rsidRPr="0089566F">
        <w:rPr>
          <w:rFonts w:cstheme="minorHAnsi"/>
          <w:i/>
          <w:iCs/>
          <w:color w:val="000000"/>
          <w:shd w:val="clear" w:color="auto" w:fill="FFFFFF"/>
        </w:rPr>
        <w:t>Hume Studies</w:t>
      </w:r>
      <w:r w:rsidRPr="0089566F">
        <w:rPr>
          <w:rFonts w:cstheme="minorHAnsi"/>
          <w:color w:val="000000"/>
          <w:shd w:val="clear" w:color="auto" w:fill="FFFFFF"/>
        </w:rPr>
        <w:t>, 14.2, (me, Miracles and Lotteries), 328-346. </w:t>
      </w:r>
    </w:p>
    <w:p w:rsidR="0089566F" w:rsidRPr="0089566F" w:rsidRDefault="0089566F" w:rsidP="0089566F">
      <w:pPr>
        <w:rPr>
          <w:rFonts w:cstheme="minorHAnsi"/>
          <w:color w:val="000000"/>
          <w:shd w:val="clear" w:color="auto" w:fill="FFFFFF"/>
        </w:rPr>
      </w:pPr>
      <w:r w:rsidRPr="0089566F">
        <w:rPr>
          <w:rFonts w:cstheme="minorHAnsi"/>
          <w:color w:val="000000"/>
          <w:shd w:val="clear" w:color="auto" w:fill="FFFFFF"/>
        </w:rPr>
        <w:t>Corner, David, </w:t>
      </w:r>
      <w:r w:rsidRPr="0089566F">
        <w:rPr>
          <w:rFonts w:cstheme="minorHAnsi"/>
          <w:i/>
          <w:iCs/>
          <w:color w:val="000000"/>
          <w:shd w:val="clear" w:color="auto" w:fill="FFFFFF"/>
        </w:rPr>
        <w:t>Miracles</w:t>
      </w:r>
      <w:r w:rsidRPr="0089566F">
        <w:rPr>
          <w:rFonts w:cstheme="minorHAnsi"/>
          <w:color w:val="000000"/>
          <w:shd w:val="clear" w:color="auto" w:fill="FFFFFF"/>
        </w:rPr>
        <w:t> () &lt;http://www.iep.utm.edu/submit/100-most/&gt; [accessed 11 March 2018].</w:t>
      </w:r>
    </w:p>
    <w:p w:rsidR="00B76966" w:rsidRDefault="0089566F" w:rsidP="0089566F">
      <w:pPr>
        <w:rPr>
          <w:rFonts w:cstheme="minorHAnsi"/>
          <w:color w:val="000000"/>
          <w:shd w:val="clear" w:color="auto" w:fill="FFFFFF"/>
        </w:rPr>
      </w:pPr>
      <w:r w:rsidRPr="0089566F">
        <w:rPr>
          <w:rFonts w:cstheme="minorHAnsi"/>
          <w:color w:val="000000"/>
          <w:shd w:val="clear" w:color="auto" w:fill="FFFFFF"/>
        </w:rPr>
        <w:t xml:space="preserve">Frickey, </w:t>
      </w:r>
      <w:r w:rsidR="000D7E11" w:rsidRPr="0089566F">
        <w:rPr>
          <w:rFonts w:cstheme="minorHAnsi"/>
          <w:color w:val="000000"/>
          <w:shd w:val="clear" w:color="auto" w:fill="FFFFFF"/>
        </w:rPr>
        <w:t>Elizabeth, ‘</w:t>
      </w:r>
      <w:r w:rsidRPr="0089566F">
        <w:rPr>
          <w:rFonts w:cstheme="minorHAnsi"/>
          <w:color w:val="000000"/>
          <w:shd w:val="clear" w:color="auto" w:fill="FFFFFF"/>
        </w:rPr>
        <w:t>The Epistemology of Testimony', in </w:t>
      </w:r>
      <w:r w:rsidRPr="0089566F">
        <w:rPr>
          <w:rFonts w:cstheme="minorHAnsi"/>
          <w:i/>
          <w:iCs/>
          <w:color w:val="000000"/>
          <w:shd w:val="clear" w:color="auto" w:fill="FFFFFF"/>
        </w:rPr>
        <w:t>The Epistemology of Testimony</w:t>
      </w:r>
      <w:r w:rsidRPr="0089566F">
        <w:rPr>
          <w:rFonts w:cstheme="minorHAnsi"/>
          <w:color w:val="000000"/>
          <w:shd w:val="clear" w:color="auto" w:fill="FFFFFF"/>
        </w:rPr>
        <w:t xml:space="preserve">, ed. by </w:t>
      </w:r>
    </w:p>
    <w:p w:rsidR="0089566F" w:rsidRPr="0089566F" w:rsidRDefault="0089566F" w:rsidP="0089566F">
      <w:pPr>
        <w:rPr>
          <w:rFonts w:cstheme="minorHAnsi"/>
          <w:color w:val="000000"/>
          <w:shd w:val="clear" w:color="auto" w:fill="FFFFFF"/>
        </w:rPr>
      </w:pPr>
      <w:r w:rsidRPr="0089566F">
        <w:rPr>
          <w:rFonts w:cstheme="minorHAnsi"/>
          <w:color w:val="000000"/>
          <w:shd w:val="clear" w:color="auto" w:fill="FFFFFF"/>
        </w:rPr>
        <w:lastRenderedPageBreak/>
        <w:t xml:space="preserve">Jennifer Lackey and Ernest </w:t>
      </w:r>
      <w:r w:rsidR="000D7E11" w:rsidRPr="0089566F">
        <w:rPr>
          <w:rFonts w:cstheme="minorHAnsi"/>
          <w:color w:val="000000"/>
          <w:shd w:val="clear" w:color="auto" w:fill="FFFFFF"/>
        </w:rPr>
        <w:t>Sosa (</w:t>
      </w:r>
      <w:r w:rsidRPr="0089566F">
        <w:rPr>
          <w:rFonts w:cstheme="minorHAnsi"/>
          <w:color w:val="000000"/>
          <w:shd w:val="clear" w:color="auto" w:fill="FFFFFF"/>
        </w:rPr>
        <w:t>Oxford: Oxford University Press, 2006), 225-253</w:t>
      </w:r>
    </w:p>
    <w:p w:rsidR="0089566F" w:rsidRPr="0089566F" w:rsidRDefault="0089566F" w:rsidP="0089566F">
      <w:pPr>
        <w:rPr>
          <w:rFonts w:cstheme="minorHAnsi"/>
          <w:color w:val="000000"/>
          <w:shd w:val="clear" w:color="auto" w:fill="FFFFFF"/>
        </w:rPr>
      </w:pPr>
      <w:r w:rsidRPr="0089566F">
        <w:rPr>
          <w:rFonts w:cstheme="minorHAnsi"/>
          <w:color w:val="000000"/>
          <w:shd w:val="clear" w:color="auto" w:fill="FFFFFF"/>
        </w:rPr>
        <w:t>Green, </w:t>
      </w:r>
      <w:r w:rsidR="000D7E11" w:rsidRPr="0089566F">
        <w:rPr>
          <w:rFonts w:cstheme="minorHAnsi"/>
          <w:color w:val="000000"/>
          <w:shd w:val="clear" w:color="auto" w:fill="FFFFFF"/>
        </w:rPr>
        <w:t>Christopher</w:t>
      </w:r>
      <w:r w:rsidR="000D7E11" w:rsidRPr="0089566F">
        <w:rPr>
          <w:rFonts w:cstheme="minorHAnsi"/>
          <w:i/>
          <w:iCs/>
          <w:color w:val="000000"/>
          <w:shd w:val="clear" w:color="auto" w:fill="FFFFFF"/>
        </w:rPr>
        <w:t>,</w:t>
      </w:r>
      <w:r w:rsidRPr="0089566F">
        <w:rPr>
          <w:rFonts w:cstheme="minorHAnsi"/>
          <w:i/>
          <w:iCs/>
          <w:color w:val="000000"/>
          <w:shd w:val="clear" w:color="auto" w:fill="FFFFFF"/>
        </w:rPr>
        <w:t xml:space="preserve"> Epistemology of Testimony</w:t>
      </w:r>
      <w:r w:rsidRPr="0089566F">
        <w:rPr>
          <w:rFonts w:cstheme="minorHAnsi"/>
          <w:color w:val="000000"/>
          <w:shd w:val="clear" w:color="auto" w:fill="FFFFFF"/>
        </w:rPr>
        <w:t> () &lt;https://www.iep.utm.edu/ep-testi/&gt; [accessed 24 March 2018].</w:t>
      </w:r>
    </w:p>
    <w:p w:rsidR="0089566F" w:rsidRPr="0089566F" w:rsidRDefault="0089566F" w:rsidP="0089566F">
      <w:pPr>
        <w:rPr>
          <w:rFonts w:cstheme="minorHAnsi"/>
          <w:color w:val="000000"/>
          <w:shd w:val="clear" w:color="auto" w:fill="FFFFFF"/>
        </w:rPr>
      </w:pPr>
      <w:r w:rsidRPr="0089566F">
        <w:rPr>
          <w:rFonts w:cstheme="minorHAnsi"/>
          <w:color w:val="000000"/>
          <w:shd w:val="clear" w:color="auto" w:fill="FFFFFF"/>
        </w:rPr>
        <w:t>Holy Bible (II Peter 1.16)</w:t>
      </w:r>
    </w:p>
    <w:p w:rsidR="0089566F" w:rsidRPr="0089566F" w:rsidRDefault="0089566F" w:rsidP="0089566F">
      <w:pPr>
        <w:rPr>
          <w:rFonts w:cstheme="minorHAnsi"/>
          <w:color w:val="000000"/>
          <w:shd w:val="clear" w:color="auto" w:fill="FFFFFF"/>
        </w:rPr>
      </w:pPr>
      <w:r w:rsidRPr="0089566F">
        <w:rPr>
          <w:rFonts w:cstheme="minorHAnsi"/>
          <w:color w:val="000000"/>
          <w:shd w:val="clear" w:color="auto" w:fill="FFFFFF"/>
        </w:rPr>
        <w:t>Hume, David </w:t>
      </w:r>
      <w:r w:rsidRPr="0089566F">
        <w:rPr>
          <w:rFonts w:cstheme="minorHAnsi"/>
          <w:i/>
          <w:iCs/>
          <w:color w:val="000000"/>
          <w:shd w:val="clear" w:color="auto" w:fill="FFFFFF"/>
        </w:rPr>
        <w:t>The Essential Philosophical Works</w:t>
      </w:r>
      <w:r w:rsidRPr="0089566F">
        <w:rPr>
          <w:rFonts w:cstheme="minorHAnsi"/>
          <w:color w:val="000000"/>
          <w:shd w:val="clear" w:color="auto" w:fill="FFFFFF"/>
        </w:rPr>
        <w:t>, ed. by Tom Griffith (Ware: Wordsworth Editions Limited, 2011)</w:t>
      </w:r>
    </w:p>
    <w:p w:rsidR="0089566F" w:rsidRPr="0089566F" w:rsidRDefault="0089566F" w:rsidP="0089566F">
      <w:pPr>
        <w:rPr>
          <w:rFonts w:cstheme="minorHAnsi"/>
        </w:rPr>
      </w:pPr>
      <w:r w:rsidRPr="0089566F">
        <w:rPr>
          <w:rFonts w:cstheme="minorHAnsi"/>
          <w:color w:val="000000"/>
          <w:shd w:val="clear" w:color="auto" w:fill="FFFFFF"/>
        </w:rPr>
        <w:t xml:space="preserve">Lewis, Clive </w:t>
      </w:r>
      <w:r w:rsidR="000D7E11" w:rsidRPr="0089566F">
        <w:rPr>
          <w:rFonts w:cstheme="minorHAnsi"/>
          <w:color w:val="000000"/>
          <w:shd w:val="clear" w:color="auto" w:fill="FFFFFF"/>
        </w:rPr>
        <w:t>Staples,</w:t>
      </w:r>
      <w:r w:rsidRPr="0089566F">
        <w:rPr>
          <w:rFonts w:cstheme="minorHAnsi"/>
          <w:color w:val="000000"/>
          <w:shd w:val="clear" w:color="auto" w:fill="FFFFFF"/>
        </w:rPr>
        <w:t xml:space="preserve"> </w:t>
      </w:r>
      <w:r w:rsidRPr="0089566F">
        <w:rPr>
          <w:rFonts w:cstheme="minorHAnsi"/>
          <w:i/>
          <w:iCs/>
          <w:color w:val="000000"/>
          <w:shd w:val="clear" w:color="auto" w:fill="FFFFFF"/>
        </w:rPr>
        <w:t>Miracles</w:t>
      </w:r>
      <w:r w:rsidRPr="0089566F">
        <w:rPr>
          <w:rFonts w:cstheme="minorHAnsi"/>
          <w:color w:val="000000"/>
          <w:shd w:val="clear" w:color="auto" w:fill="FFFFFF"/>
        </w:rPr>
        <w:t> (Hammersmith: Collins, 2012).</w:t>
      </w:r>
    </w:p>
    <w:p w:rsidR="0089566F" w:rsidRPr="0089566F" w:rsidRDefault="0089566F" w:rsidP="0089566F">
      <w:pPr>
        <w:rPr>
          <w:rFonts w:cstheme="minorHAnsi"/>
          <w:color w:val="000000"/>
          <w:shd w:val="clear" w:color="auto" w:fill="FFFFFF"/>
        </w:rPr>
      </w:pPr>
      <w:r w:rsidRPr="0089566F">
        <w:rPr>
          <w:rFonts w:cstheme="minorHAnsi"/>
          <w:color w:val="000000"/>
          <w:shd w:val="clear" w:color="auto" w:fill="FFFFFF"/>
        </w:rPr>
        <w:t>Lipton, Peter 'The Epistemology of Testimony', </w:t>
      </w:r>
      <w:r w:rsidRPr="0089566F">
        <w:rPr>
          <w:rFonts w:cstheme="minorHAnsi"/>
          <w:i/>
          <w:iCs/>
          <w:color w:val="000000"/>
          <w:shd w:val="clear" w:color="auto" w:fill="FFFFFF"/>
        </w:rPr>
        <w:t>Studies in History and Philosophy of Science</w:t>
      </w:r>
      <w:r w:rsidRPr="0089566F">
        <w:rPr>
          <w:rFonts w:cstheme="minorHAnsi"/>
          <w:color w:val="000000"/>
          <w:shd w:val="clear" w:color="auto" w:fill="FFFFFF"/>
        </w:rPr>
        <w:t xml:space="preserve">, 29.1, (1998), 1-31 </w:t>
      </w:r>
    </w:p>
    <w:p w:rsidR="0089566F" w:rsidRPr="0089566F" w:rsidRDefault="0089566F" w:rsidP="0089566F">
      <w:pPr>
        <w:rPr>
          <w:rFonts w:cstheme="minorHAnsi"/>
          <w:color w:val="000000"/>
          <w:shd w:val="clear" w:color="auto" w:fill="FFFFFF"/>
        </w:rPr>
      </w:pPr>
      <w:r w:rsidRPr="0089566F">
        <w:rPr>
          <w:rFonts w:cstheme="minorHAnsi"/>
          <w:color w:val="000000"/>
          <w:shd w:val="clear" w:color="auto" w:fill="FFFFFF"/>
        </w:rPr>
        <w:t>Locke, </w:t>
      </w:r>
      <w:r w:rsidR="000D7E11" w:rsidRPr="0089566F">
        <w:rPr>
          <w:rFonts w:cstheme="minorHAnsi"/>
          <w:color w:val="000000"/>
          <w:shd w:val="clear" w:color="auto" w:fill="FFFFFF"/>
        </w:rPr>
        <w:t>John</w:t>
      </w:r>
      <w:r w:rsidR="000D7E11" w:rsidRPr="0089566F">
        <w:rPr>
          <w:rFonts w:cstheme="minorHAnsi"/>
          <w:i/>
          <w:iCs/>
          <w:color w:val="000000"/>
          <w:shd w:val="clear" w:color="auto" w:fill="FFFFFF"/>
        </w:rPr>
        <w:t>,</w:t>
      </w:r>
      <w:r w:rsidRPr="0089566F">
        <w:rPr>
          <w:rFonts w:cstheme="minorHAnsi"/>
          <w:i/>
          <w:iCs/>
          <w:color w:val="000000"/>
          <w:shd w:val="clear" w:color="auto" w:fill="FFFFFF"/>
        </w:rPr>
        <w:t xml:space="preserve"> An Essay Concerning Human Understanding</w:t>
      </w:r>
      <w:r w:rsidRPr="0089566F">
        <w:rPr>
          <w:rFonts w:cstheme="minorHAnsi"/>
          <w:color w:val="000000"/>
          <w:shd w:val="clear" w:color="auto" w:fill="FFFFFF"/>
        </w:rPr>
        <w:t>, ed. by Kenneth P. Winkler (Indianapolis: Hacket</w:t>
      </w:r>
      <w:r w:rsidR="000D7E11">
        <w:rPr>
          <w:rFonts w:cstheme="minorHAnsi"/>
          <w:color w:val="000000"/>
          <w:shd w:val="clear" w:color="auto" w:fill="FFFFFF"/>
        </w:rPr>
        <w:t>t</w:t>
      </w:r>
      <w:r w:rsidRPr="0089566F">
        <w:rPr>
          <w:rFonts w:cstheme="minorHAnsi"/>
          <w:color w:val="000000"/>
          <w:shd w:val="clear" w:color="auto" w:fill="FFFFFF"/>
        </w:rPr>
        <w:t xml:space="preserve"> Publishing Company Inc, 1996)</w:t>
      </w:r>
    </w:p>
    <w:p w:rsidR="0089566F" w:rsidRDefault="0089566F" w:rsidP="0089566F">
      <w:pPr>
        <w:rPr>
          <w:color w:val="000000"/>
          <w:sz w:val="29"/>
          <w:szCs w:val="29"/>
          <w:shd w:val="clear" w:color="auto" w:fill="FFFFFF"/>
        </w:rPr>
      </w:pPr>
      <w:r w:rsidRPr="0089566F">
        <w:rPr>
          <w:rFonts w:cstheme="minorHAnsi"/>
          <w:color w:val="000000"/>
          <w:shd w:val="clear" w:color="auto" w:fill="FFFFFF"/>
        </w:rPr>
        <w:t>McGrew, </w:t>
      </w:r>
      <w:r w:rsidR="000D7E11" w:rsidRPr="0089566F">
        <w:rPr>
          <w:rFonts w:cstheme="minorHAnsi"/>
          <w:color w:val="000000"/>
          <w:shd w:val="clear" w:color="auto" w:fill="FFFFFF"/>
        </w:rPr>
        <w:t>Timothy,</w:t>
      </w:r>
      <w:r w:rsidR="000D7E11" w:rsidRPr="0089566F">
        <w:rPr>
          <w:rFonts w:cstheme="minorHAnsi"/>
          <w:i/>
          <w:iCs/>
          <w:color w:val="000000"/>
          <w:shd w:val="clear" w:color="auto" w:fill="FFFFFF"/>
        </w:rPr>
        <w:t xml:space="preserve"> Miracles</w:t>
      </w:r>
      <w:r w:rsidRPr="0089566F">
        <w:rPr>
          <w:rFonts w:cstheme="minorHAnsi"/>
          <w:color w:val="000000"/>
          <w:shd w:val="clear" w:color="auto" w:fill="FFFFFF"/>
        </w:rPr>
        <w:t> (2014) &lt;https://plato.stanford.edu/entries/miracles/&gt; [accessed 11 April 2018].</w:t>
      </w:r>
      <w:r>
        <w:rPr>
          <w:color w:val="000000"/>
          <w:sz w:val="29"/>
          <w:szCs w:val="29"/>
        </w:rPr>
        <w:br/>
      </w:r>
      <w:r>
        <w:rPr>
          <w:color w:val="000000"/>
          <w:sz w:val="29"/>
          <w:szCs w:val="29"/>
        </w:rPr>
        <w:br/>
      </w:r>
    </w:p>
    <w:p w:rsidR="0089566F" w:rsidRDefault="0089566F"/>
    <w:sectPr w:rsidR="0089566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301D" w:rsidRDefault="0087301D" w:rsidP="00EF022D">
      <w:pPr>
        <w:spacing w:after="0" w:line="240" w:lineRule="auto"/>
      </w:pPr>
      <w:r>
        <w:separator/>
      </w:r>
    </w:p>
  </w:endnote>
  <w:endnote w:type="continuationSeparator" w:id="0">
    <w:p w:rsidR="0087301D" w:rsidRDefault="0087301D" w:rsidP="00EF0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3205854"/>
      <w:docPartObj>
        <w:docPartGallery w:val="Page Numbers (Bottom of Page)"/>
        <w:docPartUnique/>
      </w:docPartObj>
    </w:sdtPr>
    <w:sdtEndPr>
      <w:rPr>
        <w:noProof/>
      </w:rPr>
    </w:sdtEndPr>
    <w:sdtContent>
      <w:p w:rsidR="007408FE" w:rsidRDefault="007408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408FE" w:rsidRDefault="00740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301D" w:rsidRDefault="0087301D" w:rsidP="00EF022D">
      <w:pPr>
        <w:spacing w:after="0" w:line="240" w:lineRule="auto"/>
      </w:pPr>
      <w:r>
        <w:separator/>
      </w:r>
    </w:p>
  </w:footnote>
  <w:footnote w:type="continuationSeparator" w:id="0">
    <w:p w:rsidR="0087301D" w:rsidRDefault="0087301D" w:rsidP="00EF022D">
      <w:pPr>
        <w:spacing w:after="0" w:line="240" w:lineRule="auto"/>
      </w:pPr>
      <w:r>
        <w:continuationSeparator/>
      </w:r>
    </w:p>
  </w:footnote>
  <w:footnote w:id="1">
    <w:p w:rsidR="00CC3944" w:rsidRDefault="00CC3944" w:rsidP="00CC3944">
      <w:pPr>
        <w:pStyle w:val="FootnoteText"/>
      </w:pPr>
      <w:r>
        <w:rPr>
          <w:rStyle w:val="FootnoteReference"/>
        </w:rPr>
        <w:footnoteRef/>
      </w:r>
      <w:r>
        <w:t xml:space="preserve"> </w:t>
      </w:r>
      <w:r w:rsidRPr="00CA4D0C">
        <w:rPr>
          <w:color w:val="000000"/>
          <w:shd w:val="clear" w:color="auto" w:fill="FFFFFF"/>
        </w:rPr>
        <w:t>Timothy McGrew, </w:t>
      </w:r>
      <w:r w:rsidRPr="00CA4D0C">
        <w:rPr>
          <w:i/>
          <w:iCs/>
          <w:color w:val="000000"/>
          <w:shd w:val="clear" w:color="auto" w:fill="FFFFFF"/>
        </w:rPr>
        <w:t>Miracles</w:t>
      </w:r>
      <w:r w:rsidRPr="00CA4D0C">
        <w:rPr>
          <w:color w:val="000000"/>
          <w:shd w:val="clear" w:color="auto" w:fill="FFFFFF"/>
        </w:rPr>
        <w:t> (2014) &lt;https://plato.stanford.edu/entries/miracles/&gt; [accessed 11 April 2018].</w:t>
      </w:r>
    </w:p>
  </w:footnote>
  <w:footnote w:id="2">
    <w:p w:rsidR="0089566F" w:rsidRPr="00EF022D" w:rsidRDefault="0089566F" w:rsidP="00EF022D">
      <w:pPr>
        <w:rPr>
          <w:color w:val="000000"/>
          <w:sz w:val="20"/>
          <w:szCs w:val="20"/>
          <w:shd w:val="clear" w:color="auto" w:fill="FFFFFF"/>
        </w:rPr>
      </w:pPr>
      <w:r>
        <w:rPr>
          <w:rStyle w:val="FootnoteReference"/>
        </w:rPr>
        <w:footnoteRef/>
      </w:r>
      <w:r>
        <w:t xml:space="preserve"> </w:t>
      </w:r>
      <w:r w:rsidRPr="00CA4D0C">
        <w:rPr>
          <w:color w:val="000000"/>
          <w:sz w:val="20"/>
          <w:szCs w:val="20"/>
          <w:shd w:val="clear" w:color="auto" w:fill="FFFFFF"/>
        </w:rPr>
        <w:t>David H</w:t>
      </w:r>
      <w:r>
        <w:rPr>
          <w:color w:val="000000"/>
          <w:sz w:val="20"/>
          <w:szCs w:val="20"/>
          <w:shd w:val="clear" w:color="auto" w:fill="FFFFFF"/>
        </w:rPr>
        <w:t>u</w:t>
      </w:r>
      <w:r w:rsidRPr="00CA4D0C">
        <w:rPr>
          <w:color w:val="000000"/>
          <w:sz w:val="20"/>
          <w:szCs w:val="20"/>
          <w:shd w:val="clear" w:color="auto" w:fill="FFFFFF"/>
        </w:rPr>
        <w:t>me, </w:t>
      </w:r>
      <w:r w:rsidRPr="00CA4D0C">
        <w:rPr>
          <w:i/>
          <w:iCs/>
          <w:color w:val="000000"/>
          <w:sz w:val="20"/>
          <w:szCs w:val="20"/>
          <w:shd w:val="clear" w:color="auto" w:fill="FFFFFF"/>
        </w:rPr>
        <w:t>The Essential Philosophical Works</w:t>
      </w:r>
      <w:r w:rsidRPr="00CA4D0C">
        <w:rPr>
          <w:color w:val="000000"/>
          <w:sz w:val="20"/>
          <w:szCs w:val="20"/>
          <w:shd w:val="clear" w:color="auto" w:fill="FFFFFF"/>
        </w:rPr>
        <w:t>, ed. by Tom Griffith (Ware: Wordsworth Editions Limited, 2011), p. 6</w:t>
      </w:r>
      <w:r>
        <w:rPr>
          <w:color w:val="000000"/>
          <w:sz w:val="20"/>
          <w:szCs w:val="20"/>
          <w:shd w:val="clear" w:color="auto" w:fill="FFFFFF"/>
        </w:rPr>
        <w:t>75</w:t>
      </w:r>
      <w:r w:rsidRPr="00CA4D0C">
        <w:rPr>
          <w:color w:val="000000"/>
          <w:sz w:val="20"/>
          <w:szCs w:val="20"/>
          <w:shd w:val="clear" w:color="auto" w:fill="FFFFFF"/>
        </w:rPr>
        <w:t>.</w:t>
      </w:r>
    </w:p>
  </w:footnote>
  <w:footnote w:id="3">
    <w:p w:rsidR="0089566F" w:rsidRDefault="0089566F">
      <w:pPr>
        <w:pStyle w:val="FootnoteText"/>
      </w:pPr>
      <w:r>
        <w:rPr>
          <w:rStyle w:val="FootnoteReference"/>
        </w:rPr>
        <w:footnoteRef/>
      </w:r>
      <w:r>
        <w:t xml:space="preserve"> </w:t>
      </w:r>
      <w:r>
        <w:rPr>
          <w:color w:val="000000"/>
          <w:shd w:val="clear" w:color="auto" w:fill="FFFFFF"/>
        </w:rPr>
        <w:t>Ibid.,</w:t>
      </w:r>
      <w:r w:rsidRPr="00CA4D0C">
        <w:rPr>
          <w:color w:val="000000"/>
          <w:shd w:val="clear" w:color="auto" w:fill="FFFFFF"/>
        </w:rPr>
        <w:t xml:space="preserve"> </w:t>
      </w:r>
      <w:r>
        <w:rPr>
          <w:color w:val="000000"/>
          <w:shd w:val="clear" w:color="auto" w:fill="FFFFFF"/>
        </w:rPr>
        <w:t xml:space="preserve">p. </w:t>
      </w:r>
      <w:r w:rsidRPr="00CA4D0C">
        <w:rPr>
          <w:color w:val="000000"/>
          <w:shd w:val="clear" w:color="auto" w:fill="FFFFFF"/>
        </w:rPr>
        <w:t>6</w:t>
      </w:r>
      <w:r>
        <w:rPr>
          <w:color w:val="000000"/>
          <w:shd w:val="clear" w:color="auto" w:fill="FFFFFF"/>
        </w:rPr>
        <w:t>61.</w:t>
      </w:r>
    </w:p>
  </w:footnote>
  <w:footnote w:id="4">
    <w:p w:rsidR="0089566F" w:rsidRDefault="0089566F">
      <w:pPr>
        <w:pStyle w:val="FootnoteText"/>
      </w:pPr>
      <w:r>
        <w:rPr>
          <w:rStyle w:val="FootnoteReference"/>
        </w:rPr>
        <w:footnoteRef/>
      </w:r>
      <w:r>
        <w:t xml:space="preserve"> Ibid., p. 661</w:t>
      </w:r>
    </w:p>
  </w:footnote>
  <w:footnote w:id="5">
    <w:p w:rsidR="0089566F" w:rsidRDefault="0089566F">
      <w:pPr>
        <w:pStyle w:val="FootnoteText"/>
      </w:pPr>
      <w:r>
        <w:rPr>
          <w:rStyle w:val="FootnoteReference"/>
        </w:rPr>
        <w:footnoteRef/>
      </w:r>
      <w:r>
        <w:t xml:space="preserve"> Ibid., p. 663</w:t>
      </w:r>
    </w:p>
  </w:footnote>
  <w:footnote w:id="6">
    <w:p w:rsidR="0089566F" w:rsidRDefault="0089566F">
      <w:pPr>
        <w:pStyle w:val="FootnoteText"/>
      </w:pPr>
      <w:r>
        <w:rPr>
          <w:rStyle w:val="FootnoteReference"/>
        </w:rPr>
        <w:footnoteRef/>
      </w:r>
      <w:r>
        <w:t xml:space="preserve"> Ibid., p. 663</w:t>
      </w:r>
    </w:p>
  </w:footnote>
  <w:footnote w:id="7">
    <w:p w:rsidR="0089566F" w:rsidRDefault="0089566F">
      <w:pPr>
        <w:pStyle w:val="FootnoteText"/>
      </w:pPr>
      <w:r>
        <w:rPr>
          <w:rStyle w:val="FootnoteReference"/>
        </w:rPr>
        <w:footnoteRef/>
      </w:r>
      <w:r>
        <w:t xml:space="preserve"> Ibid., p. 663</w:t>
      </w:r>
    </w:p>
  </w:footnote>
  <w:footnote w:id="8">
    <w:p w:rsidR="0089566F" w:rsidRDefault="0089566F">
      <w:pPr>
        <w:pStyle w:val="FootnoteText"/>
      </w:pPr>
      <w:r>
        <w:rPr>
          <w:rStyle w:val="FootnoteReference"/>
        </w:rPr>
        <w:footnoteRef/>
      </w:r>
      <w:r>
        <w:t xml:space="preserve"> Holy bible (</w:t>
      </w:r>
      <w:r>
        <w:rPr>
          <w:rFonts w:cstheme="minorHAnsi"/>
          <w:color w:val="000000"/>
          <w:shd w:val="clear" w:color="auto" w:fill="FFFFFF"/>
        </w:rPr>
        <w:t xml:space="preserve">II </w:t>
      </w:r>
      <w:r w:rsidRPr="00D03B55">
        <w:rPr>
          <w:rFonts w:cstheme="minorHAnsi"/>
          <w:color w:val="000000"/>
          <w:sz w:val="22"/>
          <w:szCs w:val="22"/>
          <w:shd w:val="clear" w:color="auto" w:fill="FFFFFF"/>
        </w:rPr>
        <w:t>Peter 1</w:t>
      </w:r>
      <w:r>
        <w:rPr>
          <w:rFonts w:cstheme="minorHAnsi"/>
          <w:color w:val="000000"/>
          <w:shd w:val="clear" w:color="auto" w:fill="FFFFFF"/>
        </w:rPr>
        <w:t>.</w:t>
      </w:r>
      <w:r w:rsidRPr="00D03B55">
        <w:rPr>
          <w:rFonts w:cstheme="minorHAnsi"/>
          <w:color w:val="000000"/>
          <w:sz w:val="22"/>
          <w:szCs w:val="22"/>
          <w:shd w:val="clear" w:color="auto" w:fill="FFFFFF"/>
        </w:rPr>
        <w:t>16</w:t>
      </w:r>
      <w:r>
        <w:rPr>
          <w:rFonts w:cstheme="minorHAnsi"/>
          <w:color w:val="000000"/>
          <w:sz w:val="22"/>
          <w:szCs w:val="22"/>
          <w:shd w:val="clear" w:color="auto" w:fill="FFFFFF"/>
        </w:rPr>
        <w:t>)</w:t>
      </w:r>
    </w:p>
  </w:footnote>
  <w:footnote w:id="9">
    <w:p w:rsidR="0089566F" w:rsidRPr="00CE7687" w:rsidRDefault="0089566F" w:rsidP="00CE7687">
      <w:pPr>
        <w:rPr>
          <w:color w:val="000000"/>
          <w:sz w:val="20"/>
          <w:szCs w:val="20"/>
          <w:shd w:val="clear" w:color="auto" w:fill="FFFFFF"/>
        </w:rPr>
      </w:pPr>
      <w:r>
        <w:rPr>
          <w:rStyle w:val="FootnoteReference"/>
        </w:rPr>
        <w:footnoteRef/>
      </w:r>
      <w:r>
        <w:t xml:space="preserve"> </w:t>
      </w:r>
      <w:r w:rsidRPr="0006232A">
        <w:rPr>
          <w:color w:val="000000"/>
          <w:sz w:val="20"/>
          <w:szCs w:val="20"/>
          <w:shd w:val="clear" w:color="auto" w:fill="FFFFFF"/>
        </w:rPr>
        <w:t>Jonathan Adler, </w:t>
      </w:r>
      <w:r w:rsidRPr="0006232A">
        <w:rPr>
          <w:i/>
          <w:iCs/>
          <w:color w:val="000000"/>
          <w:sz w:val="20"/>
          <w:szCs w:val="20"/>
          <w:shd w:val="clear" w:color="auto" w:fill="FFFFFF"/>
        </w:rPr>
        <w:t>Epistemological Problems of Testimony</w:t>
      </w:r>
      <w:r w:rsidRPr="0006232A">
        <w:rPr>
          <w:color w:val="000000"/>
          <w:sz w:val="20"/>
          <w:szCs w:val="20"/>
          <w:shd w:val="clear" w:color="auto" w:fill="FFFFFF"/>
        </w:rPr>
        <w:t> (2012) &lt;https://plato.stanford.edu/entries/testimony-episprob/&gt; [accessed 11 March 2018].</w:t>
      </w:r>
    </w:p>
  </w:footnote>
  <w:footnote w:id="10">
    <w:p w:rsidR="0089566F" w:rsidRPr="003B53B2" w:rsidRDefault="0089566F" w:rsidP="003B53B2">
      <w:pPr>
        <w:rPr>
          <w:color w:val="000000"/>
          <w:sz w:val="20"/>
          <w:szCs w:val="20"/>
          <w:shd w:val="clear" w:color="auto" w:fill="FFFFFF"/>
        </w:rPr>
      </w:pPr>
      <w:r>
        <w:rPr>
          <w:rStyle w:val="FootnoteReference"/>
        </w:rPr>
        <w:footnoteRef/>
      </w:r>
      <w:r>
        <w:t xml:space="preserve"> </w:t>
      </w:r>
      <w:r w:rsidRPr="00CA4D0C">
        <w:rPr>
          <w:color w:val="000000"/>
          <w:sz w:val="20"/>
          <w:szCs w:val="20"/>
          <w:shd w:val="clear" w:color="auto" w:fill="FFFFFF"/>
        </w:rPr>
        <w:t>Peter Lipton, 'The Epistemology of Testimony', </w:t>
      </w:r>
      <w:r w:rsidRPr="00CA4D0C">
        <w:rPr>
          <w:i/>
          <w:iCs/>
          <w:color w:val="000000"/>
          <w:sz w:val="20"/>
          <w:szCs w:val="20"/>
          <w:shd w:val="clear" w:color="auto" w:fill="FFFFFF"/>
        </w:rPr>
        <w:t>Studies in History and Philosophy of Science</w:t>
      </w:r>
      <w:r w:rsidRPr="00CA4D0C">
        <w:rPr>
          <w:color w:val="000000"/>
          <w:sz w:val="20"/>
          <w:szCs w:val="20"/>
          <w:shd w:val="clear" w:color="auto" w:fill="FFFFFF"/>
        </w:rPr>
        <w:t xml:space="preserve">, 29.1, (1998), 1-31 (p. </w:t>
      </w:r>
      <w:r>
        <w:rPr>
          <w:color w:val="000000"/>
          <w:sz w:val="20"/>
          <w:szCs w:val="20"/>
          <w:shd w:val="clear" w:color="auto" w:fill="FFFFFF"/>
        </w:rPr>
        <w:t>1</w:t>
      </w:r>
      <w:r w:rsidRPr="00CA4D0C">
        <w:rPr>
          <w:color w:val="000000"/>
          <w:sz w:val="20"/>
          <w:szCs w:val="20"/>
          <w:shd w:val="clear" w:color="auto" w:fill="FFFFFF"/>
        </w:rPr>
        <w:t>6). </w:t>
      </w:r>
    </w:p>
  </w:footnote>
  <w:footnote w:id="11">
    <w:p w:rsidR="0089566F" w:rsidRDefault="0089566F">
      <w:pPr>
        <w:pStyle w:val="FootnoteText"/>
      </w:pPr>
      <w:r>
        <w:rPr>
          <w:rStyle w:val="FootnoteReference"/>
        </w:rPr>
        <w:footnoteRef/>
      </w:r>
      <w:r>
        <w:t xml:space="preserve"> Ibid., p. 2</w:t>
      </w:r>
    </w:p>
  </w:footnote>
  <w:footnote w:id="12">
    <w:p w:rsidR="0089566F" w:rsidRPr="00070566" w:rsidRDefault="0089566F" w:rsidP="00070566">
      <w:pPr>
        <w:rPr>
          <w:color w:val="000000"/>
          <w:sz w:val="20"/>
          <w:szCs w:val="20"/>
          <w:shd w:val="clear" w:color="auto" w:fill="FFFFFF"/>
        </w:rPr>
      </w:pPr>
      <w:r>
        <w:rPr>
          <w:rStyle w:val="FootnoteReference"/>
        </w:rPr>
        <w:footnoteRef/>
      </w:r>
      <w:r>
        <w:t xml:space="preserve"> </w:t>
      </w:r>
      <w:r w:rsidRPr="0006232A">
        <w:rPr>
          <w:color w:val="000000"/>
          <w:sz w:val="20"/>
          <w:szCs w:val="20"/>
          <w:shd w:val="clear" w:color="auto" w:fill="FFFFFF"/>
        </w:rPr>
        <w:t>Robert Audi, 'The Sources of Knowledge', in </w:t>
      </w:r>
      <w:r w:rsidRPr="0006232A">
        <w:rPr>
          <w:i/>
          <w:iCs/>
          <w:color w:val="000000"/>
          <w:sz w:val="20"/>
          <w:szCs w:val="20"/>
          <w:shd w:val="clear" w:color="auto" w:fill="FFFFFF"/>
        </w:rPr>
        <w:t>The Oxford Handbook of Epistemology</w:t>
      </w:r>
      <w:r w:rsidRPr="0006232A">
        <w:rPr>
          <w:color w:val="000000"/>
          <w:sz w:val="20"/>
          <w:szCs w:val="20"/>
          <w:shd w:val="clear" w:color="auto" w:fill="FFFFFF"/>
        </w:rPr>
        <w:t xml:space="preserve">, ed. by Paul Moser (New York: Oxford University Press, 2002), 71- 94 (p. </w:t>
      </w:r>
      <w:r>
        <w:rPr>
          <w:color w:val="000000"/>
          <w:sz w:val="20"/>
          <w:szCs w:val="20"/>
          <w:shd w:val="clear" w:color="auto" w:fill="FFFFFF"/>
        </w:rPr>
        <w:t>79</w:t>
      </w:r>
      <w:r w:rsidRPr="0006232A">
        <w:rPr>
          <w:color w:val="000000"/>
          <w:sz w:val="20"/>
          <w:szCs w:val="20"/>
          <w:shd w:val="clear" w:color="auto" w:fill="FFFFFF"/>
        </w:rPr>
        <w:t>)</w:t>
      </w:r>
    </w:p>
  </w:footnote>
  <w:footnote w:id="13">
    <w:p w:rsidR="0089566F" w:rsidRDefault="0089566F">
      <w:pPr>
        <w:pStyle w:val="FootnoteText"/>
      </w:pPr>
      <w:r>
        <w:rPr>
          <w:rStyle w:val="FootnoteReference"/>
        </w:rPr>
        <w:footnoteRef/>
      </w:r>
      <w:r>
        <w:t xml:space="preserve"> </w:t>
      </w:r>
      <w:r w:rsidRPr="0006232A">
        <w:rPr>
          <w:color w:val="000000"/>
          <w:shd w:val="clear" w:color="auto" w:fill="FFFFFF"/>
        </w:rPr>
        <w:t>Elizabeth F</w:t>
      </w:r>
      <w:r>
        <w:rPr>
          <w:color w:val="000000"/>
          <w:shd w:val="clear" w:color="auto" w:fill="FFFFFF"/>
        </w:rPr>
        <w:t>r</w:t>
      </w:r>
      <w:r w:rsidRPr="0006232A">
        <w:rPr>
          <w:color w:val="000000"/>
          <w:shd w:val="clear" w:color="auto" w:fill="FFFFFF"/>
        </w:rPr>
        <w:t>icke</w:t>
      </w:r>
      <w:r>
        <w:rPr>
          <w:color w:val="000000"/>
          <w:shd w:val="clear" w:color="auto" w:fill="FFFFFF"/>
        </w:rPr>
        <w:t>y</w:t>
      </w:r>
      <w:r w:rsidRPr="0006232A">
        <w:rPr>
          <w:color w:val="000000"/>
          <w:shd w:val="clear" w:color="auto" w:fill="FFFFFF"/>
        </w:rPr>
        <w:t>, 'The Epistemology of Testimony', in </w:t>
      </w:r>
      <w:r w:rsidRPr="0006232A">
        <w:rPr>
          <w:i/>
          <w:iCs/>
          <w:color w:val="000000"/>
          <w:shd w:val="clear" w:color="auto" w:fill="FFFFFF"/>
        </w:rPr>
        <w:t>The Epistemology of Testimony</w:t>
      </w:r>
      <w:r w:rsidRPr="0006232A">
        <w:rPr>
          <w:color w:val="000000"/>
          <w:shd w:val="clear" w:color="auto" w:fill="FFFFFF"/>
        </w:rPr>
        <w:t>, ed. by Jennifer Lackey and Ernest Sosa</w:t>
      </w:r>
      <w:r>
        <w:rPr>
          <w:color w:val="000000"/>
          <w:shd w:val="clear" w:color="auto" w:fill="FFFFFF"/>
        </w:rPr>
        <w:t xml:space="preserve"> </w:t>
      </w:r>
      <w:r w:rsidRPr="0006232A">
        <w:rPr>
          <w:color w:val="000000"/>
          <w:shd w:val="clear" w:color="auto" w:fill="FFFFFF"/>
        </w:rPr>
        <w:t>(Oxford: Oxford University Press, 2006), 225-253 (p. 2</w:t>
      </w:r>
      <w:r>
        <w:rPr>
          <w:color w:val="000000"/>
          <w:shd w:val="clear" w:color="auto" w:fill="FFFFFF"/>
        </w:rPr>
        <w:t>25-226)</w:t>
      </w:r>
    </w:p>
  </w:footnote>
  <w:footnote w:id="14">
    <w:p w:rsidR="0089566F" w:rsidRDefault="0089566F">
      <w:pPr>
        <w:pStyle w:val="FootnoteText"/>
      </w:pPr>
      <w:r>
        <w:rPr>
          <w:rStyle w:val="FootnoteReference"/>
        </w:rPr>
        <w:footnoteRef/>
      </w:r>
      <w:r>
        <w:t xml:space="preserve"> </w:t>
      </w:r>
      <w:r w:rsidR="003B7940" w:rsidRPr="00CA4D0C">
        <w:rPr>
          <w:color w:val="000000"/>
          <w:shd w:val="clear" w:color="auto" w:fill="FFFFFF"/>
        </w:rPr>
        <w:t>David H</w:t>
      </w:r>
      <w:r w:rsidR="003B7940">
        <w:rPr>
          <w:color w:val="000000"/>
          <w:shd w:val="clear" w:color="auto" w:fill="FFFFFF"/>
        </w:rPr>
        <w:t>u</w:t>
      </w:r>
      <w:r w:rsidR="003B7940" w:rsidRPr="00CA4D0C">
        <w:rPr>
          <w:color w:val="000000"/>
          <w:shd w:val="clear" w:color="auto" w:fill="FFFFFF"/>
        </w:rPr>
        <w:t>me, </w:t>
      </w:r>
      <w:r w:rsidR="003B7940" w:rsidRPr="00CA4D0C">
        <w:rPr>
          <w:i/>
          <w:iCs/>
          <w:color w:val="000000"/>
          <w:shd w:val="clear" w:color="auto" w:fill="FFFFFF"/>
        </w:rPr>
        <w:t>The Essential Philosophical Works</w:t>
      </w:r>
      <w:r w:rsidR="003B7940" w:rsidRPr="00CA4D0C">
        <w:rPr>
          <w:color w:val="000000"/>
          <w:shd w:val="clear" w:color="auto" w:fill="FFFFFF"/>
        </w:rPr>
        <w:t>, ed. by Tom Griffith (Ware: Wordsworth Editions Limited, 2011), p. 6</w:t>
      </w:r>
      <w:r w:rsidR="003B7940">
        <w:rPr>
          <w:color w:val="000000"/>
          <w:shd w:val="clear" w:color="auto" w:fill="FFFFFF"/>
        </w:rPr>
        <w:t>62</w:t>
      </w:r>
      <w:r w:rsidR="003B7940" w:rsidRPr="00CA4D0C">
        <w:rPr>
          <w:color w:val="000000"/>
          <w:shd w:val="clear" w:color="auto" w:fill="FFFFFF"/>
        </w:rPr>
        <w:t>.</w:t>
      </w:r>
      <w:r w:rsidR="003B7940">
        <w:rPr>
          <w:color w:val="000000"/>
          <w:shd w:val="clear" w:color="auto" w:fill="FFFFFF"/>
        </w:rPr>
        <w:t xml:space="preserve"> The Indian Prince refused to believe water could become ice because the testimony regarding it arose from a state of nature from which, living in India, he was unacquainted.</w:t>
      </w:r>
    </w:p>
  </w:footnote>
  <w:footnote w:id="15">
    <w:p w:rsidR="0089566F" w:rsidRDefault="0089566F">
      <w:pPr>
        <w:pStyle w:val="FootnoteText"/>
      </w:pPr>
      <w:r>
        <w:rPr>
          <w:rStyle w:val="FootnoteReference"/>
        </w:rPr>
        <w:footnoteRef/>
      </w:r>
      <w:r>
        <w:t xml:space="preserve"> </w:t>
      </w:r>
      <w:r w:rsidRPr="0006232A">
        <w:rPr>
          <w:color w:val="000000"/>
          <w:shd w:val="clear" w:color="auto" w:fill="FFFFFF"/>
        </w:rPr>
        <w:t>Christopher Green, </w:t>
      </w:r>
      <w:r w:rsidRPr="0006232A">
        <w:rPr>
          <w:i/>
          <w:iCs/>
          <w:color w:val="000000"/>
          <w:shd w:val="clear" w:color="auto" w:fill="FFFFFF"/>
        </w:rPr>
        <w:t>Epistemology of Testimony</w:t>
      </w:r>
      <w:r w:rsidRPr="0006232A">
        <w:rPr>
          <w:color w:val="000000"/>
          <w:shd w:val="clear" w:color="auto" w:fill="FFFFFF"/>
        </w:rPr>
        <w:t> () &lt;https://www.iep.utm.edu/ep-testi/&gt; [accessed 24 March 2018].</w:t>
      </w:r>
    </w:p>
  </w:footnote>
  <w:footnote w:id="16">
    <w:p w:rsidR="0089566F" w:rsidRPr="00420BF3" w:rsidRDefault="0089566F" w:rsidP="00420BF3">
      <w:pPr>
        <w:rPr>
          <w:color w:val="000000"/>
          <w:sz w:val="20"/>
          <w:szCs w:val="20"/>
          <w:shd w:val="clear" w:color="auto" w:fill="FFFFFF"/>
        </w:rPr>
      </w:pPr>
      <w:r>
        <w:rPr>
          <w:rStyle w:val="FootnoteReference"/>
        </w:rPr>
        <w:footnoteRef/>
      </w:r>
      <w:r>
        <w:t xml:space="preserve"> </w:t>
      </w:r>
      <w:r w:rsidRPr="0006232A">
        <w:rPr>
          <w:color w:val="000000"/>
          <w:sz w:val="20"/>
          <w:szCs w:val="20"/>
          <w:shd w:val="clear" w:color="auto" w:fill="FFFFFF"/>
        </w:rPr>
        <w:t>Jonathan Adler, </w:t>
      </w:r>
      <w:r w:rsidRPr="0006232A">
        <w:rPr>
          <w:i/>
          <w:iCs/>
          <w:color w:val="000000"/>
          <w:sz w:val="20"/>
          <w:szCs w:val="20"/>
          <w:shd w:val="clear" w:color="auto" w:fill="FFFFFF"/>
        </w:rPr>
        <w:t>Epistemological Problems of Testimony</w:t>
      </w:r>
      <w:r w:rsidRPr="0006232A">
        <w:rPr>
          <w:color w:val="000000"/>
          <w:sz w:val="20"/>
          <w:szCs w:val="20"/>
          <w:shd w:val="clear" w:color="auto" w:fill="FFFFFF"/>
        </w:rPr>
        <w:t> (2012) &lt;https://plato.stanford.edu/entries/testimony-episprob/&gt; [accessed 11 March 2018].</w:t>
      </w:r>
    </w:p>
  </w:footnote>
  <w:footnote w:id="17">
    <w:p w:rsidR="0089566F" w:rsidRPr="00750143" w:rsidRDefault="0089566F" w:rsidP="00750143">
      <w:pPr>
        <w:rPr>
          <w:color w:val="000000"/>
          <w:sz w:val="20"/>
          <w:szCs w:val="20"/>
          <w:shd w:val="clear" w:color="auto" w:fill="FFFFFF"/>
        </w:rPr>
      </w:pPr>
      <w:r>
        <w:rPr>
          <w:rStyle w:val="FootnoteReference"/>
        </w:rPr>
        <w:footnoteRef/>
      </w:r>
      <w:r>
        <w:t xml:space="preserve"> </w:t>
      </w:r>
      <w:r w:rsidRPr="0006232A">
        <w:rPr>
          <w:color w:val="000000"/>
          <w:sz w:val="20"/>
          <w:szCs w:val="20"/>
          <w:shd w:val="clear" w:color="auto" w:fill="FFFFFF"/>
        </w:rPr>
        <w:t>Elizabeth F</w:t>
      </w:r>
      <w:r>
        <w:rPr>
          <w:color w:val="000000"/>
          <w:sz w:val="20"/>
          <w:szCs w:val="20"/>
          <w:shd w:val="clear" w:color="auto" w:fill="FFFFFF"/>
        </w:rPr>
        <w:t>r</w:t>
      </w:r>
      <w:r w:rsidRPr="0006232A">
        <w:rPr>
          <w:color w:val="000000"/>
          <w:sz w:val="20"/>
          <w:szCs w:val="20"/>
          <w:shd w:val="clear" w:color="auto" w:fill="FFFFFF"/>
        </w:rPr>
        <w:t>icke</w:t>
      </w:r>
      <w:r>
        <w:rPr>
          <w:color w:val="000000"/>
          <w:sz w:val="20"/>
          <w:szCs w:val="20"/>
          <w:shd w:val="clear" w:color="auto" w:fill="FFFFFF"/>
        </w:rPr>
        <w:t>y</w:t>
      </w:r>
      <w:r w:rsidRPr="0006232A">
        <w:rPr>
          <w:color w:val="000000"/>
          <w:sz w:val="20"/>
          <w:szCs w:val="20"/>
          <w:shd w:val="clear" w:color="auto" w:fill="FFFFFF"/>
        </w:rPr>
        <w:t>, 'The Epistemology of Testimony', in </w:t>
      </w:r>
      <w:r w:rsidRPr="0006232A">
        <w:rPr>
          <w:i/>
          <w:iCs/>
          <w:color w:val="000000"/>
          <w:sz w:val="20"/>
          <w:szCs w:val="20"/>
          <w:shd w:val="clear" w:color="auto" w:fill="FFFFFF"/>
        </w:rPr>
        <w:t>The Epistemology of Testimony</w:t>
      </w:r>
      <w:r w:rsidRPr="0006232A">
        <w:rPr>
          <w:color w:val="000000"/>
          <w:sz w:val="20"/>
          <w:szCs w:val="20"/>
          <w:shd w:val="clear" w:color="auto" w:fill="FFFFFF"/>
        </w:rPr>
        <w:t>, ed. by Jennifer Lackey and Ernest Sosa</w:t>
      </w:r>
      <w:r>
        <w:rPr>
          <w:color w:val="000000"/>
          <w:sz w:val="20"/>
          <w:szCs w:val="20"/>
          <w:shd w:val="clear" w:color="auto" w:fill="FFFFFF"/>
        </w:rPr>
        <w:t xml:space="preserve"> </w:t>
      </w:r>
      <w:r w:rsidRPr="0006232A">
        <w:rPr>
          <w:color w:val="000000"/>
          <w:sz w:val="20"/>
          <w:szCs w:val="20"/>
          <w:shd w:val="clear" w:color="auto" w:fill="FFFFFF"/>
        </w:rPr>
        <w:t xml:space="preserve">(Oxford: Oxford University Press, 2006), 225-253 (p. </w:t>
      </w:r>
      <w:r>
        <w:rPr>
          <w:color w:val="000000"/>
          <w:sz w:val="20"/>
          <w:szCs w:val="20"/>
          <w:shd w:val="clear" w:color="auto" w:fill="FFFFFF"/>
        </w:rPr>
        <w:t>225</w:t>
      </w:r>
      <w:r w:rsidRPr="0006232A">
        <w:rPr>
          <w:color w:val="000000"/>
          <w:sz w:val="20"/>
          <w:szCs w:val="20"/>
          <w:shd w:val="clear" w:color="auto" w:fill="FFFFFF"/>
        </w:rPr>
        <w:t>)</w:t>
      </w:r>
    </w:p>
  </w:footnote>
  <w:footnote w:id="18">
    <w:p w:rsidR="0089566F" w:rsidRDefault="0089566F">
      <w:pPr>
        <w:pStyle w:val="FootnoteText"/>
      </w:pPr>
      <w:r>
        <w:rPr>
          <w:rStyle w:val="FootnoteReference"/>
        </w:rPr>
        <w:footnoteRef/>
      </w:r>
      <w:r>
        <w:t xml:space="preserve"> Ibid., p. 226</w:t>
      </w:r>
    </w:p>
  </w:footnote>
  <w:footnote w:id="19">
    <w:p w:rsidR="00F2540A" w:rsidRDefault="00F2540A">
      <w:pPr>
        <w:pStyle w:val="FootnoteText"/>
      </w:pPr>
      <w:r>
        <w:rPr>
          <w:rStyle w:val="FootnoteReference"/>
        </w:rPr>
        <w:footnoteRef/>
      </w:r>
      <w:r>
        <w:t xml:space="preserve"> </w:t>
      </w:r>
      <w:r w:rsidRPr="0006232A">
        <w:rPr>
          <w:color w:val="000000"/>
          <w:shd w:val="clear" w:color="auto" w:fill="FFFFFF"/>
        </w:rPr>
        <w:t>Christopher Green, </w:t>
      </w:r>
      <w:r w:rsidRPr="0006232A">
        <w:rPr>
          <w:i/>
          <w:iCs/>
          <w:color w:val="000000"/>
          <w:shd w:val="clear" w:color="auto" w:fill="FFFFFF"/>
        </w:rPr>
        <w:t>Epistemology of Testimony</w:t>
      </w:r>
      <w:r w:rsidRPr="0006232A">
        <w:rPr>
          <w:color w:val="000000"/>
          <w:shd w:val="clear" w:color="auto" w:fill="FFFFFF"/>
        </w:rPr>
        <w:t> () &lt;https://www.iep.utm.edu/ep-testi/&gt; [accessed 24 March 2018].</w:t>
      </w:r>
    </w:p>
  </w:footnote>
  <w:footnote w:id="20">
    <w:p w:rsidR="0089566F" w:rsidRDefault="0089566F">
      <w:pPr>
        <w:pStyle w:val="FootnoteText"/>
      </w:pPr>
      <w:r>
        <w:rPr>
          <w:rStyle w:val="FootnoteReference"/>
        </w:rPr>
        <w:footnoteRef/>
      </w:r>
      <w:r>
        <w:t xml:space="preserve"> </w:t>
      </w:r>
      <w:r w:rsidRPr="0006232A">
        <w:rPr>
          <w:color w:val="000000"/>
          <w:shd w:val="clear" w:color="auto" w:fill="FFFFFF"/>
        </w:rPr>
        <w:t>Jonathan Adler, </w:t>
      </w:r>
      <w:r w:rsidRPr="0006232A">
        <w:rPr>
          <w:i/>
          <w:iCs/>
          <w:color w:val="000000"/>
          <w:shd w:val="clear" w:color="auto" w:fill="FFFFFF"/>
        </w:rPr>
        <w:t>Epistemological Problems of Testimony</w:t>
      </w:r>
      <w:r w:rsidRPr="0006232A">
        <w:rPr>
          <w:color w:val="000000"/>
          <w:shd w:val="clear" w:color="auto" w:fill="FFFFFF"/>
        </w:rPr>
        <w:t> (2012) &lt;https://plato.stanford.edu/entries/testimony-episprob/&gt; [accessed 11 March 2018].</w:t>
      </w:r>
    </w:p>
  </w:footnote>
  <w:footnote w:id="21">
    <w:p w:rsidR="0089566F" w:rsidRDefault="0089566F">
      <w:pPr>
        <w:pStyle w:val="FootnoteText"/>
      </w:pPr>
      <w:r>
        <w:rPr>
          <w:rStyle w:val="FootnoteReference"/>
        </w:rPr>
        <w:footnoteRef/>
      </w:r>
      <w:r>
        <w:t xml:space="preserve"> Ibid.</w:t>
      </w:r>
    </w:p>
  </w:footnote>
  <w:footnote w:id="22">
    <w:p w:rsidR="0089566F" w:rsidRDefault="0089566F">
      <w:pPr>
        <w:pStyle w:val="FootnoteText"/>
      </w:pPr>
      <w:r>
        <w:rPr>
          <w:rStyle w:val="FootnoteReference"/>
        </w:rPr>
        <w:footnoteRef/>
      </w:r>
      <w:r>
        <w:t xml:space="preserve"> </w:t>
      </w:r>
      <w:r w:rsidR="0057201F" w:rsidRPr="0006232A">
        <w:rPr>
          <w:color w:val="000000"/>
          <w:shd w:val="clear" w:color="auto" w:fill="FFFFFF"/>
        </w:rPr>
        <w:t>Jonathan Adler, </w:t>
      </w:r>
      <w:r w:rsidR="0057201F" w:rsidRPr="0006232A">
        <w:rPr>
          <w:i/>
          <w:iCs/>
          <w:color w:val="000000"/>
          <w:shd w:val="clear" w:color="auto" w:fill="FFFFFF"/>
        </w:rPr>
        <w:t>Epistemological Problems of Testimony</w:t>
      </w:r>
      <w:r w:rsidR="0057201F" w:rsidRPr="0006232A">
        <w:rPr>
          <w:color w:val="000000"/>
          <w:shd w:val="clear" w:color="auto" w:fill="FFFFFF"/>
        </w:rPr>
        <w:t> (2012) &lt;https://plato.stanford.edu/entries/testimony-episprob/&gt; [accessed 11 March 2018].</w:t>
      </w:r>
    </w:p>
  </w:footnote>
  <w:footnote w:id="23">
    <w:p w:rsidR="0057201F" w:rsidRDefault="0057201F">
      <w:pPr>
        <w:pStyle w:val="FootnoteText"/>
      </w:pPr>
      <w:r>
        <w:rPr>
          <w:rStyle w:val="FootnoteReference"/>
        </w:rPr>
        <w:footnoteRef/>
      </w:r>
      <w:r>
        <w:t xml:space="preserve"> Ibid. </w:t>
      </w:r>
    </w:p>
  </w:footnote>
  <w:footnote w:id="24">
    <w:p w:rsidR="0089566F" w:rsidRDefault="0089566F">
      <w:pPr>
        <w:pStyle w:val="FootnoteText"/>
      </w:pPr>
      <w:r>
        <w:rPr>
          <w:rStyle w:val="FootnoteReference"/>
        </w:rPr>
        <w:footnoteRef/>
      </w:r>
      <w:r>
        <w:t xml:space="preserve"> </w:t>
      </w:r>
      <w:r w:rsidRPr="0006232A">
        <w:rPr>
          <w:color w:val="000000"/>
          <w:shd w:val="clear" w:color="auto" w:fill="FFFFFF"/>
        </w:rPr>
        <w:t>Jonathan Adler, </w:t>
      </w:r>
      <w:r w:rsidRPr="0006232A">
        <w:rPr>
          <w:i/>
          <w:iCs/>
          <w:color w:val="000000"/>
          <w:shd w:val="clear" w:color="auto" w:fill="FFFFFF"/>
        </w:rPr>
        <w:t>Epistemological Problems of Testimony</w:t>
      </w:r>
      <w:r w:rsidRPr="0006232A">
        <w:rPr>
          <w:color w:val="000000"/>
          <w:shd w:val="clear" w:color="auto" w:fill="FFFFFF"/>
        </w:rPr>
        <w:t> (2012) &lt;https://plato.stanford.edu/entries/testimony-episprob/&gt; [accessed 11 March 2018].</w:t>
      </w:r>
    </w:p>
  </w:footnote>
  <w:footnote w:id="25">
    <w:p w:rsidR="0089566F" w:rsidRDefault="0089566F">
      <w:pPr>
        <w:pStyle w:val="FootnoteText"/>
      </w:pPr>
      <w:r>
        <w:rPr>
          <w:rStyle w:val="FootnoteReference"/>
        </w:rPr>
        <w:footnoteRef/>
      </w:r>
      <w:r>
        <w:t xml:space="preserve"> Ibid. </w:t>
      </w:r>
    </w:p>
  </w:footnote>
  <w:footnote w:id="26">
    <w:p w:rsidR="0089566F" w:rsidRDefault="0089566F">
      <w:pPr>
        <w:pStyle w:val="FootnoteText"/>
      </w:pPr>
      <w:r>
        <w:rPr>
          <w:rStyle w:val="FootnoteReference"/>
        </w:rPr>
        <w:footnoteRef/>
      </w:r>
      <w:r>
        <w:t xml:space="preserve"> Ibid. </w:t>
      </w:r>
    </w:p>
  </w:footnote>
  <w:footnote w:id="27">
    <w:p w:rsidR="0089566F" w:rsidRDefault="0089566F">
      <w:pPr>
        <w:pStyle w:val="FootnoteText"/>
      </w:pPr>
      <w:r>
        <w:rPr>
          <w:rStyle w:val="FootnoteReference"/>
        </w:rPr>
        <w:footnoteRef/>
      </w:r>
      <w:r>
        <w:t xml:space="preserve"> </w:t>
      </w:r>
      <w:r w:rsidRPr="0006232A">
        <w:rPr>
          <w:color w:val="000000"/>
          <w:shd w:val="clear" w:color="auto" w:fill="FFFFFF"/>
        </w:rPr>
        <w:t>Christopher Green, </w:t>
      </w:r>
      <w:r w:rsidRPr="0006232A">
        <w:rPr>
          <w:i/>
          <w:iCs/>
          <w:color w:val="000000"/>
          <w:shd w:val="clear" w:color="auto" w:fill="FFFFFF"/>
        </w:rPr>
        <w:t>Epistemology of Testimony</w:t>
      </w:r>
      <w:r w:rsidRPr="0006232A">
        <w:rPr>
          <w:color w:val="000000"/>
          <w:shd w:val="clear" w:color="auto" w:fill="FFFFFF"/>
        </w:rPr>
        <w:t> () &lt;https://www.iep.utm.edu/ep-testi/&gt; [accessed 24 March 2018].</w:t>
      </w:r>
    </w:p>
  </w:footnote>
  <w:footnote w:id="28">
    <w:p w:rsidR="0089566F" w:rsidRPr="00610060" w:rsidRDefault="0089566F" w:rsidP="00610060">
      <w:pPr>
        <w:rPr>
          <w:color w:val="000000"/>
          <w:sz w:val="20"/>
          <w:szCs w:val="20"/>
          <w:shd w:val="clear" w:color="auto" w:fill="FFFFFF"/>
        </w:rPr>
      </w:pPr>
      <w:r>
        <w:rPr>
          <w:rStyle w:val="FootnoteReference"/>
        </w:rPr>
        <w:footnoteRef/>
      </w:r>
      <w:r>
        <w:t xml:space="preserve"> </w:t>
      </w:r>
      <w:r w:rsidRPr="00CA4D0C">
        <w:rPr>
          <w:color w:val="000000"/>
          <w:sz w:val="20"/>
          <w:szCs w:val="20"/>
          <w:shd w:val="clear" w:color="auto" w:fill="FFFFFF"/>
        </w:rPr>
        <w:t>David H</w:t>
      </w:r>
      <w:r>
        <w:rPr>
          <w:color w:val="000000"/>
          <w:sz w:val="20"/>
          <w:szCs w:val="20"/>
          <w:shd w:val="clear" w:color="auto" w:fill="FFFFFF"/>
        </w:rPr>
        <w:t>u</w:t>
      </w:r>
      <w:r w:rsidRPr="00CA4D0C">
        <w:rPr>
          <w:color w:val="000000"/>
          <w:sz w:val="20"/>
          <w:szCs w:val="20"/>
          <w:shd w:val="clear" w:color="auto" w:fill="FFFFFF"/>
        </w:rPr>
        <w:t>me, </w:t>
      </w:r>
      <w:r w:rsidRPr="00CA4D0C">
        <w:rPr>
          <w:i/>
          <w:iCs/>
          <w:color w:val="000000"/>
          <w:sz w:val="20"/>
          <w:szCs w:val="20"/>
          <w:shd w:val="clear" w:color="auto" w:fill="FFFFFF"/>
        </w:rPr>
        <w:t>The Essential Philosophical Works</w:t>
      </w:r>
      <w:r w:rsidRPr="00CA4D0C">
        <w:rPr>
          <w:color w:val="000000"/>
          <w:sz w:val="20"/>
          <w:szCs w:val="20"/>
          <w:shd w:val="clear" w:color="auto" w:fill="FFFFFF"/>
        </w:rPr>
        <w:t>, ed. by Tom Griffith (Ware: Wordsworth Editions Limited, 2011), p. 6</w:t>
      </w:r>
      <w:r>
        <w:rPr>
          <w:color w:val="000000"/>
          <w:sz w:val="20"/>
          <w:szCs w:val="20"/>
          <w:shd w:val="clear" w:color="auto" w:fill="FFFFFF"/>
        </w:rPr>
        <w:t>63</w:t>
      </w:r>
      <w:r w:rsidRPr="00CA4D0C">
        <w:rPr>
          <w:color w:val="000000"/>
          <w:sz w:val="20"/>
          <w:szCs w:val="20"/>
          <w:shd w:val="clear" w:color="auto" w:fill="FFFFFF"/>
        </w:rPr>
        <w:t>.</w:t>
      </w:r>
    </w:p>
  </w:footnote>
  <w:footnote w:id="29">
    <w:p w:rsidR="0089566F" w:rsidRDefault="0089566F">
      <w:pPr>
        <w:pStyle w:val="FootnoteText"/>
      </w:pPr>
      <w:r>
        <w:rPr>
          <w:rStyle w:val="FootnoteReference"/>
        </w:rPr>
        <w:footnoteRef/>
      </w:r>
      <w:r>
        <w:t xml:space="preserve"> </w:t>
      </w:r>
      <w:r w:rsidRPr="00CA4D0C">
        <w:rPr>
          <w:color w:val="000000"/>
          <w:shd w:val="clear" w:color="auto" w:fill="FFFFFF"/>
        </w:rPr>
        <w:t>Timothy McGrew, </w:t>
      </w:r>
      <w:r w:rsidRPr="00CA4D0C">
        <w:rPr>
          <w:i/>
          <w:iCs/>
          <w:color w:val="000000"/>
          <w:shd w:val="clear" w:color="auto" w:fill="FFFFFF"/>
        </w:rPr>
        <w:t>Miracles</w:t>
      </w:r>
      <w:r w:rsidRPr="00CA4D0C">
        <w:rPr>
          <w:color w:val="000000"/>
          <w:shd w:val="clear" w:color="auto" w:fill="FFFFFF"/>
        </w:rPr>
        <w:t> (2014) &lt;https://plato.stanford.edu/entries/miracles/&gt; [accessed 11 April 2018].</w:t>
      </w:r>
    </w:p>
  </w:footnote>
  <w:footnote w:id="30">
    <w:p w:rsidR="0089566F" w:rsidRDefault="0089566F">
      <w:pPr>
        <w:pStyle w:val="FootnoteText"/>
      </w:pPr>
      <w:r>
        <w:rPr>
          <w:rStyle w:val="FootnoteReference"/>
        </w:rPr>
        <w:footnoteRef/>
      </w:r>
      <w:r>
        <w:t xml:space="preserve"> Ibid. </w:t>
      </w:r>
    </w:p>
  </w:footnote>
  <w:footnote w:id="31">
    <w:p w:rsidR="0089566F" w:rsidRPr="00610060" w:rsidRDefault="0089566F" w:rsidP="00610060">
      <w:pPr>
        <w:rPr>
          <w:color w:val="000000"/>
          <w:sz w:val="20"/>
          <w:szCs w:val="20"/>
          <w:shd w:val="clear" w:color="auto" w:fill="FFFFFF"/>
        </w:rPr>
      </w:pPr>
      <w:r>
        <w:rPr>
          <w:rStyle w:val="FootnoteReference"/>
        </w:rPr>
        <w:footnoteRef/>
      </w:r>
      <w:r>
        <w:t xml:space="preserve"> </w:t>
      </w:r>
      <w:r w:rsidRPr="0006232A">
        <w:rPr>
          <w:color w:val="000000"/>
          <w:sz w:val="20"/>
          <w:szCs w:val="20"/>
          <w:shd w:val="clear" w:color="auto" w:fill="FFFFFF"/>
        </w:rPr>
        <w:t>David Corner, </w:t>
      </w:r>
      <w:r w:rsidRPr="0006232A">
        <w:rPr>
          <w:i/>
          <w:iCs/>
          <w:color w:val="000000"/>
          <w:sz w:val="20"/>
          <w:szCs w:val="20"/>
          <w:shd w:val="clear" w:color="auto" w:fill="FFFFFF"/>
        </w:rPr>
        <w:t>Miracles</w:t>
      </w:r>
      <w:r w:rsidRPr="0006232A">
        <w:rPr>
          <w:color w:val="000000"/>
          <w:sz w:val="20"/>
          <w:szCs w:val="20"/>
          <w:shd w:val="clear" w:color="auto" w:fill="FFFFFF"/>
        </w:rPr>
        <w:t> () &lt;http://www.iep.utm.edu/submit/100-most/&gt; [accessed 11 March 2018].</w:t>
      </w:r>
    </w:p>
  </w:footnote>
  <w:footnote w:id="32">
    <w:p w:rsidR="0089566F" w:rsidRDefault="0089566F">
      <w:pPr>
        <w:pStyle w:val="FootnoteText"/>
      </w:pPr>
      <w:r>
        <w:rPr>
          <w:rStyle w:val="FootnoteReference"/>
        </w:rPr>
        <w:footnoteRef/>
      </w:r>
      <w:r>
        <w:t xml:space="preserve"> Ibid. </w:t>
      </w:r>
    </w:p>
  </w:footnote>
  <w:footnote w:id="33">
    <w:p w:rsidR="0089566F" w:rsidRPr="00E811F8" w:rsidRDefault="0089566F" w:rsidP="00E811F8">
      <w:pPr>
        <w:rPr>
          <w:sz w:val="20"/>
          <w:szCs w:val="20"/>
        </w:rPr>
      </w:pPr>
      <w:r>
        <w:rPr>
          <w:rStyle w:val="FootnoteReference"/>
        </w:rPr>
        <w:footnoteRef/>
      </w:r>
      <w:r>
        <w:t xml:space="preserve"> </w:t>
      </w:r>
      <w:r w:rsidRPr="00CA4D0C">
        <w:rPr>
          <w:color w:val="000000"/>
          <w:sz w:val="20"/>
          <w:szCs w:val="20"/>
          <w:shd w:val="clear" w:color="auto" w:fill="FFFFFF"/>
        </w:rPr>
        <w:t>Clive Staples Lewis, </w:t>
      </w:r>
      <w:r w:rsidRPr="00CA4D0C">
        <w:rPr>
          <w:i/>
          <w:iCs/>
          <w:color w:val="000000"/>
          <w:sz w:val="20"/>
          <w:szCs w:val="20"/>
          <w:shd w:val="clear" w:color="auto" w:fill="FFFFFF"/>
        </w:rPr>
        <w:t>Miracles</w:t>
      </w:r>
      <w:r w:rsidRPr="00CA4D0C">
        <w:rPr>
          <w:color w:val="000000"/>
          <w:sz w:val="20"/>
          <w:szCs w:val="20"/>
          <w:shd w:val="clear" w:color="auto" w:fill="FFFFFF"/>
        </w:rPr>
        <w:t> (Hammersmith: Collins, 2012).</w:t>
      </w:r>
    </w:p>
  </w:footnote>
  <w:footnote w:id="34">
    <w:p w:rsidR="0089566F" w:rsidRPr="007E4655" w:rsidRDefault="0089566F" w:rsidP="007E4655">
      <w:pPr>
        <w:rPr>
          <w:color w:val="000000"/>
          <w:sz w:val="20"/>
          <w:szCs w:val="20"/>
          <w:shd w:val="clear" w:color="auto" w:fill="FFFFFF"/>
        </w:rPr>
      </w:pPr>
      <w:r>
        <w:rPr>
          <w:rStyle w:val="FootnoteReference"/>
        </w:rPr>
        <w:footnoteRef/>
      </w:r>
      <w:r>
        <w:t xml:space="preserve"> </w:t>
      </w:r>
      <w:r w:rsidRPr="00CA4D0C">
        <w:rPr>
          <w:color w:val="000000"/>
          <w:sz w:val="20"/>
          <w:szCs w:val="20"/>
          <w:shd w:val="clear" w:color="auto" w:fill="FFFFFF"/>
        </w:rPr>
        <w:t>David H</w:t>
      </w:r>
      <w:r>
        <w:rPr>
          <w:color w:val="000000"/>
          <w:sz w:val="20"/>
          <w:szCs w:val="20"/>
          <w:shd w:val="clear" w:color="auto" w:fill="FFFFFF"/>
        </w:rPr>
        <w:t>u</w:t>
      </w:r>
      <w:r w:rsidRPr="00CA4D0C">
        <w:rPr>
          <w:color w:val="000000"/>
          <w:sz w:val="20"/>
          <w:szCs w:val="20"/>
          <w:shd w:val="clear" w:color="auto" w:fill="FFFFFF"/>
        </w:rPr>
        <w:t>me, </w:t>
      </w:r>
      <w:r w:rsidRPr="00CA4D0C">
        <w:rPr>
          <w:i/>
          <w:iCs/>
          <w:color w:val="000000"/>
          <w:sz w:val="20"/>
          <w:szCs w:val="20"/>
          <w:shd w:val="clear" w:color="auto" w:fill="FFFFFF"/>
        </w:rPr>
        <w:t>The Essential Philosophical Works</w:t>
      </w:r>
      <w:r w:rsidRPr="00CA4D0C">
        <w:rPr>
          <w:color w:val="000000"/>
          <w:sz w:val="20"/>
          <w:szCs w:val="20"/>
          <w:shd w:val="clear" w:color="auto" w:fill="FFFFFF"/>
        </w:rPr>
        <w:t>, ed. by Tom Griffith (Ware: Wordsworth Editions Limited, 2011), p. 6</w:t>
      </w:r>
      <w:r>
        <w:rPr>
          <w:color w:val="000000"/>
          <w:sz w:val="20"/>
          <w:szCs w:val="20"/>
          <w:shd w:val="clear" w:color="auto" w:fill="FFFFFF"/>
        </w:rPr>
        <w:t>65</w:t>
      </w:r>
      <w:r w:rsidRPr="00CA4D0C">
        <w:rPr>
          <w:color w:val="000000"/>
          <w:sz w:val="20"/>
          <w:szCs w:val="20"/>
          <w:shd w:val="clear" w:color="auto" w:fill="FFFFFF"/>
        </w:rPr>
        <w:t>.</w:t>
      </w:r>
    </w:p>
  </w:footnote>
  <w:footnote w:id="35">
    <w:p w:rsidR="0089566F" w:rsidRPr="00CA4D0C" w:rsidRDefault="0089566F" w:rsidP="007E4655">
      <w:pPr>
        <w:rPr>
          <w:color w:val="000000"/>
          <w:sz w:val="20"/>
          <w:szCs w:val="20"/>
          <w:shd w:val="clear" w:color="auto" w:fill="FFFFFF"/>
        </w:rPr>
      </w:pPr>
      <w:r>
        <w:rPr>
          <w:rStyle w:val="FootnoteReference"/>
        </w:rPr>
        <w:footnoteRef/>
      </w:r>
      <w:r>
        <w:t xml:space="preserve"> </w:t>
      </w:r>
      <w:r w:rsidRPr="00CA4D0C">
        <w:rPr>
          <w:color w:val="000000"/>
          <w:sz w:val="20"/>
          <w:szCs w:val="20"/>
          <w:shd w:val="clear" w:color="auto" w:fill="FFFFFF"/>
        </w:rPr>
        <w:t>John Locke, </w:t>
      </w:r>
      <w:r w:rsidRPr="00CA4D0C">
        <w:rPr>
          <w:i/>
          <w:iCs/>
          <w:color w:val="000000"/>
          <w:sz w:val="20"/>
          <w:szCs w:val="20"/>
          <w:shd w:val="clear" w:color="auto" w:fill="FFFFFF"/>
        </w:rPr>
        <w:t>An Essay Concerning Human Understanding</w:t>
      </w:r>
      <w:r w:rsidRPr="00CA4D0C">
        <w:rPr>
          <w:color w:val="000000"/>
          <w:sz w:val="20"/>
          <w:szCs w:val="20"/>
          <w:shd w:val="clear" w:color="auto" w:fill="FFFFFF"/>
        </w:rPr>
        <w:t>, ed. by Kenneth P. Winkler (Indianapolis: Hacket</w:t>
      </w:r>
      <w:r>
        <w:rPr>
          <w:color w:val="000000"/>
          <w:sz w:val="20"/>
          <w:szCs w:val="20"/>
          <w:shd w:val="clear" w:color="auto" w:fill="FFFFFF"/>
        </w:rPr>
        <w:t>t</w:t>
      </w:r>
      <w:r w:rsidRPr="00CA4D0C">
        <w:rPr>
          <w:color w:val="000000"/>
          <w:sz w:val="20"/>
          <w:szCs w:val="20"/>
          <w:shd w:val="clear" w:color="auto" w:fill="FFFFFF"/>
        </w:rPr>
        <w:t xml:space="preserve"> Publishing Company Inc, 1996), p. 308</w:t>
      </w:r>
    </w:p>
    <w:p w:rsidR="0089566F" w:rsidRDefault="0089566F">
      <w:pPr>
        <w:pStyle w:val="FootnoteText"/>
      </w:pPr>
    </w:p>
  </w:footnote>
  <w:footnote w:id="36">
    <w:p w:rsidR="0089566F" w:rsidRPr="0006232A" w:rsidRDefault="0089566F" w:rsidP="009C12E4">
      <w:pPr>
        <w:rPr>
          <w:color w:val="000000"/>
          <w:sz w:val="20"/>
          <w:szCs w:val="20"/>
          <w:shd w:val="clear" w:color="auto" w:fill="FFFFFF"/>
        </w:rPr>
      </w:pPr>
      <w:r>
        <w:rPr>
          <w:rStyle w:val="FootnoteReference"/>
        </w:rPr>
        <w:footnoteRef/>
      </w:r>
      <w:r>
        <w:t xml:space="preserve"> </w:t>
      </w:r>
      <w:r w:rsidRPr="0006232A">
        <w:rPr>
          <w:color w:val="000000"/>
          <w:sz w:val="20"/>
          <w:szCs w:val="20"/>
          <w:shd w:val="clear" w:color="auto" w:fill="FFFFFF"/>
        </w:rPr>
        <w:t>Elizabeth F</w:t>
      </w:r>
      <w:r>
        <w:rPr>
          <w:color w:val="000000"/>
          <w:sz w:val="20"/>
          <w:szCs w:val="20"/>
          <w:shd w:val="clear" w:color="auto" w:fill="FFFFFF"/>
        </w:rPr>
        <w:t>r</w:t>
      </w:r>
      <w:r w:rsidRPr="0006232A">
        <w:rPr>
          <w:color w:val="000000"/>
          <w:sz w:val="20"/>
          <w:szCs w:val="20"/>
          <w:shd w:val="clear" w:color="auto" w:fill="FFFFFF"/>
        </w:rPr>
        <w:t>icke</w:t>
      </w:r>
      <w:r>
        <w:rPr>
          <w:color w:val="000000"/>
          <w:sz w:val="20"/>
          <w:szCs w:val="20"/>
          <w:shd w:val="clear" w:color="auto" w:fill="FFFFFF"/>
        </w:rPr>
        <w:t>y</w:t>
      </w:r>
      <w:r w:rsidRPr="0006232A">
        <w:rPr>
          <w:color w:val="000000"/>
          <w:sz w:val="20"/>
          <w:szCs w:val="20"/>
          <w:shd w:val="clear" w:color="auto" w:fill="FFFFFF"/>
        </w:rPr>
        <w:t>, 'The Epistemology of Testimony', in </w:t>
      </w:r>
      <w:r w:rsidRPr="0006232A">
        <w:rPr>
          <w:i/>
          <w:iCs/>
          <w:color w:val="000000"/>
          <w:sz w:val="20"/>
          <w:szCs w:val="20"/>
          <w:shd w:val="clear" w:color="auto" w:fill="FFFFFF"/>
        </w:rPr>
        <w:t>The Epistemology of Testimony</w:t>
      </w:r>
      <w:r w:rsidRPr="0006232A">
        <w:rPr>
          <w:color w:val="000000"/>
          <w:sz w:val="20"/>
          <w:szCs w:val="20"/>
          <w:shd w:val="clear" w:color="auto" w:fill="FFFFFF"/>
        </w:rPr>
        <w:t>, ed. by Jennifer Lackey and Ernest Sosa</w:t>
      </w:r>
      <w:r>
        <w:rPr>
          <w:color w:val="000000"/>
          <w:sz w:val="20"/>
          <w:szCs w:val="20"/>
          <w:shd w:val="clear" w:color="auto" w:fill="FFFFFF"/>
        </w:rPr>
        <w:t xml:space="preserve"> </w:t>
      </w:r>
      <w:r w:rsidRPr="0006232A">
        <w:rPr>
          <w:color w:val="000000"/>
          <w:sz w:val="20"/>
          <w:szCs w:val="20"/>
          <w:shd w:val="clear" w:color="auto" w:fill="FFFFFF"/>
        </w:rPr>
        <w:t>(Oxford: Oxford University Press, 2006), 225-253 (p. 23</w:t>
      </w:r>
      <w:r>
        <w:rPr>
          <w:color w:val="000000"/>
          <w:sz w:val="20"/>
          <w:szCs w:val="20"/>
          <w:shd w:val="clear" w:color="auto" w:fill="FFFFFF"/>
        </w:rPr>
        <w:t>2</w:t>
      </w:r>
      <w:r w:rsidRPr="0006232A">
        <w:rPr>
          <w:color w:val="000000"/>
          <w:sz w:val="20"/>
          <w:szCs w:val="20"/>
          <w:shd w:val="clear" w:color="auto" w:fill="FFFFFF"/>
        </w:rPr>
        <w:t>)</w:t>
      </w:r>
    </w:p>
    <w:p w:rsidR="0089566F" w:rsidRDefault="0089566F">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08FE" w:rsidRDefault="007408FE" w:rsidP="007408FE">
    <w:pPr>
      <w:pStyle w:val="Header"/>
    </w:pPr>
    <w:r>
      <w:t>Mbang Ana</w:t>
    </w:r>
  </w:p>
  <w:p w:rsidR="007408FE" w:rsidRDefault="007408FE" w:rsidP="007408FE">
    <w:pPr>
      <w:pStyle w:val="Header"/>
    </w:pPr>
    <w:r>
      <w:t>Module: CSPH7023</w:t>
    </w:r>
  </w:p>
  <w:p w:rsidR="007408FE" w:rsidRDefault="007408FE" w:rsidP="007408FE">
    <w:pPr>
      <w:pStyle w:val="Header"/>
    </w:pPr>
    <w:r>
      <w:t>Student number: 1604759</w:t>
    </w:r>
  </w:p>
  <w:p w:rsidR="007408FE" w:rsidRDefault="007408FE">
    <w:pPr>
      <w:pStyle w:val="Header"/>
    </w:pPr>
  </w:p>
  <w:p w:rsidR="007408FE" w:rsidRDefault="007408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2CA"/>
    <w:rsid w:val="0000083B"/>
    <w:rsid w:val="00003E74"/>
    <w:rsid w:val="000062F2"/>
    <w:rsid w:val="0002645D"/>
    <w:rsid w:val="0005673A"/>
    <w:rsid w:val="00070566"/>
    <w:rsid w:val="0008029A"/>
    <w:rsid w:val="000C4AC9"/>
    <w:rsid w:val="000D7E11"/>
    <w:rsid w:val="001352E2"/>
    <w:rsid w:val="001453B6"/>
    <w:rsid w:val="00177EAC"/>
    <w:rsid w:val="0019333C"/>
    <w:rsid w:val="001B3C2E"/>
    <w:rsid w:val="002523E7"/>
    <w:rsid w:val="002A541B"/>
    <w:rsid w:val="002C1A32"/>
    <w:rsid w:val="00381F52"/>
    <w:rsid w:val="003905D1"/>
    <w:rsid w:val="003B53B2"/>
    <w:rsid w:val="003B7940"/>
    <w:rsid w:val="003C1603"/>
    <w:rsid w:val="003E5466"/>
    <w:rsid w:val="003F79D3"/>
    <w:rsid w:val="00420BF3"/>
    <w:rsid w:val="00420C32"/>
    <w:rsid w:val="00435EA6"/>
    <w:rsid w:val="004659EA"/>
    <w:rsid w:val="0047285C"/>
    <w:rsid w:val="00526D57"/>
    <w:rsid w:val="00565EC9"/>
    <w:rsid w:val="0057201F"/>
    <w:rsid w:val="00581093"/>
    <w:rsid w:val="00610060"/>
    <w:rsid w:val="006A0B0D"/>
    <w:rsid w:val="006D404B"/>
    <w:rsid w:val="00740149"/>
    <w:rsid w:val="007408FE"/>
    <w:rsid w:val="00746D04"/>
    <w:rsid w:val="00750011"/>
    <w:rsid w:val="00750143"/>
    <w:rsid w:val="007A2944"/>
    <w:rsid w:val="007A59D4"/>
    <w:rsid w:val="007E4655"/>
    <w:rsid w:val="00813442"/>
    <w:rsid w:val="0082723A"/>
    <w:rsid w:val="0087301D"/>
    <w:rsid w:val="0087734D"/>
    <w:rsid w:val="0089566F"/>
    <w:rsid w:val="008F14A3"/>
    <w:rsid w:val="008F73B5"/>
    <w:rsid w:val="009427CD"/>
    <w:rsid w:val="00966763"/>
    <w:rsid w:val="0099303A"/>
    <w:rsid w:val="009B4AAD"/>
    <w:rsid w:val="009C12E4"/>
    <w:rsid w:val="009D32B8"/>
    <w:rsid w:val="00A4203D"/>
    <w:rsid w:val="00A957C4"/>
    <w:rsid w:val="00AA7C11"/>
    <w:rsid w:val="00AD0FFD"/>
    <w:rsid w:val="00AD469A"/>
    <w:rsid w:val="00AD7780"/>
    <w:rsid w:val="00AF1B1F"/>
    <w:rsid w:val="00B06369"/>
    <w:rsid w:val="00B17137"/>
    <w:rsid w:val="00B41A30"/>
    <w:rsid w:val="00B4375D"/>
    <w:rsid w:val="00B51525"/>
    <w:rsid w:val="00B63D10"/>
    <w:rsid w:val="00B71E8C"/>
    <w:rsid w:val="00B76966"/>
    <w:rsid w:val="00BA1811"/>
    <w:rsid w:val="00BC10C1"/>
    <w:rsid w:val="00BC752C"/>
    <w:rsid w:val="00BF7B49"/>
    <w:rsid w:val="00C00BC2"/>
    <w:rsid w:val="00C05203"/>
    <w:rsid w:val="00C14C1D"/>
    <w:rsid w:val="00C257D7"/>
    <w:rsid w:val="00C41E19"/>
    <w:rsid w:val="00CA1870"/>
    <w:rsid w:val="00CB3B3A"/>
    <w:rsid w:val="00CC37EA"/>
    <w:rsid w:val="00CC3944"/>
    <w:rsid w:val="00CE7687"/>
    <w:rsid w:val="00D03B55"/>
    <w:rsid w:val="00D17A7E"/>
    <w:rsid w:val="00D21232"/>
    <w:rsid w:val="00D2607E"/>
    <w:rsid w:val="00D32396"/>
    <w:rsid w:val="00D45397"/>
    <w:rsid w:val="00D57D77"/>
    <w:rsid w:val="00D603B2"/>
    <w:rsid w:val="00D637EA"/>
    <w:rsid w:val="00D81D81"/>
    <w:rsid w:val="00D93D33"/>
    <w:rsid w:val="00D97CED"/>
    <w:rsid w:val="00DC51CB"/>
    <w:rsid w:val="00DD06DB"/>
    <w:rsid w:val="00E00142"/>
    <w:rsid w:val="00E11679"/>
    <w:rsid w:val="00E811F8"/>
    <w:rsid w:val="00E95157"/>
    <w:rsid w:val="00ED2401"/>
    <w:rsid w:val="00EE42E4"/>
    <w:rsid w:val="00EF022D"/>
    <w:rsid w:val="00F2540A"/>
    <w:rsid w:val="00F312CA"/>
    <w:rsid w:val="00F478E3"/>
    <w:rsid w:val="00F7353C"/>
    <w:rsid w:val="00FC35FC"/>
    <w:rsid w:val="00FD1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69A99F8"/>
  <w15:chartTrackingRefBased/>
  <w15:docId w15:val="{4E518A8E-A425-47B7-A1A9-242E2AB44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12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312CA"/>
    <w:rPr>
      <w:i/>
      <w:iCs/>
    </w:rPr>
  </w:style>
  <w:style w:type="paragraph" w:styleId="FootnoteText">
    <w:name w:val="footnote text"/>
    <w:basedOn w:val="Normal"/>
    <w:link w:val="FootnoteTextChar"/>
    <w:uiPriority w:val="99"/>
    <w:semiHidden/>
    <w:unhideWhenUsed/>
    <w:rsid w:val="00EF02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022D"/>
    <w:rPr>
      <w:sz w:val="20"/>
      <w:szCs w:val="20"/>
    </w:rPr>
  </w:style>
  <w:style w:type="character" w:styleId="FootnoteReference">
    <w:name w:val="footnote reference"/>
    <w:basedOn w:val="DefaultParagraphFont"/>
    <w:uiPriority w:val="99"/>
    <w:semiHidden/>
    <w:unhideWhenUsed/>
    <w:rsid w:val="00EF022D"/>
    <w:rPr>
      <w:vertAlign w:val="superscript"/>
    </w:rPr>
  </w:style>
  <w:style w:type="paragraph" w:styleId="Header">
    <w:name w:val="header"/>
    <w:basedOn w:val="Normal"/>
    <w:link w:val="HeaderChar"/>
    <w:uiPriority w:val="99"/>
    <w:unhideWhenUsed/>
    <w:rsid w:val="00740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8FE"/>
  </w:style>
  <w:style w:type="paragraph" w:styleId="Footer">
    <w:name w:val="footer"/>
    <w:basedOn w:val="Normal"/>
    <w:link w:val="FooterChar"/>
    <w:uiPriority w:val="99"/>
    <w:unhideWhenUsed/>
    <w:rsid w:val="00740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EF0B4D-1FC7-4740-93AE-9BE8B5EF4A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7</Pages>
  <Words>2586</Words>
  <Characters>14721</Characters>
  <Application>Microsoft Office Word</Application>
  <DocSecurity>0</DocSecurity>
  <Lines>237</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Umon</dc:creator>
  <cp:keywords/>
  <dc:description/>
  <cp:lastModifiedBy>Umon</cp:lastModifiedBy>
  <cp:revision>12</cp:revision>
  <dcterms:created xsi:type="dcterms:W3CDTF">2018-06-19T22:04:00Z</dcterms:created>
  <dcterms:modified xsi:type="dcterms:W3CDTF">2018-06-20T00:56:00Z</dcterms:modified>
</cp:coreProperties>
</file>