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3F81A" w14:textId="3E41199E" w:rsidR="00860923" w:rsidRDefault="00860923">
      <w:pPr>
        <w:rPr>
          <w:rFonts w:ascii="Arial" w:hAnsi="Arial" w:cs="Arial"/>
          <w:b/>
          <w:bCs/>
          <w:color w:val="000000"/>
          <w:sz w:val="28"/>
          <w:szCs w:val="28"/>
          <w:u w:val="single"/>
        </w:rPr>
      </w:pPr>
    </w:p>
    <w:p w14:paraId="4C75DF96" w14:textId="7EB889E7" w:rsidR="00D07D4B" w:rsidRDefault="00D07D4B">
      <w:pPr>
        <w:rPr>
          <w:rFonts w:ascii="Arial" w:hAnsi="Arial" w:cs="Arial"/>
          <w:b/>
          <w:bCs/>
          <w:color w:val="000000"/>
          <w:sz w:val="28"/>
          <w:szCs w:val="28"/>
          <w:u w:val="single"/>
        </w:rPr>
      </w:pPr>
    </w:p>
    <w:p w14:paraId="59D738B0" w14:textId="098D8760" w:rsidR="00FC7BD6" w:rsidRDefault="00246F20">
      <w:pPr>
        <w:rPr>
          <w:rFonts w:ascii="Arial" w:hAnsi="Arial" w:cs="Arial"/>
          <w:b/>
          <w:bCs/>
          <w:color w:val="000000"/>
          <w:sz w:val="28"/>
          <w:szCs w:val="28"/>
          <w:u w:val="single"/>
        </w:rPr>
      </w:pPr>
      <w:r w:rsidRPr="00246F20">
        <w:rPr>
          <w:rFonts w:ascii="Arial" w:hAnsi="Arial" w:cs="Arial"/>
          <w:b/>
          <w:bCs/>
          <w:color w:val="000000"/>
          <w:sz w:val="28"/>
          <w:szCs w:val="28"/>
          <w:u w:val="single"/>
        </w:rPr>
        <w:drawing>
          <wp:inline distT="0" distB="0" distL="0" distR="0" wp14:anchorId="158F2D58" wp14:editId="30CB36AD">
            <wp:extent cx="5842000" cy="8128000"/>
            <wp:effectExtent l="0" t="0" r="0" b="0"/>
            <wp:docPr id="5630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08874" name=""/>
                    <pic:cNvPicPr/>
                  </pic:nvPicPr>
                  <pic:blipFill>
                    <a:blip r:embed="rId8"/>
                    <a:stretch>
                      <a:fillRect/>
                    </a:stretch>
                  </pic:blipFill>
                  <pic:spPr>
                    <a:xfrm>
                      <a:off x="0" y="0"/>
                      <a:ext cx="5842000" cy="8128000"/>
                    </a:xfrm>
                    <a:prstGeom prst="rect">
                      <a:avLst/>
                    </a:prstGeom>
                  </pic:spPr>
                </pic:pic>
              </a:graphicData>
            </a:graphic>
          </wp:inline>
        </w:drawing>
      </w:r>
      <w:r w:rsidR="00FC7BD6">
        <w:rPr>
          <w:rFonts w:ascii="Arial" w:hAnsi="Arial" w:cs="Arial"/>
          <w:b/>
          <w:bCs/>
          <w:color w:val="000000"/>
          <w:sz w:val="28"/>
          <w:szCs w:val="28"/>
          <w:u w:val="single"/>
        </w:rPr>
        <w:br w:type="page"/>
      </w:r>
    </w:p>
    <w:p w14:paraId="294BB349" w14:textId="65431706" w:rsidR="00661C0D" w:rsidRPr="00DB3E05" w:rsidRDefault="00AE4514" w:rsidP="00661C0D">
      <w:pPr>
        <w:rPr>
          <w:rFonts w:ascii="Arial" w:hAnsi="Arial" w:cs="Arial"/>
          <w:b/>
          <w:bCs/>
          <w:color w:val="000000"/>
          <w:sz w:val="28"/>
          <w:szCs w:val="28"/>
          <w:u w:val="single"/>
        </w:rPr>
      </w:pPr>
      <w:r w:rsidRPr="00DB3E05">
        <w:rPr>
          <w:rFonts w:ascii="Arial" w:hAnsi="Arial" w:cs="Arial"/>
          <w:b/>
          <w:bCs/>
          <w:color w:val="000000"/>
          <w:sz w:val="28"/>
          <w:szCs w:val="28"/>
          <w:u w:val="single"/>
        </w:rPr>
        <w:lastRenderedPageBreak/>
        <w:t>T</w:t>
      </w:r>
      <w:r w:rsidR="00863FD9" w:rsidRPr="00DB3E05">
        <w:rPr>
          <w:rFonts w:ascii="Arial" w:hAnsi="Arial" w:cs="Arial"/>
          <w:b/>
          <w:bCs/>
          <w:color w:val="000000"/>
          <w:sz w:val="28"/>
          <w:szCs w:val="28"/>
          <w:u w:val="single"/>
        </w:rPr>
        <w:t>ITLE</w:t>
      </w:r>
    </w:p>
    <w:p w14:paraId="522A2374" w14:textId="712977E1" w:rsidR="00661C0D" w:rsidRPr="00DB3E05" w:rsidRDefault="00515A5F" w:rsidP="00463B1E">
      <w:pPr>
        <w:spacing w:line="360" w:lineRule="auto"/>
        <w:jc w:val="both"/>
        <w:rPr>
          <w:rFonts w:ascii="Arial" w:hAnsi="Arial" w:cs="Arial"/>
          <w:color w:val="040C28"/>
          <w:sz w:val="28"/>
          <w:szCs w:val="28"/>
        </w:rPr>
      </w:pPr>
      <w:r w:rsidRPr="00DB3E05">
        <w:rPr>
          <w:rFonts w:ascii="Arial" w:hAnsi="Arial" w:cs="Arial"/>
          <w:color w:val="040C28"/>
          <w:sz w:val="28"/>
          <w:szCs w:val="28"/>
        </w:rPr>
        <w:t xml:space="preserve">An Empirical Analysis of </w:t>
      </w:r>
      <w:r w:rsidR="00661C0D" w:rsidRPr="00DB3E05">
        <w:rPr>
          <w:rFonts w:ascii="Arial" w:hAnsi="Arial" w:cs="Arial"/>
          <w:color w:val="040C28"/>
          <w:sz w:val="28"/>
          <w:szCs w:val="28"/>
        </w:rPr>
        <w:t xml:space="preserve">Environmental, Social, and Governance (“ESG”) performance and </w:t>
      </w:r>
      <w:r w:rsidR="008B6175">
        <w:rPr>
          <w:rFonts w:ascii="Arial" w:hAnsi="Arial" w:cs="Arial"/>
          <w:color w:val="040C28"/>
          <w:sz w:val="28"/>
          <w:szCs w:val="28"/>
        </w:rPr>
        <w:t xml:space="preserve">valuations of companies listed in </w:t>
      </w:r>
      <w:r w:rsidRPr="00DB3E05">
        <w:rPr>
          <w:rFonts w:ascii="Arial" w:hAnsi="Arial" w:cs="Arial"/>
          <w:color w:val="040C28"/>
          <w:sz w:val="28"/>
          <w:szCs w:val="28"/>
        </w:rPr>
        <w:t>Hong Kong</w:t>
      </w:r>
    </w:p>
    <w:p w14:paraId="15D2C1E3" w14:textId="77777777" w:rsidR="00407429" w:rsidRPr="00DB3E05" w:rsidRDefault="00407429" w:rsidP="00C014BE">
      <w:pPr>
        <w:spacing w:line="360" w:lineRule="auto"/>
        <w:jc w:val="both"/>
        <w:rPr>
          <w:rFonts w:ascii="Arial" w:hAnsi="Arial" w:cs="Arial"/>
          <w:color w:val="000000"/>
          <w:sz w:val="28"/>
          <w:szCs w:val="28"/>
        </w:rPr>
      </w:pPr>
    </w:p>
    <w:p w14:paraId="57C6500C" w14:textId="239FBAE8" w:rsidR="00407429" w:rsidRPr="00DB3E05" w:rsidRDefault="00407429" w:rsidP="00C014BE">
      <w:pPr>
        <w:spacing w:line="360" w:lineRule="auto"/>
        <w:jc w:val="both"/>
        <w:rPr>
          <w:rFonts w:ascii="Arial" w:hAnsi="Arial" w:cs="Arial"/>
          <w:color w:val="000000"/>
          <w:sz w:val="28"/>
          <w:szCs w:val="28"/>
        </w:rPr>
      </w:pPr>
      <w:r w:rsidRPr="00DB3E05">
        <w:rPr>
          <w:rFonts w:ascii="Arial" w:hAnsi="Arial" w:cs="Arial"/>
          <w:b/>
          <w:bCs/>
          <w:color w:val="000000"/>
          <w:sz w:val="28"/>
          <w:szCs w:val="28"/>
          <w:u w:val="single"/>
        </w:rPr>
        <w:t>A</w:t>
      </w:r>
      <w:r w:rsidR="00863FD9" w:rsidRPr="00DB3E05">
        <w:rPr>
          <w:rFonts w:ascii="Arial" w:hAnsi="Arial" w:cs="Arial"/>
          <w:b/>
          <w:bCs/>
          <w:color w:val="000000"/>
          <w:sz w:val="28"/>
          <w:szCs w:val="28"/>
          <w:u w:val="single"/>
        </w:rPr>
        <w:t>BSTRACT</w:t>
      </w:r>
    </w:p>
    <w:p w14:paraId="57184D7A" w14:textId="15C2896E" w:rsidR="00467D0D" w:rsidRPr="00DB3E05" w:rsidRDefault="00467D0D" w:rsidP="00467D0D">
      <w:pPr>
        <w:spacing w:line="360" w:lineRule="auto"/>
        <w:jc w:val="both"/>
        <w:rPr>
          <w:rFonts w:ascii="Arial" w:hAnsi="Arial" w:cs="Arial"/>
          <w:color w:val="040C28"/>
          <w:sz w:val="28"/>
          <w:szCs w:val="28"/>
        </w:rPr>
      </w:pPr>
      <w:r w:rsidRPr="00DB3E05">
        <w:rPr>
          <w:rFonts w:ascii="Arial" w:hAnsi="Arial" w:cs="Arial"/>
          <w:color w:val="040C28"/>
          <w:sz w:val="28"/>
          <w:szCs w:val="28"/>
        </w:rPr>
        <w:t xml:space="preserve">This research </w:t>
      </w:r>
      <w:r w:rsidR="008B6175">
        <w:rPr>
          <w:rFonts w:ascii="Arial" w:hAnsi="Arial" w:cs="Arial"/>
          <w:color w:val="040C28"/>
          <w:sz w:val="28"/>
          <w:szCs w:val="28"/>
        </w:rPr>
        <w:t xml:space="preserve">examines the links between </w:t>
      </w:r>
      <w:r w:rsidRPr="00DB3E05">
        <w:rPr>
          <w:rFonts w:ascii="Arial" w:hAnsi="Arial" w:cs="Arial"/>
          <w:color w:val="040C28"/>
          <w:sz w:val="28"/>
          <w:szCs w:val="28"/>
        </w:rPr>
        <w:t xml:space="preserve">ESG performance and </w:t>
      </w:r>
      <w:r w:rsidR="008B6175">
        <w:rPr>
          <w:rFonts w:ascii="Arial" w:hAnsi="Arial" w:cs="Arial"/>
          <w:color w:val="040C28"/>
          <w:sz w:val="28"/>
          <w:szCs w:val="28"/>
        </w:rPr>
        <w:t>the valuation of companies</w:t>
      </w:r>
      <w:r w:rsidRPr="00DB3E05">
        <w:rPr>
          <w:rFonts w:ascii="Arial" w:hAnsi="Arial" w:cs="Arial"/>
          <w:color w:val="040C28"/>
          <w:sz w:val="28"/>
          <w:szCs w:val="28"/>
        </w:rPr>
        <w:t xml:space="preserve"> listed </w:t>
      </w:r>
      <w:r w:rsidR="008B6175">
        <w:rPr>
          <w:rFonts w:ascii="Arial" w:hAnsi="Arial" w:cs="Arial"/>
          <w:color w:val="040C28"/>
          <w:sz w:val="28"/>
          <w:szCs w:val="28"/>
        </w:rPr>
        <w:t>in Hong Kong</w:t>
      </w:r>
      <w:r w:rsidRPr="00DB3E05">
        <w:rPr>
          <w:rFonts w:ascii="Arial" w:hAnsi="Arial" w:cs="Arial"/>
          <w:color w:val="040C28"/>
          <w:sz w:val="28"/>
          <w:szCs w:val="28"/>
        </w:rPr>
        <w:t>. As global attention shifts towards sustainability, ESG factors have become crucial in shaping corporate strategies and investor decisions. The research primarily aims to explore how enhanced ESG practices influence corporate reputation and value, considering the stringent regulatory landscape in Hong Kong that has evolved significantly over the past decade.</w:t>
      </w:r>
    </w:p>
    <w:p w14:paraId="4636AE66" w14:textId="77777777" w:rsidR="00467D0D" w:rsidRPr="00DB3E05" w:rsidRDefault="00467D0D" w:rsidP="00467D0D">
      <w:pPr>
        <w:spacing w:line="360" w:lineRule="auto"/>
        <w:jc w:val="both"/>
        <w:rPr>
          <w:rFonts w:ascii="Arial" w:hAnsi="Arial" w:cs="Arial"/>
          <w:color w:val="040C28"/>
          <w:sz w:val="28"/>
          <w:szCs w:val="28"/>
        </w:rPr>
      </w:pPr>
    </w:p>
    <w:p w14:paraId="373C54CC" w14:textId="2C1EB954" w:rsidR="00467D0D" w:rsidRPr="00DB3E05" w:rsidRDefault="00467D0D" w:rsidP="00467D0D">
      <w:pPr>
        <w:spacing w:line="360" w:lineRule="auto"/>
        <w:jc w:val="both"/>
        <w:rPr>
          <w:rFonts w:ascii="Arial" w:hAnsi="Arial" w:cs="Arial"/>
          <w:color w:val="040C28"/>
          <w:sz w:val="28"/>
          <w:szCs w:val="28"/>
        </w:rPr>
      </w:pPr>
      <w:r w:rsidRPr="00DB3E05">
        <w:rPr>
          <w:rFonts w:ascii="Arial" w:hAnsi="Arial" w:cs="Arial"/>
          <w:color w:val="040C28"/>
          <w:sz w:val="28"/>
          <w:szCs w:val="28"/>
        </w:rPr>
        <w:t>The research will be guided by three research questions, (</w:t>
      </w:r>
      <w:proofErr w:type="spellStart"/>
      <w:r w:rsidRPr="00DB3E05">
        <w:rPr>
          <w:rFonts w:ascii="Arial" w:hAnsi="Arial" w:cs="Arial"/>
          <w:color w:val="040C28"/>
          <w:sz w:val="28"/>
          <w:szCs w:val="28"/>
        </w:rPr>
        <w:t>i</w:t>
      </w:r>
      <w:proofErr w:type="spellEnd"/>
      <w:r w:rsidRPr="00DB3E05">
        <w:rPr>
          <w:rFonts w:ascii="Arial" w:hAnsi="Arial" w:cs="Arial"/>
          <w:color w:val="040C28"/>
          <w:sz w:val="28"/>
          <w:szCs w:val="28"/>
        </w:rPr>
        <w:t xml:space="preserve">) </w:t>
      </w:r>
      <w:r w:rsidRPr="00DB3E05">
        <w:rPr>
          <w:rFonts w:ascii="Arial" w:eastAsiaTheme="minorEastAsia" w:hAnsi="Arial" w:cs="Arial"/>
          <w:color w:val="181818"/>
          <w:sz w:val="28"/>
          <w:szCs w:val="28"/>
          <w:lang w:val="en-GB"/>
          <w14:ligatures w14:val="standardContextual"/>
        </w:rPr>
        <w:t>how do board characteristics influence ESG performance on listed companies,</w:t>
      </w:r>
      <w:r w:rsidRPr="00DB3E05">
        <w:rPr>
          <w:rFonts w:ascii="Arial" w:hAnsi="Arial" w:cs="Arial"/>
          <w:color w:val="040C28"/>
          <w:sz w:val="28"/>
          <w:szCs w:val="28"/>
        </w:rPr>
        <w:t xml:space="preserve"> (ii) </w:t>
      </w:r>
      <w:r w:rsidR="00B60B7F" w:rsidRPr="00DB3E05">
        <w:rPr>
          <w:rFonts w:ascii="Arial" w:eastAsiaTheme="minorEastAsia" w:hAnsi="Arial" w:cs="Arial"/>
          <w:color w:val="181818"/>
          <w:sz w:val="28"/>
          <w:szCs w:val="28"/>
          <w:lang w:val="en-GB"/>
          <w14:ligatures w14:val="standardContextual"/>
        </w:rPr>
        <w:t>h</w:t>
      </w:r>
      <w:r w:rsidRPr="00DB3E05">
        <w:rPr>
          <w:rFonts w:ascii="Arial" w:eastAsiaTheme="minorEastAsia" w:hAnsi="Arial" w:cs="Arial"/>
          <w:color w:val="181818"/>
          <w:sz w:val="28"/>
          <w:szCs w:val="28"/>
          <w:lang w:val="en-GB"/>
          <w14:ligatures w14:val="standardContextual"/>
        </w:rPr>
        <w:t xml:space="preserve">ow does ESG performance affect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and (iii) </w:t>
      </w:r>
      <w:r w:rsidR="00B60B7F" w:rsidRPr="00DB3E05">
        <w:rPr>
          <w:rFonts w:ascii="Arial" w:eastAsiaTheme="minorEastAsia" w:hAnsi="Arial" w:cs="Arial"/>
          <w:color w:val="181818"/>
          <w:sz w:val="28"/>
          <w:szCs w:val="28"/>
          <w:lang w:val="en-GB"/>
          <w14:ligatures w14:val="standardContextual"/>
        </w:rPr>
        <w:t>h</w:t>
      </w:r>
      <w:r w:rsidRPr="00DB3E05">
        <w:rPr>
          <w:rFonts w:ascii="Arial" w:eastAsiaTheme="minorEastAsia" w:hAnsi="Arial" w:cs="Arial"/>
          <w:color w:val="181818"/>
          <w:sz w:val="28"/>
          <w:szCs w:val="28"/>
          <w:lang w:val="en-GB"/>
          <w14:ligatures w14:val="standardContextual"/>
        </w:rPr>
        <w:t xml:space="preserve">ow does ESG performance affect investment decision using mixed research method.   </w:t>
      </w:r>
      <w:r w:rsidRPr="00DB3E05">
        <w:rPr>
          <w:rFonts w:ascii="Arial" w:hAnsi="Arial" w:cs="Arial"/>
          <w:color w:val="040C28"/>
          <w:sz w:val="28"/>
          <w:szCs w:val="28"/>
        </w:rPr>
        <w:t xml:space="preserve">  Through a comprehensive analysis of both qualitative and quantitative data, this research evaluates the current ESG practices adopted by listed companies in Hong Kong and assesses their impact on corporate performance and investment attractiveness. </w:t>
      </w:r>
    </w:p>
    <w:p w14:paraId="35637840" w14:textId="77777777" w:rsidR="00467D0D" w:rsidRPr="00DB3E05" w:rsidRDefault="00467D0D" w:rsidP="00467D0D">
      <w:pPr>
        <w:spacing w:line="360" w:lineRule="auto"/>
        <w:jc w:val="both"/>
        <w:rPr>
          <w:rFonts w:ascii="Arial" w:hAnsi="Arial" w:cs="Arial"/>
          <w:color w:val="040C28"/>
          <w:sz w:val="28"/>
          <w:szCs w:val="28"/>
        </w:rPr>
      </w:pPr>
    </w:p>
    <w:p w14:paraId="7A9A0FAC" w14:textId="7156EC31" w:rsidR="00467D0D" w:rsidRPr="00DB3E05" w:rsidRDefault="00467D0D" w:rsidP="00467D0D">
      <w:pPr>
        <w:spacing w:line="360" w:lineRule="auto"/>
        <w:jc w:val="both"/>
        <w:rPr>
          <w:rFonts w:ascii="Arial" w:hAnsi="Arial" w:cs="Arial"/>
          <w:color w:val="040C28"/>
          <w:sz w:val="28"/>
          <w:szCs w:val="28"/>
        </w:rPr>
      </w:pPr>
      <w:r w:rsidRPr="00DB3E05">
        <w:rPr>
          <w:rFonts w:ascii="Arial" w:hAnsi="Arial" w:cs="Arial"/>
          <w:color w:val="040C28"/>
          <w:sz w:val="28"/>
          <w:szCs w:val="28"/>
        </w:rPr>
        <w:t>This research contributes to the ongoing discourse on sustainable business practices by highlighting the tangible benefits of robust ESG frameworks in enhancing corporate value and by providing empirical evidence from the Hong Kong market, thus enriching the literature on ESG performance and its economic implications.</w:t>
      </w:r>
    </w:p>
    <w:p w14:paraId="6D2880C1" w14:textId="77777777" w:rsidR="00407429" w:rsidRPr="00DB3E05" w:rsidRDefault="00407429" w:rsidP="00C014BE">
      <w:pPr>
        <w:spacing w:line="360" w:lineRule="auto"/>
        <w:jc w:val="both"/>
        <w:rPr>
          <w:rFonts w:ascii="Arial" w:hAnsi="Arial" w:cs="Arial"/>
          <w:color w:val="000000"/>
          <w:sz w:val="28"/>
          <w:szCs w:val="28"/>
        </w:rPr>
      </w:pPr>
    </w:p>
    <w:p w14:paraId="2E537AA0" w14:textId="77777777" w:rsidR="0034125F" w:rsidRPr="00DB3E05" w:rsidRDefault="0034125F">
      <w:pPr>
        <w:rPr>
          <w:rFonts w:ascii="Arial" w:hAnsi="Arial" w:cs="Arial"/>
          <w:b/>
          <w:bCs/>
          <w:color w:val="000000"/>
          <w:sz w:val="28"/>
          <w:szCs w:val="28"/>
          <w:u w:val="single"/>
        </w:rPr>
      </w:pPr>
      <w:r w:rsidRPr="00DB3E05">
        <w:rPr>
          <w:rFonts w:ascii="Arial" w:hAnsi="Arial" w:cs="Arial"/>
          <w:b/>
          <w:bCs/>
          <w:color w:val="000000"/>
          <w:sz w:val="28"/>
          <w:szCs w:val="28"/>
          <w:u w:val="single"/>
        </w:rPr>
        <w:br w:type="page"/>
      </w:r>
    </w:p>
    <w:p w14:paraId="73D3F897" w14:textId="6F7838AC" w:rsidR="00407429" w:rsidRPr="00DB3E05" w:rsidRDefault="00407429" w:rsidP="00270F4E">
      <w:pPr>
        <w:spacing w:line="360" w:lineRule="auto"/>
        <w:jc w:val="center"/>
        <w:rPr>
          <w:rFonts w:ascii="Arial" w:hAnsi="Arial" w:cs="Arial"/>
          <w:color w:val="000000"/>
          <w:sz w:val="28"/>
          <w:szCs w:val="28"/>
        </w:rPr>
      </w:pPr>
      <w:r w:rsidRPr="00DB3E05">
        <w:rPr>
          <w:rFonts w:ascii="Arial" w:hAnsi="Arial" w:cs="Arial"/>
          <w:b/>
          <w:bCs/>
          <w:color w:val="000000"/>
          <w:sz w:val="28"/>
          <w:szCs w:val="28"/>
          <w:u w:val="single"/>
        </w:rPr>
        <w:lastRenderedPageBreak/>
        <w:t>T</w:t>
      </w:r>
      <w:r w:rsidR="00863FD9" w:rsidRPr="00DB3E05">
        <w:rPr>
          <w:rFonts w:ascii="Arial" w:hAnsi="Arial" w:cs="Arial"/>
          <w:b/>
          <w:bCs/>
          <w:color w:val="000000"/>
          <w:sz w:val="28"/>
          <w:szCs w:val="28"/>
          <w:u w:val="single"/>
        </w:rPr>
        <w:t>ABLE OF CONTENTS</w:t>
      </w:r>
    </w:p>
    <w:p w14:paraId="337AE8A9" w14:textId="0A7A8098" w:rsidR="00407429" w:rsidRPr="00DB3E05" w:rsidRDefault="00407429" w:rsidP="00407429">
      <w:pPr>
        <w:tabs>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Page(s)</w:t>
      </w:r>
    </w:p>
    <w:p w14:paraId="6A2B1D07" w14:textId="27A02944" w:rsidR="0034125F" w:rsidRPr="00DB3E05" w:rsidRDefault="0034125F" w:rsidP="0034125F">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1.</w:t>
      </w:r>
      <w:r w:rsidRPr="00DB3E05">
        <w:rPr>
          <w:rFonts w:ascii="Arial" w:hAnsi="Arial" w:cs="Arial"/>
          <w:color w:val="000000"/>
          <w:sz w:val="28"/>
          <w:szCs w:val="28"/>
        </w:rPr>
        <w:tab/>
        <w:t>Introduction</w:t>
      </w:r>
    </w:p>
    <w:p w14:paraId="4D4CB856" w14:textId="324AA586"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1.1</w:t>
      </w:r>
      <w:r w:rsidRPr="00DB3E05">
        <w:rPr>
          <w:rFonts w:ascii="Arial" w:hAnsi="Arial" w:cs="Arial"/>
          <w:color w:val="000000"/>
          <w:sz w:val="28"/>
          <w:szCs w:val="28"/>
        </w:rPr>
        <w:tab/>
        <w:t>Introduction</w:t>
      </w:r>
      <w:r w:rsidRPr="00DB3E05">
        <w:rPr>
          <w:rFonts w:ascii="Arial" w:hAnsi="Arial" w:cs="Arial"/>
          <w:color w:val="000000"/>
          <w:sz w:val="28"/>
          <w:szCs w:val="28"/>
        </w:rPr>
        <w:tab/>
      </w:r>
      <w:r w:rsidR="009A2926">
        <w:rPr>
          <w:rFonts w:ascii="Arial" w:hAnsi="Arial" w:cs="Arial"/>
          <w:color w:val="000000"/>
          <w:sz w:val="28"/>
          <w:szCs w:val="28"/>
        </w:rPr>
        <w:t>4</w:t>
      </w:r>
    </w:p>
    <w:p w14:paraId="455956C7" w14:textId="09E3C501"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1.2</w:t>
      </w:r>
      <w:r w:rsidRPr="00DB3E05">
        <w:rPr>
          <w:rFonts w:ascii="Arial" w:hAnsi="Arial" w:cs="Arial"/>
          <w:color w:val="000000"/>
          <w:sz w:val="28"/>
          <w:szCs w:val="28"/>
        </w:rPr>
        <w:tab/>
        <w:t>Background</w:t>
      </w:r>
      <w:r w:rsidRPr="00DB3E05">
        <w:rPr>
          <w:rFonts w:ascii="Arial" w:hAnsi="Arial" w:cs="Arial"/>
          <w:color w:val="000000"/>
          <w:sz w:val="28"/>
          <w:szCs w:val="28"/>
        </w:rPr>
        <w:tab/>
      </w:r>
      <w:r w:rsidR="009A2926">
        <w:rPr>
          <w:rFonts w:ascii="Arial" w:hAnsi="Arial" w:cs="Arial"/>
          <w:color w:val="000000"/>
          <w:sz w:val="28"/>
          <w:szCs w:val="28"/>
        </w:rPr>
        <w:t>4</w:t>
      </w:r>
    </w:p>
    <w:p w14:paraId="18E08B95" w14:textId="29F309E0"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1.3</w:t>
      </w:r>
      <w:r w:rsidRPr="00DB3E05">
        <w:rPr>
          <w:rFonts w:ascii="Arial" w:hAnsi="Arial" w:cs="Arial"/>
          <w:color w:val="000000"/>
          <w:sz w:val="28"/>
          <w:szCs w:val="28"/>
        </w:rPr>
        <w:tab/>
      </w:r>
      <w:r w:rsidR="00933863" w:rsidRPr="00DB3E05">
        <w:rPr>
          <w:rFonts w:ascii="Arial" w:hAnsi="Arial" w:cs="Arial"/>
          <w:color w:val="000000"/>
          <w:sz w:val="28"/>
          <w:szCs w:val="28"/>
        </w:rPr>
        <w:t>ESG r</w:t>
      </w:r>
      <w:r w:rsidR="003E789D" w:rsidRPr="00DB3E05">
        <w:rPr>
          <w:rFonts w:ascii="Arial" w:hAnsi="Arial" w:cs="Arial"/>
          <w:color w:val="000000"/>
          <w:sz w:val="28"/>
          <w:szCs w:val="28"/>
        </w:rPr>
        <w:t>egulatory development</w:t>
      </w:r>
      <w:r w:rsidR="00B00C8F" w:rsidRPr="00DB3E05">
        <w:rPr>
          <w:rFonts w:ascii="Arial" w:hAnsi="Arial" w:cs="Arial"/>
          <w:color w:val="000000"/>
          <w:sz w:val="28"/>
          <w:szCs w:val="28"/>
        </w:rPr>
        <w:t xml:space="preserve"> in Hong Kong</w:t>
      </w:r>
      <w:r w:rsidR="00B00C8F" w:rsidRPr="00DB3E05">
        <w:rPr>
          <w:rFonts w:ascii="Arial" w:hAnsi="Arial" w:cs="Arial"/>
          <w:color w:val="000000"/>
          <w:sz w:val="28"/>
          <w:szCs w:val="28"/>
        </w:rPr>
        <w:tab/>
      </w:r>
      <w:r w:rsidR="009A2926">
        <w:rPr>
          <w:rFonts w:ascii="Arial" w:hAnsi="Arial" w:cs="Arial"/>
          <w:color w:val="000000"/>
          <w:sz w:val="28"/>
          <w:szCs w:val="28"/>
        </w:rPr>
        <w:t>4</w:t>
      </w:r>
    </w:p>
    <w:p w14:paraId="3AA49535" w14:textId="2FA52708"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1.4</w:t>
      </w:r>
      <w:r w:rsidRPr="00DB3E05">
        <w:rPr>
          <w:rFonts w:ascii="Arial" w:hAnsi="Arial" w:cs="Arial"/>
          <w:color w:val="000000"/>
          <w:sz w:val="28"/>
          <w:szCs w:val="28"/>
        </w:rPr>
        <w:tab/>
      </w:r>
      <w:r w:rsidR="00407429" w:rsidRPr="00DB3E05">
        <w:rPr>
          <w:rFonts w:ascii="Arial" w:hAnsi="Arial" w:cs="Arial"/>
          <w:color w:val="000000"/>
          <w:sz w:val="28"/>
          <w:szCs w:val="28"/>
        </w:rPr>
        <w:t>Business and management challenges</w:t>
      </w:r>
      <w:r w:rsidRPr="00DB3E05">
        <w:rPr>
          <w:rFonts w:ascii="Arial" w:hAnsi="Arial" w:cs="Arial"/>
          <w:color w:val="000000"/>
          <w:sz w:val="28"/>
          <w:szCs w:val="28"/>
        </w:rPr>
        <w:tab/>
      </w:r>
      <w:r w:rsidR="009A2926">
        <w:rPr>
          <w:rFonts w:ascii="Arial" w:hAnsi="Arial" w:cs="Arial"/>
          <w:color w:val="000000"/>
          <w:sz w:val="28"/>
          <w:szCs w:val="28"/>
        </w:rPr>
        <w:t>6</w:t>
      </w:r>
    </w:p>
    <w:p w14:paraId="6819F636" w14:textId="724B2B29"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1.5</w:t>
      </w:r>
      <w:r w:rsidRPr="00DB3E05">
        <w:rPr>
          <w:rFonts w:ascii="Arial" w:hAnsi="Arial" w:cs="Arial"/>
          <w:color w:val="000000"/>
          <w:sz w:val="28"/>
          <w:szCs w:val="28"/>
        </w:rPr>
        <w:tab/>
      </w:r>
      <w:r w:rsidR="00407429" w:rsidRPr="00DB3E05">
        <w:rPr>
          <w:rFonts w:ascii="Arial" w:hAnsi="Arial" w:cs="Arial"/>
          <w:color w:val="000000"/>
          <w:sz w:val="28"/>
          <w:szCs w:val="28"/>
        </w:rPr>
        <w:t>Research aims and objectives</w:t>
      </w:r>
      <w:r w:rsidRPr="00DB3E05">
        <w:rPr>
          <w:rFonts w:ascii="Arial" w:hAnsi="Arial" w:cs="Arial"/>
          <w:color w:val="000000"/>
          <w:sz w:val="28"/>
          <w:szCs w:val="28"/>
        </w:rPr>
        <w:tab/>
      </w:r>
      <w:r w:rsidR="009A2926">
        <w:rPr>
          <w:rFonts w:ascii="Arial" w:hAnsi="Arial" w:cs="Arial"/>
          <w:color w:val="000000"/>
          <w:sz w:val="28"/>
          <w:szCs w:val="28"/>
        </w:rPr>
        <w:t>6</w:t>
      </w:r>
    </w:p>
    <w:p w14:paraId="0139F775" w14:textId="2E593895"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1.6</w:t>
      </w:r>
      <w:r w:rsidRPr="00DB3E05">
        <w:rPr>
          <w:rFonts w:ascii="Arial" w:hAnsi="Arial" w:cs="Arial"/>
          <w:color w:val="000000"/>
          <w:sz w:val="28"/>
          <w:szCs w:val="28"/>
        </w:rPr>
        <w:tab/>
      </w:r>
      <w:r w:rsidR="00407429" w:rsidRPr="00DB3E05">
        <w:rPr>
          <w:rFonts w:ascii="Arial" w:hAnsi="Arial" w:cs="Arial"/>
          <w:color w:val="000000"/>
          <w:sz w:val="28"/>
          <w:szCs w:val="28"/>
        </w:rPr>
        <w:t xml:space="preserve">Research questions and </w:t>
      </w:r>
      <w:r w:rsidR="00C25C32" w:rsidRPr="00DB3E05">
        <w:rPr>
          <w:rFonts w:ascii="Arial" w:hAnsi="Arial" w:cs="Arial"/>
          <w:color w:val="000000"/>
          <w:sz w:val="28"/>
          <w:szCs w:val="28"/>
        </w:rPr>
        <w:t>h</w:t>
      </w:r>
      <w:r w:rsidR="00407429" w:rsidRPr="00DB3E05">
        <w:rPr>
          <w:rFonts w:ascii="Arial" w:hAnsi="Arial" w:cs="Arial"/>
          <w:color w:val="000000"/>
          <w:sz w:val="28"/>
          <w:szCs w:val="28"/>
        </w:rPr>
        <w:t>ypotheses</w:t>
      </w:r>
      <w:r w:rsidRPr="00DB3E05">
        <w:rPr>
          <w:rFonts w:ascii="Arial" w:hAnsi="Arial" w:cs="Arial"/>
          <w:color w:val="000000"/>
          <w:sz w:val="28"/>
          <w:szCs w:val="28"/>
        </w:rPr>
        <w:tab/>
      </w:r>
      <w:r w:rsidR="009A2926">
        <w:rPr>
          <w:rFonts w:ascii="Arial" w:hAnsi="Arial" w:cs="Arial"/>
          <w:color w:val="000000"/>
          <w:sz w:val="28"/>
          <w:szCs w:val="28"/>
        </w:rPr>
        <w:t>7</w:t>
      </w:r>
    </w:p>
    <w:p w14:paraId="1597FF56" w14:textId="39D5AF39"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1.7</w:t>
      </w:r>
      <w:r w:rsidRPr="00DB3E05">
        <w:rPr>
          <w:rFonts w:ascii="Arial" w:hAnsi="Arial" w:cs="Arial"/>
          <w:color w:val="000000"/>
          <w:sz w:val="28"/>
          <w:szCs w:val="28"/>
        </w:rPr>
        <w:tab/>
        <w:t>Research significance</w:t>
      </w:r>
      <w:r w:rsidRPr="00DB3E05">
        <w:rPr>
          <w:rFonts w:ascii="Arial" w:hAnsi="Arial" w:cs="Arial"/>
          <w:color w:val="000000"/>
          <w:sz w:val="28"/>
          <w:szCs w:val="28"/>
        </w:rPr>
        <w:tab/>
      </w:r>
      <w:r w:rsidR="009A2926">
        <w:rPr>
          <w:rFonts w:ascii="Arial" w:hAnsi="Arial" w:cs="Arial"/>
          <w:color w:val="000000"/>
          <w:sz w:val="28"/>
          <w:szCs w:val="28"/>
        </w:rPr>
        <w:t>10</w:t>
      </w:r>
    </w:p>
    <w:p w14:paraId="2720EC06" w14:textId="2F0720B2"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sidR="00D944DF" w:rsidRPr="00DB3E05">
        <w:rPr>
          <w:rFonts w:ascii="Arial" w:hAnsi="Arial" w:cs="Arial"/>
          <w:color w:val="000000"/>
          <w:sz w:val="28"/>
          <w:szCs w:val="28"/>
        </w:rPr>
        <w:t>8</w:t>
      </w:r>
      <w:r w:rsidRPr="00DB3E05">
        <w:rPr>
          <w:rFonts w:ascii="Arial" w:hAnsi="Arial" w:cs="Arial"/>
          <w:color w:val="000000"/>
          <w:sz w:val="28"/>
          <w:szCs w:val="28"/>
        </w:rPr>
        <w:tab/>
      </w:r>
      <w:r w:rsidR="00D944DF" w:rsidRPr="00DB3E05">
        <w:rPr>
          <w:rFonts w:ascii="Arial" w:hAnsi="Arial" w:cs="Arial"/>
          <w:color w:val="000000"/>
          <w:sz w:val="28"/>
          <w:szCs w:val="28"/>
        </w:rPr>
        <w:t>Section</w:t>
      </w:r>
      <w:r w:rsidRPr="00DB3E05">
        <w:rPr>
          <w:rFonts w:ascii="Arial" w:hAnsi="Arial" w:cs="Arial"/>
          <w:color w:val="000000"/>
          <w:sz w:val="28"/>
          <w:szCs w:val="28"/>
        </w:rPr>
        <w:t xml:space="preserve"> </w:t>
      </w:r>
      <w:r w:rsidR="001152E7" w:rsidRPr="00DB3E05">
        <w:rPr>
          <w:rFonts w:ascii="Arial" w:hAnsi="Arial" w:cs="Arial"/>
          <w:color w:val="000000"/>
          <w:sz w:val="28"/>
          <w:szCs w:val="28"/>
        </w:rPr>
        <w:t>s</w:t>
      </w:r>
      <w:r w:rsidRPr="00DB3E05">
        <w:rPr>
          <w:rFonts w:ascii="Arial" w:hAnsi="Arial" w:cs="Arial"/>
          <w:color w:val="000000"/>
          <w:sz w:val="28"/>
          <w:szCs w:val="28"/>
        </w:rPr>
        <w:t>ummary</w:t>
      </w:r>
      <w:r w:rsidRPr="00DB3E05">
        <w:rPr>
          <w:rFonts w:ascii="Arial" w:hAnsi="Arial" w:cs="Arial"/>
          <w:color w:val="000000"/>
          <w:sz w:val="28"/>
          <w:szCs w:val="28"/>
        </w:rPr>
        <w:tab/>
      </w:r>
      <w:r w:rsidR="009A2926">
        <w:rPr>
          <w:rFonts w:ascii="Arial" w:hAnsi="Arial" w:cs="Arial"/>
          <w:color w:val="000000"/>
          <w:sz w:val="28"/>
          <w:szCs w:val="28"/>
        </w:rPr>
        <w:t>10</w:t>
      </w:r>
    </w:p>
    <w:p w14:paraId="1FC60930" w14:textId="113DE86C" w:rsidR="00407429" w:rsidRPr="00DB3E05" w:rsidRDefault="0034125F" w:rsidP="0034125F">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2.</w:t>
      </w:r>
      <w:r w:rsidRPr="00DB3E05">
        <w:rPr>
          <w:rFonts w:ascii="Arial" w:hAnsi="Arial" w:cs="Arial"/>
          <w:color w:val="000000"/>
          <w:sz w:val="28"/>
          <w:szCs w:val="28"/>
        </w:rPr>
        <w:tab/>
      </w:r>
      <w:r w:rsidR="00407429" w:rsidRPr="00DB3E05">
        <w:rPr>
          <w:rFonts w:ascii="Arial" w:hAnsi="Arial" w:cs="Arial"/>
          <w:color w:val="000000"/>
          <w:sz w:val="28"/>
          <w:szCs w:val="28"/>
        </w:rPr>
        <w:t>Literature review</w:t>
      </w:r>
    </w:p>
    <w:p w14:paraId="2208F7BB" w14:textId="55AFF8AB"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2.1</w:t>
      </w:r>
      <w:r w:rsidRPr="00DB3E05">
        <w:rPr>
          <w:rFonts w:ascii="Arial" w:hAnsi="Arial" w:cs="Arial"/>
          <w:color w:val="000000"/>
          <w:sz w:val="28"/>
          <w:szCs w:val="28"/>
        </w:rPr>
        <w:tab/>
        <w:t>Introduction</w:t>
      </w:r>
      <w:r w:rsidRPr="00DB3E05">
        <w:rPr>
          <w:rFonts w:ascii="Arial" w:hAnsi="Arial" w:cs="Arial"/>
          <w:color w:val="000000"/>
          <w:sz w:val="28"/>
          <w:szCs w:val="28"/>
        </w:rPr>
        <w:tab/>
      </w:r>
      <w:r w:rsidR="009A2926">
        <w:rPr>
          <w:rFonts w:ascii="Arial" w:hAnsi="Arial" w:cs="Arial"/>
          <w:color w:val="000000"/>
          <w:sz w:val="28"/>
          <w:szCs w:val="28"/>
        </w:rPr>
        <w:t>11</w:t>
      </w:r>
    </w:p>
    <w:p w14:paraId="4D149275" w14:textId="514FC730"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2.2</w:t>
      </w:r>
      <w:r w:rsidRPr="00DB3E05">
        <w:rPr>
          <w:rFonts w:ascii="Arial" w:hAnsi="Arial" w:cs="Arial"/>
          <w:color w:val="000000"/>
          <w:sz w:val="28"/>
          <w:szCs w:val="28"/>
        </w:rPr>
        <w:tab/>
        <w:t>Theories related to ESG reporting</w:t>
      </w:r>
      <w:r w:rsidRPr="00DB3E05">
        <w:rPr>
          <w:rFonts w:ascii="Arial" w:hAnsi="Arial" w:cs="Arial"/>
          <w:color w:val="000000"/>
          <w:sz w:val="28"/>
          <w:szCs w:val="28"/>
        </w:rPr>
        <w:tab/>
      </w:r>
      <w:r w:rsidR="009A2926">
        <w:rPr>
          <w:rFonts w:ascii="Arial" w:hAnsi="Arial" w:cs="Arial"/>
          <w:color w:val="000000"/>
          <w:sz w:val="28"/>
          <w:szCs w:val="28"/>
        </w:rPr>
        <w:t>11</w:t>
      </w:r>
    </w:p>
    <w:p w14:paraId="29435DF5" w14:textId="139566C5"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2.3</w:t>
      </w:r>
      <w:r w:rsidRPr="00DB3E05">
        <w:rPr>
          <w:rFonts w:ascii="Arial" w:hAnsi="Arial" w:cs="Arial"/>
          <w:color w:val="000000"/>
          <w:sz w:val="28"/>
          <w:szCs w:val="28"/>
        </w:rPr>
        <w:tab/>
        <w:t xml:space="preserve">ESG performance and </w:t>
      </w:r>
      <w:r w:rsidR="008B6175">
        <w:rPr>
          <w:rFonts w:ascii="Arial" w:hAnsi="Arial" w:cs="Arial"/>
          <w:color w:val="000000"/>
          <w:sz w:val="28"/>
          <w:szCs w:val="28"/>
        </w:rPr>
        <w:t>corporate valuations</w:t>
      </w:r>
      <w:r w:rsidRPr="00DB3E05">
        <w:rPr>
          <w:rFonts w:ascii="Arial" w:hAnsi="Arial" w:cs="Arial"/>
          <w:color w:val="000000"/>
          <w:sz w:val="28"/>
          <w:szCs w:val="28"/>
        </w:rPr>
        <w:tab/>
      </w:r>
      <w:r w:rsidR="009A2926">
        <w:rPr>
          <w:rFonts w:ascii="Arial" w:hAnsi="Arial" w:cs="Arial"/>
          <w:color w:val="000000"/>
          <w:sz w:val="28"/>
          <w:szCs w:val="28"/>
        </w:rPr>
        <w:t>13</w:t>
      </w:r>
    </w:p>
    <w:p w14:paraId="57428E62" w14:textId="3A3A6940" w:rsidR="008E0444" w:rsidRPr="00DB3E05" w:rsidRDefault="008E0444"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2.4</w:t>
      </w:r>
      <w:r w:rsidRPr="00DB3E05">
        <w:rPr>
          <w:rFonts w:ascii="Arial" w:hAnsi="Arial" w:cs="Arial"/>
          <w:color w:val="000000"/>
          <w:sz w:val="28"/>
          <w:szCs w:val="28"/>
        </w:rPr>
        <w:tab/>
        <w:t>Use ESG data in investment decision</w:t>
      </w:r>
      <w:r w:rsidRPr="00DB3E05">
        <w:rPr>
          <w:rFonts w:ascii="Arial" w:hAnsi="Arial" w:cs="Arial"/>
          <w:color w:val="000000"/>
          <w:sz w:val="28"/>
          <w:szCs w:val="28"/>
        </w:rPr>
        <w:tab/>
      </w:r>
      <w:r w:rsidR="00860923">
        <w:rPr>
          <w:rFonts w:ascii="Arial" w:hAnsi="Arial" w:cs="Arial"/>
          <w:color w:val="000000"/>
          <w:sz w:val="28"/>
          <w:szCs w:val="28"/>
        </w:rPr>
        <w:t>18</w:t>
      </w:r>
    </w:p>
    <w:p w14:paraId="4BEA1229" w14:textId="634CEF04" w:rsidR="008E0444" w:rsidRPr="00DB3E05" w:rsidRDefault="008E0444"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2.5</w:t>
      </w:r>
      <w:r w:rsidRPr="00DB3E05">
        <w:rPr>
          <w:rFonts w:ascii="Arial" w:hAnsi="Arial" w:cs="Arial"/>
          <w:color w:val="000000"/>
          <w:sz w:val="28"/>
          <w:szCs w:val="28"/>
        </w:rPr>
        <w:tab/>
        <w:t>AI</w:t>
      </w:r>
      <w:r w:rsidR="00937D3D" w:rsidRPr="00DB3E05">
        <w:rPr>
          <w:rFonts w:ascii="Arial" w:hAnsi="Arial" w:cs="Arial"/>
          <w:color w:val="000000"/>
          <w:sz w:val="28"/>
          <w:szCs w:val="28"/>
        </w:rPr>
        <w:t xml:space="preserve"> in ESG</w:t>
      </w:r>
      <w:r w:rsidRPr="00DB3E05">
        <w:rPr>
          <w:rFonts w:ascii="Arial" w:hAnsi="Arial" w:cs="Arial"/>
          <w:color w:val="000000"/>
          <w:sz w:val="28"/>
          <w:szCs w:val="28"/>
        </w:rPr>
        <w:tab/>
      </w:r>
      <w:r w:rsidR="009A2926">
        <w:rPr>
          <w:rFonts w:ascii="Arial" w:hAnsi="Arial" w:cs="Arial"/>
          <w:color w:val="000000"/>
          <w:sz w:val="28"/>
          <w:szCs w:val="28"/>
        </w:rPr>
        <w:t>18</w:t>
      </w:r>
    </w:p>
    <w:p w14:paraId="651891C2" w14:textId="5F382F15" w:rsidR="008E0444" w:rsidRPr="00DB3E05" w:rsidRDefault="008E0444"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2.6</w:t>
      </w:r>
      <w:r w:rsidRPr="00DB3E05">
        <w:rPr>
          <w:rFonts w:ascii="Arial" w:hAnsi="Arial" w:cs="Arial"/>
          <w:color w:val="000000"/>
          <w:sz w:val="28"/>
          <w:szCs w:val="28"/>
        </w:rPr>
        <w:tab/>
        <w:t>Executive compensation and ESG</w:t>
      </w:r>
      <w:r w:rsidRPr="00DB3E05">
        <w:rPr>
          <w:rFonts w:ascii="Arial" w:hAnsi="Arial" w:cs="Arial"/>
          <w:color w:val="000000"/>
          <w:sz w:val="28"/>
          <w:szCs w:val="28"/>
        </w:rPr>
        <w:tab/>
      </w:r>
      <w:r w:rsidR="009A2926">
        <w:rPr>
          <w:rFonts w:ascii="Arial" w:hAnsi="Arial" w:cs="Arial"/>
          <w:color w:val="000000"/>
          <w:sz w:val="28"/>
          <w:szCs w:val="28"/>
        </w:rPr>
        <w:t>19</w:t>
      </w:r>
    </w:p>
    <w:p w14:paraId="5FF215B5" w14:textId="78633494"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w:t>
      </w:r>
      <w:r w:rsidR="008E0444" w:rsidRPr="00DB3E05">
        <w:rPr>
          <w:rFonts w:ascii="Arial" w:hAnsi="Arial" w:cs="Arial"/>
          <w:color w:val="000000"/>
          <w:sz w:val="28"/>
          <w:szCs w:val="28"/>
        </w:rPr>
        <w:t>7</w:t>
      </w:r>
      <w:r w:rsidRPr="00DB3E05">
        <w:rPr>
          <w:rFonts w:ascii="Arial" w:hAnsi="Arial" w:cs="Arial"/>
          <w:color w:val="000000"/>
          <w:sz w:val="28"/>
          <w:szCs w:val="28"/>
        </w:rPr>
        <w:tab/>
      </w:r>
      <w:r w:rsidR="00D944DF" w:rsidRPr="00DB3E05">
        <w:rPr>
          <w:rFonts w:ascii="Arial" w:hAnsi="Arial" w:cs="Arial"/>
          <w:color w:val="000000"/>
          <w:sz w:val="28"/>
          <w:szCs w:val="28"/>
        </w:rPr>
        <w:t>Section</w:t>
      </w:r>
      <w:r w:rsidRPr="00DB3E05">
        <w:rPr>
          <w:rFonts w:ascii="Arial" w:hAnsi="Arial" w:cs="Arial"/>
          <w:color w:val="000000"/>
          <w:sz w:val="28"/>
          <w:szCs w:val="28"/>
        </w:rPr>
        <w:t xml:space="preserve"> </w:t>
      </w:r>
      <w:r w:rsidR="001152E7" w:rsidRPr="00DB3E05">
        <w:rPr>
          <w:rFonts w:ascii="Arial" w:hAnsi="Arial" w:cs="Arial"/>
          <w:color w:val="000000"/>
          <w:sz w:val="28"/>
          <w:szCs w:val="28"/>
        </w:rPr>
        <w:t>s</w:t>
      </w:r>
      <w:r w:rsidRPr="00DB3E05">
        <w:rPr>
          <w:rFonts w:ascii="Arial" w:hAnsi="Arial" w:cs="Arial"/>
          <w:color w:val="000000"/>
          <w:sz w:val="28"/>
          <w:szCs w:val="28"/>
        </w:rPr>
        <w:t>ummary</w:t>
      </w:r>
      <w:r w:rsidRPr="00DB3E05">
        <w:rPr>
          <w:rFonts w:ascii="Arial" w:hAnsi="Arial" w:cs="Arial"/>
          <w:color w:val="000000"/>
          <w:sz w:val="28"/>
          <w:szCs w:val="28"/>
        </w:rPr>
        <w:tab/>
      </w:r>
      <w:r w:rsidR="009A2926">
        <w:rPr>
          <w:rFonts w:ascii="Arial" w:hAnsi="Arial" w:cs="Arial"/>
          <w:color w:val="000000"/>
          <w:sz w:val="28"/>
          <w:szCs w:val="28"/>
        </w:rPr>
        <w:t>19</w:t>
      </w:r>
    </w:p>
    <w:p w14:paraId="63B109F6" w14:textId="34E929A8" w:rsidR="0034125F" w:rsidRPr="00DB3E05" w:rsidRDefault="0034125F" w:rsidP="0034125F">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3.</w:t>
      </w:r>
      <w:r w:rsidRPr="00DB3E05">
        <w:rPr>
          <w:rFonts w:ascii="Arial" w:hAnsi="Arial" w:cs="Arial"/>
          <w:color w:val="000000"/>
          <w:sz w:val="28"/>
          <w:szCs w:val="28"/>
        </w:rPr>
        <w:tab/>
        <w:t>Research approach and methodology</w:t>
      </w:r>
    </w:p>
    <w:p w14:paraId="72161FB9" w14:textId="701CB217"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3.1</w:t>
      </w:r>
      <w:r w:rsidRPr="00DB3E05">
        <w:rPr>
          <w:rFonts w:ascii="Arial" w:hAnsi="Arial" w:cs="Arial"/>
          <w:color w:val="000000"/>
          <w:sz w:val="28"/>
          <w:szCs w:val="28"/>
        </w:rPr>
        <w:tab/>
        <w:t>Introduction</w:t>
      </w:r>
      <w:r w:rsidRPr="00DB3E05">
        <w:rPr>
          <w:rFonts w:ascii="Arial" w:hAnsi="Arial" w:cs="Arial"/>
          <w:color w:val="000000"/>
          <w:sz w:val="28"/>
          <w:szCs w:val="28"/>
        </w:rPr>
        <w:tab/>
      </w:r>
      <w:r w:rsidR="009A2926">
        <w:rPr>
          <w:rFonts w:ascii="Arial" w:hAnsi="Arial" w:cs="Arial"/>
          <w:color w:val="000000"/>
          <w:sz w:val="28"/>
          <w:szCs w:val="28"/>
        </w:rPr>
        <w:t>19</w:t>
      </w:r>
    </w:p>
    <w:p w14:paraId="7EB6072E" w14:textId="64978D91"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3.2</w:t>
      </w:r>
      <w:r w:rsidRPr="00DB3E05">
        <w:rPr>
          <w:rFonts w:ascii="Arial" w:hAnsi="Arial" w:cs="Arial"/>
          <w:color w:val="000000"/>
          <w:sz w:val="28"/>
          <w:szCs w:val="28"/>
        </w:rPr>
        <w:tab/>
      </w:r>
      <w:r w:rsidR="00407429" w:rsidRPr="00DB3E05">
        <w:rPr>
          <w:rFonts w:ascii="Arial" w:hAnsi="Arial" w:cs="Arial"/>
          <w:color w:val="000000"/>
          <w:sz w:val="28"/>
          <w:szCs w:val="28"/>
        </w:rPr>
        <w:t xml:space="preserve">Research </w:t>
      </w:r>
      <w:r w:rsidR="00D96919" w:rsidRPr="00DB3E05">
        <w:rPr>
          <w:rFonts w:ascii="Arial" w:hAnsi="Arial" w:cs="Arial"/>
          <w:color w:val="000000"/>
          <w:sz w:val="28"/>
          <w:szCs w:val="28"/>
        </w:rPr>
        <w:t xml:space="preserve">approach and </w:t>
      </w:r>
      <w:r w:rsidRPr="00DB3E05">
        <w:rPr>
          <w:rFonts w:ascii="Arial" w:hAnsi="Arial" w:cs="Arial"/>
          <w:color w:val="000000"/>
          <w:sz w:val="28"/>
          <w:szCs w:val="28"/>
        </w:rPr>
        <w:t>methodology</w:t>
      </w:r>
      <w:r w:rsidRPr="00DB3E05">
        <w:rPr>
          <w:rFonts w:ascii="Arial" w:hAnsi="Arial" w:cs="Arial"/>
          <w:color w:val="000000"/>
          <w:sz w:val="28"/>
          <w:szCs w:val="28"/>
        </w:rPr>
        <w:tab/>
      </w:r>
      <w:r w:rsidR="00860923">
        <w:rPr>
          <w:rFonts w:ascii="Arial" w:hAnsi="Arial" w:cs="Arial"/>
          <w:color w:val="000000"/>
          <w:sz w:val="28"/>
          <w:szCs w:val="28"/>
        </w:rPr>
        <w:t>20</w:t>
      </w:r>
    </w:p>
    <w:p w14:paraId="59F91AA8" w14:textId="343A8E69" w:rsidR="00156F0B" w:rsidRPr="00DB3E05" w:rsidRDefault="00156F0B"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3.3</w:t>
      </w:r>
      <w:r w:rsidRPr="00DB3E05">
        <w:rPr>
          <w:rFonts w:ascii="Arial" w:hAnsi="Arial" w:cs="Arial"/>
          <w:color w:val="000000"/>
          <w:sz w:val="28"/>
          <w:szCs w:val="28"/>
        </w:rPr>
        <w:tab/>
        <w:t>Data collection and data analysis</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3</w:t>
      </w:r>
    </w:p>
    <w:p w14:paraId="6B03FCB2" w14:textId="4C8F896D" w:rsidR="003E789D" w:rsidRPr="00DB3E05" w:rsidRDefault="003E789D"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sidR="00DC236D">
        <w:rPr>
          <w:rFonts w:ascii="Arial" w:hAnsi="Arial" w:cs="Arial"/>
          <w:color w:val="000000"/>
          <w:sz w:val="28"/>
          <w:szCs w:val="28"/>
        </w:rPr>
        <w:t>4</w:t>
      </w:r>
      <w:r w:rsidRPr="00DB3E05">
        <w:rPr>
          <w:rFonts w:ascii="Arial" w:hAnsi="Arial" w:cs="Arial"/>
          <w:color w:val="000000"/>
          <w:sz w:val="28"/>
          <w:szCs w:val="28"/>
        </w:rPr>
        <w:tab/>
        <w:t>Strengths and weaknesses</w:t>
      </w:r>
      <w:r w:rsidR="00270F4E"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6</w:t>
      </w:r>
    </w:p>
    <w:p w14:paraId="47DD5B6D" w14:textId="2029ED88"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sidR="00DC236D">
        <w:rPr>
          <w:rFonts w:ascii="Arial" w:hAnsi="Arial" w:cs="Arial"/>
          <w:color w:val="000000"/>
          <w:sz w:val="28"/>
          <w:szCs w:val="28"/>
        </w:rPr>
        <w:t>5</w:t>
      </w:r>
      <w:r w:rsidRPr="00DB3E05">
        <w:rPr>
          <w:rFonts w:ascii="Arial" w:hAnsi="Arial" w:cs="Arial"/>
          <w:color w:val="000000"/>
          <w:sz w:val="28"/>
          <w:szCs w:val="28"/>
        </w:rPr>
        <w:tab/>
      </w:r>
      <w:r w:rsidR="00407429" w:rsidRPr="00DB3E05">
        <w:rPr>
          <w:rFonts w:ascii="Arial" w:hAnsi="Arial" w:cs="Arial"/>
          <w:color w:val="000000"/>
          <w:sz w:val="28"/>
          <w:szCs w:val="28"/>
        </w:rPr>
        <w:t>Pilot study plan</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7</w:t>
      </w:r>
    </w:p>
    <w:p w14:paraId="5BAD7C0E" w14:textId="778C9B35"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sidR="00DC236D">
        <w:rPr>
          <w:rFonts w:ascii="Arial" w:hAnsi="Arial" w:cs="Arial"/>
          <w:color w:val="000000"/>
          <w:sz w:val="28"/>
          <w:szCs w:val="28"/>
        </w:rPr>
        <w:t>6</w:t>
      </w:r>
      <w:r w:rsidRPr="00DB3E05">
        <w:rPr>
          <w:rFonts w:ascii="Arial" w:hAnsi="Arial" w:cs="Arial"/>
          <w:color w:val="000000"/>
          <w:sz w:val="28"/>
          <w:szCs w:val="28"/>
        </w:rPr>
        <w:tab/>
      </w:r>
      <w:r w:rsidR="00D944DF" w:rsidRPr="00DB3E05">
        <w:rPr>
          <w:rFonts w:ascii="Arial" w:hAnsi="Arial" w:cs="Arial"/>
          <w:color w:val="000000"/>
          <w:sz w:val="28"/>
          <w:szCs w:val="28"/>
        </w:rPr>
        <w:t>Section</w:t>
      </w:r>
      <w:r w:rsidRPr="00DB3E05">
        <w:rPr>
          <w:rFonts w:ascii="Arial" w:hAnsi="Arial" w:cs="Arial"/>
          <w:color w:val="000000"/>
          <w:sz w:val="28"/>
          <w:szCs w:val="28"/>
        </w:rPr>
        <w:t xml:space="preserve"> </w:t>
      </w:r>
      <w:r w:rsidR="001152E7" w:rsidRPr="00DB3E05">
        <w:rPr>
          <w:rFonts w:ascii="Arial" w:hAnsi="Arial" w:cs="Arial"/>
          <w:color w:val="000000"/>
          <w:sz w:val="28"/>
          <w:szCs w:val="28"/>
        </w:rPr>
        <w:t>s</w:t>
      </w:r>
      <w:r w:rsidRPr="00DB3E05">
        <w:rPr>
          <w:rFonts w:ascii="Arial" w:hAnsi="Arial" w:cs="Arial"/>
          <w:color w:val="000000"/>
          <w:sz w:val="28"/>
          <w:szCs w:val="28"/>
        </w:rPr>
        <w:t>ummary</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9</w:t>
      </w:r>
    </w:p>
    <w:p w14:paraId="5B6C4B47" w14:textId="5A3B6987" w:rsidR="001763D1"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4.</w:t>
      </w:r>
      <w:r w:rsidRPr="00DB3E05">
        <w:rPr>
          <w:rFonts w:ascii="Arial" w:hAnsi="Arial" w:cs="Arial"/>
          <w:color w:val="000000"/>
          <w:sz w:val="28"/>
          <w:szCs w:val="28"/>
        </w:rPr>
        <w:tab/>
        <w:t>Research plan of work and time estimation</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9</w:t>
      </w:r>
    </w:p>
    <w:p w14:paraId="0FFC017C" w14:textId="1D95E9D6" w:rsidR="0034125F"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5</w:t>
      </w:r>
      <w:r w:rsidR="0034125F" w:rsidRPr="00DB3E05">
        <w:rPr>
          <w:rFonts w:ascii="Arial" w:hAnsi="Arial" w:cs="Arial"/>
          <w:color w:val="000000"/>
          <w:sz w:val="28"/>
          <w:szCs w:val="28"/>
        </w:rPr>
        <w:t>.</w:t>
      </w:r>
      <w:r w:rsidR="0034125F" w:rsidRPr="00DB3E05">
        <w:rPr>
          <w:rFonts w:ascii="Arial" w:hAnsi="Arial" w:cs="Arial"/>
          <w:color w:val="000000"/>
          <w:sz w:val="28"/>
          <w:szCs w:val="28"/>
        </w:rPr>
        <w:tab/>
      </w:r>
      <w:r w:rsidR="00E02A4E">
        <w:rPr>
          <w:rFonts w:ascii="Arial" w:hAnsi="Arial" w:cs="Arial"/>
          <w:color w:val="000000"/>
          <w:sz w:val="28"/>
          <w:szCs w:val="28"/>
        </w:rPr>
        <w:t>Anticipated results</w:t>
      </w:r>
      <w:r w:rsidR="0034125F" w:rsidRPr="00DB3E05">
        <w:rPr>
          <w:rFonts w:ascii="Arial" w:hAnsi="Arial" w:cs="Arial"/>
          <w:color w:val="000000"/>
          <w:sz w:val="28"/>
          <w:szCs w:val="28"/>
        </w:rPr>
        <w:tab/>
      </w:r>
      <w:r w:rsidR="00DC236D">
        <w:rPr>
          <w:rFonts w:ascii="Arial" w:hAnsi="Arial" w:cs="Arial"/>
          <w:color w:val="000000"/>
          <w:sz w:val="28"/>
          <w:szCs w:val="28"/>
        </w:rPr>
        <w:t>30</w:t>
      </w:r>
    </w:p>
    <w:p w14:paraId="3D6E92DB" w14:textId="73A087DF" w:rsidR="001763D1"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6.</w:t>
      </w:r>
      <w:r w:rsidRPr="00DB3E05">
        <w:rPr>
          <w:rFonts w:ascii="Arial" w:hAnsi="Arial" w:cs="Arial"/>
          <w:color w:val="000000"/>
          <w:sz w:val="28"/>
          <w:szCs w:val="28"/>
        </w:rPr>
        <w:tab/>
        <w:t>Limitation</w:t>
      </w:r>
      <w:r w:rsidRPr="00DB3E05">
        <w:rPr>
          <w:rFonts w:ascii="Arial" w:hAnsi="Arial" w:cs="Arial"/>
          <w:color w:val="000000"/>
          <w:sz w:val="28"/>
          <w:szCs w:val="28"/>
        </w:rPr>
        <w:tab/>
      </w:r>
      <w:r w:rsidR="00DC236D">
        <w:rPr>
          <w:rFonts w:ascii="Arial" w:hAnsi="Arial" w:cs="Arial"/>
          <w:color w:val="000000"/>
          <w:sz w:val="28"/>
          <w:szCs w:val="28"/>
        </w:rPr>
        <w:t>30</w:t>
      </w:r>
    </w:p>
    <w:p w14:paraId="0362696E" w14:textId="374674B9" w:rsidR="00407429"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7</w:t>
      </w:r>
      <w:r w:rsidR="0034125F" w:rsidRPr="00DB3E05">
        <w:rPr>
          <w:rFonts w:ascii="Arial" w:hAnsi="Arial" w:cs="Arial"/>
          <w:color w:val="000000"/>
          <w:sz w:val="28"/>
          <w:szCs w:val="28"/>
        </w:rPr>
        <w:t>.</w:t>
      </w:r>
      <w:r w:rsidR="0034125F" w:rsidRPr="00DB3E05">
        <w:rPr>
          <w:rFonts w:ascii="Arial" w:hAnsi="Arial" w:cs="Arial"/>
          <w:color w:val="000000"/>
          <w:sz w:val="28"/>
          <w:szCs w:val="28"/>
        </w:rPr>
        <w:tab/>
      </w:r>
      <w:r w:rsidR="00407429" w:rsidRPr="00DB3E05">
        <w:rPr>
          <w:rFonts w:ascii="Arial" w:hAnsi="Arial" w:cs="Arial"/>
          <w:color w:val="000000"/>
          <w:sz w:val="28"/>
          <w:szCs w:val="28"/>
        </w:rPr>
        <w:t>Conclusion</w:t>
      </w:r>
      <w:r w:rsidR="0034125F" w:rsidRPr="00DB3E05">
        <w:rPr>
          <w:rFonts w:ascii="Arial" w:hAnsi="Arial" w:cs="Arial"/>
          <w:color w:val="000000"/>
          <w:sz w:val="28"/>
          <w:szCs w:val="28"/>
        </w:rPr>
        <w:tab/>
      </w:r>
      <w:r w:rsidR="00DC236D">
        <w:rPr>
          <w:rFonts w:ascii="Arial" w:hAnsi="Arial" w:cs="Arial"/>
          <w:color w:val="000000"/>
          <w:sz w:val="28"/>
          <w:szCs w:val="28"/>
        </w:rPr>
        <w:t>31</w:t>
      </w:r>
    </w:p>
    <w:p w14:paraId="71734347" w14:textId="7B1A91BF" w:rsidR="00407429"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8</w:t>
      </w:r>
      <w:r w:rsidR="0034125F" w:rsidRPr="00DB3E05">
        <w:rPr>
          <w:rFonts w:ascii="Arial" w:hAnsi="Arial" w:cs="Arial"/>
          <w:color w:val="000000"/>
          <w:sz w:val="28"/>
          <w:szCs w:val="28"/>
        </w:rPr>
        <w:t>.</w:t>
      </w:r>
      <w:r w:rsidR="0034125F" w:rsidRPr="00DB3E05">
        <w:rPr>
          <w:rFonts w:ascii="Arial" w:hAnsi="Arial" w:cs="Arial"/>
          <w:color w:val="000000"/>
          <w:sz w:val="28"/>
          <w:szCs w:val="28"/>
        </w:rPr>
        <w:tab/>
      </w:r>
      <w:r w:rsidR="00407429" w:rsidRPr="00DB3E05">
        <w:rPr>
          <w:rFonts w:ascii="Arial" w:hAnsi="Arial" w:cs="Arial"/>
          <w:color w:val="000000"/>
          <w:sz w:val="28"/>
          <w:szCs w:val="28"/>
        </w:rPr>
        <w:t>Bibliography</w:t>
      </w:r>
      <w:r w:rsidR="0034125F" w:rsidRPr="00DB3E05">
        <w:rPr>
          <w:rFonts w:ascii="Arial" w:hAnsi="Arial" w:cs="Arial"/>
          <w:color w:val="000000"/>
          <w:sz w:val="28"/>
          <w:szCs w:val="28"/>
        </w:rPr>
        <w:tab/>
      </w:r>
      <w:r w:rsidR="00DC236D">
        <w:rPr>
          <w:rFonts w:ascii="Arial" w:hAnsi="Arial" w:cs="Arial"/>
          <w:color w:val="000000"/>
          <w:sz w:val="28"/>
          <w:szCs w:val="28"/>
        </w:rPr>
        <w:t>31</w:t>
      </w:r>
    </w:p>
    <w:p w14:paraId="06C182F2" w14:textId="77777777" w:rsidR="0096404F" w:rsidRPr="00DB3E05" w:rsidRDefault="0096404F" w:rsidP="0096404F">
      <w:pPr>
        <w:tabs>
          <w:tab w:val="left" w:pos="709"/>
          <w:tab w:val="right" w:pos="8931"/>
        </w:tabs>
        <w:spacing w:line="360" w:lineRule="auto"/>
        <w:jc w:val="both"/>
        <w:rPr>
          <w:rFonts w:ascii="Arial" w:hAnsi="Arial" w:cs="Arial"/>
          <w:b/>
          <w:bCs/>
          <w:color w:val="000000"/>
          <w:sz w:val="28"/>
          <w:szCs w:val="28"/>
          <w:u w:val="single"/>
        </w:rPr>
      </w:pPr>
      <w:r w:rsidRPr="00DB3E05">
        <w:rPr>
          <w:rFonts w:ascii="Arial" w:hAnsi="Arial" w:cs="Arial"/>
          <w:b/>
          <w:bCs/>
          <w:color w:val="000000"/>
          <w:sz w:val="28"/>
          <w:szCs w:val="28"/>
        </w:rPr>
        <w:lastRenderedPageBreak/>
        <w:t>1.</w:t>
      </w:r>
      <w:r w:rsidRPr="00DB3E05">
        <w:rPr>
          <w:rFonts w:ascii="Arial" w:hAnsi="Arial" w:cs="Arial"/>
          <w:b/>
          <w:bCs/>
          <w:color w:val="000000"/>
          <w:sz w:val="28"/>
          <w:szCs w:val="28"/>
        </w:rPr>
        <w:tab/>
      </w:r>
      <w:r w:rsidRPr="00DB3E05">
        <w:rPr>
          <w:rFonts w:ascii="Arial" w:hAnsi="Arial" w:cs="Arial"/>
          <w:b/>
          <w:bCs/>
          <w:color w:val="000000"/>
          <w:sz w:val="28"/>
          <w:szCs w:val="28"/>
          <w:u w:val="single"/>
        </w:rPr>
        <w:t>INTRODUCTION</w:t>
      </w:r>
    </w:p>
    <w:p w14:paraId="48C93210" w14:textId="77777777" w:rsidR="0096404F" w:rsidRPr="00DB3E05" w:rsidRDefault="0096404F" w:rsidP="0096404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1.1</w:t>
      </w:r>
      <w:r w:rsidRPr="00DB3E05">
        <w:rPr>
          <w:rFonts w:ascii="Arial" w:hAnsi="Arial" w:cs="Arial"/>
          <w:b/>
          <w:bCs/>
          <w:color w:val="000000"/>
          <w:sz w:val="28"/>
          <w:szCs w:val="28"/>
        </w:rPr>
        <w:tab/>
        <w:t>Introduction</w:t>
      </w:r>
    </w:p>
    <w:p w14:paraId="699279D5" w14:textId="733FE31A" w:rsidR="0096404F" w:rsidRPr="00DB3E05" w:rsidRDefault="0096404F" w:rsidP="0096404F">
      <w:pPr>
        <w:tabs>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This section discusses the background, ESG regulatory development in Hong Kong.  In addition, the business and management challenges which are the foundation of the research aims and objectives are discussed.  These research aims and objectives are addressed by presented research questions and hypotheses and the research significance.    </w:t>
      </w:r>
    </w:p>
    <w:p w14:paraId="3358E168" w14:textId="77777777" w:rsidR="0096404F" w:rsidRPr="00DB3E05" w:rsidRDefault="0096404F" w:rsidP="0096404F">
      <w:pPr>
        <w:tabs>
          <w:tab w:val="right" w:pos="8931"/>
        </w:tabs>
        <w:spacing w:line="360" w:lineRule="auto"/>
        <w:ind w:left="709"/>
        <w:jc w:val="both"/>
        <w:rPr>
          <w:rFonts w:ascii="Arial" w:hAnsi="Arial" w:cs="Arial"/>
          <w:b/>
          <w:bCs/>
          <w:color w:val="000000"/>
          <w:sz w:val="28"/>
          <w:szCs w:val="28"/>
        </w:rPr>
      </w:pPr>
    </w:p>
    <w:p w14:paraId="73CC2460"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1.2</w:t>
      </w:r>
      <w:r w:rsidRPr="00DB3E05">
        <w:rPr>
          <w:rFonts w:ascii="Arial" w:hAnsi="Arial" w:cs="Arial"/>
          <w:b/>
          <w:bCs/>
          <w:color w:val="000000"/>
          <w:sz w:val="28"/>
          <w:szCs w:val="28"/>
        </w:rPr>
        <w:tab/>
        <w:t>Background</w:t>
      </w:r>
    </w:p>
    <w:p w14:paraId="6C48DC79" w14:textId="2578CA1D" w:rsidR="0096404F" w:rsidRPr="00DB3E05" w:rsidRDefault="0096404F" w:rsidP="0096404F">
      <w:pPr>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w:t>
      </w:r>
      <w:r w:rsidR="00C355D3">
        <w:rPr>
          <w:rFonts w:ascii="Arial" w:eastAsiaTheme="minorEastAsia" w:hAnsi="Arial" w:cs="Arial"/>
          <w:color w:val="181818"/>
          <w:sz w:val="28"/>
          <w:szCs w:val="28"/>
          <w:lang w:val="en-GB"/>
          <w14:ligatures w14:val="standardContextual"/>
        </w:rPr>
        <w:t xml:space="preserve">persistent risk of climate change might result in severe economic and social repercussions.  Creditors and investors are increasing seeking transparent, consistent and </w:t>
      </w:r>
      <w:r w:rsidRPr="00DB3E05">
        <w:rPr>
          <w:rFonts w:ascii="Arial" w:eastAsiaTheme="minorEastAsia" w:hAnsi="Arial" w:cs="Arial"/>
          <w:color w:val="181818"/>
          <w:sz w:val="28"/>
          <w:szCs w:val="28"/>
          <w:lang w:val="en-GB"/>
          <w14:ligatures w14:val="standardContextual"/>
        </w:rPr>
        <w:t xml:space="preserve">reliable </w:t>
      </w:r>
      <w:r w:rsidR="00C355D3">
        <w:rPr>
          <w:rFonts w:ascii="Arial" w:eastAsiaTheme="minorEastAsia" w:hAnsi="Arial" w:cs="Arial"/>
          <w:color w:val="181818"/>
          <w:sz w:val="28"/>
          <w:szCs w:val="28"/>
          <w:lang w:val="en-GB"/>
          <w14:ligatures w14:val="standardContextual"/>
        </w:rPr>
        <w:t>climate-related data disclosure</w:t>
      </w:r>
      <w:r w:rsidRPr="00DB3E05">
        <w:rPr>
          <w:rFonts w:ascii="Arial" w:eastAsiaTheme="minorEastAsia" w:hAnsi="Arial" w:cs="Arial"/>
          <w:color w:val="181818"/>
          <w:sz w:val="28"/>
          <w:szCs w:val="28"/>
          <w:lang w:val="en-GB"/>
          <w14:ligatures w14:val="standardContextual"/>
        </w:rPr>
        <w:t>.</w:t>
      </w:r>
      <w:r w:rsidR="0073623B" w:rsidRPr="00DB3E05">
        <w:rPr>
          <w:rFonts w:ascii="Arial" w:eastAsiaTheme="minorEastAsia" w:hAnsi="Arial" w:cs="Arial"/>
          <w:color w:val="181818"/>
          <w:sz w:val="28"/>
          <w:szCs w:val="28"/>
          <w:lang w:val="en-GB"/>
          <w14:ligatures w14:val="standardContextual"/>
        </w:rPr>
        <w:t xml:space="preserve"> </w:t>
      </w:r>
      <w:r w:rsidR="0073623B" w:rsidRPr="00DB3E05">
        <w:rPr>
          <w:rFonts w:ascii="Arial" w:eastAsiaTheme="minorEastAsia" w:hAnsi="Arial" w:cs="Arial"/>
          <w:color w:val="181818"/>
          <w:sz w:val="28"/>
          <w:szCs w:val="28"/>
          <w:lang w:val="en-GB"/>
          <w14:ligatures w14:val="standardContextual"/>
        </w:rPr>
        <w:fldChar w:fldCharType="begin"/>
      </w:r>
      <w:r w:rsidR="00DB3E05" w:rsidRPr="00DB3E05">
        <w:rPr>
          <w:rFonts w:ascii="Arial" w:eastAsiaTheme="minorEastAsia" w:hAnsi="Arial" w:cs="Arial"/>
          <w:color w:val="181818"/>
          <w:sz w:val="28"/>
          <w:szCs w:val="28"/>
          <w:lang w:val="en-GB"/>
          <w14:ligatures w14:val="standardContextual"/>
        </w:rPr>
        <w:instrText xml:space="preserve"> ADDIN EN.CITE &lt;EndNote&gt;&lt;Cite&gt;&lt;Author&gt;Oliver Yébenes&lt;/Author&gt;&lt;Year&gt;2024&lt;/Year&gt;&lt;RecNum&gt;84&lt;/RecNum&gt;&lt;DisplayText&gt;(Oliver Yébenes, 2024)&lt;/DisplayText&gt;&lt;record&gt;&lt;rec-number&gt;84&lt;/rec-number&gt;&lt;foreign-keys&gt;&lt;key app="EN" db-id="0vtwt0xdiepatveerwsxw55izapvzd0d0v5w" timestamp="1721561042" guid="81d3b67e-4352-42a4-a003-ea7b603d1ca1"&gt;84&lt;/key&gt;&lt;/foreign-keys&gt;&lt;ref-type name="Journal Article"&gt;17&lt;/ref-type&gt;&lt;contributors&gt;&lt;authors&gt;&lt;author&gt;Oliver Yébenes, Mónica&lt;/author&gt;&lt;/authors&gt;&lt;/contributors&gt;&lt;titles&gt;&lt;title&gt;Climate change, ESG criteria and recent regulation: challenges and opportunities&lt;/title&gt;&lt;secondary-title&gt;Eurasian Economic Review&lt;/secondary-title&gt;&lt;/titles&gt;&lt;periodical&gt;&lt;full-title&gt;Eurasian Economic Review&lt;/full-title&gt;&lt;/periodical&gt;&lt;pages&gt;87-120&lt;/pages&gt;&lt;volume&gt;14&lt;/volume&gt;&lt;number&gt;1&lt;/number&gt;&lt;dates&gt;&lt;year&gt;2024&lt;/year&gt;&lt;/dates&gt;&lt;isbn&gt;1309-422X&lt;/isbn&gt;&lt;urls&gt;&lt;/urls&gt;&lt;/record&gt;&lt;/Cite&gt;&lt;/EndNote&gt;</w:instrText>
      </w:r>
      <w:r w:rsidR="0073623B" w:rsidRPr="00DB3E05">
        <w:rPr>
          <w:rFonts w:ascii="Arial" w:eastAsiaTheme="minorEastAsia" w:hAnsi="Arial" w:cs="Arial"/>
          <w:color w:val="181818"/>
          <w:sz w:val="28"/>
          <w:szCs w:val="28"/>
          <w:lang w:val="en-GB"/>
          <w14:ligatures w14:val="standardContextual"/>
        </w:rPr>
        <w:fldChar w:fldCharType="separate"/>
      </w:r>
      <w:r w:rsidR="0073623B" w:rsidRPr="00DB3E05">
        <w:rPr>
          <w:rFonts w:ascii="Arial" w:eastAsiaTheme="minorEastAsia" w:hAnsi="Arial" w:cs="Arial"/>
          <w:noProof/>
          <w:color w:val="181818"/>
          <w:sz w:val="28"/>
          <w:szCs w:val="28"/>
          <w:lang w:val="en-GB"/>
          <w14:ligatures w14:val="standardContextual"/>
        </w:rPr>
        <w:t>(Oliver Yébenes, 2024)</w:t>
      </w:r>
      <w:r w:rsidR="0073623B" w:rsidRPr="00DB3E05">
        <w:rPr>
          <w:rFonts w:ascii="Arial" w:eastAsiaTheme="minorEastAsia" w:hAnsi="Arial" w:cs="Arial"/>
          <w:color w:val="181818"/>
          <w:sz w:val="28"/>
          <w:szCs w:val="28"/>
          <w:lang w:val="en-GB"/>
          <w14:ligatures w14:val="standardContextual"/>
        </w:rPr>
        <w:fldChar w:fldCharType="end"/>
      </w:r>
    </w:p>
    <w:p w14:paraId="423F0ACA" w14:textId="77777777" w:rsidR="0096404F" w:rsidRPr="00DB3E05" w:rsidRDefault="0096404F" w:rsidP="0096404F">
      <w:pPr>
        <w:spacing w:line="360" w:lineRule="auto"/>
        <w:ind w:left="720"/>
        <w:jc w:val="both"/>
        <w:rPr>
          <w:rFonts w:ascii="Arial" w:eastAsiaTheme="minorEastAsia" w:hAnsi="Arial" w:cs="Arial"/>
          <w:color w:val="181818"/>
          <w:sz w:val="28"/>
          <w:szCs w:val="28"/>
          <w:lang w:val="en-GB"/>
          <w14:ligatures w14:val="standardContextual"/>
        </w:rPr>
      </w:pPr>
    </w:p>
    <w:p w14:paraId="078DBDEE" w14:textId="721B439A" w:rsidR="0096404F" w:rsidRPr="00DB3E05" w:rsidRDefault="0096404F" w:rsidP="0096404F">
      <w:pPr>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Disclosure of information about the soundness of enterprises has become increasingly crucial to decision-makers</w:t>
      </w:r>
      <w:r w:rsidR="0073623B" w:rsidRPr="00DB3E05">
        <w:rPr>
          <w:rFonts w:ascii="Arial" w:eastAsiaTheme="minorEastAsia" w:hAnsi="Arial" w:cs="Arial"/>
          <w:color w:val="181818"/>
          <w:sz w:val="28"/>
          <w:szCs w:val="28"/>
          <w:lang w:val="en-GB"/>
          <w14:ligatures w14:val="standardContextual"/>
        </w:rPr>
        <w:t xml:space="preserve">. </w:t>
      </w:r>
      <w:r w:rsidR="0073623B" w:rsidRPr="00DB3E05">
        <w:rPr>
          <w:rFonts w:ascii="Arial" w:eastAsiaTheme="minorEastAsia" w:hAnsi="Arial" w:cs="Arial"/>
          <w:color w:val="181818"/>
          <w:sz w:val="28"/>
          <w:szCs w:val="28"/>
          <w:lang w:val="en-GB"/>
          <w14:ligatures w14:val="standardContextual"/>
        </w:rPr>
        <w:fldChar w:fldCharType="begin"/>
      </w:r>
      <w:r w:rsidR="00DB3E05" w:rsidRPr="00DB3E05">
        <w:rPr>
          <w:rFonts w:ascii="Arial" w:eastAsiaTheme="minorEastAsia" w:hAnsi="Arial" w:cs="Arial"/>
          <w:color w:val="181818"/>
          <w:sz w:val="28"/>
          <w:szCs w:val="28"/>
          <w:lang w:val="en-GB"/>
          <w14:ligatures w14:val="standardContextual"/>
        </w:rPr>
        <w:instrText xml:space="preserve"> ADDIN EN.CITE &lt;EndNote&gt;&lt;Cite&gt;&lt;Author&gt;Naveed&lt;/Author&gt;&lt;Year&gt;2020&lt;/Year&gt;&lt;RecNum&gt;85&lt;/RecNum&gt;&lt;DisplayText&gt;(Naveed et al., 2020)&lt;/DisplayText&gt;&lt;record&gt;&lt;rec-number&gt;85&lt;/rec-number&gt;&lt;foreign-keys&gt;&lt;key app="EN" db-id="0vtwt0xdiepatveerwsxw55izapvzd0d0v5w" timestamp="1721561249" guid="2fc6822f-a3ad-4bd2-a31b-c193fc59853f"&gt;85&lt;/key&gt;&lt;/foreign-keys&gt;&lt;ref-type name="Journal Article"&gt;17&lt;/ref-type&gt;&lt;contributors&gt;&lt;authors&gt;&lt;author&gt;Naveed, Muhammad&lt;/author&gt;&lt;author&gt;Sohail, Muhammad Khalid&lt;/author&gt;&lt;author&gt;Abdin, Syed Zain&lt;/author&gt;&lt;author&gt;Awais, Madiha&lt;/author&gt;&lt;author&gt;Batool, Noshaba&lt;/author&gt;&lt;/authors&gt;&lt;/contributors&gt;&lt;titles&gt;&lt;title&gt;Role of ESG disclosure in determining asset allocation decision: An individual investor perspective&lt;/title&gt;&lt;secondary-title&gt;Paradigms&lt;/secondary-title&gt;&lt;/titles&gt;&lt;periodical&gt;&lt;full-title&gt;Paradigms&lt;/full-title&gt;&lt;/periodical&gt;&lt;pages&gt;157-165&lt;/pages&gt;&lt;volume&gt;14&lt;/volume&gt;&lt;number&gt;1&lt;/number&gt;&lt;dates&gt;&lt;year&gt;2020&lt;/year&gt;&lt;/dates&gt;&lt;isbn&gt;1996-2800&lt;/isbn&gt;&lt;urls&gt;&lt;/urls&gt;&lt;/record&gt;&lt;/Cite&gt;&lt;/EndNote&gt;</w:instrText>
      </w:r>
      <w:r w:rsidR="0073623B" w:rsidRPr="00DB3E05">
        <w:rPr>
          <w:rFonts w:ascii="Arial" w:eastAsiaTheme="minorEastAsia" w:hAnsi="Arial" w:cs="Arial"/>
          <w:color w:val="181818"/>
          <w:sz w:val="28"/>
          <w:szCs w:val="28"/>
          <w:lang w:val="en-GB"/>
          <w14:ligatures w14:val="standardContextual"/>
        </w:rPr>
        <w:fldChar w:fldCharType="separate"/>
      </w:r>
      <w:r w:rsidR="0073623B" w:rsidRPr="00DB3E05">
        <w:rPr>
          <w:rFonts w:ascii="Arial" w:eastAsiaTheme="minorEastAsia" w:hAnsi="Arial" w:cs="Arial"/>
          <w:noProof/>
          <w:color w:val="181818"/>
          <w:sz w:val="28"/>
          <w:szCs w:val="28"/>
          <w:lang w:val="en-GB"/>
          <w14:ligatures w14:val="standardContextual"/>
        </w:rPr>
        <w:t>(Naveed et al., 2020)</w:t>
      </w:r>
      <w:r w:rsidR="0073623B" w:rsidRPr="00DB3E05">
        <w:rPr>
          <w:rFonts w:ascii="Arial" w:eastAsiaTheme="minorEastAsia" w:hAnsi="Arial" w:cs="Arial"/>
          <w:color w:val="181818"/>
          <w:sz w:val="28"/>
          <w:szCs w:val="28"/>
          <w:lang w:val="en-GB"/>
          <w14:ligatures w14:val="standardContextual"/>
        </w:rPr>
        <w:fldChar w:fldCharType="end"/>
      </w:r>
    </w:p>
    <w:p w14:paraId="63BBFF11" w14:textId="77777777" w:rsidR="0096404F" w:rsidRPr="00DB3E05" w:rsidRDefault="0096404F" w:rsidP="0096404F">
      <w:pPr>
        <w:spacing w:line="360" w:lineRule="auto"/>
        <w:jc w:val="both"/>
        <w:rPr>
          <w:rFonts w:ascii="Arial" w:eastAsiaTheme="minorEastAsia" w:hAnsi="Arial" w:cs="Arial"/>
          <w:color w:val="181818"/>
          <w:sz w:val="28"/>
          <w:szCs w:val="28"/>
          <w:lang w:val="en-GB"/>
          <w14:ligatures w14:val="standardContextual"/>
        </w:rPr>
      </w:pPr>
    </w:p>
    <w:p w14:paraId="2D12E22B" w14:textId="766046A9" w:rsidR="0096404F" w:rsidRPr="00DB3E05" w:rsidRDefault="00C355D3" w:rsidP="0096404F">
      <w:pPr>
        <w:spacing w:line="360" w:lineRule="auto"/>
        <w:ind w:left="720"/>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Amidst climate concerns, significant corporate scandals, and governance breakdowns around the world, there is an increasing focus on method to </w:t>
      </w:r>
      <w:r w:rsidR="00604CFE">
        <w:rPr>
          <w:rFonts w:ascii="Arial" w:eastAsiaTheme="minorEastAsia" w:hAnsi="Arial" w:cs="Arial"/>
          <w:color w:val="181818"/>
          <w:sz w:val="28"/>
          <w:szCs w:val="28"/>
          <w:lang w:val="en-GB"/>
          <w14:ligatures w14:val="standardContextual"/>
        </w:rPr>
        <w:t>enhance</w:t>
      </w:r>
      <w:r>
        <w:rPr>
          <w:rFonts w:ascii="Arial" w:eastAsiaTheme="minorEastAsia" w:hAnsi="Arial" w:cs="Arial"/>
          <w:color w:val="181818"/>
          <w:sz w:val="28"/>
          <w:szCs w:val="28"/>
          <w:lang w:val="en-GB"/>
          <w14:ligatures w14:val="standardContextual"/>
        </w:rPr>
        <w:t xml:space="preserve"> ESG</w:t>
      </w:r>
      <w:r w:rsidR="0096404F" w:rsidRPr="00DB3E05">
        <w:rPr>
          <w:rFonts w:ascii="Arial" w:eastAsiaTheme="minorEastAsia" w:hAnsi="Arial" w:cs="Arial"/>
          <w:color w:val="181818"/>
          <w:sz w:val="28"/>
          <w:szCs w:val="28"/>
          <w:lang w:val="en-GB"/>
          <w14:ligatures w14:val="standardContextual"/>
        </w:rPr>
        <w:t xml:space="preserve">.   </w:t>
      </w:r>
    </w:p>
    <w:p w14:paraId="487B6097" w14:textId="77777777" w:rsidR="0096404F" w:rsidRPr="00DB3E05" w:rsidRDefault="0096404F" w:rsidP="0096404F">
      <w:pPr>
        <w:spacing w:line="360" w:lineRule="auto"/>
        <w:jc w:val="both"/>
        <w:rPr>
          <w:rFonts w:ascii="Arial" w:hAnsi="Arial" w:cs="Arial"/>
          <w:color w:val="000000"/>
          <w:sz w:val="28"/>
          <w:szCs w:val="28"/>
        </w:rPr>
      </w:pPr>
    </w:p>
    <w:p w14:paraId="79BC09B9"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1.3</w:t>
      </w:r>
      <w:r w:rsidRPr="00DB3E05">
        <w:rPr>
          <w:rFonts w:ascii="Arial" w:hAnsi="Arial" w:cs="Arial"/>
          <w:b/>
          <w:bCs/>
          <w:color w:val="000000"/>
          <w:sz w:val="28"/>
          <w:szCs w:val="28"/>
        </w:rPr>
        <w:tab/>
      </w:r>
      <w:r w:rsidRPr="00DB3E05">
        <w:rPr>
          <w:rFonts w:ascii="Arial" w:eastAsiaTheme="minorEastAsia" w:hAnsi="Arial" w:cs="Arial"/>
          <w:b/>
          <w:bCs/>
          <w:color w:val="181818"/>
          <w:sz w:val="28"/>
          <w:szCs w:val="28"/>
          <w:lang w:val="en-GB"/>
          <w14:ligatures w14:val="standardContextual"/>
        </w:rPr>
        <w:t>ESG regulatory development in Hong Kong</w:t>
      </w:r>
    </w:p>
    <w:p w14:paraId="3DCDEF0D" w14:textId="17B47522" w:rsidR="0096404F" w:rsidRPr="00DB3E05" w:rsidRDefault="0096404F" w:rsidP="0096404F">
      <w:pPr>
        <w:pStyle w:val="NormalWeb"/>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In January 2013, the ESG reporting guide was introduced by the Stock Exchange of Hong Kong Limited (the “Stock Exchange”) which encourage the voluntary disclosure. </w:t>
      </w:r>
      <w:r w:rsidRPr="00DB3E05">
        <w:rPr>
          <w:rFonts w:ascii="Arial" w:eastAsiaTheme="minorEastAsia" w:hAnsi="Arial" w:cs="Arial"/>
          <w:color w:val="181818"/>
          <w:sz w:val="28"/>
          <w:szCs w:val="28"/>
          <w:lang w:val="en-GB"/>
          <w14:ligatures w14:val="standardContextual"/>
        </w:rPr>
        <w:fldChar w:fldCharType="begin"/>
      </w:r>
      <w:r w:rsidR="008F0382" w:rsidRPr="00DB3E05">
        <w:rPr>
          <w:rFonts w:ascii="Arial" w:eastAsiaTheme="minorEastAsia" w:hAnsi="Arial" w:cs="Arial"/>
          <w:color w:val="181818"/>
          <w:sz w:val="28"/>
          <w:szCs w:val="28"/>
          <w:lang w:val="en-GB"/>
          <w14:ligatures w14:val="standardContextual"/>
        </w:rPr>
        <w:instrText xml:space="preserve"> ADDIN EN.CITE &lt;EndNote&gt;&lt;Cite&gt;&lt;Year&gt;2013&lt;/Year&gt;&lt;RecNum&gt;64&lt;/RecNum&gt;&lt;DisplayText&gt;(2013)&lt;/DisplayText&gt;&lt;record&gt;&lt;rec-number&gt;64&lt;/rec-number&gt;&lt;foreign-keys&gt;&lt;key app="EN" db-id="0vtwt0xdiepatveerwsxw55izapvzd0d0v5w" timestamp="1720972197" guid="70038f0d-265d-418e-8a53-27afddf481c4"&gt;64&lt;/key&gt;&lt;/foreign-keys&gt;&lt;ref-type name="Legal Rule or Regulation"&gt;50&lt;/ref-type&gt;&lt;contributors&gt;&lt;secondary-authors&gt;&lt;author&gt;The Stock Exchange of Hong Kong Limited&lt;/author&gt;&lt;/secondary-authors&gt;&lt;/contributors&gt;&lt;titles&gt;&lt;title&gt;ESG Reporting Guide&lt;/title&gt;&lt;/titles&gt;&lt;edition&gt;January 2013&lt;/edition&gt;&lt;dates&gt;&lt;year&gt;2013&lt;/year&gt;&lt;/dates&gt;&lt;urls&gt;&lt;related-urls&gt;&lt;url&gt;https://www.hkex.com.hk/Listing/Sustainability/ESG-Academy/Rules-and-Regulations?sc_lang=en&lt;/url&gt;&lt;/related-urls&gt;&lt;/urls&gt;&lt;/record&gt;&lt;/Cite&gt;&lt;/EndNote&gt;</w:instrText>
      </w:r>
      <w:r w:rsidRPr="00DB3E05">
        <w:rPr>
          <w:rFonts w:ascii="Arial" w:eastAsiaTheme="minorEastAsia" w:hAnsi="Arial" w:cs="Arial"/>
          <w:color w:val="181818"/>
          <w:sz w:val="28"/>
          <w:szCs w:val="28"/>
          <w:lang w:val="en-GB"/>
          <w14:ligatures w14:val="standardContextual"/>
        </w:rPr>
        <w:fldChar w:fldCharType="separate"/>
      </w:r>
      <w:r w:rsidR="008F0382" w:rsidRPr="00DB3E05">
        <w:rPr>
          <w:rFonts w:ascii="Arial" w:eastAsiaTheme="minorEastAsia" w:hAnsi="Arial" w:cs="Arial"/>
          <w:noProof/>
          <w:color w:val="181818"/>
          <w:sz w:val="28"/>
          <w:szCs w:val="28"/>
          <w:lang w:val="en-GB"/>
          <w14:ligatures w14:val="standardContextual"/>
        </w:rPr>
        <w:t>(2013)</w:t>
      </w:r>
      <w:r w:rsidRPr="00DB3E05">
        <w:rPr>
          <w:rFonts w:ascii="Arial" w:eastAsiaTheme="minorEastAsia" w:hAnsi="Arial" w:cs="Arial"/>
          <w:color w:val="181818"/>
          <w:sz w:val="28"/>
          <w:szCs w:val="28"/>
          <w:lang w:val="en-GB"/>
          <w14:ligatures w14:val="standardContextual"/>
        </w:rPr>
        <w:fldChar w:fldCharType="end"/>
      </w:r>
      <w:r w:rsidRPr="00DB3E05">
        <w:rPr>
          <w:rFonts w:ascii="Arial" w:eastAsiaTheme="minorEastAsia" w:hAnsi="Arial" w:cs="Arial"/>
          <w:color w:val="181818"/>
          <w:sz w:val="28"/>
          <w:szCs w:val="28"/>
          <w:lang w:val="en-GB"/>
          <w14:ligatures w14:val="standardContextual"/>
        </w:rPr>
        <w:t>.</w:t>
      </w:r>
    </w:p>
    <w:p w14:paraId="20588E7B" w14:textId="77777777" w:rsidR="0096404F" w:rsidRPr="00DB3E05" w:rsidRDefault="0096404F" w:rsidP="0096404F">
      <w:pPr>
        <w:pStyle w:val="NormalWeb"/>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In December 2015, the consultation conclusion was published by the Stock Exchange and ESG reporting has been required since 1 January 2016.  There were four reporting principles, namely materiality, quantitative, balance and consistency. </w:t>
      </w:r>
      <w:r w:rsidRPr="00DB3E05">
        <w:rPr>
          <w:rFonts w:ascii="Arial" w:eastAsiaTheme="minorEastAsia" w:hAnsi="Arial" w:cs="Arial"/>
          <w:color w:val="181818"/>
          <w:sz w:val="28"/>
          <w:szCs w:val="28"/>
          <w:lang w:val="en-GB"/>
          <w14:ligatures w14:val="standardContextual"/>
        </w:rPr>
        <w:fldChar w:fldCharType="begin"/>
      </w:r>
      <w:r w:rsidRPr="00DB3E05">
        <w:rPr>
          <w:rFonts w:ascii="Arial" w:eastAsiaTheme="minorEastAsia" w:hAnsi="Arial" w:cs="Arial"/>
          <w:color w:val="181818"/>
          <w:sz w:val="28"/>
          <w:szCs w:val="28"/>
          <w:lang w:val="en-GB"/>
          <w14:ligatures w14:val="standardContextual"/>
        </w:rPr>
        <w:instrText xml:space="preserve"> ADDIN EN.CITE &lt;EndNote&gt;&lt;Cite&gt;&lt;Author&gt;Exchange&lt;/Author&gt;&lt;Year&gt;2015&lt;/Year&gt;&lt;RecNum&gt;65&lt;/RecNum&gt;&lt;DisplayText&gt;(Exchange, 2015)&lt;/DisplayText&gt;&lt;record&gt;&lt;rec-number&gt;65&lt;/rec-number&gt;&lt;foreign-keys&gt;&lt;key app="EN" db-id="0vtwt0xdiepatveerwsxw55izapvzd0d0v5w" timestamp="1720985141" guid="4f0dad71-7ef9-4f69-9c76-4e1a5e8bd0c7"&gt;65&lt;/key&gt;&lt;/foreign-keys&gt;&lt;ref-type name="Online Database"&gt;45&lt;/ref-type&gt;&lt;contributors&gt;&lt;authors&gt;&lt;author&gt;Exchange&lt;/author&gt;&lt;/authors&gt;&lt;/contributors&gt;&lt;titles&gt;&lt;title&gt;Consultation conclusions - Review of the environment, social and governance reporting guide&lt;/title&gt;&lt;/titles&gt;&lt;edition&gt;December 2015&lt;/edition&gt;&lt;dates&gt;&lt;year&gt;2015&lt;/year&gt;&lt;/dates&gt;&lt;publisher&gt;The Stock Exchange of Hong Kong Limited&lt;/publisher&gt;&lt;urls&gt;&lt;related-urls&gt;&lt;url&gt;https://www.hkex.com.hk/-/media/HKEX-Market/News/Market-Consultations/2011-to-2015/July-2015-Consultation-Pape/Conclusions/cp201507cc.PDF&lt;/url&gt;&lt;/related-urls&gt;&lt;/urls&gt;&lt;/record&gt;&lt;/Cite&gt;&lt;/EndNote&gt;</w:instrText>
      </w:r>
      <w:r w:rsidRPr="00DB3E05">
        <w:rPr>
          <w:rFonts w:ascii="Arial" w:eastAsiaTheme="minorEastAsia" w:hAnsi="Arial" w:cs="Arial"/>
          <w:color w:val="181818"/>
          <w:sz w:val="28"/>
          <w:szCs w:val="28"/>
          <w:lang w:val="en-GB"/>
          <w14:ligatures w14:val="standardContextual"/>
        </w:rPr>
        <w:fldChar w:fldCharType="separate"/>
      </w:r>
      <w:r w:rsidRPr="00DB3E05">
        <w:rPr>
          <w:rFonts w:ascii="Arial" w:eastAsiaTheme="minorEastAsia" w:hAnsi="Arial" w:cs="Arial"/>
          <w:noProof/>
          <w:color w:val="181818"/>
          <w:sz w:val="28"/>
          <w:szCs w:val="28"/>
          <w:lang w:val="en-GB"/>
          <w14:ligatures w14:val="standardContextual"/>
        </w:rPr>
        <w:t>(Exchange, 2015)</w:t>
      </w:r>
      <w:r w:rsidRPr="00DB3E05">
        <w:rPr>
          <w:rFonts w:ascii="Arial" w:eastAsiaTheme="minorEastAsia" w:hAnsi="Arial" w:cs="Arial"/>
          <w:color w:val="181818"/>
          <w:sz w:val="28"/>
          <w:szCs w:val="28"/>
          <w:lang w:val="en-GB"/>
          <w14:ligatures w14:val="standardContextual"/>
        </w:rPr>
        <w:fldChar w:fldCharType="end"/>
      </w:r>
    </w:p>
    <w:p w14:paraId="005EC67A" w14:textId="184AA53B"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lastRenderedPageBreak/>
        <w:t>In April 2019, SFC</w:t>
      </w:r>
      <w:r w:rsidR="002F2FF3">
        <w:rPr>
          <w:rFonts w:ascii="Arial" w:eastAsiaTheme="minorEastAsia" w:hAnsi="Arial" w:cs="Arial"/>
          <w:color w:val="181818"/>
          <w:sz w:val="28"/>
          <w:szCs w:val="28"/>
          <w:lang w:val="en-GB"/>
          <w14:ligatures w14:val="standardContextual"/>
        </w:rPr>
        <w:t xml:space="preserve"> issued</w:t>
      </w:r>
      <w:r w:rsidRPr="00DB3E05">
        <w:rPr>
          <w:rFonts w:ascii="Arial" w:eastAsiaTheme="minorEastAsia" w:hAnsi="Arial" w:cs="Arial"/>
          <w:color w:val="181818"/>
          <w:sz w:val="28"/>
          <w:szCs w:val="28"/>
          <w:lang w:val="en-GB"/>
          <w14:ligatures w14:val="standardContextual"/>
        </w:rPr>
        <w:t xml:space="preserve"> a circular to management companies of SFC-authorized unit trusts and mutual funds to enhance the disclosure standards of green or ESG funds</w:t>
      </w:r>
      <w:r w:rsidR="002F2FF3">
        <w:rPr>
          <w:rFonts w:ascii="Arial" w:eastAsiaTheme="minorEastAsia" w:hAnsi="Arial" w:cs="Arial"/>
          <w:color w:val="181818"/>
          <w:sz w:val="28"/>
          <w:szCs w:val="28"/>
          <w:lang w:val="en-GB"/>
          <w14:ligatures w14:val="standardContextual"/>
        </w:rPr>
        <w:t>, urging them to improve disclosure standards for green and ESG funds.  A notable enhancement was later added in 2021</w:t>
      </w:r>
      <w:r w:rsidRPr="00DB3E05">
        <w:rPr>
          <w:rFonts w:ascii="Arial" w:eastAsiaTheme="minorEastAsia" w:hAnsi="Arial" w:cs="Arial"/>
          <w:color w:val="181818"/>
          <w:sz w:val="28"/>
          <w:szCs w:val="28"/>
          <w:lang w:val="en-GB"/>
          <w14:ligatures w14:val="standardContextual"/>
        </w:rPr>
        <w:t xml:space="preserve">. </w:t>
      </w:r>
      <w:r w:rsidR="002F2FF3">
        <w:rPr>
          <w:rFonts w:ascii="Arial" w:eastAsiaTheme="minorEastAsia" w:hAnsi="Arial" w:cs="Arial"/>
          <w:color w:val="181818"/>
          <w:sz w:val="28"/>
          <w:szCs w:val="28"/>
          <w:lang w:val="en-GB"/>
          <w14:ligatures w14:val="standardContextual"/>
        </w:rPr>
        <w:t xml:space="preserve">This indicates that SFC is rapidly advancing efforts to strengthen Hong Kong’s green </w:t>
      </w:r>
      <w:r w:rsidRPr="00DB3E05">
        <w:rPr>
          <w:rFonts w:ascii="Arial" w:eastAsiaTheme="minorEastAsia" w:hAnsi="Arial" w:cs="Arial"/>
          <w:color w:val="181818"/>
          <w:sz w:val="28"/>
          <w:szCs w:val="28"/>
          <w:lang w:val="en-GB"/>
          <w14:ligatures w14:val="standardContextual"/>
        </w:rPr>
        <w:t>finance infrastructure.</w:t>
      </w:r>
      <w:r w:rsidR="00DB3E05" w:rsidRPr="00DB3E05">
        <w:rPr>
          <w:rFonts w:ascii="Arial" w:eastAsiaTheme="minorEastAsia" w:hAnsi="Arial" w:cs="Arial"/>
          <w:color w:val="181818"/>
          <w:sz w:val="28"/>
          <w:szCs w:val="28"/>
          <w:lang w:val="en-GB"/>
          <w14:ligatures w14:val="standardContextual"/>
        </w:rPr>
        <w:t xml:space="preserve"> </w:t>
      </w:r>
      <w:r w:rsidR="00DB3E05"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&lt;EndNote&gt;&lt;Cite&gt;&lt;Author&gt;SFC&lt;/Author&gt;&lt;Year&gt;2019&lt;/Year&gt;&lt;RecNum&gt;86&lt;/RecNum&gt;&lt;DisplayText&gt;(SFC, 2019)&lt;/DisplayText&gt;&lt;record&gt;&lt;rec-number&gt;86&lt;/rec-number&gt;&lt;foreign-keys&gt;&lt;key app="EN" db-id="0vtwt0xdiepatveerwsxw55izapvzd0d0v5w" timestamp="1721561802" guid="6926c4dd-f44d-436c-9c67-dbae72bb1bfb"&gt;86&lt;/key&gt;&lt;/foreign-keys&gt;&lt;ref-type name="Journal Article"&gt;17&lt;/ref-type&gt;&lt;contributors&gt;&lt;authors&gt;&lt;author&gt;SFC&lt;/author&gt;&lt;/authors&gt;&lt;/contributors&gt;&lt;titles&gt;&lt;title&gt;Circular to management companies of SFC-authorized unit trusts and mutual funds Green or ESG funds&lt;/title&gt;&lt;/titles&gt;&lt;dates&gt;&lt;year&gt;2019&lt;/year&gt;&lt;/dates&gt;&lt;urls&gt;&lt;/urls&gt;&lt;/record&gt;&lt;/Cite&gt;&lt;/EndNote&gt;</w:instrText>
      </w:r>
      <w:r w:rsidR="00DB3E05" w:rsidRPr="00DB3E05">
        <w:rPr>
          <w:rFonts w:ascii="Arial" w:eastAsiaTheme="minorEastAsia" w:hAnsi="Arial" w:cs="Arial"/>
          <w:color w:val="181818"/>
          <w:sz w:val="28"/>
          <w:szCs w:val="28"/>
          <w:lang w:val="en-GB"/>
          <w14:ligatures w14:val="standardContextual"/>
        </w:rPr>
        <w:fldChar w:fldCharType="separate"/>
      </w:r>
      <w:r w:rsidR="00DB3E05" w:rsidRPr="00DB3E05">
        <w:rPr>
          <w:rFonts w:ascii="Arial" w:eastAsiaTheme="minorEastAsia" w:hAnsi="Arial" w:cs="Arial"/>
          <w:noProof/>
          <w:color w:val="181818"/>
          <w:sz w:val="28"/>
          <w:szCs w:val="28"/>
          <w:lang w:val="en-GB"/>
          <w14:ligatures w14:val="standardContextual"/>
        </w:rPr>
        <w:t>(SFC, 2019)</w:t>
      </w:r>
      <w:r w:rsidR="00DB3E05" w:rsidRPr="00DB3E05">
        <w:rPr>
          <w:rFonts w:ascii="Arial" w:eastAsiaTheme="minorEastAsia" w:hAnsi="Arial" w:cs="Arial"/>
          <w:color w:val="181818"/>
          <w:sz w:val="28"/>
          <w:szCs w:val="28"/>
          <w:lang w:val="en-GB"/>
          <w14:ligatures w14:val="standardContextual"/>
        </w:rPr>
        <w:fldChar w:fldCharType="end"/>
      </w:r>
    </w:p>
    <w:p w14:paraId="4EF0D5DD" w14:textId="199F313B" w:rsidR="0096404F" w:rsidRPr="00DB3E05" w:rsidRDefault="0096404F" w:rsidP="0096404F">
      <w:pPr>
        <w:pStyle w:val="NormalWeb"/>
        <w:spacing w:line="360" w:lineRule="auto"/>
        <w:ind w:left="720"/>
        <w:jc w:val="both"/>
        <w:rPr>
          <w:rFonts w:ascii="Arial" w:eastAsiaTheme="minorEastAsia" w:hAnsi="Arial" w:cs="Arial"/>
          <w:color w:val="181818"/>
          <w:sz w:val="28"/>
          <w:szCs w:val="28"/>
          <w14:ligatures w14:val="standardContextual"/>
        </w:rPr>
      </w:pPr>
      <w:r w:rsidRPr="00DB3E05">
        <w:rPr>
          <w:rFonts w:ascii="Arial" w:eastAsiaTheme="minorEastAsia" w:hAnsi="Arial" w:cs="Arial"/>
          <w:color w:val="181818"/>
          <w:sz w:val="28"/>
          <w:szCs w:val="28"/>
          <w:lang w:val="en-GB"/>
          <w14:ligatures w14:val="standardContextual"/>
        </w:rPr>
        <w:t xml:space="preserve">In December 2019, the Stock Exchange published consultation conclusion not only amend the reporting timeframe but introduced mandatory disclosures on ESG matters and climate-related risks. </w:t>
      </w:r>
      <w:r w:rsidRPr="00DB3E05">
        <w:rPr>
          <w:rFonts w:ascii="Arial" w:eastAsiaTheme="minorEastAsia" w:hAnsi="Arial" w:cs="Arial"/>
          <w:color w:val="181818"/>
          <w:sz w:val="28"/>
          <w:szCs w:val="28"/>
          <w14:ligatures w14:val="standardContextual"/>
        </w:rPr>
        <w:fldChar w:fldCharType="begin"/>
      </w:r>
      <w:r w:rsidR="00E1565F" w:rsidRPr="00DB3E05">
        <w:rPr>
          <w:rFonts w:ascii="Arial" w:eastAsiaTheme="minorEastAsia" w:hAnsi="Arial" w:cs="Arial"/>
          <w:color w:val="181818"/>
          <w:sz w:val="28"/>
          <w:szCs w:val="28"/>
          <w14:ligatures w14:val="standardContextual"/>
        </w:rPr>
        <w:instrText xml:space="preserve"> ADDIN EN.CITE &lt;EndNote&gt;&lt;Cite&gt;&lt;Author&gt;Exchange&lt;/Author&gt;&lt;Year&gt;2019&lt;/Year&gt;&lt;RecNum&gt;66&lt;/RecNum&gt;&lt;DisplayText&gt;(Exchange,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Database"&gt;45&lt;/ref-type&gt;&lt;contributors&gt;&lt;authors&gt;&lt;author&gt;Exchange&lt;/author&gt;&lt;/authors&gt;&lt;/contributors&gt;&lt;titles&gt;&lt;title&gt;ESG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DB3E05">
        <w:rPr>
          <w:rFonts w:ascii="Arial" w:eastAsiaTheme="minorEastAsia" w:hAnsi="Arial" w:cs="Arial"/>
          <w:color w:val="181818"/>
          <w:sz w:val="28"/>
          <w:szCs w:val="28"/>
          <w14:ligatures w14:val="standardContextual"/>
        </w:rPr>
        <w:fldChar w:fldCharType="separate"/>
      </w:r>
      <w:r w:rsidRPr="00DB3E05">
        <w:rPr>
          <w:rFonts w:ascii="Arial" w:eastAsiaTheme="minorEastAsia" w:hAnsi="Arial" w:cs="Arial"/>
          <w:noProof/>
          <w:color w:val="181818"/>
          <w:sz w:val="28"/>
          <w:szCs w:val="28"/>
          <w14:ligatures w14:val="standardContextual"/>
        </w:rPr>
        <w:t>(Exchange, 2019)</w:t>
      </w:r>
      <w:r w:rsidRPr="00DB3E05">
        <w:rPr>
          <w:rFonts w:ascii="Arial" w:eastAsiaTheme="minorEastAsia" w:hAnsi="Arial" w:cs="Arial"/>
          <w:color w:val="181818"/>
          <w:sz w:val="28"/>
          <w:szCs w:val="28"/>
          <w14:ligatures w14:val="standardContextual"/>
        </w:rPr>
        <w:fldChar w:fldCharType="end"/>
      </w:r>
    </w:p>
    <w:p w14:paraId="08496B30" w14:textId="6F2547A5" w:rsidR="0096404F" w:rsidRPr="00DB3E05" w:rsidRDefault="0096404F" w:rsidP="0096404F">
      <w:pPr>
        <w:pStyle w:val="NormalWeb"/>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14:ligatures w14:val="standardContextual"/>
        </w:rPr>
        <w:t xml:space="preserve">In July 2020, the Stock Exchange </w:t>
      </w:r>
      <w:r w:rsidR="002F2FF3">
        <w:rPr>
          <w:rFonts w:ascii="Arial" w:eastAsiaTheme="minorEastAsia" w:hAnsi="Arial" w:cs="Arial"/>
          <w:color w:val="181818"/>
          <w:sz w:val="28"/>
          <w:szCs w:val="28"/>
          <w14:ligatures w14:val="standardContextual"/>
        </w:rPr>
        <w:t xml:space="preserve">revised its </w:t>
      </w:r>
      <w:r w:rsidRPr="00DB3E05">
        <w:rPr>
          <w:rFonts w:ascii="Arial" w:eastAsiaTheme="minorEastAsia" w:hAnsi="Arial" w:cs="Arial"/>
          <w:color w:val="181818"/>
          <w:sz w:val="28"/>
          <w:szCs w:val="28"/>
          <w14:ligatures w14:val="standardContextual"/>
        </w:rPr>
        <w:t xml:space="preserve">ESG Reporting Guidelines </w:t>
      </w:r>
      <w:r w:rsidR="002F2FF3">
        <w:rPr>
          <w:rFonts w:ascii="Arial" w:eastAsiaTheme="minorEastAsia" w:hAnsi="Arial" w:cs="Arial"/>
          <w:color w:val="181818"/>
          <w:sz w:val="28"/>
          <w:szCs w:val="28"/>
          <w14:ligatures w14:val="standardContextual"/>
        </w:rPr>
        <w:t>to include</w:t>
      </w:r>
      <w:r w:rsidRPr="00DB3E05">
        <w:rPr>
          <w:rFonts w:ascii="Arial" w:eastAsiaTheme="minorEastAsia" w:hAnsi="Arial" w:cs="Arial"/>
          <w:color w:val="181818"/>
          <w:sz w:val="28"/>
          <w:szCs w:val="28"/>
          <w14:ligatures w14:val="standardContextual"/>
        </w:rPr>
        <w:t xml:space="preserve"> elements </w:t>
      </w:r>
      <w:r w:rsidR="002F2FF3">
        <w:rPr>
          <w:rFonts w:ascii="Arial" w:eastAsiaTheme="minorEastAsia" w:hAnsi="Arial" w:cs="Arial"/>
          <w:color w:val="181818"/>
          <w:sz w:val="28"/>
          <w:szCs w:val="28"/>
          <w14:ligatures w14:val="standardContextual"/>
        </w:rPr>
        <w:t xml:space="preserve">from the </w:t>
      </w:r>
      <w:r w:rsidRPr="00DB3E05">
        <w:rPr>
          <w:rFonts w:ascii="Arial" w:eastAsiaTheme="minorEastAsia" w:hAnsi="Arial" w:cs="Arial"/>
          <w:color w:val="181818"/>
          <w:sz w:val="28"/>
          <w:szCs w:val="28"/>
          <w:lang w:val="en-GB"/>
          <w14:ligatures w14:val="standardContextual"/>
        </w:rPr>
        <w:t>Taskforce on Climate-Related Financial Disclosures (TCFD) recommendations. (</w:t>
      </w:r>
      <w:r w:rsidRPr="00DB3E05">
        <w:rPr>
          <w:rFonts w:ascii="Arial" w:eastAsiaTheme="minorEastAsia" w:hAnsi="Arial" w:cs="Arial"/>
          <w:noProof/>
          <w:color w:val="181818"/>
          <w:sz w:val="28"/>
          <w:szCs w:val="28"/>
          <w14:ligatures w14:val="standardContextual"/>
        </w:rPr>
        <w:t>Exchange, 2019</w:t>
      </w:r>
      <w:r w:rsidRPr="00DB3E05">
        <w:rPr>
          <w:rFonts w:ascii="Arial" w:eastAsiaTheme="minorEastAsia" w:hAnsi="Arial" w:cs="Arial"/>
          <w:color w:val="181818"/>
          <w:sz w:val="28"/>
          <w:szCs w:val="28"/>
          <w:lang w:val="en-GB"/>
          <w14:ligatures w14:val="standardContextual"/>
        </w:rPr>
        <w:t>)</w:t>
      </w:r>
    </w:p>
    <w:p w14:paraId="03A1C185" w14:textId="02F4F204" w:rsidR="0096404F" w:rsidRPr="00DB3E05" w:rsidRDefault="002F2FF3" w:rsidP="0096404F">
      <w:pPr>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Starting from 1 </w:t>
      </w:r>
      <w:r w:rsidR="0096404F" w:rsidRPr="00DB3E05">
        <w:rPr>
          <w:rFonts w:ascii="Arial" w:eastAsiaTheme="minorEastAsia" w:hAnsi="Arial" w:cs="Arial"/>
          <w:color w:val="181818"/>
          <w:sz w:val="28"/>
          <w:szCs w:val="28"/>
          <w:lang w:val="en-GB"/>
          <w14:ligatures w14:val="standardContextual"/>
        </w:rPr>
        <w:t xml:space="preserve">January 2022, ESG reports </w:t>
      </w:r>
      <w:r>
        <w:rPr>
          <w:rFonts w:ascii="Arial" w:eastAsiaTheme="minorEastAsia" w:hAnsi="Arial" w:cs="Arial"/>
          <w:color w:val="181818"/>
          <w:sz w:val="28"/>
          <w:szCs w:val="28"/>
          <w:lang w:val="en-GB"/>
          <w14:ligatures w14:val="standardContextual"/>
        </w:rPr>
        <w:t>must be</w:t>
      </w:r>
      <w:r w:rsidR="0096404F" w:rsidRPr="00DB3E05">
        <w:rPr>
          <w:rFonts w:ascii="Arial" w:eastAsiaTheme="minorEastAsia" w:hAnsi="Arial" w:cs="Arial"/>
          <w:color w:val="181818"/>
          <w:sz w:val="28"/>
          <w:szCs w:val="28"/>
          <w:lang w:val="en-GB"/>
          <w14:ligatures w14:val="standardContextual"/>
        </w:rPr>
        <w:t xml:space="preserve"> published </w:t>
      </w:r>
      <w:r>
        <w:rPr>
          <w:rFonts w:ascii="Arial" w:eastAsiaTheme="minorEastAsia" w:hAnsi="Arial" w:cs="Arial"/>
          <w:color w:val="181818"/>
          <w:sz w:val="28"/>
          <w:szCs w:val="28"/>
          <w:lang w:val="en-GB"/>
          <w14:ligatures w14:val="standardContextual"/>
        </w:rPr>
        <w:t xml:space="preserve">alongside the annual </w:t>
      </w:r>
      <w:r w:rsidR="0096404F" w:rsidRPr="00DB3E05">
        <w:rPr>
          <w:rFonts w:ascii="Arial" w:eastAsiaTheme="minorEastAsia" w:hAnsi="Arial" w:cs="Arial"/>
          <w:color w:val="181818"/>
          <w:sz w:val="28"/>
          <w:szCs w:val="28"/>
          <w:lang w:val="en-GB"/>
          <w14:ligatures w14:val="standardContextual"/>
        </w:rPr>
        <w:t>report</w:t>
      </w:r>
      <w:r>
        <w:rPr>
          <w:rFonts w:ascii="Arial" w:eastAsiaTheme="minorEastAsia" w:hAnsi="Arial" w:cs="Arial"/>
          <w:color w:val="181818"/>
          <w:sz w:val="28"/>
          <w:szCs w:val="28"/>
          <w:lang w:val="en-GB"/>
          <w14:ligatures w14:val="standardContextual"/>
        </w:rPr>
        <w:t>,</w:t>
      </w:r>
      <w:r w:rsidR="0096404F" w:rsidRPr="00DB3E05">
        <w:rPr>
          <w:rFonts w:ascii="Arial" w:eastAsiaTheme="minorEastAsia" w:hAnsi="Arial" w:cs="Arial"/>
          <w:color w:val="181818"/>
          <w:sz w:val="28"/>
          <w:szCs w:val="28"/>
          <w:lang w:val="en-GB"/>
          <w14:ligatures w14:val="standardContextual"/>
        </w:rPr>
        <w:t xml:space="preserve"> and listed companies </w:t>
      </w:r>
      <w:r>
        <w:rPr>
          <w:rFonts w:ascii="Arial" w:eastAsiaTheme="minorEastAsia" w:hAnsi="Arial" w:cs="Arial"/>
          <w:color w:val="181818"/>
          <w:sz w:val="28"/>
          <w:szCs w:val="28"/>
          <w:lang w:val="en-GB"/>
          <w14:ligatures w14:val="standardContextual"/>
        </w:rPr>
        <w:t xml:space="preserve">are required to incorporate ESG risks </w:t>
      </w:r>
      <w:r w:rsidR="0096404F" w:rsidRPr="00DB3E05">
        <w:rPr>
          <w:rFonts w:ascii="Arial" w:eastAsiaTheme="minorEastAsia" w:hAnsi="Arial" w:cs="Arial"/>
          <w:color w:val="181818"/>
          <w:sz w:val="28"/>
          <w:szCs w:val="28"/>
          <w:lang w:val="en-GB"/>
          <w14:ligatures w14:val="standardContextual"/>
        </w:rPr>
        <w:t>into the</w:t>
      </w:r>
      <w:r>
        <w:rPr>
          <w:rFonts w:ascii="Arial" w:eastAsiaTheme="minorEastAsia" w:hAnsi="Arial" w:cs="Arial"/>
          <w:color w:val="181818"/>
          <w:sz w:val="28"/>
          <w:szCs w:val="28"/>
          <w:lang w:val="en-GB"/>
          <w14:ligatures w14:val="standardContextual"/>
        </w:rPr>
        <w:t>ir annual</w:t>
      </w:r>
      <w:r w:rsidR="0096404F" w:rsidRPr="00DB3E05">
        <w:rPr>
          <w:rFonts w:ascii="Arial" w:eastAsiaTheme="minorEastAsia" w:hAnsi="Arial" w:cs="Arial"/>
          <w:color w:val="181818"/>
          <w:sz w:val="28"/>
          <w:szCs w:val="28"/>
          <w:lang w:val="en-GB"/>
          <w14:ligatures w14:val="standardContextual"/>
        </w:rPr>
        <w:t xml:space="preserve"> risk management framework.  (</w:t>
      </w:r>
      <w:r w:rsidR="0096404F" w:rsidRPr="00DB3E05">
        <w:rPr>
          <w:rFonts w:ascii="Arial" w:eastAsiaTheme="minorEastAsia" w:hAnsi="Arial" w:cs="Arial"/>
          <w:noProof/>
          <w:color w:val="181818"/>
          <w:sz w:val="28"/>
          <w:szCs w:val="28"/>
          <w14:ligatures w14:val="standardContextual"/>
        </w:rPr>
        <w:t>Exchange, 2019</w:t>
      </w:r>
      <w:r w:rsidR="0096404F" w:rsidRPr="00DB3E05">
        <w:rPr>
          <w:rFonts w:ascii="Arial" w:eastAsiaTheme="minorEastAsia" w:hAnsi="Arial" w:cs="Arial"/>
          <w:color w:val="181818"/>
          <w:sz w:val="28"/>
          <w:szCs w:val="28"/>
          <w:lang w:val="en-GB"/>
          <w14:ligatures w14:val="standardContextual"/>
        </w:rPr>
        <w:t>)</w:t>
      </w:r>
    </w:p>
    <w:p w14:paraId="6F89BDD1" w14:textId="77777777"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p>
    <w:p w14:paraId="1243E51A" w14:textId="6F02C782" w:rsidR="0096404F" w:rsidRPr="00DB3E05" w:rsidRDefault="002F2FF3" w:rsidP="0096404F">
      <w:pPr>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Starting</w:t>
      </w:r>
      <w:r w:rsidR="0096404F" w:rsidRPr="00DB3E05">
        <w:rPr>
          <w:rFonts w:ascii="Arial" w:eastAsiaTheme="minorEastAsia" w:hAnsi="Arial" w:cs="Arial"/>
          <w:color w:val="181818"/>
          <w:sz w:val="28"/>
          <w:szCs w:val="28"/>
          <w:lang w:val="en-GB"/>
          <w14:ligatures w14:val="standardContextual"/>
        </w:rPr>
        <w:t xml:space="preserve"> from 1 January 2025, </w:t>
      </w:r>
      <w:r>
        <w:rPr>
          <w:rFonts w:ascii="Arial" w:eastAsiaTheme="minorEastAsia" w:hAnsi="Arial" w:cs="Arial"/>
          <w:color w:val="181818"/>
          <w:sz w:val="28"/>
          <w:szCs w:val="28"/>
          <w:lang w:val="en-GB"/>
          <w14:ligatures w14:val="standardContextual"/>
        </w:rPr>
        <w:t xml:space="preserve">listed companies will be mandated to gradually implement </w:t>
      </w:r>
      <w:r w:rsidR="0096404F" w:rsidRPr="00DB3E05">
        <w:rPr>
          <w:rFonts w:ascii="Arial" w:eastAsiaTheme="minorEastAsia" w:hAnsi="Arial" w:cs="Arial"/>
          <w:color w:val="181818"/>
          <w:sz w:val="28"/>
          <w:szCs w:val="28"/>
          <w:lang w:val="en-GB"/>
          <w14:ligatures w14:val="standardContextual"/>
        </w:rPr>
        <w:t>climate-related disclosures</w:t>
      </w:r>
      <w:r>
        <w:rPr>
          <w:rFonts w:ascii="Arial" w:eastAsiaTheme="minorEastAsia" w:hAnsi="Arial" w:cs="Arial"/>
          <w:color w:val="181818"/>
          <w:sz w:val="28"/>
          <w:szCs w:val="28"/>
          <w:lang w:val="en-GB"/>
          <w14:ligatures w14:val="standardContextual"/>
        </w:rPr>
        <w:t xml:space="preserve">, aiming to improve these disclosures in line with </w:t>
      </w:r>
      <w:r w:rsidR="0096404F" w:rsidRPr="00DB3E05">
        <w:rPr>
          <w:rFonts w:ascii="Arial" w:eastAsiaTheme="minorEastAsia" w:hAnsi="Arial" w:cs="Arial"/>
          <w:color w:val="181818"/>
          <w:sz w:val="28"/>
          <w:szCs w:val="28"/>
          <w:lang w:val="en-GB"/>
          <w14:ligatures w14:val="standardContextual"/>
        </w:rPr>
        <w:t xml:space="preserve">IFRS S2 Climate-related Disclosures. The listed companies </w:t>
      </w:r>
      <w:r>
        <w:rPr>
          <w:rFonts w:ascii="Arial" w:eastAsiaTheme="minorEastAsia" w:hAnsi="Arial" w:cs="Arial"/>
          <w:color w:val="181818"/>
          <w:sz w:val="28"/>
          <w:szCs w:val="28"/>
          <w:lang w:val="en-GB"/>
          <w14:ligatures w14:val="standardContextual"/>
        </w:rPr>
        <w:t xml:space="preserve">will need to justify any non-disclosures and are advised </w:t>
      </w:r>
      <w:r w:rsidR="006400F2">
        <w:rPr>
          <w:rFonts w:ascii="Arial" w:eastAsiaTheme="minorEastAsia" w:hAnsi="Arial" w:cs="Arial"/>
          <w:color w:val="181818"/>
          <w:sz w:val="28"/>
          <w:szCs w:val="28"/>
          <w:lang w:val="en-GB"/>
          <w14:ligatures w14:val="standardContextual"/>
        </w:rPr>
        <w:t>to provide a schedule for future disclosures along with update on their progress</w:t>
      </w:r>
      <w:r w:rsidR="0096404F" w:rsidRPr="00DB3E05">
        <w:rPr>
          <w:rFonts w:ascii="Arial" w:eastAsiaTheme="minorEastAsia" w:hAnsi="Arial" w:cs="Arial"/>
          <w:color w:val="181818"/>
          <w:sz w:val="28"/>
          <w:szCs w:val="28"/>
          <w:lang w:val="en-GB"/>
          <w14:ligatures w14:val="standardContextual"/>
        </w:rPr>
        <w:t xml:space="preserve">.  </w:t>
      </w:r>
      <w:r w:rsidR="00647AAF"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&lt;EndNote&gt;&lt;Cite&gt;&lt;Author&gt;Exchange&lt;/Author&gt;&lt;Year&gt;2024&lt;/Year&gt;&lt;RecNum&gt;77&lt;/RecNum&gt;&lt;DisplayText&gt;(Exchange, 2024d)&lt;/DisplayText&gt;&lt;record&gt;&lt;rec-number&gt;77&lt;/rec-number&gt;&lt;foreign-keys&gt;&lt;key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00647AAF" w:rsidRPr="00DB3E05">
        <w:rPr>
          <w:rFonts w:ascii="Arial" w:eastAsiaTheme="minorEastAsia" w:hAnsi="Arial" w:cs="Arial"/>
          <w:color w:val="181818"/>
          <w:sz w:val="28"/>
          <w:szCs w:val="28"/>
          <w:lang w:val="en-GB"/>
          <w14:ligatures w14:val="standardContextual"/>
        </w:rPr>
        <w:fldChar w:fldCharType="separate"/>
      </w:r>
      <w:r w:rsidR="00EF4A43">
        <w:rPr>
          <w:rFonts w:ascii="Arial" w:eastAsiaTheme="minorEastAsia" w:hAnsi="Arial" w:cs="Arial"/>
          <w:noProof/>
          <w:color w:val="181818"/>
          <w:sz w:val="28"/>
          <w:szCs w:val="28"/>
          <w:lang w:val="en-GB"/>
          <w14:ligatures w14:val="standardContextual"/>
        </w:rPr>
        <w:t>(Exchange, 2024d)</w:t>
      </w:r>
      <w:r w:rsidR="00647AAF" w:rsidRPr="00DB3E05">
        <w:rPr>
          <w:rFonts w:ascii="Arial" w:eastAsiaTheme="minorEastAsia" w:hAnsi="Arial" w:cs="Arial"/>
          <w:color w:val="181818"/>
          <w:sz w:val="28"/>
          <w:szCs w:val="28"/>
          <w:lang w:val="en-GB"/>
          <w14:ligatures w14:val="standardContextual"/>
        </w:rPr>
        <w:fldChar w:fldCharType="end"/>
      </w:r>
    </w:p>
    <w:p w14:paraId="51B8D8C2" w14:textId="77777777"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p>
    <w:p w14:paraId="3B605ACD" w14:textId="6507AA61"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Hong Kong Institute of Certified Public Accountants (the “HKICPA”) is in the process to develop the local accounting standards on climate-related disclosures and collect implementation issues from listed companies for following ESG code.  </w:t>
      </w:r>
      <w:r w:rsidR="00DB3E05"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&lt;EndNote&gt;&lt;Cite&gt;&lt;Author&gt;HKICPA&lt;/Author&gt;&lt;Year&gt;2023&lt;/Year&gt;&lt;RecNum&gt;87&lt;/RecNum&gt;&lt;DisplayText&gt;(HKICPA, 2023b)&lt;/DisplayText&gt;&lt;record&gt;&lt;rec-number&gt;87&lt;/rec-number&gt;&lt;foreign-keys&gt;&lt;key app="EN" db-id="0vtwt0xdiepatveerwsxw55izapvzd0d0v5w" timestamp="1721561929" guid="bf05d4f1-4849-4c38-84cb-3859f89bdc37"&gt;87&lt;/key&gt;&lt;/foreign-keys&gt;&lt;ref-type name="Journal Article"&gt;17&lt;/ref-type&gt;&lt;contributors&gt;&lt;authors&gt;&lt;author&gt;HKICPA&lt;/author&gt;&lt;/authors&gt;&lt;/contributors&gt;&lt;titles&gt;&lt;title&gt;HKICPA’s submission on the HKEX’s consultation on climate-related disclosures&lt;/title&gt;&lt;/titles&gt;&lt;dates&gt;&lt;year&gt;2023&lt;/year&gt;&lt;/dates&gt;&lt;urls&gt;&lt;/urls&gt;&lt;/record&gt;&lt;/Cite&gt;&lt;/EndNote&gt;</w:instrText>
      </w:r>
      <w:r w:rsidR="00DB3E05" w:rsidRPr="00DB3E05">
        <w:rPr>
          <w:rFonts w:ascii="Arial" w:eastAsiaTheme="minorEastAsia" w:hAnsi="Arial" w:cs="Arial"/>
          <w:color w:val="181818"/>
          <w:sz w:val="28"/>
          <w:szCs w:val="28"/>
          <w:lang w:val="en-GB"/>
          <w14:ligatures w14:val="standardContextual"/>
        </w:rPr>
        <w:fldChar w:fldCharType="separate"/>
      </w:r>
      <w:r w:rsidR="00DB3E05" w:rsidRPr="00DB3E05">
        <w:rPr>
          <w:rFonts w:ascii="Arial" w:eastAsiaTheme="minorEastAsia" w:hAnsi="Arial" w:cs="Arial"/>
          <w:noProof/>
          <w:color w:val="181818"/>
          <w:sz w:val="28"/>
          <w:szCs w:val="28"/>
          <w:lang w:val="en-GB"/>
          <w14:ligatures w14:val="standardContextual"/>
        </w:rPr>
        <w:t>(HKICPA, 2023b)</w:t>
      </w:r>
      <w:r w:rsidR="00DB3E05" w:rsidRPr="00DB3E05">
        <w:rPr>
          <w:rFonts w:ascii="Arial" w:eastAsiaTheme="minorEastAsia" w:hAnsi="Arial" w:cs="Arial"/>
          <w:color w:val="181818"/>
          <w:sz w:val="28"/>
          <w:szCs w:val="28"/>
          <w:lang w:val="en-GB"/>
          <w14:ligatures w14:val="standardContextual"/>
        </w:rPr>
        <w:fldChar w:fldCharType="end"/>
      </w:r>
    </w:p>
    <w:p w14:paraId="7A883985" w14:textId="77777777"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p>
    <w:p w14:paraId="5713955B"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1.4</w:t>
      </w:r>
      <w:r w:rsidRPr="00DB3E05">
        <w:rPr>
          <w:rFonts w:ascii="Arial" w:hAnsi="Arial" w:cs="Arial"/>
          <w:b/>
          <w:bCs/>
          <w:color w:val="000000"/>
          <w:sz w:val="28"/>
          <w:szCs w:val="28"/>
        </w:rPr>
        <w:tab/>
        <w:t>Business and management challenges</w:t>
      </w:r>
    </w:p>
    <w:p w14:paraId="7D1451E7" w14:textId="77777777" w:rsidR="00604CFE" w:rsidRPr="00DB3E05" w:rsidRDefault="00860923" w:rsidP="00604CFE">
      <w:pPr>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The number of </w:t>
      </w:r>
      <w:r w:rsidR="00627C1B" w:rsidRPr="00DB3E05">
        <w:rPr>
          <w:rFonts w:ascii="Arial" w:eastAsiaTheme="minorEastAsia" w:hAnsi="Arial" w:cs="Arial"/>
          <w:color w:val="181818"/>
          <w:sz w:val="28"/>
          <w:szCs w:val="28"/>
          <w:lang w:val="en-GB"/>
          <w14:ligatures w14:val="standardContextual"/>
        </w:rPr>
        <w:t xml:space="preserve">listed companies </w:t>
      </w:r>
      <w:r>
        <w:rPr>
          <w:rFonts w:ascii="Arial" w:eastAsiaTheme="minorEastAsia" w:hAnsi="Arial" w:cs="Arial"/>
          <w:color w:val="181818"/>
          <w:sz w:val="28"/>
          <w:szCs w:val="28"/>
          <w:lang w:val="en-GB"/>
          <w14:ligatures w14:val="standardContextual"/>
        </w:rPr>
        <w:t>in Hong Kong is 2,624</w:t>
      </w:r>
      <w:r w:rsidR="00627C1B" w:rsidRPr="00DB3E05">
        <w:rPr>
          <w:rFonts w:ascii="Arial" w:eastAsiaTheme="minorEastAsia" w:hAnsi="Arial" w:cs="Arial"/>
          <w:color w:val="181818"/>
          <w:sz w:val="28"/>
          <w:szCs w:val="28"/>
          <w:lang w:val="en-GB"/>
          <w14:ligatures w14:val="standardContextual"/>
        </w:rPr>
        <w:t xml:space="preserve"> </w:t>
      </w:r>
      <w:r w:rsidR="008F0382"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&lt;EndNote&gt;&lt;Cite&gt;&lt;Author&gt;Exchange&lt;/Author&gt;&lt;Year&gt;2024&lt;/Year&gt;&lt;RecNum&gt;80&lt;/RecNum&gt;&lt;DisplayText&gt;(Exchange, 2024c)&lt;/DisplayText&gt;&lt;record&gt;&lt;rec-number&gt;80&lt;/rec-number&gt;&lt;foreign-keys&gt;&lt;key app="EN" db-id="0vtwt0xdiepatveerwsxw55izapvzd0d0v5w" timestamp="1721555298" guid="ebb737fa-dda7-4f99-bf5e-b30fe862193b"&gt;80&lt;/key&gt;&lt;/foreign-keys&gt;&lt;ref-type name="Online Database"&gt;45&lt;/ref-type&gt;&lt;contributors&gt;&lt;authors&gt;&lt;author&gt;Exchange&lt;/author&gt;&lt;/authors&gt;&lt;/contributors&gt;&lt;titles&gt;&lt;title&gt;Hong Kong and Mainland Market Highlights&lt;/title&gt;&lt;/titles&gt;&lt;dates&gt;&lt;year&gt;2024&lt;/year&gt;&lt;/dates&gt;&lt;urls&gt;&lt;related-urls&gt;&lt;url&gt;https://www.hkex.com.hk/Mutual-Market/Stock-Connect/Statistics/Hong-Kong-and-Mainland-Market-Highlights?sc_lang=en#select3=0&amp;amp;selection=2024-7-19&amp;amp;select2=6&amp;amp;select1=18&lt;/url&gt;&lt;/related-urls&gt;&lt;/urls&gt;&lt;/record&gt;&lt;/Cite&gt;&lt;/EndNote&gt;</w:instrText>
      </w:r>
      <w:r w:rsidR="008F0382" w:rsidRPr="00DB3E05">
        <w:rPr>
          <w:rFonts w:ascii="Arial" w:eastAsiaTheme="minorEastAsia" w:hAnsi="Arial" w:cs="Arial"/>
          <w:color w:val="181818"/>
          <w:sz w:val="28"/>
          <w:szCs w:val="28"/>
          <w:lang w:val="en-GB"/>
          <w14:ligatures w14:val="standardContextual"/>
        </w:rPr>
        <w:fldChar w:fldCharType="separate"/>
      </w:r>
      <w:r w:rsidR="00EF4A43">
        <w:rPr>
          <w:rFonts w:ascii="Arial" w:eastAsiaTheme="minorEastAsia" w:hAnsi="Arial" w:cs="Arial"/>
          <w:noProof/>
          <w:color w:val="181818"/>
          <w:sz w:val="28"/>
          <w:szCs w:val="28"/>
          <w:lang w:val="en-GB"/>
          <w14:ligatures w14:val="standardContextual"/>
        </w:rPr>
        <w:t>(Exchange, 2024c)</w:t>
      </w:r>
      <w:r w:rsidR="008F0382" w:rsidRPr="00DB3E05">
        <w:rPr>
          <w:rFonts w:ascii="Arial" w:eastAsiaTheme="minorEastAsia" w:hAnsi="Arial" w:cs="Arial"/>
          <w:color w:val="181818"/>
          <w:sz w:val="28"/>
          <w:szCs w:val="28"/>
          <w:lang w:val="en-GB"/>
          <w14:ligatures w14:val="standardContextual"/>
        </w:rPr>
        <w:fldChar w:fldCharType="end"/>
      </w:r>
      <w:r w:rsidR="008F0382" w:rsidRPr="00DB3E05">
        <w:rPr>
          <w:rFonts w:ascii="Arial" w:eastAsiaTheme="minorEastAsia" w:hAnsi="Arial" w:cs="Arial"/>
          <w:color w:val="181818"/>
          <w:sz w:val="28"/>
          <w:szCs w:val="28"/>
          <w:lang w:val="en-GB"/>
          <w14:ligatures w14:val="standardContextual"/>
        </w:rPr>
        <w:t xml:space="preserve"> </w:t>
      </w:r>
      <w:r w:rsidR="00627C1B" w:rsidRPr="00DB3E05">
        <w:rPr>
          <w:rFonts w:ascii="Arial" w:eastAsiaTheme="minorEastAsia" w:hAnsi="Arial" w:cs="Arial"/>
          <w:color w:val="181818"/>
          <w:sz w:val="28"/>
          <w:szCs w:val="28"/>
          <w:lang w:val="en-GB"/>
          <w14:ligatures w14:val="standardContextual"/>
        </w:rPr>
        <w:t xml:space="preserve">The Listing Rules </w:t>
      </w:r>
      <w:r w:rsidR="00604CFE">
        <w:rPr>
          <w:rFonts w:ascii="Arial" w:eastAsiaTheme="minorEastAsia" w:hAnsi="Arial" w:cs="Arial"/>
          <w:color w:val="181818"/>
          <w:sz w:val="28"/>
          <w:szCs w:val="28"/>
          <w:lang w:val="en-GB"/>
          <w14:ligatures w14:val="standardContextual"/>
        </w:rPr>
        <w:t xml:space="preserve">mandate that the board of </w:t>
      </w:r>
      <w:r w:rsidR="00627C1B" w:rsidRPr="00DB3E05">
        <w:rPr>
          <w:rFonts w:ascii="Arial" w:eastAsiaTheme="minorEastAsia" w:hAnsi="Arial" w:cs="Arial"/>
          <w:color w:val="181818"/>
          <w:sz w:val="28"/>
          <w:szCs w:val="28"/>
          <w:lang w:val="en-GB"/>
          <w14:ligatures w14:val="standardContextual"/>
        </w:rPr>
        <w:t xml:space="preserve">listed companies in Hong Kong </w:t>
      </w:r>
      <w:r w:rsidR="00604CFE">
        <w:rPr>
          <w:rFonts w:ascii="Arial" w:eastAsiaTheme="minorEastAsia" w:hAnsi="Arial" w:cs="Arial"/>
          <w:color w:val="181818"/>
          <w:sz w:val="28"/>
          <w:szCs w:val="28"/>
          <w:lang w:val="en-GB"/>
          <w14:ligatures w14:val="standardContextual"/>
        </w:rPr>
        <w:t>conduct</w:t>
      </w:r>
      <w:r w:rsidR="00627C1B" w:rsidRPr="00DB3E05">
        <w:rPr>
          <w:rFonts w:ascii="Arial" w:eastAsiaTheme="minorEastAsia" w:hAnsi="Arial" w:cs="Arial"/>
          <w:color w:val="181818"/>
          <w:sz w:val="28"/>
          <w:szCs w:val="28"/>
          <w:lang w:val="en-GB"/>
          <w14:ligatures w14:val="standardContextual"/>
        </w:rPr>
        <w:t xml:space="preserve"> ESG r</w:t>
      </w:r>
      <w:r w:rsidR="00A36DE1" w:rsidRPr="00DB3E05">
        <w:rPr>
          <w:rFonts w:ascii="Arial" w:eastAsiaTheme="minorEastAsia" w:hAnsi="Arial" w:cs="Arial"/>
          <w:color w:val="181818"/>
          <w:sz w:val="28"/>
          <w:szCs w:val="28"/>
          <w:lang w:val="en-GB"/>
          <w14:ligatures w14:val="standardContextual"/>
        </w:rPr>
        <w:t>eporting</w:t>
      </w:r>
      <w:r w:rsidR="00A6385F" w:rsidRPr="00DB3E05">
        <w:rPr>
          <w:rFonts w:ascii="Arial" w:eastAsiaTheme="minorEastAsia" w:hAnsi="Arial" w:cs="Arial"/>
          <w:color w:val="181818"/>
          <w:sz w:val="28"/>
          <w:szCs w:val="28"/>
          <w:lang w:val="en-GB"/>
          <w14:ligatures w14:val="standardContextual"/>
        </w:rPr>
        <w:t xml:space="preserve">. </w:t>
      </w:r>
      <w:r w:rsidR="00627C1B" w:rsidRPr="00DB3E05">
        <w:rPr>
          <w:rFonts w:ascii="Arial" w:eastAsiaTheme="minorEastAsia" w:hAnsi="Arial" w:cs="Arial"/>
          <w:color w:val="181818"/>
          <w:sz w:val="28"/>
          <w:szCs w:val="28"/>
          <w:lang w:val="en-GB"/>
          <w14:ligatures w14:val="standardContextual"/>
        </w:rPr>
        <w:t xml:space="preserve"> </w:t>
      </w:r>
      <w:r w:rsidR="00604CFE">
        <w:rPr>
          <w:rFonts w:ascii="Arial" w:eastAsiaTheme="minorEastAsia" w:hAnsi="Arial" w:cs="Arial"/>
          <w:color w:val="181818"/>
          <w:sz w:val="28"/>
          <w:szCs w:val="28"/>
          <w:lang w:val="en-GB"/>
          <w14:ligatures w14:val="standardContextual"/>
        </w:rPr>
        <w:t>Starting</w:t>
      </w:r>
      <w:r w:rsidR="00604CFE" w:rsidRPr="00DB3E05">
        <w:rPr>
          <w:rFonts w:ascii="Arial" w:eastAsiaTheme="minorEastAsia" w:hAnsi="Arial" w:cs="Arial"/>
          <w:color w:val="181818"/>
          <w:sz w:val="28"/>
          <w:szCs w:val="28"/>
          <w:lang w:val="en-GB"/>
          <w14:ligatures w14:val="standardContextual"/>
        </w:rPr>
        <w:t xml:space="preserve"> from 1 January 2025, </w:t>
      </w:r>
      <w:r w:rsidR="00604CFE">
        <w:rPr>
          <w:rFonts w:ascii="Arial" w:eastAsiaTheme="minorEastAsia" w:hAnsi="Arial" w:cs="Arial"/>
          <w:color w:val="181818"/>
          <w:sz w:val="28"/>
          <w:szCs w:val="28"/>
          <w:lang w:val="en-GB"/>
          <w14:ligatures w14:val="standardContextual"/>
        </w:rPr>
        <w:t xml:space="preserve">listed companies will be mandated to gradually implement </w:t>
      </w:r>
      <w:r w:rsidR="00604CFE" w:rsidRPr="00DB3E05">
        <w:rPr>
          <w:rFonts w:ascii="Arial" w:eastAsiaTheme="minorEastAsia" w:hAnsi="Arial" w:cs="Arial"/>
          <w:color w:val="181818"/>
          <w:sz w:val="28"/>
          <w:szCs w:val="28"/>
          <w:lang w:val="en-GB"/>
          <w14:ligatures w14:val="standardContextual"/>
        </w:rPr>
        <w:t>climate-related disclosures</w:t>
      </w:r>
      <w:r w:rsidR="00604CFE">
        <w:rPr>
          <w:rFonts w:ascii="Arial" w:eastAsiaTheme="minorEastAsia" w:hAnsi="Arial" w:cs="Arial"/>
          <w:color w:val="181818"/>
          <w:sz w:val="28"/>
          <w:szCs w:val="28"/>
          <w:lang w:val="en-GB"/>
          <w14:ligatures w14:val="standardContextual"/>
        </w:rPr>
        <w:t xml:space="preserve">, aiming to improve these disclosures in line with </w:t>
      </w:r>
      <w:r w:rsidR="00604CFE" w:rsidRPr="00DB3E05">
        <w:rPr>
          <w:rFonts w:ascii="Arial" w:eastAsiaTheme="minorEastAsia" w:hAnsi="Arial" w:cs="Arial"/>
          <w:color w:val="181818"/>
          <w:sz w:val="28"/>
          <w:szCs w:val="28"/>
          <w:lang w:val="en-GB"/>
          <w14:ligatures w14:val="standardContextual"/>
        </w:rPr>
        <w:t xml:space="preserve">IFRS S2 Climate-related Disclosures. The listed companies </w:t>
      </w:r>
      <w:r w:rsidR="00604CFE">
        <w:rPr>
          <w:rFonts w:ascii="Arial" w:eastAsiaTheme="minorEastAsia" w:hAnsi="Arial" w:cs="Arial"/>
          <w:color w:val="181818"/>
          <w:sz w:val="28"/>
          <w:szCs w:val="28"/>
          <w:lang w:val="en-GB"/>
          <w14:ligatures w14:val="standardContextual"/>
        </w:rPr>
        <w:t>will need to justify any non-disclosures and are advised to provide a schedule for future disclosures along with update on their progress</w:t>
      </w:r>
      <w:r w:rsidR="00604CFE" w:rsidRPr="00DB3E05">
        <w:rPr>
          <w:rFonts w:ascii="Arial" w:eastAsiaTheme="minorEastAsia" w:hAnsi="Arial" w:cs="Arial"/>
          <w:color w:val="181818"/>
          <w:sz w:val="28"/>
          <w:szCs w:val="28"/>
          <w:lang w:val="en-GB"/>
          <w14:ligatures w14:val="standardContextual"/>
        </w:rPr>
        <w:t xml:space="preserve">.  </w:t>
      </w:r>
      <w:r w:rsidR="00604CFE" w:rsidRPr="00DB3E05">
        <w:rPr>
          <w:rFonts w:ascii="Arial" w:eastAsiaTheme="minorEastAsia" w:hAnsi="Arial" w:cs="Arial"/>
          <w:color w:val="181818"/>
          <w:sz w:val="28"/>
          <w:szCs w:val="28"/>
          <w:lang w:val="en-GB"/>
          <w14:ligatures w14:val="standardContextual"/>
        </w:rPr>
        <w:fldChar w:fldCharType="begin"/>
      </w:r>
      <w:r w:rsidR="00604CFE">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&lt;EndNote&gt;&lt;Cite&gt;&lt;Author&gt;Exchange&lt;/Author&gt;&lt;Year&gt;2024&lt;/Year&gt;&lt;RecNum&gt;77&lt;/RecNum&gt;&lt;DisplayText&gt;(Exchange, 2024d)&lt;/DisplayText&gt;&lt;record&gt;&lt;rec-number&gt;77&lt;/rec-number&gt;&lt;foreign-keys&gt;&lt;key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00604CFE" w:rsidRPr="00DB3E05">
        <w:rPr>
          <w:rFonts w:ascii="Arial" w:eastAsiaTheme="minorEastAsia" w:hAnsi="Arial" w:cs="Arial"/>
          <w:color w:val="181818"/>
          <w:sz w:val="28"/>
          <w:szCs w:val="28"/>
          <w:lang w:val="en-GB"/>
          <w14:ligatures w14:val="standardContextual"/>
        </w:rPr>
        <w:fldChar w:fldCharType="separate"/>
      </w:r>
      <w:r w:rsidR="00604CFE">
        <w:rPr>
          <w:rFonts w:ascii="Arial" w:eastAsiaTheme="minorEastAsia" w:hAnsi="Arial" w:cs="Arial"/>
          <w:noProof/>
          <w:color w:val="181818"/>
          <w:sz w:val="28"/>
          <w:szCs w:val="28"/>
          <w:lang w:val="en-GB"/>
          <w14:ligatures w14:val="standardContextual"/>
        </w:rPr>
        <w:t>(Exchange, 2024d)</w:t>
      </w:r>
      <w:r w:rsidR="00604CFE" w:rsidRPr="00DB3E05">
        <w:rPr>
          <w:rFonts w:ascii="Arial" w:eastAsiaTheme="minorEastAsia" w:hAnsi="Arial" w:cs="Arial"/>
          <w:color w:val="181818"/>
          <w:sz w:val="28"/>
          <w:szCs w:val="28"/>
          <w:lang w:val="en-GB"/>
          <w14:ligatures w14:val="standardContextual"/>
        </w:rPr>
        <w:fldChar w:fldCharType="end"/>
      </w:r>
    </w:p>
    <w:p w14:paraId="7F5DA1DD" w14:textId="0F970B0C" w:rsidR="00A6385F" w:rsidRPr="00DB3E05" w:rsidRDefault="00A6385F" w:rsidP="00604CFE">
      <w:pPr>
        <w:spacing w:line="360" w:lineRule="auto"/>
        <w:ind w:left="709" w:firstLine="11"/>
        <w:jc w:val="both"/>
        <w:rPr>
          <w:rFonts w:ascii="Arial" w:eastAsiaTheme="minorEastAsia" w:hAnsi="Arial" w:cs="Arial"/>
          <w:color w:val="181818"/>
          <w:sz w:val="28"/>
          <w:szCs w:val="28"/>
          <w:lang w:val="en-GB"/>
          <w14:ligatures w14:val="standardContextual"/>
        </w:rPr>
      </w:pPr>
    </w:p>
    <w:p w14:paraId="66EF76F2" w14:textId="03960CC2" w:rsidR="00A6385F" w:rsidRPr="00DB3E05" w:rsidRDefault="00A6385F" w:rsidP="00A638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eastAsiaTheme="minorEastAsia" w:hAnsi="Arial" w:cs="Arial"/>
          <w:color w:val="181818"/>
          <w:sz w:val="28"/>
          <w:szCs w:val="28"/>
          <w:lang w:val="en-GB"/>
          <w14:ligatures w14:val="standardContextual"/>
        </w:rPr>
        <w:tab/>
      </w:r>
      <w:r w:rsidRPr="00DB3E05">
        <w:rPr>
          <w:rFonts w:ascii="Arial" w:hAnsi="Arial" w:cs="Arial"/>
          <w:color w:val="000000"/>
          <w:sz w:val="28"/>
          <w:szCs w:val="28"/>
        </w:rPr>
        <w:t xml:space="preserve">Companies implemented strategies to improve ESG performance can strengthen their reputation from stakeholders’ perspective and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would be increased accordingly.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p>
    <w:p w14:paraId="10CF1217" w14:textId="0BB2FDDB" w:rsidR="00A6385F" w:rsidRPr="00DB3E05" w:rsidRDefault="00A6385F" w:rsidP="00A6385F">
      <w:pPr>
        <w:spacing w:line="360" w:lineRule="auto"/>
        <w:jc w:val="both"/>
        <w:rPr>
          <w:rFonts w:ascii="Arial" w:eastAsiaTheme="minorEastAsia" w:hAnsi="Arial" w:cs="Arial"/>
          <w:color w:val="181818"/>
          <w:sz w:val="28"/>
          <w:szCs w:val="28"/>
          <w:lang w:val="en-GB"/>
          <w14:ligatures w14:val="standardContextual"/>
        </w:rPr>
      </w:pPr>
    </w:p>
    <w:p w14:paraId="61990EB0" w14:textId="77777777" w:rsidR="003C06F2" w:rsidRPr="00DB3E05" w:rsidRDefault="001C2B95" w:rsidP="003C06F2">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eastAsiaTheme="minorEastAsia" w:hAnsi="Arial" w:cs="Arial"/>
          <w:color w:val="181818"/>
          <w:sz w:val="28"/>
          <w:szCs w:val="28"/>
          <w:lang w:val="en-GB"/>
          <w14:ligatures w14:val="standardContextual"/>
        </w:rPr>
        <w:t xml:space="preserve">It is important for companies to understand what are the key ESG factors can promote ESG performance and corporate performance.  </w:t>
      </w:r>
      <w:r w:rsidR="003C06F2" w:rsidRPr="00DB3E05">
        <w:rPr>
          <w:rFonts w:ascii="Arial" w:hAnsi="Arial" w:cs="Arial"/>
          <w:color w:val="000000"/>
          <w:sz w:val="28"/>
          <w:szCs w:val="28"/>
        </w:rPr>
        <w:fldChar w:fldCharType="begin"/>
      </w:r>
      <w:r w:rsidR="003C06F2"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003C06F2" w:rsidRPr="00DB3E05">
        <w:rPr>
          <w:rFonts w:ascii="Arial" w:hAnsi="Arial" w:cs="Arial"/>
          <w:color w:val="000000"/>
          <w:sz w:val="28"/>
          <w:szCs w:val="28"/>
        </w:rPr>
        <w:fldChar w:fldCharType="separate"/>
      </w:r>
      <w:r w:rsidR="003C06F2" w:rsidRPr="00DB3E05">
        <w:rPr>
          <w:rFonts w:ascii="Arial" w:hAnsi="Arial" w:cs="Arial"/>
          <w:noProof/>
          <w:color w:val="000000"/>
          <w:sz w:val="28"/>
          <w:szCs w:val="28"/>
        </w:rPr>
        <w:t>(DasGupta, 2022)</w:t>
      </w:r>
      <w:r w:rsidR="003C06F2" w:rsidRPr="00DB3E05">
        <w:rPr>
          <w:rFonts w:ascii="Arial" w:hAnsi="Arial" w:cs="Arial"/>
          <w:color w:val="000000"/>
          <w:sz w:val="28"/>
          <w:szCs w:val="28"/>
        </w:rPr>
        <w:fldChar w:fldCharType="end"/>
      </w:r>
    </w:p>
    <w:p w14:paraId="5A7F9E5C" w14:textId="77777777" w:rsidR="001C2B95" w:rsidRPr="00DB3E05" w:rsidRDefault="001C2B95" w:rsidP="001C2B95">
      <w:pPr>
        <w:spacing w:line="360" w:lineRule="auto"/>
        <w:ind w:left="709" w:firstLine="11"/>
        <w:jc w:val="both"/>
        <w:rPr>
          <w:rFonts w:ascii="Arial" w:eastAsiaTheme="minorEastAsia" w:hAnsi="Arial" w:cs="Arial"/>
          <w:color w:val="181818"/>
          <w:sz w:val="28"/>
          <w:szCs w:val="28"/>
          <w:lang w:val="en-GB"/>
          <w14:ligatures w14:val="standardContextual"/>
        </w:rPr>
      </w:pPr>
    </w:p>
    <w:p w14:paraId="6CEB0A4F" w14:textId="51637A0F" w:rsidR="001C2B95" w:rsidRPr="00DB3E05" w:rsidRDefault="001C2B95" w:rsidP="001C2B95">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Although the impact of ESG factors varies significantly among industries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some institution investors would consider ESG data in their investment decision.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p>
    <w:p w14:paraId="6B20F0F1" w14:textId="0988A71C" w:rsidR="0096404F" w:rsidRPr="00DB3E05" w:rsidRDefault="00A6385F" w:rsidP="001C2B95">
      <w:pPr>
        <w:spacing w:line="360" w:lineRule="auto"/>
        <w:ind w:left="709" w:firstLine="11"/>
        <w:jc w:val="both"/>
        <w:rPr>
          <w:rFonts w:ascii="Arial" w:hAnsi="Arial" w:cs="Arial"/>
          <w:b/>
          <w:bCs/>
          <w:color w:val="000000"/>
          <w:sz w:val="28"/>
          <w:szCs w:val="28"/>
        </w:rPr>
      </w:pPr>
      <w:r w:rsidRPr="00DB3E05">
        <w:rPr>
          <w:rFonts w:ascii="Arial" w:hAnsi="Arial" w:cs="Arial"/>
          <w:color w:val="000000"/>
          <w:sz w:val="28"/>
          <w:szCs w:val="28"/>
        </w:rPr>
        <w:tab/>
      </w:r>
    </w:p>
    <w:p w14:paraId="69C84C8D"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1.5</w:t>
      </w:r>
      <w:r w:rsidRPr="00DB3E05">
        <w:rPr>
          <w:rFonts w:ascii="Arial" w:hAnsi="Arial" w:cs="Arial"/>
          <w:b/>
          <w:bCs/>
          <w:color w:val="000000"/>
          <w:sz w:val="28"/>
          <w:szCs w:val="28"/>
        </w:rPr>
        <w:tab/>
        <w:t>Research aims and objectives</w:t>
      </w:r>
      <w:r w:rsidRPr="00DB3E05">
        <w:rPr>
          <w:rFonts w:ascii="Arial" w:hAnsi="Arial" w:cs="Arial"/>
          <w:b/>
          <w:bCs/>
          <w:color w:val="000000"/>
          <w:sz w:val="28"/>
          <w:szCs w:val="28"/>
        </w:rPr>
        <w:tab/>
      </w:r>
    </w:p>
    <w:p w14:paraId="3E0366D8" w14:textId="151D678B" w:rsidR="00A36DE1" w:rsidRPr="00DB3E05" w:rsidRDefault="00A36DE1" w:rsidP="00E848A4">
      <w:pPr>
        <w:spacing w:line="360" w:lineRule="auto"/>
        <w:ind w:left="709" w:firstLine="11"/>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This research </w:t>
      </w:r>
      <w:r w:rsidR="00BC683F">
        <w:rPr>
          <w:rFonts w:ascii="Arial" w:eastAsiaTheme="minorEastAsia" w:hAnsi="Arial" w:cs="Arial"/>
          <w:color w:val="181818"/>
          <w:sz w:val="28"/>
          <w:szCs w:val="28"/>
          <w:lang w:val="en-GB"/>
          <w14:ligatures w14:val="standardContextual"/>
        </w:rPr>
        <w:t xml:space="preserve">is designed to conduct a comprehensive analysis of the existing ESG practices within Hong Kong’s corporate sectors. </w:t>
      </w:r>
      <w:r w:rsidR="00E848A4" w:rsidRPr="00DB3E05">
        <w:rPr>
          <w:rFonts w:ascii="Arial" w:eastAsiaTheme="minorEastAsia" w:hAnsi="Arial" w:cs="Arial"/>
          <w:color w:val="181818"/>
          <w:sz w:val="28"/>
          <w:szCs w:val="28"/>
          <w:lang w:val="en-GB"/>
          <w14:ligatures w14:val="standardContextual"/>
        </w:rPr>
        <w:t xml:space="preserve">The objectives of this research are to study the effect of board characteristics on ESG performance of listed companies, the relationship between ESG performance and </w:t>
      </w:r>
      <w:r w:rsidR="008B6175">
        <w:rPr>
          <w:rFonts w:ascii="Arial" w:eastAsiaTheme="minorEastAsia" w:hAnsi="Arial" w:cs="Arial"/>
          <w:color w:val="181818"/>
          <w:sz w:val="28"/>
          <w:szCs w:val="28"/>
          <w:lang w:val="en-GB"/>
          <w14:ligatures w14:val="standardContextual"/>
        </w:rPr>
        <w:t>corporate valuations</w:t>
      </w:r>
      <w:r w:rsidR="00E848A4" w:rsidRPr="00DB3E05">
        <w:rPr>
          <w:rFonts w:ascii="Arial" w:eastAsiaTheme="minorEastAsia" w:hAnsi="Arial" w:cs="Arial"/>
          <w:color w:val="181818"/>
          <w:sz w:val="28"/>
          <w:szCs w:val="28"/>
          <w:lang w:val="en-GB"/>
          <w14:ligatures w14:val="standardContextual"/>
        </w:rPr>
        <w:t xml:space="preserve"> and the impact of ESG factors on investment decision.  </w:t>
      </w:r>
      <w:r w:rsidRPr="00DB3E05">
        <w:rPr>
          <w:rFonts w:ascii="Arial" w:eastAsiaTheme="minorEastAsia" w:hAnsi="Arial" w:cs="Arial"/>
          <w:color w:val="181818"/>
          <w:sz w:val="28"/>
          <w:szCs w:val="28"/>
          <w:lang w:val="en-GB"/>
          <w14:ligatures w14:val="standardContextual"/>
        </w:rPr>
        <w:t xml:space="preserve">All these practices </w:t>
      </w:r>
      <w:r w:rsidRPr="00DB3E05">
        <w:rPr>
          <w:rFonts w:ascii="Arial" w:eastAsiaTheme="minorEastAsia" w:hAnsi="Arial" w:cs="Arial"/>
          <w:color w:val="181818"/>
          <w:sz w:val="28"/>
          <w:szCs w:val="28"/>
          <w:lang w:val="en-GB"/>
          <w14:ligatures w14:val="standardContextual"/>
        </w:rPr>
        <w:lastRenderedPageBreak/>
        <w:t xml:space="preserve">may contribute to the improvement on </w:t>
      </w:r>
      <w:r w:rsidR="001C2B95" w:rsidRPr="00DB3E05">
        <w:rPr>
          <w:rFonts w:ascii="Arial" w:eastAsiaTheme="minorEastAsia" w:hAnsi="Arial" w:cs="Arial"/>
          <w:color w:val="181818"/>
          <w:sz w:val="28"/>
          <w:szCs w:val="28"/>
          <w:lang w:val="en-GB"/>
          <w14:ligatures w14:val="standardContextual"/>
        </w:rPr>
        <w:t>ESG</w:t>
      </w:r>
      <w:r w:rsidRPr="00DB3E05">
        <w:rPr>
          <w:rFonts w:ascii="Arial" w:eastAsiaTheme="minorEastAsia" w:hAnsi="Arial" w:cs="Arial"/>
          <w:color w:val="181818"/>
          <w:sz w:val="28"/>
          <w:szCs w:val="28"/>
          <w:lang w:val="en-GB"/>
          <w14:ligatures w14:val="standardContextual"/>
        </w:rPr>
        <w:t xml:space="preserve"> performance</w:t>
      </w:r>
      <w:r w:rsidR="001C2B95" w:rsidRPr="00DB3E05">
        <w:rPr>
          <w:rFonts w:ascii="Arial" w:eastAsiaTheme="minorEastAsia" w:hAnsi="Arial" w:cs="Arial"/>
          <w:color w:val="181818"/>
          <w:sz w:val="28"/>
          <w:szCs w:val="28"/>
          <w:lang w:val="en-GB"/>
          <w14:ligatures w14:val="standardContextual"/>
        </w:rPr>
        <w:t xml:space="preserve">, </w:t>
      </w:r>
      <w:r w:rsidR="008B6175">
        <w:rPr>
          <w:rFonts w:ascii="Arial" w:eastAsiaTheme="minorEastAsia" w:hAnsi="Arial" w:cs="Arial"/>
          <w:color w:val="181818"/>
          <w:sz w:val="28"/>
          <w:szCs w:val="28"/>
          <w:lang w:val="en-GB"/>
          <w14:ligatures w14:val="standardContextual"/>
        </w:rPr>
        <w:t>corporate valuations</w:t>
      </w:r>
      <w:r w:rsidR="001C2B95" w:rsidRPr="00DB3E05">
        <w:rPr>
          <w:rFonts w:ascii="Arial" w:eastAsiaTheme="minorEastAsia" w:hAnsi="Arial" w:cs="Arial"/>
          <w:color w:val="181818"/>
          <w:sz w:val="28"/>
          <w:szCs w:val="28"/>
          <w:lang w:val="en-GB"/>
          <w14:ligatures w14:val="standardContextual"/>
        </w:rPr>
        <w:t xml:space="preserve"> and investment values</w:t>
      </w:r>
      <w:r w:rsidRPr="00DB3E05">
        <w:rPr>
          <w:rFonts w:ascii="Arial" w:eastAsiaTheme="minorEastAsia" w:hAnsi="Arial" w:cs="Arial"/>
          <w:color w:val="181818"/>
          <w:sz w:val="28"/>
          <w:szCs w:val="28"/>
          <w:lang w:val="en-GB"/>
          <w14:ligatures w14:val="standardContextual"/>
        </w:rPr>
        <w:t xml:space="preserve"> of listed companies in Hong Kong.   </w:t>
      </w:r>
    </w:p>
    <w:p w14:paraId="4A9D2944" w14:textId="77777777" w:rsidR="001C2B95" w:rsidRPr="00DB3E05" w:rsidRDefault="001C2B95" w:rsidP="0096404F">
      <w:pPr>
        <w:spacing w:line="360" w:lineRule="auto"/>
        <w:rPr>
          <w:rFonts w:ascii="Arial" w:hAnsi="Arial" w:cs="Arial"/>
          <w:b/>
          <w:bCs/>
          <w:color w:val="000000"/>
          <w:sz w:val="28"/>
          <w:szCs w:val="28"/>
        </w:rPr>
      </w:pPr>
    </w:p>
    <w:p w14:paraId="03B4D7B3" w14:textId="331E7B39" w:rsidR="00E373B0" w:rsidRPr="00DB3E05" w:rsidRDefault="00E373B0" w:rsidP="00E373B0">
      <w:pPr>
        <w:spacing w:line="360" w:lineRule="auto"/>
        <w:ind w:left="709" w:firstLine="11"/>
        <w:jc w:val="both"/>
        <w:rPr>
          <w:rFonts w:ascii="Arial" w:hAnsi="Arial" w:cs="Arial"/>
          <w:color w:val="000000"/>
          <w:sz w:val="28"/>
          <w:szCs w:val="28"/>
        </w:rPr>
      </w:pPr>
      <w:r w:rsidRPr="00DB3E05">
        <w:rPr>
          <w:rFonts w:ascii="Arial" w:hAnsi="Arial" w:cs="Arial"/>
          <w:color w:val="000000"/>
          <w:sz w:val="28"/>
          <w:szCs w:val="28"/>
        </w:rPr>
        <w:t xml:space="preserve">The study of </w:t>
      </w:r>
      <w:r w:rsidR="001C2B95" w:rsidRPr="00DB3E05">
        <w:rPr>
          <w:rFonts w:ascii="Arial" w:hAnsi="Arial" w:cs="Arial"/>
          <w:color w:val="000000"/>
          <w:sz w:val="28"/>
          <w:szCs w:val="28"/>
        </w:rPr>
        <w:fldChar w:fldCharType="begin"/>
      </w:r>
      <w:r w:rsidR="001C2B95"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1C2B95" w:rsidRPr="00DB3E05">
        <w:rPr>
          <w:rFonts w:ascii="Arial" w:hAnsi="Arial" w:cs="Arial"/>
          <w:color w:val="000000"/>
          <w:sz w:val="28"/>
          <w:szCs w:val="28"/>
        </w:rPr>
        <w:fldChar w:fldCharType="separate"/>
      </w:r>
      <w:r w:rsidR="001C2B95" w:rsidRPr="00DB3E05">
        <w:rPr>
          <w:rFonts w:ascii="Arial" w:hAnsi="Arial" w:cs="Arial"/>
          <w:noProof/>
          <w:color w:val="000000"/>
          <w:sz w:val="28"/>
          <w:szCs w:val="28"/>
        </w:rPr>
        <w:t>(Leung, 2024)</w:t>
      </w:r>
      <w:r w:rsidR="001C2B95" w:rsidRPr="00DB3E05">
        <w:rPr>
          <w:rFonts w:ascii="Arial" w:hAnsi="Arial" w:cs="Arial"/>
          <w:color w:val="000000"/>
          <w:sz w:val="28"/>
          <w:szCs w:val="28"/>
        </w:rPr>
        <w:fldChar w:fldCharType="end"/>
      </w:r>
      <w:r w:rsidRPr="00DB3E05">
        <w:rPr>
          <w:rFonts w:ascii="Arial" w:hAnsi="Arial" w:cs="Arial"/>
          <w:color w:val="000000"/>
          <w:sz w:val="28"/>
          <w:szCs w:val="28"/>
        </w:rPr>
        <w:t xml:space="preserve"> focus</w:t>
      </w:r>
      <w:r w:rsidR="008218D6" w:rsidRPr="00DB3E05">
        <w:rPr>
          <w:rFonts w:ascii="Arial" w:hAnsi="Arial" w:cs="Arial"/>
          <w:color w:val="000000"/>
          <w:sz w:val="28"/>
          <w:szCs w:val="28"/>
        </w:rPr>
        <w:t>es</w:t>
      </w:r>
      <w:r w:rsidRPr="00DB3E05">
        <w:rPr>
          <w:rFonts w:ascii="Arial" w:hAnsi="Arial" w:cs="Arial"/>
          <w:color w:val="000000"/>
          <w:sz w:val="28"/>
          <w:szCs w:val="28"/>
        </w:rPr>
        <w:t xml:space="preserve"> on</w:t>
      </w:r>
      <w:r w:rsidR="00D44FF6" w:rsidRPr="00DB3E05">
        <w:rPr>
          <w:rFonts w:ascii="Arial" w:hAnsi="Arial" w:cs="Arial"/>
          <w:color w:val="000000"/>
          <w:sz w:val="28"/>
          <w:szCs w:val="28"/>
        </w:rPr>
        <w:t xml:space="preserve"> the </w:t>
      </w:r>
      <w:r w:rsidRPr="00DB3E05">
        <w:rPr>
          <w:rFonts w:ascii="Arial" w:hAnsi="Arial" w:cs="Arial"/>
          <w:color w:val="000000"/>
          <w:sz w:val="28"/>
          <w:szCs w:val="28"/>
        </w:rPr>
        <w:t xml:space="preserve">impacts of board attributes on ESG performance and the impacts of ESG performance on corporate </w:t>
      </w:r>
      <w:r w:rsidRPr="00DB3E05">
        <w:rPr>
          <w:rFonts w:ascii="Arial" w:hAnsi="Arial" w:cs="Arial"/>
          <w:color w:val="000000"/>
          <w:sz w:val="28"/>
          <w:szCs w:val="28"/>
        </w:rPr>
        <w:tab/>
        <w:t xml:space="preserve">values.  </w:t>
      </w:r>
      <w:r w:rsidR="008162F5" w:rsidRPr="00DB3E05">
        <w:rPr>
          <w:rFonts w:ascii="Arial" w:hAnsi="Arial" w:cs="Arial"/>
          <w:color w:val="000000"/>
          <w:sz w:val="28"/>
          <w:szCs w:val="28"/>
        </w:rPr>
        <w:t xml:space="preserve"> </w:t>
      </w:r>
      <w:r w:rsidR="00E04CBA" w:rsidRPr="00DB3E05">
        <w:rPr>
          <w:rFonts w:ascii="Arial" w:hAnsi="Arial" w:cs="Arial"/>
          <w:color w:val="000000"/>
          <w:sz w:val="28"/>
          <w:szCs w:val="28"/>
        </w:rPr>
        <w:fldChar w:fldCharType="begin"/>
      </w:r>
      <w:r w:rsidR="00E04CBA"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E04CBA" w:rsidRPr="00DB3E05">
        <w:rPr>
          <w:rFonts w:ascii="Arial" w:hAnsi="Arial" w:cs="Arial"/>
          <w:color w:val="000000"/>
          <w:sz w:val="28"/>
          <w:szCs w:val="28"/>
        </w:rPr>
        <w:fldChar w:fldCharType="separate"/>
      </w:r>
      <w:r w:rsidR="00E04CBA" w:rsidRPr="00DB3E05">
        <w:rPr>
          <w:rFonts w:ascii="Arial" w:hAnsi="Arial" w:cs="Arial"/>
          <w:noProof/>
          <w:color w:val="000000"/>
          <w:sz w:val="28"/>
          <w:szCs w:val="28"/>
        </w:rPr>
        <w:t>(Leung, 2024)</w:t>
      </w:r>
      <w:r w:rsidR="00E04CBA" w:rsidRPr="00DB3E05">
        <w:rPr>
          <w:rFonts w:ascii="Arial" w:hAnsi="Arial" w:cs="Arial"/>
          <w:color w:val="000000"/>
          <w:sz w:val="28"/>
          <w:szCs w:val="28"/>
        </w:rPr>
        <w:fldChar w:fldCharType="end"/>
      </w:r>
      <w:r w:rsidR="00E04CBA" w:rsidRPr="00DB3E05">
        <w:rPr>
          <w:rFonts w:ascii="Arial" w:hAnsi="Arial" w:cs="Arial"/>
          <w:color w:val="000000"/>
          <w:sz w:val="28"/>
          <w:szCs w:val="28"/>
        </w:rPr>
        <w:t xml:space="preserve"> used quantitative method in his study that utilised data from 2020 and 2021 during COVID-19 pandemic.  The incorporation of qualitive approach </w:t>
      </w:r>
      <w:r w:rsidR="00CA5099" w:rsidRPr="00DB3E05">
        <w:rPr>
          <w:rFonts w:ascii="Arial" w:hAnsi="Arial" w:cs="Arial"/>
          <w:color w:val="000000"/>
          <w:sz w:val="28"/>
          <w:szCs w:val="28"/>
        </w:rPr>
        <w:t xml:space="preserve">may provide a more comprehensive understanding of the situation. </w:t>
      </w:r>
      <w:r w:rsidR="003C06F2" w:rsidRPr="00DB3E05">
        <w:rPr>
          <w:rFonts w:ascii="Arial" w:hAnsi="Arial" w:cs="Arial"/>
          <w:color w:val="000000"/>
          <w:sz w:val="28"/>
          <w:szCs w:val="28"/>
        </w:rPr>
        <w:fldChar w:fldCharType="begin"/>
      </w:r>
      <w:r w:rsidR="003C06F2" w:rsidRPr="00DB3E05">
        <w:rPr>
          <w:rFonts w:ascii="Arial" w:hAnsi="Arial" w:cs="Arial"/>
          <w:color w:val="000000"/>
          <w:sz w:val="28"/>
          <w:szCs w:val="28"/>
        </w:rPr>
        <w:instrText xml:space="preserve"> ADDIN EN.CITE &lt;EndNote&gt;&lt;Cite&gt;&lt;Author&gt;Johnson&lt;/Author&gt;&lt;Year&gt;2019&lt;/Year&gt;&lt;RecNum&gt;72&lt;/RecNum&gt;&lt;DisplayText&gt;(Johnson and Christensen, 2019)&lt;/DisplayText&gt;&lt;record&gt;&lt;rec-number&gt;72&lt;/rec-number&gt;&lt;foreign-keys&gt;&lt;key app="EN" db-id="0vtwt0xdiepatveerwsxw55izapvzd0d0v5w" timestamp="1721520864" guid="17244c90-c412-4aba-9a52-901981a2745c"&gt;72&lt;/key&gt;&lt;/foreign-keys&gt;&lt;ref-type name="Book"&gt;6&lt;/ref-type&gt;&lt;contributors&gt;&lt;authors&gt;&lt;author&gt;Johnson, R Burke&lt;/author&gt;&lt;author&gt;Christensen, Larry&lt;/author&gt;&lt;/authors&gt;&lt;/contributors&gt;&lt;titles&gt;&lt;title&gt;Educational research: Quantitative, qualitative, and mixed approaches&lt;/title&gt;&lt;/titles&gt;&lt;dates&gt;&lt;year&gt;2019&lt;/year&gt;&lt;/dates&gt;&lt;publisher&gt;Sage publications&lt;/publisher&gt;&lt;isbn&gt;154433785X&lt;/isbn&gt;&lt;urls&gt;&lt;/urls&gt;&lt;/record&gt;&lt;/Cite&gt;&lt;/EndNote&gt;</w:instrText>
      </w:r>
      <w:r w:rsidR="003C06F2" w:rsidRPr="00DB3E05">
        <w:rPr>
          <w:rFonts w:ascii="Arial" w:hAnsi="Arial" w:cs="Arial"/>
          <w:color w:val="000000"/>
          <w:sz w:val="28"/>
          <w:szCs w:val="28"/>
        </w:rPr>
        <w:fldChar w:fldCharType="separate"/>
      </w:r>
      <w:r w:rsidR="003C06F2" w:rsidRPr="00DB3E05">
        <w:rPr>
          <w:rFonts w:ascii="Arial" w:hAnsi="Arial" w:cs="Arial"/>
          <w:noProof/>
          <w:color w:val="000000"/>
          <w:sz w:val="28"/>
          <w:szCs w:val="28"/>
        </w:rPr>
        <w:t>(Johnson and Christensen, 2019)</w:t>
      </w:r>
      <w:r w:rsidR="003C06F2" w:rsidRPr="00DB3E05">
        <w:rPr>
          <w:rFonts w:ascii="Arial" w:hAnsi="Arial" w:cs="Arial"/>
          <w:color w:val="000000"/>
          <w:sz w:val="28"/>
          <w:szCs w:val="28"/>
        </w:rPr>
        <w:fldChar w:fldCharType="end"/>
      </w:r>
      <w:r w:rsidR="007D5069" w:rsidRPr="00DB3E05">
        <w:rPr>
          <w:rFonts w:ascii="Arial" w:hAnsi="Arial" w:cs="Arial"/>
          <w:color w:val="000000"/>
          <w:sz w:val="28"/>
          <w:szCs w:val="28"/>
        </w:rPr>
        <w:t xml:space="preserve">.  </w:t>
      </w:r>
    </w:p>
    <w:p w14:paraId="7940526C" w14:textId="77777777" w:rsidR="00CA5099" w:rsidRPr="00DB3E05" w:rsidRDefault="00CA5099" w:rsidP="00E373B0">
      <w:pPr>
        <w:spacing w:line="360" w:lineRule="auto"/>
        <w:ind w:left="709" w:firstLine="11"/>
        <w:jc w:val="both"/>
        <w:rPr>
          <w:rFonts w:ascii="Arial" w:hAnsi="Arial" w:cs="Arial"/>
          <w:color w:val="000000"/>
          <w:sz w:val="28"/>
          <w:szCs w:val="28"/>
        </w:rPr>
      </w:pPr>
    </w:p>
    <w:p w14:paraId="7272C96A" w14:textId="4CDBE7C4" w:rsidR="00E373B0" w:rsidRPr="00DB3E05" w:rsidRDefault="00E373B0" w:rsidP="00E373B0">
      <w:pPr>
        <w:spacing w:line="360" w:lineRule="auto"/>
        <w:ind w:left="720"/>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focuses on the impact of female directors on corporate value, specifically examining Taiwanese financial companies and Chinese banks. This study highlights how female directors contribute to corporate governance and performance in the Taiwanese and Chinese context. However, </w:t>
      </w:r>
      <w:r w:rsidR="007D5069"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does not extend to Hong Kong, leaving an unexplored area in terms of gender diversity on boards within this region.</w:t>
      </w:r>
    </w:p>
    <w:p w14:paraId="4F064995" w14:textId="77777777" w:rsidR="00875A10" w:rsidRPr="00DB3E05" w:rsidRDefault="00875A10" w:rsidP="0096404F">
      <w:pPr>
        <w:spacing w:line="360" w:lineRule="auto"/>
        <w:rPr>
          <w:rFonts w:ascii="Arial" w:hAnsi="Arial" w:cs="Arial"/>
          <w:color w:val="000000"/>
          <w:sz w:val="28"/>
          <w:szCs w:val="28"/>
        </w:rPr>
      </w:pPr>
    </w:p>
    <w:p w14:paraId="5E034A90"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1.6</w:t>
      </w:r>
      <w:r w:rsidRPr="00DB3E05">
        <w:rPr>
          <w:rFonts w:ascii="Arial" w:hAnsi="Arial" w:cs="Arial"/>
          <w:b/>
          <w:bCs/>
          <w:color w:val="000000"/>
          <w:sz w:val="28"/>
          <w:szCs w:val="28"/>
        </w:rPr>
        <w:tab/>
        <w:t>Research questions and hypotheses</w:t>
      </w:r>
      <w:r w:rsidRPr="00DB3E05">
        <w:rPr>
          <w:rFonts w:ascii="Arial" w:hAnsi="Arial" w:cs="Arial"/>
          <w:b/>
          <w:bCs/>
          <w:color w:val="000000"/>
          <w:sz w:val="28"/>
          <w:szCs w:val="28"/>
        </w:rPr>
        <w:tab/>
      </w:r>
    </w:p>
    <w:p w14:paraId="76CBDF2D" w14:textId="495CDB9A" w:rsidR="00D44FF6" w:rsidRPr="00DB3E05" w:rsidRDefault="003C06F2" w:rsidP="00B2798A">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To address the research aims and objectives above, the</w:t>
      </w:r>
      <w:r w:rsidR="00D44FF6" w:rsidRPr="00DB3E05">
        <w:rPr>
          <w:rFonts w:ascii="Arial" w:hAnsi="Arial" w:cs="Arial"/>
          <w:color w:val="000000"/>
          <w:sz w:val="28"/>
          <w:szCs w:val="28"/>
        </w:rPr>
        <w:t xml:space="preserve"> following </w:t>
      </w:r>
      <w:r w:rsidRPr="00DB3E05">
        <w:rPr>
          <w:rFonts w:ascii="Arial" w:hAnsi="Arial" w:cs="Arial"/>
          <w:color w:val="000000"/>
          <w:sz w:val="28"/>
          <w:szCs w:val="28"/>
        </w:rPr>
        <w:t>research questions and h</w:t>
      </w:r>
      <w:r w:rsidR="00D44FF6" w:rsidRPr="00DB3E05">
        <w:rPr>
          <w:rFonts w:ascii="Arial" w:hAnsi="Arial" w:cs="Arial"/>
          <w:color w:val="000000"/>
          <w:sz w:val="28"/>
          <w:szCs w:val="28"/>
        </w:rPr>
        <w:t>ypothes</w:t>
      </w:r>
      <w:r w:rsidRPr="00DB3E05">
        <w:rPr>
          <w:rFonts w:ascii="Arial" w:hAnsi="Arial" w:cs="Arial"/>
          <w:color w:val="000000"/>
          <w:sz w:val="28"/>
          <w:szCs w:val="28"/>
        </w:rPr>
        <w:t>e</w:t>
      </w:r>
      <w:r w:rsidR="00D44FF6" w:rsidRPr="00DB3E05">
        <w:rPr>
          <w:rFonts w:ascii="Arial" w:hAnsi="Arial" w:cs="Arial"/>
          <w:color w:val="000000"/>
          <w:sz w:val="28"/>
          <w:szCs w:val="28"/>
        </w:rPr>
        <w:t xml:space="preserve">s are developed in this research by reference to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(Leung, 2024)</w:t>
      </w:r>
      <w:r w:rsidRPr="00DB3E05">
        <w:rPr>
          <w:rFonts w:ascii="Arial" w:hAnsi="Arial" w:cs="Arial"/>
          <w:color w:val="000000"/>
          <w:sz w:val="28"/>
          <w:szCs w:val="28"/>
        </w:rPr>
        <w:fldChar w:fldCharType="end"/>
      </w:r>
      <w:r w:rsidR="003C6D94" w:rsidRPr="00DB3E05">
        <w:rPr>
          <w:rFonts w:ascii="Arial" w:hAnsi="Arial" w:cs="Arial"/>
          <w:color w:val="000000"/>
          <w:sz w:val="28"/>
          <w:szCs w:val="28"/>
        </w:rPr>
        <w:t>,</w:t>
      </w:r>
      <w:r w:rsidR="00B2798A" w:rsidRPr="00DB3E05">
        <w:rPr>
          <w:rFonts w:ascii="Arial" w:hAnsi="Arial" w:cs="Arial"/>
          <w:color w:val="000000"/>
          <w:sz w:val="28"/>
          <w:szCs w:val="28"/>
        </w:rPr>
        <w:t xml:space="preserve"> </w:t>
      </w:r>
      <w:r w:rsidR="00B2798A" w:rsidRPr="00DB3E05">
        <w:rPr>
          <w:rFonts w:ascii="Arial" w:hAnsi="Arial" w:cs="Arial"/>
          <w:color w:val="000000"/>
          <w:sz w:val="28"/>
          <w:szCs w:val="28"/>
        </w:rPr>
        <w:fldChar w:fldCharType="begin"/>
      </w:r>
      <w:r w:rsidR="00B2798A"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00B2798A" w:rsidRPr="00DB3E05">
        <w:rPr>
          <w:rFonts w:ascii="Arial" w:hAnsi="Arial" w:cs="Arial"/>
          <w:color w:val="000000"/>
          <w:sz w:val="28"/>
          <w:szCs w:val="28"/>
        </w:rPr>
        <w:fldChar w:fldCharType="separate"/>
      </w:r>
      <w:r w:rsidR="00B2798A" w:rsidRPr="00DB3E05">
        <w:rPr>
          <w:rFonts w:ascii="Arial" w:hAnsi="Arial" w:cs="Arial"/>
          <w:noProof/>
          <w:color w:val="000000"/>
          <w:sz w:val="28"/>
          <w:szCs w:val="28"/>
        </w:rPr>
        <w:t>(Zhou et al., 2022)</w:t>
      </w:r>
      <w:r w:rsidR="00B2798A" w:rsidRPr="00DB3E05">
        <w:rPr>
          <w:rFonts w:ascii="Arial" w:hAnsi="Arial" w:cs="Arial"/>
          <w:color w:val="000000"/>
          <w:sz w:val="28"/>
          <w:szCs w:val="28"/>
        </w:rPr>
        <w:fldChar w:fldCharType="end"/>
      </w:r>
      <w:r w:rsidR="00B2798A" w:rsidRPr="00DB3E05">
        <w:rPr>
          <w:rFonts w:ascii="Arial" w:hAnsi="Arial" w:cs="Arial"/>
          <w:color w:val="000000"/>
          <w:sz w:val="28"/>
          <w:szCs w:val="28"/>
        </w:rPr>
        <w:t>,</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003424A6" w:rsidRPr="00DB3E05">
        <w:rPr>
          <w:rFonts w:ascii="Arial" w:hAnsi="Arial" w:cs="Arial"/>
          <w:color w:val="000000"/>
          <w:sz w:val="28"/>
          <w:szCs w:val="28"/>
        </w:rPr>
        <w:t xml:space="preserve">, </w:t>
      </w:r>
      <w:r w:rsidR="003424A6" w:rsidRPr="00DB3E05">
        <w:rPr>
          <w:rFonts w:ascii="Arial" w:hAnsi="Arial" w:cs="Arial"/>
          <w:color w:val="000000"/>
          <w:sz w:val="28"/>
          <w:szCs w:val="28"/>
        </w:rPr>
        <w:fldChar w:fldCharType="begin"/>
      </w:r>
      <w:r w:rsidR="005022AA" w:rsidRPr="00DB3E05">
        <w:rPr>
          <w:rFonts w:ascii="Arial" w:hAnsi="Arial" w:cs="Arial"/>
          <w:color w:val="000000"/>
          <w:sz w:val="28"/>
          <w:szCs w:val="28"/>
        </w:rPr>
        <w:instrText xml:space="preserve"> ADDIN EN.CITE &lt;EndNote&gt;&lt;Cite&gt;&lt;Author&gt;Sultana&lt;/Author&gt;&lt;Year&gt;2018&lt;/Year&gt;&lt;RecNum&gt;73&lt;/RecNum&gt;&lt;DisplayText&gt;(Sultana et al., 2018)&lt;/DisplayText&gt;&lt;record&gt;&lt;rec-number&gt;73&lt;/rec-number&gt;&lt;foreign-keys&gt;&lt;key app="EN" db-id="0vtwt0xdiepatveerwsxw55izapvzd0d0v5w" timestamp="1721523635" guid="7dfb58f8-79b6-4b21-8c66-17a3b8f905e0"&gt;73&lt;/key&gt;&lt;/foreign-keys&gt;&lt;ref-type name="Journal Article"&gt;17&lt;/ref-type&gt;&lt;contributors&gt;&lt;authors&gt;&lt;author&gt;Sultana, Sayema&lt;/author&gt;&lt;author&gt;Zulkifli, Norhayah&lt;/author&gt;&lt;author&gt;Zainal, Dalilawati&lt;/author&gt;&lt;/authors&gt;&lt;/contributors&gt;&lt;titles&gt;&lt;title&gt;Environmental, social and governance (ESG) and investment decision in Bangladesh&lt;/title&gt;&lt;secondary-title&gt;Sustainability&lt;/secondary-title&gt;&lt;/titles&gt;&lt;periodical&gt;&lt;full-title&gt;Sustainability&lt;/full-title&gt;&lt;/periodical&gt;&lt;pages&gt;1831&lt;/pages&gt;&lt;volume&gt;10&lt;/volume&gt;&lt;number&gt;6&lt;/number&gt;&lt;dates&gt;&lt;year&gt;2018&lt;/year&gt;&lt;/dates&gt;&lt;isbn&gt;2071-1050&lt;/isbn&gt;&lt;urls&gt;&lt;/urls&gt;&lt;/record&gt;&lt;/Cite&gt;&lt;/EndNote&gt;</w:instrText>
      </w:r>
      <w:r w:rsidR="003424A6" w:rsidRPr="00DB3E05">
        <w:rPr>
          <w:rFonts w:ascii="Arial" w:hAnsi="Arial" w:cs="Arial"/>
          <w:color w:val="000000"/>
          <w:sz w:val="28"/>
          <w:szCs w:val="28"/>
        </w:rPr>
        <w:fldChar w:fldCharType="separate"/>
      </w:r>
      <w:r w:rsidR="003424A6" w:rsidRPr="00DB3E05">
        <w:rPr>
          <w:rFonts w:ascii="Arial" w:hAnsi="Arial" w:cs="Arial"/>
          <w:noProof/>
          <w:color w:val="000000"/>
          <w:sz w:val="28"/>
          <w:szCs w:val="28"/>
        </w:rPr>
        <w:t>(Sultana et al., 2018)</w:t>
      </w:r>
      <w:r w:rsidR="003424A6" w:rsidRPr="00DB3E05">
        <w:rPr>
          <w:rFonts w:ascii="Arial" w:hAnsi="Arial" w:cs="Arial"/>
          <w:color w:val="000000"/>
          <w:sz w:val="28"/>
          <w:szCs w:val="28"/>
        </w:rPr>
        <w:fldChar w:fldCharType="end"/>
      </w:r>
      <w:r w:rsidR="003C6D94" w:rsidRPr="00DB3E05">
        <w:rPr>
          <w:rFonts w:ascii="Arial" w:hAnsi="Arial" w:cs="Arial"/>
          <w:color w:val="000000"/>
          <w:sz w:val="28"/>
          <w:szCs w:val="28"/>
        </w:rPr>
        <w:t xml:space="preserve"> and </w:t>
      </w:r>
      <w:r w:rsidR="007D5069" w:rsidRPr="00DB3E05">
        <w:rPr>
          <w:rFonts w:ascii="Arial" w:hAnsi="Arial" w:cs="Arial"/>
          <w:color w:val="000000"/>
          <w:sz w:val="28"/>
          <w:szCs w:val="28"/>
        </w:rPr>
        <w:t>the consultation on corporate governance issued by the Stock Exchange in June 2024</w:t>
      </w:r>
      <w:r w:rsidR="00647AAF" w:rsidRPr="00DB3E05">
        <w:rPr>
          <w:rFonts w:ascii="Arial" w:hAnsi="Arial" w:cs="Arial"/>
          <w:color w:val="000000"/>
          <w:sz w:val="28"/>
          <w:szCs w:val="28"/>
        </w:rPr>
        <w:t xml:space="preserve"> </w:t>
      </w:r>
      <w:r w:rsidR="00647AAF" w:rsidRPr="00DB3E05">
        <w:rPr>
          <w:rFonts w:ascii="Arial" w:hAnsi="Arial" w:cs="Arial"/>
          <w:color w:val="000000"/>
          <w:sz w:val="28"/>
          <w:szCs w:val="28"/>
        </w:rPr>
        <w:fldChar w:fldCharType="begin"/>
      </w:r>
      <w:r w:rsidR="00EF4A43">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sidR="00647AAF" w:rsidRPr="00DB3E05">
        <w:rPr>
          <w:rFonts w:ascii="Arial" w:hAnsi="Arial" w:cs="Arial"/>
          <w:color w:val="000000"/>
          <w:sz w:val="28"/>
          <w:szCs w:val="28"/>
        </w:rPr>
        <w:fldChar w:fldCharType="separate"/>
      </w:r>
      <w:r w:rsidR="00EF4A43">
        <w:rPr>
          <w:rFonts w:ascii="Arial" w:hAnsi="Arial" w:cs="Arial"/>
          <w:noProof/>
          <w:color w:val="000000"/>
          <w:sz w:val="28"/>
          <w:szCs w:val="28"/>
        </w:rPr>
        <w:t>(Exchange, 2024b)</w:t>
      </w:r>
      <w:r w:rsidR="00647AAF" w:rsidRPr="00DB3E05">
        <w:rPr>
          <w:rFonts w:ascii="Arial" w:hAnsi="Arial" w:cs="Arial"/>
          <w:color w:val="000000"/>
          <w:sz w:val="28"/>
          <w:szCs w:val="28"/>
        </w:rPr>
        <w:fldChar w:fldCharType="end"/>
      </w:r>
      <w:r w:rsidRPr="00DB3E05">
        <w:rPr>
          <w:rFonts w:ascii="Arial" w:hAnsi="Arial" w:cs="Arial"/>
          <w:color w:val="000000"/>
          <w:sz w:val="28"/>
          <w:szCs w:val="28"/>
        </w:rPr>
        <w:t>:</w:t>
      </w:r>
    </w:p>
    <w:p w14:paraId="6AF70E9F" w14:textId="77777777" w:rsidR="0096404F" w:rsidRPr="00DB3E05" w:rsidRDefault="0096404F" w:rsidP="0096404F">
      <w:pPr>
        <w:spacing w:line="360" w:lineRule="auto"/>
        <w:ind w:left="709"/>
        <w:jc w:val="both"/>
        <w:rPr>
          <w:rFonts w:ascii="Arial" w:eastAsiaTheme="minorEastAsia" w:hAnsi="Arial" w:cs="Arial"/>
          <w:color w:val="181818"/>
          <w:sz w:val="28"/>
          <w:szCs w:val="28"/>
          <w14:ligatures w14:val="standardContextual"/>
        </w:rPr>
      </w:pPr>
    </w:p>
    <w:p w14:paraId="16B1A294" w14:textId="77777777" w:rsidR="00860923" w:rsidRDefault="00860923">
      <w:pPr>
        <w:rPr>
          <w:rFonts w:ascii="Arial" w:eastAsiaTheme="minorEastAsia" w:hAnsi="Arial" w:cs="Arial"/>
          <w:i/>
          <w:iCs/>
          <w:color w:val="181818"/>
          <w:sz w:val="28"/>
          <w:szCs w:val="28"/>
          <w:u w:val="single"/>
          <w:lang w:val="en-GB"/>
          <w14:ligatures w14:val="standardContextual"/>
        </w:rPr>
      </w:pPr>
      <w:r>
        <w:rPr>
          <w:rFonts w:ascii="Arial" w:eastAsiaTheme="minorEastAsia" w:hAnsi="Arial" w:cs="Arial"/>
          <w:i/>
          <w:iCs/>
          <w:color w:val="181818"/>
          <w:sz w:val="28"/>
          <w:szCs w:val="28"/>
          <w:u w:val="single"/>
          <w:lang w:val="en-GB"/>
          <w14:ligatures w14:val="standardContextual"/>
        </w:rPr>
        <w:br w:type="page"/>
      </w:r>
    </w:p>
    <w:p w14:paraId="521DD1CA" w14:textId="48C3B2DD" w:rsidR="003C6D94" w:rsidRPr="00DB3E05" w:rsidRDefault="0096404F"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lastRenderedPageBreak/>
        <w:t>Research question 1:</w:t>
      </w:r>
      <w:r w:rsidR="003C6D94" w:rsidRPr="00DB3E05">
        <w:rPr>
          <w:rFonts w:ascii="Arial" w:eastAsiaTheme="minorEastAsia" w:hAnsi="Arial" w:cs="Arial"/>
          <w:i/>
          <w:iCs/>
          <w:color w:val="181818"/>
          <w:sz w:val="28"/>
          <w:szCs w:val="28"/>
          <w:u w:val="single"/>
          <w:lang w:val="en-GB"/>
          <w14:ligatures w14:val="standardContextual"/>
        </w:rPr>
        <w:t xml:space="preserve"> </w:t>
      </w:r>
    </w:p>
    <w:p w14:paraId="22F8D2F7" w14:textId="5D727FF1" w:rsidR="0096404F" w:rsidRPr="00DB3E05" w:rsidRDefault="003C6D94"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How do board characteristics influence ESG performance on listed companies?</w:t>
      </w:r>
    </w:p>
    <w:p w14:paraId="29020633" w14:textId="77777777" w:rsidR="003C6D94" w:rsidRPr="00DB3E05" w:rsidRDefault="0096404F" w:rsidP="0096404F">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1</w:t>
      </w:r>
      <w:r w:rsidR="003C06F2" w:rsidRPr="00DB3E05">
        <w:rPr>
          <w:rFonts w:ascii="Arial" w:eastAsiaTheme="minorEastAsia" w:hAnsi="Arial" w:cs="Arial"/>
          <w:i/>
          <w:iCs/>
          <w:color w:val="181818"/>
          <w:sz w:val="28"/>
          <w:szCs w:val="28"/>
          <w:lang w:val="en-GB"/>
          <w14:ligatures w14:val="standardContextual"/>
        </w:rPr>
        <w:t>A</w:t>
      </w:r>
      <w:r w:rsidRPr="00DB3E05">
        <w:rPr>
          <w:rFonts w:ascii="Arial" w:eastAsiaTheme="minorEastAsia" w:hAnsi="Arial" w:cs="Arial"/>
          <w:i/>
          <w:iCs/>
          <w:color w:val="181818"/>
          <w:sz w:val="28"/>
          <w:szCs w:val="28"/>
          <w:lang w:val="en-GB"/>
          <w14:ligatures w14:val="standardContextual"/>
        </w:rPr>
        <w:t>:</w:t>
      </w:r>
      <w:r w:rsidR="003C6D94" w:rsidRPr="00DB3E05">
        <w:rPr>
          <w:rFonts w:ascii="Arial" w:eastAsiaTheme="minorEastAsia" w:hAnsi="Arial" w:cs="Arial"/>
          <w:i/>
          <w:iCs/>
          <w:color w:val="181818"/>
          <w:sz w:val="28"/>
          <w:szCs w:val="28"/>
          <w:lang w:val="en-GB"/>
          <w14:ligatures w14:val="standardContextual"/>
        </w:rPr>
        <w:t xml:space="preserve"> </w:t>
      </w:r>
    </w:p>
    <w:p w14:paraId="33D79E60" w14:textId="3EFA3578" w:rsidR="0096404F" w:rsidRPr="00DB3E05" w:rsidRDefault="003C6D94" w:rsidP="007D5069">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Female executive directors (independent variable) positive</w:t>
      </w:r>
      <w:r w:rsidR="00D01C1D">
        <w:rPr>
          <w:rFonts w:ascii="Arial" w:hAnsi="Arial" w:cs="Arial"/>
          <w:color w:val="181818"/>
          <w:sz w:val="28"/>
          <w:szCs w:val="28"/>
          <w:lang w:val="en-GB"/>
        </w:rPr>
        <w:t>ly</w:t>
      </w:r>
      <w:r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Pr="00DB3E05">
        <w:rPr>
          <w:rFonts w:ascii="Arial" w:hAnsi="Arial" w:cs="Arial"/>
          <w:color w:val="181818"/>
          <w:sz w:val="28"/>
          <w:szCs w:val="28"/>
          <w:lang w:val="en-GB"/>
        </w:rPr>
        <w:t xml:space="preserve"> ESG Score (dependent variable)</w:t>
      </w:r>
    </w:p>
    <w:p w14:paraId="103D1D5C" w14:textId="246CFB90" w:rsidR="003C06F2" w:rsidRPr="00DB3E05" w:rsidRDefault="003C06F2" w:rsidP="003C06F2">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1B:</w:t>
      </w:r>
    </w:p>
    <w:p w14:paraId="262EB4DD" w14:textId="544B665A" w:rsidR="003C6D94" w:rsidRPr="00DB3E05" w:rsidRDefault="003C6D94" w:rsidP="000D261A">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Independent non-executive directors </w:t>
      </w:r>
      <w:r w:rsidR="007D5069" w:rsidRPr="00DB3E05">
        <w:rPr>
          <w:rFonts w:ascii="Arial" w:hAnsi="Arial" w:cs="Arial"/>
          <w:color w:val="181818"/>
          <w:sz w:val="28"/>
          <w:szCs w:val="28"/>
          <w:lang w:val="en-GB"/>
        </w:rPr>
        <w:t xml:space="preserve">serve less than 6 listed companies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 xml:space="preserve">on </w:t>
      </w:r>
      <w:r w:rsidR="007D5069" w:rsidRPr="00DB3E05">
        <w:rPr>
          <w:rFonts w:ascii="Arial" w:hAnsi="Arial" w:cs="Arial"/>
          <w:color w:val="181818"/>
          <w:sz w:val="28"/>
          <w:szCs w:val="28"/>
          <w:lang w:val="en-GB"/>
        </w:rPr>
        <w:t>ESG Score (dependent variable)</w:t>
      </w:r>
    </w:p>
    <w:p w14:paraId="49057C03" w14:textId="77777777" w:rsidR="000D261A" w:rsidRDefault="000D261A" w:rsidP="000D261A">
      <w:pPr>
        <w:pStyle w:val="ListParagraph"/>
        <w:spacing w:line="360" w:lineRule="auto"/>
        <w:ind w:left="1429"/>
        <w:jc w:val="both"/>
        <w:rPr>
          <w:rFonts w:ascii="Arial" w:hAnsi="Arial" w:cs="Arial"/>
          <w:color w:val="181818"/>
          <w:sz w:val="28"/>
          <w:szCs w:val="28"/>
          <w:lang w:val="en-GB"/>
        </w:rPr>
      </w:pPr>
    </w:p>
    <w:p w14:paraId="2E751E0F" w14:textId="7FA55CC5" w:rsidR="00BA6C75" w:rsidRDefault="00BA6C75" w:rsidP="00BA6C75">
      <w:pPr>
        <w:pStyle w:val="ListParagraph"/>
        <w:spacing w:line="360" w:lineRule="auto"/>
        <w:ind w:left="851"/>
        <w:jc w:val="both"/>
        <w:rPr>
          <w:rFonts w:ascii="Arial" w:hAnsi="Arial" w:cs="Arial"/>
          <w:color w:val="181818"/>
          <w:sz w:val="28"/>
          <w:szCs w:val="28"/>
          <w:lang w:val="en-GB"/>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Pr>
          <w:rFonts w:ascii="Arial" w:hAnsi="Arial" w:cs="Arial"/>
          <w:color w:val="000000"/>
          <w:sz w:val="28"/>
          <w:szCs w:val="28"/>
        </w:rPr>
        <w:t xml:space="preserve"> found that </w:t>
      </w:r>
      <w:r w:rsidR="00BC1FF0">
        <w:rPr>
          <w:rFonts w:ascii="Arial" w:hAnsi="Arial" w:cs="Arial"/>
          <w:color w:val="000000"/>
          <w:sz w:val="28"/>
          <w:szCs w:val="28"/>
        </w:rPr>
        <w:t xml:space="preserve">role of female directors has positive contribution to corporate performance.   The finding also supports the positive relationship between female executive directors and corporate performance.  </w:t>
      </w:r>
      <w:r w:rsidR="00BC1FF0" w:rsidRPr="00DB3E05">
        <w:rPr>
          <w:rFonts w:ascii="Arial" w:hAnsi="Arial" w:cs="Arial"/>
          <w:color w:val="000000"/>
          <w:sz w:val="28"/>
          <w:szCs w:val="28"/>
        </w:rPr>
        <w:fldChar w:fldCharType="begin"/>
      </w:r>
      <w:r w:rsidR="00BC1FF0"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00BC1FF0" w:rsidRPr="00DB3E05">
        <w:rPr>
          <w:rFonts w:ascii="Arial" w:hAnsi="Arial" w:cs="Arial"/>
          <w:color w:val="000000"/>
          <w:sz w:val="28"/>
          <w:szCs w:val="28"/>
        </w:rPr>
        <w:fldChar w:fldCharType="separate"/>
      </w:r>
      <w:r w:rsidR="00BC1FF0" w:rsidRPr="00DB3E05">
        <w:rPr>
          <w:rFonts w:ascii="Arial" w:hAnsi="Arial" w:cs="Arial"/>
          <w:noProof/>
          <w:color w:val="000000"/>
          <w:sz w:val="28"/>
          <w:szCs w:val="28"/>
        </w:rPr>
        <w:t>(Ting et al., 2021)</w:t>
      </w:r>
      <w:r w:rsidR="00BC1FF0" w:rsidRPr="00DB3E05">
        <w:rPr>
          <w:rFonts w:ascii="Arial" w:hAnsi="Arial" w:cs="Arial"/>
          <w:color w:val="000000"/>
          <w:sz w:val="28"/>
          <w:szCs w:val="28"/>
        </w:rPr>
        <w:fldChar w:fldCharType="end"/>
      </w:r>
      <w:r w:rsidR="00BC1FF0">
        <w:rPr>
          <w:rFonts w:ascii="Arial" w:hAnsi="Arial" w:cs="Arial"/>
          <w:color w:val="000000"/>
          <w:sz w:val="28"/>
          <w:szCs w:val="28"/>
        </w:rPr>
        <w:t xml:space="preserve"> suggests policymakers encourage the appointment of female non-executive directors and female executive directors to improve the corporate governance and corporate performance.  This is consistent with the regulatory movement in Hong Kong about board diversity. </w:t>
      </w:r>
      <w:r w:rsidR="007103C4">
        <w:rPr>
          <w:rFonts w:ascii="Arial" w:hAnsi="Arial" w:cs="Arial"/>
          <w:color w:val="000000"/>
          <w:sz w:val="28"/>
          <w:szCs w:val="28"/>
        </w:rPr>
        <w:t xml:space="preserve">In Hong Kong, </w:t>
      </w:r>
      <w:r w:rsidR="00EF4A43">
        <w:rPr>
          <w:rFonts w:ascii="Arial" w:hAnsi="Arial" w:cs="Arial"/>
          <w:color w:val="000000"/>
          <w:sz w:val="28"/>
          <w:szCs w:val="28"/>
        </w:rPr>
        <w:t xml:space="preserve">the percentage of female directors increased from 15.0% in 2021 to 18.4% in 2024. </w:t>
      </w:r>
      <w:r w:rsidR="00EF4A43">
        <w:rPr>
          <w:rFonts w:ascii="Arial" w:hAnsi="Arial" w:cs="Arial"/>
          <w:color w:val="000000"/>
          <w:sz w:val="28"/>
          <w:szCs w:val="28"/>
        </w:rPr>
        <w:fldChar w:fldCharType="begin"/>
      </w:r>
      <w:r w:rsidR="00C83342">
        <w:rPr>
          <w:rFonts w:ascii="Arial" w:hAnsi="Arial" w:cs="Arial"/>
          <w:color w:val="000000"/>
          <w:sz w:val="28"/>
          <w:szCs w:val="28"/>
        </w:rPr>
        <w:instrText xml:space="preserve"> ADDIN EN.CITE &lt;EndNote&gt;&lt;Cite&gt;&lt;Author&gt;Exchange&lt;/Author&gt;&lt;Year&gt;2024&lt;/Year&gt;&lt;RecNum&gt;88&lt;/RecNum&gt;&lt;DisplayText&gt;(Exchange, 2024a)&lt;/DisplayText&gt;&lt;record&gt;&lt;rec-number&gt;88&lt;/rec-number&gt;&lt;foreign-keys&gt;&lt;key app="EN" db-id="0vtwt0xdiepatveerwsxw55izapvzd0d0v5w" timestamp="1721565911" guid="22b0089e-4d3c-4658-97ae-5128d030c32d"&gt;88&lt;/key&gt;&lt;/foreign-keys&gt;&lt;ref-type name="Journal Article"&gt;17&lt;/ref-type&gt;&lt;contributors&gt;&lt;authors&gt;&lt;author&gt;Exchange&lt;/author&gt;&lt;/authors&gt;&lt;/contributors&gt;&lt;titles&gt;&lt;title&gt;Board Diversity &amp;amp; Inclusion in Focus&lt;/title&gt;&lt;/titles&gt;&lt;dates&gt;&lt;year&gt;2024&lt;/year&gt;&lt;/dates&gt;&lt;urls&gt;&lt;related-urls&gt;&lt;url&gt;https://www.hkex.com.hk/eng/BoardDiversity/index.htm&lt;/url&gt;&lt;/related-urls&gt;&lt;/urls&gt;&lt;/record&gt;&lt;/Cite&gt;&lt;/EndNote&gt;</w:instrText>
      </w:r>
      <w:r w:rsidR="00EF4A43">
        <w:rPr>
          <w:rFonts w:ascii="Arial" w:hAnsi="Arial" w:cs="Arial"/>
          <w:color w:val="000000"/>
          <w:sz w:val="28"/>
          <w:szCs w:val="28"/>
        </w:rPr>
        <w:fldChar w:fldCharType="separate"/>
      </w:r>
      <w:r w:rsidR="00EF4A43">
        <w:rPr>
          <w:rFonts w:ascii="Arial" w:hAnsi="Arial" w:cs="Arial"/>
          <w:noProof/>
          <w:color w:val="000000"/>
          <w:sz w:val="28"/>
          <w:szCs w:val="28"/>
        </w:rPr>
        <w:t>(Exchange, 2024a)</w:t>
      </w:r>
      <w:r w:rsidR="00EF4A43">
        <w:rPr>
          <w:rFonts w:ascii="Arial" w:hAnsi="Arial" w:cs="Arial"/>
          <w:color w:val="000000"/>
          <w:sz w:val="28"/>
          <w:szCs w:val="28"/>
        </w:rPr>
        <w:fldChar w:fldCharType="end"/>
      </w:r>
    </w:p>
    <w:p w14:paraId="70E73BF6" w14:textId="77777777" w:rsidR="00771585" w:rsidRDefault="00771585"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p>
    <w:p w14:paraId="5B0A5D74" w14:textId="483BD99C" w:rsidR="00771585" w:rsidRPr="00B92169" w:rsidRDefault="00B92169" w:rsidP="00B92169">
      <w:pPr>
        <w:pStyle w:val="ListParagraph"/>
        <w:spacing w:line="360" w:lineRule="auto"/>
        <w:ind w:left="851"/>
        <w:jc w:val="both"/>
        <w:rPr>
          <w:rFonts w:ascii="Arial" w:hAnsi="Arial" w:cs="Arial"/>
          <w:color w:val="000000"/>
          <w:sz w:val="28"/>
          <w:szCs w:val="28"/>
        </w:rPr>
      </w:pPr>
      <w:r w:rsidRPr="00B92169">
        <w:rPr>
          <w:rFonts w:ascii="Arial" w:hAnsi="Arial" w:cs="Arial"/>
          <w:color w:val="000000"/>
          <w:sz w:val="28"/>
          <w:szCs w:val="28"/>
        </w:rPr>
        <w:t xml:space="preserve">It is fairly practice for independent non-executive directors </w:t>
      </w:r>
      <w:r>
        <w:rPr>
          <w:rFonts w:ascii="Arial" w:hAnsi="Arial" w:cs="Arial"/>
          <w:color w:val="000000"/>
          <w:sz w:val="28"/>
          <w:szCs w:val="28"/>
        </w:rPr>
        <w:t xml:space="preserve">(INEDs) </w:t>
      </w:r>
      <w:r w:rsidRPr="00B92169">
        <w:rPr>
          <w:rFonts w:ascii="Arial" w:hAnsi="Arial" w:cs="Arial"/>
          <w:color w:val="000000"/>
          <w:sz w:val="28"/>
          <w:szCs w:val="28"/>
        </w:rPr>
        <w:t xml:space="preserve">to hold position across multiple companies.  However, this phenomenon raises critical questions about the effectiveness and dedication of such directors in fulfilling their responsibilities.  </w:t>
      </w:r>
      <w:r w:rsidR="00771585" w:rsidRPr="00B92169">
        <w:rPr>
          <w:rFonts w:ascii="Arial" w:hAnsi="Arial" w:cs="Arial"/>
          <w:color w:val="000000"/>
          <w:sz w:val="28"/>
          <w:szCs w:val="28"/>
        </w:rPr>
        <w:fldChar w:fldCharType="begin"/>
      </w:r>
      <w:r w:rsidR="00C83342">
        <w:rPr>
          <w:rFonts w:ascii="Arial" w:hAnsi="Arial" w:cs="Arial"/>
          <w:color w:val="000000"/>
          <w:sz w:val="28"/>
          <w:szCs w:val="28"/>
        </w:rPr>
        <w:instrText xml:space="preserve"> ADDIN EN.CITE &lt;EndNote&gt;&lt;Cite&gt;&lt;Author&gt;Cashman&lt;/Author&gt;&lt;Year&gt;2012&lt;/Year&gt;&lt;RecNum&gt;89&lt;/RecNum&gt;&lt;DisplayText&gt;(Cashman et al., 2012)&lt;/DisplayText&gt;&lt;record&gt;&lt;rec-number&gt;89&lt;/rec-number&gt;&lt;foreign-keys&gt;&lt;key app="EN" db-id="0vtwt0xdiepatveerwsxw55izapvzd0d0v5w" timestamp="1721566166" guid="3ab8c22d-8c4d-4a46-a1d5-b01e6952bd6b"&gt;89&lt;/key&gt;&lt;/foreign-keys&gt;&lt;ref-type name="Journal Article"&gt;17&lt;/ref-type&gt;&lt;contributors&gt;&lt;authors&gt;&lt;author&gt;Cashman, George D&lt;/author&gt;&lt;author&gt;Gillan, Stuart L&lt;/author&gt;&lt;author&gt;Jun, Chulhee&lt;/author&gt;&lt;/authors&gt;&lt;/contributors&gt;&lt;titles&gt;&lt;title&gt;Going overboard? On busy directors and firm value&lt;/title&gt;&lt;secondary-title&gt;Journal of banking &amp;amp; finance&lt;/secondary-title&gt;&lt;/titles&gt;&lt;periodical&gt;&lt;full-title&gt;Journal of Banking &amp;amp; Finance&lt;/full-title&gt;&lt;/periodical&gt;&lt;pages&gt;3248-3259&lt;/pages&gt;&lt;volume&gt;36&lt;/volume&gt;&lt;number&gt;12&lt;/number&gt;&lt;dates&gt;&lt;year&gt;2012&lt;/year&gt;&lt;/dates&gt;&lt;isbn&gt;0378-4266&lt;/isbn&gt;&lt;urls&gt;&lt;/urls&gt;&lt;/record&gt;&lt;/Cite&gt;&lt;/EndNote&gt;</w:instrText>
      </w:r>
      <w:r w:rsidR="00771585" w:rsidRPr="00B92169">
        <w:rPr>
          <w:rFonts w:ascii="Arial" w:hAnsi="Arial" w:cs="Arial"/>
          <w:color w:val="000000"/>
          <w:sz w:val="28"/>
          <w:szCs w:val="28"/>
        </w:rPr>
        <w:fldChar w:fldCharType="separate"/>
      </w:r>
      <w:r w:rsidR="00771585" w:rsidRPr="00B92169">
        <w:rPr>
          <w:rFonts w:ascii="Arial" w:hAnsi="Arial" w:cs="Arial"/>
          <w:noProof/>
          <w:color w:val="000000"/>
          <w:sz w:val="28"/>
          <w:szCs w:val="28"/>
        </w:rPr>
        <w:t>(Cashman et al., 2012)</w:t>
      </w:r>
      <w:r w:rsidR="00771585" w:rsidRPr="00B92169">
        <w:rPr>
          <w:rFonts w:ascii="Arial" w:hAnsi="Arial" w:cs="Arial"/>
          <w:color w:val="000000"/>
          <w:sz w:val="28"/>
          <w:szCs w:val="28"/>
        </w:rPr>
        <w:fldChar w:fldCharType="end"/>
      </w:r>
      <w:r w:rsidR="00771585" w:rsidRPr="00B92169">
        <w:rPr>
          <w:rFonts w:ascii="Arial" w:hAnsi="Arial" w:cs="Arial"/>
          <w:color w:val="000000"/>
          <w:sz w:val="28"/>
          <w:szCs w:val="28"/>
        </w:rPr>
        <w:t xml:space="preserve"> </w:t>
      </w:r>
      <w:r>
        <w:rPr>
          <w:rFonts w:ascii="Arial" w:hAnsi="Arial" w:cs="Arial"/>
          <w:color w:val="000000"/>
          <w:sz w:val="28"/>
          <w:szCs w:val="28"/>
        </w:rPr>
        <w:t xml:space="preserve">The overboard issue of INEDs has been address in the recent consultation of the Stock Exchange. </w:t>
      </w:r>
      <w:r w:rsidR="009A1897">
        <w:rPr>
          <w:rFonts w:ascii="Arial" w:hAnsi="Arial" w:cs="Arial"/>
          <w:color w:val="000000"/>
          <w:sz w:val="28"/>
          <w:szCs w:val="28"/>
        </w:rPr>
        <w:t xml:space="preserve">The proposal is that an individual INED should not allow to serve on the board of more than 6 listed companies at the same time.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(Exchange, 2024b)</w:t>
      </w:r>
      <w:r>
        <w:rPr>
          <w:rFonts w:ascii="Arial" w:hAnsi="Arial" w:cs="Arial"/>
          <w:color w:val="000000"/>
          <w:sz w:val="28"/>
          <w:szCs w:val="28"/>
        </w:rPr>
        <w:fldChar w:fldCharType="end"/>
      </w:r>
    </w:p>
    <w:p w14:paraId="579DC7E4" w14:textId="77777777" w:rsidR="00771585" w:rsidRPr="00771585" w:rsidRDefault="00771585" w:rsidP="0096404F">
      <w:pPr>
        <w:spacing w:line="360" w:lineRule="auto"/>
        <w:ind w:left="709"/>
        <w:jc w:val="both"/>
        <w:rPr>
          <w:rFonts w:ascii="Arial" w:eastAsiaTheme="minorEastAsia" w:hAnsi="Arial" w:cs="Arial"/>
          <w:i/>
          <w:iCs/>
          <w:color w:val="181818"/>
          <w:sz w:val="28"/>
          <w:szCs w:val="28"/>
          <w:u w:val="single"/>
          <w14:ligatures w14:val="standardContextual"/>
        </w:rPr>
      </w:pPr>
    </w:p>
    <w:p w14:paraId="0C1260F0" w14:textId="3B18119C" w:rsidR="00860923" w:rsidRDefault="00860923">
      <w:pPr>
        <w:rPr>
          <w:rFonts w:ascii="Arial" w:eastAsiaTheme="minorEastAsia" w:hAnsi="Arial" w:cs="Arial"/>
          <w:i/>
          <w:iCs/>
          <w:color w:val="181818"/>
          <w:sz w:val="28"/>
          <w:szCs w:val="28"/>
          <w:u w:val="single"/>
          <w:lang w:val="en-GB"/>
          <w14:ligatures w14:val="standardContextual"/>
        </w:rPr>
      </w:pPr>
    </w:p>
    <w:p w14:paraId="432B6C12" w14:textId="535F5A27" w:rsidR="0096404F" w:rsidRPr="00DB3E05" w:rsidRDefault="0096404F"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2:</w:t>
      </w:r>
    </w:p>
    <w:p w14:paraId="73DDB664" w14:textId="24C618BA" w:rsidR="0096404F" w:rsidRPr="00DB3E05" w:rsidRDefault="00207E7B"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 does ESG performance affect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w:t>
      </w:r>
    </w:p>
    <w:p w14:paraId="1BAB21F3" w14:textId="5D606C5E" w:rsidR="0096404F" w:rsidRPr="00DB3E05" w:rsidRDefault="0096404F" w:rsidP="0096404F">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w:t>
      </w:r>
      <w:r w:rsidR="00B2798A" w:rsidRPr="00DB3E05">
        <w:rPr>
          <w:rFonts w:ascii="Arial" w:eastAsiaTheme="minorEastAsia" w:hAnsi="Arial" w:cs="Arial"/>
          <w:i/>
          <w:iCs/>
          <w:color w:val="181818"/>
          <w:sz w:val="28"/>
          <w:szCs w:val="28"/>
          <w:lang w:val="en-GB"/>
          <w14:ligatures w14:val="standardContextual"/>
        </w:rPr>
        <w:t>A</w:t>
      </w:r>
      <w:r w:rsidRPr="00DB3E05">
        <w:rPr>
          <w:rFonts w:ascii="Arial" w:eastAsiaTheme="minorEastAsia" w:hAnsi="Arial" w:cs="Arial"/>
          <w:i/>
          <w:iCs/>
          <w:color w:val="181818"/>
          <w:sz w:val="28"/>
          <w:szCs w:val="28"/>
          <w:lang w:val="en-GB"/>
          <w14:ligatures w14:val="standardContextual"/>
        </w:rPr>
        <w:t>:</w:t>
      </w:r>
    </w:p>
    <w:p w14:paraId="14B8B95D" w14:textId="5036EA98" w:rsidR="00B2798A" w:rsidRPr="00DB3E05" w:rsidRDefault="00B2798A" w:rsidP="00B2798A">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ESG Score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on profitability</w:t>
      </w:r>
      <w:r w:rsidR="007A3AFE" w:rsidRPr="00DB3E05">
        <w:rPr>
          <w:rFonts w:ascii="Arial" w:hAnsi="Arial" w:cs="Arial"/>
          <w:color w:val="181818"/>
          <w:sz w:val="28"/>
          <w:szCs w:val="28"/>
          <w:lang w:val="en-GB"/>
        </w:rPr>
        <w:t xml:space="preserve"> (</w:t>
      </w:r>
      <w:proofErr w:type="gramStart"/>
      <w:r w:rsidR="007A3AFE" w:rsidRPr="00DB3E05">
        <w:rPr>
          <w:rFonts w:ascii="Arial" w:hAnsi="Arial" w:cs="Arial"/>
          <w:color w:val="181818"/>
          <w:sz w:val="28"/>
          <w:szCs w:val="28"/>
          <w:lang w:val="en-GB"/>
        </w:rPr>
        <w:t>e.g.</w:t>
      </w:r>
      <w:proofErr w:type="gramEnd"/>
      <w:r w:rsidR="00344EF4" w:rsidRPr="00DB3E05">
        <w:rPr>
          <w:rFonts w:ascii="Arial" w:hAnsi="Arial" w:cs="Arial"/>
          <w:color w:val="181818"/>
          <w:sz w:val="28"/>
          <w:szCs w:val="28"/>
          <w:lang w:val="en-GB"/>
        </w:rPr>
        <w:t xml:space="preserve"> </w:t>
      </w:r>
      <w:r w:rsidR="007A3AFE" w:rsidRPr="00DB3E05">
        <w:rPr>
          <w:rFonts w:ascii="Arial" w:hAnsi="Arial" w:cs="Arial"/>
          <w:color w:val="181818"/>
          <w:sz w:val="28"/>
          <w:szCs w:val="28"/>
          <w:lang w:val="en-GB"/>
        </w:rPr>
        <w:t>price</w:t>
      </w:r>
      <w:r w:rsidR="0018171F" w:rsidRPr="00DB3E05">
        <w:rPr>
          <w:rFonts w:ascii="Arial" w:hAnsi="Arial" w:cs="Arial"/>
          <w:color w:val="181818"/>
          <w:sz w:val="28"/>
          <w:szCs w:val="28"/>
          <w:lang w:val="en-GB"/>
        </w:rPr>
        <w:t>-</w:t>
      </w:r>
      <w:r w:rsidR="007A3AFE" w:rsidRPr="00DB3E05">
        <w:rPr>
          <w:rFonts w:ascii="Arial" w:hAnsi="Arial" w:cs="Arial"/>
          <w:color w:val="181818"/>
          <w:sz w:val="28"/>
          <w:szCs w:val="28"/>
          <w:lang w:val="en-GB"/>
        </w:rPr>
        <w:t>earning</w:t>
      </w:r>
      <w:r w:rsidR="0018171F" w:rsidRPr="00DB3E05">
        <w:rPr>
          <w:rFonts w:ascii="Arial" w:hAnsi="Arial" w:cs="Arial"/>
          <w:color w:val="181818"/>
          <w:sz w:val="28"/>
          <w:szCs w:val="28"/>
          <w:lang w:val="en-GB"/>
        </w:rPr>
        <w:t>s</w:t>
      </w:r>
      <w:r w:rsidR="007A3AFE" w:rsidRPr="00DB3E05">
        <w:rPr>
          <w:rFonts w:ascii="Arial" w:hAnsi="Arial" w:cs="Arial"/>
          <w:color w:val="181818"/>
          <w:sz w:val="28"/>
          <w:szCs w:val="28"/>
          <w:lang w:val="en-GB"/>
        </w:rPr>
        <w:t xml:space="preserve"> ratio</w:t>
      </w:r>
      <w:r w:rsidR="00424DC6" w:rsidRPr="00DB3E05">
        <w:rPr>
          <w:rFonts w:ascii="Arial" w:hAnsi="Arial" w:cs="Arial"/>
          <w:color w:val="181818"/>
          <w:sz w:val="28"/>
          <w:szCs w:val="28"/>
          <w:lang w:val="en-GB"/>
        </w:rPr>
        <w:t xml:space="preserve"> or return on assets</w:t>
      </w:r>
      <w:r w:rsidR="007A3AFE" w:rsidRPr="00DB3E05">
        <w:rPr>
          <w:rFonts w:ascii="Arial" w:hAnsi="Arial" w:cs="Arial"/>
          <w:color w:val="181818"/>
          <w:sz w:val="28"/>
          <w:szCs w:val="28"/>
          <w:lang w:val="en-GB"/>
        </w:rPr>
        <w:t>)</w:t>
      </w:r>
      <w:r w:rsidRPr="00DB3E05">
        <w:rPr>
          <w:rFonts w:ascii="Arial" w:hAnsi="Arial" w:cs="Arial"/>
          <w:color w:val="181818"/>
          <w:sz w:val="28"/>
          <w:szCs w:val="28"/>
          <w:lang w:val="en-GB"/>
        </w:rPr>
        <w:t xml:space="preserve"> (dependent variable)</w:t>
      </w:r>
    </w:p>
    <w:p w14:paraId="55096BC5" w14:textId="2CEF42DC" w:rsidR="00B2798A" w:rsidRPr="00DB3E05" w:rsidRDefault="00B2798A" w:rsidP="00B2798A">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2B:</w:t>
      </w:r>
    </w:p>
    <w:p w14:paraId="65785A20" w14:textId="06043B5B" w:rsidR="00B2798A" w:rsidRPr="00DB3E05" w:rsidRDefault="00B2798A" w:rsidP="00B2798A">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Profitability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 xml:space="preserve">on </w:t>
      </w:r>
      <w:r w:rsidR="008B6175">
        <w:rPr>
          <w:rFonts w:ascii="Arial" w:hAnsi="Arial" w:cs="Arial"/>
          <w:color w:val="181818"/>
          <w:sz w:val="28"/>
          <w:szCs w:val="28"/>
          <w:lang w:val="en-GB"/>
        </w:rPr>
        <w:t>corporate valuations</w:t>
      </w:r>
      <w:r w:rsidRPr="00DB3E05">
        <w:rPr>
          <w:rFonts w:ascii="Arial" w:hAnsi="Arial" w:cs="Arial"/>
          <w:color w:val="181818"/>
          <w:sz w:val="28"/>
          <w:szCs w:val="28"/>
          <w:lang w:val="en-GB"/>
        </w:rPr>
        <w:t xml:space="preserve"> (dependent variable)</w:t>
      </w:r>
    </w:p>
    <w:p w14:paraId="069C7E64" w14:textId="77777777" w:rsidR="009416CD" w:rsidRDefault="009416CD" w:rsidP="0096404F">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207D5D14" w14:textId="37FF2579" w:rsidR="00847473" w:rsidRDefault="00C83342" w:rsidP="0096404F">
      <w:pPr>
        <w:spacing w:line="360" w:lineRule="auto"/>
        <w:ind w:left="709"/>
        <w:jc w:val="both"/>
        <w:rPr>
          <w:rFonts w:ascii="Arial" w:hAnsi="Arial" w:cs="Arial"/>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 xml:space="preserve"> tested the relationship between ESG scores and price-book value ratio.  The finding showed that  </w:t>
      </w:r>
      <w:r w:rsidR="00514BED">
        <w:rPr>
          <w:rFonts w:ascii="Arial" w:hAnsi="Arial" w:cs="Arial"/>
          <w:color w:val="000000"/>
          <w:sz w:val="28"/>
          <w:szCs w:val="28"/>
        </w:rPr>
        <w:t xml:space="preserve">the price-book value fluctuated during 2020 and 2021 and the profitability does not have positive impact on </w:t>
      </w:r>
      <w:r w:rsidR="008B6175">
        <w:rPr>
          <w:rFonts w:ascii="Arial" w:hAnsi="Arial" w:cs="Arial"/>
          <w:color w:val="000000"/>
          <w:sz w:val="28"/>
          <w:szCs w:val="28"/>
        </w:rPr>
        <w:t>corporate valuations</w:t>
      </w:r>
      <w:r w:rsidR="00941ED3">
        <w:rPr>
          <w:rFonts w:ascii="Arial" w:hAnsi="Arial" w:cs="Arial"/>
          <w:color w:val="000000"/>
          <w:sz w:val="28"/>
          <w:szCs w:val="28"/>
        </w:rPr>
        <w:t xml:space="preserve"> which is inconsistent with prior studies</w:t>
      </w:r>
      <w:r w:rsidR="00514BED">
        <w:rPr>
          <w:rFonts w:ascii="Arial" w:hAnsi="Arial" w:cs="Arial"/>
          <w:color w:val="000000"/>
          <w:sz w:val="28"/>
          <w:szCs w:val="28"/>
        </w:rPr>
        <w:t>.</w:t>
      </w:r>
      <w:r w:rsidR="00941ED3">
        <w:rPr>
          <w:rFonts w:ascii="Arial" w:hAnsi="Arial" w:cs="Arial"/>
          <w:color w:val="000000"/>
          <w:sz w:val="28"/>
          <w:szCs w:val="28"/>
        </w:rPr>
        <w:t xml:space="preserve">  This is worth to test this hypothesis using more recent data in Hong Kong. </w:t>
      </w:r>
      <w:r w:rsidR="00514BED">
        <w:rPr>
          <w:rFonts w:ascii="Arial" w:hAnsi="Arial" w:cs="Arial"/>
          <w:color w:val="000000"/>
          <w:sz w:val="28"/>
          <w:szCs w:val="28"/>
        </w:rPr>
        <w:t xml:space="preserve">  </w:t>
      </w:r>
    </w:p>
    <w:p w14:paraId="26822537" w14:textId="77777777" w:rsidR="00941ED3" w:rsidRDefault="00941ED3" w:rsidP="0096404F">
      <w:pPr>
        <w:spacing w:line="360" w:lineRule="auto"/>
        <w:ind w:left="709"/>
        <w:jc w:val="both"/>
        <w:rPr>
          <w:rFonts w:ascii="Arial" w:hAnsi="Arial" w:cs="Arial"/>
          <w:color w:val="000000"/>
          <w:sz w:val="28"/>
          <w:szCs w:val="28"/>
        </w:rPr>
      </w:pPr>
    </w:p>
    <w:p w14:paraId="28A934FB" w14:textId="76A018D7" w:rsidR="00941ED3" w:rsidRPr="00941ED3" w:rsidRDefault="00941ED3" w:rsidP="00941ED3">
      <w:pPr>
        <w:spacing w:line="360" w:lineRule="auto"/>
        <w:ind w:left="709"/>
        <w:jc w:val="both"/>
        <w:rPr>
          <w:rFonts w:ascii="Arial" w:hAnsi="Arial" w:cs="Arial"/>
          <w:color w:val="000000"/>
          <w:sz w:val="28"/>
          <w:szCs w:val="28"/>
        </w:rPr>
      </w:pPr>
      <w:r>
        <w:rPr>
          <w:rFonts w:ascii="Arial" w:hAnsi="Arial" w:cs="Arial"/>
          <w:color w:val="000000"/>
          <w:sz w:val="28"/>
          <w:szCs w:val="28"/>
        </w:rPr>
        <w:t xml:space="preserve">The employment of other variables, including price-earnings ratio or/and return on assets, can fill the research gap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w:t>
      </w:r>
    </w:p>
    <w:p w14:paraId="11622F46" w14:textId="77777777" w:rsidR="00C83342" w:rsidRPr="00DB3E05" w:rsidRDefault="00C83342" w:rsidP="0096404F">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7A7B7C92" w14:textId="305863A0" w:rsidR="0096404F" w:rsidRPr="00DB3E05" w:rsidRDefault="0096404F"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3:</w:t>
      </w:r>
    </w:p>
    <w:p w14:paraId="6E66D81C" w14:textId="2AAC496F" w:rsidR="0096404F" w:rsidRPr="00DB3E05" w:rsidRDefault="007D5069"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How do</w:t>
      </w:r>
      <w:r w:rsidR="00207E7B" w:rsidRPr="00DB3E05">
        <w:rPr>
          <w:rFonts w:ascii="Arial" w:eastAsiaTheme="minorEastAsia" w:hAnsi="Arial" w:cs="Arial"/>
          <w:color w:val="181818"/>
          <w:sz w:val="28"/>
          <w:szCs w:val="28"/>
          <w:lang w:val="en-GB"/>
          <w14:ligatures w14:val="standardContextual"/>
        </w:rPr>
        <w:t>es</w:t>
      </w:r>
      <w:r w:rsidRPr="00DB3E05">
        <w:rPr>
          <w:rFonts w:ascii="Arial" w:eastAsiaTheme="minorEastAsia" w:hAnsi="Arial" w:cs="Arial"/>
          <w:color w:val="181818"/>
          <w:sz w:val="28"/>
          <w:szCs w:val="28"/>
          <w:lang w:val="en-GB"/>
          <w14:ligatures w14:val="standardContextual"/>
        </w:rPr>
        <w:t xml:space="preserve"> ESG performance affect investment decision? </w:t>
      </w:r>
    </w:p>
    <w:p w14:paraId="7A7D99BD" w14:textId="0BAE66ED" w:rsidR="0096404F" w:rsidRPr="00DB3E05" w:rsidRDefault="0096404F" w:rsidP="0096404F">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3</w:t>
      </w:r>
      <w:r w:rsidR="00C01E9C" w:rsidRPr="00DB3E05">
        <w:rPr>
          <w:rFonts w:ascii="Arial" w:eastAsiaTheme="minorEastAsia" w:hAnsi="Arial" w:cs="Arial"/>
          <w:i/>
          <w:iCs/>
          <w:color w:val="181818"/>
          <w:sz w:val="28"/>
          <w:szCs w:val="28"/>
          <w:lang w:val="en-GB"/>
          <w14:ligatures w14:val="standardContextual"/>
        </w:rPr>
        <w:t>A</w:t>
      </w:r>
      <w:r w:rsidRPr="00DB3E05">
        <w:rPr>
          <w:rFonts w:ascii="Arial" w:eastAsiaTheme="minorEastAsia" w:hAnsi="Arial" w:cs="Arial"/>
          <w:i/>
          <w:iCs/>
          <w:color w:val="181818"/>
          <w:sz w:val="28"/>
          <w:szCs w:val="28"/>
          <w:lang w:val="en-GB"/>
          <w14:ligatures w14:val="standardContextual"/>
        </w:rPr>
        <w:t>:</w:t>
      </w:r>
    </w:p>
    <w:p w14:paraId="7C00FEB2" w14:textId="1B53AD06" w:rsidR="00C01E9C" w:rsidRPr="00DB3E05" w:rsidRDefault="00C01E9C" w:rsidP="00C01E9C">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Environmental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investment decision (dependent variable)</w:t>
      </w:r>
    </w:p>
    <w:p w14:paraId="614F549E" w14:textId="3CAF3FF4" w:rsidR="00C01E9C" w:rsidRPr="00DB3E05" w:rsidRDefault="00C01E9C" w:rsidP="00C01E9C">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3B:</w:t>
      </w:r>
    </w:p>
    <w:p w14:paraId="3B6E25D6" w14:textId="469C5623" w:rsidR="00C01E9C" w:rsidRPr="00DB3E05" w:rsidRDefault="00C01E9C" w:rsidP="00C01E9C">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Social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investment decision (dependent variable)</w:t>
      </w:r>
    </w:p>
    <w:p w14:paraId="38C1F044" w14:textId="77777777" w:rsidR="00C01E9C" w:rsidRPr="00DB3E05" w:rsidRDefault="00C01E9C" w:rsidP="00C01E9C">
      <w:pPr>
        <w:spacing w:line="360" w:lineRule="auto"/>
        <w:ind w:firstLine="720"/>
        <w:jc w:val="both"/>
        <w:rPr>
          <w:rFonts w:ascii="Arial" w:eastAsiaTheme="minorEastAsia" w:hAnsi="Arial" w:cs="Arial"/>
          <w:i/>
          <w:iCs/>
          <w:color w:val="181818"/>
          <w:sz w:val="28"/>
          <w:szCs w:val="28"/>
          <w:lang w:val="en-GB"/>
        </w:rPr>
      </w:pPr>
      <w:r w:rsidRPr="00DB3E05">
        <w:rPr>
          <w:rFonts w:ascii="Arial" w:eastAsiaTheme="minorEastAsia" w:hAnsi="Arial" w:cs="Arial"/>
          <w:i/>
          <w:iCs/>
          <w:color w:val="181818"/>
          <w:sz w:val="28"/>
          <w:szCs w:val="28"/>
          <w:lang w:val="en-GB"/>
        </w:rPr>
        <w:t>Hypothesis 3B:</w:t>
      </w:r>
    </w:p>
    <w:p w14:paraId="01EAFEFE" w14:textId="5BB3DD05" w:rsidR="008E0444" w:rsidRPr="00860923" w:rsidRDefault="00C01E9C" w:rsidP="0096404F">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lastRenderedPageBreak/>
        <w:t>Government factors (independent variable) h</w:t>
      </w:r>
      <w:r w:rsidR="00D01C1D" w:rsidRPr="00D01C1D">
        <w:rPr>
          <w:rFonts w:ascii="Arial" w:hAnsi="Arial" w:cs="Arial"/>
          <w:color w:val="181818"/>
          <w:sz w:val="28"/>
          <w:szCs w:val="28"/>
          <w:lang w:val="en-GB"/>
        </w:rPr>
        <w:t xml:space="preserv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Pr="00DB3E05">
        <w:rPr>
          <w:rFonts w:ascii="Arial" w:hAnsi="Arial" w:cs="Arial"/>
          <w:color w:val="181818"/>
          <w:sz w:val="28"/>
          <w:szCs w:val="28"/>
          <w:lang w:val="en-GB"/>
        </w:rPr>
        <w:t xml:space="preserve"> investment decision (dependent variable)</w:t>
      </w:r>
    </w:p>
    <w:p w14:paraId="05F697E6" w14:textId="7CDC27D7" w:rsidR="00F808EB"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1.7</w:t>
      </w:r>
      <w:r w:rsidRPr="00DB3E05">
        <w:rPr>
          <w:rFonts w:ascii="Arial" w:hAnsi="Arial" w:cs="Arial"/>
          <w:b/>
          <w:bCs/>
          <w:color w:val="000000"/>
          <w:sz w:val="28"/>
          <w:szCs w:val="28"/>
        </w:rPr>
        <w:tab/>
        <w:t>Research significance</w:t>
      </w:r>
    </w:p>
    <w:p w14:paraId="25DB3E78" w14:textId="5050BD62" w:rsidR="0096404F" w:rsidRPr="00DB3E05" w:rsidRDefault="00F808EB" w:rsidP="00F808EB">
      <w:pPr>
        <w:spacing w:line="360" w:lineRule="auto"/>
        <w:ind w:left="720"/>
        <w:jc w:val="both"/>
        <w:rPr>
          <w:rFonts w:ascii="Arial" w:hAnsi="Arial" w:cs="Arial"/>
          <w:color w:val="000000"/>
          <w:sz w:val="28"/>
          <w:szCs w:val="28"/>
        </w:rPr>
      </w:pPr>
      <w:r w:rsidRPr="00DB3E05">
        <w:rPr>
          <w:rFonts w:ascii="Arial" w:hAnsi="Arial" w:cs="Arial"/>
          <w:color w:val="000000"/>
          <w:sz w:val="28"/>
          <w:szCs w:val="28"/>
        </w:rPr>
        <w:t>The expected outcomes of this research can explain the influence of board characteristic on ESG performance, which explain the regulatory movement in Hong Kong which promote the ESG practices and provide insights to nomination committees of listed companies in nominating directors.  (Exchange, 2024)</w:t>
      </w:r>
    </w:p>
    <w:p w14:paraId="3BC043ED" w14:textId="77777777" w:rsidR="00F808EB" w:rsidRPr="00DB3E05" w:rsidRDefault="00F808EB" w:rsidP="00F808EB">
      <w:pPr>
        <w:spacing w:line="360" w:lineRule="auto"/>
        <w:ind w:left="720"/>
        <w:jc w:val="both"/>
        <w:rPr>
          <w:rFonts w:ascii="Arial" w:hAnsi="Arial" w:cs="Arial"/>
          <w:color w:val="000000"/>
          <w:sz w:val="28"/>
          <w:szCs w:val="28"/>
        </w:rPr>
      </w:pPr>
    </w:p>
    <w:p w14:paraId="60440D32" w14:textId="42BC7F9F" w:rsidR="00F808EB" w:rsidRPr="00DB3E05" w:rsidRDefault="00F808EB" w:rsidP="00F808EB">
      <w:pPr>
        <w:spacing w:line="360" w:lineRule="auto"/>
        <w:ind w:left="720"/>
        <w:jc w:val="both"/>
        <w:rPr>
          <w:rFonts w:ascii="Arial" w:hAnsi="Arial" w:cs="Arial"/>
          <w:color w:val="000000"/>
          <w:sz w:val="28"/>
          <w:szCs w:val="28"/>
        </w:rPr>
      </w:pPr>
      <w:r w:rsidRPr="00DB3E05">
        <w:rPr>
          <w:rFonts w:ascii="Arial" w:hAnsi="Arial" w:cs="Arial"/>
          <w:color w:val="000000"/>
          <w:sz w:val="28"/>
          <w:szCs w:val="28"/>
        </w:rPr>
        <w:t xml:space="preserve">By identifying the ESG factors affecting the investment decision, this can encourage listed companies to put more effort on ESG and enhance the transparency of ESG communication.  </w:t>
      </w:r>
    </w:p>
    <w:p w14:paraId="390A1F93" w14:textId="77777777" w:rsidR="00F808EB" w:rsidRPr="00DB3E05" w:rsidRDefault="00F808EB" w:rsidP="00F808EB">
      <w:pPr>
        <w:spacing w:line="360" w:lineRule="auto"/>
        <w:ind w:left="720"/>
        <w:jc w:val="both"/>
        <w:rPr>
          <w:rFonts w:ascii="Arial" w:hAnsi="Arial" w:cs="Arial"/>
          <w:color w:val="000000"/>
          <w:sz w:val="28"/>
          <w:szCs w:val="28"/>
        </w:rPr>
      </w:pPr>
    </w:p>
    <w:p w14:paraId="087B7F00" w14:textId="7C1D84C4" w:rsidR="00F808EB" w:rsidRPr="00DB3E05" w:rsidRDefault="00F808EB" w:rsidP="00F808EB">
      <w:pPr>
        <w:spacing w:line="360" w:lineRule="auto"/>
        <w:ind w:left="720"/>
        <w:jc w:val="both"/>
        <w:rPr>
          <w:rFonts w:ascii="Arial" w:hAnsi="Arial" w:cs="Arial"/>
          <w:color w:val="000000"/>
          <w:sz w:val="28"/>
          <w:szCs w:val="28"/>
        </w:rPr>
      </w:pPr>
      <w:r w:rsidRPr="00DB3E05">
        <w:rPr>
          <w:rFonts w:ascii="Arial" w:hAnsi="Arial" w:cs="Arial"/>
          <w:color w:val="000000"/>
          <w:sz w:val="28"/>
          <w:szCs w:val="28"/>
        </w:rPr>
        <w:t xml:space="preserve">By integrating </w:t>
      </w:r>
      <w:r w:rsidR="00835268" w:rsidRPr="00DB3E05">
        <w:rPr>
          <w:rFonts w:ascii="Arial" w:hAnsi="Arial" w:cs="Arial"/>
          <w:color w:val="000000"/>
          <w:sz w:val="28"/>
          <w:szCs w:val="28"/>
        </w:rPr>
        <w:t xml:space="preserve">theoretical framework with empirical analysis, this research will provide actionable insights that listed companies can implement to improve their ESG practices, ultimately leading to enhanced ESG performance and </w:t>
      </w:r>
      <w:r w:rsidR="008B6175">
        <w:rPr>
          <w:rFonts w:ascii="Arial" w:hAnsi="Arial" w:cs="Arial"/>
          <w:color w:val="000000"/>
          <w:sz w:val="28"/>
          <w:szCs w:val="28"/>
        </w:rPr>
        <w:t>corporate valuations</w:t>
      </w:r>
      <w:r w:rsidR="00835268" w:rsidRPr="00DB3E05">
        <w:rPr>
          <w:rFonts w:ascii="Arial" w:hAnsi="Arial" w:cs="Arial"/>
          <w:color w:val="000000"/>
          <w:sz w:val="28"/>
          <w:szCs w:val="28"/>
        </w:rPr>
        <w:t>.</w:t>
      </w:r>
    </w:p>
    <w:p w14:paraId="16C4F9ED" w14:textId="77777777" w:rsidR="00AE6BF9" w:rsidRPr="00DB3E05" w:rsidRDefault="00AE6BF9" w:rsidP="0096404F">
      <w:pPr>
        <w:spacing w:line="360" w:lineRule="auto"/>
        <w:ind w:left="709"/>
        <w:jc w:val="both"/>
        <w:rPr>
          <w:rFonts w:ascii="Arial" w:eastAsiaTheme="minorEastAsia" w:hAnsi="Arial" w:cs="Arial"/>
          <w:color w:val="181818"/>
          <w:sz w:val="28"/>
          <w:szCs w:val="28"/>
          <w:lang w:val="en-GB"/>
          <w14:ligatures w14:val="standardContextual"/>
        </w:rPr>
      </w:pPr>
    </w:p>
    <w:p w14:paraId="7B505238" w14:textId="01C03BB8" w:rsidR="0096404F" w:rsidRPr="00DB3E05" w:rsidRDefault="0096404F" w:rsidP="00B83BB3">
      <w:pPr>
        <w:spacing w:line="360" w:lineRule="auto"/>
        <w:rPr>
          <w:rFonts w:ascii="Arial" w:hAnsi="Arial" w:cs="Arial"/>
          <w:b/>
          <w:bCs/>
          <w:color w:val="000000"/>
          <w:sz w:val="28"/>
          <w:szCs w:val="28"/>
        </w:rPr>
      </w:pPr>
      <w:r w:rsidRPr="00DB3E05">
        <w:rPr>
          <w:rFonts w:ascii="Arial" w:hAnsi="Arial" w:cs="Arial"/>
          <w:b/>
          <w:bCs/>
          <w:color w:val="000000"/>
          <w:sz w:val="28"/>
          <w:szCs w:val="28"/>
        </w:rPr>
        <w:t>1.8</w:t>
      </w:r>
      <w:r w:rsidRPr="00DB3E05">
        <w:rPr>
          <w:rFonts w:ascii="Arial" w:hAnsi="Arial" w:cs="Arial"/>
          <w:b/>
          <w:bCs/>
          <w:color w:val="000000"/>
          <w:sz w:val="28"/>
          <w:szCs w:val="28"/>
        </w:rPr>
        <w:tab/>
      </w:r>
      <w:r w:rsidRPr="00DB3E05">
        <w:rPr>
          <w:rFonts w:ascii="Arial" w:eastAsiaTheme="minorEastAsia" w:hAnsi="Arial" w:cs="Arial"/>
          <w:b/>
          <w:bCs/>
          <w:color w:val="181818"/>
          <w:sz w:val="28"/>
          <w:szCs w:val="28"/>
          <w:lang w:val="en-GB"/>
          <w14:ligatures w14:val="standardContextual"/>
        </w:rPr>
        <w:t>Section summary</w:t>
      </w:r>
    </w:p>
    <w:p w14:paraId="536F239B" w14:textId="7C63B389" w:rsidR="0096404F" w:rsidRPr="00DB3E05" w:rsidRDefault="0096404F" w:rsidP="0096404F">
      <w:pPr>
        <w:spacing w:line="360" w:lineRule="auto"/>
        <w:ind w:left="720"/>
        <w:jc w:val="both"/>
        <w:rPr>
          <w:rFonts w:ascii="Arial" w:eastAsiaTheme="minorEastAsia" w:hAnsi="Arial" w:cs="Arial"/>
          <w:color w:val="181818"/>
          <w:sz w:val="28"/>
          <w:szCs w:val="28"/>
          <w14:ligatures w14:val="standardContextual"/>
        </w:rPr>
      </w:pPr>
      <w:r w:rsidRPr="00DB3E05">
        <w:rPr>
          <w:rFonts w:ascii="Arial" w:eastAsiaTheme="minorEastAsia" w:hAnsi="Arial" w:cs="Arial"/>
          <w:color w:val="181818"/>
          <w:sz w:val="28"/>
          <w:szCs w:val="28"/>
          <w14:ligatures w14:val="standardContextual"/>
        </w:rPr>
        <w:t>This section discuss</w:t>
      </w:r>
      <w:r w:rsidR="008E0444" w:rsidRPr="00DB3E05">
        <w:rPr>
          <w:rFonts w:ascii="Arial" w:eastAsiaTheme="minorEastAsia" w:hAnsi="Arial" w:cs="Arial"/>
          <w:color w:val="181818"/>
          <w:sz w:val="28"/>
          <w:szCs w:val="28"/>
          <w14:ligatures w14:val="standardContextual"/>
        </w:rPr>
        <w:t>es</w:t>
      </w:r>
      <w:r w:rsidRPr="00DB3E05">
        <w:rPr>
          <w:rFonts w:ascii="Arial" w:eastAsiaTheme="minorEastAsia" w:hAnsi="Arial" w:cs="Arial"/>
          <w:color w:val="181818"/>
          <w:sz w:val="28"/>
          <w:szCs w:val="28"/>
          <w14:ligatures w14:val="standardContextual"/>
        </w:rPr>
        <w:t xml:space="preserve"> </w:t>
      </w:r>
      <w:r w:rsidR="00F16FBB" w:rsidRPr="00DB3E05">
        <w:rPr>
          <w:rFonts w:ascii="Arial" w:eastAsiaTheme="minorEastAsia" w:hAnsi="Arial" w:cs="Arial"/>
          <w:color w:val="181818"/>
          <w:sz w:val="28"/>
          <w:szCs w:val="28"/>
          <w14:ligatures w14:val="standardContextual"/>
        </w:rPr>
        <w:t xml:space="preserve">the background of this research, the </w:t>
      </w:r>
      <w:r w:rsidR="00B83BB3" w:rsidRPr="00DB3E05">
        <w:rPr>
          <w:rFonts w:ascii="Arial" w:eastAsiaTheme="minorEastAsia" w:hAnsi="Arial" w:cs="Arial"/>
          <w:color w:val="181818"/>
          <w:sz w:val="28"/>
          <w:szCs w:val="28"/>
          <w14:ligatures w14:val="standardContextual"/>
        </w:rPr>
        <w:t xml:space="preserve">regulatory development of ESG practices in Hong Kong, research aims and objectives, research problems, research questions and hypotheses as well as the research significance.   </w:t>
      </w:r>
    </w:p>
    <w:p w14:paraId="69B5D57C" w14:textId="77777777" w:rsidR="0096404F" w:rsidRPr="00DB3E05" w:rsidRDefault="0096404F" w:rsidP="0096404F">
      <w:pPr>
        <w:spacing w:line="360" w:lineRule="auto"/>
        <w:ind w:left="720"/>
        <w:jc w:val="both"/>
        <w:rPr>
          <w:rFonts w:ascii="Arial" w:eastAsiaTheme="minorEastAsia" w:hAnsi="Arial" w:cs="Arial"/>
          <w:color w:val="181818"/>
          <w:sz w:val="28"/>
          <w:szCs w:val="28"/>
          <w14:ligatures w14:val="standardContextual"/>
        </w:rPr>
      </w:pPr>
    </w:p>
    <w:p w14:paraId="28780E0A" w14:textId="7B9221AA" w:rsidR="00B83BB3" w:rsidRPr="00DB3E05" w:rsidRDefault="0096404F" w:rsidP="00B83BB3">
      <w:pPr>
        <w:spacing w:line="360" w:lineRule="auto"/>
        <w:ind w:left="720"/>
        <w:jc w:val="both"/>
        <w:rPr>
          <w:rFonts w:ascii="Arial" w:hAnsi="Arial" w:cs="Arial"/>
          <w:sz w:val="28"/>
          <w:szCs w:val="28"/>
        </w:rPr>
      </w:pPr>
      <w:r w:rsidRPr="00DB3E05">
        <w:rPr>
          <w:rFonts w:ascii="Arial" w:eastAsiaTheme="minorEastAsia" w:hAnsi="Arial" w:cs="Arial"/>
          <w:color w:val="181818"/>
          <w:sz w:val="28"/>
          <w:szCs w:val="28"/>
          <w14:ligatures w14:val="standardContextual"/>
        </w:rPr>
        <w:t>The next section will discu</w:t>
      </w:r>
      <w:r w:rsidR="00937D3D" w:rsidRPr="00DB3E05">
        <w:rPr>
          <w:rFonts w:ascii="Arial" w:eastAsiaTheme="minorEastAsia" w:hAnsi="Arial" w:cs="Arial"/>
          <w:color w:val="181818"/>
          <w:sz w:val="28"/>
          <w:szCs w:val="28"/>
          <w14:ligatures w14:val="standardContextual"/>
        </w:rPr>
        <w:t xml:space="preserve">ss the literature reviews </w:t>
      </w:r>
      <w:r w:rsidR="00B83BB3" w:rsidRPr="00DB3E05">
        <w:rPr>
          <w:rFonts w:ascii="Arial" w:eastAsiaTheme="minorEastAsia" w:hAnsi="Arial" w:cs="Arial"/>
          <w:color w:val="181818"/>
          <w:sz w:val="28"/>
          <w:szCs w:val="28"/>
          <w14:ligatures w14:val="standardContextual"/>
        </w:rPr>
        <w:t xml:space="preserve">about theories related to </w:t>
      </w:r>
      <w:r w:rsidR="00B83BB3" w:rsidRPr="00DB3E05">
        <w:rPr>
          <w:rFonts w:ascii="Arial" w:hAnsi="Arial" w:cs="Arial"/>
          <w:sz w:val="28"/>
          <w:szCs w:val="28"/>
        </w:rPr>
        <w:t>(</w:t>
      </w:r>
      <w:proofErr w:type="spellStart"/>
      <w:r w:rsidR="00B83BB3" w:rsidRPr="00DB3E05">
        <w:rPr>
          <w:rFonts w:ascii="Arial" w:hAnsi="Arial" w:cs="Arial"/>
          <w:sz w:val="28"/>
          <w:szCs w:val="28"/>
        </w:rPr>
        <w:t>i</w:t>
      </w:r>
      <w:proofErr w:type="spellEnd"/>
      <w:r w:rsidR="00B83BB3" w:rsidRPr="00DB3E05">
        <w:rPr>
          <w:rFonts w:ascii="Arial" w:hAnsi="Arial" w:cs="Arial"/>
          <w:sz w:val="28"/>
          <w:szCs w:val="28"/>
        </w:rPr>
        <w:t xml:space="preserve">) theories related to ESG reporting, (ii) ESG performance and </w:t>
      </w:r>
      <w:r w:rsidR="008B6175">
        <w:rPr>
          <w:rFonts w:ascii="Arial" w:hAnsi="Arial" w:cs="Arial"/>
          <w:sz w:val="28"/>
          <w:szCs w:val="28"/>
        </w:rPr>
        <w:t>corporate valuations</w:t>
      </w:r>
      <w:r w:rsidR="00B83BB3" w:rsidRPr="00DB3E05">
        <w:rPr>
          <w:rFonts w:ascii="Arial" w:hAnsi="Arial" w:cs="Arial"/>
          <w:sz w:val="28"/>
          <w:szCs w:val="28"/>
        </w:rPr>
        <w:t xml:space="preserve">, (iii) </w:t>
      </w:r>
      <w:r w:rsidR="00B83BB3" w:rsidRPr="00DB3E05">
        <w:rPr>
          <w:rFonts w:ascii="Arial" w:hAnsi="Arial" w:cs="Arial"/>
          <w:color w:val="000000"/>
          <w:sz w:val="28"/>
          <w:szCs w:val="28"/>
        </w:rPr>
        <w:t>artificial intelligence (“AI”) in ESG and (iv) executive compensation and ESG</w:t>
      </w:r>
      <w:r w:rsidR="00B83BB3" w:rsidRPr="00DB3E05">
        <w:rPr>
          <w:rFonts w:ascii="Arial" w:hAnsi="Arial" w:cs="Arial"/>
          <w:sz w:val="28"/>
          <w:szCs w:val="28"/>
        </w:rPr>
        <w:t>.</w:t>
      </w:r>
    </w:p>
    <w:p w14:paraId="3E4B6CAB" w14:textId="6E94BFB3" w:rsidR="0096404F" w:rsidRPr="00DB3E05" w:rsidRDefault="00FC4B36" w:rsidP="00FC4B36">
      <w:pPr>
        <w:rPr>
          <w:rFonts w:ascii="Arial" w:eastAsiaTheme="minorEastAsia" w:hAnsi="Arial" w:cs="Arial"/>
          <w:color w:val="181818"/>
          <w:sz w:val="28"/>
          <w:szCs w:val="28"/>
          <w14:ligatures w14:val="standardContextual"/>
        </w:rPr>
      </w:pPr>
      <w:r>
        <w:rPr>
          <w:rFonts w:ascii="Arial" w:eastAsiaTheme="minorEastAsia" w:hAnsi="Arial" w:cs="Arial"/>
          <w:color w:val="181818"/>
          <w:sz w:val="28"/>
          <w:szCs w:val="28"/>
          <w14:ligatures w14:val="standardContextual"/>
        </w:rPr>
        <w:br w:type="page"/>
      </w:r>
    </w:p>
    <w:p w14:paraId="16AFCAF4" w14:textId="77777777" w:rsidR="00E1565F" w:rsidRPr="00DB3E05" w:rsidRDefault="00E1565F" w:rsidP="00E1565F">
      <w:pPr>
        <w:tabs>
          <w:tab w:val="left" w:pos="709"/>
          <w:tab w:val="right" w:pos="8931"/>
        </w:tabs>
        <w:spacing w:line="360" w:lineRule="auto"/>
        <w:jc w:val="both"/>
        <w:rPr>
          <w:rFonts w:ascii="Arial" w:hAnsi="Arial" w:cs="Arial"/>
          <w:b/>
          <w:bCs/>
          <w:color w:val="000000"/>
          <w:sz w:val="28"/>
          <w:szCs w:val="28"/>
          <w:u w:val="single"/>
        </w:rPr>
      </w:pPr>
      <w:r w:rsidRPr="00DB3E05">
        <w:rPr>
          <w:rFonts w:ascii="Arial" w:hAnsi="Arial" w:cs="Arial"/>
          <w:b/>
          <w:bCs/>
          <w:color w:val="000000"/>
          <w:sz w:val="28"/>
          <w:szCs w:val="28"/>
        </w:rPr>
        <w:lastRenderedPageBreak/>
        <w:t>2.</w:t>
      </w:r>
      <w:r w:rsidRPr="00DB3E05">
        <w:rPr>
          <w:rFonts w:ascii="Arial" w:hAnsi="Arial" w:cs="Arial"/>
          <w:b/>
          <w:bCs/>
          <w:color w:val="000000"/>
          <w:sz w:val="28"/>
          <w:szCs w:val="28"/>
        </w:rPr>
        <w:tab/>
      </w:r>
      <w:r w:rsidRPr="00DB3E05">
        <w:rPr>
          <w:rFonts w:ascii="Arial" w:hAnsi="Arial" w:cs="Arial"/>
          <w:b/>
          <w:bCs/>
          <w:color w:val="000000"/>
          <w:sz w:val="28"/>
          <w:szCs w:val="28"/>
          <w:u w:val="single"/>
        </w:rPr>
        <w:t>LITERATURE REVIEW</w:t>
      </w:r>
    </w:p>
    <w:p w14:paraId="7109AC1C"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2.1</w:t>
      </w:r>
      <w:r w:rsidRPr="00DB3E05">
        <w:rPr>
          <w:rFonts w:ascii="Arial" w:hAnsi="Arial" w:cs="Arial"/>
          <w:b/>
          <w:bCs/>
          <w:color w:val="000000"/>
          <w:sz w:val="28"/>
          <w:szCs w:val="28"/>
        </w:rPr>
        <w:tab/>
        <w:t>Introduction</w:t>
      </w:r>
    </w:p>
    <w:p w14:paraId="1B1C943A" w14:textId="18878949" w:rsidR="00E1565F" w:rsidRPr="00DB3E05" w:rsidRDefault="00E1565F" w:rsidP="00E1565F">
      <w:pPr>
        <w:spacing w:line="360" w:lineRule="auto"/>
        <w:ind w:left="720"/>
        <w:jc w:val="both"/>
        <w:rPr>
          <w:rFonts w:ascii="Arial" w:hAnsi="Arial" w:cs="Arial"/>
          <w:sz w:val="28"/>
          <w:szCs w:val="28"/>
        </w:rPr>
      </w:pPr>
      <w:r w:rsidRPr="00DB3E05">
        <w:rPr>
          <w:rFonts w:ascii="Arial" w:hAnsi="Arial" w:cs="Arial"/>
          <w:sz w:val="28"/>
          <w:szCs w:val="28"/>
        </w:rPr>
        <w:t xml:space="preserve">As mentioned in Section 1.5 above, the aims and objectives of this research proposal is to examine the relationship between ESG disclosure and </w:t>
      </w:r>
      <w:r w:rsidR="008B6175">
        <w:rPr>
          <w:rFonts w:ascii="Arial" w:hAnsi="Arial" w:cs="Arial"/>
          <w:sz w:val="28"/>
          <w:szCs w:val="28"/>
        </w:rPr>
        <w:t>corporate valuations</w:t>
      </w:r>
      <w:r w:rsidRPr="00DB3E05">
        <w:rPr>
          <w:rFonts w:ascii="Arial" w:hAnsi="Arial" w:cs="Arial"/>
          <w:sz w:val="28"/>
          <w:szCs w:val="28"/>
        </w:rPr>
        <w:t xml:space="preserve"> for companies which shares listed on the Stock Exchange.   Although ESG has been introduced more than a decade, it has been a very popular topic.  There are literature reviews on ESG topics, this section will discuss the literature reviews focus on (</w:t>
      </w:r>
      <w:proofErr w:type="spellStart"/>
      <w:r w:rsidRPr="00DB3E05">
        <w:rPr>
          <w:rFonts w:ascii="Arial" w:hAnsi="Arial" w:cs="Arial"/>
          <w:sz w:val="28"/>
          <w:szCs w:val="28"/>
        </w:rPr>
        <w:t>i</w:t>
      </w:r>
      <w:proofErr w:type="spellEnd"/>
      <w:r w:rsidRPr="00DB3E05">
        <w:rPr>
          <w:rFonts w:ascii="Arial" w:hAnsi="Arial" w:cs="Arial"/>
          <w:sz w:val="28"/>
          <w:szCs w:val="28"/>
        </w:rPr>
        <w:t xml:space="preserve">) theories related to ESG reporting, (ii) ESG performance and </w:t>
      </w:r>
      <w:r w:rsidR="008B6175">
        <w:rPr>
          <w:rFonts w:ascii="Arial" w:hAnsi="Arial" w:cs="Arial"/>
          <w:sz w:val="28"/>
          <w:szCs w:val="28"/>
        </w:rPr>
        <w:t>corporate valuations</w:t>
      </w:r>
      <w:r w:rsidRPr="00DB3E05">
        <w:rPr>
          <w:rFonts w:ascii="Arial" w:hAnsi="Arial" w:cs="Arial"/>
          <w:sz w:val="28"/>
          <w:szCs w:val="28"/>
        </w:rPr>
        <w:t xml:space="preserve">, (iii) </w:t>
      </w:r>
      <w:r w:rsidRPr="00DB3E05">
        <w:rPr>
          <w:rFonts w:ascii="Arial" w:hAnsi="Arial" w:cs="Arial"/>
          <w:color w:val="000000"/>
          <w:sz w:val="28"/>
          <w:szCs w:val="28"/>
        </w:rPr>
        <w:t>AI in ESG and (iv) executive compensation and ESG</w:t>
      </w:r>
      <w:r w:rsidRPr="00DB3E05">
        <w:rPr>
          <w:rFonts w:ascii="Arial" w:hAnsi="Arial" w:cs="Arial"/>
          <w:sz w:val="28"/>
          <w:szCs w:val="28"/>
        </w:rPr>
        <w:t>.</w:t>
      </w:r>
    </w:p>
    <w:p w14:paraId="326F37D5"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6FBDBA25"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2.2</w:t>
      </w:r>
      <w:r w:rsidRPr="00DB3E05">
        <w:rPr>
          <w:rFonts w:ascii="Arial" w:hAnsi="Arial" w:cs="Arial"/>
          <w:b/>
          <w:bCs/>
          <w:color w:val="000000"/>
          <w:sz w:val="28"/>
          <w:szCs w:val="28"/>
        </w:rPr>
        <w:tab/>
        <w:t>Theories related to ESG reporting</w:t>
      </w:r>
      <w:r w:rsidRPr="00DB3E05">
        <w:rPr>
          <w:rFonts w:ascii="Arial" w:hAnsi="Arial" w:cs="Arial"/>
          <w:b/>
          <w:bCs/>
          <w:color w:val="000000"/>
          <w:sz w:val="28"/>
          <w:szCs w:val="28"/>
        </w:rPr>
        <w:tab/>
      </w:r>
    </w:p>
    <w:p w14:paraId="5C9B207D"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Agency theory</w:t>
      </w:r>
    </w:p>
    <w:p w14:paraId="463A4FC6" w14:textId="0111933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shareholders delegate the authority to management to run the companies.  The management should consider the interest of the companies.  However, there are concerns as the goals of the shareholders and management are different and the information between the two parties is different.    The shareholders are more satisfied with ESG disclosure due to the enhancement of transparency.  There are positive impacts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for disclosure of non-financial information, including ESG information.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(Carnini Pulino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p>
    <w:p w14:paraId="46133C24"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222222"/>
          <w:sz w:val="20"/>
          <w:szCs w:val="20"/>
          <w:shd w:val="clear" w:color="auto" w:fill="FFFFFF"/>
        </w:rPr>
      </w:pPr>
    </w:p>
    <w:p w14:paraId="6AF7096B"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proofErr w:type="spellStart"/>
      <w:r w:rsidRPr="00DB3E05">
        <w:rPr>
          <w:rFonts w:ascii="Arial" w:hAnsi="Arial" w:cs="Arial"/>
          <w:i/>
          <w:iCs/>
          <w:color w:val="000000"/>
          <w:sz w:val="28"/>
          <w:szCs w:val="28"/>
          <w:u w:val="single"/>
        </w:rPr>
        <w:t>Signaling</w:t>
      </w:r>
      <w:proofErr w:type="spellEnd"/>
      <w:r w:rsidRPr="00DB3E05">
        <w:rPr>
          <w:rFonts w:ascii="Arial" w:hAnsi="Arial" w:cs="Arial"/>
          <w:i/>
          <w:iCs/>
          <w:color w:val="000000"/>
          <w:sz w:val="28"/>
          <w:szCs w:val="28"/>
          <w:u w:val="single"/>
        </w:rPr>
        <w:t xml:space="preserve"> theory</w:t>
      </w:r>
    </w:p>
    <w:p w14:paraId="22312DA2"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Since the information available to shareholders and management are different and there is information asymmetry, which can be reduced by sharing of information with the shareholders voluntary.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(Carnini Pulino et al., 2022)</w:t>
      </w:r>
      <w:r w:rsidRPr="00DB3E05">
        <w:rPr>
          <w:rFonts w:ascii="Arial" w:hAnsi="Arial" w:cs="Arial"/>
          <w:color w:val="000000"/>
          <w:sz w:val="28"/>
          <w:szCs w:val="28"/>
        </w:rPr>
        <w:fldChar w:fldCharType="end"/>
      </w:r>
    </w:p>
    <w:p w14:paraId="53B058B9"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rPr>
      </w:pPr>
      <w:r w:rsidRPr="00DB3E05">
        <w:rPr>
          <w:rFonts w:ascii="Arial" w:hAnsi="Arial" w:cs="Arial"/>
          <w:i/>
          <w:iCs/>
          <w:color w:val="000000"/>
          <w:sz w:val="28"/>
          <w:szCs w:val="28"/>
        </w:rPr>
        <w:tab/>
      </w:r>
    </w:p>
    <w:p w14:paraId="6A547A27" w14:textId="77777777" w:rsidR="00860923" w:rsidRDefault="00E1565F" w:rsidP="00E1565F">
      <w:pPr>
        <w:tabs>
          <w:tab w:val="left" w:pos="0"/>
          <w:tab w:val="left" w:pos="709"/>
          <w:tab w:val="right" w:pos="8931"/>
        </w:tabs>
        <w:spacing w:line="360" w:lineRule="auto"/>
        <w:jc w:val="both"/>
        <w:rPr>
          <w:rFonts w:ascii="Arial" w:hAnsi="Arial" w:cs="Arial"/>
          <w:i/>
          <w:iCs/>
          <w:color w:val="000000"/>
          <w:sz w:val="28"/>
          <w:szCs w:val="28"/>
        </w:rPr>
      </w:pPr>
      <w:r w:rsidRPr="00DB3E05">
        <w:rPr>
          <w:rFonts w:ascii="Arial" w:hAnsi="Arial" w:cs="Arial"/>
          <w:i/>
          <w:iCs/>
          <w:color w:val="000000"/>
          <w:sz w:val="28"/>
          <w:szCs w:val="28"/>
        </w:rPr>
        <w:tab/>
      </w:r>
    </w:p>
    <w:p w14:paraId="2F4885E1" w14:textId="6A3ABA79" w:rsidR="00E1565F" w:rsidRPr="00DB3E05" w:rsidRDefault="00860923" w:rsidP="00E1565F">
      <w:pPr>
        <w:tabs>
          <w:tab w:val="left" w:pos="0"/>
          <w:tab w:val="left" w:pos="709"/>
          <w:tab w:val="right" w:pos="8931"/>
        </w:tabs>
        <w:spacing w:line="360" w:lineRule="auto"/>
        <w:jc w:val="both"/>
        <w:rPr>
          <w:rFonts w:ascii="Arial" w:hAnsi="Arial" w:cs="Arial"/>
          <w:i/>
          <w:iCs/>
          <w:color w:val="000000"/>
          <w:sz w:val="28"/>
          <w:szCs w:val="28"/>
          <w:u w:val="single"/>
        </w:rPr>
      </w:pPr>
      <w:r w:rsidRPr="00860923">
        <w:rPr>
          <w:rFonts w:ascii="Arial" w:hAnsi="Arial" w:cs="Arial"/>
          <w:i/>
          <w:iCs/>
          <w:color w:val="000000"/>
          <w:sz w:val="28"/>
          <w:szCs w:val="28"/>
        </w:rPr>
        <w:lastRenderedPageBreak/>
        <w:tab/>
      </w:r>
      <w:r w:rsidR="00E1565F" w:rsidRPr="00DB3E05">
        <w:rPr>
          <w:rFonts w:ascii="Arial" w:hAnsi="Arial" w:cs="Arial"/>
          <w:i/>
          <w:iCs/>
          <w:color w:val="000000"/>
          <w:sz w:val="28"/>
          <w:szCs w:val="28"/>
          <w:u w:val="single"/>
        </w:rPr>
        <w:t>Public interest theory</w:t>
      </w:r>
    </w:p>
    <w:p w14:paraId="0C44C5F5"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Public interest theory suggests that public companies act to protect the interest of the public at large, rather than specific interest groups.  This theory assumes that decision and regulations are made with the intention of maximizing social welfare and correcting market failures.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sidRPr="00DB3E05">
        <w:rPr>
          <w:rFonts w:ascii="Arial" w:hAnsi="Arial" w:cs="Arial"/>
          <w:color w:val="000000"/>
          <w:sz w:val="28"/>
          <w:szCs w:val="28"/>
        </w:rPr>
        <w:tab/>
      </w:r>
    </w:p>
    <w:p w14:paraId="456B0AD7"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ab/>
      </w:r>
    </w:p>
    <w:p w14:paraId="368BB4D8"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i/>
          <w:iCs/>
          <w:color w:val="000000"/>
          <w:sz w:val="28"/>
          <w:szCs w:val="28"/>
        </w:rPr>
        <w:tab/>
      </w:r>
      <w:r w:rsidRPr="00DB3E05">
        <w:rPr>
          <w:rFonts w:ascii="Arial" w:hAnsi="Arial" w:cs="Arial"/>
          <w:i/>
          <w:iCs/>
          <w:color w:val="000000"/>
          <w:sz w:val="28"/>
          <w:szCs w:val="28"/>
          <w:u w:val="single"/>
        </w:rPr>
        <w:t>Legitimacy theory</w:t>
      </w:r>
    </w:p>
    <w:p w14:paraId="28A59B09"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b/>
          <w:bCs/>
          <w:color w:val="000000"/>
          <w:sz w:val="28"/>
          <w:szCs w:val="28"/>
        </w:rPr>
        <w:tab/>
      </w:r>
      <w:r w:rsidRPr="00DB3E05">
        <w:rPr>
          <w:rFonts w:ascii="Arial" w:hAnsi="Arial" w:cs="Arial"/>
          <w:color w:val="000000"/>
          <w:sz w:val="28"/>
          <w:szCs w:val="28"/>
        </w:rPr>
        <w:t xml:space="preserve">Legitimacy theory is based on the notion that companies continuously seek to ensure that they operate within the bounds and norms of societies.  This theory suggests that companies need to perceived as legitimate to secure access to resources and to continue their operations.  Legitimacy can be gained through various means, including strategic communication and compliance with rules and regulations. Listed companies are willing to  carryout ESG act and make  out ESG disclosure is to fulfil the regulatory requirements and meet the expectation of the society.  However, we have to note that the ESG reporting is only on voluntary basis.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p>
    <w:p w14:paraId="74397691"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5B8691C2" w14:textId="09C7FE3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Companies implemented strategies to improve ESG performance can protect them from negative corporate news.  However, ESG scandals can negatively affect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p>
    <w:p w14:paraId="5492ADB2"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rPr>
      </w:pPr>
      <w:r w:rsidRPr="00DB3E05">
        <w:rPr>
          <w:rFonts w:ascii="Arial" w:hAnsi="Arial" w:cs="Arial"/>
          <w:i/>
          <w:iCs/>
          <w:color w:val="000000"/>
          <w:sz w:val="28"/>
          <w:szCs w:val="28"/>
        </w:rPr>
        <w:tab/>
      </w:r>
    </w:p>
    <w:p w14:paraId="1A1E66EC"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Stakeholder theory</w:t>
      </w:r>
    </w:p>
    <w:p w14:paraId="1B5F3CB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Stakeholder theory posits that companies should consider the interest of all stakeholders in their decision making processes.  Stakeholders includes anyone affected by the actions of the companies such as employees, customers, suppliers and regulators.  The core idea is that creating value for all stakeholders, not just maximizing the wealth of shareholders, is essential for the long-term success of companies.  This theory emphasizes ethical considerations and interdependence of </w:t>
      </w:r>
      <w:r w:rsidRPr="00DB3E05">
        <w:rPr>
          <w:rFonts w:ascii="Arial" w:hAnsi="Arial" w:cs="Arial"/>
          <w:color w:val="000000"/>
          <w:sz w:val="28"/>
          <w:szCs w:val="28"/>
        </w:rPr>
        <w:lastRenderedPageBreak/>
        <w:t xml:space="preserve">relationships in business practices.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&lt;EndNote&gt;&lt;Cite&gt;&lt;Author&gt;Freeman&lt;/Author&gt;&lt;Year&gt;2010&lt;/Year&gt;&lt;RecNum&gt;68&lt;/RecNum&gt;&lt;DisplayText&gt;(Freeman et al., 2010)&lt;/DisplayText&gt;&lt;record&gt;&lt;rec-number&gt;68&lt;/rec-number&gt;&lt;foreign-keys&gt;&lt;key app="EN" db-id="0vtwt0xdiepatveerwsxw55izapvzd0d0v5w" timestamp="1721201292" guid="cc0a075d-ebea-49bb-bb2c-829d53036948"&gt;68&lt;/key&gt;&lt;/foreign-keys&gt;&lt;ref-type name="Journal Article"&gt;17&lt;/ref-type&gt;&lt;contributors&gt;&lt;authors&gt;&lt;author&gt;Freeman, R Edward&lt;/author&gt;&lt;author&gt;Harrison, Jeffrey S&lt;/author&gt;&lt;author&gt;Wicks, Andrew C&lt;/author&gt;&lt;author&gt;Parmar, Bidhan L&lt;/author&gt;&lt;author&gt;De Colle, Simone&lt;/author&gt;&lt;/authors&gt;&lt;/contributors&gt;&lt;titles&gt;&lt;title&gt;Stakeholder theory: The state of the art&lt;/title&gt;&lt;/titles&gt;&lt;dates&gt;&lt;year&gt;2010&lt;/year&gt;&lt;/dates&gt;&lt;isbn&gt;1139484117&lt;/isbn&gt;&lt;urls&gt;&lt;/urls&gt;&lt;/record&gt;&lt;/Cite&gt;&lt;/EndNote&gt;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(Freeman et al., 2010)</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p>
    <w:p w14:paraId="2FA9B956"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1D37E532" w14:textId="5A26772D"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Companies implemented strategies to improve ESG performance can strengthen their reputation from stakeholders’ perspective and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would be increased accordingly.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p>
    <w:p w14:paraId="0460778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03D6FB2C" w14:textId="51DBFE1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ability of companies to meet the expectations of stakeholders affecting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p>
    <w:p w14:paraId="696E7B22"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p>
    <w:p w14:paraId="4E76B160" w14:textId="0205FE66"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2.3</w:t>
      </w:r>
      <w:r w:rsidRPr="00DB3E05">
        <w:rPr>
          <w:rFonts w:ascii="Arial" w:hAnsi="Arial" w:cs="Arial"/>
          <w:b/>
          <w:bCs/>
          <w:color w:val="000000"/>
          <w:sz w:val="28"/>
          <w:szCs w:val="28"/>
        </w:rPr>
        <w:tab/>
        <w:t xml:space="preserve">ESG performance and </w:t>
      </w:r>
      <w:r w:rsidR="008B6175">
        <w:rPr>
          <w:rFonts w:ascii="Arial" w:hAnsi="Arial" w:cs="Arial"/>
          <w:b/>
          <w:bCs/>
          <w:color w:val="000000"/>
          <w:sz w:val="28"/>
          <w:szCs w:val="28"/>
        </w:rPr>
        <w:t>corporate valuations</w:t>
      </w:r>
      <w:r w:rsidRPr="00DB3E05">
        <w:rPr>
          <w:rFonts w:ascii="Arial" w:hAnsi="Arial" w:cs="Arial"/>
          <w:b/>
          <w:bCs/>
          <w:color w:val="000000"/>
          <w:sz w:val="28"/>
          <w:szCs w:val="28"/>
        </w:rPr>
        <w:tab/>
      </w:r>
    </w:p>
    <w:p w14:paraId="3A7F8A8A"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Environmental factors</w:t>
      </w:r>
    </w:p>
    <w:p w14:paraId="49F2A1BB" w14:textId="217DE69E"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considered the studies of environment factor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be quite sufficient.  However, the results vary that some studies showed that environmental performance has positive impact on financial performance whereas some studies showed opposite views.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585E5667"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14:paraId="36259F3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i/>
          <w:iCs/>
          <w:color w:val="000000"/>
          <w:sz w:val="28"/>
          <w:szCs w:val="28"/>
          <w:u w:val="single"/>
        </w:rPr>
        <w:t>Social factors</w:t>
      </w:r>
    </w:p>
    <w:p w14:paraId="5C5A9743"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studies of social factors were mainly based on stakeholder theory and agency theory.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also pointed out that the rating of social factors affected by the business nature.  Some companies may put more emphasis on social factors even though it has negative impact on financial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695EB0C6"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0B07FA8"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i/>
          <w:iCs/>
          <w:color w:val="000000"/>
          <w:sz w:val="28"/>
          <w:szCs w:val="28"/>
          <w:u w:val="single"/>
        </w:rPr>
        <w:t>Governance factors</w:t>
      </w:r>
    </w:p>
    <w:p w14:paraId="3E1E472B"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For governance factors,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highlighted a focus on equity structures and board configurations.  Effective governance, characterized by well-structures board practices, is crucial for overseeing corporate strategy and ethics, including ESG policies.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2A9D0F45"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665F8AF4"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showed that the ESG performance can help companies to improve their operating capacity.  However, ESG performance cannot provide much support on the profitability and growth. This study further showed that market value can be improved by having good ESG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21EB710B" w14:textId="77777777" w:rsidR="00091831" w:rsidRPr="00DB3E05" w:rsidRDefault="00091831" w:rsidP="00E1565F">
      <w:pPr>
        <w:tabs>
          <w:tab w:val="left" w:pos="0"/>
          <w:tab w:val="left" w:pos="709"/>
          <w:tab w:val="right" w:pos="8931"/>
        </w:tabs>
        <w:spacing w:line="360" w:lineRule="auto"/>
        <w:ind w:left="709"/>
        <w:jc w:val="both"/>
        <w:rPr>
          <w:rFonts w:ascii="Arial" w:hAnsi="Arial" w:cs="Arial"/>
          <w:color w:val="000000"/>
          <w:sz w:val="28"/>
          <w:szCs w:val="28"/>
        </w:rPr>
      </w:pPr>
    </w:p>
    <w:p w14:paraId="7A629804" w14:textId="57BDA839"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&lt;EndNote&gt;&lt;Cite&gt;&lt;Author&gt;Dincă&lt;/Author&gt;&lt;Year&gt;2022&lt;/Year&gt;&lt;RecNum&gt;56&lt;/RecNum&gt;&lt;DisplayText&gt;(Dincă et al., 2022)&lt;/DisplayText&gt;&lt;record&gt;&lt;rec-number&gt;56&lt;/rec-number&gt;&lt;foreign-keys&gt;&lt;key app="EN" db-id="0vtwt0xdiepatveerwsxw55izapvzd0d0v5w" timestamp="1719050585" guid="8e4a418d-d271-4acd-a77a-a049903892b4"&gt;56&lt;/key&gt;&lt;/foreign-keys&gt;&lt;ref-type name="Journal Article"&gt;17&lt;/ref-type&gt;&lt;contributors&gt;&lt;authors&gt;&lt;author&gt;Dincă, Marius Sorin&lt;/author&gt;&lt;author&gt;Vezeteu, Cosmin-Dănuț&lt;/author&gt;&lt;author&gt;Dincă, Dragoș&lt;/author&gt;&lt;/authors&gt;&lt;/contributors&gt;&lt;titles&gt;&lt;title&gt;The relationship between ESG and firm value. Case study of the automotive industry&lt;/title&gt;&lt;secondary-title&gt;Frontiers in Environmental Science&lt;/secondary-title&gt;&lt;/titles&gt;&lt;periodical&gt;&lt;full-title&gt;Frontiers in Environmental Science&lt;/full-title&gt;&lt;/periodical&gt;&lt;pages&gt;1059906&lt;/pages&gt;&lt;volume&gt;10&lt;/volume&gt;&lt;dates&gt;&lt;year&gt;2022&lt;/year&gt;&lt;/dates&gt;&lt;isbn&gt;2296-665X&lt;/isbn&gt;&lt;urls&gt;&lt;/urls&gt;&lt;/record&gt;&lt;/Cite&gt;&lt;/EndNote&gt;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(Dincă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showed that the ESG factors do not have significant impact on corporate value for automotive industry.  </w:t>
      </w:r>
    </w:p>
    <w:p w14:paraId="336EC871"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3C0C5B9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(Leung, 2024) found that the stakeholder theory is not supported on ESG performance.  The board size does not positively affect the ESG performance as the benefits of larger board size, including the border skills, experience and diversity, will be offset by the inefficiency of larger board size.  (Leung, 2024)</w:t>
      </w:r>
    </w:p>
    <w:p w14:paraId="4123513B"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02F00AF2"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Besides, the increase in proportion of independent directors in the board which is expected from different stakeholders does not have positive impact of ESG performance as they are not the management who are responsible for day-to-day management.  (Leung, 2024)</w:t>
      </w:r>
    </w:p>
    <w:p w14:paraId="4DE09678"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3BF9480C" w14:textId="7E88BD0F"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However, the separate role of chairman and chief executive office</w:t>
      </w:r>
      <w:r w:rsidR="00937D3D" w:rsidRPr="00DB3E05">
        <w:rPr>
          <w:rFonts w:ascii="Arial" w:hAnsi="Arial" w:cs="Arial"/>
          <w:color w:val="000000"/>
          <w:sz w:val="28"/>
          <w:szCs w:val="28"/>
        </w:rPr>
        <w:t>r</w:t>
      </w:r>
      <w:r w:rsidRPr="00DB3E05">
        <w:rPr>
          <w:rFonts w:ascii="Arial" w:hAnsi="Arial" w:cs="Arial"/>
          <w:color w:val="000000"/>
          <w:sz w:val="28"/>
          <w:szCs w:val="28"/>
        </w:rPr>
        <w:t xml:space="preserve"> do have positive impact on ESG performance.  (Leung, 2024)</w:t>
      </w:r>
    </w:p>
    <w:p w14:paraId="654DC5A8"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73A49AF1" w14:textId="1BCEBB5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representation of </w:t>
      </w:r>
      <w:r w:rsidR="00E373B0" w:rsidRPr="00DB3E05">
        <w:rPr>
          <w:rFonts w:ascii="Arial" w:hAnsi="Arial" w:cs="Arial"/>
          <w:color w:val="000000"/>
          <w:sz w:val="28"/>
          <w:szCs w:val="28"/>
        </w:rPr>
        <w:t>female</w:t>
      </w:r>
      <w:r w:rsidRPr="00DB3E05">
        <w:rPr>
          <w:rFonts w:ascii="Arial" w:hAnsi="Arial" w:cs="Arial"/>
          <w:color w:val="000000"/>
          <w:sz w:val="28"/>
          <w:szCs w:val="28"/>
        </w:rPr>
        <w:t xml:space="preserve"> on corporate board remains disproportionately low.   In response to this gender disparity, several countries have instituted mandates requiring listed companies to include </w:t>
      </w:r>
      <w:r w:rsidR="00AE6BF9" w:rsidRPr="00DB3E05">
        <w:rPr>
          <w:rFonts w:ascii="Arial" w:hAnsi="Arial" w:cs="Arial"/>
          <w:color w:val="000000"/>
          <w:sz w:val="28"/>
          <w:szCs w:val="28"/>
        </w:rPr>
        <w:t>female</w:t>
      </w:r>
      <w:r w:rsidRPr="00DB3E05">
        <w:rPr>
          <w:rFonts w:ascii="Arial" w:hAnsi="Arial" w:cs="Arial"/>
          <w:color w:val="000000"/>
          <w:sz w:val="28"/>
          <w:szCs w:val="28"/>
        </w:rPr>
        <w:t xml:space="preserve"> as part of their board of directors.  These regulations aim to enhance diversity at the highest level of corporate governance and challenge the longstanding gender imbalances that exist within the boardrooms.  By introducing such mandates, these countries are taking </w:t>
      </w:r>
      <w:r w:rsidRPr="00DB3E05">
        <w:rPr>
          <w:rFonts w:ascii="Arial" w:hAnsi="Arial" w:cs="Arial"/>
          <w:color w:val="000000"/>
          <w:sz w:val="28"/>
          <w:szCs w:val="28"/>
        </w:rPr>
        <w:lastRenderedPageBreak/>
        <w:t xml:space="preserve">concrete steps towards achieving greater gender equality in the corporate sector, thereby enriching decision-making  processes with diverse perspectives.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&lt;EndNote&gt;&lt;Cite&gt;&lt;Author&gt;Brahma&lt;/Author&gt;&lt;Year&gt;2021&lt;/Year&gt;&lt;RecNum&gt;69&lt;/RecNum&gt;&lt;DisplayText&gt;(Brahma et al., 2021)&lt;/DisplayText&gt;&lt;record&gt;&lt;rec-number&gt;69&lt;/rec-number&gt;&lt;foreign-keys&gt;&lt;key app="EN" db-id="0vtwt0xdiepatveerwsxw55izapvzd0d0v5w" timestamp="1721471291" guid="77c3b45d-0b8b-46c3-88b4-a34b6cc8cc9a"&gt;69&lt;/key&gt;&lt;/foreign-keys&gt;&lt;ref-type name="Journal Article"&gt;17&lt;/ref-type&gt;&lt;contributors&gt;&lt;authors&gt;&lt;author&gt;Brahma, Sanjukta&lt;/author&gt;&lt;author&gt;Nwafor, Chioma&lt;/author&gt;&lt;author&gt;Boateng, Agyenim&lt;/author&gt;&lt;/authors&gt;&lt;/contributors&gt;&lt;titles&gt;&lt;title&gt;Board gender diversity and firm performance: The UK evidence&lt;/title&gt;&lt;secondary-title&gt;International Journal of Finance &amp;amp; Economics&lt;/secondary-title&gt;&lt;/titles&gt;&lt;periodical&gt;&lt;full-title&gt;International Journal of Finance &amp;amp; Economics&lt;/full-title&gt;&lt;/periodical&gt;&lt;pages&gt;5704-5719&lt;/pages&gt;&lt;volume&gt;26&lt;/volume&gt;&lt;number&gt;4&lt;/number&gt;&lt;dates&gt;&lt;year&gt;2021&lt;/year&gt;&lt;/dates&gt;&lt;isbn&gt;1076-9307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(Brahma et al., 2021)</w:t>
      </w:r>
      <w:r w:rsidRPr="00DB3E05">
        <w:rPr>
          <w:rFonts w:ascii="Arial" w:hAnsi="Arial" w:cs="Arial"/>
          <w:color w:val="000000"/>
          <w:sz w:val="28"/>
          <w:szCs w:val="28"/>
        </w:rPr>
        <w:fldChar w:fldCharType="end"/>
      </w:r>
    </w:p>
    <w:p w14:paraId="0CD8F262"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9D7638D"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There are literature reviews on the impact of board diversity on corporate performance and ESG performance.  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focused on the impact of female board members on corporate performance, specifically examining the roles of female independent directors and female executive directors within Taiwanese financial companies and Chinese banks. This research utilized a substantial sample from these sectors to explore how gender diversity in leadership positions influences corporate outcomes.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p>
    <w:p w14:paraId="57132323"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1437ECEE"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findings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underscore the significant contributions that female directors make to corporate value. The study detailed how the presence of female independent directors, who bring external perspectives and reduce conflicts of interest, positively affects governance dynamics and decision-making processes. These directors are not employees of the company and therefore are thought to offer more unbiased judgments, which can lead to enhanced governance standards and improved oversight.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p>
    <w:p w14:paraId="40891990"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br/>
        <w:t xml:space="preserve">Similarly, the role of female executive directors, who are actively involved in the day-to-day management of the company, was also found to be crucial. Their involvement at the executive level ensures that the company benefits from a broader range of insights and leadership styles, which can lead to better management decisions and increased corporate value.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p>
    <w:p w14:paraId="66A67E81"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5E8F33C" w14:textId="77777777" w:rsidR="009416CD"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focuses on the impact of female directors on corporate value, specifically examining Taiwanese financial </w:t>
      </w:r>
      <w:r w:rsidRPr="00DB3E05">
        <w:rPr>
          <w:rFonts w:ascii="Arial" w:hAnsi="Arial" w:cs="Arial"/>
          <w:color w:val="000000"/>
          <w:sz w:val="28"/>
          <w:szCs w:val="28"/>
        </w:rPr>
        <w:lastRenderedPageBreak/>
        <w:t xml:space="preserve">companies and Chinese banks. This study highlights how female directors contribute to corporate governance and performance in the Taiwanese and Chinese context. However,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's study does not extend to Hong Kong, leaving an unexplored area in terms of gender diversity on boards within this region.</w:t>
      </w:r>
    </w:p>
    <w:p w14:paraId="1C5008DC" w14:textId="04C8453A"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br/>
        <w:t>Conversely, the study of (Leung, 2024) investigated corporate governance in listed companies in Hong Kong but did not specifically address the role of female board members. This represents a significant gap in the research, particularly given the increasing global interest in gender diversity as a component of corporate governance.</w:t>
      </w:r>
    </w:p>
    <w:p w14:paraId="4570AC46"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br/>
        <w:t>The planned research aims to bridge this gap by examining the influence of female directors on corporate value in Hong Kong. This study will not only extend the geographical scope of existing research but will also enhance understanding of how gender diversity on boards can affect corporate performance in different regulatory and cultural contexts. By focusing on Hong Kong, the research seeks to provide insights specific to its unique business environment and regulatory framework.</w:t>
      </w:r>
    </w:p>
    <w:p w14:paraId="0E8DD6CB"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275E9A8" w14:textId="378BEAB1"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There are literature reviews show that ESG performance has positive impact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However, Leung, 2024 suggested that the ESG performance does not have positive impact on listed companies in Hong Kong.  (Leung, 2024)  </w:t>
      </w:r>
    </w:p>
    <w:p w14:paraId="3091CFE9"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64E1FD7A"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Since the conclusion of (Leung, 2024) is based on the data in 2020 and 2021 when the economy was affected by COVID-19 pandemic.  It is worth to study the relationship using post COVID-19 pandemic financial data.   </w:t>
      </w:r>
    </w:p>
    <w:p w14:paraId="4CC6175F"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14:paraId="667B807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lastRenderedPageBreak/>
        <w:t>(Leung, 2024) suggested that ESG performance can lower the investment risks. (Leung, 2024)</w:t>
      </w:r>
    </w:p>
    <w:p w14:paraId="2AFD013F"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47258C74"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findings of (Meiden and </w:t>
      </w:r>
      <w:proofErr w:type="spellStart"/>
      <w:r w:rsidRPr="00DB3E05">
        <w:rPr>
          <w:rFonts w:ascii="Arial" w:hAnsi="Arial" w:cs="Arial"/>
          <w:color w:val="000000"/>
          <w:sz w:val="28"/>
          <w:szCs w:val="28"/>
        </w:rPr>
        <w:t>Silaban</w:t>
      </w:r>
      <w:proofErr w:type="spellEnd"/>
      <w:r w:rsidRPr="00DB3E05">
        <w:rPr>
          <w:rFonts w:ascii="Arial" w:hAnsi="Arial" w:cs="Arial"/>
          <w:color w:val="000000"/>
          <w:sz w:val="28"/>
          <w:szCs w:val="28"/>
        </w:rPr>
        <w:t xml:space="preserve">, 2023) supported the stakeholder theory and </w:t>
      </w:r>
      <w:proofErr w:type="spellStart"/>
      <w:r w:rsidRPr="00DB3E05">
        <w:rPr>
          <w:rFonts w:ascii="Arial" w:hAnsi="Arial" w:cs="Arial"/>
          <w:color w:val="000000"/>
          <w:sz w:val="28"/>
          <w:szCs w:val="28"/>
        </w:rPr>
        <w:t>signaling</w:t>
      </w:r>
      <w:proofErr w:type="spellEnd"/>
      <w:r w:rsidRPr="00DB3E05">
        <w:rPr>
          <w:rFonts w:ascii="Arial" w:hAnsi="Arial" w:cs="Arial"/>
          <w:color w:val="000000"/>
          <w:sz w:val="28"/>
          <w:szCs w:val="28"/>
        </w:rPr>
        <w:t xml:space="preserve"> theory.  The enhancement of communication and engagement of stakeholders are important in ESG.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&lt;EndNote&gt;&lt;Cite&gt;&lt;Author&gt;Meiden&lt;/Author&gt;&lt;Year&gt;2023&lt;/Year&gt;&lt;RecNum&gt;51&lt;/RecNum&gt;&lt;DisplayText&gt;(Meiden and Silaban, 2023)&lt;/DisplayText&gt;&lt;record&gt;&lt;rec-number&gt;51&lt;/rec-number&gt;&lt;foreign-keys&gt;&lt;key app="EN" db-id="0vtwt0xdiepatveerwsxw55izapvzd0d0v5w" timestamp="1719049197" guid="304bfd86-6969-40f5-9122-751534f64279"&gt;51&lt;/key&gt;&lt;/foreign-keys&gt;&lt;ref-type name="Journal Article"&gt;17&lt;/ref-type&gt;&lt;contributors&gt;&lt;authors&gt;&lt;author&gt;Meiden, C&lt;/author&gt;&lt;author&gt;Silaban, A&lt;/author&gt;&lt;/authors&gt;&lt;/contributors&gt;&lt;titles&gt;&lt;title&gt;Exploring the Measurement of Environmental Performance in Alignment with Environmental, Social, and Governance (ESG): A Qualitative Study Exploring the Measurement of Environmental Performance in Alignment with Environmental, Social, and Governance (ESG): A Qualitative Study&lt;/title&gt;&lt;secondary-title&gt;Information Sciences Letters&lt;/secondary-title&gt;&lt;/titles&gt;&lt;periodical&gt;&lt;full-title&gt;Information Sciences Letters&lt;/full-title&gt;&lt;/periodical&gt;&lt;pages&gt;2287-2297&lt;/pages&gt;&lt;volume&gt;12&lt;/volume&gt;&lt;number&gt;9&lt;/number&gt;&lt;dates&gt;&lt;year&gt;2023&lt;/year&gt;&lt;/dates&gt;&lt;urls&gt;&lt;/urls&gt;&lt;/record&gt;&lt;/Cite&gt;&lt;/EndNote&gt;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(Meiden and Silaban, 2023)</w:t>
      </w:r>
      <w:r w:rsidRPr="00DB3E05">
        <w:rPr>
          <w:rFonts w:ascii="Arial" w:hAnsi="Arial" w:cs="Arial"/>
          <w:color w:val="000000"/>
          <w:sz w:val="28"/>
          <w:szCs w:val="28"/>
        </w:rPr>
        <w:fldChar w:fldCharType="end"/>
      </w:r>
    </w:p>
    <w:p w14:paraId="068A0B5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78E0FFB5" w14:textId="4F9E8C5A"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ability of companies to meet the expectations of stakeholders affecting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p>
    <w:p w14:paraId="6ABEC86C"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p>
    <w:p w14:paraId="341BD93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stakeholders pay more attention to the ESG practices and more ESG disclosures are expected.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(Carnini Pulino et al., 2022)</w:t>
      </w:r>
      <w:r w:rsidRPr="00DB3E05">
        <w:rPr>
          <w:rFonts w:ascii="Arial" w:hAnsi="Arial" w:cs="Arial"/>
          <w:color w:val="000000"/>
          <w:sz w:val="28"/>
          <w:szCs w:val="28"/>
        </w:rPr>
        <w:fldChar w:fldCharType="end"/>
      </w:r>
    </w:p>
    <w:p w14:paraId="2B69B24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10E85131" w14:textId="633CED32" w:rsidR="00E1565F" w:rsidRPr="00DB3E05" w:rsidRDefault="00E1565F" w:rsidP="00E1565F">
      <w:pPr>
        <w:tabs>
          <w:tab w:val="left" w:pos="0"/>
          <w:tab w:val="left" w:pos="709"/>
          <w:tab w:val="right" w:pos="8931"/>
        </w:tabs>
        <w:spacing w:line="360" w:lineRule="auto"/>
        <w:ind w:left="709"/>
        <w:jc w:val="both"/>
        <w:rPr>
          <w:rFonts w:ascii="Arial" w:hAnsi="Arial" w:cs="Arial"/>
          <w:noProof/>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noticed that companies identify new strategies when their financials do not perform well.  Traditionally, they may invest more research and development.  Nowadays, they may consider the implementation strategies to improve ESG performance.  However, (</w:t>
      </w:r>
      <w:proofErr w:type="spellStart"/>
      <w:r w:rsidRPr="00DB3E05">
        <w:rPr>
          <w:rFonts w:ascii="Arial" w:hAnsi="Arial" w:cs="Arial"/>
          <w:noProof/>
          <w:color w:val="000000"/>
          <w:sz w:val="28"/>
          <w:szCs w:val="28"/>
        </w:rPr>
        <w:t>DasGupta</w:t>
      </w:r>
      <w:proofErr w:type="spellEnd"/>
      <w:r w:rsidRPr="00DB3E05">
        <w:rPr>
          <w:rFonts w:ascii="Arial" w:hAnsi="Arial" w:cs="Arial"/>
          <w:noProof/>
          <w:color w:val="000000"/>
          <w:sz w:val="28"/>
          <w:szCs w:val="28"/>
        </w:rPr>
        <w:t xml:space="preserve">, 2022) found that </w:t>
      </w:r>
      <w:r w:rsidRPr="00DB3E05">
        <w:rPr>
          <w:rFonts w:ascii="Arial" w:hAnsi="Arial" w:cs="Arial"/>
          <w:color w:val="000000"/>
          <w:sz w:val="28"/>
          <w:szCs w:val="28"/>
        </w:rPr>
        <w:t xml:space="preserve">these companies are not too aggressive in adopting the ESG practices as ESG scandals have negative impact on the corporate images and </w:t>
      </w:r>
      <w:r w:rsidR="008B6175">
        <w:rPr>
          <w:rFonts w:ascii="Arial" w:hAnsi="Arial" w:cs="Arial"/>
          <w:color w:val="000000"/>
          <w:sz w:val="28"/>
          <w:szCs w:val="28"/>
        </w:rPr>
        <w:t>corporate valuations</w:t>
      </w:r>
      <w:r w:rsidRPr="00DB3E05">
        <w:rPr>
          <w:rFonts w:ascii="Arial" w:hAnsi="Arial" w:cs="Arial"/>
          <w:color w:val="000000"/>
          <w:sz w:val="28"/>
          <w:szCs w:val="28"/>
        </w:rPr>
        <w:t>.  (</w:t>
      </w:r>
      <w:proofErr w:type="spellStart"/>
      <w:r w:rsidRPr="00DB3E05">
        <w:rPr>
          <w:rFonts w:ascii="Arial" w:hAnsi="Arial" w:cs="Arial"/>
          <w:noProof/>
          <w:color w:val="000000"/>
          <w:sz w:val="28"/>
          <w:szCs w:val="28"/>
        </w:rPr>
        <w:t>DasGupta</w:t>
      </w:r>
      <w:proofErr w:type="spellEnd"/>
      <w:r w:rsidRPr="00DB3E05">
        <w:rPr>
          <w:rFonts w:ascii="Arial" w:hAnsi="Arial" w:cs="Arial"/>
          <w:noProof/>
          <w:color w:val="000000"/>
          <w:sz w:val="28"/>
          <w:szCs w:val="28"/>
        </w:rPr>
        <w:t>, 2022)</w:t>
      </w:r>
    </w:p>
    <w:p w14:paraId="3B7F75A8" w14:textId="77777777" w:rsidR="00E1565F" w:rsidRPr="00DB3E05" w:rsidRDefault="00E1565F" w:rsidP="00E1565F">
      <w:pPr>
        <w:tabs>
          <w:tab w:val="left" w:pos="0"/>
          <w:tab w:val="left" w:pos="709"/>
          <w:tab w:val="right" w:pos="8931"/>
        </w:tabs>
        <w:spacing w:line="360" w:lineRule="auto"/>
        <w:ind w:left="709"/>
        <w:jc w:val="both"/>
        <w:rPr>
          <w:rFonts w:ascii="Arial" w:hAnsi="Arial" w:cs="Arial"/>
          <w:noProof/>
          <w:color w:val="000000"/>
          <w:sz w:val="28"/>
          <w:szCs w:val="28"/>
        </w:rPr>
      </w:pPr>
    </w:p>
    <w:p w14:paraId="23D171FE" w14:textId="77777777" w:rsidR="00E1565F" w:rsidRPr="00DB3E05" w:rsidRDefault="00E1565F" w:rsidP="00E1565F">
      <w:pPr>
        <w:tabs>
          <w:tab w:val="left" w:pos="709"/>
          <w:tab w:val="right" w:pos="8931"/>
        </w:tabs>
        <w:spacing w:line="360" w:lineRule="auto"/>
        <w:ind w:left="709" w:hanging="709"/>
        <w:jc w:val="both"/>
        <w:rPr>
          <w:rFonts w:ascii="Arial" w:hAnsi="Arial" w:cs="Arial"/>
          <w:color w:val="000000"/>
          <w:sz w:val="28"/>
          <w:szCs w:val="28"/>
        </w:rPr>
      </w:pPr>
      <w:r w:rsidRPr="00DB3E05">
        <w:rPr>
          <w:rFonts w:ascii="Arial" w:hAnsi="Arial" w:cs="Arial"/>
          <w:color w:val="000000"/>
          <w:sz w:val="28"/>
          <w:szCs w:val="28"/>
        </w:rPr>
        <w:tab/>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studied ESG disclosures on corporate </w:t>
      </w:r>
      <w:r w:rsidRPr="00DB3E05">
        <w:rPr>
          <w:rFonts w:ascii="Arial" w:hAnsi="Arial" w:cs="Arial"/>
          <w:color w:val="000000"/>
          <w:sz w:val="28"/>
          <w:szCs w:val="28"/>
        </w:rPr>
        <w:tab/>
        <w:t xml:space="preserve">performance from financial perspective.  In the findings, the ESG </w:t>
      </w:r>
      <w:r w:rsidRPr="00DB3E05">
        <w:rPr>
          <w:rFonts w:ascii="Arial" w:hAnsi="Arial" w:cs="Arial"/>
          <w:color w:val="000000"/>
          <w:sz w:val="28"/>
          <w:szCs w:val="28"/>
        </w:rPr>
        <w:tab/>
        <w:t xml:space="preserve">disclosures affect the financial performance positively. The impact is more </w:t>
      </w:r>
      <w:r w:rsidRPr="00DB3E05">
        <w:rPr>
          <w:rFonts w:ascii="Arial" w:hAnsi="Arial" w:cs="Arial"/>
          <w:color w:val="000000"/>
          <w:sz w:val="28"/>
          <w:szCs w:val="28"/>
        </w:rPr>
        <w:tab/>
        <w:t xml:space="preserve">significant for companies have ESG investors, high publicity and have high agency costs.  Examples of these companies are listed companies, family-owned business and government agencies.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p>
    <w:p w14:paraId="350EED73"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0339CED0"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18B815E5" w14:textId="5B8B1F3A"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2.4</w:t>
      </w:r>
      <w:r w:rsidRPr="00DB3E05">
        <w:rPr>
          <w:rFonts w:ascii="Arial" w:hAnsi="Arial" w:cs="Arial"/>
          <w:b/>
          <w:bCs/>
          <w:color w:val="000000"/>
          <w:sz w:val="28"/>
          <w:szCs w:val="28"/>
        </w:rPr>
        <w:tab/>
        <w:t>Use of ESG data for investment decision</w:t>
      </w:r>
      <w:r w:rsidRPr="00DB3E05">
        <w:rPr>
          <w:rFonts w:ascii="Arial" w:hAnsi="Arial" w:cs="Arial"/>
          <w:b/>
          <w:bCs/>
          <w:color w:val="000000"/>
          <w:sz w:val="28"/>
          <w:szCs w:val="28"/>
        </w:rPr>
        <w:tab/>
      </w:r>
    </w:p>
    <w:p w14:paraId="692C9FBF"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There are more and more companies putting efforts on ESG reporting.  However, the ESG data are still not comparable.  Investors are looking for both profit and ESG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&lt;EndNote&gt;&lt;Cite&gt;&lt;Author&gt;Dincă&lt;/Author&gt;&lt;Year&gt;2022&lt;/Year&gt;&lt;RecNum&gt;56&lt;/RecNum&gt;&lt;DisplayText&gt;(Dincă et al., 2022)&lt;/DisplayText&gt;&lt;record&gt;&lt;rec-number&gt;56&lt;/rec-number&gt;&lt;foreign-keys&gt;&lt;key app="EN" db-id="0vtwt0xdiepatveerwsxw55izapvzd0d0v5w" timestamp="1719050585" guid="8e4a418d-d271-4acd-a77a-a049903892b4"&gt;56&lt;/key&gt;&lt;/foreign-keys&gt;&lt;ref-type name="Journal Article"&gt;17&lt;/ref-type&gt;&lt;contributors&gt;&lt;authors&gt;&lt;author&gt;Dincă, Marius Sorin&lt;/author&gt;&lt;author&gt;Vezeteu, Cosmin-Dănuț&lt;/author&gt;&lt;author&gt;Dincă, Dragoș&lt;/author&gt;&lt;/authors&gt;&lt;/contributors&gt;&lt;titles&gt;&lt;title&gt;The relationship between ESG and firm value. Case study of the automotive industry&lt;/title&gt;&lt;secondary-title&gt;Frontiers in Environmental Science&lt;/secondary-title&gt;&lt;/titles&gt;&lt;periodical&gt;&lt;full-title&gt;Frontiers in Environmental Science&lt;/full-title&gt;&lt;/periodical&gt;&lt;pages&gt;1059906&lt;/pages&gt;&lt;volume&gt;10&lt;/volume&gt;&lt;dates&gt;&lt;year&gt;2022&lt;/year&gt;&lt;/dates&gt;&lt;isbn&gt;2296-665X&lt;/isbn&gt;&lt;urls&gt;&lt;/urls&gt;&lt;/record&gt;&lt;/Cite&gt;&lt;/EndNote&gt;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(Dincă et al., 2022)</w:t>
      </w:r>
      <w:r w:rsidRPr="00DB3E05">
        <w:rPr>
          <w:rFonts w:ascii="Arial" w:hAnsi="Arial" w:cs="Arial"/>
          <w:color w:val="000000"/>
          <w:sz w:val="28"/>
          <w:szCs w:val="28"/>
        </w:rPr>
        <w:fldChar w:fldCharType="end"/>
      </w:r>
    </w:p>
    <w:p w14:paraId="6FF94D0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4A0C31C6"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discussed why ESG data may not be useful </w:t>
      </w:r>
      <w:r w:rsidRPr="00DB3E05">
        <w:rPr>
          <w:rFonts w:ascii="Arial" w:hAnsi="Arial" w:cs="Arial"/>
          <w:color w:val="000000"/>
          <w:sz w:val="28"/>
          <w:szCs w:val="28"/>
        </w:rPr>
        <w:tab/>
        <w:t xml:space="preserve">for investment decisions.   The study highlighted the quality concern </w:t>
      </w:r>
      <w:r w:rsidRPr="00DB3E05">
        <w:rPr>
          <w:rFonts w:ascii="Arial" w:hAnsi="Arial" w:cs="Arial"/>
          <w:color w:val="000000"/>
          <w:sz w:val="28"/>
          <w:szCs w:val="28"/>
        </w:rPr>
        <w:tab/>
        <w:t xml:space="preserve">of ESG data and the issues from the aspects of materiality, accuracy </w:t>
      </w:r>
      <w:r w:rsidRPr="00DB3E05">
        <w:rPr>
          <w:rFonts w:ascii="Arial" w:hAnsi="Arial" w:cs="Arial"/>
          <w:color w:val="000000"/>
          <w:sz w:val="28"/>
          <w:szCs w:val="28"/>
        </w:rPr>
        <w:tab/>
        <w:t xml:space="preserve">and reliability.  This urges the need of quality ESG reporting.  </w:t>
      </w:r>
      <w:r w:rsidRPr="00DB3E05">
        <w:rPr>
          <w:rFonts w:ascii="Arial" w:hAnsi="Arial" w:cs="Arial"/>
          <w:color w:val="000000"/>
          <w:sz w:val="28"/>
          <w:szCs w:val="28"/>
        </w:rPr>
        <w:tab/>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p>
    <w:p w14:paraId="50DE501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7BB2A5E4" w14:textId="74317E3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absence of comparable ESG data is a concern for participating institutional investors, yet it does not prevent them from utilizing this data in investment decisions. This is because they examine the methodologies behind the data and align themselves with the ones they find most credible. It is crucial for management boards, fund managers, and SRAs to understand that transactions involving carbon credits generate doubts about the reliability of companies' ESG disclosures. Furthermore, they must collaborate with regulators and issuers of sustainability certificates to clarify the true significance and effect of such certifications.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p>
    <w:p w14:paraId="0F93167D"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p>
    <w:p w14:paraId="18D27A3A"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For automotive industry, ESG data is not highly significant for investment decision.  Other factors have higher priorities.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&lt;EndNote&gt;&lt;Cite&gt;&lt;Author&gt;Dincă&lt;/Author&gt;&lt;Year&gt;2022&lt;/Year&gt;&lt;RecNum&gt;56&lt;/RecNum&gt;&lt;DisplayText&gt;(Dincă et al., 2022)&lt;/DisplayText&gt;&lt;record&gt;&lt;rec-number&gt;56&lt;/rec-number&gt;&lt;foreign-keys&gt;&lt;key app="EN" db-id="0vtwt0xdiepatveerwsxw55izapvzd0d0v5w" timestamp="1719050585" guid="8e4a418d-d271-4acd-a77a-a049903892b4"&gt;56&lt;/key&gt;&lt;/foreign-keys&gt;&lt;ref-type name="Journal Article"&gt;17&lt;/ref-type&gt;&lt;contributors&gt;&lt;authors&gt;&lt;author&gt;Dincă, Marius Sorin&lt;/author&gt;&lt;author&gt;Vezeteu, Cosmin-Dănuț&lt;/author&gt;&lt;author&gt;Dincă, Dragoș&lt;/author&gt;&lt;/authors&gt;&lt;/contributors&gt;&lt;titles&gt;&lt;title&gt;The relationship between ESG and firm value. Case study of the automotive industry&lt;/title&gt;&lt;secondary-title&gt;Frontiers in Environmental Science&lt;/secondary-title&gt;&lt;/titles&gt;&lt;periodical&gt;&lt;full-title&gt;Frontiers in Environmental Science&lt;/full-title&gt;&lt;/periodical&gt;&lt;pages&gt;1059906&lt;/pages&gt;&lt;volume&gt;10&lt;/volume&gt;&lt;dates&gt;&lt;year&gt;2022&lt;/year&gt;&lt;/dates&gt;&lt;isbn&gt;2296-665X&lt;/isbn&gt;&lt;urls&gt;&lt;/urls&gt;&lt;/record&gt;&lt;/Cite&gt;&lt;/EndNote&gt;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(Dincă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p>
    <w:p w14:paraId="5DA7BB1D"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06C242A5"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2.5</w:t>
      </w:r>
      <w:r w:rsidRPr="00DB3E05">
        <w:rPr>
          <w:rFonts w:ascii="Arial" w:hAnsi="Arial" w:cs="Arial"/>
          <w:b/>
          <w:bCs/>
          <w:color w:val="000000"/>
          <w:sz w:val="28"/>
          <w:szCs w:val="28"/>
        </w:rPr>
        <w:tab/>
        <w:t>AI in ESG</w:t>
      </w:r>
      <w:r w:rsidRPr="00DB3E05">
        <w:rPr>
          <w:rFonts w:ascii="Arial" w:hAnsi="Arial" w:cs="Arial"/>
          <w:b/>
          <w:bCs/>
          <w:color w:val="000000"/>
          <w:sz w:val="28"/>
          <w:szCs w:val="28"/>
        </w:rPr>
        <w:tab/>
      </w:r>
    </w:p>
    <w:p w14:paraId="65837820"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Xu, 2024 discussed the importance and necessity of AI in ESG as well as ESG reporting for financial institution. AI can be used in areas of (</w:t>
      </w:r>
      <w:proofErr w:type="spellStart"/>
      <w:r w:rsidRPr="00DB3E05">
        <w:rPr>
          <w:rFonts w:ascii="Arial" w:hAnsi="Arial" w:cs="Arial"/>
          <w:color w:val="000000"/>
          <w:sz w:val="28"/>
          <w:szCs w:val="28"/>
        </w:rPr>
        <w:t>i</w:t>
      </w:r>
      <w:proofErr w:type="spellEnd"/>
      <w:r w:rsidRPr="00DB3E05">
        <w:rPr>
          <w:rFonts w:ascii="Arial" w:hAnsi="Arial" w:cs="Arial"/>
          <w:color w:val="000000"/>
          <w:sz w:val="28"/>
          <w:szCs w:val="28"/>
        </w:rPr>
        <w:t xml:space="preserve">) data collection and analysis, (ii) risk assessment, (iii) investment, (iv) compliance and (v) engagement.   However, there were challenges </w:t>
      </w:r>
      <w:r w:rsidRPr="00DB3E05">
        <w:rPr>
          <w:rFonts w:ascii="Arial" w:hAnsi="Arial" w:cs="Arial"/>
          <w:color w:val="000000"/>
          <w:sz w:val="28"/>
          <w:szCs w:val="28"/>
        </w:rPr>
        <w:lastRenderedPageBreak/>
        <w:t>about the AI transformation required for careful   consideration.  (Xu, 2024)</w:t>
      </w:r>
    </w:p>
    <w:p w14:paraId="7FA448B3"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5C85FC81"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2.6</w:t>
      </w:r>
      <w:r w:rsidRPr="00DB3E05">
        <w:rPr>
          <w:rFonts w:ascii="Arial" w:hAnsi="Arial" w:cs="Arial"/>
          <w:b/>
          <w:bCs/>
          <w:color w:val="000000"/>
          <w:sz w:val="28"/>
          <w:szCs w:val="28"/>
        </w:rPr>
        <w:tab/>
        <w:t>Executive compensation and ESG</w:t>
      </w:r>
      <w:r w:rsidRPr="00DB3E05">
        <w:rPr>
          <w:rFonts w:ascii="Arial" w:hAnsi="Arial" w:cs="Arial"/>
          <w:b/>
          <w:bCs/>
          <w:color w:val="000000"/>
          <w:sz w:val="28"/>
          <w:szCs w:val="28"/>
        </w:rPr>
        <w:tab/>
      </w:r>
    </w:p>
    <w:p w14:paraId="1B34B5E9" w14:textId="5D60EB4A"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&lt;EndNote&gt;&lt;Cite&gt;&lt;Author&gt;Cohen&lt;/Author&gt;&lt;Year&gt;2023&lt;/Year&gt;&lt;RecNum&gt;71&lt;/RecNum&gt;&lt;DisplayText&gt;(Cohen et al., 2023)&lt;/DisplayText&gt;&lt;record&gt;&lt;rec-number&gt;71&lt;/rec-number&gt;&lt;foreign-keys&gt;&lt;key app="EN" db-id="0vtwt0xdiepatveerwsxw55izapvzd0d0v5w" timestamp="1721473614" guid="09fe66d0-3bee-4e0d-b686-8c23502ff4cd"&gt;71&lt;/key&gt;&lt;/foreign-keys&gt;&lt;ref-type name="Journal Article"&gt;17&lt;/ref-type&gt;&lt;contributors&gt;&lt;authors&gt;&lt;author&gt;Cohen, Shira&lt;/author&gt;&lt;author&gt;Kadach, Igor&lt;/author&gt;&lt;author&gt;Ormazabal, Gaizka&lt;/author&gt;&lt;author&gt;Reichelstein, Stefan&lt;/author&gt;&lt;/authors&gt;&lt;/contributors&gt;&lt;titles&gt;&lt;title&gt;Executive compensation tied to ESG performance: International evidence&lt;/title&gt;&lt;secondary-title&gt;Journal of Accounting Research&lt;/secondary-title&gt;&lt;/titles&gt;&lt;periodical&gt;&lt;full-title&gt;Journal of Accounting Research&lt;/full-title&gt;&lt;/periodical&gt;&lt;pages&gt;805-853&lt;/pages&gt;&lt;volume&gt;61&lt;/volume&gt;&lt;number&gt;3&lt;/number&gt;&lt;dates&gt;&lt;year&gt;2023&lt;/year&gt;&lt;/dates&gt;&lt;isbn&gt;0021-8456&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(Cohen et al., 2023)</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showed that ESG pay affects ESG performance.  However, it may not affect companies’ financial performance.  </w:t>
      </w:r>
      <w:r w:rsidR="005022AA" w:rsidRPr="00DB3E05">
        <w:rPr>
          <w:rFonts w:ascii="Arial" w:hAnsi="Arial" w:cs="Arial"/>
          <w:color w:val="000000"/>
          <w:sz w:val="28"/>
          <w:szCs w:val="28"/>
        </w:rPr>
        <w:fldChar w:fldCharType="begin"/>
      </w:r>
      <w:r w:rsidR="005022AA" w:rsidRPr="00DB3E05">
        <w:rPr>
          <w:rFonts w:ascii="Arial" w:hAnsi="Arial" w:cs="Arial"/>
          <w:color w:val="000000"/>
          <w:sz w:val="28"/>
          <w:szCs w:val="28"/>
        </w:rPr>
        <w:instrText xml:space="preserve"> ADDIN EN.CITE &lt;EndNote&gt;&lt;Cite&gt;&lt;Author&gt;Cohen&lt;/Author&gt;&lt;Year&gt;2023&lt;/Year&gt;&lt;RecNum&gt;71&lt;/RecNum&gt;&lt;DisplayText&gt;(Cohen et al., 2023)&lt;/DisplayText&gt;&lt;record&gt;&lt;rec-number&gt;71&lt;/rec-number&gt;&lt;foreign-keys&gt;&lt;key app="EN" db-id="0vtwt0xdiepatveerwsxw55izapvzd0d0v5w" timestamp="1721473614" guid="09fe66d0-3bee-4e0d-b686-8c23502ff4cd"&gt;71&lt;/key&gt;&lt;/foreign-keys&gt;&lt;ref-type name="Journal Article"&gt;17&lt;/ref-type&gt;&lt;contributors&gt;&lt;authors&gt;&lt;author&gt;Cohen, Shira&lt;/author&gt;&lt;author&gt;Kadach, Igor&lt;/author&gt;&lt;author&gt;Ormazabal, Gaizka&lt;/author&gt;&lt;author&gt;Reichelstein, Stefan&lt;/author&gt;&lt;/authors&gt;&lt;/contributors&gt;&lt;titles&gt;&lt;title&gt;Executive compensation tied to ESG performance: International evidence&lt;/title&gt;&lt;secondary-title&gt;Journal of Accounting Research&lt;/secondary-title&gt;&lt;/titles&gt;&lt;periodical&gt;&lt;full-title&gt;Journal of Accounting Research&lt;/full-title&gt;&lt;/periodical&gt;&lt;pages&gt;805-853&lt;/pages&gt;&lt;volume&gt;61&lt;/volume&gt;&lt;number&gt;3&lt;/number&gt;&lt;dates&gt;&lt;year&gt;2023&lt;/year&gt;&lt;/dates&gt;&lt;isbn&gt;0021-8456&lt;/isbn&gt;&lt;urls&gt;&lt;/urls&gt;&lt;/record&gt;&lt;/Cite&gt;&lt;/EndNote&gt;</w:instrText>
      </w:r>
      <w:r w:rsidR="005022AA" w:rsidRPr="00DB3E05">
        <w:rPr>
          <w:rFonts w:ascii="Arial" w:hAnsi="Arial" w:cs="Arial"/>
          <w:color w:val="000000"/>
          <w:sz w:val="28"/>
          <w:szCs w:val="28"/>
        </w:rPr>
        <w:fldChar w:fldCharType="separate"/>
      </w:r>
      <w:r w:rsidR="005022AA" w:rsidRPr="00DB3E05">
        <w:rPr>
          <w:rFonts w:ascii="Arial" w:hAnsi="Arial" w:cs="Arial"/>
          <w:noProof/>
          <w:color w:val="000000"/>
          <w:sz w:val="28"/>
          <w:szCs w:val="28"/>
        </w:rPr>
        <w:t>(Cohen et al., 2023)</w:t>
      </w:r>
      <w:r w:rsidR="005022AA" w:rsidRPr="00DB3E05">
        <w:rPr>
          <w:rFonts w:ascii="Arial" w:hAnsi="Arial" w:cs="Arial"/>
          <w:color w:val="000000"/>
          <w:sz w:val="28"/>
          <w:szCs w:val="28"/>
        </w:rPr>
        <w:fldChar w:fldCharType="end"/>
      </w:r>
    </w:p>
    <w:p w14:paraId="50336557"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ab/>
      </w:r>
    </w:p>
    <w:p w14:paraId="5EC38F33"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2.7</w:t>
      </w:r>
      <w:r w:rsidRPr="00DB3E05">
        <w:rPr>
          <w:rFonts w:ascii="Arial" w:hAnsi="Arial" w:cs="Arial"/>
          <w:b/>
          <w:bCs/>
          <w:color w:val="000000"/>
          <w:sz w:val="28"/>
          <w:szCs w:val="28"/>
        </w:rPr>
        <w:tab/>
        <w:t>Section Summary</w:t>
      </w:r>
      <w:r w:rsidRPr="00DB3E05">
        <w:rPr>
          <w:rFonts w:ascii="Arial" w:hAnsi="Arial" w:cs="Arial"/>
          <w:b/>
          <w:bCs/>
          <w:color w:val="000000"/>
          <w:sz w:val="28"/>
          <w:szCs w:val="28"/>
        </w:rPr>
        <w:tab/>
      </w:r>
    </w:p>
    <w:p w14:paraId="0F597424" w14:textId="32412327" w:rsidR="00E1565F" w:rsidRPr="00DB3E05" w:rsidRDefault="00E1565F" w:rsidP="006F4440">
      <w:pPr>
        <w:spacing w:line="360" w:lineRule="auto"/>
        <w:ind w:left="720"/>
        <w:jc w:val="both"/>
        <w:rPr>
          <w:rFonts w:ascii="Arial" w:hAnsi="Arial" w:cs="Arial"/>
          <w:sz w:val="28"/>
          <w:szCs w:val="28"/>
        </w:rPr>
      </w:pPr>
      <w:r w:rsidRPr="00DB3E05">
        <w:rPr>
          <w:rFonts w:ascii="Arial" w:hAnsi="Arial" w:cs="Arial"/>
          <w:sz w:val="28"/>
          <w:szCs w:val="28"/>
        </w:rPr>
        <w:t>This section firstly discuss</w:t>
      </w:r>
      <w:r w:rsidR="00606910" w:rsidRPr="00DB3E05">
        <w:rPr>
          <w:rFonts w:ascii="Arial" w:hAnsi="Arial" w:cs="Arial"/>
          <w:sz w:val="28"/>
          <w:szCs w:val="28"/>
        </w:rPr>
        <w:t>es</w:t>
      </w:r>
      <w:r w:rsidRPr="00DB3E05">
        <w:rPr>
          <w:rFonts w:ascii="Arial" w:hAnsi="Arial" w:cs="Arial"/>
          <w:sz w:val="28"/>
          <w:szCs w:val="28"/>
        </w:rPr>
        <w:t xml:space="preserve"> the theories related to ESG reporting.  Agency theory, </w:t>
      </w:r>
      <w:proofErr w:type="spellStart"/>
      <w:r w:rsidRPr="00DB3E05">
        <w:rPr>
          <w:rFonts w:ascii="Arial" w:hAnsi="Arial" w:cs="Arial"/>
          <w:sz w:val="28"/>
          <w:szCs w:val="28"/>
        </w:rPr>
        <w:t>signaling</w:t>
      </w:r>
      <w:proofErr w:type="spellEnd"/>
      <w:r w:rsidRPr="00DB3E05">
        <w:rPr>
          <w:rFonts w:ascii="Arial" w:hAnsi="Arial" w:cs="Arial"/>
          <w:sz w:val="28"/>
          <w:szCs w:val="28"/>
        </w:rPr>
        <w:t xml:space="preserve"> theory, public interest theory, </w:t>
      </w:r>
      <w:r w:rsidRPr="00DB3E05">
        <w:rPr>
          <w:rFonts w:ascii="Arial" w:hAnsi="Arial" w:cs="Arial"/>
          <w:color w:val="000000"/>
          <w:sz w:val="28"/>
          <w:szCs w:val="28"/>
        </w:rPr>
        <w:t>legitimacy theory</w:t>
      </w:r>
      <w:r w:rsidRPr="00DB3E05">
        <w:rPr>
          <w:rFonts w:ascii="Arial" w:hAnsi="Arial" w:cs="Arial"/>
          <w:sz w:val="28"/>
          <w:szCs w:val="28"/>
        </w:rPr>
        <w:t xml:space="preserve">  and stakeholder theory have been discussed. These theories support the  ESG reporting on </w:t>
      </w:r>
      <w:r w:rsidR="008B6175">
        <w:rPr>
          <w:rFonts w:ascii="Arial" w:hAnsi="Arial" w:cs="Arial"/>
          <w:sz w:val="28"/>
          <w:szCs w:val="28"/>
        </w:rPr>
        <w:t>corporate valuations</w:t>
      </w:r>
      <w:r w:rsidRPr="00DB3E05">
        <w:rPr>
          <w:rFonts w:ascii="Arial" w:hAnsi="Arial" w:cs="Arial"/>
          <w:sz w:val="28"/>
          <w:szCs w:val="28"/>
        </w:rPr>
        <w:t xml:space="preserve">.  However, companies need to pay attention to the impact of ESG scandals. </w:t>
      </w:r>
    </w:p>
    <w:p w14:paraId="75C95008" w14:textId="77777777" w:rsidR="00E1565F" w:rsidRPr="00DB3E05" w:rsidRDefault="00E1565F" w:rsidP="006F4440">
      <w:pPr>
        <w:spacing w:line="360" w:lineRule="auto"/>
        <w:ind w:left="720"/>
        <w:jc w:val="both"/>
        <w:rPr>
          <w:rFonts w:ascii="Arial" w:hAnsi="Arial" w:cs="Arial"/>
          <w:sz w:val="28"/>
          <w:szCs w:val="28"/>
        </w:rPr>
      </w:pPr>
    </w:p>
    <w:p w14:paraId="471043A2" w14:textId="2CFF8087" w:rsidR="00E1565F" w:rsidRPr="00DB3E05" w:rsidRDefault="00E1565F" w:rsidP="006F4440">
      <w:pPr>
        <w:spacing w:line="360" w:lineRule="auto"/>
        <w:ind w:left="720"/>
        <w:jc w:val="both"/>
        <w:rPr>
          <w:rFonts w:ascii="Arial" w:hAnsi="Arial" w:cs="Arial"/>
          <w:sz w:val="28"/>
          <w:szCs w:val="28"/>
        </w:rPr>
      </w:pPr>
      <w:r w:rsidRPr="00DB3E05">
        <w:rPr>
          <w:rFonts w:ascii="Arial" w:hAnsi="Arial" w:cs="Arial"/>
          <w:sz w:val="28"/>
          <w:szCs w:val="28"/>
        </w:rPr>
        <w:t>Secondly, this section discuss</w:t>
      </w:r>
      <w:r w:rsidR="00EB596A" w:rsidRPr="00DB3E05">
        <w:rPr>
          <w:rFonts w:ascii="Arial" w:hAnsi="Arial" w:cs="Arial"/>
          <w:sz w:val="28"/>
          <w:szCs w:val="28"/>
        </w:rPr>
        <w:t>es</w:t>
      </w:r>
      <w:r w:rsidRPr="00DB3E05">
        <w:rPr>
          <w:rFonts w:ascii="Arial" w:hAnsi="Arial" w:cs="Arial"/>
          <w:sz w:val="28"/>
          <w:szCs w:val="28"/>
        </w:rPr>
        <w:t xml:space="preserve"> literature reviews on ESG performance and corporate performance, use of ESG data for investment, AI in ESG and executive compensation in ESG.  </w:t>
      </w:r>
    </w:p>
    <w:p w14:paraId="55FF7A16" w14:textId="77777777" w:rsidR="00E1565F" w:rsidRPr="00DB3E05" w:rsidRDefault="00E1565F" w:rsidP="006F4440">
      <w:pPr>
        <w:spacing w:line="360" w:lineRule="auto"/>
        <w:ind w:left="720"/>
        <w:jc w:val="both"/>
        <w:rPr>
          <w:rFonts w:ascii="Arial" w:hAnsi="Arial" w:cs="Arial"/>
          <w:sz w:val="28"/>
          <w:szCs w:val="28"/>
        </w:rPr>
      </w:pPr>
    </w:p>
    <w:p w14:paraId="44FB8ED6" w14:textId="5D48B42B" w:rsidR="00E1565F" w:rsidRPr="00DB3E05" w:rsidRDefault="00E1565F" w:rsidP="006F4440">
      <w:pPr>
        <w:spacing w:line="360" w:lineRule="auto"/>
        <w:ind w:left="720"/>
        <w:jc w:val="both"/>
        <w:rPr>
          <w:rFonts w:ascii="Arial" w:hAnsi="Arial" w:cs="Arial"/>
          <w:sz w:val="28"/>
          <w:szCs w:val="28"/>
        </w:rPr>
      </w:pPr>
      <w:r w:rsidRPr="00DB3E05">
        <w:rPr>
          <w:rFonts w:ascii="Arial" w:hAnsi="Arial" w:cs="Arial"/>
          <w:sz w:val="28"/>
          <w:szCs w:val="28"/>
        </w:rPr>
        <w:t xml:space="preserve">The next section will discuss the research </w:t>
      </w:r>
      <w:r w:rsidR="00937D3D" w:rsidRPr="00DB3E05">
        <w:rPr>
          <w:rFonts w:ascii="Arial" w:hAnsi="Arial" w:cs="Arial"/>
          <w:sz w:val="28"/>
          <w:szCs w:val="28"/>
        </w:rPr>
        <w:t>approach</w:t>
      </w:r>
      <w:r w:rsidRPr="00DB3E05">
        <w:rPr>
          <w:rFonts w:ascii="Arial" w:hAnsi="Arial" w:cs="Arial"/>
          <w:sz w:val="28"/>
          <w:szCs w:val="28"/>
        </w:rPr>
        <w:t xml:space="preserve"> and research methodology. </w:t>
      </w:r>
    </w:p>
    <w:p w14:paraId="01A3705A" w14:textId="47DE93B9" w:rsidR="00E1565F" w:rsidRPr="00DB3E05" w:rsidRDefault="00E1565F" w:rsidP="00E1565F">
      <w:r w:rsidRPr="00DB3E05">
        <w:tab/>
      </w:r>
      <w:r w:rsidRPr="00DB3E05">
        <w:tab/>
      </w:r>
    </w:p>
    <w:p w14:paraId="74AE6C87" w14:textId="36098A98" w:rsidR="00463B1E" w:rsidRPr="00DB3E05" w:rsidRDefault="0008537D" w:rsidP="00EB596A">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Pr="00DB3E05">
        <w:rPr>
          <w:rFonts w:ascii="Arial" w:hAnsi="Arial" w:cs="Arial"/>
          <w:b/>
          <w:bCs/>
          <w:color w:val="000000"/>
          <w:sz w:val="28"/>
          <w:szCs w:val="28"/>
        </w:rPr>
        <w:tab/>
      </w:r>
      <w:r w:rsidRPr="00DB3E05">
        <w:rPr>
          <w:rFonts w:ascii="Arial" w:hAnsi="Arial" w:cs="Arial"/>
          <w:b/>
          <w:bCs/>
          <w:color w:val="000000"/>
          <w:sz w:val="28"/>
          <w:szCs w:val="28"/>
          <w:u w:val="single"/>
        </w:rPr>
        <w:t xml:space="preserve">RESEARCH </w:t>
      </w:r>
      <w:r w:rsidR="00937D3D" w:rsidRPr="00DB3E05">
        <w:rPr>
          <w:rFonts w:ascii="Arial" w:hAnsi="Arial" w:cs="Arial"/>
          <w:b/>
          <w:bCs/>
          <w:color w:val="000000"/>
          <w:sz w:val="28"/>
          <w:szCs w:val="28"/>
          <w:u w:val="single"/>
        </w:rPr>
        <w:t>APPROACH</w:t>
      </w:r>
      <w:r w:rsidRPr="00DB3E05">
        <w:rPr>
          <w:rFonts w:ascii="Arial" w:hAnsi="Arial" w:cs="Arial"/>
          <w:b/>
          <w:bCs/>
          <w:color w:val="000000"/>
          <w:sz w:val="28"/>
          <w:szCs w:val="28"/>
          <w:u w:val="single"/>
        </w:rPr>
        <w:t xml:space="preserve"> AND RESEARCH METHODOLOGY</w:t>
      </w:r>
    </w:p>
    <w:p w14:paraId="27FFB901" w14:textId="123FD636" w:rsidR="00EB596A" w:rsidRPr="00DB3E05" w:rsidRDefault="00EB596A" w:rsidP="00EB596A">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3.1</w:t>
      </w:r>
      <w:r w:rsidRPr="00DB3E05">
        <w:rPr>
          <w:rFonts w:ascii="Arial" w:hAnsi="Arial" w:cs="Arial"/>
          <w:b/>
          <w:bCs/>
          <w:color w:val="000000"/>
          <w:sz w:val="28"/>
          <w:szCs w:val="28"/>
        </w:rPr>
        <w:tab/>
        <w:t>Introduction</w:t>
      </w:r>
    </w:p>
    <w:p w14:paraId="29124807" w14:textId="6D401828" w:rsidR="00CE51D3" w:rsidRPr="00DB3E05" w:rsidRDefault="00AF0EE5" w:rsidP="00CE51D3">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CE51D3" w:rsidRPr="00DB3E05">
        <w:rPr>
          <w:rFonts w:ascii="Arial" w:hAnsi="Arial" w:cs="Arial"/>
          <w:color w:val="000000"/>
          <w:sz w:val="28"/>
          <w:szCs w:val="28"/>
        </w:rPr>
        <w:t xml:space="preserve">The </w:t>
      </w:r>
      <w:r w:rsidR="00FA3DFA">
        <w:rPr>
          <w:rFonts w:ascii="Arial" w:hAnsi="Arial" w:cs="Arial"/>
          <w:color w:val="000000"/>
          <w:sz w:val="28"/>
          <w:szCs w:val="28"/>
        </w:rPr>
        <w:t>pervious</w:t>
      </w:r>
      <w:r w:rsidR="00CE51D3" w:rsidRPr="00DB3E05">
        <w:rPr>
          <w:rFonts w:ascii="Arial" w:hAnsi="Arial" w:cs="Arial"/>
          <w:color w:val="000000"/>
          <w:sz w:val="28"/>
          <w:szCs w:val="28"/>
        </w:rPr>
        <w:t xml:space="preserve"> section discusses the literature reviews on various ESG elements.  The section </w:t>
      </w:r>
      <w:r w:rsidR="00FA3DFA">
        <w:rPr>
          <w:rFonts w:ascii="Arial" w:hAnsi="Arial" w:cs="Arial"/>
          <w:color w:val="000000"/>
          <w:sz w:val="28"/>
          <w:szCs w:val="28"/>
        </w:rPr>
        <w:t xml:space="preserve">elaborates on the chosen </w:t>
      </w:r>
      <w:r w:rsidR="00CE51D3" w:rsidRPr="00DB3E05">
        <w:rPr>
          <w:rFonts w:ascii="Arial" w:hAnsi="Arial" w:cs="Arial"/>
          <w:color w:val="000000"/>
          <w:sz w:val="28"/>
          <w:szCs w:val="28"/>
        </w:rPr>
        <w:t>research approach and methodology.  A</w:t>
      </w:r>
      <w:r w:rsidR="00FA3DFA">
        <w:rPr>
          <w:rFonts w:ascii="Arial" w:hAnsi="Arial" w:cs="Arial"/>
          <w:color w:val="000000"/>
          <w:sz w:val="28"/>
          <w:szCs w:val="28"/>
        </w:rPr>
        <w:t>dditionally, a</w:t>
      </w:r>
      <w:r w:rsidR="00CE51D3" w:rsidRPr="00DB3E05">
        <w:rPr>
          <w:rFonts w:ascii="Arial" w:hAnsi="Arial" w:cs="Arial"/>
          <w:color w:val="000000"/>
          <w:sz w:val="28"/>
          <w:szCs w:val="28"/>
        </w:rPr>
        <w:t xml:space="preserve">n overview of </w:t>
      </w:r>
      <w:r w:rsidR="00FA3DFA">
        <w:rPr>
          <w:rFonts w:ascii="Arial" w:hAnsi="Arial" w:cs="Arial"/>
          <w:color w:val="000000"/>
          <w:sz w:val="28"/>
          <w:szCs w:val="28"/>
        </w:rPr>
        <w:t>a</w:t>
      </w:r>
      <w:r w:rsidR="00CE51D3" w:rsidRPr="00DB3E05">
        <w:rPr>
          <w:rFonts w:ascii="Arial" w:hAnsi="Arial" w:cs="Arial"/>
          <w:color w:val="000000"/>
          <w:sz w:val="28"/>
          <w:szCs w:val="28"/>
        </w:rPr>
        <w:t xml:space="preserve"> pilot study plan </w:t>
      </w:r>
      <w:r w:rsidR="00FA3DFA">
        <w:rPr>
          <w:rFonts w:ascii="Arial" w:hAnsi="Arial" w:cs="Arial"/>
          <w:color w:val="000000"/>
          <w:sz w:val="28"/>
          <w:szCs w:val="28"/>
        </w:rPr>
        <w:t>is</w:t>
      </w:r>
      <w:r w:rsidR="00CE51D3" w:rsidRPr="00DB3E05">
        <w:rPr>
          <w:rFonts w:ascii="Arial" w:hAnsi="Arial" w:cs="Arial"/>
          <w:color w:val="000000"/>
          <w:sz w:val="28"/>
          <w:szCs w:val="28"/>
        </w:rPr>
        <w:t xml:space="preserve"> discussed to identify issues </w:t>
      </w:r>
      <w:r w:rsidR="00FA3DFA">
        <w:rPr>
          <w:rFonts w:ascii="Arial" w:hAnsi="Arial" w:cs="Arial"/>
          <w:color w:val="000000"/>
          <w:sz w:val="28"/>
          <w:szCs w:val="28"/>
        </w:rPr>
        <w:t>and</w:t>
      </w:r>
      <w:r w:rsidR="00CE51D3" w:rsidRPr="00DB3E05">
        <w:rPr>
          <w:rFonts w:ascii="Arial" w:hAnsi="Arial" w:cs="Arial"/>
          <w:color w:val="000000"/>
          <w:sz w:val="28"/>
          <w:szCs w:val="28"/>
        </w:rPr>
        <w:t xml:space="preserve"> recommend modifications to the main research</w:t>
      </w:r>
      <w:r w:rsidR="00FA3DFA">
        <w:rPr>
          <w:rFonts w:ascii="Arial" w:hAnsi="Arial" w:cs="Arial"/>
          <w:color w:val="000000"/>
          <w:sz w:val="28"/>
          <w:szCs w:val="28"/>
        </w:rPr>
        <w:t xml:space="preserve"> phase</w:t>
      </w:r>
      <w:r w:rsidR="00CE51D3" w:rsidRPr="00DB3E05">
        <w:rPr>
          <w:rFonts w:ascii="Arial" w:hAnsi="Arial" w:cs="Arial"/>
          <w:color w:val="000000"/>
          <w:sz w:val="28"/>
          <w:szCs w:val="28"/>
        </w:rPr>
        <w:t>.</w:t>
      </w:r>
    </w:p>
    <w:p w14:paraId="0BD297B2" w14:textId="77777777" w:rsidR="00CE51D3" w:rsidRPr="00DB3E05" w:rsidRDefault="00CE51D3" w:rsidP="00EB596A">
      <w:pPr>
        <w:tabs>
          <w:tab w:val="left" w:pos="567"/>
          <w:tab w:val="left" w:pos="1276"/>
          <w:tab w:val="right" w:pos="8931"/>
        </w:tabs>
        <w:spacing w:line="360" w:lineRule="auto"/>
        <w:jc w:val="both"/>
        <w:rPr>
          <w:rFonts w:ascii="Arial" w:hAnsi="Arial" w:cs="Arial"/>
          <w:color w:val="000000"/>
          <w:sz w:val="28"/>
          <w:szCs w:val="28"/>
        </w:rPr>
      </w:pPr>
    </w:p>
    <w:p w14:paraId="64603481"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73B9D973" w14:textId="5BBFB3C3" w:rsidR="0056579B" w:rsidRPr="00DB3E05" w:rsidRDefault="00EB596A" w:rsidP="00AF0EE5">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3.2</w:t>
      </w:r>
      <w:r w:rsidRPr="00DB3E05">
        <w:rPr>
          <w:rFonts w:ascii="Arial" w:hAnsi="Arial" w:cs="Arial"/>
          <w:b/>
          <w:bCs/>
          <w:color w:val="000000"/>
          <w:sz w:val="28"/>
          <w:szCs w:val="28"/>
        </w:rPr>
        <w:tab/>
        <w:t>Research approach and methodology</w:t>
      </w:r>
    </w:p>
    <w:p w14:paraId="20D517F0" w14:textId="726DE213" w:rsidR="00013C15" w:rsidRPr="00DB3E05" w:rsidRDefault="001178C1" w:rsidP="001178C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FA3DFA">
        <w:rPr>
          <w:rFonts w:ascii="Arial" w:hAnsi="Arial" w:cs="Arial"/>
          <w:color w:val="000000"/>
          <w:sz w:val="28"/>
          <w:szCs w:val="28"/>
        </w:rPr>
        <w:t xml:space="preserve">The framework for the research design is structured around the </w:t>
      </w:r>
      <w:r w:rsidRPr="00DB3E05">
        <w:rPr>
          <w:rFonts w:ascii="Arial" w:hAnsi="Arial" w:cs="Arial"/>
          <w:color w:val="000000"/>
          <w:sz w:val="28"/>
          <w:szCs w:val="28"/>
        </w:rPr>
        <w:t xml:space="preserve">Research </w:t>
      </w:r>
      <w:r w:rsidR="00FA3DFA">
        <w:rPr>
          <w:rFonts w:ascii="Arial" w:hAnsi="Arial" w:cs="Arial"/>
          <w:color w:val="000000"/>
          <w:sz w:val="28"/>
          <w:szCs w:val="28"/>
        </w:rPr>
        <w:t>O</w:t>
      </w:r>
      <w:r w:rsidRPr="00DB3E05">
        <w:rPr>
          <w:rFonts w:ascii="Arial" w:hAnsi="Arial" w:cs="Arial"/>
          <w:color w:val="000000"/>
          <w:sz w:val="28"/>
          <w:szCs w:val="28"/>
        </w:rPr>
        <w:t>nion model developed by Saunders</w:t>
      </w:r>
      <w:r w:rsidR="00FA3DFA">
        <w:rPr>
          <w:rFonts w:ascii="Arial" w:hAnsi="Arial" w:cs="Arial"/>
          <w:color w:val="000000"/>
          <w:sz w:val="28"/>
          <w:szCs w:val="28"/>
        </w:rPr>
        <w:t>, which offers a systematic approach to developing research methodologies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00016095"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00016095"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This model is one of the </w:t>
      </w:r>
      <w:r w:rsidR="00FA3DFA">
        <w:rPr>
          <w:rFonts w:ascii="Arial" w:hAnsi="Arial" w:cs="Arial"/>
          <w:color w:val="000000"/>
          <w:sz w:val="28"/>
          <w:szCs w:val="28"/>
        </w:rPr>
        <w:t xml:space="preserve">popular </w:t>
      </w:r>
      <w:r w:rsidRPr="00DB3E05">
        <w:rPr>
          <w:rFonts w:ascii="Arial" w:hAnsi="Arial" w:cs="Arial"/>
          <w:color w:val="000000"/>
          <w:sz w:val="28"/>
          <w:szCs w:val="28"/>
        </w:rPr>
        <w:t xml:space="preserve">approaches </w:t>
      </w:r>
      <w:r w:rsidR="0056579B" w:rsidRPr="00DB3E05">
        <w:rPr>
          <w:rFonts w:ascii="Arial" w:hAnsi="Arial" w:cs="Arial"/>
          <w:color w:val="000000"/>
          <w:sz w:val="28"/>
          <w:szCs w:val="28"/>
        </w:rPr>
        <w:t xml:space="preserve">to develop research design and research methodology.  </w:t>
      </w:r>
      <w:r w:rsidR="0056579B"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0056579B" w:rsidRPr="00DB3E05">
        <w:rPr>
          <w:rFonts w:ascii="Arial" w:hAnsi="Arial" w:cs="Arial"/>
          <w:color w:val="000000"/>
          <w:sz w:val="28"/>
          <w:szCs w:val="28"/>
        </w:rPr>
        <w:fldChar w:fldCharType="separate"/>
      </w:r>
      <w:r w:rsidR="0056579B" w:rsidRPr="00DB3E05">
        <w:rPr>
          <w:rFonts w:ascii="Arial" w:hAnsi="Arial" w:cs="Arial"/>
          <w:noProof/>
          <w:color w:val="000000"/>
          <w:sz w:val="28"/>
          <w:szCs w:val="28"/>
        </w:rPr>
        <w:t>(Melnikovas, 2018)</w:t>
      </w:r>
      <w:r w:rsidR="0056579B" w:rsidRPr="00DB3E05">
        <w:rPr>
          <w:rFonts w:ascii="Arial" w:hAnsi="Arial" w:cs="Arial"/>
          <w:color w:val="000000"/>
          <w:sz w:val="28"/>
          <w:szCs w:val="28"/>
        </w:rPr>
        <w:fldChar w:fldCharType="end"/>
      </w:r>
      <w:r w:rsidR="00013C15" w:rsidRPr="00DB3E05">
        <w:rPr>
          <w:rFonts w:ascii="Arial" w:hAnsi="Arial" w:cs="Arial"/>
          <w:color w:val="000000"/>
          <w:sz w:val="28"/>
          <w:szCs w:val="28"/>
        </w:rPr>
        <w:tab/>
      </w:r>
    </w:p>
    <w:p w14:paraId="714D7BFB" w14:textId="77777777" w:rsidR="0087756F" w:rsidRPr="00DB3E05" w:rsidRDefault="0087756F" w:rsidP="001178C1">
      <w:pPr>
        <w:tabs>
          <w:tab w:val="left" w:pos="0"/>
          <w:tab w:val="left" w:pos="709"/>
          <w:tab w:val="right" w:pos="8931"/>
        </w:tabs>
        <w:spacing w:line="360" w:lineRule="auto"/>
        <w:ind w:left="709"/>
        <w:jc w:val="both"/>
        <w:rPr>
          <w:rFonts w:ascii="Arial" w:hAnsi="Arial" w:cs="Arial"/>
          <w:color w:val="000000"/>
          <w:sz w:val="28"/>
          <w:szCs w:val="28"/>
        </w:rPr>
      </w:pPr>
    </w:p>
    <w:p w14:paraId="610F1A35" w14:textId="77777777" w:rsidR="00FA3DFA" w:rsidRDefault="000476CC" w:rsidP="00B76172">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Positivism is one of the five philosophies and it is a dominant in business management.   </w:t>
      </w:r>
      <w:r w:rsidRPr="00DB3E05">
        <w:rPr>
          <w:rFonts w:ascii="Arial" w:hAnsi="Arial" w:cs="Arial"/>
          <w:color w:val="000000"/>
          <w:sz w:val="28"/>
          <w:szCs w:val="28"/>
        </w:rPr>
        <w:fldChar w:fldCharType="begin"/>
      </w:r>
      <w:r w:rsidR="00016095"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00016095"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(Isaeva et al., 2015)</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00B76172" w:rsidRPr="00DB3E05">
        <w:rPr>
          <w:rFonts w:ascii="Arial" w:hAnsi="Arial" w:cs="Arial"/>
          <w:color w:val="000000"/>
          <w:sz w:val="28"/>
          <w:szCs w:val="28"/>
        </w:rPr>
        <w:t>Positivism may neglect the subjective experiences,  i</w:t>
      </w:r>
      <w:r w:rsidRPr="00DB3E05">
        <w:rPr>
          <w:rFonts w:ascii="Arial" w:hAnsi="Arial" w:cs="Arial"/>
          <w:color w:val="000000"/>
          <w:sz w:val="28"/>
          <w:szCs w:val="28"/>
        </w:rPr>
        <w:t xml:space="preserve">nterpretivism can </w:t>
      </w:r>
      <w:r w:rsidR="00B76172" w:rsidRPr="00DB3E05">
        <w:rPr>
          <w:rFonts w:ascii="Arial" w:hAnsi="Arial" w:cs="Arial"/>
          <w:color w:val="000000"/>
          <w:sz w:val="28"/>
          <w:szCs w:val="28"/>
        </w:rPr>
        <w:t xml:space="preserve">supplement and </w:t>
      </w:r>
      <w:r w:rsidRPr="00DB3E05">
        <w:rPr>
          <w:rFonts w:ascii="Arial" w:hAnsi="Arial" w:cs="Arial"/>
          <w:color w:val="000000"/>
          <w:sz w:val="28"/>
          <w:szCs w:val="28"/>
        </w:rPr>
        <w:t xml:space="preserve">provide deeper analysis on the situation.   </w:t>
      </w:r>
      <w:r w:rsidRPr="00DB3E05">
        <w:rPr>
          <w:rFonts w:ascii="Arial" w:hAnsi="Arial" w:cs="Arial"/>
          <w:color w:val="000000"/>
          <w:sz w:val="28"/>
          <w:szCs w:val="28"/>
        </w:rPr>
        <w:fldChar w:fldCharType="begin"/>
      </w:r>
      <w:r w:rsidR="00016095"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00016095"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00E2607A" w:rsidRPr="00DB3E05">
        <w:rPr>
          <w:rFonts w:ascii="Arial" w:hAnsi="Arial" w:cs="Arial"/>
          <w:color w:val="000000"/>
          <w:sz w:val="28"/>
          <w:szCs w:val="28"/>
        </w:rPr>
        <w:t xml:space="preserve">.  </w:t>
      </w:r>
    </w:p>
    <w:p w14:paraId="4C206D1C" w14:textId="77777777" w:rsidR="00FA3DFA" w:rsidRDefault="00FA3DFA" w:rsidP="00B76172">
      <w:pPr>
        <w:tabs>
          <w:tab w:val="left" w:pos="0"/>
          <w:tab w:val="left" w:pos="709"/>
          <w:tab w:val="right" w:pos="8931"/>
        </w:tabs>
        <w:spacing w:line="360" w:lineRule="auto"/>
        <w:ind w:left="709"/>
        <w:jc w:val="both"/>
        <w:rPr>
          <w:rFonts w:ascii="Arial" w:hAnsi="Arial" w:cs="Arial"/>
          <w:color w:val="000000"/>
          <w:sz w:val="28"/>
          <w:szCs w:val="28"/>
        </w:rPr>
      </w:pPr>
    </w:p>
    <w:p w14:paraId="4EE88088" w14:textId="3B7EDDB0" w:rsidR="00FA3DFA" w:rsidRDefault="00FA3DFA" w:rsidP="00B76172">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This research primarily adopts p</w:t>
      </w:r>
      <w:r w:rsidRPr="00DB3E05">
        <w:rPr>
          <w:rFonts w:ascii="Arial" w:hAnsi="Arial" w:cs="Arial"/>
          <w:color w:val="000000"/>
          <w:sz w:val="28"/>
          <w:szCs w:val="28"/>
        </w:rPr>
        <w:t>ositivism</w:t>
      </w:r>
      <w:r>
        <w:rPr>
          <w:rFonts w:ascii="Arial" w:hAnsi="Arial" w:cs="Arial"/>
          <w:color w:val="000000"/>
          <w:sz w:val="28"/>
          <w:szCs w:val="28"/>
        </w:rPr>
        <w:t xml:space="preserve">, which emphasises observable situation to provide credible data.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(Isaeva et al., 2015)</w:t>
      </w:r>
      <w:r w:rsidRPr="00DB3E05">
        <w:rPr>
          <w:rFonts w:ascii="Arial" w:hAnsi="Arial" w:cs="Arial"/>
          <w:color w:val="000000"/>
          <w:sz w:val="28"/>
          <w:szCs w:val="28"/>
        </w:rPr>
        <w:fldChar w:fldCharType="end"/>
      </w:r>
      <w:r>
        <w:rPr>
          <w:rFonts w:ascii="Arial" w:hAnsi="Arial" w:cs="Arial"/>
          <w:color w:val="000000"/>
          <w:sz w:val="28"/>
          <w:szCs w:val="28"/>
        </w:rPr>
        <w:t xml:space="preserve">  However, to address the limitation of p</w:t>
      </w:r>
      <w:r w:rsidRPr="00DB3E05">
        <w:rPr>
          <w:rFonts w:ascii="Arial" w:hAnsi="Arial" w:cs="Arial"/>
          <w:color w:val="000000"/>
          <w:sz w:val="28"/>
          <w:szCs w:val="28"/>
        </w:rPr>
        <w:t>ositivism</w:t>
      </w:r>
      <w:r>
        <w:rPr>
          <w:rFonts w:ascii="Arial" w:hAnsi="Arial" w:cs="Arial"/>
          <w:color w:val="000000"/>
          <w:sz w:val="28"/>
          <w:szCs w:val="28"/>
        </w:rPr>
        <w:t xml:space="preserve">, </w:t>
      </w:r>
      <w:r w:rsidRPr="00DB3E05">
        <w:rPr>
          <w:rFonts w:ascii="Arial" w:hAnsi="Arial" w:cs="Arial"/>
          <w:color w:val="000000"/>
          <w:sz w:val="28"/>
          <w:szCs w:val="28"/>
        </w:rPr>
        <w:t>interpretivism</w:t>
      </w:r>
      <w:r>
        <w:rPr>
          <w:rFonts w:ascii="Arial" w:hAnsi="Arial" w:cs="Arial"/>
          <w:color w:val="000000"/>
          <w:sz w:val="28"/>
          <w:szCs w:val="28"/>
        </w:rPr>
        <w:t xml:space="preserve"> will be incorporated. This dual approach allows for a more comprehensive analysis by including subjective opinions and feedback from market practitioners, academic professors and investors.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(Isaeva et al., 2015)</w:t>
      </w:r>
      <w:r w:rsidRPr="00DB3E05">
        <w:rPr>
          <w:rFonts w:ascii="Arial" w:hAnsi="Arial" w:cs="Arial"/>
          <w:color w:val="000000"/>
          <w:sz w:val="28"/>
          <w:szCs w:val="28"/>
        </w:rPr>
        <w:fldChar w:fldCharType="end"/>
      </w:r>
      <w:r>
        <w:rPr>
          <w:rFonts w:ascii="Arial" w:hAnsi="Arial" w:cs="Arial"/>
          <w:color w:val="000000"/>
          <w:sz w:val="28"/>
          <w:szCs w:val="28"/>
        </w:rPr>
        <w:t xml:space="preserve">  </w:t>
      </w:r>
    </w:p>
    <w:p w14:paraId="020EE918" w14:textId="77777777" w:rsidR="00FA3DFA" w:rsidRDefault="00FA3DFA" w:rsidP="00B76172">
      <w:pPr>
        <w:tabs>
          <w:tab w:val="left" w:pos="0"/>
          <w:tab w:val="left" w:pos="709"/>
          <w:tab w:val="right" w:pos="8931"/>
        </w:tabs>
        <w:spacing w:line="360" w:lineRule="auto"/>
        <w:ind w:left="709"/>
        <w:jc w:val="both"/>
        <w:rPr>
          <w:rFonts w:ascii="Arial" w:hAnsi="Arial" w:cs="Arial"/>
          <w:color w:val="000000"/>
          <w:sz w:val="28"/>
          <w:szCs w:val="28"/>
        </w:rPr>
      </w:pPr>
    </w:p>
    <w:p w14:paraId="4EEFF062" w14:textId="5F594DBE" w:rsidR="00E848A4" w:rsidRPr="00DB3E05" w:rsidRDefault="00E848A4" w:rsidP="001178C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objectives of this research are to study the effect of board characteristics on ESG performance of listed companies, the relationship between ESG performance and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and the impact of ESG factors on investment decision.  </w:t>
      </w:r>
    </w:p>
    <w:p w14:paraId="4B4263DE" w14:textId="77777777" w:rsidR="00206AA4" w:rsidRPr="00DB3E05" w:rsidRDefault="00206AA4" w:rsidP="001178C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33E63721" w14:textId="5704149D" w:rsidR="00E848A4" w:rsidRPr="00DB3E05" w:rsidRDefault="00E848A4" w:rsidP="001178C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There are existing theories which have been discussed in section 2.2, deductive approach is adopted in this research so that that theories can be tested and explained.   </w:t>
      </w:r>
      <w:r w:rsidR="00FA3DFA">
        <w:rPr>
          <w:rFonts w:ascii="Arial" w:eastAsiaTheme="minorEastAsia" w:hAnsi="Arial" w:cs="Arial"/>
          <w:color w:val="181818"/>
          <w:sz w:val="28"/>
          <w:szCs w:val="28"/>
          <w:lang w:val="en-GB"/>
          <w14:ligatures w14:val="standardContextual"/>
        </w:rPr>
        <w:t xml:space="preserve">This approach is suitable for establish casual </w:t>
      </w:r>
      <w:r w:rsidR="00FA3DFA">
        <w:rPr>
          <w:rFonts w:ascii="Arial" w:eastAsiaTheme="minorEastAsia" w:hAnsi="Arial" w:cs="Arial"/>
          <w:color w:val="181818"/>
          <w:sz w:val="28"/>
          <w:szCs w:val="28"/>
          <w:lang w:val="en-GB"/>
          <w14:ligatures w14:val="standardContextual"/>
        </w:rPr>
        <w:lastRenderedPageBreak/>
        <w:t xml:space="preserve">relationships and testing theoretical constructs through hypotheses.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(Melnikovas, 2018)</w:t>
      </w:r>
      <w:r w:rsidRPr="00DB3E05">
        <w:rPr>
          <w:rFonts w:ascii="Arial" w:hAnsi="Arial" w:cs="Arial"/>
          <w:color w:val="000000"/>
          <w:sz w:val="28"/>
          <w:szCs w:val="28"/>
        </w:rPr>
        <w:fldChar w:fldCharType="end"/>
      </w:r>
    </w:p>
    <w:p w14:paraId="6018A56C" w14:textId="77777777" w:rsidR="00E848A4" w:rsidRPr="00DB3E05" w:rsidRDefault="00E848A4" w:rsidP="001178C1">
      <w:pPr>
        <w:tabs>
          <w:tab w:val="left" w:pos="0"/>
          <w:tab w:val="left" w:pos="709"/>
          <w:tab w:val="right" w:pos="8931"/>
        </w:tabs>
        <w:spacing w:line="360" w:lineRule="auto"/>
        <w:ind w:left="709"/>
        <w:jc w:val="both"/>
        <w:rPr>
          <w:rFonts w:ascii="Arial" w:hAnsi="Arial" w:cs="Arial"/>
          <w:color w:val="000000"/>
          <w:sz w:val="28"/>
          <w:szCs w:val="28"/>
        </w:rPr>
      </w:pPr>
    </w:p>
    <w:p w14:paraId="40C112EF" w14:textId="53235E19" w:rsidR="00B76172" w:rsidRDefault="00B76172" w:rsidP="00B7617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This research</w:t>
      </w:r>
      <w:r w:rsidR="00206AA4" w:rsidRPr="00DB3E05">
        <w:rPr>
          <w:rFonts w:ascii="Arial" w:eastAsiaTheme="minorEastAsia" w:hAnsi="Arial" w:cs="Arial"/>
          <w:color w:val="181818"/>
          <w:sz w:val="28"/>
          <w:szCs w:val="28"/>
          <w:lang w:val="en-GB"/>
          <w14:ligatures w14:val="standardContextual"/>
        </w:rPr>
        <w:t xml:space="preserve"> adopt</w:t>
      </w:r>
      <w:r w:rsidRPr="00DB3E05">
        <w:rPr>
          <w:rFonts w:ascii="Arial" w:eastAsiaTheme="minorEastAsia" w:hAnsi="Arial" w:cs="Arial"/>
          <w:color w:val="181818"/>
          <w:sz w:val="28"/>
          <w:szCs w:val="28"/>
          <w:lang w:val="en-GB"/>
          <w14:ligatures w14:val="standardContextual"/>
        </w:rPr>
        <w:t>s</w:t>
      </w:r>
      <w:r w:rsidR="00206AA4" w:rsidRPr="00DB3E05">
        <w:rPr>
          <w:rFonts w:ascii="Arial" w:eastAsiaTheme="minorEastAsia" w:hAnsi="Arial" w:cs="Arial"/>
          <w:color w:val="181818"/>
          <w:sz w:val="28"/>
          <w:szCs w:val="28"/>
          <w:lang w:val="en-GB"/>
          <w14:ligatures w14:val="standardContextual"/>
        </w:rPr>
        <w:t xml:space="preserve"> a deductive </w:t>
      </w:r>
      <w:r w:rsidRPr="00DB3E05">
        <w:rPr>
          <w:rFonts w:ascii="Arial" w:eastAsiaTheme="minorEastAsia" w:hAnsi="Arial" w:cs="Arial"/>
          <w:color w:val="181818"/>
          <w:sz w:val="28"/>
          <w:szCs w:val="28"/>
          <w:lang w:val="en-GB"/>
          <w14:ligatures w14:val="standardContextual"/>
        </w:rPr>
        <w:t>approach</w:t>
      </w:r>
      <w:r w:rsidR="00206AA4" w:rsidRPr="00DB3E05">
        <w:rPr>
          <w:rFonts w:ascii="Arial" w:eastAsiaTheme="minorEastAsia" w:hAnsi="Arial" w:cs="Arial"/>
          <w:color w:val="181818"/>
          <w:sz w:val="28"/>
          <w:szCs w:val="28"/>
          <w:lang w:val="en-GB"/>
          <w14:ligatures w14:val="standardContextual"/>
        </w:rPr>
        <w:t xml:space="preserve">, grounded in the </w:t>
      </w:r>
      <w:r w:rsidRPr="00DB3E05">
        <w:rPr>
          <w:rFonts w:ascii="Arial" w:eastAsiaTheme="minorEastAsia" w:hAnsi="Arial" w:cs="Arial"/>
          <w:color w:val="181818"/>
          <w:sz w:val="28"/>
          <w:szCs w:val="28"/>
          <w:lang w:val="en-GB"/>
          <w14:ligatures w14:val="standardContextual"/>
        </w:rPr>
        <w:t>philosophies</w:t>
      </w:r>
      <w:r w:rsidR="00206AA4" w:rsidRPr="00DB3E05">
        <w:rPr>
          <w:rFonts w:ascii="Arial" w:eastAsiaTheme="minorEastAsia" w:hAnsi="Arial" w:cs="Arial"/>
          <w:color w:val="181818"/>
          <w:sz w:val="28"/>
          <w:szCs w:val="28"/>
          <w:lang w:val="en-GB"/>
          <w14:ligatures w14:val="standardContextual"/>
        </w:rPr>
        <w:t xml:space="preserve"> of positivism, to test the hypotheses</w:t>
      </w:r>
      <w:r w:rsidRPr="00DB3E05">
        <w:rPr>
          <w:rFonts w:ascii="Arial" w:eastAsiaTheme="minorEastAsia" w:hAnsi="Arial" w:cs="Arial"/>
          <w:color w:val="181818"/>
          <w:sz w:val="28"/>
          <w:szCs w:val="28"/>
          <w:lang w:val="en-GB"/>
          <w14:ligatures w14:val="standardContextual"/>
        </w:rPr>
        <w:t xml:space="preserve"> 1A-1C, 2 and 3A-3C</w:t>
      </w:r>
      <w:r w:rsidR="00206AA4" w:rsidRPr="00DB3E05">
        <w:rPr>
          <w:rFonts w:ascii="Arial" w:eastAsiaTheme="minorEastAsia" w:hAnsi="Arial" w:cs="Arial"/>
          <w:color w:val="181818"/>
          <w:sz w:val="28"/>
          <w:szCs w:val="28"/>
          <w:lang w:val="en-GB"/>
          <w14:ligatures w14:val="standardContextual"/>
        </w:rPr>
        <w:t xml:space="preserve">.  </w:t>
      </w:r>
      <w:r w:rsidRPr="00DB3E05">
        <w:rPr>
          <w:rFonts w:ascii="Arial" w:eastAsiaTheme="minorEastAsia" w:hAnsi="Arial" w:cs="Arial"/>
          <w:color w:val="181818"/>
          <w:sz w:val="28"/>
          <w:szCs w:val="28"/>
          <w:lang w:val="en-GB"/>
          <w14:ligatures w14:val="standardContextual"/>
        </w:rPr>
        <w:t xml:space="preserve"> To provide a deeper understanding, this research also adopts the philosophies of interpretivism to delve into the subjective opinions and feedback of market practitioner and academic professors and investors</w:t>
      </w:r>
      <w:r w:rsidR="00A4192B" w:rsidRPr="00DB3E05">
        <w:rPr>
          <w:rFonts w:ascii="Arial" w:eastAsiaTheme="minorEastAsia" w:hAnsi="Arial" w:cs="Arial"/>
          <w:color w:val="181818"/>
          <w:sz w:val="28"/>
          <w:szCs w:val="28"/>
          <w:lang w:val="en-GB"/>
          <w14:ligatures w14:val="standardContextual"/>
        </w:rPr>
        <w:t xml:space="preserve"> to response to research questions 1-3</w:t>
      </w:r>
      <w:r w:rsidRPr="00DB3E05">
        <w:rPr>
          <w:rFonts w:ascii="Arial" w:eastAsiaTheme="minorEastAsia" w:hAnsi="Arial" w:cs="Arial"/>
          <w:color w:val="181818"/>
          <w:sz w:val="28"/>
          <w:szCs w:val="28"/>
          <w:lang w:val="en-GB"/>
          <w14:ligatures w14:val="standardContextual"/>
        </w:rPr>
        <w:t xml:space="preserve">. </w:t>
      </w:r>
    </w:p>
    <w:p w14:paraId="0AAFB017" w14:textId="77777777" w:rsidR="00C355D3" w:rsidRDefault="00C355D3" w:rsidP="00B7617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2A5CF406" w14:textId="77777777" w:rsidR="00C355D3" w:rsidRPr="00DB3E05"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 xml:space="preserve">Research question 1: </w:t>
      </w:r>
    </w:p>
    <w:p w14:paraId="4B0A5AE1" w14:textId="77777777" w:rsidR="00C355D3" w:rsidRPr="00DB3E05" w:rsidRDefault="00C355D3" w:rsidP="00C355D3">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How do board characteristics influence ESG performance on listed companies?</w:t>
      </w:r>
    </w:p>
    <w:p w14:paraId="674D3544"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 xml:space="preserve">Hypothesis 1A: </w:t>
      </w:r>
    </w:p>
    <w:p w14:paraId="18014F24" w14:textId="24DA0E6A"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Female executive directors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ESG Score (dependent variable)</w:t>
      </w:r>
    </w:p>
    <w:p w14:paraId="0545DEF7"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1B:</w:t>
      </w:r>
    </w:p>
    <w:p w14:paraId="648756C3" w14:textId="15315B30"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Independent non-executive directors serve less than 6 listed companies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ESG Score (dependent variable)</w:t>
      </w:r>
    </w:p>
    <w:p w14:paraId="3718570C" w14:textId="77777777" w:rsidR="00C355D3" w:rsidRDefault="00C355D3" w:rsidP="00C355D3">
      <w:pPr>
        <w:pStyle w:val="ListParagraph"/>
        <w:spacing w:line="360" w:lineRule="auto"/>
        <w:ind w:left="1429"/>
        <w:jc w:val="both"/>
        <w:rPr>
          <w:rFonts w:ascii="Arial" w:hAnsi="Arial" w:cs="Arial"/>
          <w:color w:val="181818"/>
          <w:sz w:val="28"/>
          <w:szCs w:val="28"/>
          <w:lang w:val="en-GB"/>
        </w:rPr>
      </w:pPr>
    </w:p>
    <w:p w14:paraId="3BD049E4" w14:textId="77777777" w:rsidR="00C355D3" w:rsidRDefault="00C355D3" w:rsidP="00C355D3">
      <w:pPr>
        <w:pStyle w:val="ListParagraph"/>
        <w:spacing w:line="360" w:lineRule="auto"/>
        <w:ind w:left="851"/>
        <w:jc w:val="both"/>
        <w:rPr>
          <w:rFonts w:ascii="Arial" w:hAnsi="Arial" w:cs="Arial"/>
          <w:color w:val="181818"/>
          <w:sz w:val="28"/>
          <w:szCs w:val="28"/>
          <w:lang w:val="en-GB"/>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Pr>
          <w:rFonts w:ascii="Arial" w:hAnsi="Arial" w:cs="Arial"/>
          <w:color w:val="000000"/>
          <w:sz w:val="28"/>
          <w:szCs w:val="28"/>
        </w:rPr>
        <w:t xml:space="preserve"> found that role of female directors has positive contribution to corporate performance.   The finding also supports the positive relationship between female executive directors and corporate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Pr>
          <w:rFonts w:ascii="Arial" w:hAnsi="Arial" w:cs="Arial"/>
          <w:color w:val="000000"/>
          <w:sz w:val="28"/>
          <w:szCs w:val="28"/>
        </w:rPr>
        <w:t xml:space="preserve"> suggests policymakers encourage the appointment of female non-executive directors and female executive directors to improve the corporate governance and corporate performance.  This is consistent with the regulatory movement in Hong Kong about board diversity. In Hong Kong, the percentage of female directors increased from 15.0% in 2021 to 18.4% in 2024.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&lt;EndNote&gt;&lt;Cite&gt;&lt;Author&gt;Exchange&lt;/Author&gt;&lt;Year&gt;2024&lt;/Year&gt;&lt;RecNum&gt;88&lt;/RecNum&gt;&lt;DisplayText&gt;(Exchange, 2024a)&lt;/DisplayText&gt;&lt;record&gt;&lt;rec-number&gt;88&lt;/rec-number&gt;&lt;foreign-keys&gt;&lt;key app="EN" db-id="0vtwt0xdiepatveerwsxw55izapvzd0d0v5w" timestamp="1721565911" guid="22b0089e-4d3c-4658-97ae-5128d030c32d"&gt;88&lt;/key&gt;&lt;/foreign-keys&gt;&lt;ref-type name="Journal Article"&gt;17&lt;/ref-type&gt;&lt;contributors&gt;&lt;authors&gt;&lt;author&gt;Exchange&lt;/author&gt;&lt;/authors&gt;&lt;/contributors&gt;&lt;titles&gt;&lt;title&gt;Board Diversity &amp;amp; Inclusion in Focus&lt;/title&gt;&lt;/titles&gt;&lt;dates&gt;&lt;year&gt;2024&lt;/year&gt;&lt;/dates&gt;&lt;urls&gt;&lt;related-urls&gt;&lt;url&gt;https://www.hkex.com.hk/eng/BoardDiversity/index.htm&lt;/url&gt;&lt;/related-urls&gt;&lt;/urls&gt;&lt;/record&gt;&lt;/Cite&gt;&lt;/EndNote&gt;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(Exchange, 2024a)</w:t>
      </w:r>
      <w:r>
        <w:rPr>
          <w:rFonts w:ascii="Arial" w:hAnsi="Arial" w:cs="Arial"/>
          <w:color w:val="000000"/>
          <w:sz w:val="28"/>
          <w:szCs w:val="28"/>
        </w:rPr>
        <w:fldChar w:fldCharType="end"/>
      </w:r>
    </w:p>
    <w:p w14:paraId="40AF8433" w14:textId="77777777" w:rsidR="00C355D3"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p>
    <w:p w14:paraId="286F603C" w14:textId="4D5EC86D" w:rsidR="00C355D3" w:rsidRPr="00B92169" w:rsidRDefault="00C355D3" w:rsidP="00C355D3">
      <w:pPr>
        <w:pStyle w:val="ListParagraph"/>
        <w:spacing w:line="360" w:lineRule="auto"/>
        <w:ind w:left="851"/>
        <w:jc w:val="both"/>
        <w:rPr>
          <w:rFonts w:ascii="Arial" w:hAnsi="Arial" w:cs="Arial"/>
          <w:color w:val="000000"/>
          <w:sz w:val="28"/>
          <w:szCs w:val="28"/>
        </w:rPr>
      </w:pPr>
      <w:r w:rsidRPr="00B92169">
        <w:rPr>
          <w:rFonts w:ascii="Arial" w:hAnsi="Arial" w:cs="Arial"/>
          <w:color w:val="000000"/>
          <w:sz w:val="28"/>
          <w:szCs w:val="28"/>
        </w:rPr>
        <w:lastRenderedPageBreak/>
        <w:t xml:space="preserve">It is fairly practice for </w:t>
      </w:r>
      <w:r>
        <w:rPr>
          <w:rFonts w:ascii="Arial" w:hAnsi="Arial" w:cs="Arial"/>
          <w:color w:val="000000"/>
          <w:sz w:val="28"/>
          <w:szCs w:val="28"/>
        </w:rPr>
        <w:t xml:space="preserve">INEDs </w:t>
      </w:r>
      <w:r w:rsidRPr="00B92169">
        <w:rPr>
          <w:rFonts w:ascii="Arial" w:hAnsi="Arial" w:cs="Arial"/>
          <w:color w:val="000000"/>
          <w:sz w:val="28"/>
          <w:szCs w:val="28"/>
        </w:rPr>
        <w:t xml:space="preserve">to hold position across multiple companies.  However, this phenomenon raises critical questions about the effectiveness and dedication of such directors in fulfilling their responsibilities.  </w:t>
      </w:r>
      <w:r w:rsidRPr="00B92169">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&lt;EndNote&gt;&lt;Cite&gt;&lt;Author&gt;Cashman&lt;/Author&gt;&lt;Year&gt;2012&lt;/Year&gt;&lt;RecNum&gt;89&lt;/RecNum&gt;&lt;DisplayText&gt;(Cashman et al., 2012)&lt;/DisplayText&gt;&lt;record&gt;&lt;rec-number&gt;89&lt;/rec-number&gt;&lt;foreign-keys&gt;&lt;key app="EN" db-id="0vtwt0xdiepatveerwsxw55izapvzd0d0v5w" timestamp="1721566166" guid="3ab8c22d-8c4d-4a46-a1d5-b01e6952bd6b"&gt;89&lt;/key&gt;&lt;/foreign-keys&gt;&lt;ref-type name="Journal Article"&gt;17&lt;/ref-type&gt;&lt;contributors&gt;&lt;authors&gt;&lt;author&gt;Cashman, George D&lt;/author&gt;&lt;author&gt;Gillan, Stuart L&lt;/author&gt;&lt;author&gt;Jun, Chulhee&lt;/author&gt;&lt;/authors&gt;&lt;/contributors&gt;&lt;titles&gt;&lt;title&gt;Going overboard? On busy directors and firm value&lt;/title&gt;&lt;secondary-title&gt;Journal of banking &amp;amp; finance&lt;/secondary-title&gt;&lt;/titles&gt;&lt;periodical&gt;&lt;full-title&gt;Journal of Banking &amp;amp; Finance&lt;/full-title&gt;&lt;/periodical&gt;&lt;pages&gt;3248-3259&lt;/pages&gt;&lt;volume&gt;36&lt;/volume&gt;&lt;number&gt;12&lt;/number&gt;&lt;dates&gt;&lt;year&gt;2012&lt;/year&gt;&lt;/dates&gt;&lt;isbn&gt;0378-4266&lt;/isbn&gt;&lt;urls&gt;&lt;/urls&gt;&lt;/record&gt;&lt;/Cite&gt;&lt;/EndNote&gt;</w:instrText>
      </w:r>
      <w:r w:rsidRPr="00B92169">
        <w:rPr>
          <w:rFonts w:ascii="Arial" w:hAnsi="Arial" w:cs="Arial"/>
          <w:color w:val="000000"/>
          <w:sz w:val="28"/>
          <w:szCs w:val="28"/>
        </w:rPr>
        <w:fldChar w:fldCharType="separate"/>
      </w:r>
      <w:r w:rsidRPr="00B92169">
        <w:rPr>
          <w:rFonts w:ascii="Arial" w:hAnsi="Arial" w:cs="Arial"/>
          <w:noProof/>
          <w:color w:val="000000"/>
          <w:sz w:val="28"/>
          <w:szCs w:val="28"/>
        </w:rPr>
        <w:t>(Cashman et al., 2012)</w:t>
      </w:r>
      <w:r w:rsidRPr="00B92169">
        <w:rPr>
          <w:rFonts w:ascii="Arial" w:hAnsi="Arial" w:cs="Arial"/>
          <w:color w:val="000000"/>
          <w:sz w:val="28"/>
          <w:szCs w:val="28"/>
        </w:rPr>
        <w:fldChar w:fldCharType="end"/>
      </w:r>
      <w:r w:rsidRPr="00B92169">
        <w:rPr>
          <w:rFonts w:ascii="Arial" w:hAnsi="Arial" w:cs="Arial"/>
          <w:color w:val="000000"/>
          <w:sz w:val="28"/>
          <w:szCs w:val="28"/>
        </w:rPr>
        <w:t xml:space="preserve"> </w:t>
      </w:r>
      <w:r>
        <w:rPr>
          <w:rFonts w:ascii="Arial" w:hAnsi="Arial" w:cs="Arial"/>
          <w:color w:val="000000"/>
          <w:sz w:val="28"/>
          <w:szCs w:val="28"/>
        </w:rPr>
        <w:t xml:space="preserve">The overboard issue of INEDs has been address in the recent consultation of the Stock Exchange. </w:t>
      </w:r>
      <w:r w:rsidR="009A1897">
        <w:rPr>
          <w:rFonts w:ascii="Arial" w:hAnsi="Arial" w:cs="Arial"/>
          <w:color w:val="000000"/>
          <w:sz w:val="28"/>
          <w:szCs w:val="28"/>
        </w:rPr>
        <w:t xml:space="preserve">It is suggested that the number of INEDs position can hold should be capped.  The proposal is that an individual INED should not allow to serve on the board of more than 6 listed companies at the same time.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(Exchange, 2024b)</w:t>
      </w:r>
      <w:r>
        <w:rPr>
          <w:rFonts w:ascii="Arial" w:hAnsi="Arial" w:cs="Arial"/>
          <w:color w:val="000000"/>
          <w:sz w:val="28"/>
          <w:szCs w:val="28"/>
        </w:rPr>
        <w:fldChar w:fldCharType="end"/>
      </w:r>
    </w:p>
    <w:p w14:paraId="4856A523" w14:textId="32987CF5" w:rsidR="00C355D3" w:rsidRDefault="00C355D3" w:rsidP="00C355D3">
      <w:pPr>
        <w:rPr>
          <w:rFonts w:ascii="Arial" w:eastAsiaTheme="minorEastAsia" w:hAnsi="Arial" w:cs="Arial"/>
          <w:i/>
          <w:iCs/>
          <w:color w:val="181818"/>
          <w:sz w:val="28"/>
          <w:szCs w:val="28"/>
          <w:u w:val="single"/>
          <w:lang w:val="en-GB"/>
          <w14:ligatures w14:val="standardContextual"/>
        </w:rPr>
      </w:pPr>
    </w:p>
    <w:p w14:paraId="3F0A165E" w14:textId="77777777" w:rsidR="00C355D3" w:rsidRPr="00DB3E05"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2:</w:t>
      </w:r>
    </w:p>
    <w:p w14:paraId="0108E826" w14:textId="5CABC86B" w:rsidR="00C355D3" w:rsidRPr="00DB3E05" w:rsidRDefault="00C355D3" w:rsidP="00C355D3">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 does ESG performance affect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w:t>
      </w:r>
    </w:p>
    <w:p w14:paraId="4DBE9EAB"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2A:</w:t>
      </w:r>
    </w:p>
    <w:p w14:paraId="24D9EE0D" w14:textId="4AFE6AC0"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ESG Score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profitability (</w:t>
      </w:r>
      <w:proofErr w:type="gramStart"/>
      <w:r w:rsidRPr="00DB3E05">
        <w:rPr>
          <w:rFonts w:ascii="Arial" w:hAnsi="Arial" w:cs="Arial"/>
          <w:color w:val="181818"/>
          <w:sz w:val="28"/>
          <w:szCs w:val="28"/>
          <w:lang w:val="en-GB"/>
        </w:rPr>
        <w:t>e.g.</w:t>
      </w:r>
      <w:proofErr w:type="gramEnd"/>
      <w:r w:rsidRPr="00DB3E05">
        <w:rPr>
          <w:rFonts w:ascii="Arial" w:hAnsi="Arial" w:cs="Arial"/>
          <w:color w:val="181818"/>
          <w:sz w:val="28"/>
          <w:szCs w:val="28"/>
          <w:lang w:val="en-GB"/>
        </w:rPr>
        <w:t xml:space="preserve"> price-earnings ratio or return on assets) (dependent variable)</w:t>
      </w:r>
    </w:p>
    <w:p w14:paraId="578E2530"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2B:</w:t>
      </w:r>
    </w:p>
    <w:p w14:paraId="033592AF" w14:textId="0B97C8FB"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Profitability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008B6175">
        <w:rPr>
          <w:rFonts w:ascii="Arial" w:hAnsi="Arial" w:cs="Arial"/>
          <w:color w:val="181818"/>
          <w:sz w:val="28"/>
          <w:szCs w:val="28"/>
          <w:lang w:val="en-GB"/>
        </w:rPr>
        <w:t>corporate valuations</w:t>
      </w:r>
      <w:r w:rsidRPr="00DB3E05">
        <w:rPr>
          <w:rFonts w:ascii="Arial" w:hAnsi="Arial" w:cs="Arial"/>
          <w:color w:val="181818"/>
          <w:sz w:val="28"/>
          <w:szCs w:val="28"/>
          <w:lang w:val="en-GB"/>
        </w:rPr>
        <w:t xml:space="preserve"> (dependent variable)</w:t>
      </w:r>
    </w:p>
    <w:p w14:paraId="3948FACC" w14:textId="77777777" w:rsidR="00C355D3" w:rsidRDefault="00C355D3" w:rsidP="00C355D3">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3FCA38EE" w14:textId="570FA6D2" w:rsidR="00C355D3" w:rsidRDefault="00C355D3" w:rsidP="00C355D3">
      <w:pPr>
        <w:spacing w:line="360" w:lineRule="auto"/>
        <w:ind w:left="709"/>
        <w:jc w:val="both"/>
        <w:rPr>
          <w:rFonts w:ascii="Arial" w:hAnsi="Arial" w:cs="Arial"/>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 xml:space="preserve"> tested the relationship between ESG scores and price-book value ratio.  The finding showed that  the price-book value fluctuated during 2020 and 2021 and the profitability does not have positive impact on </w:t>
      </w:r>
      <w:r w:rsidR="008B6175">
        <w:rPr>
          <w:rFonts w:ascii="Arial" w:hAnsi="Arial" w:cs="Arial"/>
          <w:color w:val="000000"/>
          <w:sz w:val="28"/>
          <w:szCs w:val="28"/>
        </w:rPr>
        <w:t>corporate valuations</w:t>
      </w:r>
      <w:r>
        <w:rPr>
          <w:rFonts w:ascii="Arial" w:hAnsi="Arial" w:cs="Arial"/>
          <w:color w:val="000000"/>
          <w:sz w:val="28"/>
          <w:szCs w:val="28"/>
        </w:rPr>
        <w:t xml:space="preserve"> which is inconsistent with prior studies.  This is worth to test this hypothesis using more recent data in Hong Kong.   </w:t>
      </w:r>
    </w:p>
    <w:p w14:paraId="4BF6E49E" w14:textId="77777777" w:rsidR="00C355D3" w:rsidRDefault="00C355D3" w:rsidP="00C355D3">
      <w:pPr>
        <w:spacing w:line="360" w:lineRule="auto"/>
        <w:ind w:left="709"/>
        <w:jc w:val="both"/>
        <w:rPr>
          <w:rFonts w:ascii="Arial" w:hAnsi="Arial" w:cs="Arial"/>
          <w:color w:val="000000"/>
          <w:sz w:val="28"/>
          <w:szCs w:val="28"/>
        </w:rPr>
      </w:pPr>
    </w:p>
    <w:p w14:paraId="59AD594A" w14:textId="77777777" w:rsidR="00C355D3" w:rsidRPr="00941ED3" w:rsidRDefault="00C355D3" w:rsidP="00C355D3">
      <w:pPr>
        <w:spacing w:line="360" w:lineRule="auto"/>
        <w:ind w:left="709"/>
        <w:jc w:val="both"/>
        <w:rPr>
          <w:rFonts w:ascii="Arial" w:hAnsi="Arial" w:cs="Arial"/>
          <w:color w:val="000000"/>
          <w:sz w:val="28"/>
          <w:szCs w:val="28"/>
        </w:rPr>
      </w:pPr>
      <w:r>
        <w:rPr>
          <w:rFonts w:ascii="Arial" w:hAnsi="Arial" w:cs="Arial"/>
          <w:color w:val="000000"/>
          <w:sz w:val="28"/>
          <w:szCs w:val="28"/>
        </w:rPr>
        <w:t xml:space="preserve">The employment of other variables, including price-earnings ratio or/and return on assets, can fill the research gap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w:t>
      </w:r>
    </w:p>
    <w:p w14:paraId="6A474831" w14:textId="77777777" w:rsidR="00C355D3" w:rsidRPr="00DB3E05" w:rsidRDefault="00C355D3" w:rsidP="00C355D3">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4BA9779C" w14:textId="77777777" w:rsidR="00C355D3" w:rsidRPr="00DB3E05"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3:</w:t>
      </w:r>
    </w:p>
    <w:p w14:paraId="3F5E8685" w14:textId="77777777" w:rsidR="00C355D3" w:rsidRPr="00DB3E05" w:rsidRDefault="00C355D3" w:rsidP="00C355D3">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 does ESG performance affect investment decision? </w:t>
      </w:r>
    </w:p>
    <w:p w14:paraId="285B76E8"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lastRenderedPageBreak/>
        <w:t>Hypothesis 3A:</w:t>
      </w:r>
    </w:p>
    <w:p w14:paraId="57ED6CE9" w14:textId="3167F8D3"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Environmental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Pr="00DB3E05">
        <w:rPr>
          <w:rFonts w:ascii="Arial" w:hAnsi="Arial" w:cs="Arial"/>
          <w:color w:val="181818"/>
          <w:sz w:val="28"/>
          <w:szCs w:val="28"/>
          <w:lang w:val="en-GB"/>
        </w:rPr>
        <w:t xml:space="preserve"> investment decision (dependent variable)</w:t>
      </w:r>
    </w:p>
    <w:p w14:paraId="4A77FD30"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3B:</w:t>
      </w:r>
    </w:p>
    <w:p w14:paraId="7838EC68" w14:textId="267DFE38"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Social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investment decision (dependent variable)</w:t>
      </w:r>
    </w:p>
    <w:p w14:paraId="3AD2470B" w14:textId="77777777" w:rsidR="00C355D3" w:rsidRPr="00DB3E05" w:rsidRDefault="00C355D3" w:rsidP="00C355D3">
      <w:pPr>
        <w:spacing w:line="360" w:lineRule="auto"/>
        <w:ind w:firstLine="720"/>
        <w:jc w:val="both"/>
        <w:rPr>
          <w:rFonts w:ascii="Arial" w:eastAsiaTheme="minorEastAsia" w:hAnsi="Arial" w:cs="Arial"/>
          <w:i/>
          <w:iCs/>
          <w:color w:val="181818"/>
          <w:sz w:val="28"/>
          <w:szCs w:val="28"/>
          <w:lang w:val="en-GB"/>
        </w:rPr>
      </w:pPr>
      <w:r w:rsidRPr="00DB3E05">
        <w:rPr>
          <w:rFonts w:ascii="Arial" w:eastAsiaTheme="minorEastAsia" w:hAnsi="Arial" w:cs="Arial"/>
          <w:i/>
          <w:iCs/>
          <w:color w:val="181818"/>
          <w:sz w:val="28"/>
          <w:szCs w:val="28"/>
          <w:lang w:val="en-GB"/>
        </w:rPr>
        <w:t>Hypothesis 3B:</w:t>
      </w:r>
    </w:p>
    <w:p w14:paraId="2FFC552D" w14:textId="77777777" w:rsidR="00C355D3" w:rsidRPr="00860923"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Government factors (independent variable) have positive impact on investment decision (dependent variable)</w:t>
      </w:r>
    </w:p>
    <w:p w14:paraId="3DF94318" w14:textId="77777777" w:rsidR="00C355D3" w:rsidRDefault="00C355D3" w:rsidP="00B7617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52F1E656" w14:textId="39685F9A" w:rsidR="00A4192B" w:rsidRPr="00DB3E05" w:rsidRDefault="00FA3DFA" w:rsidP="00206AA4">
      <w:pPr>
        <w:tabs>
          <w:tab w:val="left" w:pos="0"/>
          <w:tab w:val="left" w:pos="709"/>
          <w:tab w:val="right" w:pos="8931"/>
        </w:tabs>
        <w:spacing w:line="360" w:lineRule="auto"/>
        <w:ind w:left="709"/>
        <w:jc w:val="both"/>
        <w:rPr>
          <w:rFonts w:ascii="Arial" w:hAnsi="Arial" w:cs="Arial"/>
          <w:color w:val="000000"/>
          <w:sz w:val="28"/>
          <w:szCs w:val="28"/>
        </w:rPr>
      </w:pPr>
      <w:r>
        <w:rPr>
          <w:rFonts w:ascii="Arial" w:eastAsiaTheme="minorEastAsia" w:hAnsi="Arial" w:cs="Arial"/>
          <w:color w:val="181818"/>
          <w:sz w:val="28"/>
          <w:szCs w:val="28"/>
          <w:lang w:val="en-GB"/>
          <w14:ligatures w14:val="standardContextual"/>
        </w:rPr>
        <w:t xml:space="preserve">Multiple </w:t>
      </w:r>
      <w:r w:rsidR="004A1EC6" w:rsidRPr="00DB3E05">
        <w:rPr>
          <w:rFonts w:ascii="Arial" w:eastAsiaTheme="minorEastAsia" w:hAnsi="Arial" w:cs="Arial"/>
          <w:color w:val="181818"/>
          <w:sz w:val="28"/>
          <w:szCs w:val="28"/>
          <w:lang w:val="en-GB"/>
          <w14:ligatures w14:val="standardContextual"/>
        </w:rPr>
        <w:t xml:space="preserve">research strategies </w:t>
      </w:r>
      <w:r>
        <w:rPr>
          <w:rFonts w:ascii="Arial" w:eastAsiaTheme="minorEastAsia" w:hAnsi="Arial" w:cs="Arial"/>
          <w:color w:val="181818"/>
          <w:sz w:val="28"/>
          <w:szCs w:val="28"/>
          <w:lang w:val="en-GB"/>
          <w14:ligatures w14:val="standardContextual"/>
        </w:rPr>
        <w:t>are employed</w:t>
      </w:r>
      <w:r w:rsidR="004A1EC6" w:rsidRPr="00DB3E05">
        <w:rPr>
          <w:rFonts w:ascii="Arial" w:eastAsiaTheme="minorEastAsia" w:hAnsi="Arial" w:cs="Arial"/>
          <w:color w:val="181818"/>
          <w:sz w:val="28"/>
          <w:szCs w:val="28"/>
          <w:lang w:val="en-GB"/>
          <w14:ligatures w14:val="standardContextual"/>
        </w:rPr>
        <w:t xml:space="preserve"> in this research</w:t>
      </w:r>
      <w:r>
        <w:rPr>
          <w:rFonts w:ascii="Arial" w:eastAsiaTheme="minorEastAsia" w:hAnsi="Arial" w:cs="Arial"/>
          <w:color w:val="181818"/>
          <w:sz w:val="28"/>
          <w:szCs w:val="28"/>
          <w:lang w:val="en-GB"/>
          <w14:ligatures w14:val="standardContextual"/>
        </w:rPr>
        <w:t>, including</w:t>
      </w:r>
      <w:r w:rsidR="004A1EC6" w:rsidRPr="00DB3E05">
        <w:rPr>
          <w:rFonts w:ascii="Arial" w:eastAsiaTheme="minorEastAsia" w:hAnsi="Arial" w:cs="Arial"/>
          <w:color w:val="181818"/>
          <w:sz w:val="28"/>
          <w:szCs w:val="28"/>
          <w:lang w:val="en-GB"/>
          <w14:ligatures w14:val="standardContextual"/>
        </w:rPr>
        <w:t xml:space="preserve"> experiments, surveys, interviews and case study.   </w:t>
      </w:r>
      <w:r w:rsidR="004A1EC6" w:rsidRPr="00DB3E05">
        <w:rPr>
          <w:rFonts w:ascii="Arial" w:hAnsi="Arial" w:cs="Arial"/>
          <w:color w:val="000000"/>
          <w:sz w:val="28"/>
          <w:szCs w:val="28"/>
        </w:rPr>
        <w:fldChar w:fldCharType="begin"/>
      </w:r>
      <w:r w:rsidR="004A1EC6"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004A1EC6" w:rsidRPr="00DB3E05">
        <w:rPr>
          <w:rFonts w:ascii="Arial" w:hAnsi="Arial" w:cs="Arial"/>
          <w:color w:val="000000"/>
          <w:sz w:val="28"/>
          <w:szCs w:val="28"/>
        </w:rPr>
        <w:fldChar w:fldCharType="separate"/>
      </w:r>
      <w:r w:rsidR="004A1EC6" w:rsidRPr="00DB3E05">
        <w:rPr>
          <w:rFonts w:ascii="Arial" w:hAnsi="Arial" w:cs="Arial"/>
          <w:noProof/>
          <w:color w:val="000000"/>
          <w:sz w:val="28"/>
          <w:szCs w:val="28"/>
        </w:rPr>
        <w:t>(Saunders et al., 2019)</w:t>
      </w:r>
      <w:r w:rsidR="004A1EC6" w:rsidRPr="00DB3E05">
        <w:rPr>
          <w:rFonts w:ascii="Arial" w:hAnsi="Arial" w:cs="Arial"/>
          <w:color w:val="000000"/>
          <w:sz w:val="28"/>
          <w:szCs w:val="28"/>
        </w:rPr>
        <w:fldChar w:fldCharType="end"/>
      </w:r>
      <w:r w:rsidR="004A1EC6" w:rsidRPr="00DB3E05">
        <w:rPr>
          <w:rFonts w:ascii="Arial" w:hAnsi="Arial" w:cs="Arial"/>
          <w:color w:val="000000"/>
          <w:sz w:val="28"/>
          <w:szCs w:val="28"/>
        </w:rPr>
        <w:t xml:space="preserve">  </w:t>
      </w:r>
      <w:r>
        <w:rPr>
          <w:rFonts w:ascii="Arial" w:hAnsi="Arial" w:cs="Arial"/>
          <w:color w:val="000000"/>
          <w:sz w:val="28"/>
          <w:szCs w:val="28"/>
        </w:rPr>
        <w:t>The combination of b</w:t>
      </w:r>
      <w:r w:rsidR="004A1EC6" w:rsidRPr="00DB3E05">
        <w:rPr>
          <w:rFonts w:ascii="Arial" w:hAnsi="Arial" w:cs="Arial"/>
          <w:color w:val="000000"/>
          <w:sz w:val="28"/>
          <w:szCs w:val="28"/>
        </w:rPr>
        <w:t>oth quantitative method and qualitative method</w:t>
      </w:r>
      <w:r>
        <w:rPr>
          <w:rFonts w:ascii="Arial" w:hAnsi="Arial" w:cs="Arial"/>
          <w:color w:val="000000"/>
          <w:sz w:val="28"/>
          <w:szCs w:val="28"/>
        </w:rPr>
        <w:t xml:space="preserve">s helps to overcome the </w:t>
      </w:r>
      <w:r w:rsidR="004A1EC6" w:rsidRPr="00DB3E05">
        <w:rPr>
          <w:rFonts w:ascii="Arial" w:hAnsi="Arial" w:cs="Arial"/>
          <w:color w:val="000000"/>
          <w:sz w:val="28"/>
          <w:szCs w:val="28"/>
        </w:rPr>
        <w:t>limitation</w:t>
      </w:r>
      <w:r>
        <w:rPr>
          <w:rFonts w:ascii="Arial" w:hAnsi="Arial" w:cs="Arial"/>
          <w:color w:val="000000"/>
          <w:sz w:val="28"/>
          <w:szCs w:val="28"/>
        </w:rPr>
        <w:t>s associated with each</w:t>
      </w:r>
      <w:r w:rsidR="004A1EC6" w:rsidRPr="00DB3E05">
        <w:rPr>
          <w:rFonts w:ascii="Arial" w:hAnsi="Arial" w:cs="Arial"/>
          <w:color w:val="000000"/>
          <w:sz w:val="28"/>
          <w:szCs w:val="28"/>
        </w:rPr>
        <w:t xml:space="preserve"> research choice. </w:t>
      </w:r>
    </w:p>
    <w:p w14:paraId="3E695F94" w14:textId="77777777" w:rsidR="009416CD" w:rsidRPr="00DB3E05" w:rsidRDefault="009416CD" w:rsidP="00206AA4">
      <w:pPr>
        <w:tabs>
          <w:tab w:val="left" w:pos="0"/>
          <w:tab w:val="left" w:pos="709"/>
          <w:tab w:val="right" w:pos="8931"/>
        </w:tabs>
        <w:spacing w:line="360" w:lineRule="auto"/>
        <w:ind w:left="709"/>
        <w:jc w:val="both"/>
        <w:rPr>
          <w:rFonts w:ascii="Arial" w:hAnsi="Arial" w:cs="Arial"/>
          <w:color w:val="000000"/>
          <w:sz w:val="28"/>
          <w:szCs w:val="28"/>
        </w:rPr>
      </w:pPr>
    </w:p>
    <w:p w14:paraId="55591E67" w14:textId="536E178E" w:rsidR="009416CD" w:rsidRPr="00DB3E05" w:rsidRDefault="00156F0B" w:rsidP="00206AA4">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Since the conclusion of (Leung, 2024) is based on the data in 2020 and 2021 when the economy was affected by COVID-19 pandemic, the research will </w:t>
      </w:r>
      <w:r w:rsidR="0008155C">
        <w:rPr>
          <w:rFonts w:ascii="Arial" w:hAnsi="Arial" w:cs="Arial"/>
          <w:color w:val="000000"/>
          <w:sz w:val="28"/>
          <w:szCs w:val="28"/>
        </w:rPr>
        <w:t xml:space="preserve">also consider a similar economic </w:t>
      </w:r>
      <w:r w:rsidRPr="00DB3E05">
        <w:rPr>
          <w:rFonts w:ascii="Arial" w:hAnsi="Arial" w:cs="Arial"/>
          <w:color w:val="000000"/>
          <w:sz w:val="28"/>
          <w:szCs w:val="28"/>
        </w:rPr>
        <w:t>time horizon, i.e. 2 years and will base on the data in 2022 and 2023.</w:t>
      </w:r>
    </w:p>
    <w:p w14:paraId="7A7A81C0" w14:textId="77777777" w:rsidR="004A1EC6" w:rsidRPr="00DB3E05" w:rsidRDefault="004A1EC6" w:rsidP="00206AA4">
      <w:pPr>
        <w:tabs>
          <w:tab w:val="left" w:pos="0"/>
          <w:tab w:val="left" w:pos="709"/>
          <w:tab w:val="right" w:pos="8931"/>
        </w:tabs>
        <w:spacing w:line="360" w:lineRule="auto"/>
        <w:ind w:left="709"/>
        <w:jc w:val="both"/>
        <w:rPr>
          <w:rFonts w:ascii="Arial" w:hAnsi="Arial" w:cs="Arial"/>
          <w:color w:val="000000"/>
          <w:sz w:val="28"/>
          <w:szCs w:val="28"/>
        </w:rPr>
      </w:pPr>
    </w:p>
    <w:p w14:paraId="540F8433" w14:textId="3EA02B70" w:rsidR="00156F0B" w:rsidRPr="00DB3E05" w:rsidRDefault="00156F0B" w:rsidP="00156F0B">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3.3</w:t>
      </w:r>
      <w:r w:rsidRPr="00DB3E05">
        <w:rPr>
          <w:rFonts w:ascii="Arial" w:hAnsi="Arial" w:cs="Arial"/>
          <w:b/>
          <w:bCs/>
          <w:color w:val="000000"/>
          <w:sz w:val="28"/>
          <w:szCs w:val="28"/>
        </w:rPr>
        <w:tab/>
        <w:t>Data collection and data analysis</w:t>
      </w:r>
    </w:p>
    <w:p w14:paraId="06E89DBD" w14:textId="565824E8" w:rsidR="004A1EC6" w:rsidRPr="00DB3E05" w:rsidRDefault="001F53B9"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Both quantitative and qualitative research methods are used, the data collection and analysis for research questions 1-3 are described below.</w:t>
      </w:r>
    </w:p>
    <w:p w14:paraId="4A1AF895" w14:textId="77777777" w:rsidR="001F53B9" w:rsidRPr="00DB3E05" w:rsidRDefault="001F53B9"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445A908F" w14:textId="6B0C3522" w:rsidR="008F0382" w:rsidRPr="00DB3E05" w:rsidRDefault="00211CED" w:rsidP="008F038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The number of </w:t>
      </w:r>
      <w:r w:rsidRPr="00DB3E05">
        <w:rPr>
          <w:rFonts w:ascii="Arial" w:eastAsiaTheme="minorEastAsia" w:hAnsi="Arial" w:cs="Arial"/>
          <w:color w:val="181818"/>
          <w:sz w:val="28"/>
          <w:szCs w:val="28"/>
          <w:lang w:val="en-GB"/>
          <w14:ligatures w14:val="standardContextual"/>
        </w:rPr>
        <w:t xml:space="preserve">listed companies </w:t>
      </w:r>
      <w:r>
        <w:rPr>
          <w:rFonts w:ascii="Arial" w:eastAsiaTheme="minorEastAsia" w:hAnsi="Arial" w:cs="Arial"/>
          <w:color w:val="181818"/>
          <w:sz w:val="28"/>
          <w:szCs w:val="28"/>
          <w:lang w:val="en-GB"/>
          <w14:ligatures w14:val="standardContextual"/>
        </w:rPr>
        <w:t>in Hong Kong is 2,624</w:t>
      </w:r>
      <w:r w:rsidR="008F0382" w:rsidRPr="00DB3E05">
        <w:rPr>
          <w:rFonts w:ascii="Arial" w:eastAsiaTheme="minorEastAsia" w:hAnsi="Arial" w:cs="Arial"/>
          <w:color w:val="181818"/>
          <w:sz w:val="28"/>
          <w:szCs w:val="28"/>
          <w:lang w:val="en-GB"/>
          <w14:ligatures w14:val="standardContextual"/>
        </w:rPr>
        <w:t xml:space="preserve">. </w:t>
      </w:r>
      <w:r w:rsidR="008F0382"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&lt;EndNote&gt;&lt;Cite&gt;&lt;Author&gt;Exchange&lt;/Author&gt;&lt;Year&gt;2024&lt;/Year&gt;&lt;RecNum&gt;80&lt;/RecNum&gt;&lt;DisplayText&gt;(Exchange, 2024c)&lt;/DisplayText&gt;&lt;record&gt;&lt;rec-number&gt;80&lt;/rec-number&gt;&lt;foreign-keys&gt;&lt;key app="EN" db-id="0vtwt0xdiepatveerwsxw55izapvzd0d0v5w" timestamp="1721555298" guid="ebb737fa-dda7-4f99-bf5e-b30fe862193b"&gt;80&lt;/key&gt;&lt;/foreign-keys&gt;&lt;ref-type name="Online Database"&gt;45&lt;/ref-type&gt;&lt;contributors&gt;&lt;authors&gt;&lt;author&gt;Exchange&lt;/author&gt;&lt;/authors&gt;&lt;/contributors&gt;&lt;titles&gt;&lt;title&gt;Hong Kong and Mainland Market Highlights&lt;/title&gt;&lt;/titles&gt;&lt;dates&gt;&lt;year&gt;2024&lt;/year&gt;&lt;/dates&gt;&lt;urls&gt;&lt;related-urls&gt;&lt;url&gt;https://www.hkex.com.hk/Mutual-Market/Stock-Connect/Statistics/Hong-Kong-and-Mainland-Market-Highlights?sc_lang=en#select3=0&amp;amp;selection=2024-7-19&amp;amp;select2=6&amp;amp;select1=18&lt;/url&gt;&lt;/related-urls&gt;&lt;/urls&gt;&lt;/record&gt;&lt;/Cite&gt;&lt;/EndNote&gt;</w:instrText>
      </w:r>
      <w:r w:rsidR="008F0382" w:rsidRPr="00DB3E05">
        <w:rPr>
          <w:rFonts w:ascii="Arial" w:eastAsiaTheme="minorEastAsia" w:hAnsi="Arial" w:cs="Arial"/>
          <w:color w:val="181818"/>
          <w:sz w:val="28"/>
          <w:szCs w:val="28"/>
          <w:lang w:val="en-GB"/>
          <w14:ligatures w14:val="standardContextual"/>
        </w:rPr>
        <w:fldChar w:fldCharType="separate"/>
      </w:r>
      <w:r w:rsidR="00EF4A43">
        <w:rPr>
          <w:rFonts w:ascii="Arial" w:eastAsiaTheme="minorEastAsia" w:hAnsi="Arial" w:cs="Arial"/>
          <w:noProof/>
          <w:color w:val="181818"/>
          <w:sz w:val="28"/>
          <w:szCs w:val="28"/>
          <w:lang w:val="en-GB"/>
          <w14:ligatures w14:val="standardContextual"/>
        </w:rPr>
        <w:t>(Exchange, 2024c)</w:t>
      </w:r>
      <w:r w:rsidR="008F0382" w:rsidRPr="00DB3E05">
        <w:rPr>
          <w:rFonts w:ascii="Arial" w:eastAsiaTheme="minorEastAsia" w:hAnsi="Arial" w:cs="Arial"/>
          <w:color w:val="181818"/>
          <w:sz w:val="28"/>
          <w:szCs w:val="28"/>
          <w:lang w:val="en-GB"/>
          <w14:ligatures w14:val="standardContextual"/>
        </w:rPr>
        <w:fldChar w:fldCharType="end"/>
      </w:r>
      <w:r w:rsidR="008F0382" w:rsidRPr="00DB3E05">
        <w:rPr>
          <w:rFonts w:ascii="Arial" w:eastAsiaTheme="minorEastAsia" w:hAnsi="Arial" w:cs="Arial"/>
          <w:color w:val="181818"/>
          <w:sz w:val="28"/>
          <w:szCs w:val="28"/>
          <w:lang w:val="en-GB"/>
          <w14:ligatures w14:val="standardContextual"/>
        </w:rPr>
        <w:t xml:space="preserve"> </w:t>
      </w:r>
      <w:r w:rsidR="00757475" w:rsidRPr="00DB3E05">
        <w:rPr>
          <w:rFonts w:ascii="Arial" w:eastAsiaTheme="minorEastAsia" w:hAnsi="Arial" w:cs="Arial"/>
          <w:color w:val="181818"/>
          <w:sz w:val="28"/>
          <w:szCs w:val="28"/>
          <w:lang w:val="en-GB"/>
          <w14:ligatures w14:val="standardContextual"/>
        </w:rPr>
        <w:t xml:space="preserve">The Listing Rules </w:t>
      </w:r>
      <w:r w:rsidR="00757475">
        <w:rPr>
          <w:rFonts w:ascii="Arial" w:eastAsiaTheme="minorEastAsia" w:hAnsi="Arial" w:cs="Arial"/>
          <w:color w:val="181818"/>
          <w:sz w:val="28"/>
          <w:szCs w:val="28"/>
          <w:lang w:val="en-GB"/>
          <w14:ligatures w14:val="standardContextual"/>
        </w:rPr>
        <w:t xml:space="preserve">mandate that the board of </w:t>
      </w:r>
      <w:r w:rsidR="00757475" w:rsidRPr="00DB3E05">
        <w:rPr>
          <w:rFonts w:ascii="Arial" w:eastAsiaTheme="minorEastAsia" w:hAnsi="Arial" w:cs="Arial"/>
          <w:color w:val="181818"/>
          <w:sz w:val="28"/>
          <w:szCs w:val="28"/>
          <w:lang w:val="en-GB"/>
          <w14:ligatures w14:val="standardContextual"/>
        </w:rPr>
        <w:t xml:space="preserve">listed companies in Hong Kong </w:t>
      </w:r>
      <w:r w:rsidR="00757475">
        <w:rPr>
          <w:rFonts w:ascii="Arial" w:eastAsiaTheme="minorEastAsia" w:hAnsi="Arial" w:cs="Arial"/>
          <w:color w:val="181818"/>
          <w:sz w:val="28"/>
          <w:szCs w:val="28"/>
          <w:lang w:val="en-GB"/>
          <w14:ligatures w14:val="standardContextual"/>
        </w:rPr>
        <w:t>conduct</w:t>
      </w:r>
      <w:r w:rsidR="00757475" w:rsidRPr="00DB3E05">
        <w:rPr>
          <w:rFonts w:ascii="Arial" w:eastAsiaTheme="minorEastAsia" w:hAnsi="Arial" w:cs="Arial"/>
          <w:color w:val="181818"/>
          <w:sz w:val="28"/>
          <w:szCs w:val="28"/>
          <w:lang w:val="en-GB"/>
          <w14:ligatures w14:val="standardContextual"/>
        </w:rPr>
        <w:t xml:space="preserve"> ESG reporting.</w:t>
      </w:r>
      <w:r w:rsidR="00757475">
        <w:rPr>
          <w:rFonts w:ascii="Arial" w:eastAsiaTheme="minorEastAsia" w:hAnsi="Arial" w:cs="Arial"/>
          <w:color w:val="181818"/>
          <w:sz w:val="28"/>
          <w:szCs w:val="28"/>
          <w:lang w:val="en-GB"/>
          <w14:ligatures w14:val="standardContextual"/>
        </w:rPr>
        <w:t xml:space="preserve">  </w:t>
      </w:r>
      <w:r w:rsidR="008F0382" w:rsidRPr="00DB3E05">
        <w:rPr>
          <w:rFonts w:ascii="Arial" w:eastAsiaTheme="minorEastAsia" w:hAnsi="Arial" w:cs="Arial"/>
          <w:color w:val="181818"/>
          <w:sz w:val="28"/>
          <w:szCs w:val="28"/>
          <w:lang w:val="en-GB"/>
          <w14:ligatures w14:val="standardContextual"/>
        </w:rPr>
        <w:t>A sample of 200 listed companies for each of 2022 and 2023 totally 400 observations.  The study of (Leung, 2024) has 211 observations in each of 2020 and 2021, totally 422 observations</w:t>
      </w:r>
      <w:r w:rsidR="003878BA" w:rsidRPr="00DB3E05">
        <w:rPr>
          <w:rFonts w:ascii="Arial" w:eastAsiaTheme="minorEastAsia" w:hAnsi="Arial" w:cs="Arial"/>
          <w:color w:val="181818"/>
          <w:sz w:val="28"/>
          <w:szCs w:val="28"/>
          <w:lang w:val="en-GB"/>
          <w14:ligatures w14:val="standardContextual"/>
        </w:rPr>
        <w:t xml:space="preserve"> for companies listed in Hong Kong</w:t>
      </w:r>
      <w:r w:rsidR="008F0382" w:rsidRPr="00DB3E05">
        <w:rPr>
          <w:rFonts w:ascii="Arial" w:eastAsiaTheme="minorEastAsia" w:hAnsi="Arial" w:cs="Arial"/>
          <w:color w:val="181818"/>
          <w:sz w:val="28"/>
          <w:szCs w:val="28"/>
          <w:lang w:val="en-GB"/>
          <w14:ligatures w14:val="standardContextual"/>
        </w:rPr>
        <w:t xml:space="preserve">. </w:t>
      </w:r>
    </w:p>
    <w:p w14:paraId="56C0D7AD" w14:textId="77777777" w:rsidR="008F0382" w:rsidRPr="00DB3E05" w:rsidRDefault="008F0382"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52A3AD78" w14:textId="0DC2B2E7" w:rsidR="001F53B9" w:rsidRPr="00DB3E05" w:rsidRDefault="001F53B9" w:rsidP="00206AA4">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1</w:t>
      </w:r>
    </w:p>
    <w:p w14:paraId="344A7244" w14:textId="33E18E4F" w:rsidR="001D2C70" w:rsidRPr="00DB3E05" w:rsidRDefault="001D2C70" w:rsidP="00206AA4">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ESG scores</w:t>
      </w:r>
    </w:p>
    <w:p w14:paraId="4191B3B3" w14:textId="64D213B9" w:rsidR="0066789C" w:rsidRPr="00DB3E05" w:rsidRDefault="001D2C70"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study of (Leung, 2024) </w:t>
      </w:r>
      <w:r w:rsidR="0066789C" w:rsidRPr="00DB3E05">
        <w:rPr>
          <w:rFonts w:ascii="Arial" w:eastAsiaTheme="minorEastAsia" w:hAnsi="Arial" w:cs="Arial"/>
          <w:color w:val="181818"/>
          <w:sz w:val="28"/>
          <w:szCs w:val="28"/>
          <w:lang w:val="en-GB"/>
          <w14:ligatures w14:val="standardContextual"/>
        </w:rPr>
        <w:t>considered</w:t>
      </w:r>
      <w:r w:rsidRPr="00DB3E05">
        <w:rPr>
          <w:rFonts w:ascii="Arial" w:eastAsiaTheme="minorEastAsia" w:hAnsi="Arial" w:cs="Arial"/>
          <w:color w:val="181818"/>
          <w:sz w:val="28"/>
          <w:szCs w:val="28"/>
          <w:lang w:val="en-GB"/>
          <w14:ligatures w14:val="standardContextual"/>
        </w:rPr>
        <w:t xml:space="preserve"> ESG reporting and </w:t>
      </w:r>
      <w:r w:rsidR="0066789C" w:rsidRPr="00DB3E05">
        <w:rPr>
          <w:rFonts w:ascii="Arial" w:eastAsiaTheme="minorEastAsia" w:hAnsi="Arial" w:cs="Arial"/>
          <w:color w:val="181818"/>
          <w:sz w:val="28"/>
          <w:szCs w:val="28"/>
          <w:lang w:val="en-GB"/>
          <w14:ligatures w14:val="standardContextual"/>
        </w:rPr>
        <w:t xml:space="preserve">different </w:t>
      </w:r>
      <w:r w:rsidRPr="00DB3E05">
        <w:rPr>
          <w:rFonts w:ascii="Arial" w:eastAsiaTheme="minorEastAsia" w:hAnsi="Arial" w:cs="Arial"/>
          <w:color w:val="181818"/>
          <w:sz w:val="28"/>
          <w:szCs w:val="28"/>
          <w:lang w:val="en-GB"/>
          <w14:ligatures w14:val="standardContextual"/>
        </w:rPr>
        <w:t xml:space="preserve">ESG </w:t>
      </w:r>
      <w:r w:rsidR="0066789C" w:rsidRPr="00DB3E05">
        <w:rPr>
          <w:rFonts w:ascii="Arial" w:eastAsiaTheme="minorEastAsia" w:hAnsi="Arial" w:cs="Arial"/>
          <w:color w:val="181818"/>
          <w:sz w:val="28"/>
          <w:szCs w:val="28"/>
          <w:lang w:val="en-GB"/>
          <w14:ligatures w14:val="standardContextual"/>
        </w:rPr>
        <w:t xml:space="preserve">rating for ESG </w:t>
      </w:r>
      <w:r w:rsidRPr="00DB3E05">
        <w:rPr>
          <w:rFonts w:ascii="Arial" w:eastAsiaTheme="minorEastAsia" w:hAnsi="Arial" w:cs="Arial"/>
          <w:color w:val="181818"/>
          <w:sz w:val="28"/>
          <w:szCs w:val="28"/>
          <w:lang w:val="en-GB"/>
          <w14:ligatures w14:val="standardContextual"/>
        </w:rPr>
        <w:t>performance</w:t>
      </w:r>
      <w:r w:rsidR="0066789C" w:rsidRPr="00DB3E05">
        <w:rPr>
          <w:rFonts w:ascii="Arial" w:eastAsiaTheme="minorEastAsia" w:hAnsi="Arial" w:cs="Arial"/>
          <w:color w:val="181818"/>
          <w:sz w:val="28"/>
          <w:szCs w:val="28"/>
          <w:lang w:val="en-GB"/>
          <w14:ligatures w14:val="standardContextual"/>
        </w:rPr>
        <w:t xml:space="preserve">.  He found that </w:t>
      </w:r>
      <w:r w:rsidRPr="00DB3E05">
        <w:rPr>
          <w:rFonts w:ascii="Arial" w:eastAsiaTheme="minorEastAsia" w:hAnsi="Arial" w:cs="Arial"/>
          <w:color w:val="181818"/>
          <w:sz w:val="28"/>
          <w:szCs w:val="28"/>
          <w:lang w:val="en-GB"/>
          <w14:ligatures w14:val="standardContextual"/>
        </w:rPr>
        <w:t>S&amp;P Global</w:t>
      </w:r>
      <w:r w:rsidR="0066789C" w:rsidRPr="00DB3E05">
        <w:rPr>
          <w:rFonts w:ascii="Arial" w:eastAsiaTheme="minorEastAsia" w:hAnsi="Arial" w:cs="Arial"/>
          <w:color w:val="181818"/>
          <w:sz w:val="28"/>
          <w:szCs w:val="28"/>
          <w:lang w:val="en-GB"/>
          <w14:ligatures w14:val="standardContextual"/>
        </w:rPr>
        <w:t xml:space="preserve"> is more</w:t>
      </w:r>
      <w:r w:rsidRPr="00DB3E05">
        <w:rPr>
          <w:rFonts w:ascii="Arial" w:eastAsiaTheme="minorEastAsia" w:hAnsi="Arial" w:cs="Arial"/>
          <w:color w:val="181818"/>
          <w:sz w:val="28"/>
          <w:szCs w:val="28"/>
          <w:lang w:val="en-GB"/>
          <w14:ligatures w14:val="standardContextual"/>
        </w:rPr>
        <w:t xml:space="preserve"> </w:t>
      </w:r>
      <w:r w:rsidR="0066789C" w:rsidRPr="00DB3E05">
        <w:rPr>
          <w:rFonts w:ascii="Arial" w:eastAsiaTheme="minorEastAsia" w:hAnsi="Arial" w:cs="Arial"/>
          <w:color w:val="181818"/>
          <w:sz w:val="28"/>
          <w:szCs w:val="28"/>
          <w:lang w:val="en-GB"/>
          <w14:ligatures w14:val="standardContextual"/>
        </w:rPr>
        <w:t>suitable for research</w:t>
      </w:r>
      <w:r w:rsidRPr="00DB3E05">
        <w:rPr>
          <w:rFonts w:ascii="Arial" w:eastAsiaTheme="minorEastAsia" w:hAnsi="Arial" w:cs="Arial"/>
          <w:color w:val="181818"/>
          <w:sz w:val="28"/>
          <w:szCs w:val="28"/>
          <w:lang w:val="en-GB"/>
          <w14:ligatures w14:val="standardContextual"/>
        </w:rPr>
        <w:t>.</w:t>
      </w:r>
      <w:r w:rsidR="0066789C" w:rsidRPr="00DB3E05">
        <w:rPr>
          <w:rFonts w:ascii="Arial" w:eastAsiaTheme="minorEastAsia" w:hAnsi="Arial" w:cs="Arial"/>
          <w:color w:val="181818"/>
          <w:sz w:val="28"/>
          <w:szCs w:val="28"/>
          <w:lang w:val="en-GB"/>
          <w14:ligatures w14:val="standardContextual"/>
        </w:rPr>
        <w:t xml:space="preserve"> </w:t>
      </w:r>
      <w:r w:rsidR="00424DC6" w:rsidRPr="00DB3E05">
        <w:rPr>
          <w:rFonts w:ascii="Arial" w:eastAsiaTheme="minorEastAsia" w:hAnsi="Arial" w:cs="Arial"/>
          <w:color w:val="181818"/>
          <w:sz w:val="28"/>
          <w:szCs w:val="28"/>
          <w:lang w:val="en-GB"/>
          <w14:ligatures w14:val="standardContextual"/>
        </w:rPr>
        <w:t xml:space="preserve"> The latest ESG score was in 2022. (Leung, 2024)   </w:t>
      </w:r>
    </w:p>
    <w:p w14:paraId="77F0C332" w14:textId="77777777" w:rsidR="0066789C" w:rsidRPr="00DB3E05" w:rsidRDefault="0066789C"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3ACDD6F7" w14:textId="416E9561" w:rsidR="0066789C" w:rsidRPr="00DB3E05" w:rsidRDefault="0066789C"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However, </w:t>
      </w:r>
      <w:r w:rsidR="00424DC6" w:rsidRPr="00DB3E05">
        <w:rPr>
          <w:rFonts w:ascii="Arial" w:eastAsiaTheme="minorEastAsia" w:hAnsi="Arial" w:cs="Arial"/>
          <w:color w:val="181818"/>
          <w:sz w:val="28"/>
          <w:szCs w:val="28"/>
          <w:lang w:val="en-GB"/>
          <w14:ligatures w14:val="standardContextual"/>
        </w:rPr>
        <w:fldChar w:fldCharType="begin"/>
      </w:r>
      <w:r w:rsidR="00A15203" w:rsidRPr="00DB3E05">
        <w:rPr>
          <w:rFonts w:ascii="Arial" w:eastAsiaTheme="minorEastAsia" w:hAnsi="Arial" w:cs="Arial"/>
          <w:color w:val="181818"/>
          <w:sz w:val="28"/>
          <w:szCs w:val="28"/>
          <w:lang w:val="en-GB"/>
          <w14:ligatures w14:val="standardContextual"/>
        </w:rPr>
        <w:instrText xml:space="preserve"> ADDIN EN.CITE &lt;EndNote&gt;&lt;Cite&gt;&lt;Author&gt;Suvanto&lt;/Author&gt;&lt;Year&gt;2023&lt;/Year&gt;&lt;RecNum&gt;79&lt;/RecNum&gt;&lt;DisplayText&gt;(Suvanto, 2023)&lt;/DisplayText&gt;&lt;record&gt;&lt;rec-number&gt;79&lt;/rec-number&gt;&lt;foreign-keys&gt;&lt;key app="EN" db-id="0vtwt0xdiepatveerwsxw55izapvzd0d0v5w" timestamp="1721554666" guid="cdc4df0f-c9d2-40e6-839b-75aefc48a42c"&gt;79&lt;/key&gt;&lt;/foreign-keys&gt;&lt;ref-type name="Thesis"&gt;32&lt;/ref-type&gt;&lt;contributors&gt;&lt;authors&gt;&lt;author&gt;Suvanto, Lauri&lt;/author&gt;&lt;/authors&gt;&lt;/contributors&gt;&lt;titles&gt;&lt;title&gt;ESG stock performance in Europe: Do high ESG score-rated stocks by Refinitiv outperform low ESG score-rated stocks in Europe?&lt;/title&gt;&lt;/titles&gt;&lt;dates&gt;&lt;year&gt;2023&lt;/year&gt;&lt;/dates&gt;&lt;urls&gt;&lt;/urls&gt;&lt;/record&gt;&lt;/Cite&gt;&lt;/EndNote&gt;</w:instrText>
      </w:r>
      <w:r w:rsidR="00424DC6" w:rsidRPr="00DB3E05">
        <w:rPr>
          <w:rFonts w:ascii="Arial" w:eastAsiaTheme="minorEastAsia" w:hAnsi="Arial" w:cs="Arial"/>
          <w:color w:val="181818"/>
          <w:sz w:val="28"/>
          <w:szCs w:val="28"/>
          <w:lang w:val="en-GB"/>
          <w14:ligatures w14:val="standardContextual"/>
        </w:rPr>
        <w:fldChar w:fldCharType="separate"/>
      </w:r>
      <w:r w:rsidR="00424DC6" w:rsidRPr="00DB3E05">
        <w:rPr>
          <w:rFonts w:ascii="Arial" w:eastAsiaTheme="minorEastAsia" w:hAnsi="Arial" w:cs="Arial"/>
          <w:noProof/>
          <w:color w:val="181818"/>
          <w:sz w:val="28"/>
          <w:szCs w:val="28"/>
          <w:lang w:val="en-GB"/>
          <w14:ligatures w14:val="standardContextual"/>
        </w:rPr>
        <w:t>(Suvanto, 2023)</w:t>
      </w:r>
      <w:r w:rsidR="00424DC6" w:rsidRPr="00DB3E05">
        <w:rPr>
          <w:rFonts w:ascii="Arial" w:eastAsiaTheme="minorEastAsia" w:hAnsi="Arial" w:cs="Arial"/>
          <w:color w:val="181818"/>
          <w:sz w:val="28"/>
          <w:szCs w:val="28"/>
          <w:lang w:val="en-GB"/>
          <w14:ligatures w14:val="standardContextual"/>
        </w:rPr>
        <w:fldChar w:fldCharType="end"/>
      </w:r>
      <w:r w:rsidR="00424DC6" w:rsidRPr="00DB3E05">
        <w:rPr>
          <w:rFonts w:ascii="Arial" w:eastAsiaTheme="minorEastAsia" w:hAnsi="Arial" w:cs="Arial"/>
          <w:color w:val="181818"/>
          <w:sz w:val="28"/>
          <w:szCs w:val="28"/>
          <w:lang w:val="en-GB"/>
          <w14:ligatures w14:val="standardContextual"/>
        </w:rPr>
        <w:t xml:space="preserve"> found that Refinitiv ESG score is popular for ESG performance among researches.</w:t>
      </w:r>
    </w:p>
    <w:p w14:paraId="6E6D71D2" w14:textId="77777777" w:rsidR="00424DC6" w:rsidRPr="00DB3E05" w:rsidRDefault="00424DC6"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64385B85" w14:textId="1A88399A" w:rsidR="00424DC6" w:rsidRPr="00DB3E05" w:rsidRDefault="00424DC6"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The time horizon for this research is 2022 and 2023, both S&amp;P Global ESG Score and Refinitiv ESG are co</w:t>
      </w:r>
      <w:r w:rsidR="00A15203" w:rsidRPr="00DB3E05">
        <w:rPr>
          <w:rFonts w:ascii="Arial" w:eastAsiaTheme="minorEastAsia" w:hAnsi="Arial" w:cs="Arial"/>
          <w:color w:val="181818"/>
          <w:sz w:val="28"/>
          <w:szCs w:val="28"/>
          <w:lang w:val="en-GB"/>
          <w14:ligatures w14:val="standardContextual"/>
        </w:rPr>
        <w:t xml:space="preserve">nsidered suitable for this research.  </w:t>
      </w:r>
    </w:p>
    <w:p w14:paraId="33EEBBE5" w14:textId="0DA7C301" w:rsidR="00B76172" w:rsidRPr="00DB3E05" w:rsidRDefault="0066789C"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 </w:t>
      </w:r>
    </w:p>
    <w:p w14:paraId="4059B5B6" w14:textId="506A3657" w:rsidR="008F0382" w:rsidRPr="00DB3E05" w:rsidRDefault="0018171F" w:rsidP="008F0382">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F</w:t>
      </w:r>
      <w:r w:rsidR="008F0382" w:rsidRPr="00DB3E05">
        <w:rPr>
          <w:rFonts w:ascii="Arial" w:eastAsiaTheme="minorEastAsia" w:hAnsi="Arial" w:cs="Arial"/>
          <w:i/>
          <w:iCs/>
          <w:color w:val="181818"/>
          <w:sz w:val="28"/>
          <w:szCs w:val="28"/>
          <w:lang w:val="en-GB"/>
          <w14:ligatures w14:val="standardContextual"/>
        </w:rPr>
        <w:t xml:space="preserve">emale executive directors and </w:t>
      </w:r>
      <w:r w:rsidR="00EA6FF1" w:rsidRPr="00DB3E05">
        <w:rPr>
          <w:rFonts w:ascii="Arial" w:eastAsiaTheme="minorEastAsia" w:hAnsi="Arial" w:cs="Arial"/>
          <w:i/>
          <w:iCs/>
          <w:color w:val="181818"/>
          <w:sz w:val="28"/>
          <w:szCs w:val="28"/>
          <w:lang w:val="en-GB"/>
          <w14:ligatures w14:val="standardContextual"/>
        </w:rPr>
        <w:t xml:space="preserve">independent non-executive directors serving less or more than 6 listed companies </w:t>
      </w:r>
    </w:p>
    <w:p w14:paraId="685C84A6" w14:textId="77777777" w:rsidR="008F0382" w:rsidRPr="00DB3E05" w:rsidRDefault="008F0382"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0CAFBD07" w14:textId="09E0A442" w:rsidR="00EA6FF1" w:rsidRPr="00DB3E05" w:rsidRDefault="00EA6FF1"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data are collected from the annual reports, ESG reports, and websites of respective listed companies. </w:t>
      </w:r>
    </w:p>
    <w:p w14:paraId="4ACCE666" w14:textId="77777777" w:rsidR="00647AAF" w:rsidRDefault="00647AAF" w:rsidP="001140D3">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67EAD132" w14:textId="01582B6B" w:rsidR="006F4440" w:rsidRPr="00DB3E05" w:rsidRDefault="00BC683F" w:rsidP="00BC683F">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This research employs regression analysis to investigate </w:t>
      </w:r>
      <w:r w:rsidR="006471DE" w:rsidRPr="00DB3E05">
        <w:rPr>
          <w:rFonts w:ascii="Arial" w:eastAsiaTheme="minorEastAsia" w:hAnsi="Arial" w:cs="Arial"/>
          <w:color w:val="181818"/>
          <w:sz w:val="28"/>
          <w:szCs w:val="28"/>
          <w:lang w:val="en-GB"/>
          <w14:ligatures w14:val="standardContextual"/>
        </w:rPr>
        <w:t xml:space="preserve">characteristics of board members and </w:t>
      </w:r>
      <w:r>
        <w:rPr>
          <w:rFonts w:ascii="Arial" w:eastAsiaTheme="minorEastAsia" w:hAnsi="Arial" w:cs="Arial"/>
          <w:color w:val="181818"/>
          <w:sz w:val="28"/>
          <w:szCs w:val="28"/>
          <w:lang w:val="en-GB"/>
          <w14:ligatures w14:val="standardContextual"/>
        </w:rPr>
        <w:t xml:space="preserve">their relationship with </w:t>
      </w:r>
      <w:r w:rsidR="006471DE" w:rsidRPr="00DB3E05">
        <w:rPr>
          <w:rFonts w:ascii="Arial" w:eastAsiaTheme="minorEastAsia" w:hAnsi="Arial" w:cs="Arial"/>
          <w:color w:val="181818"/>
          <w:sz w:val="28"/>
          <w:szCs w:val="28"/>
          <w:lang w:val="en-GB"/>
          <w14:ligatures w14:val="standardContextual"/>
        </w:rPr>
        <w:t>ESG performance</w:t>
      </w:r>
      <w:r w:rsidR="006F4440" w:rsidRPr="00DB3E05">
        <w:rPr>
          <w:rFonts w:ascii="Arial" w:eastAsiaTheme="minorEastAsia" w:hAnsi="Arial" w:cs="Arial"/>
          <w:color w:val="181818"/>
          <w:sz w:val="28"/>
          <w:szCs w:val="28"/>
          <w:lang w:val="en-GB"/>
          <w14:ligatures w14:val="standardContextual"/>
        </w:rPr>
        <w:t xml:space="preserve">.  </w:t>
      </w:r>
      <w:r w:rsidR="00CE241C">
        <w:rPr>
          <w:rFonts w:ascii="Arial" w:eastAsiaTheme="minorEastAsia" w:hAnsi="Arial" w:cs="Arial"/>
          <w:color w:val="181818"/>
          <w:sz w:val="28"/>
          <w:szCs w:val="28"/>
          <w:lang w:val="en-GB"/>
          <w14:ligatures w14:val="standardContextual"/>
        </w:rPr>
        <w:t xml:space="preserve">Descriptive statistics will be employed to discuss the findings.  </w:t>
      </w:r>
      <w:r w:rsidR="00CE241C" w:rsidRPr="00DB3E05">
        <w:rPr>
          <w:rFonts w:ascii="Arial" w:hAnsi="Arial" w:cs="Arial"/>
          <w:color w:val="000000"/>
          <w:sz w:val="28"/>
          <w:szCs w:val="28"/>
        </w:rPr>
        <w:fldChar w:fldCharType="begin"/>
      </w:r>
      <w:r w:rsidR="00CE241C"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CE241C" w:rsidRPr="00DB3E05">
        <w:rPr>
          <w:rFonts w:ascii="Arial" w:hAnsi="Arial" w:cs="Arial"/>
          <w:color w:val="000000"/>
          <w:sz w:val="28"/>
          <w:szCs w:val="28"/>
        </w:rPr>
        <w:fldChar w:fldCharType="separate"/>
      </w:r>
      <w:r w:rsidR="00CE241C" w:rsidRPr="00DB3E05">
        <w:rPr>
          <w:rFonts w:ascii="Arial" w:hAnsi="Arial" w:cs="Arial"/>
          <w:noProof/>
          <w:color w:val="000000"/>
          <w:sz w:val="28"/>
          <w:szCs w:val="28"/>
        </w:rPr>
        <w:t>(Leung, 2024)</w:t>
      </w:r>
      <w:r w:rsidR="00CE241C" w:rsidRPr="00DB3E05">
        <w:rPr>
          <w:rFonts w:ascii="Arial" w:hAnsi="Arial" w:cs="Arial"/>
          <w:color w:val="000000"/>
          <w:sz w:val="28"/>
          <w:szCs w:val="28"/>
        </w:rPr>
        <w:fldChar w:fldCharType="end"/>
      </w:r>
    </w:p>
    <w:p w14:paraId="04FC3F68" w14:textId="77777777" w:rsidR="0073623B" w:rsidRPr="00DB3E05" w:rsidRDefault="0073623B" w:rsidP="006F444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31AABD2D" w14:textId="77777777" w:rsidR="0073623B" w:rsidRPr="00DB3E05" w:rsidRDefault="0073623B" w:rsidP="0073623B">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To gather qualitative insights on this research question, we will conduct interviews with key stakeholders, including academics, directors of listed companies, company secretaries and chief financial officers.  We plan to interview stakeholders from both gender which can provide a balanced view. </w:t>
      </w:r>
    </w:p>
    <w:p w14:paraId="5CF1DD95" w14:textId="77777777" w:rsidR="006F4440" w:rsidRDefault="006F4440" w:rsidP="00EA6FF1">
      <w:pPr>
        <w:tabs>
          <w:tab w:val="left" w:pos="0"/>
          <w:tab w:val="left" w:pos="709"/>
          <w:tab w:val="right" w:pos="8931"/>
        </w:tabs>
        <w:spacing w:line="360" w:lineRule="auto"/>
        <w:jc w:val="both"/>
        <w:rPr>
          <w:rFonts w:ascii="Arial" w:eastAsiaTheme="minorEastAsia" w:hAnsi="Arial" w:cs="Arial"/>
          <w:color w:val="181818"/>
          <w:sz w:val="28"/>
          <w:szCs w:val="28"/>
          <w:lang w:val="en-GB"/>
          <w14:ligatures w14:val="standardContextual"/>
        </w:rPr>
      </w:pPr>
    </w:p>
    <w:p w14:paraId="3CA4CFF5" w14:textId="77777777" w:rsidR="00CF2C0E" w:rsidRPr="00DB3E05" w:rsidRDefault="00CF2C0E" w:rsidP="00EA6FF1">
      <w:pPr>
        <w:tabs>
          <w:tab w:val="left" w:pos="0"/>
          <w:tab w:val="left" w:pos="709"/>
          <w:tab w:val="right" w:pos="8931"/>
        </w:tabs>
        <w:spacing w:line="360" w:lineRule="auto"/>
        <w:jc w:val="both"/>
        <w:rPr>
          <w:rFonts w:ascii="Arial" w:eastAsiaTheme="minorEastAsia" w:hAnsi="Arial" w:cs="Arial"/>
          <w:color w:val="181818"/>
          <w:sz w:val="28"/>
          <w:szCs w:val="28"/>
          <w:lang w:val="en-GB"/>
          <w14:ligatures w14:val="standardContextual"/>
        </w:rPr>
      </w:pPr>
    </w:p>
    <w:p w14:paraId="5D87B545" w14:textId="5AEA72A3" w:rsidR="001F53B9" w:rsidRPr="00DB3E05" w:rsidRDefault="001F53B9"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lastRenderedPageBreak/>
        <w:t>Research question 2</w:t>
      </w:r>
    </w:p>
    <w:p w14:paraId="1A1AF0A8" w14:textId="50DFC6FC" w:rsidR="00EA6FF1" w:rsidRPr="00DB3E05" w:rsidRDefault="00EA6FF1"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ESG scores</w:t>
      </w:r>
    </w:p>
    <w:p w14:paraId="7298904E" w14:textId="2BBC6B16" w:rsidR="00EA6FF1" w:rsidRPr="00DB3E05" w:rsidRDefault="00EA6FF1"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As discussed above, this research will collect ESG scores publicly available from S&amp;P Global and</w:t>
      </w:r>
      <w:r w:rsidR="001140D3" w:rsidRPr="00DB3E05">
        <w:rPr>
          <w:rFonts w:ascii="Arial" w:eastAsiaTheme="minorEastAsia" w:hAnsi="Arial" w:cs="Arial"/>
          <w:color w:val="181818"/>
          <w:sz w:val="28"/>
          <w:szCs w:val="28"/>
          <w:lang w:val="en-GB"/>
          <w14:ligatures w14:val="standardContextual"/>
        </w:rPr>
        <w:t>/or</w:t>
      </w:r>
      <w:r w:rsidRPr="00DB3E05">
        <w:rPr>
          <w:rFonts w:ascii="Arial" w:eastAsiaTheme="minorEastAsia" w:hAnsi="Arial" w:cs="Arial"/>
          <w:color w:val="181818"/>
          <w:sz w:val="28"/>
          <w:szCs w:val="28"/>
          <w:lang w:val="en-GB"/>
          <w14:ligatures w14:val="standardContextual"/>
        </w:rPr>
        <w:t xml:space="preserve"> Refinitiv. </w:t>
      </w:r>
    </w:p>
    <w:p w14:paraId="71036403" w14:textId="77777777" w:rsidR="00EA6FF1" w:rsidRPr="00DB3E05" w:rsidRDefault="00EA6FF1"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42F5632C" w14:textId="542001C7" w:rsidR="00EA6FF1" w:rsidRPr="00DB3E05" w:rsidRDefault="0018171F"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Profitability</w:t>
      </w:r>
      <w:r w:rsidR="0051008D" w:rsidRPr="00DB3E05">
        <w:rPr>
          <w:rFonts w:ascii="Arial" w:eastAsiaTheme="minorEastAsia" w:hAnsi="Arial" w:cs="Arial"/>
          <w:i/>
          <w:iCs/>
          <w:color w:val="181818"/>
          <w:sz w:val="28"/>
          <w:szCs w:val="28"/>
          <w:lang w:val="en-GB"/>
          <w14:ligatures w14:val="standardContextual"/>
        </w:rPr>
        <w:t xml:space="preserve"> and </w:t>
      </w:r>
      <w:r w:rsidR="008B6175">
        <w:rPr>
          <w:rFonts w:ascii="Arial" w:eastAsiaTheme="minorEastAsia" w:hAnsi="Arial" w:cs="Arial"/>
          <w:i/>
          <w:iCs/>
          <w:color w:val="181818"/>
          <w:sz w:val="28"/>
          <w:szCs w:val="28"/>
          <w:lang w:val="en-GB"/>
          <w14:ligatures w14:val="standardContextual"/>
        </w:rPr>
        <w:t>corporate valuations</w:t>
      </w:r>
    </w:p>
    <w:p w14:paraId="799555C6" w14:textId="4BB3B709" w:rsidR="0018171F" w:rsidRPr="00DB3E05" w:rsidRDefault="0018171F"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The prices will be collected from the websites of listed companies or information provided by Yahoo Finance.  The profit and total assets will be collected from the annual reports and websites of listed companies.  Price-earnings ratio and return on assets will be calculated base</w:t>
      </w:r>
      <w:r w:rsidR="006471DE" w:rsidRPr="00DB3E05">
        <w:rPr>
          <w:rFonts w:ascii="Arial" w:eastAsiaTheme="minorEastAsia" w:hAnsi="Arial" w:cs="Arial"/>
          <w:color w:val="181818"/>
          <w:sz w:val="28"/>
          <w:szCs w:val="28"/>
          <w:lang w:val="en-GB"/>
          <w14:ligatures w14:val="standardContextual"/>
        </w:rPr>
        <w:t>d</w:t>
      </w:r>
      <w:r w:rsidRPr="00DB3E05">
        <w:rPr>
          <w:rFonts w:ascii="Arial" w:eastAsiaTheme="minorEastAsia" w:hAnsi="Arial" w:cs="Arial"/>
          <w:color w:val="181818"/>
          <w:sz w:val="28"/>
          <w:szCs w:val="28"/>
          <w:lang w:val="en-GB"/>
          <w14:ligatures w14:val="standardContextual"/>
        </w:rPr>
        <w:t xml:space="preserve"> on the information collected. </w:t>
      </w:r>
    </w:p>
    <w:p w14:paraId="6B5909C9" w14:textId="7BA16464" w:rsidR="0018171F" w:rsidRPr="00DB3E05" w:rsidRDefault="0018171F"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  </w:t>
      </w:r>
    </w:p>
    <w:p w14:paraId="19AD8A10" w14:textId="3B12395F" w:rsidR="0018171F" w:rsidRPr="00DB3E05" w:rsidRDefault="008B6175"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Pr>
          <w:rFonts w:ascii="Arial" w:eastAsiaTheme="minorEastAsia" w:hAnsi="Arial" w:cs="Arial"/>
          <w:i/>
          <w:iCs/>
          <w:color w:val="181818"/>
          <w:sz w:val="28"/>
          <w:szCs w:val="28"/>
          <w:lang w:val="en-GB"/>
          <w14:ligatures w14:val="standardContextual"/>
        </w:rPr>
        <w:t>Corporate valuations</w:t>
      </w:r>
    </w:p>
    <w:p w14:paraId="2A554B2C" w14:textId="5337A8C9" w:rsidR="00EA6FF1" w:rsidRPr="00DB3E05" w:rsidRDefault="006F4440"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Tobin Q is total market value divided by total assets of companies.  Tobin Q is used to evaluate the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w:t>
      </w:r>
      <w:r w:rsidR="0051008D" w:rsidRPr="00DB3E05">
        <w:rPr>
          <w:rFonts w:ascii="Arial" w:eastAsiaTheme="minorEastAsia" w:hAnsi="Arial" w:cs="Arial"/>
          <w:color w:val="181818"/>
          <w:sz w:val="28"/>
          <w:szCs w:val="28"/>
          <w:lang w:val="en-GB"/>
          <w14:ligatures w14:val="standardContextual"/>
        </w:rPr>
        <w:fldChar w:fldCharType="begin"/>
      </w:r>
      <w:r w:rsidR="004A3590" w:rsidRPr="00DB3E05">
        <w:rPr>
          <w:rFonts w:ascii="Arial" w:eastAsiaTheme="minorEastAsia" w:hAnsi="Arial" w:cs="Arial"/>
          <w:color w:val="181818"/>
          <w:sz w:val="28"/>
          <w:szCs w:val="28"/>
          <w:lang w:val="en-GB"/>
          <w14:ligatures w14:val="standardContextual"/>
        </w:rPr>
        <w:instrText xml:space="preserve"> ADDIN EN.CITE &lt;EndNote&gt;&lt;Cite&gt;&lt;Author&gt;Cho&lt;/Author&gt;&lt;Year&gt;1998&lt;/Year&gt;&lt;RecNum&gt;82&lt;/RecNum&gt;&lt;DisplayText&gt;(Cho, 1998)&lt;/DisplayText&gt;&lt;record&gt;&lt;rec-number&gt;82&lt;/rec-number&gt;&lt;foreign-keys&gt;&lt;key app="EN" db-id="0vtwt0xdiepatveerwsxw55izapvzd0d0v5w" timestamp="1721557611" guid="b8b38f2e-3d64-48a3-8034-064a5753d8c2"&gt;82&lt;/key&gt;&lt;/foreign-keys&gt;&lt;ref-type name="Journal Article"&gt;17&lt;/ref-type&gt;&lt;contributors&gt;&lt;authors&gt;&lt;author&gt;Cho, Myeong-Hyeon&lt;/author&gt;&lt;/authors&gt;&lt;/contributors&gt;&lt;titles&gt;&lt;title&gt;Ownership structure, investment, and the corporate value: an empirical analysis&lt;/title&gt;&lt;secondary-title&gt;Journal of financial economics&lt;/secondary-title&gt;&lt;/titles&gt;&lt;periodical&gt;&lt;full-title&gt;Journal of Financial Economics&lt;/full-title&gt;&lt;/periodical&gt;&lt;pages&gt;103-121&lt;/pages&gt;&lt;volume&gt;47&lt;/volume&gt;&lt;number&gt;1&lt;/number&gt;&lt;dates&gt;&lt;year&gt;1998&lt;/year&gt;&lt;/dates&gt;&lt;isbn&gt;0304-405X&lt;/isbn&gt;&lt;urls&gt;&lt;/urls&gt;&lt;/record&gt;&lt;/Cite&gt;&lt;/EndNote&gt;</w:instrText>
      </w:r>
      <w:r w:rsidR="0051008D" w:rsidRPr="00DB3E05">
        <w:rPr>
          <w:rFonts w:ascii="Arial" w:eastAsiaTheme="minorEastAsia" w:hAnsi="Arial" w:cs="Arial"/>
          <w:color w:val="181818"/>
          <w:sz w:val="28"/>
          <w:szCs w:val="28"/>
          <w:lang w:val="en-GB"/>
          <w14:ligatures w14:val="standardContextual"/>
        </w:rPr>
        <w:fldChar w:fldCharType="separate"/>
      </w:r>
      <w:r w:rsidR="0051008D" w:rsidRPr="00DB3E05">
        <w:rPr>
          <w:rFonts w:ascii="Arial" w:eastAsiaTheme="minorEastAsia" w:hAnsi="Arial" w:cs="Arial"/>
          <w:noProof/>
          <w:color w:val="181818"/>
          <w:sz w:val="28"/>
          <w:szCs w:val="28"/>
          <w:lang w:val="en-GB"/>
          <w14:ligatures w14:val="standardContextual"/>
        </w:rPr>
        <w:t>(Cho, 1998)</w:t>
      </w:r>
      <w:r w:rsidR="0051008D" w:rsidRPr="00DB3E05">
        <w:rPr>
          <w:rFonts w:ascii="Arial" w:eastAsiaTheme="minorEastAsia" w:hAnsi="Arial" w:cs="Arial"/>
          <w:color w:val="181818"/>
          <w:sz w:val="28"/>
          <w:szCs w:val="28"/>
          <w:lang w:val="en-GB"/>
          <w14:ligatures w14:val="standardContextual"/>
        </w:rPr>
        <w:fldChar w:fldCharType="end"/>
      </w:r>
      <w:r w:rsidR="0051008D" w:rsidRPr="00DB3E05">
        <w:rPr>
          <w:rFonts w:ascii="Arial" w:eastAsiaTheme="minorEastAsia" w:hAnsi="Arial" w:cs="Arial"/>
          <w:color w:val="181818"/>
          <w:sz w:val="28"/>
          <w:szCs w:val="28"/>
          <w:lang w:val="en-GB"/>
          <w14:ligatures w14:val="standardContextual"/>
        </w:rPr>
        <w:t xml:space="preserve"> </w:t>
      </w:r>
      <w:r w:rsidRPr="00DB3E05">
        <w:rPr>
          <w:rFonts w:ascii="Arial" w:eastAsiaTheme="minorEastAsia" w:hAnsi="Arial" w:cs="Arial"/>
          <w:color w:val="181818"/>
          <w:sz w:val="28"/>
          <w:szCs w:val="28"/>
          <w:lang w:val="en-GB"/>
          <w14:ligatures w14:val="standardContextual"/>
        </w:rPr>
        <w:t xml:space="preserve"> We will collect the total number of share and market prices from the websites of listed companies or information provided by Yahoo Finance.  The total assets will be collected from the annual reports and websites of listed companies.  Tobin Q will be calculated base</w:t>
      </w:r>
      <w:r w:rsidR="006471DE" w:rsidRPr="00DB3E05">
        <w:rPr>
          <w:rFonts w:ascii="Arial" w:eastAsiaTheme="minorEastAsia" w:hAnsi="Arial" w:cs="Arial"/>
          <w:color w:val="181818"/>
          <w:sz w:val="28"/>
          <w:szCs w:val="28"/>
          <w:lang w:val="en-GB"/>
          <w14:ligatures w14:val="standardContextual"/>
        </w:rPr>
        <w:t>d</w:t>
      </w:r>
      <w:r w:rsidRPr="00DB3E05">
        <w:rPr>
          <w:rFonts w:ascii="Arial" w:eastAsiaTheme="minorEastAsia" w:hAnsi="Arial" w:cs="Arial"/>
          <w:color w:val="181818"/>
          <w:sz w:val="28"/>
          <w:szCs w:val="28"/>
          <w:lang w:val="en-GB"/>
          <w14:ligatures w14:val="standardContextual"/>
        </w:rPr>
        <w:t xml:space="preserve"> on the information collected.</w:t>
      </w:r>
    </w:p>
    <w:p w14:paraId="79153CFA" w14:textId="77777777" w:rsidR="00EA6FF1" w:rsidRDefault="00EA6FF1"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57A0B119" w14:textId="26D681A5" w:rsidR="001140D3" w:rsidRPr="00BC683F" w:rsidRDefault="00BC683F" w:rsidP="00BC683F">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This research employs regression analysis to investigate ESG factors</w:t>
      </w:r>
      <w:r w:rsidRPr="00DB3E05">
        <w:rPr>
          <w:rFonts w:ascii="Arial" w:eastAsiaTheme="minorEastAsia" w:hAnsi="Arial" w:cs="Arial"/>
          <w:color w:val="181818"/>
          <w:sz w:val="28"/>
          <w:szCs w:val="28"/>
          <w:lang w:val="en-GB"/>
          <w14:ligatures w14:val="standardContextual"/>
        </w:rPr>
        <w:t xml:space="preserve"> and </w:t>
      </w:r>
      <w:r>
        <w:rPr>
          <w:rFonts w:ascii="Arial" w:eastAsiaTheme="minorEastAsia" w:hAnsi="Arial" w:cs="Arial"/>
          <w:color w:val="181818"/>
          <w:sz w:val="28"/>
          <w:szCs w:val="28"/>
          <w:lang w:val="en-GB"/>
          <w14:ligatures w14:val="standardContextual"/>
        </w:rPr>
        <w:t xml:space="preserve">their impact on investment decisions.  </w:t>
      </w:r>
      <w:r w:rsidR="00CE241C">
        <w:rPr>
          <w:rFonts w:ascii="Arial" w:eastAsiaTheme="minorEastAsia" w:hAnsi="Arial" w:cs="Arial"/>
          <w:color w:val="181818"/>
          <w:sz w:val="28"/>
          <w:szCs w:val="28"/>
          <w:lang w:val="en-GB"/>
          <w14:ligatures w14:val="standardContextual"/>
        </w:rPr>
        <w:t xml:space="preserve">Descriptive statistics will be employed to discuss the findings.  </w:t>
      </w:r>
      <w:r w:rsidR="00CE241C" w:rsidRPr="00DB3E05">
        <w:rPr>
          <w:rFonts w:ascii="Arial" w:hAnsi="Arial" w:cs="Arial"/>
          <w:color w:val="000000"/>
          <w:sz w:val="28"/>
          <w:szCs w:val="28"/>
        </w:rPr>
        <w:fldChar w:fldCharType="begin"/>
      </w:r>
      <w:r w:rsidR="00CE241C"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CE241C" w:rsidRPr="00DB3E05">
        <w:rPr>
          <w:rFonts w:ascii="Arial" w:hAnsi="Arial" w:cs="Arial"/>
          <w:color w:val="000000"/>
          <w:sz w:val="28"/>
          <w:szCs w:val="28"/>
        </w:rPr>
        <w:fldChar w:fldCharType="separate"/>
      </w:r>
      <w:r w:rsidR="00CE241C" w:rsidRPr="00DB3E05">
        <w:rPr>
          <w:rFonts w:ascii="Arial" w:hAnsi="Arial" w:cs="Arial"/>
          <w:noProof/>
          <w:color w:val="000000"/>
          <w:sz w:val="28"/>
          <w:szCs w:val="28"/>
        </w:rPr>
        <w:t>(Leung, 2024)</w:t>
      </w:r>
      <w:r w:rsidR="00CE241C" w:rsidRPr="00DB3E05">
        <w:rPr>
          <w:rFonts w:ascii="Arial" w:hAnsi="Arial" w:cs="Arial"/>
          <w:color w:val="000000"/>
          <w:sz w:val="28"/>
          <w:szCs w:val="28"/>
        </w:rPr>
        <w:fldChar w:fldCharType="end"/>
      </w:r>
    </w:p>
    <w:p w14:paraId="57FF199B" w14:textId="77777777" w:rsidR="006F4440" w:rsidRPr="00DB3E05" w:rsidRDefault="006F4440"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7FA6FE2D" w14:textId="3B9C4955" w:rsidR="0073623B" w:rsidRPr="00DB3E05" w:rsidRDefault="001140D3"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To gather qualitative insights on this research question, we will conduct interviews with key stakeholders, including </w:t>
      </w:r>
      <w:r w:rsidR="0073623B" w:rsidRPr="00DB3E05">
        <w:rPr>
          <w:rFonts w:ascii="Arial" w:eastAsiaTheme="minorEastAsia" w:hAnsi="Arial" w:cs="Arial"/>
          <w:color w:val="181818"/>
          <w:sz w:val="28"/>
          <w:szCs w:val="28"/>
          <w:lang w:val="en-GB"/>
          <w14:ligatures w14:val="standardContextual"/>
        </w:rPr>
        <w:t xml:space="preserve">academics, directors of listed companies, company secretaries and chief financial officers.  We plan to interview stakeholders from both gender which can provide a balanced view. </w:t>
      </w:r>
    </w:p>
    <w:p w14:paraId="22EE6ED9" w14:textId="77777777" w:rsidR="0073623B" w:rsidRPr="00DB3E05" w:rsidRDefault="0073623B"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2D182DF4" w14:textId="77777777" w:rsidR="009A1897" w:rsidRDefault="009A1897" w:rsidP="001F53B9">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p>
    <w:p w14:paraId="13865FA9" w14:textId="18165DC6" w:rsidR="001F53B9" w:rsidRPr="00DB3E05" w:rsidRDefault="001F53B9" w:rsidP="001F53B9">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3</w:t>
      </w:r>
    </w:p>
    <w:p w14:paraId="01D89399" w14:textId="3E8B7A38" w:rsidR="00EB596A" w:rsidRPr="00DB3E05" w:rsidRDefault="006471DE" w:rsidP="006471DE">
      <w:pPr>
        <w:tabs>
          <w:tab w:val="left" w:pos="567"/>
          <w:tab w:val="left" w:pos="1276"/>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We shall conduct </w:t>
      </w:r>
      <w:r w:rsidR="004A3590" w:rsidRPr="00DB3E05">
        <w:rPr>
          <w:rFonts w:ascii="Arial" w:hAnsi="Arial" w:cs="Arial"/>
          <w:color w:val="000000"/>
          <w:sz w:val="28"/>
          <w:szCs w:val="28"/>
        </w:rPr>
        <w:t>semi-structure</w:t>
      </w:r>
      <w:r w:rsidRPr="00DB3E05">
        <w:rPr>
          <w:rFonts w:ascii="Arial" w:hAnsi="Arial" w:cs="Arial"/>
          <w:color w:val="000000"/>
          <w:sz w:val="28"/>
          <w:szCs w:val="28"/>
        </w:rPr>
        <w:t xml:space="preserve"> interview</w:t>
      </w:r>
      <w:r w:rsidR="004A3590" w:rsidRPr="00DB3E05">
        <w:rPr>
          <w:rFonts w:ascii="Arial" w:hAnsi="Arial" w:cs="Arial"/>
          <w:color w:val="000000"/>
          <w:sz w:val="28"/>
          <w:szCs w:val="28"/>
        </w:rPr>
        <w:t>s</w:t>
      </w:r>
      <w:r w:rsidRPr="00DB3E05">
        <w:rPr>
          <w:rFonts w:ascii="Arial" w:hAnsi="Arial" w:cs="Arial"/>
          <w:color w:val="000000"/>
          <w:sz w:val="28"/>
          <w:szCs w:val="28"/>
        </w:rPr>
        <w:t xml:space="preserve"> with</w:t>
      </w:r>
      <w:r w:rsidR="004A3590" w:rsidRPr="00DB3E05">
        <w:rPr>
          <w:rFonts w:ascii="Arial" w:hAnsi="Arial" w:cs="Arial"/>
          <w:color w:val="000000"/>
          <w:sz w:val="28"/>
          <w:szCs w:val="28"/>
        </w:rPr>
        <w:t xml:space="preserve"> 3 academic professor</w:t>
      </w:r>
      <w:r w:rsidR="00BA6C75">
        <w:rPr>
          <w:rFonts w:ascii="Arial" w:hAnsi="Arial" w:cs="Arial"/>
          <w:color w:val="000000"/>
          <w:sz w:val="28"/>
          <w:szCs w:val="28"/>
        </w:rPr>
        <w:t>s</w:t>
      </w:r>
      <w:r w:rsidR="004A3590" w:rsidRPr="00DB3E05">
        <w:rPr>
          <w:rFonts w:ascii="Arial" w:hAnsi="Arial" w:cs="Arial"/>
          <w:color w:val="000000"/>
          <w:sz w:val="28"/>
          <w:szCs w:val="28"/>
        </w:rPr>
        <w:t xml:space="preserve"> and profess</w:t>
      </w:r>
      <w:r w:rsidR="00BA6C75">
        <w:rPr>
          <w:rFonts w:ascii="Arial" w:hAnsi="Arial" w:cs="Arial"/>
          <w:color w:val="000000"/>
          <w:sz w:val="28"/>
          <w:szCs w:val="28"/>
        </w:rPr>
        <w:t>ional/institutional</w:t>
      </w:r>
      <w:r w:rsidR="004A3590" w:rsidRPr="00DB3E05">
        <w:rPr>
          <w:rFonts w:ascii="Arial" w:hAnsi="Arial" w:cs="Arial"/>
          <w:color w:val="000000"/>
          <w:sz w:val="28"/>
          <w:szCs w:val="28"/>
        </w:rPr>
        <w:t xml:space="preserve"> investor</w:t>
      </w:r>
      <w:r w:rsidR="00BA6C75">
        <w:rPr>
          <w:rFonts w:ascii="Arial" w:hAnsi="Arial" w:cs="Arial"/>
          <w:color w:val="000000"/>
          <w:sz w:val="28"/>
          <w:szCs w:val="28"/>
        </w:rPr>
        <w:t>s</w:t>
      </w:r>
      <w:r w:rsidR="004A3590" w:rsidRPr="00DB3E05">
        <w:rPr>
          <w:rFonts w:ascii="Arial" w:hAnsi="Arial" w:cs="Arial"/>
          <w:color w:val="000000"/>
          <w:sz w:val="28"/>
          <w:szCs w:val="28"/>
        </w:rPr>
        <w:t xml:space="preserve"> to understand how the current ESG practices in Hong Kong and ESG factors affect the investment decision</w:t>
      </w:r>
      <w:r w:rsidR="00BA6C75">
        <w:rPr>
          <w:rFonts w:ascii="Arial" w:hAnsi="Arial" w:cs="Arial"/>
          <w:color w:val="000000"/>
          <w:sz w:val="28"/>
          <w:szCs w:val="28"/>
        </w:rPr>
        <w:t>s</w:t>
      </w:r>
      <w:r w:rsidR="004A3590" w:rsidRPr="00DB3E05">
        <w:rPr>
          <w:rFonts w:ascii="Arial" w:hAnsi="Arial" w:cs="Arial"/>
          <w:color w:val="000000"/>
          <w:sz w:val="28"/>
          <w:szCs w:val="28"/>
        </w:rPr>
        <w:t xml:space="preserve">. </w:t>
      </w:r>
      <w:r w:rsidRPr="00DB3E05">
        <w:rPr>
          <w:rFonts w:ascii="Arial" w:hAnsi="Arial" w:cs="Arial"/>
          <w:color w:val="000000"/>
          <w:sz w:val="28"/>
          <w:szCs w:val="28"/>
        </w:rPr>
        <w:t xml:space="preserve"> </w:t>
      </w:r>
      <w:r w:rsidR="004A3590" w:rsidRPr="00DB3E05">
        <w:rPr>
          <w:rFonts w:ascii="Arial" w:hAnsi="Arial" w:cs="Arial"/>
          <w:color w:val="000000"/>
          <w:sz w:val="28"/>
          <w:szCs w:val="28"/>
        </w:rPr>
        <w:t>Then, a questionnaire survey will be conducted on the individual market investor</w:t>
      </w:r>
      <w:r w:rsidR="00BA6C75">
        <w:rPr>
          <w:rFonts w:ascii="Arial" w:hAnsi="Arial" w:cs="Arial"/>
          <w:color w:val="000000"/>
          <w:sz w:val="28"/>
          <w:szCs w:val="28"/>
        </w:rPr>
        <w:t>s</w:t>
      </w:r>
      <w:r w:rsidR="004A3590" w:rsidRPr="00DB3E05">
        <w:rPr>
          <w:rFonts w:ascii="Arial" w:hAnsi="Arial" w:cs="Arial"/>
          <w:color w:val="000000"/>
          <w:sz w:val="28"/>
          <w:szCs w:val="28"/>
        </w:rPr>
        <w:t xml:space="preserve"> on the Stock Exchange.  </w:t>
      </w:r>
      <w:r w:rsidR="004A3590" w:rsidRPr="00DB3E05">
        <w:rPr>
          <w:rFonts w:ascii="Arial" w:hAnsi="Arial" w:cs="Arial"/>
          <w:color w:val="000000"/>
          <w:sz w:val="28"/>
          <w:szCs w:val="28"/>
        </w:rPr>
        <w:fldChar w:fldCharType="begin"/>
      </w:r>
      <w:r w:rsidR="004A3590" w:rsidRPr="00DB3E05">
        <w:rPr>
          <w:rFonts w:ascii="Arial" w:hAnsi="Arial" w:cs="Arial"/>
          <w:color w:val="000000"/>
          <w:sz w:val="28"/>
          <w:szCs w:val="28"/>
        </w:rPr>
        <w:instrText xml:space="preserve"> ADDIN EN.CITE &lt;EndNote&gt;&lt;Cite&gt;&lt;Author&gt;Sultana&lt;/Author&gt;&lt;Year&gt;2018&lt;/Year&gt;&lt;RecNum&gt;73&lt;/RecNum&gt;&lt;DisplayText&gt;(Sultana et al., 2018)&lt;/DisplayText&gt;&lt;record&gt;&lt;rec-number&gt;73&lt;/rec-number&gt;&lt;foreign-keys&gt;&lt;key app="EN" db-id="0vtwt0xdiepatveerwsxw55izapvzd0d0v5w" timestamp="1721523635" guid="7dfb58f8-79b6-4b21-8c66-17a3b8f905e0"&gt;73&lt;/key&gt;&lt;/foreign-keys&gt;&lt;ref-type name="Journal Article"&gt;17&lt;/ref-type&gt;&lt;contributors&gt;&lt;authors&gt;&lt;author&gt;Sultana, Sayema&lt;/author&gt;&lt;author&gt;Zulkifli, Norhayah&lt;/author&gt;&lt;author&gt;Zainal, Dalilawati&lt;/author&gt;&lt;/authors&gt;&lt;/contributors&gt;&lt;titles&gt;&lt;title&gt;Environmental, social and governance (ESG) and investment decision in Bangladesh&lt;/title&gt;&lt;secondary-title&gt;Sustainability&lt;/secondary-title&gt;&lt;/titles&gt;&lt;periodical&gt;&lt;full-title&gt;Sustainability&lt;/full-title&gt;&lt;/periodical&gt;&lt;pages&gt;1831&lt;/pages&gt;&lt;volume&gt;10&lt;/volume&gt;&lt;number&gt;6&lt;/number&gt;&lt;dates&gt;&lt;year&gt;2018&lt;/year&gt;&lt;/dates&gt;&lt;isbn&gt;2071-1050&lt;/isbn&gt;&lt;urls&gt;&lt;/urls&gt;&lt;/record&gt;&lt;/Cite&gt;&lt;/EndNote&gt;</w:instrText>
      </w:r>
      <w:r w:rsidR="004A3590" w:rsidRPr="00DB3E05">
        <w:rPr>
          <w:rFonts w:ascii="Arial" w:hAnsi="Arial" w:cs="Arial"/>
          <w:color w:val="000000"/>
          <w:sz w:val="28"/>
          <w:szCs w:val="28"/>
        </w:rPr>
        <w:fldChar w:fldCharType="separate"/>
      </w:r>
      <w:r w:rsidR="004A3590" w:rsidRPr="00DB3E05">
        <w:rPr>
          <w:rFonts w:ascii="Arial" w:hAnsi="Arial" w:cs="Arial"/>
          <w:noProof/>
          <w:color w:val="000000"/>
          <w:sz w:val="28"/>
          <w:szCs w:val="28"/>
        </w:rPr>
        <w:t>(Sultana et al., 2018)</w:t>
      </w:r>
      <w:r w:rsidR="004A3590" w:rsidRPr="00DB3E05">
        <w:rPr>
          <w:rFonts w:ascii="Arial" w:hAnsi="Arial" w:cs="Arial"/>
          <w:color w:val="000000"/>
          <w:sz w:val="28"/>
          <w:szCs w:val="28"/>
        </w:rPr>
        <w:fldChar w:fldCharType="end"/>
      </w:r>
      <w:r w:rsidRPr="00DB3E05">
        <w:rPr>
          <w:rFonts w:ascii="Arial" w:hAnsi="Arial" w:cs="Arial"/>
          <w:color w:val="000000"/>
          <w:sz w:val="28"/>
          <w:szCs w:val="28"/>
        </w:rPr>
        <w:tab/>
      </w:r>
      <w:r w:rsidRPr="00DB3E05">
        <w:rPr>
          <w:rFonts w:ascii="Arial" w:hAnsi="Arial" w:cs="Arial"/>
          <w:color w:val="000000"/>
          <w:sz w:val="28"/>
          <w:szCs w:val="28"/>
        </w:rPr>
        <w:tab/>
      </w:r>
      <w:r w:rsidR="00EB596A" w:rsidRPr="00DB3E05">
        <w:rPr>
          <w:rFonts w:ascii="Arial" w:hAnsi="Arial" w:cs="Arial"/>
          <w:color w:val="000000"/>
          <w:sz w:val="28"/>
          <w:szCs w:val="28"/>
        </w:rPr>
        <w:tab/>
      </w:r>
    </w:p>
    <w:p w14:paraId="70A733E7" w14:textId="18ED04BC" w:rsidR="001140D3" w:rsidRDefault="00BC683F" w:rsidP="006471DE">
      <w:pPr>
        <w:tabs>
          <w:tab w:val="left" w:pos="567"/>
          <w:tab w:val="left" w:pos="1276"/>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This research employs regression analysis to investigate ESG factors</w:t>
      </w:r>
      <w:r w:rsidRPr="00DB3E05">
        <w:rPr>
          <w:rFonts w:ascii="Arial" w:eastAsiaTheme="minorEastAsia" w:hAnsi="Arial" w:cs="Arial"/>
          <w:color w:val="181818"/>
          <w:sz w:val="28"/>
          <w:szCs w:val="28"/>
          <w:lang w:val="en-GB"/>
          <w14:ligatures w14:val="standardContextual"/>
        </w:rPr>
        <w:t xml:space="preserve"> and </w:t>
      </w:r>
      <w:r>
        <w:rPr>
          <w:rFonts w:ascii="Arial" w:eastAsiaTheme="minorEastAsia" w:hAnsi="Arial" w:cs="Arial"/>
          <w:color w:val="181818"/>
          <w:sz w:val="28"/>
          <w:szCs w:val="28"/>
          <w:lang w:val="en-GB"/>
          <w14:ligatures w14:val="standardContextual"/>
        </w:rPr>
        <w:t>their impact on investment decisions.</w:t>
      </w:r>
    </w:p>
    <w:p w14:paraId="5459ED2F" w14:textId="77777777" w:rsidR="00BC683F" w:rsidRPr="00DB3E05" w:rsidRDefault="00BC683F" w:rsidP="006471DE">
      <w:pPr>
        <w:tabs>
          <w:tab w:val="left" w:pos="567"/>
          <w:tab w:val="left" w:pos="1276"/>
          <w:tab w:val="right" w:pos="8931"/>
        </w:tabs>
        <w:spacing w:line="360" w:lineRule="auto"/>
        <w:ind w:left="709"/>
        <w:jc w:val="both"/>
        <w:rPr>
          <w:rFonts w:ascii="Arial" w:hAnsi="Arial" w:cs="Arial"/>
          <w:color w:val="000000"/>
          <w:sz w:val="28"/>
          <w:szCs w:val="28"/>
        </w:rPr>
      </w:pPr>
    </w:p>
    <w:p w14:paraId="69491B04" w14:textId="41517D9A" w:rsidR="004A3590" w:rsidRPr="00DB3E05" w:rsidRDefault="004A3590" w:rsidP="004A3590">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Case stud</w:t>
      </w:r>
      <w:r w:rsidR="0008155C">
        <w:rPr>
          <w:rFonts w:ascii="Arial" w:eastAsiaTheme="minorEastAsia" w:hAnsi="Arial" w:cs="Arial"/>
          <w:i/>
          <w:iCs/>
          <w:color w:val="181818"/>
          <w:sz w:val="28"/>
          <w:szCs w:val="28"/>
          <w:u w:val="single"/>
          <w:lang w:val="en-GB"/>
          <w14:ligatures w14:val="standardContextual"/>
        </w:rPr>
        <w:t>ies</w:t>
      </w:r>
    </w:p>
    <w:p w14:paraId="2E12AC56" w14:textId="246E5F77" w:rsidR="001140D3" w:rsidRPr="00DB3E05" w:rsidRDefault="0008155C" w:rsidP="005653A4">
      <w:pPr>
        <w:tabs>
          <w:tab w:val="left" w:pos="567"/>
          <w:tab w:val="left" w:pos="1276"/>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Two </w:t>
      </w:r>
      <w:r w:rsidR="005653A4">
        <w:rPr>
          <w:rFonts w:ascii="Arial" w:hAnsi="Arial" w:cs="Arial"/>
          <w:color w:val="000000"/>
          <w:sz w:val="28"/>
          <w:szCs w:val="28"/>
        </w:rPr>
        <w:t xml:space="preserve">contrasting case studies, </w:t>
      </w:r>
      <w:r w:rsidR="003A2B8E" w:rsidRPr="003A2B8E">
        <w:rPr>
          <w:rFonts w:ascii="Arial" w:hAnsi="Arial" w:cs="Arial"/>
          <w:color w:val="000000"/>
          <w:sz w:val="28"/>
          <w:szCs w:val="28"/>
        </w:rPr>
        <w:t>MTR Corporation Limited</w:t>
      </w:r>
      <w:r w:rsidR="00F61808" w:rsidRPr="00DB3E05">
        <w:rPr>
          <w:rFonts w:ascii="Arial" w:hAnsi="Arial" w:cs="Arial"/>
          <w:color w:val="000000"/>
          <w:sz w:val="28"/>
          <w:szCs w:val="28"/>
        </w:rPr>
        <w:t xml:space="preserve">, </w:t>
      </w:r>
      <w:r w:rsidR="003A2B8E">
        <w:rPr>
          <w:rFonts w:ascii="Arial" w:hAnsi="Arial" w:cs="Arial"/>
          <w:color w:val="000000"/>
          <w:sz w:val="28"/>
          <w:szCs w:val="28"/>
        </w:rPr>
        <w:t xml:space="preserve">a </w:t>
      </w:r>
      <w:r w:rsidR="00F61808" w:rsidRPr="00DB3E05">
        <w:rPr>
          <w:rFonts w:ascii="Arial" w:hAnsi="Arial" w:cs="Arial"/>
          <w:color w:val="000000"/>
          <w:sz w:val="28"/>
          <w:szCs w:val="28"/>
        </w:rPr>
        <w:t xml:space="preserve">winner of Best Corporate Governance and ESG Award organised by the HKICPA </w:t>
      </w:r>
      <w:r w:rsidR="00F61808" w:rsidRPr="00DB3E05">
        <w:rPr>
          <w:rFonts w:ascii="Arial" w:hAnsi="Arial" w:cs="Arial"/>
          <w:color w:val="000000"/>
          <w:sz w:val="28"/>
          <w:szCs w:val="28"/>
        </w:rPr>
        <w:fldChar w:fldCharType="begin"/>
      </w:r>
      <w:r w:rsidR="00DB3E05" w:rsidRPr="00DB3E05">
        <w:rPr>
          <w:rFonts w:ascii="Arial" w:hAnsi="Arial" w:cs="Arial"/>
          <w:color w:val="000000"/>
          <w:sz w:val="28"/>
          <w:szCs w:val="28"/>
        </w:rPr>
        <w:instrText xml:space="preserve"> ADDIN EN.CITE &lt;EndNote&gt;&lt;Cite&gt;&lt;Author&gt;HKICPA&lt;/Author&gt;&lt;Year&gt;2023&lt;/Year&gt;&lt;RecNum&gt;83&lt;/RecNum&gt;&lt;DisplayText&gt;(HKICPA, 2023a)&lt;/DisplayText&gt;&lt;record&gt;&lt;rec-number&gt;83&lt;/rec-number&gt;&lt;foreign-keys&gt;&lt;key app="EN" db-id="0vtwt0xdiepatveerwsxw55izapvzd0d0v5w" timestamp="1721559834" guid="d758f979-95a8-410a-8f79-1ca31758246c"&gt;83&lt;/key&gt;&lt;/foreign-keys&gt;&lt;ref-type name="Online Database"&gt;45&lt;/ref-type&gt;&lt;contributors&gt;&lt;authors&gt;&lt;author&gt;HKICPA&lt;/author&gt;&lt;/authors&gt;&lt;/contributors&gt;&lt;titles&gt;&lt;title&gt;Best Corporate Governance and ESG Awards 2023 Judges’ Report&lt;/title&gt;&lt;/titles&gt;&lt;dates&gt;&lt;year&gt;2023&lt;/year&gt;&lt;/dates&gt;&lt;urls&gt;&lt;related-urls&gt;&lt;url&gt;https://www.hkicpa.org.hk/-/media/Document/APD/BCGESGA/BCGESGA2023JudgesReport.pdf&lt;/url&gt;&lt;/related-urls&gt;&lt;/urls&gt;&lt;/record&gt;&lt;/Cite&gt;&lt;/EndNote&gt;</w:instrText>
      </w:r>
      <w:r w:rsidR="00F61808" w:rsidRPr="00DB3E05">
        <w:rPr>
          <w:rFonts w:ascii="Arial" w:hAnsi="Arial" w:cs="Arial"/>
          <w:color w:val="000000"/>
          <w:sz w:val="28"/>
          <w:szCs w:val="28"/>
        </w:rPr>
        <w:fldChar w:fldCharType="separate"/>
      </w:r>
      <w:r w:rsidR="00DB3E05" w:rsidRPr="00DB3E05">
        <w:rPr>
          <w:rFonts w:ascii="Arial" w:hAnsi="Arial" w:cs="Arial"/>
          <w:noProof/>
          <w:color w:val="000000"/>
          <w:sz w:val="28"/>
          <w:szCs w:val="28"/>
        </w:rPr>
        <w:t>(HKICPA, 2023a)</w:t>
      </w:r>
      <w:r w:rsidR="00F61808" w:rsidRPr="00DB3E05">
        <w:rPr>
          <w:rFonts w:ascii="Arial" w:hAnsi="Arial" w:cs="Arial"/>
          <w:color w:val="000000"/>
          <w:sz w:val="28"/>
          <w:szCs w:val="28"/>
        </w:rPr>
        <w:fldChar w:fldCharType="end"/>
      </w:r>
      <w:r w:rsidR="00F61808" w:rsidRPr="00DB3E05">
        <w:rPr>
          <w:rFonts w:ascii="Arial" w:hAnsi="Arial" w:cs="Arial"/>
          <w:color w:val="000000"/>
          <w:sz w:val="28"/>
          <w:szCs w:val="28"/>
        </w:rPr>
        <w:t>, and Evergrande Group</w:t>
      </w:r>
      <w:r w:rsidR="005653A4">
        <w:rPr>
          <w:rFonts w:ascii="Arial" w:hAnsi="Arial" w:cs="Arial"/>
          <w:color w:val="000000"/>
          <w:sz w:val="28"/>
          <w:szCs w:val="28"/>
        </w:rPr>
        <w:t xml:space="preserve">, will be analysed to provide practical insights into the implementation and impact of ESG practices. </w:t>
      </w:r>
      <w:r w:rsidR="001140D3" w:rsidRPr="00DB3E05">
        <w:rPr>
          <w:rFonts w:ascii="Arial" w:hAnsi="Arial" w:cs="Arial"/>
          <w:color w:val="000000"/>
          <w:sz w:val="28"/>
          <w:szCs w:val="28"/>
        </w:rPr>
        <w:t xml:space="preserve"> </w:t>
      </w:r>
    </w:p>
    <w:p w14:paraId="3EE2508A" w14:textId="77777777" w:rsidR="005653A4" w:rsidRDefault="005653A4" w:rsidP="004A3590">
      <w:pPr>
        <w:tabs>
          <w:tab w:val="left" w:pos="567"/>
          <w:tab w:val="left" w:pos="1276"/>
          <w:tab w:val="right" w:pos="8931"/>
        </w:tabs>
        <w:spacing w:line="360" w:lineRule="auto"/>
        <w:ind w:left="709"/>
        <w:jc w:val="both"/>
        <w:rPr>
          <w:rFonts w:ascii="Arial" w:hAnsi="Arial" w:cs="Arial"/>
          <w:color w:val="000000"/>
          <w:sz w:val="28"/>
          <w:szCs w:val="28"/>
        </w:rPr>
      </w:pPr>
    </w:p>
    <w:p w14:paraId="3B11AFDC" w14:textId="17AC0FAE" w:rsidR="00F61808" w:rsidRDefault="001140D3" w:rsidP="004A3590">
      <w:pPr>
        <w:tabs>
          <w:tab w:val="left" w:pos="567"/>
          <w:tab w:val="left" w:pos="1276"/>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hAnsi="Arial" w:cs="Arial"/>
          <w:color w:val="000000"/>
          <w:sz w:val="28"/>
          <w:szCs w:val="28"/>
        </w:rPr>
        <w:t xml:space="preserve">We will collect ESG </w:t>
      </w:r>
      <w:r w:rsidRPr="00DB3E05">
        <w:rPr>
          <w:rFonts w:ascii="Arial" w:eastAsiaTheme="minorEastAsia" w:hAnsi="Arial" w:cs="Arial"/>
          <w:color w:val="181818"/>
          <w:sz w:val="28"/>
          <w:szCs w:val="28"/>
          <w:lang w:val="en-GB"/>
          <w14:ligatures w14:val="standardContextual"/>
        </w:rPr>
        <w:t xml:space="preserve">scores publicly available from S&amp;P Global and/or Refinitiv, information from annual reports, ESG reports, news, articles, literature review.   </w:t>
      </w:r>
    </w:p>
    <w:p w14:paraId="2DD4E7BA" w14:textId="77777777" w:rsidR="005653A4" w:rsidRDefault="005653A4" w:rsidP="004A3590">
      <w:pPr>
        <w:tabs>
          <w:tab w:val="left" w:pos="567"/>
          <w:tab w:val="left" w:pos="1276"/>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08B051B6" w14:textId="703DC167" w:rsidR="005653A4" w:rsidRPr="00DB3E05" w:rsidRDefault="005653A4" w:rsidP="004A3590">
      <w:pPr>
        <w:tabs>
          <w:tab w:val="left" w:pos="567"/>
          <w:tab w:val="left" w:pos="1276"/>
          <w:tab w:val="right" w:pos="8931"/>
        </w:tabs>
        <w:spacing w:line="360" w:lineRule="auto"/>
        <w:ind w:left="709"/>
        <w:jc w:val="both"/>
        <w:rPr>
          <w:rFonts w:ascii="Arial" w:hAnsi="Arial" w:cs="Arial"/>
          <w:color w:val="000000"/>
          <w:sz w:val="28"/>
          <w:szCs w:val="28"/>
        </w:rPr>
      </w:pPr>
      <w:r>
        <w:rPr>
          <w:rFonts w:ascii="Arial" w:eastAsiaTheme="minorEastAsia" w:hAnsi="Arial" w:cs="Arial"/>
          <w:color w:val="181818"/>
          <w:sz w:val="28"/>
          <w:szCs w:val="28"/>
          <w:lang w:val="en-GB"/>
          <w14:ligatures w14:val="standardContextual"/>
        </w:rPr>
        <w:t xml:space="preserve">This structured and multi-faceted research methodology ensures a comprehensive analysis of ESG elements’ impact on ESG performance and investment decisions in listed companies in Hong Kong. </w:t>
      </w:r>
    </w:p>
    <w:p w14:paraId="47FC1E43" w14:textId="7A900318" w:rsidR="005653A4" w:rsidRPr="00DB3E05" w:rsidRDefault="005653A4" w:rsidP="00EB596A">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ab/>
      </w:r>
    </w:p>
    <w:p w14:paraId="0BC1170D" w14:textId="16A9C189" w:rsidR="00AF0EE5" w:rsidRPr="00DB3E05" w:rsidRDefault="00EB596A" w:rsidP="00AF0EE5">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9D5EE8" w:rsidRPr="00DB3E05">
        <w:rPr>
          <w:rFonts w:ascii="Arial" w:hAnsi="Arial" w:cs="Arial"/>
          <w:b/>
          <w:bCs/>
          <w:color w:val="000000"/>
          <w:sz w:val="28"/>
          <w:szCs w:val="28"/>
        </w:rPr>
        <w:t>4</w:t>
      </w:r>
      <w:r w:rsidRPr="00DB3E05">
        <w:rPr>
          <w:rFonts w:ascii="Arial" w:hAnsi="Arial" w:cs="Arial"/>
          <w:b/>
          <w:bCs/>
          <w:color w:val="000000"/>
          <w:sz w:val="28"/>
          <w:szCs w:val="28"/>
        </w:rPr>
        <w:tab/>
        <w:t>Strengths and weaknesses</w:t>
      </w:r>
    </w:p>
    <w:p w14:paraId="342CD00F" w14:textId="1D2FAFD7" w:rsidR="009D5EE8" w:rsidRPr="00DB3E05" w:rsidRDefault="009D5EE8" w:rsidP="00AF0EE5">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Strengths</w:t>
      </w:r>
    </w:p>
    <w:p w14:paraId="5F44E5A4" w14:textId="1ED93F42" w:rsidR="009D5EE8" w:rsidRPr="00DB3E05" w:rsidRDefault="009D5EE8" w:rsidP="009D5EE8">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ESG is still a popular topic and the Stock Exchange published a implementation guidance on climate </w:t>
      </w:r>
      <w:r w:rsidR="00807A15" w:rsidRPr="00DB3E05">
        <w:rPr>
          <w:rFonts w:ascii="Arial" w:hAnsi="Arial" w:cs="Arial"/>
          <w:color w:val="000000"/>
          <w:sz w:val="28"/>
          <w:szCs w:val="28"/>
        </w:rPr>
        <w:t>disclosure</w:t>
      </w:r>
      <w:r w:rsidR="008F0382" w:rsidRPr="00DB3E05">
        <w:rPr>
          <w:rFonts w:ascii="Arial" w:hAnsi="Arial" w:cs="Arial"/>
          <w:color w:val="000000"/>
          <w:sz w:val="28"/>
          <w:szCs w:val="28"/>
        </w:rPr>
        <w:t xml:space="preserve"> </w:t>
      </w:r>
      <w:r w:rsidR="008F0382" w:rsidRPr="00DB3E05">
        <w:rPr>
          <w:rFonts w:ascii="Arial" w:hAnsi="Arial" w:cs="Arial"/>
          <w:color w:val="000000"/>
          <w:sz w:val="28"/>
          <w:szCs w:val="28"/>
        </w:rPr>
        <w:fldChar w:fldCharType="begin"/>
      </w:r>
      <w:r w:rsidR="00EF4A43">
        <w:rPr>
          <w:rFonts w:ascii="Arial" w:hAnsi="Arial" w:cs="Arial"/>
          <w:color w:val="000000"/>
          <w:sz w:val="28"/>
          <w:szCs w:val="28"/>
        </w:rPr>
        <w:instrText xml:space="preserve"> ADDIN EN.CITE &lt;EndNote&gt;&lt;Cite&gt;&lt;Author&gt;Exchange&lt;/Author&gt;&lt;Year&gt;2024&lt;/Year&gt;&lt;RecNum&gt;77&lt;/RecNum&gt;&lt;DisplayText&gt;(Exchange, 2024d)&lt;/DisplayText&gt;&lt;record&gt;&lt;rec-number&gt;77&lt;/rec-number&gt;&lt;foreign-keys&gt;&lt;key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008F0382" w:rsidRPr="00DB3E05">
        <w:rPr>
          <w:rFonts w:ascii="Arial" w:hAnsi="Arial" w:cs="Arial"/>
          <w:color w:val="000000"/>
          <w:sz w:val="28"/>
          <w:szCs w:val="28"/>
        </w:rPr>
        <w:fldChar w:fldCharType="separate"/>
      </w:r>
      <w:r w:rsidR="00EF4A43">
        <w:rPr>
          <w:rFonts w:ascii="Arial" w:hAnsi="Arial" w:cs="Arial"/>
          <w:noProof/>
          <w:color w:val="000000"/>
          <w:sz w:val="28"/>
          <w:szCs w:val="28"/>
        </w:rPr>
        <w:t>(Exchange, 2024d)</w:t>
      </w:r>
      <w:r w:rsidR="008F0382" w:rsidRPr="00DB3E05">
        <w:rPr>
          <w:rFonts w:ascii="Arial" w:hAnsi="Arial" w:cs="Arial"/>
          <w:color w:val="000000"/>
          <w:sz w:val="28"/>
          <w:szCs w:val="28"/>
        </w:rPr>
        <w:fldChar w:fldCharType="end"/>
      </w:r>
      <w:r w:rsidR="00807A15" w:rsidRPr="00DB3E05">
        <w:rPr>
          <w:rFonts w:ascii="Arial" w:hAnsi="Arial" w:cs="Arial"/>
          <w:color w:val="000000"/>
          <w:sz w:val="28"/>
          <w:szCs w:val="28"/>
        </w:rPr>
        <w:t>, t</w:t>
      </w:r>
      <w:r w:rsidR="006D29A4">
        <w:rPr>
          <w:rFonts w:ascii="Arial" w:hAnsi="Arial" w:cs="Arial"/>
          <w:color w:val="000000"/>
          <w:sz w:val="28"/>
          <w:szCs w:val="28"/>
        </w:rPr>
        <w:t>his make the research timely and relevant</w:t>
      </w:r>
      <w:r w:rsidR="00807A15" w:rsidRPr="00DB3E05">
        <w:rPr>
          <w:rFonts w:ascii="Arial" w:hAnsi="Arial" w:cs="Arial"/>
          <w:color w:val="000000"/>
          <w:sz w:val="28"/>
          <w:szCs w:val="28"/>
        </w:rPr>
        <w:t xml:space="preserve">. </w:t>
      </w:r>
    </w:p>
    <w:p w14:paraId="49C70A67" w14:textId="77777777" w:rsidR="00807A15" w:rsidRPr="00DB3E05" w:rsidRDefault="00807A15" w:rsidP="009D5EE8">
      <w:pPr>
        <w:tabs>
          <w:tab w:val="left" w:pos="0"/>
          <w:tab w:val="left" w:pos="709"/>
          <w:tab w:val="right" w:pos="8931"/>
        </w:tabs>
        <w:spacing w:line="360" w:lineRule="auto"/>
        <w:ind w:left="709"/>
        <w:jc w:val="both"/>
        <w:rPr>
          <w:rFonts w:ascii="Arial" w:hAnsi="Arial" w:cs="Arial"/>
          <w:color w:val="000000"/>
          <w:sz w:val="28"/>
          <w:szCs w:val="28"/>
        </w:rPr>
      </w:pPr>
    </w:p>
    <w:p w14:paraId="27846775" w14:textId="5A43D42B" w:rsidR="009D5EE8" w:rsidRPr="00DB3E05" w:rsidRDefault="009D5EE8" w:rsidP="009D5EE8">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The use of mixed research method, a combination of qualitative and quantitative methods, allows a comprehensive analysis of ESG performance.   While quantitative data provides objective observation of the situation, qualitative data provides more meaningful analysis to explain the situation.</w:t>
      </w:r>
      <w:r w:rsidR="00807A15" w:rsidRPr="00DB3E05">
        <w:rPr>
          <w:rFonts w:ascii="Arial" w:hAnsi="Arial" w:cs="Arial"/>
          <w:color w:val="000000"/>
          <w:sz w:val="28"/>
          <w:szCs w:val="28"/>
        </w:rPr>
        <w:t xml:space="preserve">  It can also fill the research gap of (Leung, 2024), which solely quantitative method was used.  </w:t>
      </w:r>
    </w:p>
    <w:p w14:paraId="7FC8A267" w14:textId="77777777" w:rsidR="00807A15" w:rsidRPr="00DB3E05" w:rsidRDefault="00AF0EE5" w:rsidP="00807A15">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14:paraId="268DF8EA" w14:textId="1079889F" w:rsidR="000D261A" w:rsidRPr="00DB3E05" w:rsidRDefault="00807A15" w:rsidP="00807A15">
      <w:pPr>
        <w:tabs>
          <w:tab w:val="left" w:pos="0"/>
          <w:tab w:val="left" w:pos="709"/>
          <w:tab w:val="right" w:pos="8931"/>
        </w:tabs>
        <w:spacing w:line="360" w:lineRule="auto"/>
        <w:ind w:left="709"/>
        <w:jc w:val="both"/>
        <w:rPr>
          <w:rFonts w:cstheme="minorHAnsi"/>
          <w:color w:val="000000"/>
          <w:sz w:val="28"/>
          <w:szCs w:val="28"/>
        </w:rPr>
      </w:pPr>
      <w:r w:rsidRPr="00DB3E05">
        <w:rPr>
          <w:rFonts w:ascii="Arial" w:hAnsi="Arial" w:cs="Arial"/>
          <w:color w:val="000000"/>
          <w:sz w:val="28"/>
          <w:szCs w:val="28"/>
        </w:rPr>
        <w:t xml:space="preserve">The hypotheses </w:t>
      </w:r>
      <w:r w:rsidR="00423E5E">
        <w:rPr>
          <w:rFonts w:ascii="Arial" w:hAnsi="Arial" w:cs="Arial"/>
          <w:color w:val="000000"/>
          <w:sz w:val="28"/>
          <w:szCs w:val="28"/>
        </w:rPr>
        <w:t xml:space="preserve">in this research are formulated based on existing scholarly literature.  They gain support from established knowledge, which not only lends credibility to the </w:t>
      </w:r>
      <w:r w:rsidRPr="00DB3E05">
        <w:rPr>
          <w:rFonts w:cstheme="minorHAnsi"/>
          <w:color w:val="000000"/>
          <w:sz w:val="28"/>
          <w:szCs w:val="28"/>
        </w:rPr>
        <w:t xml:space="preserve"> </w:t>
      </w:r>
      <w:r w:rsidR="00423E5E" w:rsidRPr="00DB3E05">
        <w:rPr>
          <w:rFonts w:ascii="Arial" w:hAnsi="Arial" w:cs="Arial"/>
          <w:color w:val="000000"/>
          <w:sz w:val="28"/>
          <w:szCs w:val="28"/>
        </w:rPr>
        <w:t>hypotheses</w:t>
      </w:r>
      <w:r w:rsidR="00423E5E">
        <w:rPr>
          <w:rFonts w:ascii="Arial" w:hAnsi="Arial" w:cs="Arial"/>
          <w:color w:val="000000"/>
          <w:sz w:val="28"/>
          <w:szCs w:val="28"/>
        </w:rPr>
        <w:t xml:space="preserve"> but also ensures that they contribute to the build upon the existing body and knowledge.  This approach enhances the efficiency and validity of the research, allowing for a more robust and credible hypothesis development process.</w:t>
      </w:r>
    </w:p>
    <w:p w14:paraId="4025854E" w14:textId="77777777" w:rsidR="000D261A" w:rsidRPr="00DB3E05" w:rsidRDefault="000D261A" w:rsidP="000D261A">
      <w:pPr>
        <w:tabs>
          <w:tab w:val="left" w:pos="0"/>
          <w:tab w:val="left" w:pos="709"/>
          <w:tab w:val="right" w:pos="8931"/>
        </w:tabs>
        <w:spacing w:line="360" w:lineRule="auto"/>
        <w:jc w:val="both"/>
        <w:rPr>
          <w:rFonts w:cstheme="minorHAnsi"/>
          <w:color w:val="000000"/>
          <w:sz w:val="28"/>
          <w:szCs w:val="28"/>
        </w:rPr>
      </w:pPr>
      <w:r w:rsidRPr="00DB3E05">
        <w:rPr>
          <w:rFonts w:cstheme="minorHAnsi"/>
          <w:color w:val="000000"/>
          <w:sz w:val="28"/>
          <w:szCs w:val="28"/>
        </w:rPr>
        <w:tab/>
      </w:r>
    </w:p>
    <w:p w14:paraId="6CA2FF10" w14:textId="48884303" w:rsidR="00EB596A" w:rsidRPr="00DB3E05" w:rsidRDefault="00EB596A" w:rsidP="00CD3A7B">
      <w:pPr>
        <w:tabs>
          <w:tab w:val="left" w:pos="0"/>
          <w:tab w:val="left" w:pos="709"/>
          <w:tab w:val="right" w:pos="8931"/>
        </w:tabs>
        <w:spacing w:line="360" w:lineRule="auto"/>
        <w:ind w:left="709"/>
        <w:jc w:val="both"/>
        <w:rPr>
          <w:rFonts w:ascii="Arial" w:hAnsi="Arial" w:cs="Arial"/>
          <w:b/>
          <w:bCs/>
          <w:color w:val="000000"/>
          <w:sz w:val="28"/>
          <w:szCs w:val="28"/>
        </w:rPr>
      </w:pPr>
      <w:r w:rsidRPr="00DB3E05">
        <w:rPr>
          <w:rFonts w:ascii="Arial" w:hAnsi="Arial" w:cs="Arial"/>
          <w:b/>
          <w:bCs/>
          <w:color w:val="000000"/>
          <w:sz w:val="28"/>
          <w:szCs w:val="28"/>
        </w:rPr>
        <w:tab/>
      </w:r>
      <w:r w:rsidR="000D261A" w:rsidRPr="00DB3E05">
        <w:rPr>
          <w:rFonts w:ascii="Arial" w:hAnsi="Arial" w:cs="Arial"/>
          <w:color w:val="000000"/>
          <w:sz w:val="28"/>
          <w:szCs w:val="28"/>
        </w:rPr>
        <w:t xml:space="preserve">The focus </w:t>
      </w:r>
      <w:r w:rsidR="00CD3A7B" w:rsidRPr="00DB3E05">
        <w:rPr>
          <w:rFonts w:ascii="Arial" w:hAnsi="Arial" w:cs="Arial"/>
          <w:color w:val="000000"/>
          <w:sz w:val="28"/>
          <w:szCs w:val="28"/>
        </w:rPr>
        <w:t>on empirical analysis provides a solid foundation for conclusions, making the findings more credible than those solely from theoretical analysis.</w:t>
      </w:r>
    </w:p>
    <w:p w14:paraId="6ED45A28" w14:textId="77777777" w:rsidR="006D29A4" w:rsidRDefault="006D29A4" w:rsidP="00AF0EE5">
      <w:pPr>
        <w:tabs>
          <w:tab w:val="left" w:pos="0"/>
          <w:tab w:val="left" w:pos="709"/>
          <w:tab w:val="right" w:pos="8931"/>
        </w:tabs>
        <w:spacing w:line="360" w:lineRule="auto"/>
        <w:jc w:val="both"/>
        <w:rPr>
          <w:rFonts w:ascii="Arial" w:hAnsi="Arial" w:cs="Arial"/>
          <w:b/>
          <w:bCs/>
          <w:color w:val="000000"/>
          <w:sz w:val="28"/>
          <w:szCs w:val="28"/>
        </w:rPr>
      </w:pPr>
    </w:p>
    <w:p w14:paraId="77CF667D" w14:textId="639BE606" w:rsidR="009D5EE8" w:rsidRPr="00DB3E05" w:rsidRDefault="009D5EE8" w:rsidP="00AF0EE5">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b/>
          <w:bCs/>
          <w:color w:val="000000"/>
          <w:sz w:val="28"/>
          <w:szCs w:val="28"/>
        </w:rPr>
        <w:tab/>
      </w:r>
      <w:r w:rsidRPr="00DB3E05">
        <w:rPr>
          <w:rFonts w:ascii="Arial" w:hAnsi="Arial" w:cs="Arial"/>
          <w:i/>
          <w:iCs/>
          <w:color w:val="000000"/>
          <w:sz w:val="28"/>
          <w:szCs w:val="28"/>
          <w:u w:val="single"/>
        </w:rPr>
        <w:t>Weaknesses</w:t>
      </w:r>
    </w:p>
    <w:p w14:paraId="7405BB2A" w14:textId="4BD738ED" w:rsidR="009D5EE8" w:rsidRPr="00DB3E05" w:rsidRDefault="000D261A" w:rsidP="000D261A">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b/>
          <w:bCs/>
          <w:color w:val="000000"/>
          <w:sz w:val="28"/>
          <w:szCs w:val="28"/>
        </w:rPr>
        <w:tab/>
      </w:r>
      <w:r w:rsidRPr="00DB3E05">
        <w:rPr>
          <w:rFonts w:ascii="Arial" w:hAnsi="Arial" w:cs="Arial"/>
          <w:color w:val="000000"/>
          <w:sz w:val="28"/>
          <w:szCs w:val="28"/>
        </w:rPr>
        <w:t xml:space="preserve">Since this research focuses on Hong Kong listed companies, the findings may not easily generalisable to companies in other countries.  This may limit the applicability of the research outcomes. </w:t>
      </w:r>
    </w:p>
    <w:p w14:paraId="624530E3" w14:textId="77777777" w:rsidR="000D261A" w:rsidRDefault="000D261A" w:rsidP="00AF0EE5">
      <w:pPr>
        <w:tabs>
          <w:tab w:val="left" w:pos="0"/>
          <w:tab w:val="left" w:pos="709"/>
          <w:tab w:val="right" w:pos="8931"/>
        </w:tabs>
        <w:spacing w:line="360" w:lineRule="auto"/>
        <w:jc w:val="both"/>
        <w:rPr>
          <w:rFonts w:ascii="Arial" w:hAnsi="Arial" w:cs="Arial"/>
          <w:color w:val="000000"/>
          <w:sz w:val="28"/>
          <w:szCs w:val="28"/>
        </w:rPr>
      </w:pPr>
    </w:p>
    <w:p w14:paraId="442008A5" w14:textId="030F164B" w:rsidR="00EB596A" w:rsidRPr="00DB3E05" w:rsidRDefault="00EB596A" w:rsidP="00AF0EE5">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9D5EE8" w:rsidRPr="00DB3E05">
        <w:rPr>
          <w:rFonts w:ascii="Arial" w:hAnsi="Arial" w:cs="Arial"/>
          <w:b/>
          <w:bCs/>
          <w:color w:val="000000"/>
          <w:sz w:val="28"/>
          <w:szCs w:val="28"/>
        </w:rPr>
        <w:t>5</w:t>
      </w:r>
      <w:r w:rsidRPr="00DB3E05">
        <w:rPr>
          <w:rFonts w:ascii="Arial" w:hAnsi="Arial" w:cs="Arial"/>
          <w:b/>
          <w:bCs/>
          <w:color w:val="000000"/>
          <w:sz w:val="28"/>
          <w:szCs w:val="28"/>
        </w:rPr>
        <w:tab/>
        <w:t>Pilot study plan</w:t>
      </w:r>
    </w:p>
    <w:p w14:paraId="23D64CE3" w14:textId="340090D9" w:rsidR="00925831" w:rsidRPr="00DB3E05" w:rsidRDefault="00AF0EE5"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925831" w:rsidRPr="00DB3E05">
        <w:rPr>
          <w:rFonts w:ascii="Arial" w:hAnsi="Arial" w:cs="Arial"/>
          <w:color w:val="000000"/>
          <w:sz w:val="28"/>
          <w:szCs w:val="28"/>
        </w:rPr>
        <w:t xml:space="preserve">We shall </w:t>
      </w:r>
      <w:r w:rsidR="008218D6" w:rsidRPr="00DB3E05">
        <w:rPr>
          <w:rFonts w:ascii="Arial" w:hAnsi="Arial" w:cs="Arial"/>
          <w:color w:val="000000"/>
          <w:sz w:val="28"/>
          <w:szCs w:val="28"/>
        </w:rPr>
        <w:t>conduct</w:t>
      </w:r>
      <w:r w:rsidR="00925831" w:rsidRPr="00DB3E05">
        <w:rPr>
          <w:rFonts w:ascii="Arial" w:hAnsi="Arial" w:cs="Arial"/>
          <w:color w:val="000000"/>
          <w:sz w:val="28"/>
          <w:szCs w:val="28"/>
        </w:rPr>
        <w:t xml:space="preserve"> a pilot study </w:t>
      </w:r>
      <w:r w:rsidR="008218D6" w:rsidRPr="00DB3E05">
        <w:rPr>
          <w:rFonts w:ascii="Arial" w:hAnsi="Arial" w:cs="Arial"/>
          <w:color w:val="000000"/>
          <w:sz w:val="28"/>
          <w:szCs w:val="28"/>
        </w:rPr>
        <w:t>to identify potential</w:t>
      </w:r>
      <w:r w:rsidR="00925831" w:rsidRPr="00DB3E05">
        <w:rPr>
          <w:rFonts w:ascii="Arial" w:hAnsi="Arial" w:cs="Arial"/>
          <w:color w:val="000000"/>
          <w:sz w:val="28"/>
          <w:szCs w:val="28"/>
        </w:rPr>
        <w:t xml:space="preserve"> issues early </w:t>
      </w:r>
      <w:r w:rsidR="008218D6" w:rsidRPr="00DB3E05">
        <w:rPr>
          <w:rFonts w:ascii="Arial" w:hAnsi="Arial" w:cs="Arial"/>
          <w:color w:val="000000"/>
          <w:sz w:val="28"/>
          <w:szCs w:val="28"/>
        </w:rPr>
        <w:t>and make necessary amendments to the main research</w:t>
      </w:r>
      <w:r w:rsidR="00925831" w:rsidRPr="00DB3E05">
        <w:rPr>
          <w:rFonts w:ascii="Arial" w:hAnsi="Arial" w:cs="Arial"/>
          <w:color w:val="000000"/>
          <w:sz w:val="28"/>
          <w:szCs w:val="28"/>
        </w:rPr>
        <w:t>.</w:t>
      </w:r>
      <w:r w:rsidR="008218D6" w:rsidRPr="00DB3E05">
        <w:rPr>
          <w:rFonts w:ascii="Arial" w:hAnsi="Arial" w:cs="Arial"/>
          <w:color w:val="000000"/>
          <w:sz w:val="28"/>
          <w:szCs w:val="28"/>
        </w:rPr>
        <w:t xml:space="preserve">  </w:t>
      </w:r>
      <w:r w:rsidR="007C730A">
        <w:rPr>
          <w:rFonts w:ascii="Arial" w:hAnsi="Arial" w:cs="Arial"/>
          <w:color w:val="000000"/>
          <w:sz w:val="28"/>
          <w:szCs w:val="28"/>
        </w:rPr>
        <w:t xml:space="preserve">Additionally, this will yield initial results. </w:t>
      </w:r>
    </w:p>
    <w:p w14:paraId="6F506DB7"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7B8DE9BB" w14:textId="61F0F6E5"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Pilot Study Plan will </w:t>
      </w:r>
      <w:r w:rsidR="007C730A">
        <w:rPr>
          <w:rFonts w:ascii="Arial" w:hAnsi="Arial" w:cs="Arial"/>
          <w:color w:val="000000"/>
          <w:sz w:val="28"/>
          <w:szCs w:val="28"/>
        </w:rPr>
        <w:t>adopt</w:t>
      </w:r>
      <w:r w:rsidRPr="00DB3E05">
        <w:rPr>
          <w:rFonts w:ascii="Arial" w:hAnsi="Arial" w:cs="Arial"/>
          <w:color w:val="000000"/>
          <w:sz w:val="28"/>
          <w:szCs w:val="28"/>
        </w:rPr>
        <w:t xml:space="preserve"> a quantitative </w:t>
      </w:r>
      <w:r w:rsidR="007C730A">
        <w:rPr>
          <w:rFonts w:ascii="Arial" w:hAnsi="Arial" w:cs="Arial"/>
          <w:color w:val="000000"/>
          <w:sz w:val="28"/>
          <w:szCs w:val="28"/>
        </w:rPr>
        <w:t xml:space="preserve">methodology to evaluate </w:t>
      </w:r>
      <w:r w:rsidR="008218D6" w:rsidRPr="00DB3E05">
        <w:rPr>
          <w:rFonts w:ascii="Arial" w:eastAsiaTheme="minorEastAsia" w:hAnsi="Arial" w:cs="Arial"/>
          <w:color w:val="181818"/>
          <w:sz w:val="28"/>
          <w:szCs w:val="28"/>
          <w:lang w:val="en-GB"/>
          <w14:ligatures w14:val="standardContextual"/>
        </w:rPr>
        <w:t>hypotheses 1A-1C, 2 and 3A-3C</w:t>
      </w:r>
      <w:r w:rsidRPr="00DB3E05">
        <w:rPr>
          <w:rFonts w:ascii="Arial" w:hAnsi="Arial" w:cs="Arial"/>
          <w:color w:val="000000"/>
          <w:sz w:val="28"/>
          <w:szCs w:val="28"/>
        </w:rPr>
        <w:t xml:space="preserve">.  </w:t>
      </w:r>
      <w:r w:rsidR="007C730A">
        <w:rPr>
          <w:rFonts w:ascii="Arial" w:hAnsi="Arial" w:cs="Arial"/>
          <w:color w:val="000000"/>
          <w:sz w:val="28"/>
          <w:szCs w:val="28"/>
        </w:rPr>
        <w:t xml:space="preserve">We will use a correlation approach </w:t>
      </w:r>
      <w:r w:rsidR="007C730A">
        <w:rPr>
          <w:rFonts w:ascii="Arial" w:hAnsi="Arial" w:cs="Arial"/>
          <w:color w:val="000000"/>
          <w:sz w:val="28"/>
          <w:szCs w:val="28"/>
        </w:rPr>
        <w:lastRenderedPageBreak/>
        <w:t xml:space="preserve">to evaluate </w:t>
      </w:r>
      <w:r w:rsidRPr="00DB3E05">
        <w:rPr>
          <w:rFonts w:ascii="Arial" w:hAnsi="Arial" w:cs="Arial"/>
          <w:color w:val="000000"/>
          <w:sz w:val="28"/>
          <w:szCs w:val="28"/>
        </w:rPr>
        <w:t xml:space="preserve">the </w:t>
      </w:r>
      <w:r w:rsidR="008218D6" w:rsidRPr="00DB3E05">
        <w:rPr>
          <w:rFonts w:ascii="Arial" w:hAnsi="Arial" w:cs="Arial"/>
          <w:color w:val="000000"/>
          <w:sz w:val="28"/>
          <w:szCs w:val="28"/>
        </w:rPr>
        <w:t xml:space="preserve">relationship between characteristic of board and ESG performance, ESG performance and </w:t>
      </w:r>
      <w:r w:rsidR="008B6175">
        <w:rPr>
          <w:rFonts w:ascii="Arial" w:hAnsi="Arial" w:cs="Arial"/>
          <w:color w:val="000000"/>
          <w:sz w:val="28"/>
          <w:szCs w:val="28"/>
        </w:rPr>
        <w:t>corporate valuations</w:t>
      </w:r>
      <w:r w:rsidR="008218D6" w:rsidRPr="00DB3E05">
        <w:rPr>
          <w:rFonts w:ascii="Arial" w:hAnsi="Arial" w:cs="Arial"/>
          <w:color w:val="000000"/>
          <w:sz w:val="28"/>
          <w:szCs w:val="28"/>
        </w:rPr>
        <w:t>, and ESG factors on investment decision</w:t>
      </w:r>
      <w:r w:rsidRPr="00DB3E05">
        <w:rPr>
          <w:rFonts w:ascii="Arial" w:hAnsi="Arial" w:cs="Arial"/>
          <w:color w:val="000000"/>
          <w:sz w:val="28"/>
          <w:szCs w:val="28"/>
        </w:rPr>
        <w:t xml:space="preserve">.  </w:t>
      </w:r>
    </w:p>
    <w:p w14:paraId="0E4CACA3"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42AD2EBE" w14:textId="77777777" w:rsidR="00E02A4E" w:rsidRDefault="00E02A4E" w:rsidP="00925831">
      <w:pPr>
        <w:tabs>
          <w:tab w:val="left" w:pos="0"/>
          <w:tab w:val="left" w:pos="709"/>
          <w:tab w:val="right" w:pos="8931"/>
        </w:tabs>
        <w:spacing w:line="360" w:lineRule="auto"/>
        <w:ind w:left="709"/>
        <w:jc w:val="both"/>
        <w:rPr>
          <w:rFonts w:ascii="Arial" w:hAnsi="Arial" w:cs="Arial"/>
          <w:color w:val="000000"/>
          <w:sz w:val="28"/>
          <w:szCs w:val="28"/>
        </w:rPr>
      </w:pPr>
      <w:r w:rsidRPr="00E02A4E">
        <w:rPr>
          <w:rFonts w:ascii="Arial" w:hAnsi="Arial" w:cs="Arial"/>
          <w:color w:val="000000"/>
          <w:sz w:val="28"/>
          <w:szCs w:val="28"/>
        </w:rPr>
        <w:t>In the initial phase of our pilot study, we will conduct a thorough literature review, which serves as the foundation for our research.</w:t>
      </w:r>
      <w:r w:rsidRPr="00E02A4E">
        <w:rPr>
          <w:rFonts w:ascii="Arial" w:hAnsi="Arial" w:cs="Arial"/>
          <w:color w:val="000000"/>
          <w:sz w:val="28"/>
          <w:szCs w:val="28"/>
        </w:rPr>
        <w:br/>
      </w:r>
      <w:r w:rsidRPr="00E02A4E">
        <w:rPr>
          <w:rFonts w:ascii="Arial" w:hAnsi="Arial" w:cs="Arial"/>
          <w:color w:val="000000"/>
          <w:sz w:val="28"/>
          <w:szCs w:val="28"/>
        </w:rPr>
        <w:br/>
        <w:t>Before the primary data collection from 400 listed companies, the pilot study will sample 25 listed companies selected randomly from various sectors. We will gather data from sources including ESG rating agencies, surveys, annual reports, ESG reports, and company announcements.</w:t>
      </w:r>
      <w:r w:rsidRPr="00E02A4E">
        <w:rPr>
          <w:rFonts w:ascii="Arial" w:hAnsi="Arial" w:cs="Arial"/>
          <w:color w:val="000000"/>
          <w:sz w:val="28"/>
          <w:szCs w:val="28"/>
        </w:rPr>
        <w:br/>
      </w:r>
      <w:r w:rsidRPr="00E02A4E">
        <w:rPr>
          <w:rFonts w:ascii="Arial" w:hAnsi="Arial" w:cs="Arial"/>
          <w:color w:val="000000"/>
          <w:sz w:val="28"/>
          <w:szCs w:val="28"/>
        </w:rPr>
        <w:br/>
        <w:t>This collected data will be used to evaluate Hypotheses 1A-1C, 2, and 3A-3C. Should the outcomes deviate from our expectations, we will reassess and determine whether adjustments to the hypotheses or the regression analysis are necessary.</w:t>
      </w:r>
    </w:p>
    <w:p w14:paraId="0DA4259B" w14:textId="77777777" w:rsidR="00E02A4E" w:rsidRDefault="00E02A4E" w:rsidP="00925831">
      <w:pPr>
        <w:tabs>
          <w:tab w:val="left" w:pos="0"/>
          <w:tab w:val="left" w:pos="709"/>
          <w:tab w:val="right" w:pos="8931"/>
        </w:tabs>
        <w:spacing w:line="360" w:lineRule="auto"/>
        <w:ind w:left="709"/>
        <w:jc w:val="both"/>
        <w:rPr>
          <w:rFonts w:ascii="Arial" w:hAnsi="Arial" w:cs="Arial"/>
          <w:color w:val="000000"/>
          <w:sz w:val="28"/>
          <w:szCs w:val="28"/>
        </w:rPr>
      </w:pPr>
      <w:r w:rsidRPr="00E02A4E">
        <w:rPr>
          <w:rFonts w:ascii="Arial" w:hAnsi="Arial" w:cs="Arial"/>
          <w:color w:val="000000"/>
          <w:sz w:val="28"/>
          <w:szCs w:val="28"/>
        </w:rPr>
        <w:br/>
        <w:t>At this stage, instead of conducting an extensive survey, we will organize focus group interviews with chief financial officers, directors, academic professors, and investors to gather their insights on ESG practices, and the relationship between ESG performance and corporate valuations.</w:t>
      </w:r>
    </w:p>
    <w:p w14:paraId="1931AC83" w14:textId="6D4360BB" w:rsidR="00E02A4E" w:rsidRDefault="00E02A4E" w:rsidP="00925831">
      <w:pPr>
        <w:tabs>
          <w:tab w:val="left" w:pos="0"/>
          <w:tab w:val="left" w:pos="709"/>
          <w:tab w:val="right" w:pos="8931"/>
        </w:tabs>
        <w:spacing w:line="360" w:lineRule="auto"/>
        <w:ind w:left="709"/>
        <w:jc w:val="both"/>
        <w:rPr>
          <w:rFonts w:ascii="Arial" w:hAnsi="Arial" w:cs="Arial"/>
          <w:color w:val="000000"/>
          <w:sz w:val="28"/>
          <w:szCs w:val="28"/>
        </w:rPr>
      </w:pPr>
      <w:r w:rsidRPr="00E02A4E">
        <w:rPr>
          <w:rFonts w:ascii="Arial" w:hAnsi="Arial" w:cs="Arial"/>
          <w:color w:val="000000"/>
          <w:sz w:val="28"/>
          <w:szCs w:val="28"/>
        </w:rPr>
        <w:br/>
        <w:t xml:space="preserve">Following this, we will </w:t>
      </w:r>
      <w:proofErr w:type="spellStart"/>
      <w:r w:rsidRPr="00E02A4E">
        <w:rPr>
          <w:rFonts w:ascii="Arial" w:hAnsi="Arial" w:cs="Arial"/>
          <w:color w:val="000000"/>
          <w:sz w:val="28"/>
          <w:szCs w:val="28"/>
        </w:rPr>
        <w:t>analyze</w:t>
      </w:r>
      <w:proofErr w:type="spellEnd"/>
      <w:r w:rsidRPr="00E02A4E">
        <w:rPr>
          <w:rFonts w:ascii="Arial" w:hAnsi="Arial" w:cs="Arial"/>
          <w:color w:val="000000"/>
          <w:sz w:val="28"/>
          <w:szCs w:val="28"/>
        </w:rPr>
        <w:t xml:space="preserve"> the results and consider whether to expand our data collection efforts. The pilot study is scheduled to last two months, positioned between the comprehensive literature review and the broad-scale data gathering.</w:t>
      </w:r>
    </w:p>
    <w:p w14:paraId="60FAB9A5" w14:textId="4C38DE6F" w:rsidR="00FC4B36" w:rsidRPr="00CF2C0E" w:rsidRDefault="00E02A4E" w:rsidP="00CF2C0E">
      <w:pPr>
        <w:tabs>
          <w:tab w:val="left" w:pos="0"/>
          <w:tab w:val="left" w:pos="709"/>
          <w:tab w:val="right" w:pos="8931"/>
        </w:tabs>
        <w:spacing w:line="360" w:lineRule="auto"/>
        <w:ind w:left="709"/>
        <w:jc w:val="both"/>
        <w:rPr>
          <w:rFonts w:ascii="Arial" w:hAnsi="Arial" w:cs="Arial"/>
          <w:color w:val="000000"/>
          <w:sz w:val="28"/>
          <w:szCs w:val="28"/>
        </w:rPr>
      </w:pPr>
      <w:r w:rsidRPr="00E02A4E">
        <w:rPr>
          <w:rFonts w:ascii="Arial" w:hAnsi="Arial" w:cs="Arial"/>
          <w:color w:val="000000"/>
          <w:sz w:val="28"/>
          <w:szCs w:val="28"/>
        </w:rPr>
        <w:br/>
        <w:t>This pilot study is designed to identify and rectify any issues prior to the main data collection, enhancing the study's feasibility and reliability.</w:t>
      </w:r>
      <w:r w:rsidR="00FC4B36">
        <w:rPr>
          <w:rFonts w:ascii="Arial" w:hAnsi="Arial" w:cs="Arial"/>
          <w:b/>
          <w:bCs/>
          <w:color w:val="000000"/>
          <w:sz w:val="28"/>
          <w:szCs w:val="28"/>
        </w:rPr>
        <w:br w:type="page"/>
      </w:r>
    </w:p>
    <w:p w14:paraId="736D2B4D" w14:textId="59CB2296" w:rsidR="00EB596A" w:rsidRPr="00DB3E05" w:rsidRDefault="00EB596A" w:rsidP="00EB596A">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3.</w:t>
      </w:r>
      <w:r w:rsidR="009D5EE8" w:rsidRPr="00DB3E05">
        <w:rPr>
          <w:rFonts w:ascii="Arial" w:hAnsi="Arial" w:cs="Arial"/>
          <w:b/>
          <w:bCs/>
          <w:color w:val="000000"/>
          <w:sz w:val="28"/>
          <w:szCs w:val="28"/>
        </w:rPr>
        <w:t>6</w:t>
      </w:r>
      <w:r w:rsidRPr="00DB3E05">
        <w:rPr>
          <w:rFonts w:ascii="Arial" w:hAnsi="Arial" w:cs="Arial"/>
          <w:b/>
          <w:bCs/>
          <w:color w:val="000000"/>
          <w:sz w:val="28"/>
          <w:szCs w:val="28"/>
        </w:rPr>
        <w:tab/>
        <w:t>Section Summary</w:t>
      </w:r>
      <w:r w:rsidRPr="00DB3E05">
        <w:rPr>
          <w:rFonts w:ascii="Arial" w:hAnsi="Arial" w:cs="Arial"/>
          <w:b/>
          <w:bCs/>
          <w:color w:val="000000"/>
          <w:sz w:val="28"/>
          <w:szCs w:val="28"/>
        </w:rPr>
        <w:tab/>
      </w:r>
    </w:p>
    <w:p w14:paraId="09AAC0E2" w14:textId="16B9D059" w:rsidR="00AF0EE5" w:rsidRPr="00DB3E05" w:rsidRDefault="00AF0EE5" w:rsidP="0060691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606910" w:rsidRPr="00DB3E05">
        <w:rPr>
          <w:rFonts w:ascii="Arial" w:hAnsi="Arial" w:cs="Arial"/>
          <w:color w:val="000000"/>
          <w:sz w:val="28"/>
          <w:szCs w:val="28"/>
        </w:rPr>
        <w:t xml:space="preserve">This section discusses the research design and research methodology by reference to research onion model.  The data collection and data analysis for research questions 1-3 are described in details followed by a pilot study plan. </w:t>
      </w:r>
    </w:p>
    <w:p w14:paraId="08EF7A6A" w14:textId="77777777" w:rsidR="00606910" w:rsidRPr="00DB3E05" w:rsidRDefault="00606910" w:rsidP="00606910">
      <w:pPr>
        <w:tabs>
          <w:tab w:val="left" w:pos="0"/>
          <w:tab w:val="left" w:pos="709"/>
          <w:tab w:val="right" w:pos="8931"/>
        </w:tabs>
        <w:spacing w:line="360" w:lineRule="auto"/>
        <w:ind w:left="709"/>
        <w:jc w:val="both"/>
        <w:rPr>
          <w:rFonts w:ascii="Arial" w:hAnsi="Arial" w:cs="Arial"/>
          <w:color w:val="000000"/>
          <w:sz w:val="28"/>
          <w:szCs w:val="28"/>
        </w:rPr>
      </w:pPr>
    </w:p>
    <w:p w14:paraId="26903FBC" w14:textId="4AF84ED6" w:rsidR="00EB596A" w:rsidRPr="00DB3E05" w:rsidRDefault="00606910" w:rsidP="0060691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The next section will discuss the research plan of work and time estimation for this study.</w:t>
      </w:r>
    </w:p>
    <w:p w14:paraId="1A3389E4" w14:textId="77777777" w:rsidR="0008537D" w:rsidRPr="00DB3E05" w:rsidRDefault="0008537D" w:rsidP="00463B1E">
      <w:pPr>
        <w:rPr>
          <w:rFonts w:ascii="Arial" w:hAnsi="Arial" w:cs="Arial"/>
          <w:sz w:val="28"/>
          <w:szCs w:val="28"/>
        </w:rPr>
      </w:pPr>
    </w:p>
    <w:p w14:paraId="08E85438" w14:textId="10160BE3" w:rsidR="00AE6BF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4.</w:t>
      </w:r>
      <w:r w:rsidRPr="00DB3E05">
        <w:rPr>
          <w:rFonts w:ascii="Arial" w:hAnsi="Arial" w:cs="Arial"/>
          <w:b/>
          <w:bCs/>
          <w:color w:val="000000"/>
          <w:sz w:val="28"/>
          <w:szCs w:val="28"/>
        </w:rPr>
        <w:tab/>
      </w:r>
      <w:r w:rsidR="00AE6BF9" w:rsidRPr="00DB3E05">
        <w:rPr>
          <w:rFonts w:ascii="Arial" w:hAnsi="Arial" w:cs="Arial"/>
          <w:b/>
          <w:bCs/>
          <w:color w:val="000000"/>
          <w:sz w:val="28"/>
          <w:szCs w:val="28"/>
          <w:u w:val="single"/>
        </w:rPr>
        <w:t>RESEARCH PLAN OF WORK AND TIME ESTIMATION</w:t>
      </w:r>
    </w:p>
    <w:tbl>
      <w:tblPr>
        <w:tblStyle w:val="TableGrid"/>
        <w:tblW w:w="8438" w:type="dxa"/>
        <w:tblInd w:w="562" w:type="dxa"/>
        <w:tblLook w:val="04A0" w:firstRow="1" w:lastRow="0" w:firstColumn="1" w:lastColumn="0" w:noHBand="0" w:noVBand="1"/>
      </w:tblPr>
      <w:tblGrid>
        <w:gridCol w:w="2127"/>
        <w:gridCol w:w="6311"/>
      </w:tblGrid>
      <w:tr w:rsidR="00A25F29" w:rsidRPr="00DB3E05" w14:paraId="725082EC" w14:textId="77777777" w:rsidTr="00AF0EE5">
        <w:tc>
          <w:tcPr>
            <w:tcW w:w="2127" w:type="dxa"/>
          </w:tcPr>
          <w:p w14:paraId="2BD96F68" w14:textId="77777777" w:rsidR="00A25F29" w:rsidRPr="00DB3E05" w:rsidRDefault="00A25F29" w:rsidP="00B27B66">
            <w:pPr>
              <w:pStyle w:val="ListParagraph"/>
              <w:spacing w:line="360" w:lineRule="auto"/>
              <w:ind w:left="0"/>
              <w:rPr>
                <w:rFonts w:ascii="Arial" w:hAnsi="Arial" w:cs="Arial"/>
                <w:b/>
                <w:bCs/>
                <w:color w:val="000000"/>
                <w:sz w:val="28"/>
                <w:szCs w:val="28"/>
              </w:rPr>
            </w:pPr>
            <w:r w:rsidRPr="00DB3E05">
              <w:rPr>
                <w:rFonts w:ascii="Arial" w:hAnsi="Arial" w:cs="Arial"/>
                <w:b/>
                <w:bCs/>
                <w:color w:val="000000"/>
                <w:sz w:val="28"/>
                <w:szCs w:val="28"/>
              </w:rPr>
              <w:t>Duration</w:t>
            </w:r>
          </w:p>
        </w:tc>
        <w:tc>
          <w:tcPr>
            <w:tcW w:w="6311" w:type="dxa"/>
          </w:tcPr>
          <w:p w14:paraId="4F93C099" w14:textId="77777777" w:rsidR="00A25F29" w:rsidRPr="00DB3E05" w:rsidRDefault="00A25F29" w:rsidP="00B27B66">
            <w:pPr>
              <w:pStyle w:val="ListParagraph"/>
              <w:spacing w:line="360" w:lineRule="auto"/>
              <w:ind w:left="0"/>
              <w:rPr>
                <w:rFonts w:ascii="Arial" w:hAnsi="Arial" w:cs="Arial"/>
                <w:b/>
                <w:bCs/>
                <w:color w:val="000000"/>
                <w:sz w:val="28"/>
                <w:szCs w:val="28"/>
              </w:rPr>
            </w:pPr>
            <w:r w:rsidRPr="00DB3E05">
              <w:rPr>
                <w:rFonts w:ascii="Arial" w:hAnsi="Arial" w:cs="Arial"/>
                <w:b/>
                <w:bCs/>
                <w:color w:val="000000"/>
                <w:sz w:val="28"/>
                <w:szCs w:val="28"/>
              </w:rPr>
              <w:t>Particulars</w:t>
            </w:r>
          </w:p>
        </w:tc>
      </w:tr>
      <w:tr w:rsidR="00A25F29" w:rsidRPr="00DB3E05" w14:paraId="63B33448" w14:textId="77777777" w:rsidTr="00AF0EE5">
        <w:tc>
          <w:tcPr>
            <w:tcW w:w="2127" w:type="dxa"/>
          </w:tcPr>
          <w:p w14:paraId="15BB93AB" w14:textId="47204C42"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1-</w:t>
            </w:r>
            <w:r w:rsidR="00E02A4E">
              <w:rPr>
                <w:rFonts w:ascii="Arial" w:hAnsi="Arial" w:cs="Arial"/>
                <w:color w:val="000000"/>
                <w:sz w:val="28"/>
                <w:szCs w:val="28"/>
              </w:rPr>
              <w:t>8</w:t>
            </w:r>
          </w:p>
        </w:tc>
        <w:tc>
          <w:tcPr>
            <w:tcW w:w="6311" w:type="dxa"/>
          </w:tcPr>
          <w:p w14:paraId="581CCB61" w14:textId="652DAB62" w:rsidR="00A25F29" w:rsidRPr="00DB3E05" w:rsidRDefault="00E02A4E" w:rsidP="00B27B66">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 xml:space="preserve">Undertake a thorough review of literature to </w:t>
            </w:r>
            <w:r w:rsidR="00A25F29" w:rsidRPr="00DB3E05">
              <w:rPr>
                <w:rFonts w:ascii="Arial" w:hAnsi="Arial" w:cs="Arial"/>
                <w:color w:val="000000"/>
                <w:sz w:val="28"/>
                <w:szCs w:val="28"/>
              </w:rPr>
              <w:t xml:space="preserve">corporate governance, </w:t>
            </w:r>
            <w:r w:rsidR="00627C1B" w:rsidRPr="00DB3E05">
              <w:rPr>
                <w:rFonts w:ascii="Arial" w:hAnsi="Arial" w:cs="Arial"/>
                <w:color w:val="000000"/>
                <w:sz w:val="28"/>
                <w:szCs w:val="28"/>
              </w:rPr>
              <w:t>ESG performance, ESG factors and</w:t>
            </w:r>
            <w:r w:rsidR="00937D3D" w:rsidRPr="00DB3E05">
              <w:rPr>
                <w:rFonts w:ascii="Arial" w:hAnsi="Arial" w:cs="Arial"/>
                <w:color w:val="000000"/>
                <w:sz w:val="28"/>
                <w:szCs w:val="28"/>
              </w:rPr>
              <w:t xml:space="preserve"> investment decision</w:t>
            </w:r>
            <w:r>
              <w:rPr>
                <w:rFonts w:ascii="Arial" w:hAnsi="Arial" w:cs="Arial"/>
                <w:color w:val="000000"/>
                <w:sz w:val="28"/>
                <w:szCs w:val="28"/>
              </w:rPr>
              <w:t>-making processes</w:t>
            </w:r>
          </w:p>
        </w:tc>
      </w:tr>
      <w:tr w:rsidR="00A25F29" w:rsidRPr="00DB3E05" w14:paraId="6338A743" w14:textId="77777777" w:rsidTr="00AF0EE5">
        <w:tc>
          <w:tcPr>
            <w:tcW w:w="2127" w:type="dxa"/>
          </w:tcPr>
          <w:p w14:paraId="6CE9AB82" w14:textId="4FF8E9FE"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 xml:space="preserve">Months </w:t>
            </w:r>
            <w:r w:rsidR="00E02A4E">
              <w:rPr>
                <w:rFonts w:ascii="Arial" w:hAnsi="Arial" w:cs="Arial"/>
                <w:color w:val="000000"/>
                <w:sz w:val="28"/>
                <w:szCs w:val="28"/>
              </w:rPr>
              <w:t>9</w:t>
            </w:r>
            <w:r w:rsidRPr="00DB3E05">
              <w:rPr>
                <w:rFonts w:ascii="Arial" w:hAnsi="Arial" w:cs="Arial"/>
                <w:color w:val="000000"/>
                <w:sz w:val="28"/>
                <w:szCs w:val="28"/>
              </w:rPr>
              <w:t>-1</w:t>
            </w:r>
            <w:r w:rsidR="00E02A4E">
              <w:rPr>
                <w:rFonts w:ascii="Arial" w:hAnsi="Arial" w:cs="Arial"/>
                <w:color w:val="000000"/>
                <w:sz w:val="28"/>
                <w:szCs w:val="28"/>
              </w:rPr>
              <w:t>0</w:t>
            </w:r>
          </w:p>
        </w:tc>
        <w:tc>
          <w:tcPr>
            <w:tcW w:w="6311" w:type="dxa"/>
          </w:tcPr>
          <w:p w14:paraId="5B659602" w14:textId="2D8B80A3" w:rsidR="00A25F29" w:rsidRPr="00DB3E05" w:rsidRDefault="00E02A4E" w:rsidP="00B27B66">
            <w:pPr>
              <w:spacing w:line="360" w:lineRule="auto"/>
              <w:ind w:left="39"/>
              <w:rPr>
                <w:rFonts w:ascii="Arial" w:hAnsi="Arial" w:cs="Arial"/>
                <w:color w:val="000000"/>
                <w:sz w:val="28"/>
                <w:szCs w:val="28"/>
              </w:rPr>
            </w:pPr>
            <w:r>
              <w:rPr>
                <w:rFonts w:ascii="Arial" w:hAnsi="Arial" w:cs="Arial"/>
                <w:color w:val="000000"/>
                <w:sz w:val="28"/>
                <w:szCs w:val="28"/>
              </w:rPr>
              <w:t>Execute the initial p</w:t>
            </w:r>
            <w:r w:rsidR="00A25F29" w:rsidRPr="00DB3E05">
              <w:rPr>
                <w:rFonts w:ascii="Arial" w:hAnsi="Arial" w:cs="Arial"/>
                <w:color w:val="000000"/>
                <w:sz w:val="28"/>
                <w:szCs w:val="28"/>
              </w:rPr>
              <w:t xml:space="preserve">ilot </w:t>
            </w:r>
            <w:r>
              <w:rPr>
                <w:rFonts w:ascii="Arial" w:hAnsi="Arial" w:cs="Arial"/>
                <w:color w:val="000000"/>
                <w:sz w:val="28"/>
                <w:szCs w:val="28"/>
              </w:rPr>
              <w:t>s</w:t>
            </w:r>
            <w:r w:rsidR="00A25F29" w:rsidRPr="00DB3E05">
              <w:rPr>
                <w:rFonts w:ascii="Arial" w:hAnsi="Arial" w:cs="Arial"/>
                <w:color w:val="000000"/>
                <w:sz w:val="28"/>
                <w:szCs w:val="28"/>
              </w:rPr>
              <w:t xml:space="preserve">tudy </w:t>
            </w:r>
            <w:r>
              <w:rPr>
                <w:rFonts w:ascii="Arial" w:hAnsi="Arial" w:cs="Arial"/>
                <w:color w:val="000000"/>
                <w:sz w:val="28"/>
                <w:szCs w:val="28"/>
              </w:rPr>
              <w:t>p</w:t>
            </w:r>
            <w:r w:rsidR="00A25F29" w:rsidRPr="00DB3E05">
              <w:rPr>
                <w:rFonts w:ascii="Arial" w:hAnsi="Arial" w:cs="Arial"/>
                <w:color w:val="000000"/>
                <w:sz w:val="28"/>
                <w:szCs w:val="28"/>
              </w:rPr>
              <w:t>lan</w:t>
            </w:r>
          </w:p>
        </w:tc>
      </w:tr>
      <w:tr w:rsidR="00A25F29" w:rsidRPr="00DB3E05" w14:paraId="4D07495C" w14:textId="77777777" w:rsidTr="00AF0EE5">
        <w:tc>
          <w:tcPr>
            <w:tcW w:w="2127" w:type="dxa"/>
          </w:tcPr>
          <w:p w14:paraId="0F759BB2" w14:textId="38AA742C"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1</w:t>
            </w:r>
            <w:r w:rsidR="00E02A4E">
              <w:rPr>
                <w:rFonts w:ascii="Arial" w:hAnsi="Arial" w:cs="Arial"/>
                <w:color w:val="000000"/>
                <w:sz w:val="28"/>
                <w:szCs w:val="28"/>
              </w:rPr>
              <w:t>1</w:t>
            </w:r>
            <w:r w:rsidRPr="00DB3E05">
              <w:rPr>
                <w:rFonts w:ascii="Arial" w:hAnsi="Arial" w:cs="Arial"/>
                <w:color w:val="000000"/>
                <w:sz w:val="28"/>
                <w:szCs w:val="28"/>
              </w:rPr>
              <w:t>-1</w:t>
            </w:r>
            <w:r w:rsidR="00E02A4E">
              <w:rPr>
                <w:rFonts w:ascii="Arial" w:hAnsi="Arial" w:cs="Arial"/>
                <w:color w:val="000000"/>
                <w:sz w:val="28"/>
                <w:szCs w:val="28"/>
              </w:rPr>
              <w:t>3</w:t>
            </w:r>
          </w:p>
        </w:tc>
        <w:tc>
          <w:tcPr>
            <w:tcW w:w="6311" w:type="dxa"/>
          </w:tcPr>
          <w:p w14:paraId="2DE2B3C9" w14:textId="73D44A83" w:rsidR="00A25F29" w:rsidRPr="00DB3E05" w:rsidRDefault="00E02A4E" w:rsidP="00B27B66">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Obtain d</w:t>
            </w:r>
            <w:r w:rsidR="00A25F29" w:rsidRPr="00DB3E05">
              <w:rPr>
                <w:rFonts w:ascii="Arial" w:hAnsi="Arial" w:cs="Arial"/>
                <w:color w:val="000000"/>
                <w:sz w:val="28"/>
                <w:szCs w:val="28"/>
              </w:rPr>
              <w:t xml:space="preserve">ata collection from </w:t>
            </w:r>
            <w:r>
              <w:rPr>
                <w:rFonts w:ascii="Arial" w:hAnsi="Arial" w:cs="Arial"/>
                <w:color w:val="000000"/>
                <w:sz w:val="28"/>
                <w:szCs w:val="28"/>
              </w:rPr>
              <w:t>market, regulators and</w:t>
            </w:r>
            <w:r w:rsidR="0008537D" w:rsidRPr="00DB3E05">
              <w:rPr>
                <w:rFonts w:ascii="Arial" w:hAnsi="Arial" w:cs="Arial"/>
                <w:color w:val="000000"/>
                <w:sz w:val="28"/>
                <w:szCs w:val="28"/>
              </w:rPr>
              <w:t xml:space="preserve"> </w:t>
            </w:r>
            <w:r w:rsidR="0066789C" w:rsidRPr="00DB3E05">
              <w:rPr>
                <w:rFonts w:ascii="Arial" w:hAnsi="Arial" w:cs="Arial"/>
                <w:color w:val="000000"/>
                <w:sz w:val="28"/>
                <w:szCs w:val="28"/>
              </w:rPr>
              <w:t xml:space="preserve">ESG rating </w:t>
            </w:r>
            <w:r>
              <w:rPr>
                <w:rFonts w:ascii="Arial" w:hAnsi="Arial" w:cs="Arial"/>
                <w:color w:val="000000"/>
                <w:sz w:val="28"/>
                <w:szCs w:val="28"/>
              </w:rPr>
              <w:t xml:space="preserve">organisations </w:t>
            </w:r>
            <w:r w:rsidR="0008537D" w:rsidRPr="00DB3E05">
              <w:rPr>
                <w:rFonts w:ascii="Arial" w:hAnsi="Arial" w:cs="Arial"/>
                <w:color w:val="000000"/>
                <w:sz w:val="28"/>
                <w:szCs w:val="28"/>
              </w:rPr>
              <w:t xml:space="preserve"> </w:t>
            </w:r>
          </w:p>
          <w:p w14:paraId="191172A4" w14:textId="0F61BA33" w:rsidR="00627C1B" w:rsidRPr="00DB3E05" w:rsidRDefault="00E02A4E" w:rsidP="00B27B66">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Acquire d</w:t>
            </w:r>
            <w:r w:rsidR="00627C1B" w:rsidRPr="00DB3E05">
              <w:rPr>
                <w:rFonts w:ascii="Arial" w:hAnsi="Arial" w:cs="Arial"/>
                <w:color w:val="000000"/>
                <w:sz w:val="28"/>
                <w:szCs w:val="28"/>
              </w:rPr>
              <w:t xml:space="preserve">ata collection for </w:t>
            </w:r>
            <w:r>
              <w:rPr>
                <w:rFonts w:ascii="Arial" w:hAnsi="Arial" w:cs="Arial"/>
                <w:color w:val="000000"/>
                <w:sz w:val="28"/>
                <w:szCs w:val="28"/>
              </w:rPr>
              <w:t xml:space="preserve">detailed </w:t>
            </w:r>
            <w:r w:rsidR="00627C1B" w:rsidRPr="00DB3E05">
              <w:rPr>
                <w:rFonts w:ascii="Arial" w:hAnsi="Arial" w:cs="Arial"/>
                <w:color w:val="000000"/>
                <w:sz w:val="28"/>
                <w:szCs w:val="28"/>
              </w:rPr>
              <w:t>case studies</w:t>
            </w:r>
          </w:p>
          <w:p w14:paraId="6D1801BB" w14:textId="591D4DB9" w:rsidR="00A25F29" w:rsidRPr="00DB3E05" w:rsidRDefault="00E02A4E" w:rsidP="00B27B66">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Perform initial data</w:t>
            </w:r>
            <w:r w:rsidR="00A25F29" w:rsidRPr="00DB3E05">
              <w:rPr>
                <w:rFonts w:ascii="Arial" w:hAnsi="Arial" w:cs="Arial"/>
                <w:color w:val="000000"/>
                <w:sz w:val="28"/>
                <w:szCs w:val="28"/>
              </w:rPr>
              <w:t xml:space="preserve"> analysis </w:t>
            </w:r>
          </w:p>
        </w:tc>
      </w:tr>
      <w:tr w:rsidR="00A25F29" w:rsidRPr="00DB3E05" w14:paraId="1C015FF6" w14:textId="77777777" w:rsidTr="00AF0EE5">
        <w:tc>
          <w:tcPr>
            <w:tcW w:w="2127" w:type="dxa"/>
          </w:tcPr>
          <w:p w14:paraId="2B9633F4" w14:textId="2C2391F8"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1</w:t>
            </w:r>
            <w:r w:rsidR="00E02A4E">
              <w:rPr>
                <w:rFonts w:ascii="Arial" w:hAnsi="Arial" w:cs="Arial"/>
                <w:color w:val="000000"/>
                <w:sz w:val="28"/>
                <w:szCs w:val="28"/>
              </w:rPr>
              <w:t>4</w:t>
            </w:r>
            <w:r w:rsidRPr="00DB3E05">
              <w:rPr>
                <w:rFonts w:ascii="Arial" w:hAnsi="Arial" w:cs="Arial"/>
                <w:color w:val="000000"/>
                <w:sz w:val="28"/>
                <w:szCs w:val="28"/>
              </w:rPr>
              <w:t>-</w:t>
            </w:r>
            <w:r w:rsidR="00E02A4E">
              <w:rPr>
                <w:rFonts w:ascii="Arial" w:hAnsi="Arial" w:cs="Arial"/>
                <w:color w:val="000000"/>
                <w:sz w:val="28"/>
                <w:szCs w:val="28"/>
              </w:rPr>
              <w:t>19</w:t>
            </w:r>
          </w:p>
        </w:tc>
        <w:tc>
          <w:tcPr>
            <w:tcW w:w="6311" w:type="dxa"/>
          </w:tcPr>
          <w:p w14:paraId="3C53CFD6" w14:textId="1DE1EB7F" w:rsidR="00A25F29" w:rsidRPr="00DB3E05" w:rsidRDefault="00E02A4E" w:rsidP="00B27B66">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 xml:space="preserve">Create and prepare </w:t>
            </w:r>
            <w:r w:rsidR="00A25F29" w:rsidRPr="00DB3E05">
              <w:rPr>
                <w:rFonts w:ascii="Arial" w:hAnsi="Arial" w:cs="Arial"/>
                <w:color w:val="000000"/>
                <w:sz w:val="28"/>
                <w:szCs w:val="28"/>
              </w:rPr>
              <w:t>interview questionnaires and survey</w:t>
            </w:r>
            <w:r>
              <w:rPr>
                <w:rFonts w:ascii="Arial" w:hAnsi="Arial" w:cs="Arial"/>
                <w:color w:val="000000"/>
                <w:sz w:val="28"/>
                <w:szCs w:val="28"/>
              </w:rPr>
              <w:t>s</w:t>
            </w:r>
          </w:p>
          <w:p w14:paraId="4C1E1D4C" w14:textId="4828AC20" w:rsidR="00627C1B" w:rsidRPr="00DB3E05" w:rsidRDefault="00E02A4E" w:rsidP="00627C1B">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 xml:space="preserve">Carryout the planned </w:t>
            </w:r>
            <w:r w:rsidR="00A25F29" w:rsidRPr="00DB3E05">
              <w:rPr>
                <w:rFonts w:ascii="Arial" w:hAnsi="Arial" w:cs="Arial"/>
                <w:color w:val="000000"/>
                <w:sz w:val="28"/>
                <w:szCs w:val="28"/>
              </w:rPr>
              <w:t>survey</w:t>
            </w:r>
          </w:p>
          <w:p w14:paraId="554A3C8A" w14:textId="6BBAE510"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 xml:space="preserve">Interview </w:t>
            </w:r>
            <w:r w:rsidR="00E02A4E">
              <w:rPr>
                <w:rFonts w:ascii="Arial" w:hAnsi="Arial" w:cs="Arial"/>
                <w:color w:val="000000"/>
                <w:sz w:val="28"/>
                <w:szCs w:val="28"/>
              </w:rPr>
              <w:t>a range of</w:t>
            </w:r>
            <w:r w:rsidRPr="00DB3E05">
              <w:rPr>
                <w:rFonts w:ascii="Arial" w:hAnsi="Arial" w:cs="Arial"/>
                <w:color w:val="000000"/>
                <w:sz w:val="28"/>
                <w:szCs w:val="28"/>
              </w:rPr>
              <w:t xml:space="preserve"> stakeholders, including but not limited to </w:t>
            </w:r>
            <w:r w:rsidR="00D44FF6" w:rsidRPr="00DB3E05">
              <w:rPr>
                <w:rFonts w:ascii="Arial" w:hAnsi="Arial" w:cs="Arial"/>
                <w:color w:val="000000"/>
                <w:sz w:val="28"/>
                <w:szCs w:val="28"/>
              </w:rPr>
              <w:t>directors</w:t>
            </w:r>
            <w:r w:rsidRPr="00DB3E05">
              <w:rPr>
                <w:rFonts w:ascii="Arial" w:hAnsi="Arial" w:cs="Arial"/>
                <w:color w:val="000000"/>
                <w:sz w:val="28"/>
                <w:szCs w:val="28"/>
              </w:rPr>
              <w:t xml:space="preserve">, company secretaries, </w:t>
            </w:r>
            <w:r w:rsidR="00E02A4E">
              <w:rPr>
                <w:rFonts w:ascii="Arial" w:hAnsi="Arial" w:cs="Arial"/>
                <w:color w:val="000000"/>
                <w:sz w:val="28"/>
                <w:szCs w:val="28"/>
              </w:rPr>
              <w:t xml:space="preserve">investors, other senior management </w:t>
            </w:r>
            <w:r w:rsidRPr="00DB3E05">
              <w:rPr>
                <w:rFonts w:ascii="Arial" w:hAnsi="Arial" w:cs="Arial"/>
                <w:color w:val="000000"/>
                <w:sz w:val="28"/>
                <w:szCs w:val="28"/>
              </w:rPr>
              <w:t>of listed companies in Hong Kong</w:t>
            </w:r>
          </w:p>
        </w:tc>
      </w:tr>
      <w:tr w:rsidR="00A25F29" w:rsidRPr="00DB3E05" w14:paraId="5DBB87FB" w14:textId="77777777" w:rsidTr="00AF0EE5">
        <w:tc>
          <w:tcPr>
            <w:tcW w:w="2127" w:type="dxa"/>
          </w:tcPr>
          <w:p w14:paraId="7BCB346F" w14:textId="55CD1442"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 xml:space="preserve">Months </w:t>
            </w:r>
            <w:r w:rsidR="00E02A4E">
              <w:rPr>
                <w:rFonts w:ascii="Arial" w:hAnsi="Arial" w:cs="Arial"/>
                <w:color w:val="000000"/>
                <w:sz w:val="28"/>
                <w:szCs w:val="28"/>
              </w:rPr>
              <w:t>20</w:t>
            </w:r>
            <w:r w:rsidRPr="00DB3E05">
              <w:rPr>
                <w:rFonts w:ascii="Arial" w:hAnsi="Arial" w:cs="Arial"/>
                <w:color w:val="000000"/>
                <w:sz w:val="28"/>
                <w:szCs w:val="28"/>
              </w:rPr>
              <w:t>-2</w:t>
            </w:r>
            <w:r w:rsidR="00E02A4E">
              <w:rPr>
                <w:rFonts w:ascii="Arial" w:hAnsi="Arial" w:cs="Arial"/>
                <w:color w:val="000000"/>
                <w:sz w:val="28"/>
                <w:szCs w:val="28"/>
              </w:rPr>
              <w:t>2</w:t>
            </w:r>
          </w:p>
        </w:tc>
        <w:tc>
          <w:tcPr>
            <w:tcW w:w="6311" w:type="dxa"/>
          </w:tcPr>
          <w:p w14:paraId="3DA77EE2" w14:textId="207EF936" w:rsidR="00A25F29" w:rsidRPr="00DB3E05" w:rsidRDefault="00E02A4E" w:rsidP="00B27B66">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Compose the research report</w:t>
            </w:r>
          </w:p>
        </w:tc>
      </w:tr>
      <w:tr w:rsidR="00A25F29" w:rsidRPr="00DB3E05" w14:paraId="78CFF48D" w14:textId="77777777" w:rsidTr="00AF0EE5">
        <w:tc>
          <w:tcPr>
            <w:tcW w:w="2127" w:type="dxa"/>
          </w:tcPr>
          <w:p w14:paraId="7E5C86E4" w14:textId="2678049E"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 xml:space="preserve">Month </w:t>
            </w:r>
            <w:r w:rsidR="00E02A4E">
              <w:rPr>
                <w:rFonts w:ascii="Arial" w:hAnsi="Arial" w:cs="Arial"/>
                <w:color w:val="000000"/>
                <w:sz w:val="28"/>
                <w:szCs w:val="28"/>
              </w:rPr>
              <w:t>23-</w:t>
            </w:r>
            <w:r w:rsidRPr="00DB3E05">
              <w:rPr>
                <w:rFonts w:ascii="Arial" w:hAnsi="Arial" w:cs="Arial"/>
                <w:color w:val="000000"/>
                <w:sz w:val="28"/>
                <w:szCs w:val="28"/>
              </w:rPr>
              <w:t>24</w:t>
            </w:r>
          </w:p>
        </w:tc>
        <w:tc>
          <w:tcPr>
            <w:tcW w:w="6311" w:type="dxa"/>
          </w:tcPr>
          <w:p w14:paraId="3EAFC972" w14:textId="489BDA3D" w:rsidR="00A25F29" w:rsidRPr="00DB3E05" w:rsidRDefault="00E02A4E" w:rsidP="00B27B66">
            <w:pPr>
              <w:pStyle w:val="ListParagraph"/>
              <w:numPr>
                <w:ilvl w:val="0"/>
                <w:numId w:val="1"/>
              </w:numPr>
              <w:spacing w:line="360" w:lineRule="auto"/>
              <w:ind w:left="0"/>
              <w:rPr>
                <w:rFonts w:ascii="Arial" w:hAnsi="Arial" w:cs="Arial"/>
                <w:color w:val="000000"/>
                <w:sz w:val="28"/>
                <w:szCs w:val="28"/>
              </w:rPr>
            </w:pPr>
            <w:r>
              <w:rPr>
                <w:rFonts w:ascii="Arial" w:hAnsi="Arial" w:cs="Arial"/>
                <w:color w:val="000000"/>
                <w:sz w:val="28"/>
                <w:szCs w:val="28"/>
              </w:rPr>
              <w:t>Edit and complete the final research submission</w:t>
            </w:r>
          </w:p>
        </w:tc>
      </w:tr>
    </w:tbl>
    <w:p w14:paraId="013BA1BD" w14:textId="77777777" w:rsidR="00A25F29" w:rsidRPr="00DB3E05" w:rsidRDefault="00A25F29" w:rsidP="00463B1E">
      <w:pPr>
        <w:rPr>
          <w:rFonts w:ascii="Arial" w:hAnsi="Arial" w:cs="Arial"/>
          <w:sz w:val="28"/>
          <w:szCs w:val="28"/>
        </w:rPr>
      </w:pPr>
    </w:p>
    <w:p w14:paraId="5BF299B3" w14:textId="77777777" w:rsidR="00463B1E" w:rsidRPr="00DB3E05" w:rsidRDefault="00463B1E" w:rsidP="00463B1E">
      <w:pPr>
        <w:rPr>
          <w:rFonts w:ascii="Arial" w:hAnsi="Arial" w:cs="Arial"/>
          <w:sz w:val="28"/>
          <w:szCs w:val="28"/>
        </w:rPr>
      </w:pPr>
    </w:p>
    <w:p w14:paraId="534FA41A" w14:textId="130CDF18" w:rsidR="00FC4B36" w:rsidRDefault="00FC4B36">
      <w:pPr>
        <w:rPr>
          <w:rFonts w:ascii="Arial" w:hAnsi="Arial" w:cs="Arial"/>
          <w:b/>
          <w:bCs/>
          <w:color w:val="000000"/>
          <w:sz w:val="28"/>
          <w:szCs w:val="28"/>
        </w:rPr>
      </w:pPr>
    </w:p>
    <w:p w14:paraId="502623E9" w14:textId="09A3DEB4" w:rsidR="00A25F2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5.</w:t>
      </w:r>
      <w:r w:rsidRPr="00DB3E05">
        <w:rPr>
          <w:rFonts w:ascii="Arial" w:hAnsi="Arial" w:cs="Arial"/>
          <w:b/>
          <w:bCs/>
          <w:color w:val="000000"/>
          <w:sz w:val="28"/>
          <w:szCs w:val="28"/>
        </w:rPr>
        <w:tab/>
      </w:r>
      <w:r w:rsidR="00E02A4E">
        <w:rPr>
          <w:rFonts w:ascii="Arial" w:hAnsi="Arial" w:cs="Arial"/>
          <w:b/>
          <w:bCs/>
          <w:color w:val="000000"/>
          <w:sz w:val="28"/>
          <w:szCs w:val="28"/>
          <w:u w:val="single"/>
        </w:rPr>
        <w:t>ANTICIPATED RESULTS</w:t>
      </w:r>
      <w:r w:rsidRPr="00DB3E05">
        <w:rPr>
          <w:rFonts w:ascii="Arial" w:hAnsi="Arial" w:cs="Arial"/>
          <w:b/>
          <w:bCs/>
          <w:color w:val="000000"/>
          <w:sz w:val="28"/>
          <w:szCs w:val="28"/>
        </w:rPr>
        <w:tab/>
      </w:r>
    </w:p>
    <w:p w14:paraId="7CAF32D2" w14:textId="07B24795" w:rsidR="00A25F29" w:rsidRPr="00DB3E05" w:rsidRDefault="00AE6BF9" w:rsidP="005022AA">
      <w:pPr>
        <w:pStyle w:val="ListParagraph"/>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The </w:t>
      </w:r>
      <w:r w:rsidR="00E02A4E">
        <w:rPr>
          <w:rFonts w:ascii="Arial" w:hAnsi="Arial" w:cs="Arial"/>
          <w:color w:val="000000"/>
          <w:sz w:val="28"/>
          <w:szCs w:val="28"/>
        </w:rPr>
        <w:t xml:space="preserve">anticipated results of </w:t>
      </w:r>
      <w:r w:rsidRPr="00DB3E05">
        <w:rPr>
          <w:rFonts w:ascii="Arial" w:hAnsi="Arial" w:cs="Arial"/>
          <w:color w:val="000000"/>
          <w:sz w:val="28"/>
          <w:szCs w:val="28"/>
        </w:rPr>
        <w:t>this rese</w:t>
      </w:r>
      <w:r w:rsidR="00BE3DB3" w:rsidRPr="00DB3E05">
        <w:rPr>
          <w:rFonts w:ascii="Arial" w:hAnsi="Arial" w:cs="Arial"/>
          <w:color w:val="000000"/>
          <w:sz w:val="28"/>
          <w:szCs w:val="28"/>
        </w:rPr>
        <w:t xml:space="preserve">arch </w:t>
      </w:r>
      <w:r w:rsidR="00E02A4E">
        <w:rPr>
          <w:rFonts w:ascii="Arial" w:hAnsi="Arial" w:cs="Arial"/>
          <w:color w:val="000000"/>
          <w:sz w:val="28"/>
          <w:szCs w:val="28"/>
        </w:rPr>
        <w:t xml:space="preserve">aim </w:t>
      </w:r>
      <w:r w:rsidR="00BE3DB3" w:rsidRPr="00DB3E05">
        <w:rPr>
          <w:rFonts w:ascii="Arial" w:hAnsi="Arial" w:cs="Arial"/>
          <w:color w:val="000000"/>
          <w:sz w:val="28"/>
          <w:szCs w:val="28"/>
        </w:rPr>
        <w:t xml:space="preserve">to provide </w:t>
      </w:r>
      <w:r w:rsidR="00F00221" w:rsidRPr="00DB3E05">
        <w:rPr>
          <w:rFonts w:ascii="Arial" w:hAnsi="Arial" w:cs="Arial"/>
          <w:color w:val="000000"/>
          <w:sz w:val="28"/>
          <w:szCs w:val="28"/>
        </w:rPr>
        <w:t>nomination committees of listed companies better understanding of characteristics of board members on ESG performance and explain the consultation of corporate governance issued by the Stock Exchange in June 2024</w:t>
      </w:r>
      <w:r w:rsidR="00647AAF" w:rsidRPr="00DB3E05">
        <w:rPr>
          <w:rFonts w:ascii="Arial" w:hAnsi="Arial" w:cs="Arial"/>
          <w:color w:val="000000"/>
          <w:sz w:val="28"/>
          <w:szCs w:val="28"/>
        </w:rPr>
        <w:t xml:space="preserve"> </w:t>
      </w:r>
      <w:r w:rsidR="00647AAF" w:rsidRPr="00DB3E05">
        <w:rPr>
          <w:rFonts w:ascii="Arial" w:hAnsi="Arial" w:cs="Arial"/>
          <w:color w:val="000000"/>
          <w:sz w:val="28"/>
          <w:szCs w:val="28"/>
        </w:rPr>
        <w:fldChar w:fldCharType="begin"/>
      </w:r>
      <w:r w:rsidR="00EF4A43">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sidR="00647AAF" w:rsidRPr="00DB3E05">
        <w:rPr>
          <w:rFonts w:ascii="Arial" w:hAnsi="Arial" w:cs="Arial"/>
          <w:color w:val="000000"/>
          <w:sz w:val="28"/>
          <w:szCs w:val="28"/>
        </w:rPr>
        <w:fldChar w:fldCharType="separate"/>
      </w:r>
      <w:r w:rsidR="00EF4A43">
        <w:rPr>
          <w:rFonts w:ascii="Arial" w:hAnsi="Arial" w:cs="Arial"/>
          <w:noProof/>
          <w:color w:val="000000"/>
          <w:sz w:val="28"/>
          <w:szCs w:val="28"/>
        </w:rPr>
        <w:t>(Exchange, 2024b)</w:t>
      </w:r>
      <w:r w:rsidR="00647AAF" w:rsidRPr="00DB3E05">
        <w:rPr>
          <w:rFonts w:ascii="Arial" w:hAnsi="Arial" w:cs="Arial"/>
          <w:color w:val="000000"/>
          <w:sz w:val="28"/>
          <w:szCs w:val="28"/>
        </w:rPr>
        <w:fldChar w:fldCharType="end"/>
      </w:r>
      <w:r w:rsidR="00F00221" w:rsidRPr="00DB3E05">
        <w:rPr>
          <w:rFonts w:ascii="Arial" w:hAnsi="Arial" w:cs="Arial"/>
          <w:color w:val="000000"/>
          <w:sz w:val="28"/>
          <w:szCs w:val="28"/>
        </w:rPr>
        <w:t xml:space="preserve">.  </w:t>
      </w:r>
      <w:r w:rsidR="005022AA" w:rsidRPr="00DB3E05">
        <w:rPr>
          <w:rFonts w:ascii="Arial" w:hAnsi="Arial" w:cs="Arial"/>
          <w:color w:val="000000"/>
          <w:sz w:val="28"/>
          <w:szCs w:val="28"/>
        </w:rPr>
        <w:t>Several</w:t>
      </w:r>
      <w:r w:rsidR="00F00221" w:rsidRPr="00DB3E05">
        <w:rPr>
          <w:rFonts w:ascii="Arial" w:hAnsi="Arial" w:cs="Arial"/>
          <w:color w:val="000000"/>
          <w:sz w:val="28"/>
          <w:szCs w:val="28"/>
        </w:rPr>
        <w:t xml:space="preserve"> characteristics of board members may have positive impact on ESG performance.</w:t>
      </w:r>
    </w:p>
    <w:p w14:paraId="22936726" w14:textId="77777777" w:rsidR="00F00221" w:rsidRPr="00DB3E05" w:rsidRDefault="00F00221" w:rsidP="005022AA">
      <w:pPr>
        <w:pStyle w:val="ListParagraph"/>
        <w:spacing w:line="360" w:lineRule="auto"/>
        <w:ind w:left="567"/>
        <w:jc w:val="both"/>
        <w:rPr>
          <w:rFonts w:ascii="Arial" w:hAnsi="Arial" w:cs="Arial"/>
          <w:color w:val="000000"/>
          <w:sz w:val="28"/>
          <w:szCs w:val="28"/>
        </w:rPr>
      </w:pPr>
    </w:p>
    <w:p w14:paraId="7F9EF3E6" w14:textId="6F8ABAD5" w:rsidR="00F00221" w:rsidRPr="00DB3E05" w:rsidRDefault="00F00221" w:rsidP="005022AA">
      <w:pPr>
        <w:pStyle w:val="ListParagraph"/>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Besides, ESG performance may have positive impact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and ESG factors may have impact on investment decision that the management may consider this in strategic frameworks of listed companies so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can be enhanced.  </w:t>
      </w:r>
    </w:p>
    <w:p w14:paraId="01D8FEAF" w14:textId="77777777" w:rsidR="00A25F29" w:rsidRPr="00DB3E05" w:rsidRDefault="00A25F29" w:rsidP="00A25F29">
      <w:pPr>
        <w:tabs>
          <w:tab w:val="left" w:pos="567"/>
          <w:tab w:val="left" w:pos="1276"/>
          <w:tab w:val="right" w:pos="8931"/>
        </w:tabs>
        <w:spacing w:line="360" w:lineRule="auto"/>
        <w:jc w:val="both"/>
        <w:rPr>
          <w:rFonts w:ascii="Arial" w:hAnsi="Arial" w:cs="Arial"/>
          <w:color w:val="000000"/>
          <w:sz w:val="28"/>
          <w:szCs w:val="28"/>
        </w:rPr>
      </w:pPr>
    </w:p>
    <w:p w14:paraId="623C8898" w14:textId="5AD683D7" w:rsidR="00A25F2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6.</w:t>
      </w:r>
      <w:r w:rsidRPr="00DB3E05">
        <w:rPr>
          <w:rFonts w:ascii="Arial" w:hAnsi="Arial" w:cs="Arial"/>
          <w:b/>
          <w:bCs/>
          <w:color w:val="000000"/>
          <w:sz w:val="28"/>
          <w:szCs w:val="28"/>
        </w:rPr>
        <w:tab/>
      </w:r>
      <w:r w:rsidR="00AE6BF9" w:rsidRPr="00DB3E05">
        <w:rPr>
          <w:rFonts w:ascii="Arial" w:hAnsi="Arial" w:cs="Arial"/>
          <w:b/>
          <w:bCs/>
          <w:color w:val="000000"/>
          <w:sz w:val="28"/>
          <w:szCs w:val="28"/>
          <w:u w:val="single"/>
        </w:rPr>
        <w:t>LIMITATION</w:t>
      </w:r>
      <w:r w:rsidRPr="00DB3E05">
        <w:rPr>
          <w:rFonts w:ascii="Arial" w:hAnsi="Arial" w:cs="Arial"/>
          <w:b/>
          <w:bCs/>
          <w:color w:val="000000"/>
          <w:sz w:val="28"/>
          <w:szCs w:val="28"/>
        </w:rPr>
        <w:tab/>
      </w:r>
    </w:p>
    <w:p w14:paraId="3A4CF4D6" w14:textId="67DCEE2C" w:rsidR="007A3AFE" w:rsidRPr="00DB3E05" w:rsidRDefault="007A3AFE" w:rsidP="007A3AFE">
      <w:pPr>
        <w:tabs>
          <w:tab w:val="left" w:pos="567"/>
          <w:tab w:val="left" w:pos="1276"/>
          <w:tab w:val="right" w:pos="8931"/>
        </w:tabs>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This research discuss how do characteristics of board members on ESG performance, how does ESG performance affect </w:t>
      </w:r>
      <w:r w:rsidR="008B6175">
        <w:rPr>
          <w:rFonts w:ascii="Arial" w:hAnsi="Arial" w:cs="Arial"/>
          <w:color w:val="000000"/>
          <w:sz w:val="28"/>
          <w:szCs w:val="28"/>
        </w:rPr>
        <w:t>corporate valuations</w:t>
      </w:r>
      <w:r w:rsidRPr="00DB3E05">
        <w:rPr>
          <w:rFonts w:ascii="Arial" w:hAnsi="Arial" w:cs="Arial"/>
          <w:color w:val="000000"/>
          <w:sz w:val="28"/>
          <w:szCs w:val="28"/>
        </w:rPr>
        <w:t xml:space="preserve"> and how does ESG factors affect investment decision. </w:t>
      </w:r>
    </w:p>
    <w:p w14:paraId="69CDEB62" w14:textId="77777777" w:rsidR="007A3AFE" w:rsidRPr="00DB3E05" w:rsidRDefault="007A3AFE" w:rsidP="007A3AFE">
      <w:pPr>
        <w:tabs>
          <w:tab w:val="left" w:pos="567"/>
          <w:tab w:val="left" w:pos="1276"/>
          <w:tab w:val="right" w:pos="8931"/>
        </w:tabs>
        <w:spacing w:line="360" w:lineRule="auto"/>
        <w:ind w:left="567"/>
        <w:jc w:val="both"/>
        <w:rPr>
          <w:rFonts w:ascii="Arial" w:hAnsi="Arial" w:cs="Arial"/>
          <w:color w:val="000000"/>
          <w:sz w:val="28"/>
          <w:szCs w:val="28"/>
        </w:rPr>
      </w:pPr>
    </w:p>
    <w:p w14:paraId="7E5826E4" w14:textId="53EDA5EA" w:rsidR="007A3AFE" w:rsidRPr="00DB3E05" w:rsidRDefault="007A3AFE" w:rsidP="007A3AFE">
      <w:pPr>
        <w:tabs>
          <w:tab w:val="left" w:pos="567"/>
          <w:tab w:val="left" w:pos="1276"/>
          <w:tab w:val="right" w:pos="8931"/>
        </w:tabs>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However, this research does not discuss the monitoring and integrity of ESG data and how do companies use AI in ESG reporting which may require further study. </w:t>
      </w:r>
    </w:p>
    <w:p w14:paraId="4305A337" w14:textId="77777777" w:rsidR="00F00221" w:rsidRPr="00DB3E05" w:rsidRDefault="00F00221" w:rsidP="00A25F29">
      <w:pPr>
        <w:tabs>
          <w:tab w:val="left" w:pos="567"/>
          <w:tab w:val="left" w:pos="1276"/>
          <w:tab w:val="right" w:pos="8931"/>
        </w:tabs>
        <w:spacing w:line="360" w:lineRule="auto"/>
        <w:jc w:val="both"/>
        <w:rPr>
          <w:rFonts w:ascii="Arial" w:hAnsi="Arial" w:cs="Arial"/>
          <w:color w:val="000000"/>
          <w:sz w:val="28"/>
          <w:szCs w:val="28"/>
        </w:rPr>
      </w:pPr>
    </w:p>
    <w:p w14:paraId="4159BF98" w14:textId="5F2E06C9" w:rsidR="000D261A" w:rsidRPr="00DB3E05" w:rsidRDefault="000D261A" w:rsidP="000D261A">
      <w:pPr>
        <w:tabs>
          <w:tab w:val="left" w:pos="567"/>
          <w:tab w:val="left" w:pos="1276"/>
          <w:tab w:val="right" w:pos="8931"/>
        </w:tabs>
        <w:spacing w:line="360" w:lineRule="auto"/>
        <w:ind w:left="567"/>
        <w:jc w:val="both"/>
        <w:rPr>
          <w:rFonts w:ascii="Arial" w:hAnsi="Arial" w:cs="Arial"/>
          <w:color w:val="000000"/>
          <w:sz w:val="28"/>
          <w:szCs w:val="28"/>
        </w:rPr>
      </w:pPr>
      <w:r w:rsidRPr="00DB3E05">
        <w:rPr>
          <w:rFonts w:ascii="Arial" w:hAnsi="Arial" w:cs="Arial"/>
          <w:color w:val="000000"/>
          <w:sz w:val="28"/>
          <w:szCs w:val="28"/>
        </w:rPr>
        <w:t>Since this research focuses on Hong Kong listed companies, the findings may not easily generalisable to companies in other countries.  Further studies in other jurisdiction may be required to fill this research gap.</w:t>
      </w:r>
    </w:p>
    <w:p w14:paraId="50B2C031" w14:textId="77777777" w:rsidR="000D261A" w:rsidRPr="00DB3E05" w:rsidRDefault="000D261A" w:rsidP="00A25F29">
      <w:pPr>
        <w:tabs>
          <w:tab w:val="left" w:pos="567"/>
          <w:tab w:val="left" w:pos="1276"/>
          <w:tab w:val="right" w:pos="8931"/>
        </w:tabs>
        <w:spacing w:line="360" w:lineRule="auto"/>
        <w:jc w:val="both"/>
        <w:rPr>
          <w:rFonts w:ascii="Arial" w:hAnsi="Arial" w:cs="Arial"/>
          <w:b/>
          <w:bCs/>
          <w:color w:val="000000"/>
          <w:sz w:val="28"/>
          <w:szCs w:val="28"/>
        </w:rPr>
      </w:pPr>
    </w:p>
    <w:p w14:paraId="7F1FDDCF"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47511F16" w14:textId="315759E1" w:rsidR="00A25F2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7.</w:t>
      </w:r>
      <w:r w:rsidRPr="00DB3E05">
        <w:rPr>
          <w:rFonts w:ascii="Arial" w:hAnsi="Arial" w:cs="Arial"/>
          <w:b/>
          <w:bCs/>
          <w:color w:val="000000"/>
          <w:sz w:val="28"/>
          <w:szCs w:val="28"/>
        </w:rPr>
        <w:tab/>
      </w:r>
      <w:r w:rsidRPr="00DB3E05">
        <w:rPr>
          <w:rFonts w:ascii="Arial" w:hAnsi="Arial" w:cs="Arial"/>
          <w:b/>
          <w:bCs/>
          <w:color w:val="000000"/>
          <w:sz w:val="28"/>
          <w:szCs w:val="28"/>
          <w:u w:val="single"/>
        </w:rPr>
        <w:t>C</w:t>
      </w:r>
      <w:r w:rsidR="00AE6BF9" w:rsidRPr="00DB3E05">
        <w:rPr>
          <w:rFonts w:ascii="Arial" w:hAnsi="Arial" w:cs="Arial"/>
          <w:b/>
          <w:bCs/>
          <w:color w:val="000000"/>
          <w:sz w:val="28"/>
          <w:szCs w:val="28"/>
          <w:u w:val="single"/>
        </w:rPr>
        <w:t>ONCLUSION</w:t>
      </w:r>
      <w:r w:rsidRPr="00DB3E05">
        <w:rPr>
          <w:rFonts w:ascii="Arial" w:hAnsi="Arial" w:cs="Arial"/>
          <w:b/>
          <w:bCs/>
          <w:color w:val="000000"/>
          <w:sz w:val="28"/>
          <w:szCs w:val="28"/>
        </w:rPr>
        <w:tab/>
      </w:r>
    </w:p>
    <w:p w14:paraId="4FAE51E6" w14:textId="0F23B056" w:rsidR="00463B1E" w:rsidRPr="00DB3E05" w:rsidRDefault="00A25F29" w:rsidP="005022AA">
      <w:pPr>
        <w:pStyle w:val="ListParagraph"/>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This research </w:t>
      </w:r>
      <w:r w:rsidR="00F00221" w:rsidRPr="00DB3E05">
        <w:rPr>
          <w:rFonts w:ascii="Arial" w:hAnsi="Arial" w:cs="Arial"/>
          <w:color w:val="000000"/>
          <w:sz w:val="28"/>
          <w:szCs w:val="28"/>
        </w:rPr>
        <w:t xml:space="preserve">analyses the impact of board characteristic on ESG performance, explain the relationship between ESG performance and </w:t>
      </w:r>
      <w:r w:rsidR="008B6175">
        <w:rPr>
          <w:rFonts w:ascii="Arial" w:hAnsi="Arial" w:cs="Arial"/>
          <w:color w:val="000000"/>
          <w:sz w:val="28"/>
          <w:szCs w:val="28"/>
        </w:rPr>
        <w:t>corporate valuations</w:t>
      </w:r>
      <w:r w:rsidR="00F00221" w:rsidRPr="00DB3E05">
        <w:rPr>
          <w:rFonts w:ascii="Arial" w:hAnsi="Arial" w:cs="Arial"/>
          <w:color w:val="000000"/>
          <w:sz w:val="28"/>
          <w:szCs w:val="28"/>
        </w:rPr>
        <w:t xml:space="preserve"> and how ESG factors affect investment decision.  </w:t>
      </w:r>
      <w:r w:rsidRPr="00DB3E05">
        <w:rPr>
          <w:rFonts w:ascii="Arial" w:hAnsi="Arial" w:cs="Arial"/>
          <w:color w:val="000000"/>
          <w:sz w:val="28"/>
          <w:szCs w:val="28"/>
        </w:rPr>
        <w:t xml:space="preserve">The findings will </w:t>
      </w:r>
      <w:r w:rsidR="005022AA" w:rsidRPr="00DB3E05">
        <w:rPr>
          <w:rFonts w:ascii="Arial" w:hAnsi="Arial" w:cs="Arial"/>
          <w:color w:val="000000"/>
          <w:sz w:val="28"/>
          <w:szCs w:val="28"/>
        </w:rPr>
        <w:t xml:space="preserve">provide practical insights </w:t>
      </w:r>
      <w:r w:rsidR="00A502AD" w:rsidRPr="00DB3E05">
        <w:rPr>
          <w:rFonts w:ascii="Arial" w:hAnsi="Arial" w:cs="Arial"/>
          <w:color w:val="000000"/>
          <w:sz w:val="28"/>
          <w:szCs w:val="28"/>
        </w:rPr>
        <w:t>for listed companies, regulators, and policymakers, facilitating the development of an ESG framework that adheres to international best practices while accommodating the distinctive characteristics of corporate landscape in Hong Kong</w:t>
      </w:r>
      <w:r w:rsidRPr="00DB3E05">
        <w:rPr>
          <w:rFonts w:ascii="Arial" w:hAnsi="Arial" w:cs="Arial"/>
          <w:color w:val="000000"/>
          <w:sz w:val="28"/>
          <w:szCs w:val="28"/>
        </w:rPr>
        <w:t>.</w:t>
      </w:r>
    </w:p>
    <w:p w14:paraId="0C32F478" w14:textId="77777777" w:rsidR="00A25F29" w:rsidRPr="00DB3E05" w:rsidRDefault="00A25F29" w:rsidP="00463B1E">
      <w:pPr>
        <w:rPr>
          <w:rFonts w:ascii="Arial" w:hAnsi="Arial" w:cs="Arial"/>
          <w:sz w:val="28"/>
          <w:szCs w:val="28"/>
        </w:rPr>
      </w:pPr>
    </w:p>
    <w:p w14:paraId="187EB659" w14:textId="77777777" w:rsidR="00A25F29" w:rsidRPr="00DB3E05" w:rsidRDefault="00A25F29" w:rsidP="00463B1E">
      <w:pPr>
        <w:rPr>
          <w:rFonts w:ascii="Arial" w:hAnsi="Arial" w:cs="Arial"/>
          <w:sz w:val="28"/>
          <w:szCs w:val="28"/>
        </w:rPr>
      </w:pPr>
    </w:p>
    <w:p w14:paraId="16F1605E" w14:textId="1C9A5130" w:rsidR="0096404F" w:rsidRPr="00DB3E05" w:rsidRDefault="0008537D" w:rsidP="0096404F">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8</w:t>
      </w:r>
      <w:r w:rsidR="0096404F" w:rsidRPr="00DB3E05">
        <w:rPr>
          <w:rFonts w:ascii="Arial" w:hAnsi="Arial" w:cs="Arial"/>
          <w:b/>
          <w:bCs/>
          <w:color w:val="000000"/>
          <w:sz w:val="28"/>
          <w:szCs w:val="28"/>
        </w:rPr>
        <w:t>.</w:t>
      </w:r>
      <w:r w:rsidR="0096404F" w:rsidRPr="00DB3E05">
        <w:rPr>
          <w:rFonts w:ascii="Arial" w:hAnsi="Arial" w:cs="Arial"/>
          <w:b/>
          <w:bCs/>
          <w:color w:val="000000"/>
          <w:sz w:val="28"/>
          <w:szCs w:val="28"/>
        </w:rPr>
        <w:tab/>
      </w:r>
      <w:r w:rsidR="0096404F" w:rsidRPr="00DB3E05">
        <w:rPr>
          <w:rFonts w:ascii="Arial" w:hAnsi="Arial" w:cs="Arial"/>
          <w:b/>
          <w:bCs/>
          <w:color w:val="000000"/>
          <w:sz w:val="28"/>
          <w:szCs w:val="28"/>
          <w:u w:val="single"/>
        </w:rPr>
        <w:t>BIBLOGRAPHY</w:t>
      </w:r>
    </w:p>
    <w:p w14:paraId="76108B79" w14:textId="00ACCAF6" w:rsidR="00A36DE1" w:rsidRPr="00DB3E05" w:rsidRDefault="00A36DE1" w:rsidP="005C4F78">
      <w:pPr>
        <w:pStyle w:val="EndNoteBibliography"/>
        <w:ind w:left="1276" w:hanging="567"/>
        <w:rPr>
          <w:rFonts w:ascii="Arial" w:hAnsi="Arial" w:cs="Arial"/>
          <w:color w:val="000000"/>
          <w:sz w:val="28"/>
          <w:szCs w:val="28"/>
        </w:rPr>
      </w:pPr>
    </w:p>
    <w:p w14:paraId="0B59CB03" w14:textId="77777777" w:rsidR="00C355D3" w:rsidRPr="00C355D3" w:rsidRDefault="00BA4F04" w:rsidP="00372458">
      <w:pPr>
        <w:pStyle w:val="EndNoteBibliography"/>
        <w:numPr>
          <w:ilvl w:val="0"/>
          <w:numId w:val="22"/>
        </w:numPr>
        <w:rPr>
          <w:noProof/>
        </w:rPr>
      </w:pPr>
      <w:r w:rsidRPr="00DB3E05">
        <w:rPr>
          <w:rFonts w:ascii="Arial" w:hAnsi="Arial" w:cs="Arial"/>
          <w:sz w:val="28"/>
          <w:szCs w:val="28"/>
        </w:rPr>
        <w:fldChar w:fldCharType="begin"/>
      </w:r>
      <w:r w:rsidRPr="00DB3E05">
        <w:rPr>
          <w:rFonts w:ascii="Arial" w:hAnsi="Arial" w:cs="Arial"/>
          <w:sz w:val="28"/>
          <w:szCs w:val="28"/>
        </w:rPr>
        <w:instrText xml:space="preserve"> ADDIN EN.REFLIST </w:instrText>
      </w:r>
      <w:r w:rsidRPr="00DB3E05">
        <w:rPr>
          <w:rFonts w:ascii="Arial" w:hAnsi="Arial" w:cs="Arial"/>
          <w:sz w:val="28"/>
          <w:szCs w:val="28"/>
        </w:rPr>
        <w:fldChar w:fldCharType="separate"/>
      </w:r>
      <w:r w:rsidR="00C355D3" w:rsidRPr="00C355D3">
        <w:rPr>
          <w:noProof/>
        </w:rPr>
        <w:t xml:space="preserve">2013. ESG Reporting Guide. </w:t>
      </w:r>
      <w:r w:rsidR="00C355D3" w:rsidRPr="00C355D3">
        <w:rPr>
          <w:i/>
          <w:noProof/>
        </w:rPr>
        <w:t>In:</w:t>
      </w:r>
      <w:r w:rsidR="00C355D3" w:rsidRPr="00C355D3">
        <w:rPr>
          <w:noProof/>
        </w:rPr>
        <w:t xml:space="preserve"> LIMITED, T. S. E. O. H. K. (ed.) January 2013 ed.</w:t>
      </w:r>
    </w:p>
    <w:p w14:paraId="0A1B124D" w14:textId="77777777" w:rsidR="00C355D3" w:rsidRPr="00C355D3" w:rsidRDefault="00C355D3" w:rsidP="00372458">
      <w:pPr>
        <w:pStyle w:val="EndNoteBibliography"/>
        <w:numPr>
          <w:ilvl w:val="0"/>
          <w:numId w:val="22"/>
        </w:numPr>
        <w:rPr>
          <w:noProof/>
        </w:rPr>
      </w:pPr>
      <w:r w:rsidRPr="00C355D3">
        <w:rPr>
          <w:noProof/>
        </w:rPr>
        <w:t xml:space="preserve">BRAHMA, S., NWAFOR, C. &amp; BOATENG, A. 2021. Board gender diversity and firm performance: The UK evidence. </w:t>
      </w:r>
      <w:r w:rsidRPr="00C355D3">
        <w:rPr>
          <w:i/>
          <w:noProof/>
        </w:rPr>
        <w:t>International Journal of Finance &amp; Economics,</w:t>
      </w:r>
      <w:r w:rsidRPr="00C355D3">
        <w:rPr>
          <w:noProof/>
        </w:rPr>
        <w:t xml:space="preserve"> 26</w:t>
      </w:r>
      <w:r w:rsidRPr="00C355D3">
        <w:rPr>
          <w:b/>
          <w:noProof/>
        </w:rPr>
        <w:t>,</w:t>
      </w:r>
      <w:r w:rsidRPr="00C355D3">
        <w:rPr>
          <w:noProof/>
        </w:rPr>
        <w:t xml:space="preserve"> 5704-5719.</w:t>
      </w:r>
    </w:p>
    <w:p w14:paraId="6EA1C74C" w14:textId="77777777" w:rsidR="00C355D3" w:rsidRPr="00C355D3" w:rsidRDefault="00C355D3" w:rsidP="00372458">
      <w:pPr>
        <w:pStyle w:val="EndNoteBibliography"/>
        <w:numPr>
          <w:ilvl w:val="0"/>
          <w:numId w:val="22"/>
        </w:numPr>
        <w:rPr>
          <w:noProof/>
        </w:rPr>
      </w:pPr>
      <w:r w:rsidRPr="00C355D3">
        <w:rPr>
          <w:noProof/>
        </w:rPr>
        <w:t xml:space="preserve">CARNINI PULINO, S., CIABURRI, M., MAGNANELLI, B. S. &amp; NASTA, L. 2022. Does ESG disclosure influence firm performance? </w:t>
      </w:r>
      <w:r w:rsidRPr="00C355D3">
        <w:rPr>
          <w:i/>
          <w:noProof/>
        </w:rPr>
        <w:t>Sustainability,</w:t>
      </w:r>
      <w:r w:rsidRPr="00C355D3">
        <w:rPr>
          <w:noProof/>
        </w:rPr>
        <w:t xml:space="preserve"> 14</w:t>
      </w:r>
      <w:r w:rsidRPr="00C355D3">
        <w:rPr>
          <w:b/>
          <w:noProof/>
        </w:rPr>
        <w:t>,</w:t>
      </w:r>
      <w:r w:rsidRPr="00C355D3">
        <w:rPr>
          <w:noProof/>
        </w:rPr>
        <w:t xml:space="preserve"> 7595.</w:t>
      </w:r>
    </w:p>
    <w:p w14:paraId="1C4053C3" w14:textId="77777777" w:rsidR="00C355D3" w:rsidRPr="00C355D3" w:rsidRDefault="00C355D3" w:rsidP="00372458">
      <w:pPr>
        <w:pStyle w:val="EndNoteBibliography"/>
        <w:numPr>
          <w:ilvl w:val="0"/>
          <w:numId w:val="22"/>
        </w:numPr>
        <w:rPr>
          <w:noProof/>
        </w:rPr>
      </w:pPr>
      <w:r w:rsidRPr="00C355D3">
        <w:rPr>
          <w:noProof/>
        </w:rPr>
        <w:t xml:space="preserve">CASHMAN, G. D., GILLAN, S. L. &amp; JUN, C. 2012. Going overboard? On busy directors and firm value. </w:t>
      </w:r>
      <w:r w:rsidRPr="00C355D3">
        <w:rPr>
          <w:i/>
          <w:noProof/>
        </w:rPr>
        <w:t>Journal of banking &amp; finance,</w:t>
      </w:r>
      <w:r w:rsidRPr="00C355D3">
        <w:rPr>
          <w:noProof/>
        </w:rPr>
        <w:t xml:space="preserve"> 36</w:t>
      </w:r>
      <w:r w:rsidRPr="00C355D3">
        <w:rPr>
          <w:b/>
          <w:noProof/>
        </w:rPr>
        <w:t>,</w:t>
      </w:r>
      <w:r w:rsidRPr="00C355D3">
        <w:rPr>
          <w:noProof/>
        </w:rPr>
        <w:t xml:space="preserve"> 3248-3259.</w:t>
      </w:r>
    </w:p>
    <w:p w14:paraId="4AD91F76" w14:textId="77777777" w:rsidR="00C355D3" w:rsidRPr="00C355D3" w:rsidRDefault="00C355D3" w:rsidP="00372458">
      <w:pPr>
        <w:pStyle w:val="EndNoteBibliography"/>
        <w:numPr>
          <w:ilvl w:val="0"/>
          <w:numId w:val="22"/>
        </w:numPr>
        <w:rPr>
          <w:noProof/>
        </w:rPr>
      </w:pPr>
      <w:r w:rsidRPr="00C355D3">
        <w:rPr>
          <w:noProof/>
        </w:rPr>
        <w:t xml:space="preserve">CHEN, Z. &amp; XIE, G. 2022. ESG disclosure and financial performance: Moderating role of ESG investors. </w:t>
      </w:r>
      <w:r w:rsidRPr="00C355D3">
        <w:rPr>
          <w:i/>
          <w:noProof/>
        </w:rPr>
        <w:t>International Review of Financial Analysis,</w:t>
      </w:r>
      <w:r w:rsidRPr="00C355D3">
        <w:rPr>
          <w:noProof/>
        </w:rPr>
        <w:t xml:space="preserve"> 83</w:t>
      </w:r>
      <w:r w:rsidRPr="00C355D3">
        <w:rPr>
          <w:b/>
          <w:noProof/>
        </w:rPr>
        <w:t>,</w:t>
      </w:r>
      <w:r w:rsidRPr="00C355D3">
        <w:rPr>
          <w:noProof/>
        </w:rPr>
        <w:t xml:space="preserve"> 102291.</w:t>
      </w:r>
    </w:p>
    <w:p w14:paraId="186DCB3C" w14:textId="77777777" w:rsidR="00C355D3" w:rsidRPr="00C355D3" w:rsidRDefault="00C355D3" w:rsidP="00372458">
      <w:pPr>
        <w:pStyle w:val="EndNoteBibliography"/>
        <w:numPr>
          <w:ilvl w:val="0"/>
          <w:numId w:val="22"/>
        </w:numPr>
        <w:rPr>
          <w:noProof/>
        </w:rPr>
      </w:pPr>
      <w:r w:rsidRPr="00C355D3">
        <w:rPr>
          <w:noProof/>
        </w:rPr>
        <w:t xml:space="preserve">CHO, M.-H. 1998. Ownership structure, investment, and the corporate value: an empirical analysis. </w:t>
      </w:r>
      <w:r w:rsidRPr="00C355D3">
        <w:rPr>
          <w:i/>
          <w:noProof/>
        </w:rPr>
        <w:t>Journal of financial economics,</w:t>
      </w:r>
      <w:r w:rsidRPr="00C355D3">
        <w:rPr>
          <w:noProof/>
        </w:rPr>
        <w:t xml:space="preserve"> 47</w:t>
      </w:r>
      <w:r w:rsidRPr="00C355D3">
        <w:rPr>
          <w:b/>
          <w:noProof/>
        </w:rPr>
        <w:t>,</w:t>
      </w:r>
      <w:r w:rsidRPr="00C355D3">
        <w:rPr>
          <w:noProof/>
        </w:rPr>
        <w:t xml:space="preserve"> 103-121.</w:t>
      </w:r>
    </w:p>
    <w:p w14:paraId="5FCA3723" w14:textId="77777777" w:rsidR="00C355D3" w:rsidRPr="00C355D3" w:rsidRDefault="00C355D3" w:rsidP="00372458">
      <w:pPr>
        <w:pStyle w:val="EndNoteBibliography"/>
        <w:numPr>
          <w:ilvl w:val="0"/>
          <w:numId w:val="22"/>
        </w:numPr>
        <w:rPr>
          <w:noProof/>
        </w:rPr>
      </w:pPr>
      <w:r w:rsidRPr="00C355D3">
        <w:rPr>
          <w:noProof/>
        </w:rPr>
        <w:t xml:space="preserve">COHEN, S., KADACH, I., ORMAZABAL, G. &amp; REICHELSTEIN, S. 2023. Executive compensation tied to ESG performance: International evidence. </w:t>
      </w:r>
      <w:r w:rsidRPr="00C355D3">
        <w:rPr>
          <w:i/>
          <w:noProof/>
        </w:rPr>
        <w:t>Journal of Accounting Research,</w:t>
      </w:r>
      <w:r w:rsidRPr="00C355D3">
        <w:rPr>
          <w:noProof/>
        </w:rPr>
        <w:t xml:space="preserve"> 61</w:t>
      </w:r>
      <w:r w:rsidRPr="00C355D3">
        <w:rPr>
          <w:b/>
          <w:noProof/>
        </w:rPr>
        <w:t>,</w:t>
      </w:r>
      <w:r w:rsidRPr="00C355D3">
        <w:rPr>
          <w:noProof/>
        </w:rPr>
        <w:t xml:space="preserve"> 805-853.</w:t>
      </w:r>
    </w:p>
    <w:p w14:paraId="0BFA16F2" w14:textId="77777777" w:rsidR="00C355D3" w:rsidRPr="00C355D3" w:rsidRDefault="00C355D3" w:rsidP="00372458">
      <w:pPr>
        <w:pStyle w:val="EndNoteBibliography"/>
        <w:numPr>
          <w:ilvl w:val="0"/>
          <w:numId w:val="22"/>
        </w:numPr>
        <w:rPr>
          <w:noProof/>
        </w:rPr>
      </w:pPr>
      <w:r w:rsidRPr="00C355D3">
        <w:rPr>
          <w:noProof/>
        </w:rPr>
        <w:t xml:space="preserve">DASGUPTA, R. 2022. Financial performance shortfall, ESG controversies, and ESG performance: Evidence from firms around the world. </w:t>
      </w:r>
      <w:r w:rsidRPr="00C355D3">
        <w:rPr>
          <w:i/>
          <w:noProof/>
        </w:rPr>
        <w:t>Finance Research Letters,</w:t>
      </w:r>
      <w:r w:rsidRPr="00C355D3">
        <w:rPr>
          <w:noProof/>
        </w:rPr>
        <w:t xml:space="preserve"> 46</w:t>
      </w:r>
      <w:r w:rsidRPr="00C355D3">
        <w:rPr>
          <w:b/>
          <w:noProof/>
        </w:rPr>
        <w:t>,</w:t>
      </w:r>
      <w:r w:rsidRPr="00C355D3">
        <w:rPr>
          <w:noProof/>
        </w:rPr>
        <w:t xml:space="preserve"> 102487.</w:t>
      </w:r>
    </w:p>
    <w:p w14:paraId="4DF90697" w14:textId="77777777" w:rsidR="00C355D3" w:rsidRPr="00C355D3" w:rsidRDefault="00C355D3" w:rsidP="00372458">
      <w:pPr>
        <w:pStyle w:val="EndNoteBibliography"/>
        <w:numPr>
          <w:ilvl w:val="0"/>
          <w:numId w:val="22"/>
        </w:numPr>
        <w:rPr>
          <w:noProof/>
        </w:rPr>
      </w:pPr>
      <w:r w:rsidRPr="00C355D3">
        <w:rPr>
          <w:noProof/>
        </w:rPr>
        <w:t xml:space="preserve">DINCă, M. S., VEZETEU, C.-D. &amp; DINCă, D. 2022. The relationship between ESG and firm value. Case study of the automotive industry. </w:t>
      </w:r>
      <w:r w:rsidRPr="00C355D3">
        <w:rPr>
          <w:i/>
          <w:noProof/>
        </w:rPr>
        <w:t>Frontiers in Environmental Science,</w:t>
      </w:r>
      <w:r w:rsidRPr="00C355D3">
        <w:rPr>
          <w:noProof/>
        </w:rPr>
        <w:t xml:space="preserve"> 10</w:t>
      </w:r>
      <w:r w:rsidRPr="00C355D3">
        <w:rPr>
          <w:b/>
          <w:noProof/>
        </w:rPr>
        <w:t>,</w:t>
      </w:r>
      <w:r w:rsidRPr="00C355D3">
        <w:rPr>
          <w:noProof/>
        </w:rPr>
        <w:t xml:space="preserve"> 1059906.</w:t>
      </w:r>
    </w:p>
    <w:p w14:paraId="46E6C8AA" w14:textId="77777777" w:rsidR="00C355D3" w:rsidRPr="00C355D3" w:rsidRDefault="00C355D3" w:rsidP="00372458">
      <w:pPr>
        <w:pStyle w:val="EndNoteBibliography"/>
        <w:numPr>
          <w:ilvl w:val="0"/>
          <w:numId w:val="22"/>
        </w:numPr>
        <w:rPr>
          <w:noProof/>
        </w:rPr>
      </w:pPr>
      <w:r w:rsidRPr="00C355D3">
        <w:rPr>
          <w:noProof/>
        </w:rPr>
        <w:t>EXCHANGE 2015. Consultation conclusions - Review of the environment, social and governance reporting guide. December 2015 ed.: The Stock Exchange of Hong Kong Limited.</w:t>
      </w:r>
    </w:p>
    <w:p w14:paraId="1A8C8161" w14:textId="77777777" w:rsidR="00C355D3" w:rsidRPr="00C355D3" w:rsidRDefault="00C355D3" w:rsidP="00372458">
      <w:pPr>
        <w:pStyle w:val="EndNoteBibliography"/>
        <w:numPr>
          <w:ilvl w:val="0"/>
          <w:numId w:val="22"/>
        </w:numPr>
        <w:rPr>
          <w:noProof/>
        </w:rPr>
      </w:pPr>
      <w:r w:rsidRPr="00C355D3">
        <w:rPr>
          <w:noProof/>
        </w:rPr>
        <w:t>EXCHANGE 2019. ESG GUIDE CONSULTATION CONCLUSIONS AND ITS ESG DISCLOSURE REVIEW FINDINGS. December 2019 ed.: The Stock Exchange of Hong Kong Limited.</w:t>
      </w:r>
    </w:p>
    <w:p w14:paraId="53497EB8" w14:textId="77777777" w:rsidR="00C355D3" w:rsidRPr="00C355D3" w:rsidRDefault="00C355D3" w:rsidP="00372458">
      <w:pPr>
        <w:pStyle w:val="EndNoteBibliography"/>
        <w:numPr>
          <w:ilvl w:val="0"/>
          <w:numId w:val="22"/>
        </w:numPr>
        <w:rPr>
          <w:noProof/>
        </w:rPr>
      </w:pPr>
      <w:r w:rsidRPr="00C355D3">
        <w:rPr>
          <w:noProof/>
        </w:rPr>
        <w:t>EXCHANGE 2024a. Board Diversity &amp; Inclusion in Focus.</w:t>
      </w:r>
    </w:p>
    <w:p w14:paraId="5972DA66" w14:textId="77777777" w:rsidR="00C355D3" w:rsidRPr="00C355D3" w:rsidRDefault="00C355D3" w:rsidP="00372458">
      <w:pPr>
        <w:pStyle w:val="EndNoteBibliography"/>
        <w:numPr>
          <w:ilvl w:val="0"/>
          <w:numId w:val="22"/>
        </w:numPr>
        <w:rPr>
          <w:noProof/>
        </w:rPr>
      </w:pPr>
      <w:r w:rsidRPr="00C355D3">
        <w:rPr>
          <w:noProof/>
        </w:rPr>
        <w:t>EXCHANGE 2024b. Consultation Paper on Review of Corporate Governance Code and Related Listing Rules.</w:t>
      </w:r>
    </w:p>
    <w:p w14:paraId="5207D385" w14:textId="77777777" w:rsidR="00C355D3" w:rsidRPr="00C355D3" w:rsidRDefault="00C355D3" w:rsidP="00372458">
      <w:pPr>
        <w:pStyle w:val="EndNoteBibliography"/>
        <w:numPr>
          <w:ilvl w:val="0"/>
          <w:numId w:val="22"/>
        </w:numPr>
        <w:rPr>
          <w:noProof/>
        </w:rPr>
      </w:pPr>
      <w:r w:rsidRPr="00C355D3">
        <w:rPr>
          <w:noProof/>
        </w:rPr>
        <w:t>EXCHANGE 2024c. Hong Kong and Mainland Market Highlights.</w:t>
      </w:r>
    </w:p>
    <w:p w14:paraId="718E2C92" w14:textId="77777777" w:rsidR="00C355D3" w:rsidRPr="00C355D3" w:rsidRDefault="00C355D3" w:rsidP="00372458">
      <w:pPr>
        <w:pStyle w:val="EndNoteBibliography"/>
        <w:numPr>
          <w:ilvl w:val="0"/>
          <w:numId w:val="22"/>
        </w:numPr>
        <w:rPr>
          <w:noProof/>
        </w:rPr>
      </w:pPr>
      <w:r w:rsidRPr="00C355D3">
        <w:rPr>
          <w:noProof/>
        </w:rPr>
        <w:t>EXCHANGE 2024d. Implementation Guidance for Climate Disclosures under HKEX ESG reporting framework.</w:t>
      </w:r>
    </w:p>
    <w:p w14:paraId="71C56000" w14:textId="77777777" w:rsidR="00C355D3" w:rsidRPr="00C355D3" w:rsidRDefault="00C355D3" w:rsidP="00372458">
      <w:pPr>
        <w:pStyle w:val="EndNoteBibliography"/>
        <w:numPr>
          <w:ilvl w:val="0"/>
          <w:numId w:val="22"/>
        </w:numPr>
        <w:rPr>
          <w:noProof/>
        </w:rPr>
      </w:pPr>
      <w:r w:rsidRPr="00C355D3">
        <w:rPr>
          <w:noProof/>
        </w:rPr>
        <w:lastRenderedPageBreak/>
        <w:t>FREEMAN, R. E., HARRISON, J. S., WICKS, A. C., PARMAR, B. L. &amp; DE COLLE, S. 2010. Stakeholder theory: The state of the art.</w:t>
      </w:r>
    </w:p>
    <w:p w14:paraId="07A6283A" w14:textId="77777777" w:rsidR="00C355D3" w:rsidRPr="00C355D3" w:rsidRDefault="00C355D3" w:rsidP="00372458">
      <w:pPr>
        <w:pStyle w:val="EndNoteBibliography"/>
        <w:numPr>
          <w:ilvl w:val="0"/>
          <w:numId w:val="22"/>
        </w:numPr>
        <w:rPr>
          <w:noProof/>
        </w:rPr>
      </w:pPr>
      <w:r w:rsidRPr="00C355D3">
        <w:rPr>
          <w:noProof/>
        </w:rPr>
        <w:t>HKICPA 2023a. Best Corporate Governance and ESG Awards 2023 Judges’ Report.</w:t>
      </w:r>
    </w:p>
    <w:p w14:paraId="233B2E5A" w14:textId="77777777" w:rsidR="00C355D3" w:rsidRPr="00C355D3" w:rsidRDefault="00C355D3" w:rsidP="00372458">
      <w:pPr>
        <w:pStyle w:val="EndNoteBibliography"/>
        <w:numPr>
          <w:ilvl w:val="0"/>
          <w:numId w:val="22"/>
        </w:numPr>
        <w:rPr>
          <w:noProof/>
        </w:rPr>
      </w:pPr>
      <w:r w:rsidRPr="00C355D3">
        <w:rPr>
          <w:noProof/>
        </w:rPr>
        <w:t>HKICPA 2023b. HKICPA’s submission on the HKEX’s consultation on climate-related disclosures.</w:t>
      </w:r>
    </w:p>
    <w:p w14:paraId="6FACE563" w14:textId="77777777" w:rsidR="00C355D3" w:rsidRPr="00C355D3" w:rsidRDefault="00C355D3" w:rsidP="00372458">
      <w:pPr>
        <w:pStyle w:val="EndNoteBibliography"/>
        <w:numPr>
          <w:ilvl w:val="0"/>
          <w:numId w:val="22"/>
        </w:numPr>
        <w:rPr>
          <w:noProof/>
        </w:rPr>
      </w:pPr>
      <w:r w:rsidRPr="00C355D3">
        <w:rPr>
          <w:noProof/>
        </w:rPr>
        <w:t xml:space="preserve">ISAEVA, N., BACHMANN, R., BRISTOW, A. &amp; SAUNDERS, M. N. 2015. Why the epistemologies of trust researchers matter. </w:t>
      </w:r>
      <w:r w:rsidRPr="00C355D3">
        <w:rPr>
          <w:i/>
          <w:noProof/>
        </w:rPr>
        <w:t>Journal of Trust Research,</w:t>
      </w:r>
      <w:r w:rsidRPr="00C355D3">
        <w:rPr>
          <w:noProof/>
        </w:rPr>
        <w:t xml:space="preserve"> 5</w:t>
      </w:r>
      <w:r w:rsidRPr="00C355D3">
        <w:rPr>
          <w:b/>
          <w:noProof/>
        </w:rPr>
        <w:t>,</w:t>
      </w:r>
      <w:r w:rsidRPr="00C355D3">
        <w:rPr>
          <w:noProof/>
        </w:rPr>
        <w:t xml:space="preserve"> 153-169.</w:t>
      </w:r>
    </w:p>
    <w:p w14:paraId="16394339" w14:textId="77777777" w:rsidR="00C355D3" w:rsidRPr="00C355D3" w:rsidRDefault="00C355D3" w:rsidP="00372458">
      <w:pPr>
        <w:pStyle w:val="EndNoteBibliography"/>
        <w:numPr>
          <w:ilvl w:val="0"/>
          <w:numId w:val="22"/>
        </w:numPr>
        <w:rPr>
          <w:noProof/>
        </w:rPr>
      </w:pPr>
      <w:r w:rsidRPr="00C355D3">
        <w:rPr>
          <w:noProof/>
        </w:rPr>
        <w:t xml:space="preserve">JOHNSON, R. B. &amp; CHRISTENSEN, L. 2019. </w:t>
      </w:r>
      <w:r w:rsidRPr="00C355D3">
        <w:rPr>
          <w:i/>
          <w:noProof/>
        </w:rPr>
        <w:t>Educational research: Quantitative, qualitative, and mixed approaches</w:t>
      </w:r>
      <w:r w:rsidRPr="00C355D3">
        <w:rPr>
          <w:noProof/>
        </w:rPr>
        <w:t>, Sage publications.</w:t>
      </w:r>
    </w:p>
    <w:p w14:paraId="530F53D8" w14:textId="77777777" w:rsidR="00C355D3" w:rsidRPr="00C355D3" w:rsidRDefault="00C355D3" w:rsidP="00372458">
      <w:pPr>
        <w:pStyle w:val="EndNoteBibliography"/>
        <w:numPr>
          <w:ilvl w:val="0"/>
          <w:numId w:val="22"/>
        </w:numPr>
        <w:rPr>
          <w:noProof/>
        </w:rPr>
      </w:pPr>
      <w:r w:rsidRPr="00C355D3">
        <w:rPr>
          <w:noProof/>
        </w:rPr>
        <w:t xml:space="preserve">JONSDOTTIR, B., SIGURJONSSON, T. O., JOHANNSDOTTIR, L. &amp; WENDT, S. 2022. Barriers to using ESG data for investment decisions. </w:t>
      </w:r>
      <w:r w:rsidRPr="00C355D3">
        <w:rPr>
          <w:i/>
          <w:noProof/>
        </w:rPr>
        <w:t>Sustainability,</w:t>
      </w:r>
      <w:r w:rsidRPr="00C355D3">
        <w:rPr>
          <w:noProof/>
        </w:rPr>
        <w:t xml:space="preserve"> 14</w:t>
      </w:r>
      <w:r w:rsidRPr="00C355D3">
        <w:rPr>
          <w:b/>
          <w:noProof/>
        </w:rPr>
        <w:t>,</w:t>
      </w:r>
      <w:r w:rsidRPr="00C355D3">
        <w:rPr>
          <w:noProof/>
        </w:rPr>
        <w:t xml:space="preserve"> 5157.</w:t>
      </w:r>
    </w:p>
    <w:p w14:paraId="1BD896A0" w14:textId="77777777" w:rsidR="00C355D3" w:rsidRPr="00C355D3" w:rsidRDefault="00C355D3" w:rsidP="00372458">
      <w:pPr>
        <w:pStyle w:val="EndNoteBibliography"/>
        <w:numPr>
          <w:ilvl w:val="0"/>
          <w:numId w:val="22"/>
        </w:numPr>
        <w:rPr>
          <w:noProof/>
        </w:rPr>
      </w:pPr>
      <w:r w:rsidRPr="00C355D3">
        <w:rPr>
          <w:noProof/>
        </w:rPr>
        <w:t xml:space="preserve">LEUNG, K. Y. F. 2024. </w:t>
      </w:r>
      <w:r w:rsidRPr="00C355D3">
        <w:rPr>
          <w:i/>
          <w:noProof/>
        </w:rPr>
        <w:t>A Study of the Relationships between Listed Companies' Environmental, Social and Governance (ESG) Reporting, Company Value and Investment Risk in Hong Kong.</w:t>
      </w:r>
      <w:r w:rsidRPr="00C355D3">
        <w:rPr>
          <w:noProof/>
        </w:rPr>
        <w:t xml:space="preserve"> University of Wales Trinity Saint David.</w:t>
      </w:r>
    </w:p>
    <w:p w14:paraId="54C0C659" w14:textId="77777777" w:rsidR="00C355D3" w:rsidRPr="00C355D3" w:rsidRDefault="00C355D3" w:rsidP="00372458">
      <w:pPr>
        <w:pStyle w:val="EndNoteBibliography"/>
        <w:numPr>
          <w:ilvl w:val="0"/>
          <w:numId w:val="22"/>
        </w:numPr>
        <w:rPr>
          <w:noProof/>
        </w:rPr>
      </w:pPr>
      <w:r w:rsidRPr="00C355D3">
        <w:rPr>
          <w:noProof/>
        </w:rPr>
        <w:t xml:space="preserve">MEIDEN, C. &amp; SILABAN, A. 2023. Exploring the Measurement of Environmental Performance in Alignment with Environmental, Social, and Governance (ESG): A Qualitative Study Exploring the Measurement of Environmental Performance in Alignment with Environmental, Social, and Governance (ESG): A Qualitative Study. </w:t>
      </w:r>
      <w:r w:rsidRPr="00C355D3">
        <w:rPr>
          <w:i/>
          <w:noProof/>
        </w:rPr>
        <w:t>Information Sciences Letters,</w:t>
      </w:r>
      <w:r w:rsidRPr="00C355D3">
        <w:rPr>
          <w:noProof/>
        </w:rPr>
        <w:t xml:space="preserve"> 12</w:t>
      </w:r>
      <w:r w:rsidRPr="00C355D3">
        <w:rPr>
          <w:b/>
          <w:noProof/>
        </w:rPr>
        <w:t>,</w:t>
      </w:r>
      <w:r w:rsidRPr="00C355D3">
        <w:rPr>
          <w:noProof/>
        </w:rPr>
        <w:t xml:space="preserve"> 2287-2297.</w:t>
      </w:r>
    </w:p>
    <w:p w14:paraId="3C54BE1B" w14:textId="77777777" w:rsidR="00C355D3" w:rsidRPr="00C355D3" w:rsidRDefault="00C355D3" w:rsidP="00372458">
      <w:pPr>
        <w:pStyle w:val="EndNoteBibliography"/>
        <w:numPr>
          <w:ilvl w:val="0"/>
          <w:numId w:val="22"/>
        </w:numPr>
        <w:rPr>
          <w:noProof/>
        </w:rPr>
      </w:pPr>
      <w:r w:rsidRPr="00C355D3">
        <w:rPr>
          <w:noProof/>
        </w:rPr>
        <w:t xml:space="preserve">MELNIKOVAS, A. 2018. Towards an Explicit Research Methodology: Adapting Research Onion Model for Futures Studies. </w:t>
      </w:r>
      <w:r w:rsidRPr="00C355D3">
        <w:rPr>
          <w:i/>
          <w:noProof/>
        </w:rPr>
        <w:t>Journal of futures Studies,</w:t>
      </w:r>
      <w:r w:rsidRPr="00C355D3">
        <w:rPr>
          <w:noProof/>
        </w:rPr>
        <w:t xml:space="preserve"> 23.</w:t>
      </w:r>
    </w:p>
    <w:p w14:paraId="4FB0DF06" w14:textId="77777777" w:rsidR="00C355D3" w:rsidRPr="00C355D3" w:rsidRDefault="00C355D3" w:rsidP="00372458">
      <w:pPr>
        <w:pStyle w:val="EndNoteBibliography"/>
        <w:numPr>
          <w:ilvl w:val="0"/>
          <w:numId w:val="22"/>
        </w:numPr>
        <w:rPr>
          <w:noProof/>
        </w:rPr>
      </w:pPr>
      <w:r w:rsidRPr="00C355D3">
        <w:rPr>
          <w:noProof/>
        </w:rPr>
        <w:t xml:space="preserve">NAVEED, M., SOHAIL, M. K., ABDIN, S. Z., AWAIS, M. &amp; BATOOL, N. 2020. Role of ESG disclosure in determining asset allocation decision: An individual investor perspective. </w:t>
      </w:r>
      <w:r w:rsidRPr="00C355D3">
        <w:rPr>
          <w:i/>
          <w:noProof/>
        </w:rPr>
        <w:t>Paradigms,</w:t>
      </w:r>
      <w:r w:rsidRPr="00C355D3">
        <w:rPr>
          <w:noProof/>
        </w:rPr>
        <w:t xml:space="preserve"> 14</w:t>
      </w:r>
      <w:r w:rsidRPr="00C355D3">
        <w:rPr>
          <w:b/>
          <w:noProof/>
        </w:rPr>
        <w:t>,</w:t>
      </w:r>
      <w:r w:rsidRPr="00C355D3">
        <w:rPr>
          <w:noProof/>
        </w:rPr>
        <w:t xml:space="preserve"> 157-165.</w:t>
      </w:r>
    </w:p>
    <w:p w14:paraId="04082639" w14:textId="77777777" w:rsidR="00C355D3" w:rsidRPr="00C355D3" w:rsidRDefault="00C355D3" w:rsidP="00372458">
      <w:pPr>
        <w:pStyle w:val="EndNoteBibliography"/>
        <w:numPr>
          <w:ilvl w:val="0"/>
          <w:numId w:val="22"/>
        </w:numPr>
        <w:rPr>
          <w:noProof/>
        </w:rPr>
      </w:pPr>
      <w:r w:rsidRPr="00C355D3">
        <w:rPr>
          <w:noProof/>
        </w:rPr>
        <w:t xml:space="preserve">OLIVER YéBENES, M. 2024. Climate change, ESG criteria and recent regulation: challenges and opportunities. </w:t>
      </w:r>
      <w:r w:rsidRPr="00C355D3">
        <w:rPr>
          <w:i/>
          <w:noProof/>
        </w:rPr>
        <w:t>Eurasian Economic Review,</w:t>
      </w:r>
      <w:r w:rsidRPr="00C355D3">
        <w:rPr>
          <w:noProof/>
        </w:rPr>
        <w:t xml:space="preserve"> 14</w:t>
      </w:r>
      <w:r w:rsidRPr="00C355D3">
        <w:rPr>
          <w:b/>
          <w:noProof/>
        </w:rPr>
        <w:t>,</w:t>
      </w:r>
      <w:r w:rsidRPr="00C355D3">
        <w:rPr>
          <w:noProof/>
        </w:rPr>
        <w:t xml:space="preserve"> 87-120.</w:t>
      </w:r>
    </w:p>
    <w:p w14:paraId="52F17990" w14:textId="77777777" w:rsidR="00C355D3" w:rsidRPr="00C355D3" w:rsidRDefault="00C355D3" w:rsidP="00372458">
      <w:pPr>
        <w:pStyle w:val="EndNoteBibliography"/>
        <w:numPr>
          <w:ilvl w:val="0"/>
          <w:numId w:val="22"/>
        </w:numPr>
        <w:rPr>
          <w:noProof/>
        </w:rPr>
      </w:pPr>
      <w:r w:rsidRPr="00C355D3">
        <w:rPr>
          <w:noProof/>
        </w:rPr>
        <w:t xml:space="preserve">SAUNDERS, M., LEWIS, P. &amp; THORNHILL, A. 2019. </w:t>
      </w:r>
      <w:r w:rsidRPr="00C355D3">
        <w:rPr>
          <w:i/>
          <w:noProof/>
        </w:rPr>
        <w:t>Research methods for business students</w:t>
      </w:r>
      <w:r w:rsidRPr="00C355D3">
        <w:rPr>
          <w:noProof/>
        </w:rPr>
        <w:t>, Pearson education.</w:t>
      </w:r>
    </w:p>
    <w:p w14:paraId="41960CAA" w14:textId="77777777" w:rsidR="00C355D3" w:rsidRPr="00C355D3" w:rsidRDefault="00C355D3" w:rsidP="00372458">
      <w:pPr>
        <w:pStyle w:val="EndNoteBibliography"/>
        <w:numPr>
          <w:ilvl w:val="0"/>
          <w:numId w:val="22"/>
        </w:numPr>
        <w:rPr>
          <w:noProof/>
        </w:rPr>
      </w:pPr>
      <w:r w:rsidRPr="00C355D3">
        <w:rPr>
          <w:noProof/>
        </w:rPr>
        <w:t>SFC 2019. Circular to management companies of SFC-authorized unit trusts and mutual funds Green or ESG funds.</w:t>
      </w:r>
    </w:p>
    <w:p w14:paraId="088E301B" w14:textId="77777777" w:rsidR="00C355D3" w:rsidRPr="00C355D3" w:rsidRDefault="00C355D3" w:rsidP="00372458">
      <w:pPr>
        <w:pStyle w:val="EndNoteBibliography"/>
        <w:numPr>
          <w:ilvl w:val="0"/>
          <w:numId w:val="22"/>
        </w:numPr>
        <w:rPr>
          <w:noProof/>
        </w:rPr>
      </w:pPr>
      <w:r w:rsidRPr="00C355D3">
        <w:rPr>
          <w:noProof/>
        </w:rPr>
        <w:t xml:space="preserve">SULTANA, S., ZULKIFLI, N. &amp; ZAINAL, D. 2018. Environmental, social and governance (ESG) and investment decision in Bangladesh. </w:t>
      </w:r>
      <w:r w:rsidRPr="00C355D3">
        <w:rPr>
          <w:i/>
          <w:noProof/>
        </w:rPr>
        <w:t>Sustainability,</w:t>
      </w:r>
      <w:r w:rsidRPr="00C355D3">
        <w:rPr>
          <w:noProof/>
        </w:rPr>
        <w:t xml:space="preserve"> 10</w:t>
      </w:r>
      <w:r w:rsidRPr="00C355D3">
        <w:rPr>
          <w:b/>
          <w:noProof/>
        </w:rPr>
        <w:t>,</w:t>
      </w:r>
      <w:r w:rsidRPr="00C355D3">
        <w:rPr>
          <w:noProof/>
        </w:rPr>
        <w:t xml:space="preserve"> 1831.</w:t>
      </w:r>
    </w:p>
    <w:p w14:paraId="6CBD7F26" w14:textId="77777777" w:rsidR="00C355D3" w:rsidRPr="00C355D3" w:rsidRDefault="00C355D3" w:rsidP="00372458">
      <w:pPr>
        <w:pStyle w:val="EndNoteBibliography"/>
        <w:numPr>
          <w:ilvl w:val="0"/>
          <w:numId w:val="22"/>
        </w:numPr>
        <w:rPr>
          <w:i/>
          <w:noProof/>
        </w:rPr>
      </w:pPr>
      <w:r w:rsidRPr="00C355D3">
        <w:rPr>
          <w:noProof/>
        </w:rPr>
        <w:t xml:space="preserve">SUVANTO, L. 2023. </w:t>
      </w:r>
      <w:r w:rsidRPr="00C355D3">
        <w:rPr>
          <w:i/>
          <w:noProof/>
        </w:rPr>
        <w:t>ESG stock performance in Europe: Do high ESG score-rated stocks by Refinitiv outperform low ESG score-rated stocks in Europe?</w:t>
      </w:r>
    </w:p>
    <w:p w14:paraId="541880E2" w14:textId="77777777" w:rsidR="00C355D3" w:rsidRPr="00C355D3" w:rsidRDefault="00C355D3" w:rsidP="00372458">
      <w:pPr>
        <w:pStyle w:val="EndNoteBibliography"/>
        <w:numPr>
          <w:ilvl w:val="0"/>
          <w:numId w:val="22"/>
        </w:numPr>
        <w:rPr>
          <w:noProof/>
        </w:rPr>
      </w:pPr>
      <w:r w:rsidRPr="00C355D3">
        <w:rPr>
          <w:noProof/>
        </w:rPr>
        <w:t xml:space="preserve">TING, I. W. K., WANG, W.-K., LU, W.-M. &amp; CHEN, Y.-J. 2021. Do female directors will have impact on corporate performance? </w:t>
      </w:r>
      <w:r w:rsidRPr="00C355D3">
        <w:rPr>
          <w:i/>
          <w:noProof/>
        </w:rPr>
        <w:t>Review of Managerial Science,</w:t>
      </w:r>
      <w:r w:rsidRPr="00C355D3">
        <w:rPr>
          <w:noProof/>
        </w:rPr>
        <w:t xml:space="preserve"> 15</w:t>
      </w:r>
      <w:r w:rsidRPr="00C355D3">
        <w:rPr>
          <w:b/>
          <w:noProof/>
        </w:rPr>
        <w:t>,</w:t>
      </w:r>
      <w:r w:rsidRPr="00C355D3">
        <w:rPr>
          <w:noProof/>
        </w:rPr>
        <w:t xml:space="preserve"> 611-631.</w:t>
      </w:r>
    </w:p>
    <w:p w14:paraId="090C9252" w14:textId="77777777" w:rsidR="00C355D3" w:rsidRPr="00C355D3" w:rsidRDefault="00C355D3" w:rsidP="00372458">
      <w:pPr>
        <w:pStyle w:val="EndNoteBibliography"/>
        <w:numPr>
          <w:ilvl w:val="0"/>
          <w:numId w:val="22"/>
        </w:numPr>
        <w:rPr>
          <w:noProof/>
        </w:rPr>
      </w:pPr>
      <w:r w:rsidRPr="00C355D3">
        <w:rPr>
          <w:noProof/>
        </w:rPr>
        <w:t xml:space="preserve">ZHOU, G., LIU, L. &amp; LUO, S. 2022. Sustainable development, ESG performance and company market value: Mediating effect of financial performance. </w:t>
      </w:r>
      <w:r w:rsidRPr="00C355D3">
        <w:rPr>
          <w:i/>
          <w:noProof/>
        </w:rPr>
        <w:t>Business Strategy and the Environment,</w:t>
      </w:r>
      <w:r w:rsidRPr="00C355D3">
        <w:rPr>
          <w:noProof/>
        </w:rPr>
        <w:t xml:space="preserve"> 31</w:t>
      </w:r>
      <w:r w:rsidRPr="00C355D3">
        <w:rPr>
          <w:b/>
          <w:noProof/>
        </w:rPr>
        <w:t>,</w:t>
      </w:r>
      <w:r w:rsidRPr="00C355D3">
        <w:rPr>
          <w:noProof/>
        </w:rPr>
        <w:t xml:space="preserve"> 3371-3387.</w:t>
      </w:r>
    </w:p>
    <w:p w14:paraId="1549312C" w14:textId="080A2A7C" w:rsidR="00463B1E" w:rsidRPr="00A25F29" w:rsidRDefault="00BA4F04" w:rsidP="00463B1E">
      <w:pPr>
        <w:tabs>
          <w:tab w:val="left" w:pos="6553"/>
        </w:tabs>
        <w:rPr>
          <w:rFonts w:ascii="Arial" w:hAnsi="Arial" w:cs="Arial"/>
          <w:sz w:val="28"/>
          <w:szCs w:val="28"/>
        </w:rPr>
      </w:pPr>
      <w:r w:rsidRPr="00DB3E05">
        <w:rPr>
          <w:rFonts w:ascii="Arial" w:hAnsi="Arial" w:cs="Arial"/>
          <w:sz w:val="28"/>
          <w:szCs w:val="28"/>
        </w:rPr>
        <w:fldChar w:fldCharType="end"/>
      </w:r>
    </w:p>
    <w:sectPr w:rsidR="00463B1E" w:rsidRPr="00A25F29" w:rsidSect="00156F0B">
      <w:footerReference w:type="even" r:id="rId9"/>
      <w:footerReference w:type="default" r:id="rId10"/>
      <w:pgSz w:w="11906" w:h="16838"/>
      <w:pgMar w:top="782" w:right="1440" w:bottom="822" w:left="1014"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1983F" w14:textId="77777777" w:rsidR="003F5880" w:rsidRDefault="003F5880" w:rsidP="000B4B65">
      <w:r>
        <w:separator/>
      </w:r>
    </w:p>
  </w:endnote>
  <w:endnote w:type="continuationSeparator" w:id="0">
    <w:p w14:paraId="3A2C4E9F" w14:textId="77777777" w:rsidR="003F5880" w:rsidRDefault="003F5880" w:rsidP="000B4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695552"/>
      <w:docPartObj>
        <w:docPartGallery w:val="Page Numbers (Bottom of Page)"/>
        <w:docPartUnique/>
      </w:docPartObj>
    </w:sdtPr>
    <w:sdtContent>
      <w:p w14:paraId="5E83C851" w14:textId="657C1DF6" w:rsidR="00734DB0" w:rsidRDefault="00734DB0" w:rsidP="00AE6B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25F8A1" w14:textId="77777777" w:rsidR="00734DB0" w:rsidRDefault="00734DB0" w:rsidP="00734D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324307"/>
      <w:docPartObj>
        <w:docPartGallery w:val="Page Numbers (Bottom of Page)"/>
        <w:docPartUnique/>
      </w:docPartObj>
    </w:sdtPr>
    <w:sdtContent>
      <w:p w14:paraId="7E28DBD7" w14:textId="0BFE81A4" w:rsidR="00AE6BF9" w:rsidRDefault="00AE6BF9" w:rsidP="00950D7F">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094BD4F" w14:textId="0741BF5C" w:rsidR="00734DB0" w:rsidRPr="00AE6BF9" w:rsidRDefault="00734DB0" w:rsidP="00860923">
    <w:pPr>
      <w:pStyle w:val="Footer"/>
      <w:ind w:right="480"/>
      <w:jc w:val="right"/>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04194" w14:textId="77777777" w:rsidR="003F5880" w:rsidRDefault="003F5880" w:rsidP="000B4B65">
      <w:r>
        <w:separator/>
      </w:r>
    </w:p>
  </w:footnote>
  <w:footnote w:type="continuationSeparator" w:id="0">
    <w:p w14:paraId="5F67B4DC" w14:textId="77777777" w:rsidR="003F5880" w:rsidRDefault="003F5880" w:rsidP="000B4B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1925"/>
    <w:multiLevelType w:val="hybridMultilevel"/>
    <w:tmpl w:val="A9FC987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09C73BF0"/>
    <w:multiLevelType w:val="hybridMultilevel"/>
    <w:tmpl w:val="5B6229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14D75F2"/>
    <w:multiLevelType w:val="hybridMultilevel"/>
    <w:tmpl w:val="E1E6E32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23441"/>
    <w:multiLevelType w:val="hybridMultilevel"/>
    <w:tmpl w:val="A20A0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15EC6"/>
    <w:multiLevelType w:val="hybridMultilevel"/>
    <w:tmpl w:val="E514BABA"/>
    <w:lvl w:ilvl="0" w:tplc="55BEB5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6127041"/>
    <w:multiLevelType w:val="hybridMultilevel"/>
    <w:tmpl w:val="5CB27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A65EE"/>
    <w:multiLevelType w:val="hybridMultilevel"/>
    <w:tmpl w:val="5D064D6E"/>
    <w:lvl w:ilvl="0" w:tplc="7CA084F8">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695ED6"/>
    <w:multiLevelType w:val="hybridMultilevel"/>
    <w:tmpl w:val="131677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39F412D"/>
    <w:multiLevelType w:val="hybridMultilevel"/>
    <w:tmpl w:val="5AFE3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3D17A8"/>
    <w:multiLevelType w:val="hybridMultilevel"/>
    <w:tmpl w:val="5D064D6E"/>
    <w:lvl w:ilvl="0" w:tplc="FFFFFFFF">
      <w:start w:val="1"/>
      <w:numFmt w:val="decimal"/>
      <w:lvlText w:val="%1."/>
      <w:lvlJc w:val="left"/>
      <w:pPr>
        <w:ind w:left="144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24C5144"/>
    <w:multiLevelType w:val="hybridMultilevel"/>
    <w:tmpl w:val="1EBA3EA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15:restartNumberingAfterBreak="0">
    <w:nsid w:val="33630EEC"/>
    <w:multiLevelType w:val="hybridMultilevel"/>
    <w:tmpl w:val="6756E81E"/>
    <w:lvl w:ilvl="0" w:tplc="4262061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85143D6"/>
    <w:multiLevelType w:val="hybridMultilevel"/>
    <w:tmpl w:val="D57EC13C"/>
    <w:lvl w:ilvl="0" w:tplc="C700C3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A6D77E6"/>
    <w:multiLevelType w:val="hybridMultilevel"/>
    <w:tmpl w:val="0008A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566C95"/>
    <w:multiLevelType w:val="multilevel"/>
    <w:tmpl w:val="B0D2FBA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050DC0"/>
    <w:multiLevelType w:val="hybridMultilevel"/>
    <w:tmpl w:val="A03A4D5E"/>
    <w:lvl w:ilvl="0" w:tplc="17EE5CD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62D3BF9"/>
    <w:multiLevelType w:val="hybridMultilevel"/>
    <w:tmpl w:val="2C8206F0"/>
    <w:lvl w:ilvl="0" w:tplc="0809000F">
      <w:start w:val="1"/>
      <w:numFmt w:val="decimal"/>
      <w:lvlText w:val="%1."/>
      <w:lvlJc w:val="left"/>
      <w:pPr>
        <w:ind w:left="720" w:hanging="360"/>
      </w:pPr>
    </w:lvl>
    <w:lvl w:ilvl="1" w:tplc="7CA084F8">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02910"/>
    <w:multiLevelType w:val="multilevel"/>
    <w:tmpl w:val="227EC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474557"/>
    <w:multiLevelType w:val="hybridMultilevel"/>
    <w:tmpl w:val="C3D666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4C4776"/>
    <w:multiLevelType w:val="hybridMultilevel"/>
    <w:tmpl w:val="7532A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4D5AD4"/>
    <w:multiLevelType w:val="hybridMultilevel"/>
    <w:tmpl w:val="FCF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540805"/>
    <w:multiLevelType w:val="hybridMultilevel"/>
    <w:tmpl w:val="D0C82E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222885">
    <w:abstractNumId w:val="20"/>
  </w:num>
  <w:num w:numId="2" w16cid:durableId="2115703854">
    <w:abstractNumId w:val="7"/>
  </w:num>
  <w:num w:numId="3" w16cid:durableId="1525249570">
    <w:abstractNumId w:val="14"/>
  </w:num>
  <w:num w:numId="4" w16cid:durableId="1445999616">
    <w:abstractNumId w:val="4"/>
  </w:num>
  <w:num w:numId="5" w16cid:durableId="1989162337">
    <w:abstractNumId w:val="1"/>
  </w:num>
  <w:num w:numId="6" w16cid:durableId="106122527">
    <w:abstractNumId w:val="12"/>
  </w:num>
  <w:num w:numId="7" w16cid:durableId="1368221473">
    <w:abstractNumId w:val="11"/>
  </w:num>
  <w:num w:numId="8" w16cid:durableId="651565521">
    <w:abstractNumId w:val="15"/>
  </w:num>
  <w:num w:numId="9" w16cid:durableId="1936403320">
    <w:abstractNumId w:val="3"/>
  </w:num>
  <w:num w:numId="10" w16cid:durableId="793332306">
    <w:abstractNumId w:val="2"/>
  </w:num>
  <w:num w:numId="11" w16cid:durableId="141238126">
    <w:abstractNumId w:val="21"/>
  </w:num>
  <w:num w:numId="12" w16cid:durableId="755714118">
    <w:abstractNumId w:val="18"/>
  </w:num>
  <w:num w:numId="13" w16cid:durableId="249631166">
    <w:abstractNumId w:val="16"/>
  </w:num>
  <w:num w:numId="14" w16cid:durableId="2100062125">
    <w:abstractNumId w:val="6"/>
  </w:num>
  <w:num w:numId="15" w16cid:durableId="1033120025">
    <w:abstractNumId w:val="9"/>
  </w:num>
  <w:num w:numId="16" w16cid:durableId="1539077535">
    <w:abstractNumId w:val="8"/>
  </w:num>
  <w:num w:numId="17" w16cid:durableId="617100682">
    <w:abstractNumId w:val="10"/>
  </w:num>
  <w:num w:numId="18" w16cid:durableId="537159419">
    <w:abstractNumId w:val="0"/>
  </w:num>
  <w:num w:numId="19" w16cid:durableId="1281453220">
    <w:abstractNumId w:val="17"/>
  </w:num>
  <w:num w:numId="20" w16cid:durableId="1088233203">
    <w:abstractNumId w:val="5"/>
  </w:num>
  <w:num w:numId="21" w16cid:durableId="1021399247">
    <w:abstractNumId w:val="19"/>
  </w:num>
  <w:num w:numId="22" w16cid:durableId="9782707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00AE4514"/>
    <w:rsid w:val="00006252"/>
    <w:rsid w:val="00006644"/>
    <w:rsid w:val="00013C15"/>
    <w:rsid w:val="00016095"/>
    <w:rsid w:val="000230A7"/>
    <w:rsid w:val="000476CC"/>
    <w:rsid w:val="00050450"/>
    <w:rsid w:val="000544D0"/>
    <w:rsid w:val="00057100"/>
    <w:rsid w:val="00060FE5"/>
    <w:rsid w:val="00064293"/>
    <w:rsid w:val="00077CBB"/>
    <w:rsid w:val="0008155C"/>
    <w:rsid w:val="00082F19"/>
    <w:rsid w:val="00084594"/>
    <w:rsid w:val="0008537D"/>
    <w:rsid w:val="00091831"/>
    <w:rsid w:val="000955A5"/>
    <w:rsid w:val="00097742"/>
    <w:rsid w:val="000A4719"/>
    <w:rsid w:val="000B4B65"/>
    <w:rsid w:val="000B555B"/>
    <w:rsid w:val="000C4F2A"/>
    <w:rsid w:val="000D261A"/>
    <w:rsid w:val="000F0742"/>
    <w:rsid w:val="000F5423"/>
    <w:rsid w:val="001038E4"/>
    <w:rsid w:val="001140D3"/>
    <w:rsid w:val="001152E7"/>
    <w:rsid w:val="001178C1"/>
    <w:rsid w:val="00117FB9"/>
    <w:rsid w:val="00146545"/>
    <w:rsid w:val="00156F0B"/>
    <w:rsid w:val="00161EE9"/>
    <w:rsid w:val="00163E9B"/>
    <w:rsid w:val="00173C19"/>
    <w:rsid w:val="0017525B"/>
    <w:rsid w:val="001755C1"/>
    <w:rsid w:val="001763D1"/>
    <w:rsid w:val="00176D5A"/>
    <w:rsid w:val="00176F1C"/>
    <w:rsid w:val="0018171F"/>
    <w:rsid w:val="001836F7"/>
    <w:rsid w:val="001C2B95"/>
    <w:rsid w:val="001C4647"/>
    <w:rsid w:val="001C6ED1"/>
    <w:rsid w:val="001D0DBA"/>
    <w:rsid w:val="001D2C70"/>
    <w:rsid w:val="001E2690"/>
    <w:rsid w:val="001E4F26"/>
    <w:rsid w:val="001E50C8"/>
    <w:rsid w:val="001F53B9"/>
    <w:rsid w:val="00201A53"/>
    <w:rsid w:val="002025CD"/>
    <w:rsid w:val="00205D87"/>
    <w:rsid w:val="002061C5"/>
    <w:rsid w:val="00206AA4"/>
    <w:rsid w:val="002075E5"/>
    <w:rsid w:val="00207E7B"/>
    <w:rsid w:val="00211CED"/>
    <w:rsid w:val="00212CFC"/>
    <w:rsid w:val="0021428F"/>
    <w:rsid w:val="002275C7"/>
    <w:rsid w:val="00240F00"/>
    <w:rsid w:val="00246F20"/>
    <w:rsid w:val="00251789"/>
    <w:rsid w:val="00252D6A"/>
    <w:rsid w:val="00252EC6"/>
    <w:rsid w:val="00253FFB"/>
    <w:rsid w:val="0025563F"/>
    <w:rsid w:val="00270F4E"/>
    <w:rsid w:val="00290D5D"/>
    <w:rsid w:val="0029466D"/>
    <w:rsid w:val="00297A02"/>
    <w:rsid w:val="002A18A3"/>
    <w:rsid w:val="002C7073"/>
    <w:rsid w:val="002C7958"/>
    <w:rsid w:val="002D647E"/>
    <w:rsid w:val="002E2251"/>
    <w:rsid w:val="002E28EE"/>
    <w:rsid w:val="002F2FF3"/>
    <w:rsid w:val="0031664C"/>
    <w:rsid w:val="003303BC"/>
    <w:rsid w:val="00332434"/>
    <w:rsid w:val="0034125F"/>
    <w:rsid w:val="00341F5A"/>
    <w:rsid w:val="003424A6"/>
    <w:rsid w:val="00344EF4"/>
    <w:rsid w:val="003553C9"/>
    <w:rsid w:val="0036264B"/>
    <w:rsid w:val="00372458"/>
    <w:rsid w:val="00375DF9"/>
    <w:rsid w:val="00380BFE"/>
    <w:rsid w:val="003878BA"/>
    <w:rsid w:val="003929E0"/>
    <w:rsid w:val="003A2B5C"/>
    <w:rsid w:val="003A2B8E"/>
    <w:rsid w:val="003C06F2"/>
    <w:rsid w:val="003C6D94"/>
    <w:rsid w:val="003C7BB1"/>
    <w:rsid w:val="003D22CA"/>
    <w:rsid w:val="003E789D"/>
    <w:rsid w:val="003F5880"/>
    <w:rsid w:val="00407429"/>
    <w:rsid w:val="00423E5E"/>
    <w:rsid w:val="00424DC6"/>
    <w:rsid w:val="00426C7B"/>
    <w:rsid w:val="00442497"/>
    <w:rsid w:val="00446C8A"/>
    <w:rsid w:val="00463B1E"/>
    <w:rsid w:val="004671EF"/>
    <w:rsid w:val="00467D0D"/>
    <w:rsid w:val="00476449"/>
    <w:rsid w:val="0048009C"/>
    <w:rsid w:val="00482E49"/>
    <w:rsid w:val="0048768A"/>
    <w:rsid w:val="004A1EC6"/>
    <w:rsid w:val="004A2649"/>
    <w:rsid w:val="004A3590"/>
    <w:rsid w:val="004C640F"/>
    <w:rsid w:val="004D5CA7"/>
    <w:rsid w:val="004E1E50"/>
    <w:rsid w:val="004F417F"/>
    <w:rsid w:val="00500281"/>
    <w:rsid w:val="00500D9D"/>
    <w:rsid w:val="005022AA"/>
    <w:rsid w:val="00503D59"/>
    <w:rsid w:val="0051008D"/>
    <w:rsid w:val="00514BED"/>
    <w:rsid w:val="00515A5F"/>
    <w:rsid w:val="00520A02"/>
    <w:rsid w:val="0052787E"/>
    <w:rsid w:val="00530FF9"/>
    <w:rsid w:val="0053254C"/>
    <w:rsid w:val="00535167"/>
    <w:rsid w:val="005365F1"/>
    <w:rsid w:val="0053789E"/>
    <w:rsid w:val="005442DA"/>
    <w:rsid w:val="005444D7"/>
    <w:rsid w:val="00544EA5"/>
    <w:rsid w:val="005460A5"/>
    <w:rsid w:val="00553DAE"/>
    <w:rsid w:val="005653A4"/>
    <w:rsid w:val="0056579B"/>
    <w:rsid w:val="00566245"/>
    <w:rsid w:val="00573164"/>
    <w:rsid w:val="005826A8"/>
    <w:rsid w:val="00590B2A"/>
    <w:rsid w:val="005932B3"/>
    <w:rsid w:val="005A15A5"/>
    <w:rsid w:val="005A5A14"/>
    <w:rsid w:val="005A6C34"/>
    <w:rsid w:val="005C20AE"/>
    <w:rsid w:val="005C25A5"/>
    <w:rsid w:val="005C4F78"/>
    <w:rsid w:val="005D1822"/>
    <w:rsid w:val="005E126E"/>
    <w:rsid w:val="005E2673"/>
    <w:rsid w:val="005F0B32"/>
    <w:rsid w:val="005F0F30"/>
    <w:rsid w:val="005F7078"/>
    <w:rsid w:val="0060220E"/>
    <w:rsid w:val="00602985"/>
    <w:rsid w:val="00604090"/>
    <w:rsid w:val="00604CFE"/>
    <w:rsid w:val="00606910"/>
    <w:rsid w:val="00612414"/>
    <w:rsid w:val="006165BC"/>
    <w:rsid w:val="006167AA"/>
    <w:rsid w:val="00627C1B"/>
    <w:rsid w:val="0063296B"/>
    <w:rsid w:val="006400F2"/>
    <w:rsid w:val="006471DE"/>
    <w:rsid w:val="00647AAF"/>
    <w:rsid w:val="00661C0D"/>
    <w:rsid w:val="0066789C"/>
    <w:rsid w:val="006725D8"/>
    <w:rsid w:val="00676B8D"/>
    <w:rsid w:val="00676C2B"/>
    <w:rsid w:val="006A410E"/>
    <w:rsid w:val="006B3942"/>
    <w:rsid w:val="006B3FB1"/>
    <w:rsid w:val="006D117B"/>
    <w:rsid w:val="006D29A4"/>
    <w:rsid w:val="006D3E1E"/>
    <w:rsid w:val="006E34BA"/>
    <w:rsid w:val="006F2542"/>
    <w:rsid w:val="006F3B00"/>
    <w:rsid w:val="006F3BA2"/>
    <w:rsid w:val="006F4440"/>
    <w:rsid w:val="00700709"/>
    <w:rsid w:val="00701FCA"/>
    <w:rsid w:val="007034D5"/>
    <w:rsid w:val="007103C4"/>
    <w:rsid w:val="00720B69"/>
    <w:rsid w:val="00734DB0"/>
    <w:rsid w:val="0073623B"/>
    <w:rsid w:val="00737FD5"/>
    <w:rsid w:val="00742720"/>
    <w:rsid w:val="00753F26"/>
    <w:rsid w:val="00754F52"/>
    <w:rsid w:val="0075687C"/>
    <w:rsid w:val="00757475"/>
    <w:rsid w:val="007676C3"/>
    <w:rsid w:val="007707D9"/>
    <w:rsid w:val="00771585"/>
    <w:rsid w:val="00782DA9"/>
    <w:rsid w:val="007849F4"/>
    <w:rsid w:val="007A3AFE"/>
    <w:rsid w:val="007C0ECE"/>
    <w:rsid w:val="007C651E"/>
    <w:rsid w:val="007C730A"/>
    <w:rsid w:val="007C7648"/>
    <w:rsid w:val="007C7829"/>
    <w:rsid w:val="007D5069"/>
    <w:rsid w:val="007D7BFD"/>
    <w:rsid w:val="00807A15"/>
    <w:rsid w:val="008162F5"/>
    <w:rsid w:val="008218D6"/>
    <w:rsid w:val="008272EB"/>
    <w:rsid w:val="00835268"/>
    <w:rsid w:val="00847473"/>
    <w:rsid w:val="00860923"/>
    <w:rsid w:val="00860FD6"/>
    <w:rsid w:val="00863FD9"/>
    <w:rsid w:val="00874E7B"/>
    <w:rsid w:val="00875A10"/>
    <w:rsid w:val="0087651C"/>
    <w:rsid w:val="008767DC"/>
    <w:rsid w:val="0087756F"/>
    <w:rsid w:val="00897984"/>
    <w:rsid w:val="008A293E"/>
    <w:rsid w:val="008B2122"/>
    <w:rsid w:val="008B6175"/>
    <w:rsid w:val="008C4B17"/>
    <w:rsid w:val="008C63A5"/>
    <w:rsid w:val="008D011F"/>
    <w:rsid w:val="008E0444"/>
    <w:rsid w:val="008E509C"/>
    <w:rsid w:val="008E55E2"/>
    <w:rsid w:val="008E7B47"/>
    <w:rsid w:val="008F0382"/>
    <w:rsid w:val="00901DCD"/>
    <w:rsid w:val="0090373C"/>
    <w:rsid w:val="009059D4"/>
    <w:rsid w:val="00907D9A"/>
    <w:rsid w:val="00925831"/>
    <w:rsid w:val="00933863"/>
    <w:rsid w:val="00934330"/>
    <w:rsid w:val="00937D3D"/>
    <w:rsid w:val="00941575"/>
    <w:rsid w:val="009416CD"/>
    <w:rsid w:val="00941ED3"/>
    <w:rsid w:val="00943B85"/>
    <w:rsid w:val="00951FB8"/>
    <w:rsid w:val="00963844"/>
    <w:rsid w:val="0096404F"/>
    <w:rsid w:val="00966048"/>
    <w:rsid w:val="00970E8C"/>
    <w:rsid w:val="0097149A"/>
    <w:rsid w:val="0097419F"/>
    <w:rsid w:val="009824F7"/>
    <w:rsid w:val="0098342C"/>
    <w:rsid w:val="0098514F"/>
    <w:rsid w:val="00991B57"/>
    <w:rsid w:val="009A1897"/>
    <w:rsid w:val="009A2926"/>
    <w:rsid w:val="009A536B"/>
    <w:rsid w:val="009B0A20"/>
    <w:rsid w:val="009B44D7"/>
    <w:rsid w:val="009D0D4E"/>
    <w:rsid w:val="009D5508"/>
    <w:rsid w:val="009D5EE8"/>
    <w:rsid w:val="00A053A5"/>
    <w:rsid w:val="00A14111"/>
    <w:rsid w:val="00A15203"/>
    <w:rsid w:val="00A17F4A"/>
    <w:rsid w:val="00A2393F"/>
    <w:rsid w:val="00A25F29"/>
    <w:rsid w:val="00A34A50"/>
    <w:rsid w:val="00A36DE1"/>
    <w:rsid w:val="00A4192B"/>
    <w:rsid w:val="00A43175"/>
    <w:rsid w:val="00A47BA5"/>
    <w:rsid w:val="00A502AD"/>
    <w:rsid w:val="00A60FDC"/>
    <w:rsid w:val="00A6385F"/>
    <w:rsid w:val="00A76320"/>
    <w:rsid w:val="00A863E0"/>
    <w:rsid w:val="00A95CFB"/>
    <w:rsid w:val="00A96D1D"/>
    <w:rsid w:val="00AA5A81"/>
    <w:rsid w:val="00AD1F21"/>
    <w:rsid w:val="00AE4514"/>
    <w:rsid w:val="00AE523D"/>
    <w:rsid w:val="00AE6BF9"/>
    <w:rsid w:val="00AF0EE5"/>
    <w:rsid w:val="00B00C8F"/>
    <w:rsid w:val="00B042C1"/>
    <w:rsid w:val="00B143C3"/>
    <w:rsid w:val="00B22FBD"/>
    <w:rsid w:val="00B243FB"/>
    <w:rsid w:val="00B2798A"/>
    <w:rsid w:val="00B33CB2"/>
    <w:rsid w:val="00B60B7F"/>
    <w:rsid w:val="00B633B4"/>
    <w:rsid w:val="00B76172"/>
    <w:rsid w:val="00B83BB3"/>
    <w:rsid w:val="00B92169"/>
    <w:rsid w:val="00BA08D3"/>
    <w:rsid w:val="00BA3465"/>
    <w:rsid w:val="00BA4F04"/>
    <w:rsid w:val="00BA6C75"/>
    <w:rsid w:val="00BA7CB8"/>
    <w:rsid w:val="00BB3F84"/>
    <w:rsid w:val="00BB743C"/>
    <w:rsid w:val="00BC1FF0"/>
    <w:rsid w:val="00BC33B9"/>
    <w:rsid w:val="00BC378E"/>
    <w:rsid w:val="00BC683F"/>
    <w:rsid w:val="00BE1A22"/>
    <w:rsid w:val="00BE3DB3"/>
    <w:rsid w:val="00BE721C"/>
    <w:rsid w:val="00BF782C"/>
    <w:rsid w:val="00C014BE"/>
    <w:rsid w:val="00C01E9C"/>
    <w:rsid w:val="00C03104"/>
    <w:rsid w:val="00C07A76"/>
    <w:rsid w:val="00C17C22"/>
    <w:rsid w:val="00C25C32"/>
    <w:rsid w:val="00C317E0"/>
    <w:rsid w:val="00C3286A"/>
    <w:rsid w:val="00C3425B"/>
    <w:rsid w:val="00C355D3"/>
    <w:rsid w:val="00C36B6A"/>
    <w:rsid w:val="00C421D9"/>
    <w:rsid w:val="00C60034"/>
    <w:rsid w:val="00C61C2B"/>
    <w:rsid w:val="00C80E3A"/>
    <w:rsid w:val="00C81894"/>
    <w:rsid w:val="00C83342"/>
    <w:rsid w:val="00C95067"/>
    <w:rsid w:val="00CA5099"/>
    <w:rsid w:val="00CC5695"/>
    <w:rsid w:val="00CD3A7B"/>
    <w:rsid w:val="00CD5C51"/>
    <w:rsid w:val="00CE241C"/>
    <w:rsid w:val="00CE27DE"/>
    <w:rsid w:val="00CE51D3"/>
    <w:rsid w:val="00CE6003"/>
    <w:rsid w:val="00CF2C0E"/>
    <w:rsid w:val="00D01C1D"/>
    <w:rsid w:val="00D0261F"/>
    <w:rsid w:val="00D07D4B"/>
    <w:rsid w:val="00D20748"/>
    <w:rsid w:val="00D26C35"/>
    <w:rsid w:val="00D27DC2"/>
    <w:rsid w:val="00D44791"/>
    <w:rsid w:val="00D44FF6"/>
    <w:rsid w:val="00D467F7"/>
    <w:rsid w:val="00D46E4D"/>
    <w:rsid w:val="00D65774"/>
    <w:rsid w:val="00D753C6"/>
    <w:rsid w:val="00D7786D"/>
    <w:rsid w:val="00D944DF"/>
    <w:rsid w:val="00D96919"/>
    <w:rsid w:val="00DA4C45"/>
    <w:rsid w:val="00DB3E05"/>
    <w:rsid w:val="00DB4EB8"/>
    <w:rsid w:val="00DB5001"/>
    <w:rsid w:val="00DC174F"/>
    <w:rsid w:val="00DC236D"/>
    <w:rsid w:val="00DC2C65"/>
    <w:rsid w:val="00DD7594"/>
    <w:rsid w:val="00DD792F"/>
    <w:rsid w:val="00DE3D3B"/>
    <w:rsid w:val="00DE67CC"/>
    <w:rsid w:val="00DF25F9"/>
    <w:rsid w:val="00E02A4E"/>
    <w:rsid w:val="00E04CBA"/>
    <w:rsid w:val="00E1177E"/>
    <w:rsid w:val="00E1565F"/>
    <w:rsid w:val="00E20E75"/>
    <w:rsid w:val="00E2607A"/>
    <w:rsid w:val="00E32ECD"/>
    <w:rsid w:val="00E35B00"/>
    <w:rsid w:val="00E373B0"/>
    <w:rsid w:val="00E51D74"/>
    <w:rsid w:val="00E676CA"/>
    <w:rsid w:val="00E848A4"/>
    <w:rsid w:val="00EA211D"/>
    <w:rsid w:val="00EA6FF1"/>
    <w:rsid w:val="00EB596A"/>
    <w:rsid w:val="00EC05BD"/>
    <w:rsid w:val="00EC7755"/>
    <w:rsid w:val="00ED414E"/>
    <w:rsid w:val="00EE76BD"/>
    <w:rsid w:val="00EF0705"/>
    <w:rsid w:val="00EF4A43"/>
    <w:rsid w:val="00EF57E1"/>
    <w:rsid w:val="00EF7BC8"/>
    <w:rsid w:val="00F00221"/>
    <w:rsid w:val="00F05054"/>
    <w:rsid w:val="00F16FBB"/>
    <w:rsid w:val="00F25548"/>
    <w:rsid w:val="00F25805"/>
    <w:rsid w:val="00F2680F"/>
    <w:rsid w:val="00F34D4E"/>
    <w:rsid w:val="00F55B30"/>
    <w:rsid w:val="00F61808"/>
    <w:rsid w:val="00F62061"/>
    <w:rsid w:val="00F725AC"/>
    <w:rsid w:val="00F73AB5"/>
    <w:rsid w:val="00F73E57"/>
    <w:rsid w:val="00F808EB"/>
    <w:rsid w:val="00F83389"/>
    <w:rsid w:val="00F83FD0"/>
    <w:rsid w:val="00FA3DFA"/>
    <w:rsid w:val="00FA4EA0"/>
    <w:rsid w:val="00FA5B3E"/>
    <w:rsid w:val="00FB1525"/>
    <w:rsid w:val="00FC1BBA"/>
    <w:rsid w:val="00FC4B36"/>
    <w:rsid w:val="00FC7BD6"/>
    <w:rsid w:val="00FD1856"/>
    <w:rsid w:val="00FF0B19"/>
    <w:rsid w:val="00FF4E09"/>
    <w:rsid w:val="00FF4FC6"/>
    <w:rsid w:val="00FF683B"/>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602AC"/>
  <w15:chartTrackingRefBased/>
  <w15:docId w15:val="{6F82809B-9CA7-4F49-833F-7AC1D56A1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FE5"/>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EC775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C7755"/>
    <w:pPr>
      <w:keepNext/>
      <w:keepLines/>
      <w:spacing w:before="40"/>
      <w:outlineLvl w:val="1"/>
    </w:pPr>
    <w:rPr>
      <w:rFonts w:asciiTheme="majorHAnsi" w:eastAsiaTheme="majorEastAsia" w:hAnsiTheme="majorHAnsi" w:cstheme="majorBidi"/>
      <w:color w:val="2F5496" w:themeColor="accent1"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90373C"/>
    <w:pPr>
      <w:keepNext/>
      <w:keepLines/>
      <w:spacing w:before="40"/>
      <w:outlineLvl w:val="3"/>
    </w:pPr>
    <w:rPr>
      <w:rFonts w:asciiTheme="majorHAnsi" w:eastAsiaTheme="majorEastAsia" w:hAnsiTheme="majorHAnsi" w:cstheme="majorBidi"/>
      <w:i/>
      <w:iCs/>
      <w:color w:val="2F5496"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4514"/>
  </w:style>
  <w:style w:type="paragraph" w:styleId="ListParagraph">
    <w:name w:val="List Paragraph"/>
    <w:basedOn w:val="Normal"/>
    <w:link w:val="ListParagraphChar"/>
    <w:uiPriority w:val="34"/>
    <w:qFormat/>
    <w:rsid w:val="005F7078"/>
    <w:pPr>
      <w:ind w:left="720"/>
      <w:contextualSpacing/>
    </w:pPr>
    <w:rPr>
      <w:rFonts w:asciiTheme="minorHAnsi" w:eastAsiaTheme="minorEastAsia" w:hAnsiTheme="minorHAnsi" w:cstheme="minorBidi"/>
      <w:kern w:val="2"/>
      <w14:ligatures w14:val="standardContextual"/>
    </w:rPr>
  </w:style>
  <w:style w:type="table" w:styleId="TableGrid">
    <w:name w:val="Table Grid"/>
    <w:basedOn w:val="TableNormal"/>
    <w:uiPriority w:val="39"/>
    <w:rsid w:val="004800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w-page-title-main">
    <w:name w:val="mw-page-title-main"/>
    <w:basedOn w:val="DefaultParagraphFont"/>
    <w:rsid w:val="003A2B5C"/>
  </w:style>
  <w:style w:type="paragraph" w:styleId="Header">
    <w:name w:val="header"/>
    <w:basedOn w:val="Normal"/>
    <w:link w:val="HeaderChar"/>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HeaderChar">
    <w:name w:val="Header Char"/>
    <w:basedOn w:val="DefaultParagraphFont"/>
    <w:link w:val="Header"/>
    <w:rsid w:val="000B4B65"/>
  </w:style>
  <w:style w:type="paragraph" w:styleId="Footer">
    <w:name w:val="footer"/>
    <w:basedOn w:val="Normal"/>
    <w:link w:val="FooterChar"/>
    <w:uiPriority w:val="99"/>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FooterChar">
    <w:name w:val="Footer Char"/>
    <w:basedOn w:val="DefaultParagraphFont"/>
    <w:link w:val="Footer"/>
    <w:uiPriority w:val="99"/>
    <w:rsid w:val="000B4B65"/>
  </w:style>
  <w:style w:type="paragraph" w:styleId="Revision">
    <w:name w:val="Revision"/>
    <w:hidden/>
    <w:uiPriority w:val="99"/>
    <w:semiHidden/>
    <w:rsid w:val="000B4B65"/>
  </w:style>
  <w:style w:type="paragraph" w:styleId="NormalWeb">
    <w:name w:val="Normal (Web)"/>
    <w:basedOn w:val="Normal"/>
    <w:link w:val="NormalWebChar"/>
    <w:uiPriority w:val="99"/>
    <w:unhideWhenUsed/>
    <w:rsid w:val="004F417F"/>
    <w:pPr>
      <w:spacing w:before="100" w:beforeAutospacing="1" w:after="100" w:afterAutospacing="1"/>
    </w:pPr>
  </w:style>
  <w:style w:type="character" w:customStyle="1" w:styleId="Heading1Char">
    <w:name w:val="Heading 1 Char"/>
    <w:basedOn w:val="DefaultParagraphFont"/>
    <w:link w:val="Heading1"/>
    <w:uiPriority w:val="9"/>
    <w:rsid w:val="00EC7755"/>
    <w:rPr>
      <w:rFonts w:ascii="Times New Roman" w:eastAsia="Times New Roman" w:hAnsi="Times New Roman" w:cs="Times New Roman"/>
      <w:b/>
      <w:bCs/>
      <w:kern w:val="36"/>
      <w:sz w:val="48"/>
      <w:szCs w:val="48"/>
      <w14:ligatures w14:val="none"/>
    </w:rPr>
  </w:style>
  <w:style w:type="character" w:customStyle="1" w:styleId="title-text">
    <w:name w:val="title-text"/>
    <w:basedOn w:val="DefaultParagraphFont"/>
    <w:rsid w:val="00EC7755"/>
  </w:style>
  <w:style w:type="character" w:customStyle="1" w:styleId="Heading2Char">
    <w:name w:val="Heading 2 Char"/>
    <w:basedOn w:val="DefaultParagraphFont"/>
    <w:link w:val="Heading2"/>
    <w:uiPriority w:val="9"/>
    <w:rsid w:val="00EC7755"/>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EC7755"/>
  </w:style>
  <w:style w:type="character" w:styleId="Strong">
    <w:name w:val="Strong"/>
    <w:basedOn w:val="DefaultParagraphFont"/>
    <w:uiPriority w:val="22"/>
    <w:qFormat/>
    <w:rsid w:val="00F25548"/>
    <w:rPr>
      <w:b/>
      <w:bCs/>
    </w:rPr>
  </w:style>
  <w:style w:type="character" w:styleId="Hyperlink">
    <w:name w:val="Hyperlink"/>
    <w:basedOn w:val="DefaultParagraphFont"/>
    <w:uiPriority w:val="99"/>
    <w:unhideWhenUsed/>
    <w:rsid w:val="00D7786D"/>
    <w:rPr>
      <w:color w:val="0563C1" w:themeColor="hyperlink"/>
      <w:u w:val="single"/>
    </w:rPr>
  </w:style>
  <w:style w:type="character" w:styleId="UnresolvedMention">
    <w:name w:val="Unresolved Mention"/>
    <w:basedOn w:val="DefaultParagraphFont"/>
    <w:uiPriority w:val="99"/>
    <w:semiHidden/>
    <w:unhideWhenUsed/>
    <w:rsid w:val="00D7786D"/>
    <w:rPr>
      <w:color w:val="605E5C"/>
      <w:shd w:val="clear" w:color="auto" w:fill="E1DFDD"/>
    </w:rPr>
  </w:style>
  <w:style w:type="character" w:styleId="FollowedHyperlink">
    <w:name w:val="FollowedHyperlink"/>
    <w:basedOn w:val="DefaultParagraphFont"/>
    <w:uiPriority w:val="99"/>
    <w:semiHidden/>
    <w:unhideWhenUsed/>
    <w:rsid w:val="00290D5D"/>
    <w:rPr>
      <w:color w:val="954F72" w:themeColor="followedHyperlink"/>
      <w:u w:val="single"/>
    </w:rPr>
  </w:style>
  <w:style w:type="character" w:customStyle="1" w:styleId="Heading4Char">
    <w:name w:val="Heading 4 Char"/>
    <w:basedOn w:val="DefaultParagraphFont"/>
    <w:link w:val="Heading4"/>
    <w:uiPriority w:val="9"/>
    <w:semiHidden/>
    <w:rsid w:val="0090373C"/>
    <w:rPr>
      <w:rFonts w:asciiTheme="majorHAnsi" w:eastAsiaTheme="majorEastAsia" w:hAnsiTheme="majorHAnsi" w:cstheme="majorBidi"/>
      <w:i/>
      <w:iCs/>
      <w:color w:val="2F5496" w:themeColor="accent1" w:themeShade="BF"/>
    </w:rPr>
  </w:style>
  <w:style w:type="character" w:customStyle="1" w:styleId="sr-only">
    <w:name w:val="sr-only"/>
    <w:basedOn w:val="DefaultParagraphFont"/>
    <w:rsid w:val="00060FE5"/>
  </w:style>
  <w:style w:type="character" w:customStyle="1" w:styleId="given-name">
    <w:name w:val="given-name"/>
    <w:basedOn w:val="DefaultParagraphFont"/>
    <w:rsid w:val="00060FE5"/>
  </w:style>
  <w:style w:type="character" w:customStyle="1" w:styleId="text">
    <w:name w:val="text"/>
    <w:basedOn w:val="DefaultParagraphFont"/>
    <w:rsid w:val="00060FE5"/>
  </w:style>
  <w:style w:type="character" w:customStyle="1" w:styleId="author-ref">
    <w:name w:val="author-ref"/>
    <w:basedOn w:val="DefaultParagraphFont"/>
    <w:rsid w:val="00060FE5"/>
  </w:style>
  <w:style w:type="character" w:styleId="PageNumber">
    <w:name w:val="page number"/>
    <w:basedOn w:val="DefaultParagraphFont"/>
    <w:uiPriority w:val="99"/>
    <w:semiHidden/>
    <w:unhideWhenUsed/>
    <w:rsid w:val="00734DB0"/>
  </w:style>
  <w:style w:type="paragraph" w:customStyle="1" w:styleId="EndNoteBibliographyTitle">
    <w:name w:val="EndNote Bibliography Title"/>
    <w:basedOn w:val="Normal"/>
    <w:link w:val="EndNoteBibliographyTitleChar"/>
    <w:rsid w:val="00D96919"/>
    <w:pPr>
      <w:jc w:val="center"/>
    </w:pPr>
  </w:style>
  <w:style w:type="character" w:customStyle="1" w:styleId="EndNoteBibliographyTitleChar">
    <w:name w:val="EndNote Bibliography Title Char"/>
    <w:basedOn w:val="DefaultParagraphFont"/>
    <w:link w:val="EndNoteBibliographyTitle"/>
    <w:rsid w:val="00D96919"/>
    <w:rPr>
      <w:rFonts w:ascii="Times New Roman" w:eastAsia="Times New Roman" w:hAnsi="Times New Roman" w:cs="Times New Roman"/>
      <w:kern w:val="0"/>
      <w14:ligatures w14:val="none"/>
    </w:rPr>
  </w:style>
  <w:style w:type="paragraph" w:customStyle="1" w:styleId="EndNoteBibliography">
    <w:name w:val="EndNote Bibliography"/>
    <w:basedOn w:val="Normal"/>
    <w:link w:val="EndNoteBibliographyChar"/>
    <w:rsid w:val="00D96919"/>
    <w:pPr>
      <w:jc w:val="both"/>
    </w:pPr>
  </w:style>
  <w:style w:type="character" w:customStyle="1" w:styleId="EndNoteBibliographyChar">
    <w:name w:val="EndNote Bibliography Char"/>
    <w:basedOn w:val="DefaultParagraphFont"/>
    <w:link w:val="EndNoteBibliography"/>
    <w:rsid w:val="00D96919"/>
    <w:rPr>
      <w:rFonts w:ascii="Times New Roman" w:eastAsia="Times New Roman" w:hAnsi="Times New Roman" w:cs="Times New Roman"/>
      <w:kern w:val="0"/>
      <w14:ligatures w14:val="none"/>
    </w:rPr>
  </w:style>
  <w:style w:type="character" w:customStyle="1" w:styleId="NormalWebChar">
    <w:name w:val="Normal (Web) Char"/>
    <w:basedOn w:val="DefaultParagraphFont"/>
    <w:link w:val="NormalWeb"/>
    <w:uiPriority w:val="99"/>
    <w:rsid w:val="0096404F"/>
    <w:rPr>
      <w:rFonts w:ascii="Times New Roman" w:eastAsia="Times New Roman" w:hAnsi="Times New Roman" w:cs="Times New Roman"/>
      <w:kern w:val="0"/>
      <w14:ligatures w14:val="none"/>
    </w:rPr>
  </w:style>
  <w:style w:type="character" w:customStyle="1" w:styleId="ListParagraphChar">
    <w:name w:val="List Paragraph Char"/>
    <w:basedOn w:val="DefaultParagraphFont"/>
    <w:link w:val="ListParagraph"/>
    <w:uiPriority w:val="34"/>
    <w:rsid w:val="00A25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9007">
      <w:bodyDiv w:val="1"/>
      <w:marLeft w:val="0"/>
      <w:marRight w:val="0"/>
      <w:marTop w:val="0"/>
      <w:marBottom w:val="0"/>
      <w:divBdr>
        <w:top w:val="none" w:sz="0" w:space="0" w:color="auto"/>
        <w:left w:val="none" w:sz="0" w:space="0" w:color="auto"/>
        <w:bottom w:val="none" w:sz="0" w:space="0" w:color="auto"/>
        <w:right w:val="none" w:sz="0" w:space="0" w:color="auto"/>
      </w:divBdr>
      <w:divsChild>
        <w:div w:id="1694769251">
          <w:marLeft w:val="0"/>
          <w:marRight w:val="0"/>
          <w:marTop w:val="0"/>
          <w:marBottom w:val="0"/>
          <w:divBdr>
            <w:top w:val="none" w:sz="0" w:space="0" w:color="auto"/>
            <w:left w:val="none" w:sz="0" w:space="0" w:color="auto"/>
            <w:bottom w:val="none" w:sz="0" w:space="0" w:color="auto"/>
            <w:right w:val="none" w:sz="0" w:space="0" w:color="auto"/>
          </w:divBdr>
          <w:divsChild>
            <w:div w:id="831481989">
              <w:marLeft w:val="0"/>
              <w:marRight w:val="0"/>
              <w:marTop w:val="0"/>
              <w:marBottom w:val="0"/>
              <w:divBdr>
                <w:top w:val="none" w:sz="0" w:space="0" w:color="auto"/>
                <w:left w:val="none" w:sz="0" w:space="0" w:color="auto"/>
                <w:bottom w:val="none" w:sz="0" w:space="0" w:color="auto"/>
                <w:right w:val="none" w:sz="0" w:space="0" w:color="auto"/>
              </w:divBdr>
              <w:divsChild>
                <w:div w:id="8656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59735">
      <w:bodyDiv w:val="1"/>
      <w:marLeft w:val="0"/>
      <w:marRight w:val="0"/>
      <w:marTop w:val="0"/>
      <w:marBottom w:val="0"/>
      <w:divBdr>
        <w:top w:val="none" w:sz="0" w:space="0" w:color="auto"/>
        <w:left w:val="none" w:sz="0" w:space="0" w:color="auto"/>
        <w:bottom w:val="none" w:sz="0" w:space="0" w:color="auto"/>
        <w:right w:val="none" w:sz="0" w:space="0" w:color="auto"/>
      </w:divBdr>
    </w:div>
    <w:div w:id="109521461">
      <w:bodyDiv w:val="1"/>
      <w:marLeft w:val="0"/>
      <w:marRight w:val="0"/>
      <w:marTop w:val="0"/>
      <w:marBottom w:val="0"/>
      <w:divBdr>
        <w:top w:val="none" w:sz="0" w:space="0" w:color="auto"/>
        <w:left w:val="none" w:sz="0" w:space="0" w:color="auto"/>
        <w:bottom w:val="none" w:sz="0" w:space="0" w:color="auto"/>
        <w:right w:val="none" w:sz="0" w:space="0" w:color="auto"/>
      </w:divBdr>
      <w:divsChild>
        <w:div w:id="1898201383">
          <w:marLeft w:val="0"/>
          <w:marRight w:val="0"/>
          <w:marTop w:val="0"/>
          <w:marBottom w:val="120"/>
          <w:divBdr>
            <w:top w:val="none" w:sz="0" w:space="0" w:color="auto"/>
            <w:left w:val="none" w:sz="0" w:space="0" w:color="auto"/>
            <w:bottom w:val="none" w:sz="0" w:space="0" w:color="auto"/>
            <w:right w:val="none" w:sz="0" w:space="0" w:color="auto"/>
          </w:divBdr>
          <w:divsChild>
            <w:div w:id="2075817084">
              <w:marLeft w:val="0"/>
              <w:marRight w:val="0"/>
              <w:marTop w:val="0"/>
              <w:marBottom w:val="0"/>
              <w:divBdr>
                <w:top w:val="none" w:sz="0" w:space="0" w:color="auto"/>
                <w:left w:val="none" w:sz="0" w:space="0" w:color="auto"/>
                <w:bottom w:val="none" w:sz="0" w:space="0" w:color="auto"/>
                <w:right w:val="none" w:sz="0" w:space="0" w:color="auto"/>
              </w:divBdr>
              <w:divsChild>
                <w:div w:id="1639141822">
                  <w:marLeft w:val="0"/>
                  <w:marRight w:val="0"/>
                  <w:marTop w:val="0"/>
                  <w:marBottom w:val="0"/>
                  <w:divBdr>
                    <w:top w:val="none" w:sz="0" w:space="0" w:color="auto"/>
                    <w:left w:val="none" w:sz="0" w:space="0" w:color="auto"/>
                    <w:bottom w:val="none" w:sz="0" w:space="0" w:color="auto"/>
                    <w:right w:val="none" w:sz="0" w:space="0" w:color="auto"/>
                  </w:divBdr>
                  <w:divsChild>
                    <w:div w:id="158626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38598">
      <w:bodyDiv w:val="1"/>
      <w:marLeft w:val="0"/>
      <w:marRight w:val="0"/>
      <w:marTop w:val="0"/>
      <w:marBottom w:val="0"/>
      <w:divBdr>
        <w:top w:val="none" w:sz="0" w:space="0" w:color="auto"/>
        <w:left w:val="none" w:sz="0" w:space="0" w:color="auto"/>
        <w:bottom w:val="none" w:sz="0" w:space="0" w:color="auto"/>
        <w:right w:val="none" w:sz="0" w:space="0" w:color="auto"/>
      </w:divBdr>
      <w:divsChild>
        <w:div w:id="1622762163">
          <w:marLeft w:val="0"/>
          <w:marRight w:val="0"/>
          <w:marTop w:val="0"/>
          <w:marBottom w:val="0"/>
          <w:divBdr>
            <w:top w:val="none" w:sz="0" w:space="0" w:color="auto"/>
            <w:left w:val="none" w:sz="0" w:space="0" w:color="auto"/>
            <w:bottom w:val="none" w:sz="0" w:space="0" w:color="auto"/>
            <w:right w:val="none" w:sz="0" w:space="0" w:color="auto"/>
          </w:divBdr>
          <w:divsChild>
            <w:div w:id="1671373238">
              <w:marLeft w:val="0"/>
              <w:marRight w:val="0"/>
              <w:marTop w:val="0"/>
              <w:marBottom w:val="0"/>
              <w:divBdr>
                <w:top w:val="none" w:sz="0" w:space="0" w:color="auto"/>
                <w:left w:val="none" w:sz="0" w:space="0" w:color="auto"/>
                <w:bottom w:val="none" w:sz="0" w:space="0" w:color="auto"/>
                <w:right w:val="none" w:sz="0" w:space="0" w:color="auto"/>
              </w:divBdr>
              <w:divsChild>
                <w:div w:id="206629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3769">
      <w:bodyDiv w:val="1"/>
      <w:marLeft w:val="0"/>
      <w:marRight w:val="0"/>
      <w:marTop w:val="0"/>
      <w:marBottom w:val="0"/>
      <w:divBdr>
        <w:top w:val="none" w:sz="0" w:space="0" w:color="auto"/>
        <w:left w:val="none" w:sz="0" w:space="0" w:color="auto"/>
        <w:bottom w:val="none" w:sz="0" w:space="0" w:color="auto"/>
        <w:right w:val="none" w:sz="0" w:space="0" w:color="auto"/>
      </w:divBdr>
      <w:divsChild>
        <w:div w:id="1813208131">
          <w:marLeft w:val="0"/>
          <w:marRight w:val="0"/>
          <w:marTop w:val="0"/>
          <w:marBottom w:val="0"/>
          <w:divBdr>
            <w:top w:val="none" w:sz="0" w:space="0" w:color="auto"/>
            <w:left w:val="none" w:sz="0" w:space="0" w:color="auto"/>
            <w:bottom w:val="none" w:sz="0" w:space="0" w:color="auto"/>
            <w:right w:val="none" w:sz="0" w:space="0" w:color="auto"/>
          </w:divBdr>
          <w:divsChild>
            <w:div w:id="2012877247">
              <w:marLeft w:val="0"/>
              <w:marRight w:val="0"/>
              <w:marTop w:val="0"/>
              <w:marBottom w:val="0"/>
              <w:divBdr>
                <w:top w:val="none" w:sz="0" w:space="0" w:color="auto"/>
                <w:left w:val="none" w:sz="0" w:space="0" w:color="auto"/>
                <w:bottom w:val="none" w:sz="0" w:space="0" w:color="auto"/>
                <w:right w:val="none" w:sz="0" w:space="0" w:color="auto"/>
              </w:divBdr>
              <w:divsChild>
                <w:div w:id="19146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73461">
      <w:bodyDiv w:val="1"/>
      <w:marLeft w:val="0"/>
      <w:marRight w:val="0"/>
      <w:marTop w:val="0"/>
      <w:marBottom w:val="0"/>
      <w:divBdr>
        <w:top w:val="none" w:sz="0" w:space="0" w:color="auto"/>
        <w:left w:val="none" w:sz="0" w:space="0" w:color="auto"/>
        <w:bottom w:val="none" w:sz="0" w:space="0" w:color="auto"/>
        <w:right w:val="none" w:sz="0" w:space="0" w:color="auto"/>
      </w:divBdr>
      <w:divsChild>
        <w:div w:id="219554925">
          <w:marLeft w:val="0"/>
          <w:marRight w:val="0"/>
          <w:marTop w:val="0"/>
          <w:marBottom w:val="0"/>
          <w:divBdr>
            <w:top w:val="none" w:sz="0" w:space="0" w:color="auto"/>
            <w:left w:val="none" w:sz="0" w:space="0" w:color="auto"/>
            <w:bottom w:val="none" w:sz="0" w:space="0" w:color="auto"/>
            <w:right w:val="none" w:sz="0" w:space="0" w:color="auto"/>
          </w:divBdr>
          <w:divsChild>
            <w:div w:id="1308431782">
              <w:marLeft w:val="0"/>
              <w:marRight w:val="0"/>
              <w:marTop w:val="0"/>
              <w:marBottom w:val="0"/>
              <w:divBdr>
                <w:top w:val="none" w:sz="0" w:space="0" w:color="auto"/>
                <w:left w:val="none" w:sz="0" w:space="0" w:color="auto"/>
                <w:bottom w:val="none" w:sz="0" w:space="0" w:color="auto"/>
                <w:right w:val="none" w:sz="0" w:space="0" w:color="auto"/>
              </w:divBdr>
              <w:divsChild>
                <w:div w:id="131729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1728">
      <w:bodyDiv w:val="1"/>
      <w:marLeft w:val="0"/>
      <w:marRight w:val="0"/>
      <w:marTop w:val="0"/>
      <w:marBottom w:val="0"/>
      <w:divBdr>
        <w:top w:val="none" w:sz="0" w:space="0" w:color="auto"/>
        <w:left w:val="none" w:sz="0" w:space="0" w:color="auto"/>
        <w:bottom w:val="none" w:sz="0" w:space="0" w:color="auto"/>
        <w:right w:val="none" w:sz="0" w:space="0" w:color="auto"/>
      </w:divBdr>
    </w:div>
    <w:div w:id="249970171">
      <w:bodyDiv w:val="1"/>
      <w:marLeft w:val="0"/>
      <w:marRight w:val="0"/>
      <w:marTop w:val="0"/>
      <w:marBottom w:val="0"/>
      <w:divBdr>
        <w:top w:val="none" w:sz="0" w:space="0" w:color="auto"/>
        <w:left w:val="none" w:sz="0" w:space="0" w:color="auto"/>
        <w:bottom w:val="none" w:sz="0" w:space="0" w:color="auto"/>
        <w:right w:val="none" w:sz="0" w:space="0" w:color="auto"/>
      </w:divBdr>
      <w:divsChild>
        <w:div w:id="816073794">
          <w:marLeft w:val="0"/>
          <w:marRight w:val="0"/>
          <w:marTop w:val="0"/>
          <w:marBottom w:val="0"/>
          <w:divBdr>
            <w:top w:val="none" w:sz="0" w:space="0" w:color="auto"/>
            <w:left w:val="none" w:sz="0" w:space="0" w:color="auto"/>
            <w:bottom w:val="none" w:sz="0" w:space="0" w:color="auto"/>
            <w:right w:val="none" w:sz="0" w:space="0" w:color="auto"/>
          </w:divBdr>
          <w:divsChild>
            <w:div w:id="561261042">
              <w:marLeft w:val="0"/>
              <w:marRight w:val="0"/>
              <w:marTop w:val="0"/>
              <w:marBottom w:val="0"/>
              <w:divBdr>
                <w:top w:val="none" w:sz="0" w:space="0" w:color="auto"/>
                <w:left w:val="none" w:sz="0" w:space="0" w:color="auto"/>
                <w:bottom w:val="none" w:sz="0" w:space="0" w:color="auto"/>
                <w:right w:val="none" w:sz="0" w:space="0" w:color="auto"/>
              </w:divBdr>
              <w:divsChild>
                <w:div w:id="63552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619093">
      <w:bodyDiv w:val="1"/>
      <w:marLeft w:val="0"/>
      <w:marRight w:val="0"/>
      <w:marTop w:val="0"/>
      <w:marBottom w:val="0"/>
      <w:divBdr>
        <w:top w:val="none" w:sz="0" w:space="0" w:color="auto"/>
        <w:left w:val="none" w:sz="0" w:space="0" w:color="auto"/>
        <w:bottom w:val="none" w:sz="0" w:space="0" w:color="auto"/>
        <w:right w:val="none" w:sz="0" w:space="0" w:color="auto"/>
      </w:divBdr>
      <w:divsChild>
        <w:div w:id="1915775928">
          <w:marLeft w:val="0"/>
          <w:marRight w:val="0"/>
          <w:marTop w:val="0"/>
          <w:marBottom w:val="0"/>
          <w:divBdr>
            <w:top w:val="none" w:sz="0" w:space="0" w:color="auto"/>
            <w:left w:val="none" w:sz="0" w:space="0" w:color="auto"/>
            <w:bottom w:val="none" w:sz="0" w:space="0" w:color="auto"/>
            <w:right w:val="none" w:sz="0" w:space="0" w:color="auto"/>
          </w:divBdr>
          <w:divsChild>
            <w:div w:id="1081676104">
              <w:marLeft w:val="0"/>
              <w:marRight w:val="0"/>
              <w:marTop w:val="0"/>
              <w:marBottom w:val="0"/>
              <w:divBdr>
                <w:top w:val="none" w:sz="0" w:space="0" w:color="auto"/>
                <w:left w:val="none" w:sz="0" w:space="0" w:color="auto"/>
                <w:bottom w:val="none" w:sz="0" w:space="0" w:color="auto"/>
                <w:right w:val="none" w:sz="0" w:space="0" w:color="auto"/>
              </w:divBdr>
              <w:divsChild>
                <w:div w:id="1767313134">
                  <w:marLeft w:val="0"/>
                  <w:marRight w:val="0"/>
                  <w:marTop w:val="0"/>
                  <w:marBottom w:val="0"/>
                  <w:divBdr>
                    <w:top w:val="none" w:sz="0" w:space="0" w:color="auto"/>
                    <w:left w:val="none" w:sz="0" w:space="0" w:color="auto"/>
                    <w:bottom w:val="none" w:sz="0" w:space="0" w:color="auto"/>
                    <w:right w:val="none" w:sz="0" w:space="0" w:color="auto"/>
                  </w:divBdr>
                  <w:divsChild>
                    <w:div w:id="813135319">
                      <w:marLeft w:val="0"/>
                      <w:marRight w:val="0"/>
                      <w:marTop w:val="0"/>
                      <w:marBottom w:val="0"/>
                      <w:divBdr>
                        <w:top w:val="none" w:sz="0" w:space="0" w:color="auto"/>
                        <w:left w:val="none" w:sz="0" w:space="0" w:color="auto"/>
                        <w:bottom w:val="none" w:sz="0" w:space="0" w:color="auto"/>
                        <w:right w:val="none" w:sz="0" w:space="0" w:color="auto"/>
                      </w:divBdr>
                    </w:div>
                    <w:div w:id="169673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430803">
      <w:bodyDiv w:val="1"/>
      <w:marLeft w:val="0"/>
      <w:marRight w:val="0"/>
      <w:marTop w:val="0"/>
      <w:marBottom w:val="0"/>
      <w:divBdr>
        <w:top w:val="none" w:sz="0" w:space="0" w:color="auto"/>
        <w:left w:val="none" w:sz="0" w:space="0" w:color="auto"/>
        <w:bottom w:val="none" w:sz="0" w:space="0" w:color="auto"/>
        <w:right w:val="none" w:sz="0" w:space="0" w:color="auto"/>
      </w:divBdr>
      <w:divsChild>
        <w:div w:id="1358191780">
          <w:marLeft w:val="0"/>
          <w:marRight w:val="0"/>
          <w:marTop w:val="0"/>
          <w:marBottom w:val="0"/>
          <w:divBdr>
            <w:top w:val="none" w:sz="0" w:space="0" w:color="auto"/>
            <w:left w:val="none" w:sz="0" w:space="0" w:color="auto"/>
            <w:bottom w:val="none" w:sz="0" w:space="0" w:color="auto"/>
            <w:right w:val="none" w:sz="0" w:space="0" w:color="auto"/>
          </w:divBdr>
          <w:divsChild>
            <w:div w:id="242224625">
              <w:marLeft w:val="0"/>
              <w:marRight w:val="0"/>
              <w:marTop w:val="0"/>
              <w:marBottom w:val="0"/>
              <w:divBdr>
                <w:top w:val="none" w:sz="0" w:space="0" w:color="auto"/>
                <w:left w:val="none" w:sz="0" w:space="0" w:color="auto"/>
                <w:bottom w:val="none" w:sz="0" w:space="0" w:color="auto"/>
                <w:right w:val="none" w:sz="0" w:space="0" w:color="auto"/>
              </w:divBdr>
              <w:divsChild>
                <w:div w:id="76757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822221">
      <w:bodyDiv w:val="1"/>
      <w:marLeft w:val="0"/>
      <w:marRight w:val="0"/>
      <w:marTop w:val="0"/>
      <w:marBottom w:val="0"/>
      <w:divBdr>
        <w:top w:val="none" w:sz="0" w:space="0" w:color="auto"/>
        <w:left w:val="none" w:sz="0" w:space="0" w:color="auto"/>
        <w:bottom w:val="none" w:sz="0" w:space="0" w:color="auto"/>
        <w:right w:val="none" w:sz="0" w:space="0" w:color="auto"/>
      </w:divBdr>
      <w:divsChild>
        <w:div w:id="701244472">
          <w:marLeft w:val="0"/>
          <w:marRight w:val="0"/>
          <w:marTop w:val="0"/>
          <w:marBottom w:val="0"/>
          <w:divBdr>
            <w:top w:val="none" w:sz="0" w:space="0" w:color="auto"/>
            <w:left w:val="none" w:sz="0" w:space="0" w:color="auto"/>
            <w:bottom w:val="none" w:sz="0" w:space="0" w:color="auto"/>
            <w:right w:val="none" w:sz="0" w:space="0" w:color="auto"/>
          </w:divBdr>
          <w:divsChild>
            <w:div w:id="1178495915">
              <w:marLeft w:val="0"/>
              <w:marRight w:val="0"/>
              <w:marTop w:val="0"/>
              <w:marBottom w:val="0"/>
              <w:divBdr>
                <w:top w:val="none" w:sz="0" w:space="0" w:color="auto"/>
                <w:left w:val="none" w:sz="0" w:space="0" w:color="auto"/>
                <w:bottom w:val="none" w:sz="0" w:space="0" w:color="auto"/>
                <w:right w:val="none" w:sz="0" w:space="0" w:color="auto"/>
              </w:divBdr>
              <w:divsChild>
                <w:div w:id="136964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323877">
      <w:bodyDiv w:val="1"/>
      <w:marLeft w:val="0"/>
      <w:marRight w:val="0"/>
      <w:marTop w:val="0"/>
      <w:marBottom w:val="0"/>
      <w:divBdr>
        <w:top w:val="none" w:sz="0" w:space="0" w:color="auto"/>
        <w:left w:val="none" w:sz="0" w:space="0" w:color="auto"/>
        <w:bottom w:val="none" w:sz="0" w:space="0" w:color="auto"/>
        <w:right w:val="none" w:sz="0" w:space="0" w:color="auto"/>
      </w:divBdr>
    </w:div>
    <w:div w:id="361824693">
      <w:bodyDiv w:val="1"/>
      <w:marLeft w:val="0"/>
      <w:marRight w:val="0"/>
      <w:marTop w:val="0"/>
      <w:marBottom w:val="0"/>
      <w:divBdr>
        <w:top w:val="none" w:sz="0" w:space="0" w:color="auto"/>
        <w:left w:val="none" w:sz="0" w:space="0" w:color="auto"/>
        <w:bottom w:val="none" w:sz="0" w:space="0" w:color="auto"/>
        <w:right w:val="none" w:sz="0" w:space="0" w:color="auto"/>
      </w:divBdr>
      <w:divsChild>
        <w:div w:id="2144620427">
          <w:marLeft w:val="0"/>
          <w:marRight w:val="0"/>
          <w:marTop w:val="0"/>
          <w:marBottom w:val="0"/>
          <w:divBdr>
            <w:top w:val="none" w:sz="0" w:space="0" w:color="auto"/>
            <w:left w:val="none" w:sz="0" w:space="0" w:color="auto"/>
            <w:bottom w:val="none" w:sz="0" w:space="0" w:color="auto"/>
            <w:right w:val="none" w:sz="0" w:space="0" w:color="auto"/>
          </w:divBdr>
          <w:divsChild>
            <w:div w:id="705521504">
              <w:marLeft w:val="0"/>
              <w:marRight w:val="0"/>
              <w:marTop w:val="0"/>
              <w:marBottom w:val="0"/>
              <w:divBdr>
                <w:top w:val="none" w:sz="0" w:space="0" w:color="auto"/>
                <w:left w:val="none" w:sz="0" w:space="0" w:color="auto"/>
                <w:bottom w:val="none" w:sz="0" w:space="0" w:color="auto"/>
                <w:right w:val="none" w:sz="0" w:space="0" w:color="auto"/>
              </w:divBdr>
              <w:divsChild>
                <w:div w:id="193162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501685">
      <w:bodyDiv w:val="1"/>
      <w:marLeft w:val="0"/>
      <w:marRight w:val="0"/>
      <w:marTop w:val="0"/>
      <w:marBottom w:val="0"/>
      <w:divBdr>
        <w:top w:val="none" w:sz="0" w:space="0" w:color="auto"/>
        <w:left w:val="none" w:sz="0" w:space="0" w:color="auto"/>
        <w:bottom w:val="none" w:sz="0" w:space="0" w:color="auto"/>
        <w:right w:val="none" w:sz="0" w:space="0" w:color="auto"/>
      </w:divBdr>
      <w:divsChild>
        <w:div w:id="1301884578">
          <w:marLeft w:val="0"/>
          <w:marRight w:val="0"/>
          <w:marTop w:val="0"/>
          <w:marBottom w:val="0"/>
          <w:divBdr>
            <w:top w:val="none" w:sz="0" w:space="0" w:color="auto"/>
            <w:left w:val="none" w:sz="0" w:space="0" w:color="auto"/>
            <w:bottom w:val="none" w:sz="0" w:space="0" w:color="auto"/>
            <w:right w:val="none" w:sz="0" w:space="0" w:color="auto"/>
          </w:divBdr>
          <w:divsChild>
            <w:div w:id="285434655">
              <w:marLeft w:val="0"/>
              <w:marRight w:val="0"/>
              <w:marTop w:val="0"/>
              <w:marBottom w:val="0"/>
              <w:divBdr>
                <w:top w:val="none" w:sz="0" w:space="0" w:color="auto"/>
                <w:left w:val="none" w:sz="0" w:space="0" w:color="auto"/>
                <w:bottom w:val="none" w:sz="0" w:space="0" w:color="auto"/>
                <w:right w:val="none" w:sz="0" w:space="0" w:color="auto"/>
              </w:divBdr>
              <w:divsChild>
                <w:div w:id="192297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517944">
      <w:bodyDiv w:val="1"/>
      <w:marLeft w:val="0"/>
      <w:marRight w:val="0"/>
      <w:marTop w:val="0"/>
      <w:marBottom w:val="0"/>
      <w:divBdr>
        <w:top w:val="none" w:sz="0" w:space="0" w:color="auto"/>
        <w:left w:val="none" w:sz="0" w:space="0" w:color="auto"/>
        <w:bottom w:val="none" w:sz="0" w:space="0" w:color="auto"/>
        <w:right w:val="none" w:sz="0" w:space="0" w:color="auto"/>
      </w:divBdr>
      <w:divsChild>
        <w:div w:id="1083794413">
          <w:marLeft w:val="0"/>
          <w:marRight w:val="0"/>
          <w:marTop w:val="0"/>
          <w:marBottom w:val="0"/>
          <w:divBdr>
            <w:top w:val="none" w:sz="0" w:space="0" w:color="auto"/>
            <w:left w:val="none" w:sz="0" w:space="0" w:color="auto"/>
            <w:bottom w:val="none" w:sz="0" w:space="0" w:color="auto"/>
            <w:right w:val="none" w:sz="0" w:space="0" w:color="auto"/>
          </w:divBdr>
          <w:divsChild>
            <w:div w:id="192503933">
              <w:marLeft w:val="0"/>
              <w:marRight w:val="0"/>
              <w:marTop w:val="0"/>
              <w:marBottom w:val="0"/>
              <w:divBdr>
                <w:top w:val="none" w:sz="0" w:space="0" w:color="auto"/>
                <w:left w:val="none" w:sz="0" w:space="0" w:color="auto"/>
                <w:bottom w:val="none" w:sz="0" w:space="0" w:color="auto"/>
                <w:right w:val="none" w:sz="0" w:space="0" w:color="auto"/>
              </w:divBdr>
              <w:divsChild>
                <w:div w:id="16969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40304">
      <w:bodyDiv w:val="1"/>
      <w:marLeft w:val="0"/>
      <w:marRight w:val="0"/>
      <w:marTop w:val="0"/>
      <w:marBottom w:val="0"/>
      <w:divBdr>
        <w:top w:val="none" w:sz="0" w:space="0" w:color="auto"/>
        <w:left w:val="none" w:sz="0" w:space="0" w:color="auto"/>
        <w:bottom w:val="none" w:sz="0" w:space="0" w:color="auto"/>
        <w:right w:val="none" w:sz="0" w:space="0" w:color="auto"/>
      </w:divBdr>
      <w:divsChild>
        <w:div w:id="1509170135">
          <w:marLeft w:val="0"/>
          <w:marRight w:val="0"/>
          <w:marTop w:val="0"/>
          <w:marBottom w:val="0"/>
          <w:divBdr>
            <w:top w:val="none" w:sz="0" w:space="0" w:color="auto"/>
            <w:left w:val="none" w:sz="0" w:space="0" w:color="auto"/>
            <w:bottom w:val="none" w:sz="0" w:space="0" w:color="auto"/>
            <w:right w:val="none" w:sz="0" w:space="0" w:color="auto"/>
          </w:divBdr>
          <w:divsChild>
            <w:div w:id="2096589704">
              <w:marLeft w:val="0"/>
              <w:marRight w:val="0"/>
              <w:marTop w:val="0"/>
              <w:marBottom w:val="0"/>
              <w:divBdr>
                <w:top w:val="none" w:sz="0" w:space="0" w:color="auto"/>
                <w:left w:val="none" w:sz="0" w:space="0" w:color="auto"/>
                <w:bottom w:val="none" w:sz="0" w:space="0" w:color="auto"/>
                <w:right w:val="none" w:sz="0" w:space="0" w:color="auto"/>
              </w:divBdr>
              <w:divsChild>
                <w:div w:id="621158722">
                  <w:marLeft w:val="0"/>
                  <w:marRight w:val="0"/>
                  <w:marTop w:val="0"/>
                  <w:marBottom w:val="0"/>
                  <w:divBdr>
                    <w:top w:val="none" w:sz="0" w:space="0" w:color="auto"/>
                    <w:left w:val="none" w:sz="0" w:space="0" w:color="auto"/>
                    <w:bottom w:val="none" w:sz="0" w:space="0" w:color="auto"/>
                    <w:right w:val="none" w:sz="0" w:space="0" w:color="auto"/>
                  </w:divBdr>
                  <w:divsChild>
                    <w:div w:id="21747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913100">
      <w:bodyDiv w:val="1"/>
      <w:marLeft w:val="0"/>
      <w:marRight w:val="0"/>
      <w:marTop w:val="0"/>
      <w:marBottom w:val="0"/>
      <w:divBdr>
        <w:top w:val="none" w:sz="0" w:space="0" w:color="auto"/>
        <w:left w:val="none" w:sz="0" w:space="0" w:color="auto"/>
        <w:bottom w:val="none" w:sz="0" w:space="0" w:color="auto"/>
        <w:right w:val="none" w:sz="0" w:space="0" w:color="auto"/>
      </w:divBdr>
      <w:divsChild>
        <w:div w:id="1895040375">
          <w:marLeft w:val="0"/>
          <w:marRight w:val="0"/>
          <w:marTop w:val="0"/>
          <w:marBottom w:val="0"/>
          <w:divBdr>
            <w:top w:val="none" w:sz="0" w:space="0" w:color="auto"/>
            <w:left w:val="none" w:sz="0" w:space="0" w:color="auto"/>
            <w:bottom w:val="none" w:sz="0" w:space="0" w:color="auto"/>
            <w:right w:val="none" w:sz="0" w:space="0" w:color="auto"/>
          </w:divBdr>
          <w:divsChild>
            <w:div w:id="1495488351">
              <w:marLeft w:val="0"/>
              <w:marRight w:val="0"/>
              <w:marTop w:val="0"/>
              <w:marBottom w:val="0"/>
              <w:divBdr>
                <w:top w:val="none" w:sz="0" w:space="0" w:color="auto"/>
                <w:left w:val="none" w:sz="0" w:space="0" w:color="auto"/>
                <w:bottom w:val="none" w:sz="0" w:space="0" w:color="auto"/>
                <w:right w:val="none" w:sz="0" w:space="0" w:color="auto"/>
              </w:divBdr>
              <w:divsChild>
                <w:div w:id="1762600915">
                  <w:marLeft w:val="0"/>
                  <w:marRight w:val="0"/>
                  <w:marTop w:val="0"/>
                  <w:marBottom w:val="0"/>
                  <w:divBdr>
                    <w:top w:val="none" w:sz="0" w:space="0" w:color="auto"/>
                    <w:left w:val="none" w:sz="0" w:space="0" w:color="auto"/>
                    <w:bottom w:val="none" w:sz="0" w:space="0" w:color="auto"/>
                    <w:right w:val="none" w:sz="0" w:space="0" w:color="auto"/>
                  </w:divBdr>
                  <w:divsChild>
                    <w:div w:id="49507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021850">
      <w:bodyDiv w:val="1"/>
      <w:marLeft w:val="0"/>
      <w:marRight w:val="0"/>
      <w:marTop w:val="0"/>
      <w:marBottom w:val="0"/>
      <w:divBdr>
        <w:top w:val="none" w:sz="0" w:space="0" w:color="auto"/>
        <w:left w:val="none" w:sz="0" w:space="0" w:color="auto"/>
        <w:bottom w:val="none" w:sz="0" w:space="0" w:color="auto"/>
        <w:right w:val="none" w:sz="0" w:space="0" w:color="auto"/>
      </w:divBdr>
      <w:divsChild>
        <w:div w:id="1287472100">
          <w:marLeft w:val="0"/>
          <w:marRight w:val="0"/>
          <w:marTop w:val="0"/>
          <w:marBottom w:val="0"/>
          <w:divBdr>
            <w:top w:val="none" w:sz="0" w:space="0" w:color="auto"/>
            <w:left w:val="none" w:sz="0" w:space="0" w:color="auto"/>
            <w:bottom w:val="none" w:sz="0" w:space="0" w:color="auto"/>
            <w:right w:val="none" w:sz="0" w:space="0" w:color="auto"/>
          </w:divBdr>
          <w:divsChild>
            <w:div w:id="416706093">
              <w:marLeft w:val="0"/>
              <w:marRight w:val="0"/>
              <w:marTop w:val="0"/>
              <w:marBottom w:val="0"/>
              <w:divBdr>
                <w:top w:val="none" w:sz="0" w:space="0" w:color="auto"/>
                <w:left w:val="none" w:sz="0" w:space="0" w:color="auto"/>
                <w:bottom w:val="none" w:sz="0" w:space="0" w:color="auto"/>
                <w:right w:val="none" w:sz="0" w:space="0" w:color="auto"/>
              </w:divBdr>
              <w:divsChild>
                <w:div w:id="172163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76573">
      <w:bodyDiv w:val="1"/>
      <w:marLeft w:val="0"/>
      <w:marRight w:val="0"/>
      <w:marTop w:val="0"/>
      <w:marBottom w:val="0"/>
      <w:divBdr>
        <w:top w:val="none" w:sz="0" w:space="0" w:color="auto"/>
        <w:left w:val="none" w:sz="0" w:space="0" w:color="auto"/>
        <w:bottom w:val="none" w:sz="0" w:space="0" w:color="auto"/>
        <w:right w:val="none" w:sz="0" w:space="0" w:color="auto"/>
      </w:divBdr>
      <w:divsChild>
        <w:div w:id="33039593">
          <w:marLeft w:val="0"/>
          <w:marRight w:val="0"/>
          <w:marTop w:val="0"/>
          <w:marBottom w:val="0"/>
          <w:divBdr>
            <w:top w:val="none" w:sz="0" w:space="0" w:color="auto"/>
            <w:left w:val="none" w:sz="0" w:space="0" w:color="auto"/>
            <w:bottom w:val="none" w:sz="0" w:space="0" w:color="auto"/>
            <w:right w:val="none" w:sz="0" w:space="0" w:color="auto"/>
          </w:divBdr>
          <w:divsChild>
            <w:div w:id="783839927">
              <w:marLeft w:val="0"/>
              <w:marRight w:val="0"/>
              <w:marTop w:val="0"/>
              <w:marBottom w:val="0"/>
              <w:divBdr>
                <w:top w:val="none" w:sz="0" w:space="0" w:color="auto"/>
                <w:left w:val="none" w:sz="0" w:space="0" w:color="auto"/>
                <w:bottom w:val="none" w:sz="0" w:space="0" w:color="auto"/>
                <w:right w:val="none" w:sz="0" w:space="0" w:color="auto"/>
              </w:divBdr>
              <w:divsChild>
                <w:div w:id="1679889007">
                  <w:marLeft w:val="0"/>
                  <w:marRight w:val="0"/>
                  <w:marTop w:val="0"/>
                  <w:marBottom w:val="0"/>
                  <w:divBdr>
                    <w:top w:val="none" w:sz="0" w:space="0" w:color="auto"/>
                    <w:left w:val="none" w:sz="0" w:space="0" w:color="auto"/>
                    <w:bottom w:val="none" w:sz="0" w:space="0" w:color="auto"/>
                    <w:right w:val="none" w:sz="0" w:space="0" w:color="auto"/>
                  </w:divBdr>
                  <w:divsChild>
                    <w:div w:id="13580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363632">
      <w:bodyDiv w:val="1"/>
      <w:marLeft w:val="0"/>
      <w:marRight w:val="0"/>
      <w:marTop w:val="0"/>
      <w:marBottom w:val="0"/>
      <w:divBdr>
        <w:top w:val="none" w:sz="0" w:space="0" w:color="auto"/>
        <w:left w:val="none" w:sz="0" w:space="0" w:color="auto"/>
        <w:bottom w:val="none" w:sz="0" w:space="0" w:color="auto"/>
        <w:right w:val="none" w:sz="0" w:space="0" w:color="auto"/>
      </w:divBdr>
      <w:divsChild>
        <w:div w:id="710619250">
          <w:marLeft w:val="0"/>
          <w:marRight w:val="0"/>
          <w:marTop w:val="0"/>
          <w:marBottom w:val="0"/>
          <w:divBdr>
            <w:top w:val="none" w:sz="0" w:space="0" w:color="auto"/>
            <w:left w:val="none" w:sz="0" w:space="0" w:color="auto"/>
            <w:bottom w:val="none" w:sz="0" w:space="0" w:color="auto"/>
            <w:right w:val="none" w:sz="0" w:space="0" w:color="auto"/>
          </w:divBdr>
          <w:divsChild>
            <w:div w:id="1374160994">
              <w:marLeft w:val="0"/>
              <w:marRight w:val="0"/>
              <w:marTop w:val="0"/>
              <w:marBottom w:val="0"/>
              <w:divBdr>
                <w:top w:val="none" w:sz="0" w:space="0" w:color="auto"/>
                <w:left w:val="none" w:sz="0" w:space="0" w:color="auto"/>
                <w:bottom w:val="none" w:sz="0" w:space="0" w:color="auto"/>
                <w:right w:val="none" w:sz="0" w:space="0" w:color="auto"/>
              </w:divBdr>
              <w:divsChild>
                <w:div w:id="140772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079688">
      <w:bodyDiv w:val="1"/>
      <w:marLeft w:val="0"/>
      <w:marRight w:val="0"/>
      <w:marTop w:val="0"/>
      <w:marBottom w:val="0"/>
      <w:divBdr>
        <w:top w:val="none" w:sz="0" w:space="0" w:color="auto"/>
        <w:left w:val="none" w:sz="0" w:space="0" w:color="auto"/>
        <w:bottom w:val="none" w:sz="0" w:space="0" w:color="auto"/>
        <w:right w:val="none" w:sz="0" w:space="0" w:color="auto"/>
      </w:divBdr>
      <w:divsChild>
        <w:div w:id="928808836">
          <w:marLeft w:val="0"/>
          <w:marRight w:val="0"/>
          <w:marTop w:val="0"/>
          <w:marBottom w:val="0"/>
          <w:divBdr>
            <w:top w:val="none" w:sz="0" w:space="0" w:color="auto"/>
            <w:left w:val="none" w:sz="0" w:space="0" w:color="auto"/>
            <w:bottom w:val="none" w:sz="0" w:space="0" w:color="auto"/>
            <w:right w:val="none" w:sz="0" w:space="0" w:color="auto"/>
          </w:divBdr>
          <w:divsChild>
            <w:div w:id="1960528369">
              <w:marLeft w:val="0"/>
              <w:marRight w:val="0"/>
              <w:marTop w:val="0"/>
              <w:marBottom w:val="0"/>
              <w:divBdr>
                <w:top w:val="none" w:sz="0" w:space="0" w:color="auto"/>
                <w:left w:val="none" w:sz="0" w:space="0" w:color="auto"/>
                <w:bottom w:val="none" w:sz="0" w:space="0" w:color="auto"/>
                <w:right w:val="none" w:sz="0" w:space="0" w:color="auto"/>
              </w:divBdr>
              <w:divsChild>
                <w:div w:id="16043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642724">
      <w:bodyDiv w:val="1"/>
      <w:marLeft w:val="0"/>
      <w:marRight w:val="0"/>
      <w:marTop w:val="0"/>
      <w:marBottom w:val="0"/>
      <w:divBdr>
        <w:top w:val="none" w:sz="0" w:space="0" w:color="auto"/>
        <w:left w:val="none" w:sz="0" w:space="0" w:color="auto"/>
        <w:bottom w:val="none" w:sz="0" w:space="0" w:color="auto"/>
        <w:right w:val="none" w:sz="0" w:space="0" w:color="auto"/>
      </w:divBdr>
      <w:divsChild>
        <w:div w:id="437219610">
          <w:marLeft w:val="0"/>
          <w:marRight w:val="0"/>
          <w:marTop w:val="0"/>
          <w:marBottom w:val="0"/>
          <w:divBdr>
            <w:top w:val="none" w:sz="0" w:space="0" w:color="auto"/>
            <w:left w:val="none" w:sz="0" w:space="0" w:color="auto"/>
            <w:bottom w:val="none" w:sz="0" w:space="0" w:color="auto"/>
            <w:right w:val="none" w:sz="0" w:space="0" w:color="auto"/>
          </w:divBdr>
          <w:divsChild>
            <w:div w:id="244994631">
              <w:marLeft w:val="0"/>
              <w:marRight w:val="0"/>
              <w:marTop w:val="0"/>
              <w:marBottom w:val="0"/>
              <w:divBdr>
                <w:top w:val="none" w:sz="0" w:space="0" w:color="auto"/>
                <w:left w:val="none" w:sz="0" w:space="0" w:color="auto"/>
                <w:bottom w:val="none" w:sz="0" w:space="0" w:color="auto"/>
                <w:right w:val="none" w:sz="0" w:space="0" w:color="auto"/>
              </w:divBdr>
              <w:divsChild>
                <w:div w:id="62936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928938">
      <w:bodyDiv w:val="1"/>
      <w:marLeft w:val="0"/>
      <w:marRight w:val="0"/>
      <w:marTop w:val="0"/>
      <w:marBottom w:val="0"/>
      <w:divBdr>
        <w:top w:val="none" w:sz="0" w:space="0" w:color="auto"/>
        <w:left w:val="none" w:sz="0" w:space="0" w:color="auto"/>
        <w:bottom w:val="none" w:sz="0" w:space="0" w:color="auto"/>
        <w:right w:val="none" w:sz="0" w:space="0" w:color="auto"/>
      </w:divBdr>
    </w:div>
    <w:div w:id="721028613">
      <w:bodyDiv w:val="1"/>
      <w:marLeft w:val="0"/>
      <w:marRight w:val="0"/>
      <w:marTop w:val="0"/>
      <w:marBottom w:val="0"/>
      <w:divBdr>
        <w:top w:val="none" w:sz="0" w:space="0" w:color="auto"/>
        <w:left w:val="none" w:sz="0" w:space="0" w:color="auto"/>
        <w:bottom w:val="none" w:sz="0" w:space="0" w:color="auto"/>
        <w:right w:val="none" w:sz="0" w:space="0" w:color="auto"/>
      </w:divBdr>
    </w:div>
    <w:div w:id="780417950">
      <w:bodyDiv w:val="1"/>
      <w:marLeft w:val="0"/>
      <w:marRight w:val="0"/>
      <w:marTop w:val="0"/>
      <w:marBottom w:val="0"/>
      <w:divBdr>
        <w:top w:val="none" w:sz="0" w:space="0" w:color="auto"/>
        <w:left w:val="none" w:sz="0" w:space="0" w:color="auto"/>
        <w:bottom w:val="none" w:sz="0" w:space="0" w:color="auto"/>
        <w:right w:val="none" w:sz="0" w:space="0" w:color="auto"/>
      </w:divBdr>
      <w:divsChild>
        <w:div w:id="309595805">
          <w:marLeft w:val="0"/>
          <w:marRight w:val="0"/>
          <w:marTop w:val="0"/>
          <w:marBottom w:val="0"/>
          <w:divBdr>
            <w:top w:val="none" w:sz="0" w:space="0" w:color="auto"/>
            <w:left w:val="none" w:sz="0" w:space="0" w:color="auto"/>
            <w:bottom w:val="none" w:sz="0" w:space="0" w:color="auto"/>
            <w:right w:val="none" w:sz="0" w:space="0" w:color="auto"/>
          </w:divBdr>
          <w:divsChild>
            <w:div w:id="1115441004">
              <w:marLeft w:val="0"/>
              <w:marRight w:val="0"/>
              <w:marTop w:val="0"/>
              <w:marBottom w:val="0"/>
              <w:divBdr>
                <w:top w:val="none" w:sz="0" w:space="0" w:color="auto"/>
                <w:left w:val="none" w:sz="0" w:space="0" w:color="auto"/>
                <w:bottom w:val="none" w:sz="0" w:space="0" w:color="auto"/>
                <w:right w:val="none" w:sz="0" w:space="0" w:color="auto"/>
              </w:divBdr>
              <w:divsChild>
                <w:div w:id="44179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699464">
      <w:bodyDiv w:val="1"/>
      <w:marLeft w:val="0"/>
      <w:marRight w:val="0"/>
      <w:marTop w:val="0"/>
      <w:marBottom w:val="0"/>
      <w:divBdr>
        <w:top w:val="none" w:sz="0" w:space="0" w:color="auto"/>
        <w:left w:val="none" w:sz="0" w:space="0" w:color="auto"/>
        <w:bottom w:val="none" w:sz="0" w:space="0" w:color="auto"/>
        <w:right w:val="none" w:sz="0" w:space="0" w:color="auto"/>
      </w:divBdr>
      <w:divsChild>
        <w:div w:id="364916333">
          <w:marLeft w:val="0"/>
          <w:marRight w:val="0"/>
          <w:marTop w:val="0"/>
          <w:marBottom w:val="0"/>
          <w:divBdr>
            <w:top w:val="none" w:sz="0" w:space="0" w:color="auto"/>
            <w:left w:val="none" w:sz="0" w:space="0" w:color="auto"/>
            <w:bottom w:val="none" w:sz="0" w:space="0" w:color="auto"/>
            <w:right w:val="none" w:sz="0" w:space="0" w:color="auto"/>
          </w:divBdr>
          <w:divsChild>
            <w:div w:id="151411879">
              <w:marLeft w:val="0"/>
              <w:marRight w:val="0"/>
              <w:marTop w:val="0"/>
              <w:marBottom w:val="0"/>
              <w:divBdr>
                <w:top w:val="none" w:sz="0" w:space="0" w:color="auto"/>
                <w:left w:val="none" w:sz="0" w:space="0" w:color="auto"/>
                <w:bottom w:val="none" w:sz="0" w:space="0" w:color="auto"/>
                <w:right w:val="none" w:sz="0" w:space="0" w:color="auto"/>
              </w:divBdr>
              <w:divsChild>
                <w:div w:id="191404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900759">
      <w:bodyDiv w:val="1"/>
      <w:marLeft w:val="0"/>
      <w:marRight w:val="0"/>
      <w:marTop w:val="0"/>
      <w:marBottom w:val="0"/>
      <w:divBdr>
        <w:top w:val="none" w:sz="0" w:space="0" w:color="auto"/>
        <w:left w:val="none" w:sz="0" w:space="0" w:color="auto"/>
        <w:bottom w:val="none" w:sz="0" w:space="0" w:color="auto"/>
        <w:right w:val="none" w:sz="0" w:space="0" w:color="auto"/>
      </w:divBdr>
      <w:divsChild>
        <w:div w:id="1779518220">
          <w:marLeft w:val="0"/>
          <w:marRight w:val="0"/>
          <w:marTop w:val="0"/>
          <w:marBottom w:val="0"/>
          <w:divBdr>
            <w:top w:val="none" w:sz="0" w:space="0" w:color="auto"/>
            <w:left w:val="none" w:sz="0" w:space="0" w:color="auto"/>
            <w:bottom w:val="none" w:sz="0" w:space="0" w:color="auto"/>
            <w:right w:val="none" w:sz="0" w:space="0" w:color="auto"/>
          </w:divBdr>
          <w:divsChild>
            <w:div w:id="60718475">
              <w:marLeft w:val="0"/>
              <w:marRight w:val="0"/>
              <w:marTop w:val="0"/>
              <w:marBottom w:val="0"/>
              <w:divBdr>
                <w:top w:val="none" w:sz="0" w:space="0" w:color="auto"/>
                <w:left w:val="none" w:sz="0" w:space="0" w:color="auto"/>
                <w:bottom w:val="none" w:sz="0" w:space="0" w:color="auto"/>
                <w:right w:val="none" w:sz="0" w:space="0" w:color="auto"/>
              </w:divBdr>
              <w:divsChild>
                <w:div w:id="180761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60878">
      <w:bodyDiv w:val="1"/>
      <w:marLeft w:val="0"/>
      <w:marRight w:val="0"/>
      <w:marTop w:val="0"/>
      <w:marBottom w:val="0"/>
      <w:divBdr>
        <w:top w:val="none" w:sz="0" w:space="0" w:color="auto"/>
        <w:left w:val="none" w:sz="0" w:space="0" w:color="auto"/>
        <w:bottom w:val="none" w:sz="0" w:space="0" w:color="auto"/>
        <w:right w:val="none" w:sz="0" w:space="0" w:color="auto"/>
      </w:divBdr>
      <w:divsChild>
        <w:div w:id="1142575264">
          <w:marLeft w:val="0"/>
          <w:marRight w:val="0"/>
          <w:marTop w:val="0"/>
          <w:marBottom w:val="0"/>
          <w:divBdr>
            <w:top w:val="none" w:sz="0" w:space="0" w:color="auto"/>
            <w:left w:val="none" w:sz="0" w:space="0" w:color="auto"/>
            <w:bottom w:val="none" w:sz="0" w:space="0" w:color="auto"/>
            <w:right w:val="none" w:sz="0" w:space="0" w:color="auto"/>
          </w:divBdr>
          <w:divsChild>
            <w:div w:id="338586199">
              <w:marLeft w:val="0"/>
              <w:marRight w:val="0"/>
              <w:marTop w:val="0"/>
              <w:marBottom w:val="0"/>
              <w:divBdr>
                <w:top w:val="none" w:sz="0" w:space="0" w:color="auto"/>
                <w:left w:val="none" w:sz="0" w:space="0" w:color="auto"/>
                <w:bottom w:val="none" w:sz="0" w:space="0" w:color="auto"/>
                <w:right w:val="none" w:sz="0" w:space="0" w:color="auto"/>
              </w:divBdr>
              <w:divsChild>
                <w:div w:id="156810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65198">
      <w:bodyDiv w:val="1"/>
      <w:marLeft w:val="0"/>
      <w:marRight w:val="0"/>
      <w:marTop w:val="0"/>
      <w:marBottom w:val="0"/>
      <w:divBdr>
        <w:top w:val="none" w:sz="0" w:space="0" w:color="auto"/>
        <w:left w:val="none" w:sz="0" w:space="0" w:color="auto"/>
        <w:bottom w:val="none" w:sz="0" w:space="0" w:color="auto"/>
        <w:right w:val="none" w:sz="0" w:space="0" w:color="auto"/>
      </w:divBdr>
      <w:divsChild>
        <w:div w:id="415789465">
          <w:marLeft w:val="0"/>
          <w:marRight w:val="0"/>
          <w:marTop w:val="0"/>
          <w:marBottom w:val="0"/>
          <w:divBdr>
            <w:top w:val="none" w:sz="0" w:space="0" w:color="auto"/>
            <w:left w:val="none" w:sz="0" w:space="0" w:color="auto"/>
            <w:bottom w:val="none" w:sz="0" w:space="0" w:color="auto"/>
            <w:right w:val="none" w:sz="0" w:space="0" w:color="auto"/>
          </w:divBdr>
          <w:divsChild>
            <w:div w:id="868908608">
              <w:marLeft w:val="0"/>
              <w:marRight w:val="0"/>
              <w:marTop w:val="0"/>
              <w:marBottom w:val="0"/>
              <w:divBdr>
                <w:top w:val="none" w:sz="0" w:space="0" w:color="auto"/>
                <w:left w:val="none" w:sz="0" w:space="0" w:color="auto"/>
                <w:bottom w:val="none" w:sz="0" w:space="0" w:color="auto"/>
                <w:right w:val="none" w:sz="0" w:space="0" w:color="auto"/>
              </w:divBdr>
              <w:divsChild>
                <w:div w:id="814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356973">
      <w:bodyDiv w:val="1"/>
      <w:marLeft w:val="0"/>
      <w:marRight w:val="0"/>
      <w:marTop w:val="0"/>
      <w:marBottom w:val="0"/>
      <w:divBdr>
        <w:top w:val="none" w:sz="0" w:space="0" w:color="auto"/>
        <w:left w:val="none" w:sz="0" w:space="0" w:color="auto"/>
        <w:bottom w:val="none" w:sz="0" w:space="0" w:color="auto"/>
        <w:right w:val="none" w:sz="0" w:space="0" w:color="auto"/>
      </w:divBdr>
      <w:divsChild>
        <w:div w:id="1601639533">
          <w:marLeft w:val="0"/>
          <w:marRight w:val="0"/>
          <w:marTop w:val="0"/>
          <w:marBottom w:val="0"/>
          <w:divBdr>
            <w:top w:val="none" w:sz="0" w:space="0" w:color="auto"/>
            <w:left w:val="none" w:sz="0" w:space="0" w:color="auto"/>
            <w:bottom w:val="none" w:sz="0" w:space="0" w:color="auto"/>
            <w:right w:val="none" w:sz="0" w:space="0" w:color="auto"/>
          </w:divBdr>
          <w:divsChild>
            <w:div w:id="1947613807">
              <w:marLeft w:val="0"/>
              <w:marRight w:val="0"/>
              <w:marTop w:val="0"/>
              <w:marBottom w:val="0"/>
              <w:divBdr>
                <w:top w:val="none" w:sz="0" w:space="0" w:color="auto"/>
                <w:left w:val="none" w:sz="0" w:space="0" w:color="auto"/>
                <w:bottom w:val="none" w:sz="0" w:space="0" w:color="auto"/>
                <w:right w:val="none" w:sz="0" w:space="0" w:color="auto"/>
              </w:divBdr>
              <w:divsChild>
                <w:div w:id="153577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016320">
      <w:bodyDiv w:val="1"/>
      <w:marLeft w:val="0"/>
      <w:marRight w:val="0"/>
      <w:marTop w:val="0"/>
      <w:marBottom w:val="0"/>
      <w:divBdr>
        <w:top w:val="none" w:sz="0" w:space="0" w:color="auto"/>
        <w:left w:val="none" w:sz="0" w:space="0" w:color="auto"/>
        <w:bottom w:val="none" w:sz="0" w:space="0" w:color="auto"/>
        <w:right w:val="none" w:sz="0" w:space="0" w:color="auto"/>
      </w:divBdr>
      <w:divsChild>
        <w:div w:id="1721632806">
          <w:marLeft w:val="0"/>
          <w:marRight w:val="0"/>
          <w:marTop w:val="0"/>
          <w:marBottom w:val="0"/>
          <w:divBdr>
            <w:top w:val="none" w:sz="0" w:space="0" w:color="auto"/>
            <w:left w:val="none" w:sz="0" w:space="0" w:color="auto"/>
            <w:bottom w:val="none" w:sz="0" w:space="0" w:color="auto"/>
            <w:right w:val="none" w:sz="0" w:space="0" w:color="auto"/>
          </w:divBdr>
          <w:divsChild>
            <w:div w:id="1427381436">
              <w:marLeft w:val="0"/>
              <w:marRight w:val="0"/>
              <w:marTop w:val="0"/>
              <w:marBottom w:val="0"/>
              <w:divBdr>
                <w:top w:val="none" w:sz="0" w:space="0" w:color="auto"/>
                <w:left w:val="none" w:sz="0" w:space="0" w:color="auto"/>
                <w:bottom w:val="none" w:sz="0" w:space="0" w:color="auto"/>
                <w:right w:val="none" w:sz="0" w:space="0" w:color="auto"/>
              </w:divBdr>
              <w:divsChild>
                <w:div w:id="186000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293665">
      <w:bodyDiv w:val="1"/>
      <w:marLeft w:val="0"/>
      <w:marRight w:val="0"/>
      <w:marTop w:val="0"/>
      <w:marBottom w:val="0"/>
      <w:divBdr>
        <w:top w:val="none" w:sz="0" w:space="0" w:color="auto"/>
        <w:left w:val="none" w:sz="0" w:space="0" w:color="auto"/>
        <w:bottom w:val="none" w:sz="0" w:space="0" w:color="auto"/>
        <w:right w:val="none" w:sz="0" w:space="0" w:color="auto"/>
      </w:divBdr>
      <w:divsChild>
        <w:div w:id="1315186118">
          <w:marLeft w:val="0"/>
          <w:marRight w:val="0"/>
          <w:marTop w:val="0"/>
          <w:marBottom w:val="0"/>
          <w:divBdr>
            <w:top w:val="none" w:sz="0" w:space="0" w:color="auto"/>
            <w:left w:val="none" w:sz="0" w:space="0" w:color="auto"/>
            <w:bottom w:val="none" w:sz="0" w:space="0" w:color="auto"/>
            <w:right w:val="none" w:sz="0" w:space="0" w:color="auto"/>
          </w:divBdr>
          <w:divsChild>
            <w:div w:id="1666542988">
              <w:marLeft w:val="0"/>
              <w:marRight w:val="0"/>
              <w:marTop w:val="0"/>
              <w:marBottom w:val="0"/>
              <w:divBdr>
                <w:top w:val="none" w:sz="0" w:space="0" w:color="auto"/>
                <w:left w:val="none" w:sz="0" w:space="0" w:color="auto"/>
                <w:bottom w:val="none" w:sz="0" w:space="0" w:color="auto"/>
                <w:right w:val="none" w:sz="0" w:space="0" w:color="auto"/>
              </w:divBdr>
              <w:divsChild>
                <w:div w:id="48124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80141">
      <w:bodyDiv w:val="1"/>
      <w:marLeft w:val="0"/>
      <w:marRight w:val="0"/>
      <w:marTop w:val="0"/>
      <w:marBottom w:val="0"/>
      <w:divBdr>
        <w:top w:val="none" w:sz="0" w:space="0" w:color="auto"/>
        <w:left w:val="none" w:sz="0" w:space="0" w:color="auto"/>
        <w:bottom w:val="none" w:sz="0" w:space="0" w:color="auto"/>
        <w:right w:val="none" w:sz="0" w:space="0" w:color="auto"/>
      </w:divBdr>
      <w:divsChild>
        <w:div w:id="1405449049">
          <w:marLeft w:val="0"/>
          <w:marRight w:val="0"/>
          <w:marTop w:val="0"/>
          <w:marBottom w:val="0"/>
          <w:divBdr>
            <w:top w:val="none" w:sz="0" w:space="0" w:color="auto"/>
            <w:left w:val="none" w:sz="0" w:space="0" w:color="auto"/>
            <w:bottom w:val="none" w:sz="0" w:space="0" w:color="auto"/>
            <w:right w:val="none" w:sz="0" w:space="0" w:color="auto"/>
          </w:divBdr>
          <w:divsChild>
            <w:div w:id="1460956977">
              <w:marLeft w:val="0"/>
              <w:marRight w:val="0"/>
              <w:marTop w:val="0"/>
              <w:marBottom w:val="0"/>
              <w:divBdr>
                <w:top w:val="none" w:sz="0" w:space="0" w:color="auto"/>
                <w:left w:val="none" w:sz="0" w:space="0" w:color="auto"/>
                <w:bottom w:val="none" w:sz="0" w:space="0" w:color="auto"/>
                <w:right w:val="none" w:sz="0" w:space="0" w:color="auto"/>
              </w:divBdr>
              <w:divsChild>
                <w:div w:id="16699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732375">
      <w:bodyDiv w:val="1"/>
      <w:marLeft w:val="0"/>
      <w:marRight w:val="0"/>
      <w:marTop w:val="0"/>
      <w:marBottom w:val="0"/>
      <w:divBdr>
        <w:top w:val="none" w:sz="0" w:space="0" w:color="auto"/>
        <w:left w:val="none" w:sz="0" w:space="0" w:color="auto"/>
        <w:bottom w:val="none" w:sz="0" w:space="0" w:color="auto"/>
        <w:right w:val="none" w:sz="0" w:space="0" w:color="auto"/>
      </w:divBdr>
      <w:divsChild>
        <w:div w:id="34895638">
          <w:marLeft w:val="0"/>
          <w:marRight w:val="0"/>
          <w:marTop w:val="0"/>
          <w:marBottom w:val="0"/>
          <w:divBdr>
            <w:top w:val="none" w:sz="0" w:space="0" w:color="auto"/>
            <w:left w:val="none" w:sz="0" w:space="0" w:color="auto"/>
            <w:bottom w:val="none" w:sz="0" w:space="0" w:color="auto"/>
            <w:right w:val="none" w:sz="0" w:space="0" w:color="auto"/>
          </w:divBdr>
          <w:divsChild>
            <w:div w:id="1185557137">
              <w:marLeft w:val="0"/>
              <w:marRight w:val="0"/>
              <w:marTop w:val="0"/>
              <w:marBottom w:val="0"/>
              <w:divBdr>
                <w:top w:val="none" w:sz="0" w:space="0" w:color="auto"/>
                <w:left w:val="none" w:sz="0" w:space="0" w:color="auto"/>
                <w:bottom w:val="none" w:sz="0" w:space="0" w:color="auto"/>
                <w:right w:val="none" w:sz="0" w:space="0" w:color="auto"/>
              </w:divBdr>
              <w:divsChild>
                <w:div w:id="176700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233625">
      <w:bodyDiv w:val="1"/>
      <w:marLeft w:val="0"/>
      <w:marRight w:val="0"/>
      <w:marTop w:val="0"/>
      <w:marBottom w:val="0"/>
      <w:divBdr>
        <w:top w:val="none" w:sz="0" w:space="0" w:color="auto"/>
        <w:left w:val="none" w:sz="0" w:space="0" w:color="auto"/>
        <w:bottom w:val="none" w:sz="0" w:space="0" w:color="auto"/>
        <w:right w:val="none" w:sz="0" w:space="0" w:color="auto"/>
      </w:divBdr>
      <w:divsChild>
        <w:div w:id="523444338">
          <w:marLeft w:val="0"/>
          <w:marRight w:val="0"/>
          <w:marTop w:val="100"/>
          <w:marBottom w:val="100"/>
          <w:divBdr>
            <w:top w:val="none" w:sz="0" w:space="0" w:color="auto"/>
            <w:left w:val="none" w:sz="0" w:space="0" w:color="auto"/>
            <w:bottom w:val="none" w:sz="0" w:space="0" w:color="auto"/>
            <w:right w:val="none" w:sz="0" w:space="0" w:color="auto"/>
          </w:divBdr>
          <w:divsChild>
            <w:div w:id="120239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389959">
      <w:bodyDiv w:val="1"/>
      <w:marLeft w:val="0"/>
      <w:marRight w:val="0"/>
      <w:marTop w:val="0"/>
      <w:marBottom w:val="0"/>
      <w:divBdr>
        <w:top w:val="none" w:sz="0" w:space="0" w:color="auto"/>
        <w:left w:val="none" w:sz="0" w:space="0" w:color="auto"/>
        <w:bottom w:val="none" w:sz="0" w:space="0" w:color="auto"/>
        <w:right w:val="none" w:sz="0" w:space="0" w:color="auto"/>
      </w:divBdr>
      <w:divsChild>
        <w:div w:id="587273723">
          <w:marLeft w:val="0"/>
          <w:marRight w:val="0"/>
          <w:marTop w:val="0"/>
          <w:marBottom w:val="0"/>
          <w:divBdr>
            <w:top w:val="none" w:sz="0" w:space="0" w:color="auto"/>
            <w:left w:val="none" w:sz="0" w:space="0" w:color="auto"/>
            <w:bottom w:val="none" w:sz="0" w:space="0" w:color="auto"/>
            <w:right w:val="none" w:sz="0" w:space="0" w:color="auto"/>
          </w:divBdr>
          <w:divsChild>
            <w:div w:id="668949011">
              <w:marLeft w:val="0"/>
              <w:marRight w:val="0"/>
              <w:marTop w:val="0"/>
              <w:marBottom w:val="0"/>
              <w:divBdr>
                <w:top w:val="none" w:sz="0" w:space="0" w:color="auto"/>
                <w:left w:val="none" w:sz="0" w:space="0" w:color="auto"/>
                <w:bottom w:val="none" w:sz="0" w:space="0" w:color="auto"/>
                <w:right w:val="none" w:sz="0" w:space="0" w:color="auto"/>
              </w:divBdr>
              <w:divsChild>
                <w:div w:id="32659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02287">
      <w:bodyDiv w:val="1"/>
      <w:marLeft w:val="0"/>
      <w:marRight w:val="0"/>
      <w:marTop w:val="0"/>
      <w:marBottom w:val="0"/>
      <w:divBdr>
        <w:top w:val="none" w:sz="0" w:space="0" w:color="auto"/>
        <w:left w:val="none" w:sz="0" w:space="0" w:color="auto"/>
        <w:bottom w:val="none" w:sz="0" w:space="0" w:color="auto"/>
        <w:right w:val="none" w:sz="0" w:space="0" w:color="auto"/>
      </w:divBdr>
      <w:divsChild>
        <w:div w:id="1551722104">
          <w:marLeft w:val="0"/>
          <w:marRight w:val="0"/>
          <w:marTop w:val="0"/>
          <w:marBottom w:val="0"/>
          <w:divBdr>
            <w:top w:val="none" w:sz="0" w:space="0" w:color="auto"/>
            <w:left w:val="none" w:sz="0" w:space="0" w:color="auto"/>
            <w:bottom w:val="none" w:sz="0" w:space="0" w:color="auto"/>
            <w:right w:val="none" w:sz="0" w:space="0" w:color="auto"/>
          </w:divBdr>
          <w:divsChild>
            <w:div w:id="1548254206">
              <w:marLeft w:val="0"/>
              <w:marRight w:val="0"/>
              <w:marTop w:val="0"/>
              <w:marBottom w:val="0"/>
              <w:divBdr>
                <w:top w:val="none" w:sz="0" w:space="0" w:color="auto"/>
                <w:left w:val="none" w:sz="0" w:space="0" w:color="auto"/>
                <w:bottom w:val="none" w:sz="0" w:space="0" w:color="auto"/>
                <w:right w:val="none" w:sz="0" w:space="0" w:color="auto"/>
              </w:divBdr>
              <w:divsChild>
                <w:div w:id="147609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375993">
      <w:bodyDiv w:val="1"/>
      <w:marLeft w:val="0"/>
      <w:marRight w:val="0"/>
      <w:marTop w:val="0"/>
      <w:marBottom w:val="0"/>
      <w:divBdr>
        <w:top w:val="none" w:sz="0" w:space="0" w:color="auto"/>
        <w:left w:val="none" w:sz="0" w:space="0" w:color="auto"/>
        <w:bottom w:val="none" w:sz="0" w:space="0" w:color="auto"/>
        <w:right w:val="none" w:sz="0" w:space="0" w:color="auto"/>
      </w:divBdr>
      <w:divsChild>
        <w:div w:id="1623686368">
          <w:marLeft w:val="0"/>
          <w:marRight w:val="0"/>
          <w:marTop w:val="0"/>
          <w:marBottom w:val="0"/>
          <w:divBdr>
            <w:top w:val="none" w:sz="0" w:space="0" w:color="auto"/>
            <w:left w:val="none" w:sz="0" w:space="0" w:color="auto"/>
            <w:bottom w:val="none" w:sz="0" w:space="0" w:color="auto"/>
            <w:right w:val="none" w:sz="0" w:space="0" w:color="auto"/>
          </w:divBdr>
          <w:divsChild>
            <w:div w:id="1933275006">
              <w:marLeft w:val="0"/>
              <w:marRight w:val="0"/>
              <w:marTop w:val="0"/>
              <w:marBottom w:val="0"/>
              <w:divBdr>
                <w:top w:val="none" w:sz="0" w:space="0" w:color="auto"/>
                <w:left w:val="none" w:sz="0" w:space="0" w:color="auto"/>
                <w:bottom w:val="none" w:sz="0" w:space="0" w:color="auto"/>
                <w:right w:val="none" w:sz="0" w:space="0" w:color="auto"/>
              </w:divBdr>
              <w:divsChild>
                <w:div w:id="165035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17231">
      <w:bodyDiv w:val="1"/>
      <w:marLeft w:val="0"/>
      <w:marRight w:val="0"/>
      <w:marTop w:val="0"/>
      <w:marBottom w:val="0"/>
      <w:divBdr>
        <w:top w:val="none" w:sz="0" w:space="0" w:color="auto"/>
        <w:left w:val="none" w:sz="0" w:space="0" w:color="auto"/>
        <w:bottom w:val="none" w:sz="0" w:space="0" w:color="auto"/>
        <w:right w:val="none" w:sz="0" w:space="0" w:color="auto"/>
      </w:divBdr>
    </w:div>
    <w:div w:id="1061444087">
      <w:bodyDiv w:val="1"/>
      <w:marLeft w:val="0"/>
      <w:marRight w:val="0"/>
      <w:marTop w:val="0"/>
      <w:marBottom w:val="0"/>
      <w:divBdr>
        <w:top w:val="none" w:sz="0" w:space="0" w:color="auto"/>
        <w:left w:val="none" w:sz="0" w:space="0" w:color="auto"/>
        <w:bottom w:val="none" w:sz="0" w:space="0" w:color="auto"/>
        <w:right w:val="none" w:sz="0" w:space="0" w:color="auto"/>
      </w:divBdr>
      <w:divsChild>
        <w:div w:id="1241912646">
          <w:marLeft w:val="0"/>
          <w:marRight w:val="0"/>
          <w:marTop w:val="0"/>
          <w:marBottom w:val="0"/>
          <w:divBdr>
            <w:top w:val="none" w:sz="0" w:space="0" w:color="auto"/>
            <w:left w:val="none" w:sz="0" w:space="0" w:color="auto"/>
            <w:bottom w:val="none" w:sz="0" w:space="0" w:color="auto"/>
            <w:right w:val="none" w:sz="0" w:space="0" w:color="auto"/>
          </w:divBdr>
          <w:divsChild>
            <w:div w:id="1183125567">
              <w:marLeft w:val="0"/>
              <w:marRight w:val="0"/>
              <w:marTop w:val="0"/>
              <w:marBottom w:val="0"/>
              <w:divBdr>
                <w:top w:val="none" w:sz="0" w:space="0" w:color="auto"/>
                <w:left w:val="none" w:sz="0" w:space="0" w:color="auto"/>
                <w:bottom w:val="none" w:sz="0" w:space="0" w:color="auto"/>
                <w:right w:val="none" w:sz="0" w:space="0" w:color="auto"/>
              </w:divBdr>
              <w:divsChild>
                <w:div w:id="50405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382293">
      <w:bodyDiv w:val="1"/>
      <w:marLeft w:val="0"/>
      <w:marRight w:val="0"/>
      <w:marTop w:val="0"/>
      <w:marBottom w:val="0"/>
      <w:divBdr>
        <w:top w:val="none" w:sz="0" w:space="0" w:color="auto"/>
        <w:left w:val="none" w:sz="0" w:space="0" w:color="auto"/>
        <w:bottom w:val="none" w:sz="0" w:space="0" w:color="auto"/>
        <w:right w:val="none" w:sz="0" w:space="0" w:color="auto"/>
      </w:divBdr>
      <w:divsChild>
        <w:div w:id="170224309">
          <w:marLeft w:val="0"/>
          <w:marRight w:val="0"/>
          <w:marTop w:val="0"/>
          <w:marBottom w:val="0"/>
          <w:divBdr>
            <w:top w:val="none" w:sz="0" w:space="0" w:color="auto"/>
            <w:left w:val="none" w:sz="0" w:space="0" w:color="auto"/>
            <w:bottom w:val="none" w:sz="0" w:space="0" w:color="auto"/>
            <w:right w:val="none" w:sz="0" w:space="0" w:color="auto"/>
          </w:divBdr>
          <w:divsChild>
            <w:div w:id="690031200">
              <w:marLeft w:val="0"/>
              <w:marRight w:val="0"/>
              <w:marTop w:val="0"/>
              <w:marBottom w:val="0"/>
              <w:divBdr>
                <w:top w:val="none" w:sz="0" w:space="0" w:color="auto"/>
                <w:left w:val="none" w:sz="0" w:space="0" w:color="auto"/>
                <w:bottom w:val="none" w:sz="0" w:space="0" w:color="auto"/>
                <w:right w:val="none" w:sz="0" w:space="0" w:color="auto"/>
              </w:divBdr>
              <w:divsChild>
                <w:div w:id="99105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82733">
      <w:bodyDiv w:val="1"/>
      <w:marLeft w:val="0"/>
      <w:marRight w:val="0"/>
      <w:marTop w:val="0"/>
      <w:marBottom w:val="0"/>
      <w:divBdr>
        <w:top w:val="none" w:sz="0" w:space="0" w:color="auto"/>
        <w:left w:val="none" w:sz="0" w:space="0" w:color="auto"/>
        <w:bottom w:val="none" w:sz="0" w:space="0" w:color="auto"/>
        <w:right w:val="none" w:sz="0" w:space="0" w:color="auto"/>
      </w:divBdr>
      <w:divsChild>
        <w:div w:id="1997802715">
          <w:marLeft w:val="0"/>
          <w:marRight w:val="0"/>
          <w:marTop w:val="0"/>
          <w:marBottom w:val="0"/>
          <w:divBdr>
            <w:top w:val="none" w:sz="0" w:space="0" w:color="auto"/>
            <w:left w:val="none" w:sz="0" w:space="0" w:color="auto"/>
            <w:bottom w:val="none" w:sz="0" w:space="0" w:color="auto"/>
            <w:right w:val="none" w:sz="0" w:space="0" w:color="auto"/>
          </w:divBdr>
          <w:divsChild>
            <w:div w:id="1943146450">
              <w:marLeft w:val="0"/>
              <w:marRight w:val="0"/>
              <w:marTop w:val="0"/>
              <w:marBottom w:val="0"/>
              <w:divBdr>
                <w:top w:val="none" w:sz="0" w:space="0" w:color="auto"/>
                <w:left w:val="none" w:sz="0" w:space="0" w:color="auto"/>
                <w:bottom w:val="none" w:sz="0" w:space="0" w:color="auto"/>
                <w:right w:val="none" w:sz="0" w:space="0" w:color="auto"/>
              </w:divBdr>
              <w:divsChild>
                <w:div w:id="108626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218962">
      <w:bodyDiv w:val="1"/>
      <w:marLeft w:val="0"/>
      <w:marRight w:val="0"/>
      <w:marTop w:val="0"/>
      <w:marBottom w:val="0"/>
      <w:divBdr>
        <w:top w:val="none" w:sz="0" w:space="0" w:color="auto"/>
        <w:left w:val="none" w:sz="0" w:space="0" w:color="auto"/>
        <w:bottom w:val="none" w:sz="0" w:space="0" w:color="auto"/>
        <w:right w:val="none" w:sz="0" w:space="0" w:color="auto"/>
      </w:divBdr>
    </w:div>
    <w:div w:id="1136802735">
      <w:bodyDiv w:val="1"/>
      <w:marLeft w:val="0"/>
      <w:marRight w:val="0"/>
      <w:marTop w:val="0"/>
      <w:marBottom w:val="0"/>
      <w:divBdr>
        <w:top w:val="none" w:sz="0" w:space="0" w:color="auto"/>
        <w:left w:val="none" w:sz="0" w:space="0" w:color="auto"/>
        <w:bottom w:val="none" w:sz="0" w:space="0" w:color="auto"/>
        <w:right w:val="none" w:sz="0" w:space="0" w:color="auto"/>
      </w:divBdr>
      <w:divsChild>
        <w:div w:id="1390810372">
          <w:marLeft w:val="0"/>
          <w:marRight w:val="0"/>
          <w:marTop w:val="0"/>
          <w:marBottom w:val="0"/>
          <w:divBdr>
            <w:top w:val="none" w:sz="0" w:space="0" w:color="auto"/>
            <w:left w:val="none" w:sz="0" w:space="0" w:color="auto"/>
            <w:bottom w:val="none" w:sz="0" w:space="0" w:color="auto"/>
            <w:right w:val="none" w:sz="0" w:space="0" w:color="auto"/>
          </w:divBdr>
          <w:divsChild>
            <w:div w:id="41561694">
              <w:marLeft w:val="0"/>
              <w:marRight w:val="0"/>
              <w:marTop w:val="0"/>
              <w:marBottom w:val="0"/>
              <w:divBdr>
                <w:top w:val="none" w:sz="0" w:space="0" w:color="auto"/>
                <w:left w:val="none" w:sz="0" w:space="0" w:color="auto"/>
                <w:bottom w:val="none" w:sz="0" w:space="0" w:color="auto"/>
                <w:right w:val="none" w:sz="0" w:space="0" w:color="auto"/>
              </w:divBdr>
              <w:divsChild>
                <w:div w:id="37207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2283">
      <w:bodyDiv w:val="1"/>
      <w:marLeft w:val="0"/>
      <w:marRight w:val="0"/>
      <w:marTop w:val="0"/>
      <w:marBottom w:val="0"/>
      <w:divBdr>
        <w:top w:val="none" w:sz="0" w:space="0" w:color="auto"/>
        <w:left w:val="none" w:sz="0" w:space="0" w:color="auto"/>
        <w:bottom w:val="none" w:sz="0" w:space="0" w:color="auto"/>
        <w:right w:val="none" w:sz="0" w:space="0" w:color="auto"/>
      </w:divBdr>
      <w:divsChild>
        <w:div w:id="2026398498">
          <w:marLeft w:val="0"/>
          <w:marRight w:val="0"/>
          <w:marTop w:val="0"/>
          <w:marBottom w:val="0"/>
          <w:divBdr>
            <w:top w:val="none" w:sz="0" w:space="0" w:color="auto"/>
            <w:left w:val="none" w:sz="0" w:space="0" w:color="auto"/>
            <w:bottom w:val="none" w:sz="0" w:space="0" w:color="auto"/>
            <w:right w:val="none" w:sz="0" w:space="0" w:color="auto"/>
          </w:divBdr>
          <w:divsChild>
            <w:div w:id="1241714342">
              <w:marLeft w:val="0"/>
              <w:marRight w:val="0"/>
              <w:marTop w:val="0"/>
              <w:marBottom w:val="0"/>
              <w:divBdr>
                <w:top w:val="none" w:sz="0" w:space="0" w:color="auto"/>
                <w:left w:val="none" w:sz="0" w:space="0" w:color="auto"/>
                <w:bottom w:val="none" w:sz="0" w:space="0" w:color="auto"/>
                <w:right w:val="none" w:sz="0" w:space="0" w:color="auto"/>
              </w:divBdr>
              <w:divsChild>
                <w:div w:id="22996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987315">
      <w:bodyDiv w:val="1"/>
      <w:marLeft w:val="0"/>
      <w:marRight w:val="0"/>
      <w:marTop w:val="0"/>
      <w:marBottom w:val="0"/>
      <w:divBdr>
        <w:top w:val="none" w:sz="0" w:space="0" w:color="auto"/>
        <w:left w:val="none" w:sz="0" w:space="0" w:color="auto"/>
        <w:bottom w:val="none" w:sz="0" w:space="0" w:color="auto"/>
        <w:right w:val="none" w:sz="0" w:space="0" w:color="auto"/>
      </w:divBdr>
      <w:divsChild>
        <w:div w:id="950356395">
          <w:marLeft w:val="0"/>
          <w:marRight w:val="0"/>
          <w:marTop w:val="0"/>
          <w:marBottom w:val="0"/>
          <w:divBdr>
            <w:top w:val="none" w:sz="0" w:space="0" w:color="auto"/>
            <w:left w:val="none" w:sz="0" w:space="0" w:color="auto"/>
            <w:bottom w:val="none" w:sz="0" w:space="0" w:color="auto"/>
            <w:right w:val="none" w:sz="0" w:space="0" w:color="auto"/>
          </w:divBdr>
          <w:divsChild>
            <w:div w:id="1037462130">
              <w:marLeft w:val="0"/>
              <w:marRight w:val="0"/>
              <w:marTop w:val="0"/>
              <w:marBottom w:val="0"/>
              <w:divBdr>
                <w:top w:val="none" w:sz="0" w:space="0" w:color="auto"/>
                <w:left w:val="none" w:sz="0" w:space="0" w:color="auto"/>
                <w:bottom w:val="none" w:sz="0" w:space="0" w:color="auto"/>
                <w:right w:val="none" w:sz="0" w:space="0" w:color="auto"/>
              </w:divBdr>
              <w:divsChild>
                <w:div w:id="52148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35527">
      <w:bodyDiv w:val="1"/>
      <w:marLeft w:val="0"/>
      <w:marRight w:val="0"/>
      <w:marTop w:val="0"/>
      <w:marBottom w:val="0"/>
      <w:divBdr>
        <w:top w:val="none" w:sz="0" w:space="0" w:color="auto"/>
        <w:left w:val="none" w:sz="0" w:space="0" w:color="auto"/>
        <w:bottom w:val="none" w:sz="0" w:space="0" w:color="auto"/>
        <w:right w:val="none" w:sz="0" w:space="0" w:color="auto"/>
      </w:divBdr>
      <w:divsChild>
        <w:div w:id="1914974527">
          <w:marLeft w:val="0"/>
          <w:marRight w:val="0"/>
          <w:marTop w:val="0"/>
          <w:marBottom w:val="0"/>
          <w:divBdr>
            <w:top w:val="none" w:sz="0" w:space="0" w:color="auto"/>
            <w:left w:val="none" w:sz="0" w:space="0" w:color="auto"/>
            <w:bottom w:val="none" w:sz="0" w:space="0" w:color="auto"/>
            <w:right w:val="none" w:sz="0" w:space="0" w:color="auto"/>
          </w:divBdr>
          <w:divsChild>
            <w:div w:id="863633838">
              <w:marLeft w:val="0"/>
              <w:marRight w:val="0"/>
              <w:marTop w:val="0"/>
              <w:marBottom w:val="0"/>
              <w:divBdr>
                <w:top w:val="none" w:sz="0" w:space="0" w:color="auto"/>
                <w:left w:val="none" w:sz="0" w:space="0" w:color="auto"/>
                <w:bottom w:val="none" w:sz="0" w:space="0" w:color="auto"/>
                <w:right w:val="none" w:sz="0" w:space="0" w:color="auto"/>
              </w:divBdr>
              <w:divsChild>
                <w:div w:id="14718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826854">
      <w:bodyDiv w:val="1"/>
      <w:marLeft w:val="0"/>
      <w:marRight w:val="0"/>
      <w:marTop w:val="0"/>
      <w:marBottom w:val="0"/>
      <w:divBdr>
        <w:top w:val="none" w:sz="0" w:space="0" w:color="auto"/>
        <w:left w:val="none" w:sz="0" w:space="0" w:color="auto"/>
        <w:bottom w:val="none" w:sz="0" w:space="0" w:color="auto"/>
        <w:right w:val="none" w:sz="0" w:space="0" w:color="auto"/>
      </w:divBdr>
      <w:divsChild>
        <w:div w:id="286812993">
          <w:marLeft w:val="0"/>
          <w:marRight w:val="0"/>
          <w:marTop w:val="0"/>
          <w:marBottom w:val="0"/>
          <w:divBdr>
            <w:top w:val="none" w:sz="0" w:space="0" w:color="auto"/>
            <w:left w:val="none" w:sz="0" w:space="0" w:color="auto"/>
            <w:bottom w:val="none" w:sz="0" w:space="0" w:color="auto"/>
            <w:right w:val="none" w:sz="0" w:space="0" w:color="auto"/>
          </w:divBdr>
          <w:divsChild>
            <w:div w:id="1298418046">
              <w:marLeft w:val="0"/>
              <w:marRight w:val="0"/>
              <w:marTop w:val="0"/>
              <w:marBottom w:val="0"/>
              <w:divBdr>
                <w:top w:val="none" w:sz="0" w:space="0" w:color="auto"/>
                <w:left w:val="none" w:sz="0" w:space="0" w:color="auto"/>
                <w:bottom w:val="none" w:sz="0" w:space="0" w:color="auto"/>
                <w:right w:val="none" w:sz="0" w:space="0" w:color="auto"/>
              </w:divBdr>
              <w:divsChild>
                <w:div w:id="193358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22691">
      <w:bodyDiv w:val="1"/>
      <w:marLeft w:val="0"/>
      <w:marRight w:val="0"/>
      <w:marTop w:val="0"/>
      <w:marBottom w:val="0"/>
      <w:divBdr>
        <w:top w:val="none" w:sz="0" w:space="0" w:color="auto"/>
        <w:left w:val="none" w:sz="0" w:space="0" w:color="auto"/>
        <w:bottom w:val="none" w:sz="0" w:space="0" w:color="auto"/>
        <w:right w:val="none" w:sz="0" w:space="0" w:color="auto"/>
      </w:divBdr>
      <w:divsChild>
        <w:div w:id="1355838377">
          <w:marLeft w:val="0"/>
          <w:marRight w:val="0"/>
          <w:marTop w:val="0"/>
          <w:marBottom w:val="0"/>
          <w:divBdr>
            <w:top w:val="none" w:sz="0" w:space="0" w:color="auto"/>
            <w:left w:val="none" w:sz="0" w:space="0" w:color="auto"/>
            <w:bottom w:val="none" w:sz="0" w:space="0" w:color="auto"/>
            <w:right w:val="none" w:sz="0" w:space="0" w:color="auto"/>
          </w:divBdr>
          <w:divsChild>
            <w:div w:id="298070618">
              <w:marLeft w:val="0"/>
              <w:marRight w:val="0"/>
              <w:marTop w:val="0"/>
              <w:marBottom w:val="0"/>
              <w:divBdr>
                <w:top w:val="none" w:sz="0" w:space="0" w:color="auto"/>
                <w:left w:val="none" w:sz="0" w:space="0" w:color="auto"/>
                <w:bottom w:val="none" w:sz="0" w:space="0" w:color="auto"/>
                <w:right w:val="none" w:sz="0" w:space="0" w:color="auto"/>
              </w:divBdr>
              <w:divsChild>
                <w:div w:id="891500722">
                  <w:marLeft w:val="0"/>
                  <w:marRight w:val="0"/>
                  <w:marTop w:val="0"/>
                  <w:marBottom w:val="0"/>
                  <w:divBdr>
                    <w:top w:val="none" w:sz="0" w:space="0" w:color="auto"/>
                    <w:left w:val="none" w:sz="0" w:space="0" w:color="auto"/>
                    <w:bottom w:val="none" w:sz="0" w:space="0" w:color="auto"/>
                    <w:right w:val="none" w:sz="0" w:space="0" w:color="auto"/>
                  </w:divBdr>
                  <w:divsChild>
                    <w:div w:id="149626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872626">
      <w:bodyDiv w:val="1"/>
      <w:marLeft w:val="0"/>
      <w:marRight w:val="0"/>
      <w:marTop w:val="0"/>
      <w:marBottom w:val="0"/>
      <w:divBdr>
        <w:top w:val="none" w:sz="0" w:space="0" w:color="auto"/>
        <w:left w:val="none" w:sz="0" w:space="0" w:color="auto"/>
        <w:bottom w:val="none" w:sz="0" w:space="0" w:color="auto"/>
        <w:right w:val="none" w:sz="0" w:space="0" w:color="auto"/>
      </w:divBdr>
      <w:divsChild>
        <w:div w:id="898899231">
          <w:marLeft w:val="0"/>
          <w:marRight w:val="0"/>
          <w:marTop w:val="0"/>
          <w:marBottom w:val="0"/>
          <w:divBdr>
            <w:top w:val="none" w:sz="0" w:space="0" w:color="auto"/>
            <w:left w:val="none" w:sz="0" w:space="0" w:color="auto"/>
            <w:bottom w:val="none" w:sz="0" w:space="0" w:color="auto"/>
            <w:right w:val="none" w:sz="0" w:space="0" w:color="auto"/>
          </w:divBdr>
          <w:divsChild>
            <w:div w:id="1142849059">
              <w:marLeft w:val="0"/>
              <w:marRight w:val="0"/>
              <w:marTop w:val="0"/>
              <w:marBottom w:val="0"/>
              <w:divBdr>
                <w:top w:val="none" w:sz="0" w:space="0" w:color="auto"/>
                <w:left w:val="none" w:sz="0" w:space="0" w:color="auto"/>
                <w:bottom w:val="none" w:sz="0" w:space="0" w:color="auto"/>
                <w:right w:val="none" w:sz="0" w:space="0" w:color="auto"/>
              </w:divBdr>
              <w:divsChild>
                <w:div w:id="147090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387600">
      <w:bodyDiv w:val="1"/>
      <w:marLeft w:val="0"/>
      <w:marRight w:val="0"/>
      <w:marTop w:val="0"/>
      <w:marBottom w:val="0"/>
      <w:divBdr>
        <w:top w:val="none" w:sz="0" w:space="0" w:color="auto"/>
        <w:left w:val="none" w:sz="0" w:space="0" w:color="auto"/>
        <w:bottom w:val="none" w:sz="0" w:space="0" w:color="auto"/>
        <w:right w:val="none" w:sz="0" w:space="0" w:color="auto"/>
      </w:divBdr>
    </w:div>
    <w:div w:id="1347243813">
      <w:bodyDiv w:val="1"/>
      <w:marLeft w:val="0"/>
      <w:marRight w:val="0"/>
      <w:marTop w:val="0"/>
      <w:marBottom w:val="0"/>
      <w:divBdr>
        <w:top w:val="none" w:sz="0" w:space="0" w:color="auto"/>
        <w:left w:val="none" w:sz="0" w:space="0" w:color="auto"/>
        <w:bottom w:val="none" w:sz="0" w:space="0" w:color="auto"/>
        <w:right w:val="none" w:sz="0" w:space="0" w:color="auto"/>
      </w:divBdr>
      <w:divsChild>
        <w:div w:id="1452286056">
          <w:marLeft w:val="0"/>
          <w:marRight w:val="0"/>
          <w:marTop w:val="0"/>
          <w:marBottom w:val="0"/>
          <w:divBdr>
            <w:top w:val="none" w:sz="0" w:space="0" w:color="auto"/>
            <w:left w:val="none" w:sz="0" w:space="0" w:color="auto"/>
            <w:bottom w:val="none" w:sz="0" w:space="0" w:color="auto"/>
            <w:right w:val="none" w:sz="0" w:space="0" w:color="auto"/>
          </w:divBdr>
          <w:divsChild>
            <w:div w:id="1548954436">
              <w:marLeft w:val="0"/>
              <w:marRight w:val="0"/>
              <w:marTop w:val="0"/>
              <w:marBottom w:val="0"/>
              <w:divBdr>
                <w:top w:val="none" w:sz="0" w:space="0" w:color="auto"/>
                <w:left w:val="none" w:sz="0" w:space="0" w:color="auto"/>
                <w:bottom w:val="none" w:sz="0" w:space="0" w:color="auto"/>
                <w:right w:val="none" w:sz="0" w:space="0" w:color="auto"/>
              </w:divBdr>
              <w:divsChild>
                <w:div w:id="39061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22669">
      <w:bodyDiv w:val="1"/>
      <w:marLeft w:val="0"/>
      <w:marRight w:val="0"/>
      <w:marTop w:val="0"/>
      <w:marBottom w:val="0"/>
      <w:divBdr>
        <w:top w:val="none" w:sz="0" w:space="0" w:color="auto"/>
        <w:left w:val="none" w:sz="0" w:space="0" w:color="auto"/>
        <w:bottom w:val="none" w:sz="0" w:space="0" w:color="auto"/>
        <w:right w:val="none" w:sz="0" w:space="0" w:color="auto"/>
      </w:divBdr>
      <w:divsChild>
        <w:div w:id="697630825">
          <w:marLeft w:val="0"/>
          <w:marRight w:val="0"/>
          <w:marTop w:val="0"/>
          <w:marBottom w:val="0"/>
          <w:divBdr>
            <w:top w:val="none" w:sz="0" w:space="0" w:color="auto"/>
            <w:left w:val="none" w:sz="0" w:space="0" w:color="auto"/>
            <w:bottom w:val="none" w:sz="0" w:space="0" w:color="auto"/>
            <w:right w:val="none" w:sz="0" w:space="0" w:color="auto"/>
          </w:divBdr>
          <w:divsChild>
            <w:div w:id="1886406188">
              <w:marLeft w:val="0"/>
              <w:marRight w:val="0"/>
              <w:marTop w:val="0"/>
              <w:marBottom w:val="0"/>
              <w:divBdr>
                <w:top w:val="none" w:sz="0" w:space="0" w:color="auto"/>
                <w:left w:val="none" w:sz="0" w:space="0" w:color="auto"/>
                <w:bottom w:val="none" w:sz="0" w:space="0" w:color="auto"/>
                <w:right w:val="none" w:sz="0" w:space="0" w:color="auto"/>
              </w:divBdr>
              <w:divsChild>
                <w:div w:id="2055960544">
                  <w:marLeft w:val="0"/>
                  <w:marRight w:val="0"/>
                  <w:marTop w:val="0"/>
                  <w:marBottom w:val="0"/>
                  <w:divBdr>
                    <w:top w:val="none" w:sz="0" w:space="0" w:color="auto"/>
                    <w:left w:val="none" w:sz="0" w:space="0" w:color="auto"/>
                    <w:bottom w:val="none" w:sz="0" w:space="0" w:color="auto"/>
                    <w:right w:val="none" w:sz="0" w:space="0" w:color="auto"/>
                  </w:divBdr>
                  <w:divsChild>
                    <w:div w:id="1618638046">
                      <w:marLeft w:val="0"/>
                      <w:marRight w:val="0"/>
                      <w:marTop w:val="0"/>
                      <w:marBottom w:val="0"/>
                      <w:divBdr>
                        <w:top w:val="none" w:sz="0" w:space="0" w:color="auto"/>
                        <w:left w:val="none" w:sz="0" w:space="0" w:color="auto"/>
                        <w:bottom w:val="none" w:sz="0" w:space="0" w:color="auto"/>
                        <w:right w:val="none" w:sz="0" w:space="0" w:color="auto"/>
                      </w:divBdr>
                    </w:div>
                    <w:div w:id="49225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021274">
      <w:bodyDiv w:val="1"/>
      <w:marLeft w:val="0"/>
      <w:marRight w:val="0"/>
      <w:marTop w:val="0"/>
      <w:marBottom w:val="0"/>
      <w:divBdr>
        <w:top w:val="none" w:sz="0" w:space="0" w:color="auto"/>
        <w:left w:val="none" w:sz="0" w:space="0" w:color="auto"/>
        <w:bottom w:val="none" w:sz="0" w:space="0" w:color="auto"/>
        <w:right w:val="none" w:sz="0" w:space="0" w:color="auto"/>
      </w:divBdr>
      <w:divsChild>
        <w:div w:id="1223564322">
          <w:marLeft w:val="0"/>
          <w:marRight w:val="0"/>
          <w:marTop w:val="0"/>
          <w:marBottom w:val="0"/>
          <w:divBdr>
            <w:top w:val="none" w:sz="0" w:space="0" w:color="auto"/>
            <w:left w:val="none" w:sz="0" w:space="0" w:color="auto"/>
            <w:bottom w:val="none" w:sz="0" w:space="0" w:color="auto"/>
            <w:right w:val="none" w:sz="0" w:space="0" w:color="auto"/>
          </w:divBdr>
          <w:divsChild>
            <w:div w:id="1657686160">
              <w:marLeft w:val="0"/>
              <w:marRight w:val="0"/>
              <w:marTop w:val="0"/>
              <w:marBottom w:val="0"/>
              <w:divBdr>
                <w:top w:val="none" w:sz="0" w:space="0" w:color="auto"/>
                <w:left w:val="none" w:sz="0" w:space="0" w:color="auto"/>
                <w:bottom w:val="none" w:sz="0" w:space="0" w:color="auto"/>
                <w:right w:val="none" w:sz="0" w:space="0" w:color="auto"/>
              </w:divBdr>
              <w:divsChild>
                <w:div w:id="132574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653898">
      <w:bodyDiv w:val="1"/>
      <w:marLeft w:val="0"/>
      <w:marRight w:val="0"/>
      <w:marTop w:val="0"/>
      <w:marBottom w:val="0"/>
      <w:divBdr>
        <w:top w:val="none" w:sz="0" w:space="0" w:color="auto"/>
        <w:left w:val="none" w:sz="0" w:space="0" w:color="auto"/>
        <w:bottom w:val="none" w:sz="0" w:space="0" w:color="auto"/>
        <w:right w:val="none" w:sz="0" w:space="0" w:color="auto"/>
      </w:divBdr>
      <w:divsChild>
        <w:div w:id="1533372609">
          <w:marLeft w:val="0"/>
          <w:marRight w:val="0"/>
          <w:marTop w:val="0"/>
          <w:marBottom w:val="0"/>
          <w:divBdr>
            <w:top w:val="none" w:sz="0" w:space="0" w:color="auto"/>
            <w:left w:val="none" w:sz="0" w:space="0" w:color="auto"/>
            <w:bottom w:val="none" w:sz="0" w:space="0" w:color="auto"/>
            <w:right w:val="none" w:sz="0" w:space="0" w:color="auto"/>
          </w:divBdr>
          <w:divsChild>
            <w:div w:id="1725062313">
              <w:marLeft w:val="0"/>
              <w:marRight w:val="0"/>
              <w:marTop w:val="0"/>
              <w:marBottom w:val="0"/>
              <w:divBdr>
                <w:top w:val="none" w:sz="0" w:space="0" w:color="auto"/>
                <w:left w:val="none" w:sz="0" w:space="0" w:color="auto"/>
                <w:bottom w:val="none" w:sz="0" w:space="0" w:color="auto"/>
                <w:right w:val="none" w:sz="0" w:space="0" w:color="auto"/>
              </w:divBdr>
              <w:divsChild>
                <w:div w:id="1814181224">
                  <w:marLeft w:val="0"/>
                  <w:marRight w:val="0"/>
                  <w:marTop w:val="0"/>
                  <w:marBottom w:val="0"/>
                  <w:divBdr>
                    <w:top w:val="none" w:sz="0" w:space="0" w:color="auto"/>
                    <w:left w:val="none" w:sz="0" w:space="0" w:color="auto"/>
                    <w:bottom w:val="none" w:sz="0" w:space="0" w:color="auto"/>
                    <w:right w:val="none" w:sz="0" w:space="0" w:color="auto"/>
                  </w:divBdr>
                  <w:divsChild>
                    <w:div w:id="7659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308431">
      <w:bodyDiv w:val="1"/>
      <w:marLeft w:val="0"/>
      <w:marRight w:val="0"/>
      <w:marTop w:val="0"/>
      <w:marBottom w:val="0"/>
      <w:divBdr>
        <w:top w:val="none" w:sz="0" w:space="0" w:color="auto"/>
        <w:left w:val="none" w:sz="0" w:space="0" w:color="auto"/>
        <w:bottom w:val="none" w:sz="0" w:space="0" w:color="auto"/>
        <w:right w:val="none" w:sz="0" w:space="0" w:color="auto"/>
      </w:divBdr>
      <w:divsChild>
        <w:div w:id="1606883218">
          <w:marLeft w:val="0"/>
          <w:marRight w:val="0"/>
          <w:marTop w:val="0"/>
          <w:marBottom w:val="0"/>
          <w:divBdr>
            <w:top w:val="none" w:sz="0" w:space="0" w:color="auto"/>
            <w:left w:val="none" w:sz="0" w:space="0" w:color="auto"/>
            <w:bottom w:val="none" w:sz="0" w:space="0" w:color="auto"/>
            <w:right w:val="none" w:sz="0" w:space="0" w:color="auto"/>
          </w:divBdr>
          <w:divsChild>
            <w:div w:id="1333921081">
              <w:marLeft w:val="0"/>
              <w:marRight w:val="0"/>
              <w:marTop w:val="0"/>
              <w:marBottom w:val="0"/>
              <w:divBdr>
                <w:top w:val="none" w:sz="0" w:space="0" w:color="auto"/>
                <w:left w:val="none" w:sz="0" w:space="0" w:color="auto"/>
                <w:bottom w:val="none" w:sz="0" w:space="0" w:color="auto"/>
                <w:right w:val="none" w:sz="0" w:space="0" w:color="auto"/>
              </w:divBdr>
              <w:divsChild>
                <w:div w:id="32725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983445">
      <w:bodyDiv w:val="1"/>
      <w:marLeft w:val="0"/>
      <w:marRight w:val="0"/>
      <w:marTop w:val="0"/>
      <w:marBottom w:val="0"/>
      <w:divBdr>
        <w:top w:val="none" w:sz="0" w:space="0" w:color="auto"/>
        <w:left w:val="none" w:sz="0" w:space="0" w:color="auto"/>
        <w:bottom w:val="none" w:sz="0" w:space="0" w:color="auto"/>
        <w:right w:val="none" w:sz="0" w:space="0" w:color="auto"/>
      </w:divBdr>
      <w:divsChild>
        <w:div w:id="1329164899">
          <w:marLeft w:val="0"/>
          <w:marRight w:val="0"/>
          <w:marTop w:val="0"/>
          <w:marBottom w:val="0"/>
          <w:divBdr>
            <w:top w:val="none" w:sz="0" w:space="0" w:color="auto"/>
            <w:left w:val="none" w:sz="0" w:space="0" w:color="auto"/>
            <w:bottom w:val="none" w:sz="0" w:space="0" w:color="auto"/>
            <w:right w:val="none" w:sz="0" w:space="0" w:color="auto"/>
          </w:divBdr>
          <w:divsChild>
            <w:div w:id="1968505805">
              <w:marLeft w:val="0"/>
              <w:marRight w:val="0"/>
              <w:marTop w:val="0"/>
              <w:marBottom w:val="0"/>
              <w:divBdr>
                <w:top w:val="none" w:sz="0" w:space="0" w:color="auto"/>
                <w:left w:val="none" w:sz="0" w:space="0" w:color="auto"/>
                <w:bottom w:val="none" w:sz="0" w:space="0" w:color="auto"/>
                <w:right w:val="none" w:sz="0" w:space="0" w:color="auto"/>
              </w:divBdr>
              <w:divsChild>
                <w:div w:id="75605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089460">
      <w:bodyDiv w:val="1"/>
      <w:marLeft w:val="0"/>
      <w:marRight w:val="0"/>
      <w:marTop w:val="0"/>
      <w:marBottom w:val="0"/>
      <w:divBdr>
        <w:top w:val="none" w:sz="0" w:space="0" w:color="auto"/>
        <w:left w:val="none" w:sz="0" w:space="0" w:color="auto"/>
        <w:bottom w:val="none" w:sz="0" w:space="0" w:color="auto"/>
        <w:right w:val="none" w:sz="0" w:space="0" w:color="auto"/>
      </w:divBdr>
      <w:divsChild>
        <w:div w:id="78210738">
          <w:marLeft w:val="0"/>
          <w:marRight w:val="0"/>
          <w:marTop w:val="0"/>
          <w:marBottom w:val="0"/>
          <w:divBdr>
            <w:top w:val="none" w:sz="0" w:space="0" w:color="auto"/>
            <w:left w:val="none" w:sz="0" w:space="0" w:color="auto"/>
            <w:bottom w:val="none" w:sz="0" w:space="0" w:color="auto"/>
            <w:right w:val="none" w:sz="0" w:space="0" w:color="auto"/>
          </w:divBdr>
          <w:divsChild>
            <w:div w:id="1415518180">
              <w:marLeft w:val="0"/>
              <w:marRight w:val="0"/>
              <w:marTop w:val="0"/>
              <w:marBottom w:val="0"/>
              <w:divBdr>
                <w:top w:val="none" w:sz="0" w:space="0" w:color="auto"/>
                <w:left w:val="none" w:sz="0" w:space="0" w:color="auto"/>
                <w:bottom w:val="none" w:sz="0" w:space="0" w:color="auto"/>
                <w:right w:val="none" w:sz="0" w:space="0" w:color="auto"/>
              </w:divBdr>
              <w:divsChild>
                <w:div w:id="12713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24949">
      <w:bodyDiv w:val="1"/>
      <w:marLeft w:val="0"/>
      <w:marRight w:val="0"/>
      <w:marTop w:val="0"/>
      <w:marBottom w:val="0"/>
      <w:divBdr>
        <w:top w:val="none" w:sz="0" w:space="0" w:color="auto"/>
        <w:left w:val="none" w:sz="0" w:space="0" w:color="auto"/>
        <w:bottom w:val="none" w:sz="0" w:space="0" w:color="auto"/>
        <w:right w:val="none" w:sz="0" w:space="0" w:color="auto"/>
      </w:divBdr>
      <w:divsChild>
        <w:div w:id="1847668792">
          <w:marLeft w:val="0"/>
          <w:marRight w:val="0"/>
          <w:marTop w:val="0"/>
          <w:marBottom w:val="0"/>
          <w:divBdr>
            <w:top w:val="none" w:sz="0" w:space="0" w:color="auto"/>
            <w:left w:val="none" w:sz="0" w:space="0" w:color="auto"/>
            <w:bottom w:val="none" w:sz="0" w:space="0" w:color="auto"/>
            <w:right w:val="none" w:sz="0" w:space="0" w:color="auto"/>
          </w:divBdr>
          <w:divsChild>
            <w:div w:id="12004638">
              <w:marLeft w:val="0"/>
              <w:marRight w:val="0"/>
              <w:marTop w:val="0"/>
              <w:marBottom w:val="0"/>
              <w:divBdr>
                <w:top w:val="none" w:sz="0" w:space="0" w:color="auto"/>
                <w:left w:val="none" w:sz="0" w:space="0" w:color="auto"/>
                <w:bottom w:val="none" w:sz="0" w:space="0" w:color="auto"/>
                <w:right w:val="none" w:sz="0" w:space="0" w:color="auto"/>
              </w:divBdr>
              <w:divsChild>
                <w:div w:id="829373557">
                  <w:marLeft w:val="0"/>
                  <w:marRight w:val="0"/>
                  <w:marTop w:val="0"/>
                  <w:marBottom w:val="0"/>
                  <w:divBdr>
                    <w:top w:val="none" w:sz="0" w:space="0" w:color="auto"/>
                    <w:left w:val="none" w:sz="0" w:space="0" w:color="auto"/>
                    <w:bottom w:val="none" w:sz="0" w:space="0" w:color="auto"/>
                    <w:right w:val="none" w:sz="0" w:space="0" w:color="auto"/>
                  </w:divBdr>
                  <w:divsChild>
                    <w:div w:id="180291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149177">
      <w:bodyDiv w:val="1"/>
      <w:marLeft w:val="0"/>
      <w:marRight w:val="0"/>
      <w:marTop w:val="0"/>
      <w:marBottom w:val="0"/>
      <w:divBdr>
        <w:top w:val="none" w:sz="0" w:space="0" w:color="auto"/>
        <w:left w:val="none" w:sz="0" w:space="0" w:color="auto"/>
        <w:bottom w:val="none" w:sz="0" w:space="0" w:color="auto"/>
        <w:right w:val="none" w:sz="0" w:space="0" w:color="auto"/>
      </w:divBdr>
      <w:divsChild>
        <w:div w:id="1996447333">
          <w:marLeft w:val="0"/>
          <w:marRight w:val="0"/>
          <w:marTop w:val="0"/>
          <w:marBottom w:val="0"/>
          <w:divBdr>
            <w:top w:val="none" w:sz="0" w:space="0" w:color="auto"/>
            <w:left w:val="none" w:sz="0" w:space="0" w:color="auto"/>
            <w:bottom w:val="none" w:sz="0" w:space="0" w:color="auto"/>
            <w:right w:val="none" w:sz="0" w:space="0" w:color="auto"/>
          </w:divBdr>
          <w:divsChild>
            <w:div w:id="730931295">
              <w:marLeft w:val="0"/>
              <w:marRight w:val="0"/>
              <w:marTop w:val="0"/>
              <w:marBottom w:val="0"/>
              <w:divBdr>
                <w:top w:val="none" w:sz="0" w:space="0" w:color="auto"/>
                <w:left w:val="none" w:sz="0" w:space="0" w:color="auto"/>
                <w:bottom w:val="none" w:sz="0" w:space="0" w:color="auto"/>
                <w:right w:val="none" w:sz="0" w:space="0" w:color="auto"/>
              </w:divBdr>
              <w:divsChild>
                <w:div w:id="10027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7414">
      <w:bodyDiv w:val="1"/>
      <w:marLeft w:val="0"/>
      <w:marRight w:val="0"/>
      <w:marTop w:val="0"/>
      <w:marBottom w:val="0"/>
      <w:divBdr>
        <w:top w:val="none" w:sz="0" w:space="0" w:color="auto"/>
        <w:left w:val="none" w:sz="0" w:space="0" w:color="auto"/>
        <w:bottom w:val="none" w:sz="0" w:space="0" w:color="auto"/>
        <w:right w:val="none" w:sz="0" w:space="0" w:color="auto"/>
      </w:divBdr>
      <w:divsChild>
        <w:div w:id="1447655168">
          <w:marLeft w:val="0"/>
          <w:marRight w:val="0"/>
          <w:marTop w:val="0"/>
          <w:marBottom w:val="0"/>
          <w:divBdr>
            <w:top w:val="none" w:sz="0" w:space="0" w:color="auto"/>
            <w:left w:val="none" w:sz="0" w:space="0" w:color="auto"/>
            <w:bottom w:val="none" w:sz="0" w:space="0" w:color="auto"/>
            <w:right w:val="none" w:sz="0" w:space="0" w:color="auto"/>
          </w:divBdr>
          <w:divsChild>
            <w:div w:id="1482695558">
              <w:marLeft w:val="0"/>
              <w:marRight w:val="0"/>
              <w:marTop w:val="0"/>
              <w:marBottom w:val="0"/>
              <w:divBdr>
                <w:top w:val="none" w:sz="0" w:space="0" w:color="auto"/>
                <w:left w:val="none" w:sz="0" w:space="0" w:color="auto"/>
                <w:bottom w:val="none" w:sz="0" w:space="0" w:color="auto"/>
                <w:right w:val="none" w:sz="0" w:space="0" w:color="auto"/>
              </w:divBdr>
              <w:divsChild>
                <w:div w:id="214029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427513">
      <w:bodyDiv w:val="1"/>
      <w:marLeft w:val="0"/>
      <w:marRight w:val="0"/>
      <w:marTop w:val="0"/>
      <w:marBottom w:val="0"/>
      <w:divBdr>
        <w:top w:val="none" w:sz="0" w:space="0" w:color="auto"/>
        <w:left w:val="none" w:sz="0" w:space="0" w:color="auto"/>
        <w:bottom w:val="none" w:sz="0" w:space="0" w:color="auto"/>
        <w:right w:val="none" w:sz="0" w:space="0" w:color="auto"/>
      </w:divBdr>
      <w:divsChild>
        <w:div w:id="1705443865">
          <w:marLeft w:val="0"/>
          <w:marRight w:val="0"/>
          <w:marTop w:val="0"/>
          <w:marBottom w:val="0"/>
          <w:divBdr>
            <w:top w:val="none" w:sz="0" w:space="0" w:color="auto"/>
            <w:left w:val="none" w:sz="0" w:space="0" w:color="auto"/>
            <w:bottom w:val="none" w:sz="0" w:space="0" w:color="auto"/>
            <w:right w:val="none" w:sz="0" w:space="0" w:color="auto"/>
          </w:divBdr>
          <w:divsChild>
            <w:div w:id="942805343">
              <w:marLeft w:val="0"/>
              <w:marRight w:val="0"/>
              <w:marTop w:val="0"/>
              <w:marBottom w:val="0"/>
              <w:divBdr>
                <w:top w:val="none" w:sz="0" w:space="0" w:color="auto"/>
                <w:left w:val="none" w:sz="0" w:space="0" w:color="auto"/>
                <w:bottom w:val="none" w:sz="0" w:space="0" w:color="auto"/>
                <w:right w:val="none" w:sz="0" w:space="0" w:color="auto"/>
              </w:divBdr>
              <w:divsChild>
                <w:div w:id="2091192389">
                  <w:marLeft w:val="0"/>
                  <w:marRight w:val="0"/>
                  <w:marTop w:val="0"/>
                  <w:marBottom w:val="0"/>
                  <w:divBdr>
                    <w:top w:val="none" w:sz="0" w:space="0" w:color="auto"/>
                    <w:left w:val="none" w:sz="0" w:space="0" w:color="auto"/>
                    <w:bottom w:val="none" w:sz="0" w:space="0" w:color="auto"/>
                    <w:right w:val="none" w:sz="0" w:space="0" w:color="auto"/>
                  </w:divBdr>
                  <w:divsChild>
                    <w:div w:id="59987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383334">
      <w:bodyDiv w:val="1"/>
      <w:marLeft w:val="0"/>
      <w:marRight w:val="0"/>
      <w:marTop w:val="0"/>
      <w:marBottom w:val="0"/>
      <w:divBdr>
        <w:top w:val="none" w:sz="0" w:space="0" w:color="auto"/>
        <w:left w:val="none" w:sz="0" w:space="0" w:color="auto"/>
        <w:bottom w:val="none" w:sz="0" w:space="0" w:color="auto"/>
        <w:right w:val="none" w:sz="0" w:space="0" w:color="auto"/>
      </w:divBdr>
      <w:divsChild>
        <w:div w:id="1357776255">
          <w:marLeft w:val="0"/>
          <w:marRight w:val="0"/>
          <w:marTop w:val="0"/>
          <w:marBottom w:val="0"/>
          <w:divBdr>
            <w:top w:val="none" w:sz="0" w:space="0" w:color="auto"/>
            <w:left w:val="none" w:sz="0" w:space="0" w:color="auto"/>
            <w:bottom w:val="none" w:sz="0" w:space="0" w:color="auto"/>
            <w:right w:val="none" w:sz="0" w:space="0" w:color="auto"/>
          </w:divBdr>
          <w:divsChild>
            <w:div w:id="1759134476">
              <w:marLeft w:val="0"/>
              <w:marRight w:val="0"/>
              <w:marTop w:val="0"/>
              <w:marBottom w:val="0"/>
              <w:divBdr>
                <w:top w:val="none" w:sz="0" w:space="0" w:color="auto"/>
                <w:left w:val="none" w:sz="0" w:space="0" w:color="auto"/>
                <w:bottom w:val="none" w:sz="0" w:space="0" w:color="auto"/>
                <w:right w:val="none" w:sz="0" w:space="0" w:color="auto"/>
              </w:divBdr>
              <w:divsChild>
                <w:div w:id="46979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040395">
      <w:bodyDiv w:val="1"/>
      <w:marLeft w:val="0"/>
      <w:marRight w:val="0"/>
      <w:marTop w:val="0"/>
      <w:marBottom w:val="0"/>
      <w:divBdr>
        <w:top w:val="none" w:sz="0" w:space="0" w:color="auto"/>
        <w:left w:val="none" w:sz="0" w:space="0" w:color="auto"/>
        <w:bottom w:val="none" w:sz="0" w:space="0" w:color="auto"/>
        <w:right w:val="none" w:sz="0" w:space="0" w:color="auto"/>
      </w:divBdr>
      <w:divsChild>
        <w:div w:id="550767363">
          <w:marLeft w:val="0"/>
          <w:marRight w:val="0"/>
          <w:marTop w:val="0"/>
          <w:marBottom w:val="0"/>
          <w:divBdr>
            <w:top w:val="none" w:sz="0" w:space="0" w:color="auto"/>
            <w:left w:val="none" w:sz="0" w:space="0" w:color="auto"/>
            <w:bottom w:val="none" w:sz="0" w:space="0" w:color="auto"/>
            <w:right w:val="none" w:sz="0" w:space="0" w:color="auto"/>
          </w:divBdr>
          <w:divsChild>
            <w:div w:id="598607103">
              <w:marLeft w:val="0"/>
              <w:marRight w:val="0"/>
              <w:marTop w:val="0"/>
              <w:marBottom w:val="0"/>
              <w:divBdr>
                <w:top w:val="none" w:sz="0" w:space="0" w:color="auto"/>
                <w:left w:val="none" w:sz="0" w:space="0" w:color="auto"/>
                <w:bottom w:val="none" w:sz="0" w:space="0" w:color="auto"/>
                <w:right w:val="none" w:sz="0" w:space="0" w:color="auto"/>
              </w:divBdr>
              <w:divsChild>
                <w:div w:id="57575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363408">
      <w:bodyDiv w:val="1"/>
      <w:marLeft w:val="0"/>
      <w:marRight w:val="0"/>
      <w:marTop w:val="0"/>
      <w:marBottom w:val="0"/>
      <w:divBdr>
        <w:top w:val="none" w:sz="0" w:space="0" w:color="auto"/>
        <w:left w:val="none" w:sz="0" w:space="0" w:color="auto"/>
        <w:bottom w:val="none" w:sz="0" w:space="0" w:color="auto"/>
        <w:right w:val="none" w:sz="0" w:space="0" w:color="auto"/>
      </w:divBdr>
      <w:divsChild>
        <w:div w:id="201600947">
          <w:marLeft w:val="0"/>
          <w:marRight w:val="0"/>
          <w:marTop w:val="0"/>
          <w:marBottom w:val="0"/>
          <w:divBdr>
            <w:top w:val="none" w:sz="0" w:space="0" w:color="auto"/>
            <w:left w:val="none" w:sz="0" w:space="0" w:color="auto"/>
            <w:bottom w:val="none" w:sz="0" w:space="0" w:color="auto"/>
            <w:right w:val="none" w:sz="0" w:space="0" w:color="auto"/>
          </w:divBdr>
          <w:divsChild>
            <w:div w:id="22362683">
              <w:marLeft w:val="0"/>
              <w:marRight w:val="0"/>
              <w:marTop w:val="0"/>
              <w:marBottom w:val="0"/>
              <w:divBdr>
                <w:top w:val="none" w:sz="0" w:space="0" w:color="auto"/>
                <w:left w:val="none" w:sz="0" w:space="0" w:color="auto"/>
                <w:bottom w:val="none" w:sz="0" w:space="0" w:color="auto"/>
                <w:right w:val="none" w:sz="0" w:space="0" w:color="auto"/>
              </w:divBdr>
              <w:divsChild>
                <w:div w:id="88086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21428">
      <w:bodyDiv w:val="1"/>
      <w:marLeft w:val="0"/>
      <w:marRight w:val="0"/>
      <w:marTop w:val="0"/>
      <w:marBottom w:val="0"/>
      <w:divBdr>
        <w:top w:val="none" w:sz="0" w:space="0" w:color="auto"/>
        <w:left w:val="none" w:sz="0" w:space="0" w:color="auto"/>
        <w:bottom w:val="none" w:sz="0" w:space="0" w:color="auto"/>
        <w:right w:val="none" w:sz="0" w:space="0" w:color="auto"/>
      </w:divBdr>
      <w:divsChild>
        <w:div w:id="1023095144">
          <w:marLeft w:val="0"/>
          <w:marRight w:val="0"/>
          <w:marTop w:val="0"/>
          <w:marBottom w:val="0"/>
          <w:divBdr>
            <w:top w:val="none" w:sz="0" w:space="0" w:color="auto"/>
            <w:left w:val="none" w:sz="0" w:space="0" w:color="auto"/>
            <w:bottom w:val="none" w:sz="0" w:space="0" w:color="auto"/>
            <w:right w:val="none" w:sz="0" w:space="0" w:color="auto"/>
          </w:divBdr>
          <w:divsChild>
            <w:div w:id="982198867">
              <w:marLeft w:val="0"/>
              <w:marRight w:val="0"/>
              <w:marTop w:val="0"/>
              <w:marBottom w:val="0"/>
              <w:divBdr>
                <w:top w:val="none" w:sz="0" w:space="0" w:color="auto"/>
                <w:left w:val="none" w:sz="0" w:space="0" w:color="auto"/>
                <w:bottom w:val="none" w:sz="0" w:space="0" w:color="auto"/>
                <w:right w:val="none" w:sz="0" w:space="0" w:color="auto"/>
              </w:divBdr>
              <w:divsChild>
                <w:div w:id="2224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07407">
      <w:bodyDiv w:val="1"/>
      <w:marLeft w:val="0"/>
      <w:marRight w:val="0"/>
      <w:marTop w:val="0"/>
      <w:marBottom w:val="0"/>
      <w:divBdr>
        <w:top w:val="none" w:sz="0" w:space="0" w:color="auto"/>
        <w:left w:val="none" w:sz="0" w:space="0" w:color="auto"/>
        <w:bottom w:val="none" w:sz="0" w:space="0" w:color="auto"/>
        <w:right w:val="none" w:sz="0" w:space="0" w:color="auto"/>
      </w:divBdr>
      <w:divsChild>
        <w:div w:id="276257331">
          <w:marLeft w:val="0"/>
          <w:marRight w:val="0"/>
          <w:marTop w:val="0"/>
          <w:marBottom w:val="0"/>
          <w:divBdr>
            <w:top w:val="none" w:sz="0" w:space="0" w:color="auto"/>
            <w:left w:val="none" w:sz="0" w:space="0" w:color="auto"/>
            <w:bottom w:val="none" w:sz="0" w:space="0" w:color="auto"/>
            <w:right w:val="none" w:sz="0" w:space="0" w:color="auto"/>
          </w:divBdr>
          <w:divsChild>
            <w:div w:id="1724720014">
              <w:marLeft w:val="0"/>
              <w:marRight w:val="0"/>
              <w:marTop w:val="0"/>
              <w:marBottom w:val="0"/>
              <w:divBdr>
                <w:top w:val="none" w:sz="0" w:space="0" w:color="auto"/>
                <w:left w:val="none" w:sz="0" w:space="0" w:color="auto"/>
                <w:bottom w:val="none" w:sz="0" w:space="0" w:color="auto"/>
                <w:right w:val="none" w:sz="0" w:space="0" w:color="auto"/>
              </w:divBdr>
              <w:divsChild>
                <w:div w:id="72071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500704">
      <w:bodyDiv w:val="1"/>
      <w:marLeft w:val="0"/>
      <w:marRight w:val="0"/>
      <w:marTop w:val="0"/>
      <w:marBottom w:val="0"/>
      <w:divBdr>
        <w:top w:val="none" w:sz="0" w:space="0" w:color="auto"/>
        <w:left w:val="none" w:sz="0" w:space="0" w:color="auto"/>
        <w:bottom w:val="none" w:sz="0" w:space="0" w:color="auto"/>
        <w:right w:val="none" w:sz="0" w:space="0" w:color="auto"/>
      </w:divBdr>
      <w:divsChild>
        <w:div w:id="2077509283">
          <w:marLeft w:val="0"/>
          <w:marRight w:val="0"/>
          <w:marTop w:val="0"/>
          <w:marBottom w:val="0"/>
          <w:divBdr>
            <w:top w:val="none" w:sz="0" w:space="0" w:color="auto"/>
            <w:left w:val="none" w:sz="0" w:space="0" w:color="auto"/>
            <w:bottom w:val="none" w:sz="0" w:space="0" w:color="auto"/>
            <w:right w:val="none" w:sz="0" w:space="0" w:color="auto"/>
          </w:divBdr>
        </w:div>
      </w:divsChild>
    </w:div>
    <w:div w:id="2013413197">
      <w:bodyDiv w:val="1"/>
      <w:marLeft w:val="0"/>
      <w:marRight w:val="0"/>
      <w:marTop w:val="0"/>
      <w:marBottom w:val="0"/>
      <w:divBdr>
        <w:top w:val="none" w:sz="0" w:space="0" w:color="auto"/>
        <w:left w:val="none" w:sz="0" w:space="0" w:color="auto"/>
        <w:bottom w:val="none" w:sz="0" w:space="0" w:color="auto"/>
        <w:right w:val="none" w:sz="0" w:space="0" w:color="auto"/>
      </w:divBdr>
      <w:divsChild>
        <w:div w:id="2038847387">
          <w:marLeft w:val="0"/>
          <w:marRight w:val="0"/>
          <w:marTop w:val="0"/>
          <w:marBottom w:val="0"/>
          <w:divBdr>
            <w:top w:val="none" w:sz="0" w:space="0" w:color="auto"/>
            <w:left w:val="none" w:sz="0" w:space="0" w:color="auto"/>
            <w:bottom w:val="none" w:sz="0" w:space="0" w:color="auto"/>
            <w:right w:val="none" w:sz="0" w:space="0" w:color="auto"/>
          </w:divBdr>
          <w:divsChild>
            <w:div w:id="1116943827">
              <w:marLeft w:val="0"/>
              <w:marRight w:val="0"/>
              <w:marTop w:val="0"/>
              <w:marBottom w:val="0"/>
              <w:divBdr>
                <w:top w:val="none" w:sz="0" w:space="0" w:color="auto"/>
                <w:left w:val="none" w:sz="0" w:space="0" w:color="auto"/>
                <w:bottom w:val="none" w:sz="0" w:space="0" w:color="auto"/>
                <w:right w:val="none" w:sz="0" w:space="0" w:color="auto"/>
              </w:divBdr>
              <w:divsChild>
                <w:div w:id="189742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254317">
      <w:bodyDiv w:val="1"/>
      <w:marLeft w:val="0"/>
      <w:marRight w:val="0"/>
      <w:marTop w:val="0"/>
      <w:marBottom w:val="0"/>
      <w:divBdr>
        <w:top w:val="none" w:sz="0" w:space="0" w:color="auto"/>
        <w:left w:val="none" w:sz="0" w:space="0" w:color="auto"/>
        <w:bottom w:val="none" w:sz="0" w:space="0" w:color="auto"/>
        <w:right w:val="none" w:sz="0" w:space="0" w:color="auto"/>
      </w:divBdr>
      <w:divsChild>
        <w:div w:id="1258178291">
          <w:marLeft w:val="0"/>
          <w:marRight w:val="0"/>
          <w:marTop w:val="0"/>
          <w:marBottom w:val="0"/>
          <w:divBdr>
            <w:top w:val="none" w:sz="0" w:space="0" w:color="auto"/>
            <w:left w:val="none" w:sz="0" w:space="0" w:color="auto"/>
            <w:bottom w:val="none" w:sz="0" w:space="0" w:color="auto"/>
            <w:right w:val="none" w:sz="0" w:space="0" w:color="auto"/>
          </w:divBdr>
          <w:divsChild>
            <w:div w:id="802770748">
              <w:marLeft w:val="0"/>
              <w:marRight w:val="0"/>
              <w:marTop w:val="0"/>
              <w:marBottom w:val="0"/>
              <w:divBdr>
                <w:top w:val="none" w:sz="0" w:space="0" w:color="auto"/>
                <w:left w:val="none" w:sz="0" w:space="0" w:color="auto"/>
                <w:bottom w:val="none" w:sz="0" w:space="0" w:color="auto"/>
                <w:right w:val="none" w:sz="0" w:space="0" w:color="auto"/>
              </w:divBdr>
              <w:divsChild>
                <w:div w:id="115745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D2E6D-7304-F545-91AE-B97F8B88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32</Pages>
  <Words>19678</Words>
  <Characters>112169</Characters>
  <Application>Microsoft Office Word</Application>
  <DocSecurity>0</DocSecurity>
  <Lines>934</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22</cp:revision>
  <cp:lastPrinted>2024-07-21T13:22:00Z</cp:lastPrinted>
  <dcterms:created xsi:type="dcterms:W3CDTF">2024-07-21T13:22:00Z</dcterms:created>
  <dcterms:modified xsi:type="dcterms:W3CDTF">2024-07-22T02:12:00Z</dcterms:modified>
</cp:coreProperties>
</file>