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
    <w:p/>
    <w:p>
      <w:pPr>
        <w:rPr>
          <w:i/>
        </w:rPr>
      </w:pPr>
    </w:p>
    <w:p>
      <w:pPr>
        <w:jc w:val="center"/>
        <w:rPr>
          <w:rFonts w:cs="Times New Roman"/>
          <w:i/>
          <w:sz w:val="32"/>
          <w:szCs w:val="32"/>
        </w:rPr>
      </w:pPr>
      <w:r>
        <w:rPr>
          <w:rFonts w:eastAsia="Arial" w:cs="Times New Roman"/>
          <w:b/>
          <w:i/>
          <w:sz w:val="32"/>
          <w:szCs w:val="32"/>
        </w:rPr>
        <w:t>Module code: LCBB6003</w:t>
      </w:r>
    </w:p>
    <w:p>
      <w:pPr>
        <w:jc w:val="center"/>
        <w:rPr>
          <w:rFonts w:cs="Times New Roman"/>
          <w:i/>
          <w:sz w:val="32"/>
          <w:szCs w:val="32"/>
        </w:rPr>
      </w:pPr>
      <w:r>
        <w:rPr>
          <w:rFonts w:eastAsia="Arial" w:cs="Times New Roman"/>
          <w:b/>
          <w:i/>
          <w:sz w:val="32"/>
          <w:szCs w:val="32"/>
        </w:rPr>
        <w:t>Module Name: Leadership and Management Theory and Practice</w:t>
      </w:r>
    </w:p>
    <w:p>
      <w:pPr>
        <w:jc w:val="center"/>
        <w:rPr>
          <w:rFonts w:cs="Times New Roman"/>
          <w:b/>
          <w:i/>
          <w:sz w:val="32"/>
          <w:szCs w:val="32"/>
        </w:rPr>
      </w:pPr>
      <w:r>
        <w:rPr>
          <w:rFonts w:cs="Times New Roman"/>
          <w:b/>
          <w:i/>
          <w:sz w:val="32"/>
          <w:szCs w:val="32"/>
        </w:rPr>
        <w:t xml:space="preserve">Student Name: Marius Boldeanu </w:t>
      </w:r>
    </w:p>
    <w:p>
      <w:pPr>
        <w:jc w:val="center"/>
        <w:rPr>
          <w:rFonts w:cs="Times New Roman"/>
          <w:b/>
          <w:i/>
          <w:sz w:val="32"/>
          <w:szCs w:val="32"/>
        </w:rPr>
      </w:pPr>
      <w:r>
        <w:rPr>
          <w:rFonts w:cs="Times New Roman"/>
          <w:b/>
          <w:i/>
          <w:sz w:val="32"/>
          <w:szCs w:val="32"/>
        </w:rPr>
        <w:t>Student ID:2224837</w:t>
      </w:r>
    </w:p>
    <w:p>
      <w:pPr>
        <w:jc w:val="center"/>
        <w:rPr>
          <w:rFonts w:cs="Times New Roman"/>
          <w:b/>
          <w:i/>
          <w:sz w:val="32"/>
          <w:szCs w:val="32"/>
        </w:rPr>
      </w:pPr>
      <w:r>
        <w:rPr>
          <w:rFonts w:cs="Times New Roman"/>
          <w:b/>
          <w:i/>
          <w:sz w:val="32"/>
          <w:szCs w:val="32"/>
        </w:rPr>
        <w:t>Lecturer Name: Dr Mudassar Hasan</w:t>
      </w:r>
    </w:p>
    <w:p>
      <w:pPr>
        <w:rPr>
          <w:rFonts w:cs="Times New Roman"/>
          <w:sz w:val="32"/>
          <w:szCs w:val="32"/>
        </w:rPr>
      </w:pPr>
      <w:r>
        <w:rPr>
          <w:rFonts w:cs="Times New Roman"/>
          <w:sz w:val="32"/>
          <w:szCs w:val="32"/>
        </w:rPr>
        <w:br w:type="page"/>
      </w:r>
    </w:p>
    <w:p>
      <w:pPr>
        <w:pStyle w:val="1"/>
        <w:sectPr>
          <w:pgSz w:w="12240" w:h="15840"/>
          <w:pgMar w:top="1800" w:right="1800" w:bottom="1800" w:left="1800" w:header="720" w:footer="720" w:gutter="0"/>
          <w:docGrid w:linePitch="360" w:charSpace="0"/>
        </w:sectPr>
      </w:pPr>
      <w:bookmarkStart w:id="0" w:name="_GoBack"/>
      <w:bookmarkEnd w:id="0"/>
    </w:p>
    <w:p>
      <w:pPr>
        <w:pStyle w:val="1"/>
      </w:pPr>
      <w:r>
        <w:t>Kolb Experiential Learning Cycle- Personal Reflection</w:t>
      </w:r>
    </w:p>
    <w:p>
      <w:r>
        <w:t>The personal reflection model defined by Kolb is a four-stage experiential learning cycle which requires learning by doing, reflecting, conceptualising and applying. He or she assists people in comprehending and enhancing their activities through scrutinizing practical life.</w:t>
      </w:r>
    </w:p>
    <w:p>
      <w:pPr>
        <w:pStyle w:val="1"/>
      </w:pPr>
      <w:r>
        <w:t>Concrete Experience</w:t>
      </w:r>
    </w:p>
    <w:p>
      <w:r>
        <w:t>My role in the group presentation on emotional and cultural intelligence in leadership was active as I was the one researching and presenting about the Cultural Dimensions developed by Hofstede and how it applies to global leadership practices. We selected the topic since in contemporary work in a globalised society, the skill of leading across various teams is highly important. Kolb says that experiential learning starts with a human being undergoing any event through his or her active participation (Konak et al., 2014). To me, this preparation for the presentation was the experience where I was put right in the practical application of the theory of leadership. Among the most captivating ones was how Satya Nadella employed both EQ and CQ to change the internal culture at Microsoft and revealed that leadership in modern times is no longer about commands but about empathy and flexibility.</w:t>
      </w:r>
    </w:p>
    <w:p>
      <w:pPr>
        <w:pStyle w:val="1"/>
      </w:pPr>
      <w:r>
        <w:t>Reflective Observation</w:t>
      </w:r>
    </w:p>
    <w:p>
      <w:r>
        <w:t>Having presented the presentation, I paused and analysed the way I had gone about group work, applied the theory, and presented. I also observed that the inclusion of Emotional Intelligence (EQ) or the ability to understand and manage one's own emotions and those of others assisted me in preserving positive relations within the team, particularly in cases where deadlines were approaching. Cultural Intelligence (CQ) was another important that I noticed is the capability to operate in different cultural settings (Loo and Thorpe, 2002). To illustrate, there was a member who was more straightforward with his communication and this caused confusion at the beginning. The increased understanding of CQ made me look at such situations in a more patient and culturally sensitive manner, which contributes to the synergy within a group.</w:t>
      </w:r>
    </w:p>
    <w:p>
      <w:pPr>
        <w:pStyle w:val="1"/>
      </w:pPr>
      <w:r>
        <w:t>Abstract Conceptualisation</w:t>
      </w:r>
    </w:p>
    <w:p>
      <w:r>
        <w:t>The third stage by Kolb entails interpreting experiences and conceptualizing these experiences. This project helped me to relate theoretical leadership models to practical organisational plans. Goleman's model of EQ consisting of self-awareness, self-regulation, motivation, empathy and social skills enabled me to familiarize why emotionally intelligent leaders are more successful in managing teams. Power distance and Uncertainty Avoidance dimensions provided by Hofstede made it more understandable why companies such as HSBC and Toyota adjust their approaches to leadership in various cultural environments. (Garamvölgyi and Rudnák, 2023), In their turn, claim that EQ and CQ are to be integrated to improve adaptability and decision-making in multinational teams. I understood that contemporary leadership is not a universal application in this or that way, but rather the flux of emotional awareness and cultural knowledge.</w:t>
      </w:r>
    </w:p>
    <w:p>
      <w:pPr>
        <w:pStyle w:val="1"/>
      </w:pPr>
      <w:r>
        <w:t>Active Experimentation</w:t>
      </w:r>
    </w:p>
    <w:p>
      <w:r>
        <w:t>In the future, I will use what I have learned in group projects, particularly culturally diverse projects. I will be mindful of empathy and emotional control when dealing with others in a group. Also, I will further develop my intercultural knowledge by learning about leadership styles around the world. According to Kolb, a new idea and strategy must be tested in future experiences by the learners and I have the feeling that the application of EQ and CQ will not only enhance my collaboration performance (academically) but will also enhance my communication behaviour (professionally). By comprehending that leadership is relational and adaptive, I will know how to support group tasks, conflict resolution, and ideas presentation (Abdulwahed and Nagy, 2013).</w:t>
      </w:r>
    </w:p>
    <w:p>
      <w:pPr>
        <w:spacing w:line="259" w:lineRule="auto"/>
        <w:jc w:val="left"/>
      </w:pPr>
      <w:r>
        <w:br w:type="page"/>
      </w:r>
    </w:p>
    <w:p>
      <w:pPr>
        <w:pStyle w:val="1"/>
      </w:pPr>
      <w:r>
        <w:t>References</w:t>
      </w:r>
    </w:p>
    <w:p>
      <w:r>
        <w:t xml:space="preserve">Abdulwahed, M. and Nagy, Z.K. (2013). Applying Kolb’s Experiential Learning Cycle for Laboratory Education. </w:t>
      </w:r>
      <w:r>
        <w:rPr>
          <w:i/>
          <w:iCs/>
        </w:rPr>
        <w:t>Journal of Engineering Education</w:t>
      </w:r>
      <w:r>
        <w:t>, [online] 98(3), pp.283–294. doi:https://doi.org/10.1002/j.2168-9830.2009.tb01025.x.</w:t>
      </w:r>
    </w:p>
    <w:p>
      <w:r>
        <w:t xml:space="preserve">Garamvölgyi, J. and Rudnák, I. (2023). Exploring the Relationship between Cultural Intelligence (CQ) and Management Competencies (MC). </w:t>
      </w:r>
      <w:r>
        <w:rPr>
          <w:i/>
          <w:iCs/>
        </w:rPr>
        <w:t>Sustainability</w:t>
      </w:r>
      <w:r>
        <w:t>, 15(7), p.5735. doi:https://doi.org/10.3390/su15075735.</w:t>
      </w:r>
    </w:p>
    <w:p>
      <w:r>
        <w:t xml:space="preserve">Konak, A., Clark, T.K. and Nasereddin, M. (2014). Using Kolb’s Experiential Learning Cycle to improve student learning in virtual computer laboratories. </w:t>
      </w:r>
      <w:r>
        <w:rPr>
          <w:i/>
          <w:iCs/>
        </w:rPr>
        <w:t>Computers&amp;Education</w:t>
      </w:r>
      <w:r>
        <w:t>, [online] 72(1), pp.11–22. doi:https://doi.org/10.1016/j.compedu.2013.10.013.</w:t>
      </w:r>
    </w:p>
    <w:p>
      <w:r>
        <w:t xml:space="preserve">Loo, R. and Thorpe, K. (2002). Using reflective learning journals to improve individual and team performance. </w:t>
      </w:r>
      <w:r>
        <w:rPr>
          <w:i/>
          <w:iCs/>
        </w:rPr>
        <w:t>Team Performance Management: An International Journal</w:t>
      </w:r>
      <w:r>
        <w:t>, 8(5/6), pp.134–139. doi:https://doi.org/10.1108/13527590210442258.</w:t>
      </w:r>
    </w:p>
    <w:p/>
    <w:p>
      <w:pPr>
        <w:rPr>
          <w:rFonts w:cs="Times New Roman"/>
          <w:sz w:val="32"/>
          <w:szCs w:val="32"/>
        </w:rPr>
      </w:pPr>
    </w:p>
    <w:p/>
    <w:sectPr>
      <w:footerReference w:type="default" r:id="rId2"/>
      <w:pgSz w:w="12240" w:h="15840"/>
      <w:pgMar w:top="1800" w:right="1800" w:bottom="1800" w:left="1800" w:header="720" w:footer="720" w:gutter="0"/>
      <w:pgNumType w:start="1"/>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等线 Light">
    <w:altName w:val="Droid Sans Fallback"/>
    <w:panose1 w:val="00000000000000000000"/>
    <w:charset w:val="00"/>
    <w:family w:val="auto"/>
    <w:pitch w:val="variable"/>
    <w:sig w:usb0="00000000" w:usb1="00000000" w:usb2="00000000" w:usb3="00000000" w:csb0="00000000" w:csb1="00000000"/>
  </w:font>
  <w:font w:name="Luxi Sans">
    <w:altName w:val="Droid Sans"/>
    <w:panose1 w:val="00000000000000000000"/>
    <w:charset w:val="00"/>
    <w:family w:val="auto"/>
    <w:pitch w:val="variable"/>
    <w:sig w:usb0="00000000" w:usb1="00000000" w:usb2="00000000" w:usb3="00000000" w:csb0="00000000" w:csb1="00000000"/>
  </w:font>
  <w:font w:name="HONOR black body">
    <w:altName w:val="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1696911446"/>
      <w:docPartObj>
        <w:docPartGallery/>
        <w:docPartUnique/>
      </w:docPartObj>
    </w:sdtPr>
    <w:sdtContent>
      <w:p>
        <w:pPr>
          <w:pStyle w:val="18"/>
          <w:tabs>
            <w:tab w:val="center" w:pos="4680"/>
            <w:tab w:val="right" w:pos="9360"/>
          </w:tabs>
          <w:jc w:val="center"/>
        </w:pPr>
        <w:r>
          <w:fldChar w:fldCharType="begin"/>
        </w:r>
        <w:r>
          <w:instrText xml:space="preserve"> PAGE   \* MERGEFORMAT </w:instrText>
        </w:r>
        <w:r>
          <w:fldChar w:fldCharType="separate"/>
        </w:r>
        <w:r>
          <w:t>3</w:t>
        </w:r>
        <w:r>
          <w:fldChar w:fldCharType="end"/>
        </w:r>
      </w:p>
    </w:sdtContent>
  </w:sdt>
  <w:p>
    <w:pPr>
      <w:pStyle w:val="18"/>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75"/>
  <w:bordersDoNotSurroundHeader/>
  <w:bordersDoNotSurroundFooter/>
  <w:defaultTabStop w:val="720"/>
  <w:drawingGridHorizontalSpacing w:val="110"/>
  <w:drawingGridVerticalSpacing w:val="156"/>
  <w:displayHorizontalDrawingGridEvery w:val="2"/>
  <w:displayVerticalDrawingGridEvery w:val="2"/>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360" w:lineRule="auto"/>
      <w:jc w:val="both"/>
    </w:pPr>
    <w:rPr>
      <w:rFonts w:ascii="Arial" w:eastAsia="Calibri" w:cs="Arial" w:hAnsi="Arial"/>
      <w:sz w:val="22"/>
      <w:szCs w:val="22"/>
      <w:lang w:val="en-US" w:eastAsia="en-US" w:bidi="ar-SA"/>
    </w:rPr>
  </w:style>
  <w:style w:type="paragraph" w:styleId="1">
    <w:name w:val="heading 1"/>
    <w:basedOn w:val="0"/>
    <w:next w:val="0"/>
    <w:pPr>
      <w:keepNext/>
      <w:keepLines/>
      <w:spacing w:before="240" w:after="0"/>
      <w:outlineLvl w:val="0"/>
    </w:pPr>
    <w:rPr>
      <w:rFonts w:eastAsia="等线 Light" w:cs="Times New Roman"/>
      <w:b/>
      <w:i/>
      <w:color w:val="222A35"/>
      <w:sz w:val="30"/>
      <w:szCs w:val="32"/>
      <w:u w:val="single"/>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customStyle="1" w:styleId="15">
    <w:name w:val="No Spacing"/>
    <w:pPr>
      <w:spacing w:after="0" w:line="240" w:lineRule="auto"/>
      <w:jc w:val="both"/>
    </w:pPr>
    <w:rPr>
      <w:rFonts w:ascii="Times New Roman" w:eastAsia="Calibri" w:cs="Arial" w:hAnsi="Times New Roman"/>
      <w:sz w:val="22"/>
      <w:szCs w:val="22"/>
      <w:lang w:val="en-US" w:eastAsia="en-US" w:bidi="ar-SA"/>
    </w:rPr>
  </w:style>
  <w:style w:type="paragraph" w:styleId="16">
    <w:name w:val="Normal (Web)"/>
    <w:basedOn w:val="0"/>
    <w:pPr>
      <w:spacing w:before="100" w:beforeAutospacing="1" w:after="100" w:afterAutospacing="1" w:line="240" w:lineRule="auto"/>
      <w:jc w:val="left"/>
    </w:pPr>
    <w:rPr>
      <w:rFonts w:eastAsia="Times New Roman" w:cs="Times New Roman"/>
      <w:sz w:val="24"/>
      <w:szCs w:val="24"/>
    </w:rPr>
  </w:style>
  <w:style w:type="paragraph" w:styleId="17">
    <w:name w:val="header"/>
    <w:basedOn w:val="0"/>
    <w:pPr>
      <w:tabs>
        <w:tab w:val="center" w:pos="4680"/>
        <w:tab w:val="right" w:pos="9360"/>
      </w:tabs>
      <w:spacing w:after="0" w:line="240" w:lineRule="auto"/>
    </w:pPr>
  </w:style>
  <w:style w:type="paragraph" w:styleId="18">
    <w:name w:val="footer"/>
    <w:basedOn w:val="0"/>
    <w:pPr>
      <w:tabs>
        <w:tab w:val="center" w:pos="4680"/>
        <w:tab w:val="right" w:pos="9360"/>
      </w:tabs>
      <w:spacing w:after="0" w:line="240" w:lineRule="auto"/>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s>
</file>

<file path=docProps/app.xml><?xml version="1.0" encoding="utf-8"?>
<Properties xmlns="http://schemas.openxmlformats.org/officeDocument/2006/extended-properties">
  <Template>Normal.eit</Template>
  <TotalTime>5</TotalTime>
  <Application>Honor_Office</Application>
  <Pages>4</Pages>
  <Words>699</Words>
  <Characters>4254</Characters>
  <Lines>81</Lines>
  <Paragraphs>22</Paragraphs>
  <CharactersWithSpaces>4926</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modified xsi:type="dcterms:W3CDTF">2025-07-12T05:30:04Z</dcterms:modified>
</cp:coreProperties>
</file>