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C10EAB" w14:textId="5DAC6806" w:rsidR="00413C62" w:rsidRPr="00C75E06" w:rsidRDefault="00413C62" w:rsidP="00BC2FCC">
      <w:pPr>
        <w:jc w:val="both"/>
        <w:rPr>
          <w:rFonts w:ascii="Times New Roman" w:hAnsi="Times New Roman" w:cs="Times New Roman"/>
          <w:b/>
          <w:bCs/>
          <w:sz w:val="24"/>
          <w:szCs w:val="24"/>
        </w:rPr>
      </w:pPr>
      <w:r w:rsidRPr="00C75E06">
        <w:rPr>
          <w:rFonts w:ascii="Times New Roman" w:hAnsi="Times New Roman" w:cs="Times New Roman"/>
          <w:b/>
          <w:bCs/>
          <w:sz w:val="24"/>
          <w:szCs w:val="24"/>
        </w:rPr>
        <w:t xml:space="preserve">Why are terrorist </w:t>
      </w:r>
      <w:r w:rsidR="00C75E06" w:rsidRPr="00C75E06">
        <w:rPr>
          <w:rFonts w:ascii="Times New Roman" w:hAnsi="Times New Roman" w:cs="Times New Roman"/>
          <w:b/>
          <w:bCs/>
          <w:sz w:val="24"/>
          <w:szCs w:val="24"/>
        </w:rPr>
        <w:t>organisations</w:t>
      </w:r>
      <w:r w:rsidRPr="00C75E06">
        <w:rPr>
          <w:rFonts w:ascii="Times New Roman" w:hAnsi="Times New Roman" w:cs="Times New Roman"/>
          <w:b/>
          <w:bCs/>
          <w:sz w:val="24"/>
          <w:szCs w:val="24"/>
        </w:rPr>
        <w:t xml:space="preserve"> often involved in other forms of criminality (e.g</w:t>
      </w:r>
      <w:r w:rsidR="00C75E06" w:rsidRPr="00C75E06">
        <w:rPr>
          <w:rFonts w:ascii="Times New Roman" w:hAnsi="Times New Roman" w:cs="Times New Roman"/>
          <w:b/>
          <w:bCs/>
          <w:sz w:val="24"/>
          <w:szCs w:val="24"/>
        </w:rPr>
        <w:t xml:space="preserve">. acquisitive crime), and how can this inform counter-terrorism policing? </w:t>
      </w:r>
    </w:p>
    <w:p w14:paraId="579D585B" w14:textId="3DCD0488" w:rsidR="00BC2FCC" w:rsidRPr="00733AB5" w:rsidRDefault="00BC2FCC" w:rsidP="00BC2FCC">
      <w:pPr>
        <w:jc w:val="both"/>
        <w:rPr>
          <w:rFonts w:ascii="Times New Roman" w:hAnsi="Times New Roman" w:cs="Times New Roman"/>
          <w:sz w:val="24"/>
          <w:szCs w:val="24"/>
        </w:rPr>
      </w:pPr>
      <w:r w:rsidRPr="00733AB5">
        <w:rPr>
          <w:rFonts w:ascii="Times New Roman" w:hAnsi="Times New Roman" w:cs="Times New Roman"/>
          <w:sz w:val="24"/>
          <w:szCs w:val="24"/>
        </w:rPr>
        <w:t>This paper seeks not only to identify the points of intersection between terrorist and criminal enterprises but also to explore how global political, economic, and technological shifts have reshaped the operational realities of these groups. The broadening of illicit economies, the weakening of state institutions in conflict zones, and the growing sophistication of financial and communications technologies have created conditions under which hybrid organizations can flourish. The fusion of these two spheres does not merely represent tactical convergence</w:t>
      </w:r>
      <w:r w:rsidR="00CC2713">
        <w:rPr>
          <w:rFonts w:ascii="Times New Roman" w:hAnsi="Times New Roman" w:cs="Times New Roman"/>
          <w:sz w:val="24"/>
          <w:szCs w:val="24"/>
        </w:rPr>
        <w:t xml:space="preserve">, </w:t>
      </w:r>
      <w:r w:rsidRPr="00733AB5">
        <w:rPr>
          <w:rFonts w:ascii="Times New Roman" w:hAnsi="Times New Roman" w:cs="Times New Roman"/>
          <w:sz w:val="24"/>
          <w:szCs w:val="24"/>
        </w:rPr>
        <w:t>it signifies the emergence of a new form of threat actor that exploits structural vulnerabilities in the international system.</w:t>
      </w:r>
    </w:p>
    <w:p w14:paraId="4FC8ADCD" w14:textId="771B2E30" w:rsidR="002A7941" w:rsidRPr="002A7941" w:rsidRDefault="002A7941" w:rsidP="008F7000">
      <w:pPr>
        <w:jc w:val="both"/>
        <w:rPr>
          <w:rFonts w:ascii="Times New Roman" w:hAnsi="Times New Roman" w:cs="Times New Roman"/>
          <w:sz w:val="24"/>
          <w:szCs w:val="24"/>
        </w:rPr>
      </w:pPr>
      <w:r w:rsidRPr="002A7941">
        <w:rPr>
          <w:rFonts w:ascii="Times New Roman" w:hAnsi="Times New Roman" w:cs="Times New Roman"/>
          <w:sz w:val="24"/>
          <w:szCs w:val="24"/>
        </w:rPr>
        <w:t>While terrorists and criminal networks have historically operated with distinct motives</w:t>
      </w:r>
      <w:r w:rsidR="00CC2713">
        <w:rPr>
          <w:rFonts w:ascii="Times New Roman" w:hAnsi="Times New Roman" w:cs="Times New Roman"/>
          <w:sz w:val="24"/>
          <w:szCs w:val="24"/>
        </w:rPr>
        <w:t xml:space="preserve">, </w:t>
      </w:r>
      <w:r w:rsidRPr="002A7941">
        <w:rPr>
          <w:rFonts w:ascii="Times New Roman" w:hAnsi="Times New Roman" w:cs="Times New Roman"/>
          <w:sz w:val="24"/>
          <w:szCs w:val="24"/>
        </w:rPr>
        <w:t>political or ideological for the former, financial gain for the latter</w:t>
      </w:r>
      <w:r w:rsidR="00CC2713">
        <w:rPr>
          <w:rFonts w:ascii="Times New Roman" w:hAnsi="Times New Roman" w:cs="Times New Roman"/>
          <w:sz w:val="24"/>
          <w:szCs w:val="24"/>
        </w:rPr>
        <w:t xml:space="preserve">, </w:t>
      </w:r>
      <w:r w:rsidRPr="002A7941">
        <w:rPr>
          <w:rFonts w:ascii="Times New Roman" w:hAnsi="Times New Roman" w:cs="Times New Roman"/>
          <w:sz w:val="24"/>
          <w:szCs w:val="24"/>
        </w:rPr>
        <w:t>recent decades have witnessed an increasing intersection of their operations. Scholars commonly refer to this phenomenon as the crime–terror nexus.</w:t>
      </w:r>
      <w:r w:rsidR="008F7000">
        <w:rPr>
          <w:rFonts w:ascii="Times New Roman" w:hAnsi="Times New Roman" w:cs="Times New Roman"/>
          <w:sz w:val="24"/>
          <w:szCs w:val="24"/>
        </w:rPr>
        <w:t xml:space="preserve"> Basra and Neumann states the crime terror nexus has </w:t>
      </w:r>
      <w:r w:rsidR="008F7000" w:rsidRPr="008F7000">
        <w:rPr>
          <w:rFonts w:ascii="Times New Roman" w:hAnsi="Times New Roman" w:cs="Times New Roman"/>
          <w:sz w:val="24"/>
          <w:szCs w:val="24"/>
        </w:rPr>
        <w:t>profound</w:t>
      </w:r>
      <w:r w:rsidR="008F7000">
        <w:rPr>
          <w:rFonts w:ascii="Times New Roman" w:hAnsi="Times New Roman" w:cs="Times New Roman"/>
          <w:sz w:val="24"/>
          <w:szCs w:val="24"/>
        </w:rPr>
        <w:t xml:space="preserve"> </w:t>
      </w:r>
      <w:r w:rsidR="008F7000" w:rsidRPr="008F7000">
        <w:rPr>
          <w:rFonts w:ascii="Times New Roman" w:hAnsi="Times New Roman" w:cs="Times New Roman"/>
          <w:sz w:val="24"/>
          <w:szCs w:val="24"/>
        </w:rPr>
        <w:t xml:space="preserve">implications for how </w:t>
      </w:r>
      <w:r w:rsidR="008F7000">
        <w:rPr>
          <w:rFonts w:ascii="Times New Roman" w:hAnsi="Times New Roman" w:cs="Times New Roman"/>
          <w:sz w:val="24"/>
          <w:szCs w:val="24"/>
        </w:rPr>
        <w:t xml:space="preserve">terrorist </w:t>
      </w:r>
      <w:r w:rsidR="008F7000" w:rsidRPr="008F7000">
        <w:rPr>
          <w:rFonts w:ascii="Times New Roman" w:hAnsi="Times New Roman" w:cs="Times New Roman"/>
          <w:sz w:val="24"/>
          <w:szCs w:val="24"/>
        </w:rPr>
        <w:t>groups in Europe operate</w:t>
      </w:r>
      <w:r w:rsidR="008F7000">
        <w:rPr>
          <w:rFonts w:ascii="Times New Roman" w:hAnsi="Times New Roman" w:cs="Times New Roman"/>
          <w:sz w:val="24"/>
          <w:szCs w:val="24"/>
        </w:rPr>
        <w:t xml:space="preserve"> and they state that</w:t>
      </w:r>
      <w:r w:rsidR="008F7000" w:rsidRPr="008F7000">
        <w:rPr>
          <w:rFonts w:ascii="Times New Roman" w:hAnsi="Times New Roman" w:cs="Times New Roman"/>
          <w:sz w:val="24"/>
          <w:szCs w:val="24"/>
        </w:rPr>
        <w:t xml:space="preserve"> there is complete alignment</w:t>
      </w:r>
      <w:r w:rsidR="008F7000">
        <w:rPr>
          <w:rFonts w:ascii="Times New Roman" w:hAnsi="Times New Roman" w:cs="Times New Roman"/>
          <w:sz w:val="24"/>
          <w:szCs w:val="24"/>
        </w:rPr>
        <w:t xml:space="preserve"> </w:t>
      </w:r>
      <w:r w:rsidR="008F7000" w:rsidRPr="008F7000">
        <w:rPr>
          <w:rFonts w:ascii="Times New Roman" w:hAnsi="Times New Roman" w:cs="Times New Roman"/>
          <w:sz w:val="24"/>
          <w:szCs w:val="24"/>
        </w:rPr>
        <w:t>between a group like Islamic State and the people who are attracted by its core counter-cultural message of</w:t>
      </w:r>
      <w:r w:rsidR="008F7000">
        <w:rPr>
          <w:rFonts w:ascii="Times New Roman" w:hAnsi="Times New Roman" w:cs="Times New Roman"/>
          <w:sz w:val="24"/>
          <w:szCs w:val="24"/>
        </w:rPr>
        <w:t xml:space="preserve"> </w:t>
      </w:r>
      <w:r w:rsidR="008F7000" w:rsidRPr="008F7000">
        <w:rPr>
          <w:rFonts w:ascii="Times New Roman" w:hAnsi="Times New Roman" w:cs="Times New Roman"/>
          <w:sz w:val="24"/>
          <w:szCs w:val="24"/>
        </w:rPr>
        <w:t>redemption</w:t>
      </w:r>
      <w:r w:rsidR="008F7000">
        <w:rPr>
          <w:rFonts w:ascii="Times New Roman" w:hAnsi="Times New Roman" w:cs="Times New Roman"/>
          <w:sz w:val="24"/>
          <w:szCs w:val="24"/>
        </w:rPr>
        <w:t xml:space="preserve"> </w:t>
      </w:r>
      <w:r w:rsidR="008F7000" w:rsidRPr="008F7000">
        <w:rPr>
          <w:rFonts w:ascii="Times New Roman" w:hAnsi="Times New Roman" w:cs="Times New Roman"/>
          <w:sz w:val="24"/>
          <w:szCs w:val="24"/>
        </w:rPr>
        <w:t>(Basra and Neumann, 2016)</w:t>
      </w:r>
      <w:r w:rsidR="008F7000">
        <w:rPr>
          <w:rFonts w:ascii="Times New Roman" w:hAnsi="Times New Roman" w:cs="Times New Roman"/>
          <w:sz w:val="24"/>
          <w:szCs w:val="24"/>
        </w:rPr>
        <w:t>.</w:t>
      </w:r>
      <w:r w:rsidRPr="002A7941">
        <w:rPr>
          <w:rFonts w:ascii="Times New Roman" w:hAnsi="Times New Roman" w:cs="Times New Roman"/>
          <w:sz w:val="24"/>
          <w:szCs w:val="24"/>
        </w:rPr>
        <w:t xml:space="preserve"> This term encapsulates the deliberate engagement of terrorist organi</w:t>
      </w:r>
      <w:r w:rsidR="0058328F">
        <w:rPr>
          <w:rFonts w:ascii="Times New Roman" w:hAnsi="Times New Roman" w:cs="Times New Roman"/>
          <w:sz w:val="24"/>
          <w:szCs w:val="24"/>
        </w:rPr>
        <w:t>s</w:t>
      </w:r>
      <w:r w:rsidRPr="002A7941">
        <w:rPr>
          <w:rFonts w:ascii="Times New Roman" w:hAnsi="Times New Roman" w:cs="Times New Roman"/>
          <w:sz w:val="24"/>
          <w:szCs w:val="24"/>
        </w:rPr>
        <w:t>ations in criminal acts to fund their operations, sustain social and logistical networks, and occasionally soften ideological boundaries for expediency. The blending of terrorism and organi</w:t>
      </w:r>
      <w:r w:rsidR="0058328F">
        <w:rPr>
          <w:rFonts w:ascii="Times New Roman" w:hAnsi="Times New Roman" w:cs="Times New Roman"/>
          <w:sz w:val="24"/>
          <w:szCs w:val="24"/>
        </w:rPr>
        <w:t>s</w:t>
      </w:r>
      <w:r w:rsidRPr="002A7941">
        <w:rPr>
          <w:rFonts w:ascii="Times New Roman" w:hAnsi="Times New Roman" w:cs="Times New Roman"/>
          <w:sz w:val="24"/>
          <w:szCs w:val="24"/>
        </w:rPr>
        <w:t>ed crime presents significant challenges to traditional policing, national security frameworks, and international cooperation, requiring a reconceptualization of how states and intergovernmental bodies address evolving threat architectures</w:t>
      </w:r>
      <w:r w:rsidR="008F7000">
        <w:rPr>
          <w:rFonts w:ascii="Times New Roman" w:hAnsi="Times New Roman" w:cs="Times New Roman"/>
          <w:sz w:val="24"/>
          <w:szCs w:val="24"/>
        </w:rPr>
        <w:t xml:space="preserve"> </w:t>
      </w:r>
      <w:r w:rsidR="008F7000" w:rsidRPr="008F7000">
        <w:rPr>
          <w:rFonts w:ascii="Times New Roman" w:hAnsi="Times New Roman" w:cs="Times New Roman"/>
          <w:sz w:val="24"/>
          <w:szCs w:val="24"/>
        </w:rPr>
        <w:t>(Omelicheva and Markowitz, 2021</w:t>
      </w:r>
      <w:r w:rsidR="008F7000">
        <w:rPr>
          <w:rFonts w:ascii="Times New Roman" w:hAnsi="Times New Roman" w:cs="Times New Roman"/>
          <w:sz w:val="24"/>
          <w:szCs w:val="24"/>
        </w:rPr>
        <w:t xml:space="preserve">). </w:t>
      </w:r>
    </w:p>
    <w:p w14:paraId="70F087F5" w14:textId="77777777" w:rsidR="002A7941" w:rsidRDefault="002A7941" w:rsidP="002A7941">
      <w:pPr>
        <w:jc w:val="both"/>
        <w:rPr>
          <w:rFonts w:ascii="Times New Roman" w:hAnsi="Times New Roman" w:cs="Times New Roman"/>
          <w:sz w:val="24"/>
          <w:szCs w:val="24"/>
        </w:rPr>
      </w:pPr>
      <w:r w:rsidRPr="002A7941">
        <w:rPr>
          <w:rFonts w:ascii="Times New Roman" w:hAnsi="Times New Roman" w:cs="Times New Roman"/>
          <w:sz w:val="24"/>
          <w:szCs w:val="24"/>
        </w:rPr>
        <w:t>This essay takes a critical lens to the motivations that drive terrorist engagement in criminal activities and examines how this understanding can inform contemporary counter-terrorism policing. Drawing from theoretical literature, empirical case studies, and policy analysis, the paper examines financial drivers, operational synergies, and the broader implications for law enforcement and counter-terrorism strategies.</w:t>
      </w:r>
    </w:p>
    <w:p w14:paraId="53EE3695" w14:textId="356C2548" w:rsidR="00BC2FCC" w:rsidRPr="00733AB5" w:rsidRDefault="00BC2FCC" w:rsidP="002A7941">
      <w:pPr>
        <w:jc w:val="both"/>
        <w:rPr>
          <w:rFonts w:ascii="Times New Roman" w:hAnsi="Times New Roman" w:cs="Times New Roman"/>
          <w:sz w:val="24"/>
          <w:szCs w:val="24"/>
        </w:rPr>
      </w:pPr>
      <w:r w:rsidRPr="00733AB5">
        <w:rPr>
          <w:rFonts w:ascii="Times New Roman" w:hAnsi="Times New Roman" w:cs="Times New Roman"/>
          <w:sz w:val="24"/>
          <w:szCs w:val="24"/>
        </w:rPr>
        <w:t>Contemporary conflict zones</w:t>
      </w:r>
      <w:r>
        <w:rPr>
          <w:rFonts w:ascii="Times New Roman" w:hAnsi="Times New Roman" w:cs="Times New Roman"/>
          <w:sz w:val="24"/>
          <w:szCs w:val="24"/>
        </w:rPr>
        <w:t xml:space="preserve">, </w:t>
      </w:r>
      <w:r w:rsidRPr="00733AB5">
        <w:rPr>
          <w:rFonts w:ascii="Times New Roman" w:hAnsi="Times New Roman" w:cs="Times New Roman"/>
          <w:sz w:val="24"/>
          <w:szCs w:val="24"/>
        </w:rPr>
        <w:t>from the Sahel to Southeast Asia</w:t>
      </w:r>
      <w:r>
        <w:rPr>
          <w:rFonts w:ascii="Times New Roman" w:hAnsi="Times New Roman" w:cs="Times New Roman"/>
          <w:sz w:val="24"/>
          <w:szCs w:val="24"/>
        </w:rPr>
        <w:t xml:space="preserve">, </w:t>
      </w:r>
      <w:r w:rsidRPr="00733AB5">
        <w:rPr>
          <w:rFonts w:ascii="Times New Roman" w:hAnsi="Times New Roman" w:cs="Times New Roman"/>
          <w:sz w:val="24"/>
          <w:szCs w:val="24"/>
        </w:rPr>
        <w:t>demonstrate how the crime-terror nexus has become institutionalized within armed groups. Theoretical frameworks such as "black hole syndrome" (Makarenko, 2004</w:t>
      </w:r>
      <w:r w:rsidR="002E3142">
        <w:rPr>
          <w:rFonts w:ascii="Times New Roman" w:hAnsi="Times New Roman" w:cs="Times New Roman"/>
          <w:sz w:val="24"/>
          <w:szCs w:val="24"/>
        </w:rPr>
        <w:t>, P-132</w:t>
      </w:r>
      <w:r w:rsidRPr="00733AB5">
        <w:rPr>
          <w:rFonts w:ascii="Times New Roman" w:hAnsi="Times New Roman" w:cs="Times New Roman"/>
          <w:sz w:val="24"/>
          <w:szCs w:val="24"/>
        </w:rPr>
        <w:t>) explain how regions experiencing governance vacuums provide fertile ground for such convergence. Similarly, the concept of “convergence spaces” (Muggah &amp; O’Neill, 2019) emphasizes the role of geographic zones</w:t>
      </w:r>
      <w:r w:rsidR="00AE1397">
        <w:rPr>
          <w:rFonts w:ascii="Times New Roman" w:hAnsi="Times New Roman" w:cs="Times New Roman"/>
          <w:sz w:val="24"/>
          <w:szCs w:val="24"/>
        </w:rPr>
        <w:t xml:space="preserve">, </w:t>
      </w:r>
      <w:r w:rsidRPr="00733AB5">
        <w:rPr>
          <w:rFonts w:ascii="Times New Roman" w:hAnsi="Times New Roman" w:cs="Times New Roman"/>
          <w:sz w:val="24"/>
          <w:szCs w:val="24"/>
        </w:rPr>
        <w:t>borderlands, urban slums, and ports</w:t>
      </w:r>
      <w:r w:rsidR="00AE1397">
        <w:rPr>
          <w:rFonts w:ascii="Times New Roman" w:hAnsi="Times New Roman" w:cs="Times New Roman"/>
          <w:sz w:val="24"/>
          <w:szCs w:val="24"/>
        </w:rPr>
        <w:t xml:space="preserve">, </w:t>
      </w:r>
      <w:r w:rsidRPr="00733AB5">
        <w:rPr>
          <w:rFonts w:ascii="Times New Roman" w:hAnsi="Times New Roman" w:cs="Times New Roman"/>
          <w:sz w:val="24"/>
          <w:szCs w:val="24"/>
        </w:rPr>
        <w:t>as intersections where criminal and terrorist economies integrate.</w:t>
      </w:r>
    </w:p>
    <w:p w14:paraId="74B0CED0" w14:textId="59E21B62" w:rsidR="00BC2FCC" w:rsidRPr="00733AB5" w:rsidRDefault="00BC2FCC" w:rsidP="00BC2FCC">
      <w:pPr>
        <w:jc w:val="both"/>
        <w:rPr>
          <w:rFonts w:ascii="Times New Roman" w:hAnsi="Times New Roman" w:cs="Times New Roman"/>
          <w:sz w:val="24"/>
          <w:szCs w:val="24"/>
        </w:rPr>
      </w:pPr>
      <w:r w:rsidRPr="00733AB5">
        <w:rPr>
          <w:rFonts w:ascii="Times New Roman" w:hAnsi="Times New Roman" w:cs="Times New Roman"/>
          <w:sz w:val="24"/>
          <w:szCs w:val="24"/>
        </w:rPr>
        <w:t>Terrorism and organi</w:t>
      </w:r>
      <w:r w:rsidR="0058328F">
        <w:rPr>
          <w:rFonts w:ascii="Times New Roman" w:hAnsi="Times New Roman" w:cs="Times New Roman"/>
          <w:sz w:val="24"/>
          <w:szCs w:val="24"/>
        </w:rPr>
        <w:t>s</w:t>
      </w:r>
      <w:r w:rsidRPr="00733AB5">
        <w:rPr>
          <w:rFonts w:ascii="Times New Roman" w:hAnsi="Times New Roman" w:cs="Times New Roman"/>
          <w:sz w:val="24"/>
          <w:szCs w:val="24"/>
        </w:rPr>
        <w:t xml:space="preserve">ed crime have often been conceptualized as distinct threats; however, they can converge in complex ways. According to </w:t>
      </w:r>
      <w:r w:rsidR="005D4CD4">
        <w:rPr>
          <w:rFonts w:ascii="Times New Roman" w:hAnsi="Times New Roman" w:cs="Times New Roman"/>
          <w:sz w:val="24"/>
          <w:szCs w:val="24"/>
        </w:rPr>
        <w:t>(</w:t>
      </w:r>
      <w:r w:rsidRPr="00733AB5">
        <w:rPr>
          <w:rFonts w:ascii="Times New Roman" w:hAnsi="Times New Roman" w:cs="Times New Roman"/>
          <w:sz w:val="24"/>
          <w:szCs w:val="24"/>
        </w:rPr>
        <w:t>Makarenko</w:t>
      </w:r>
      <w:r w:rsidR="005D4CD4">
        <w:rPr>
          <w:rFonts w:ascii="Times New Roman" w:hAnsi="Times New Roman" w:cs="Times New Roman"/>
          <w:sz w:val="24"/>
          <w:szCs w:val="24"/>
        </w:rPr>
        <w:t xml:space="preserve">, </w:t>
      </w:r>
      <w:r w:rsidRPr="00733AB5">
        <w:rPr>
          <w:rFonts w:ascii="Times New Roman" w:hAnsi="Times New Roman" w:cs="Times New Roman"/>
          <w:sz w:val="24"/>
          <w:szCs w:val="24"/>
        </w:rPr>
        <w:t>2004), this relationship lies along a continuum. At one end, criminal organi</w:t>
      </w:r>
      <w:r w:rsidR="0058328F">
        <w:rPr>
          <w:rFonts w:ascii="Times New Roman" w:hAnsi="Times New Roman" w:cs="Times New Roman"/>
          <w:sz w:val="24"/>
          <w:szCs w:val="24"/>
        </w:rPr>
        <w:t>s</w:t>
      </w:r>
      <w:r w:rsidRPr="00733AB5">
        <w:rPr>
          <w:rFonts w:ascii="Times New Roman" w:hAnsi="Times New Roman" w:cs="Times New Roman"/>
          <w:sz w:val="24"/>
          <w:szCs w:val="24"/>
        </w:rPr>
        <w:t>ations may adopt ideological motives, while at the other, terrorist groups may engage in organized crime purely for funding. The grey area in between represents hybrid entities that merge both purposes.</w:t>
      </w:r>
    </w:p>
    <w:p w14:paraId="3DFAF5DA" w14:textId="77777777" w:rsidR="00BC2FCC" w:rsidRPr="00733AB5" w:rsidRDefault="00BC2FCC" w:rsidP="00BC2FCC">
      <w:pPr>
        <w:jc w:val="both"/>
        <w:rPr>
          <w:rFonts w:ascii="Times New Roman" w:hAnsi="Times New Roman" w:cs="Times New Roman"/>
          <w:sz w:val="24"/>
          <w:szCs w:val="24"/>
        </w:rPr>
      </w:pPr>
      <w:r w:rsidRPr="00733AB5">
        <w:rPr>
          <w:rFonts w:ascii="Times New Roman" w:hAnsi="Times New Roman" w:cs="Times New Roman"/>
          <w:sz w:val="24"/>
          <w:szCs w:val="24"/>
        </w:rPr>
        <w:t xml:space="preserve">Phil Williams (2009) reinforces this, arguing that globalization, porous borders, and technological advancement have contributed to this merger. He identifies that both terrorists </w:t>
      </w:r>
      <w:r w:rsidRPr="00733AB5">
        <w:rPr>
          <w:rFonts w:ascii="Times New Roman" w:hAnsi="Times New Roman" w:cs="Times New Roman"/>
          <w:sz w:val="24"/>
          <w:szCs w:val="24"/>
        </w:rPr>
        <w:lastRenderedPageBreak/>
        <w:t>and criminals exploit weak state structures, access illicit markets, and rely on clandestine networks. Understanding these overlaps is essential for effective counter-terrorism efforts.</w:t>
      </w:r>
    </w:p>
    <w:p w14:paraId="01AFF996" w14:textId="33CD506B" w:rsidR="008B52D1" w:rsidRDefault="0058328F" w:rsidP="00BC2FCC">
      <w:pPr>
        <w:jc w:val="both"/>
        <w:rPr>
          <w:rFonts w:ascii="Times New Roman" w:hAnsi="Times New Roman" w:cs="Times New Roman"/>
          <w:sz w:val="24"/>
          <w:szCs w:val="24"/>
        </w:rPr>
      </w:pPr>
      <w:r>
        <w:rPr>
          <w:rFonts w:ascii="Times New Roman" w:hAnsi="Times New Roman" w:cs="Times New Roman"/>
          <w:sz w:val="24"/>
          <w:szCs w:val="24"/>
        </w:rPr>
        <w:t>T</w:t>
      </w:r>
      <w:r w:rsidR="00BC2FCC" w:rsidRPr="00733AB5">
        <w:rPr>
          <w:rFonts w:ascii="Times New Roman" w:hAnsi="Times New Roman" w:cs="Times New Roman"/>
          <w:sz w:val="24"/>
          <w:szCs w:val="24"/>
        </w:rPr>
        <w:t>errorist groups require substantial financial resources to operate</w:t>
      </w:r>
      <w:r w:rsidR="00AE1397">
        <w:rPr>
          <w:rFonts w:ascii="Times New Roman" w:hAnsi="Times New Roman" w:cs="Times New Roman"/>
          <w:sz w:val="24"/>
          <w:szCs w:val="24"/>
        </w:rPr>
        <w:t xml:space="preserve">, </w:t>
      </w:r>
      <w:r w:rsidR="00BC2FCC" w:rsidRPr="00733AB5">
        <w:rPr>
          <w:rFonts w:ascii="Times New Roman" w:hAnsi="Times New Roman" w:cs="Times New Roman"/>
          <w:sz w:val="24"/>
          <w:szCs w:val="24"/>
        </w:rPr>
        <w:t xml:space="preserve">funding recruitment, weapons, logistics, propaganda, and sometimes, governance. Without state sponsorship or external donors, many groups turn to illicit activities. </w:t>
      </w:r>
      <w:r w:rsidR="006546B5">
        <w:rPr>
          <w:rFonts w:ascii="Times New Roman" w:hAnsi="Times New Roman" w:cs="Times New Roman"/>
          <w:sz w:val="24"/>
          <w:szCs w:val="24"/>
        </w:rPr>
        <w:t xml:space="preserve">One example whereby criminal activity was used to support terrorist groups financially is one involving </w:t>
      </w:r>
      <w:r w:rsidR="006546B5" w:rsidRPr="006546B5">
        <w:rPr>
          <w:rFonts w:ascii="Times New Roman" w:hAnsi="Times New Roman" w:cs="Times New Roman"/>
          <w:sz w:val="24"/>
          <w:szCs w:val="24"/>
        </w:rPr>
        <w:t>Oghenochuko Ojiri</w:t>
      </w:r>
      <w:r w:rsidR="006546B5">
        <w:rPr>
          <w:rFonts w:ascii="Times New Roman" w:hAnsi="Times New Roman" w:cs="Times New Roman"/>
          <w:sz w:val="24"/>
          <w:szCs w:val="24"/>
        </w:rPr>
        <w:t xml:space="preserve">. Ojiri was jailed for two years and six months after </w:t>
      </w:r>
      <w:r w:rsidR="006546B5" w:rsidRPr="006546B5">
        <w:rPr>
          <w:rFonts w:ascii="Times New Roman" w:hAnsi="Times New Roman" w:cs="Times New Roman"/>
          <w:sz w:val="24"/>
          <w:szCs w:val="24"/>
        </w:rPr>
        <w:t>an investigation by officers from the Met’s Counter Terrorism Command revealed £140,000 of sales to a suspected financier of the proscribed group Hizballah</w:t>
      </w:r>
      <w:r w:rsidR="006546B5">
        <w:rPr>
          <w:rFonts w:ascii="Times New Roman" w:hAnsi="Times New Roman" w:cs="Times New Roman"/>
          <w:sz w:val="24"/>
          <w:szCs w:val="24"/>
        </w:rPr>
        <w:t xml:space="preserve">. </w:t>
      </w:r>
      <w:r w:rsidR="006546B5" w:rsidRPr="006546B5">
        <w:rPr>
          <w:rFonts w:ascii="Times New Roman" w:hAnsi="Times New Roman" w:cs="Times New Roman"/>
          <w:sz w:val="24"/>
          <w:szCs w:val="24"/>
        </w:rPr>
        <w:t xml:space="preserve">Ojiri wilfully </w:t>
      </w:r>
      <w:r w:rsidR="006546B5">
        <w:rPr>
          <w:rFonts w:ascii="Times New Roman" w:hAnsi="Times New Roman" w:cs="Times New Roman"/>
          <w:sz w:val="24"/>
          <w:szCs w:val="24"/>
        </w:rPr>
        <w:t>hid</w:t>
      </w:r>
      <w:r w:rsidR="006546B5" w:rsidRPr="006546B5">
        <w:rPr>
          <w:rFonts w:ascii="Times New Roman" w:hAnsi="Times New Roman" w:cs="Times New Roman"/>
          <w:sz w:val="24"/>
          <w:szCs w:val="24"/>
        </w:rPr>
        <w:t xml:space="preserve"> the fact he knew he was selling artwork to Nazem Ahmad, </w:t>
      </w:r>
      <w:r w:rsidR="006546B5">
        <w:rPr>
          <w:rFonts w:ascii="Times New Roman" w:hAnsi="Times New Roman" w:cs="Times New Roman"/>
          <w:sz w:val="24"/>
          <w:szCs w:val="24"/>
        </w:rPr>
        <w:t xml:space="preserve">this was </w:t>
      </w:r>
      <w:r w:rsidR="006546B5" w:rsidRPr="006546B5">
        <w:rPr>
          <w:rFonts w:ascii="Times New Roman" w:hAnsi="Times New Roman" w:cs="Times New Roman"/>
          <w:sz w:val="24"/>
          <w:szCs w:val="24"/>
        </w:rPr>
        <w:t>someone who has been sanctioned by the UK and US Treasury and described as a funder of the proscribed terrorist group Hizballah.</w:t>
      </w:r>
      <w:r w:rsidR="006546B5" w:rsidRPr="006546B5">
        <w:rPr>
          <w:rFonts w:ascii="Times New Roman" w:eastAsia="Times New Roman" w:hAnsi="Times New Roman" w:cs="Times New Roman"/>
          <w:kern w:val="0"/>
          <w:sz w:val="24"/>
          <w:szCs w:val="24"/>
          <w:lang w:eastAsia="en-GB"/>
          <w14:ligatures w14:val="none"/>
        </w:rPr>
        <w:t xml:space="preserve"> </w:t>
      </w:r>
      <w:r w:rsidR="006546B5" w:rsidRPr="006546B5">
        <w:rPr>
          <w:rFonts w:ascii="Times New Roman" w:hAnsi="Times New Roman" w:cs="Times New Roman"/>
          <w:sz w:val="24"/>
          <w:szCs w:val="24"/>
        </w:rPr>
        <w:t>(Hosker, 2025)</w:t>
      </w:r>
    </w:p>
    <w:p w14:paraId="3DD2B85B" w14:textId="060686D3" w:rsidR="00DA2C8A" w:rsidRDefault="006546B5" w:rsidP="00BC2FCC">
      <w:pPr>
        <w:jc w:val="both"/>
        <w:rPr>
          <w:rFonts w:ascii="Times New Roman" w:hAnsi="Times New Roman" w:cs="Times New Roman"/>
          <w:sz w:val="24"/>
          <w:szCs w:val="24"/>
        </w:rPr>
      </w:pPr>
      <w:r>
        <w:rPr>
          <w:rFonts w:ascii="Times New Roman" w:hAnsi="Times New Roman" w:cs="Times New Roman"/>
          <w:sz w:val="24"/>
          <w:szCs w:val="24"/>
        </w:rPr>
        <w:t xml:space="preserve">Terrorist organisations also utilise other forms of criminality, these include </w:t>
      </w:r>
      <w:r w:rsidR="00AE1397">
        <w:rPr>
          <w:rFonts w:ascii="Times New Roman" w:hAnsi="Times New Roman" w:cs="Times New Roman"/>
          <w:sz w:val="24"/>
          <w:szCs w:val="24"/>
        </w:rPr>
        <w:t>d</w:t>
      </w:r>
      <w:r w:rsidR="00BC2FCC" w:rsidRPr="00733AB5">
        <w:rPr>
          <w:rFonts w:ascii="Times New Roman" w:hAnsi="Times New Roman" w:cs="Times New Roman"/>
          <w:sz w:val="24"/>
          <w:szCs w:val="24"/>
        </w:rPr>
        <w:t xml:space="preserve">rug trafficking (e.g., </w:t>
      </w:r>
      <w:r w:rsidR="00897F8A" w:rsidRPr="00897F8A">
        <w:rPr>
          <w:rFonts w:ascii="Times New Roman" w:hAnsi="Times New Roman" w:cs="Times New Roman"/>
          <w:sz w:val="24"/>
          <w:szCs w:val="24"/>
        </w:rPr>
        <w:t>A hallmark example is the Taliban’s dominance over Afghanistan’s opium economy. In many years, the Taliban has taxed opium producers and traffickers, raising hundreds of millions of dollars annually. This revenue fuels insurgent operations and provides critical fiscal autonomy.</w:t>
      </w:r>
      <w:r w:rsidR="00897F8A">
        <w:rPr>
          <w:rFonts w:ascii="Times New Roman" w:hAnsi="Times New Roman" w:cs="Times New Roman"/>
          <w:sz w:val="24"/>
          <w:szCs w:val="24"/>
        </w:rPr>
        <w:t xml:space="preserve">) </w:t>
      </w:r>
      <w:r w:rsidR="00C8402B">
        <w:rPr>
          <w:rFonts w:ascii="Times New Roman" w:hAnsi="Times New Roman" w:cs="Times New Roman"/>
          <w:sz w:val="24"/>
          <w:szCs w:val="24"/>
        </w:rPr>
        <w:t>K</w:t>
      </w:r>
      <w:r w:rsidR="00BC2FCC" w:rsidRPr="00733AB5">
        <w:rPr>
          <w:rFonts w:ascii="Times New Roman" w:hAnsi="Times New Roman" w:cs="Times New Roman"/>
          <w:sz w:val="24"/>
          <w:szCs w:val="24"/>
        </w:rPr>
        <w:t xml:space="preserve">idnapping for ransom (e.g., </w:t>
      </w:r>
      <w:r w:rsidR="00C8402B" w:rsidRPr="00C8402B">
        <w:rPr>
          <w:rFonts w:ascii="Times New Roman" w:hAnsi="Times New Roman" w:cs="Times New Roman"/>
          <w:sz w:val="24"/>
          <w:szCs w:val="24"/>
        </w:rPr>
        <w:t>Groups like Boko Haram and Abu Sayyaf have at times raised tens of millions of dollars through carefully orchestrated kidnappings of locals, tourists, and foreign nationals</w:t>
      </w:r>
      <w:r w:rsidR="00BC2FCC" w:rsidRPr="00733AB5">
        <w:rPr>
          <w:rFonts w:ascii="Times New Roman" w:hAnsi="Times New Roman" w:cs="Times New Roman"/>
          <w:sz w:val="24"/>
          <w:szCs w:val="24"/>
        </w:rPr>
        <w:t>)</w:t>
      </w:r>
      <w:r w:rsidR="00C8402B">
        <w:rPr>
          <w:rFonts w:ascii="Times New Roman" w:hAnsi="Times New Roman" w:cs="Times New Roman"/>
          <w:sz w:val="24"/>
          <w:szCs w:val="24"/>
        </w:rPr>
        <w:t>.</w:t>
      </w:r>
      <w:r w:rsidR="00AE1397">
        <w:rPr>
          <w:rFonts w:ascii="Times New Roman" w:hAnsi="Times New Roman" w:cs="Times New Roman"/>
          <w:sz w:val="24"/>
          <w:szCs w:val="24"/>
        </w:rPr>
        <w:t xml:space="preserve"> </w:t>
      </w:r>
      <w:r w:rsidR="00C8402B">
        <w:rPr>
          <w:rFonts w:ascii="Times New Roman" w:hAnsi="Times New Roman" w:cs="Times New Roman"/>
          <w:sz w:val="24"/>
          <w:szCs w:val="24"/>
        </w:rPr>
        <w:t>I</w:t>
      </w:r>
      <w:r w:rsidR="00BC2FCC" w:rsidRPr="00733AB5">
        <w:rPr>
          <w:rFonts w:ascii="Times New Roman" w:hAnsi="Times New Roman" w:cs="Times New Roman"/>
          <w:sz w:val="24"/>
          <w:szCs w:val="24"/>
        </w:rPr>
        <w:t xml:space="preserve">llegal oil smuggling (e.g., </w:t>
      </w:r>
      <w:r w:rsidR="004C3A1E" w:rsidRPr="004C3A1E">
        <w:rPr>
          <w:rFonts w:ascii="Times New Roman" w:hAnsi="Times New Roman" w:cs="Times New Roman"/>
          <w:sz w:val="24"/>
          <w:szCs w:val="24"/>
        </w:rPr>
        <w:t>During its peak (2014–2017), ISIS derived around $1 million per day from controlling and selling crude oil in Iraq and Syria, a substantial chunk of its operational budget</w:t>
      </w:r>
      <w:r w:rsidR="00BC2FCC" w:rsidRPr="00733AB5">
        <w:rPr>
          <w:rFonts w:ascii="Times New Roman" w:hAnsi="Times New Roman" w:cs="Times New Roman"/>
          <w:sz w:val="24"/>
          <w:szCs w:val="24"/>
        </w:rPr>
        <w:t>)</w:t>
      </w:r>
      <w:r w:rsidR="004C3A1E">
        <w:rPr>
          <w:rFonts w:ascii="Times New Roman" w:hAnsi="Times New Roman" w:cs="Times New Roman"/>
          <w:sz w:val="24"/>
          <w:szCs w:val="24"/>
        </w:rPr>
        <w:t>.</w:t>
      </w:r>
      <w:r w:rsidR="00AE1397">
        <w:rPr>
          <w:rFonts w:ascii="Times New Roman" w:hAnsi="Times New Roman" w:cs="Times New Roman"/>
          <w:sz w:val="24"/>
          <w:szCs w:val="24"/>
        </w:rPr>
        <w:t xml:space="preserve"> </w:t>
      </w:r>
      <w:r w:rsidR="004C3A1E">
        <w:rPr>
          <w:rFonts w:ascii="Times New Roman" w:hAnsi="Times New Roman" w:cs="Times New Roman"/>
          <w:sz w:val="24"/>
          <w:szCs w:val="24"/>
        </w:rPr>
        <w:t>H</w:t>
      </w:r>
      <w:r w:rsidR="00BC2FCC" w:rsidRPr="00733AB5">
        <w:rPr>
          <w:rFonts w:ascii="Times New Roman" w:hAnsi="Times New Roman" w:cs="Times New Roman"/>
          <w:sz w:val="24"/>
          <w:szCs w:val="24"/>
        </w:rPr>
        <w:t>uman trafficking and extortion</w:t>
      </w:r>
      <w:r w:rsidR="00AE1397">
        <w:rPr>
          <w:rFonts w:ascii="Times New Roman" w:hAnsi="Times New Roman" w:cs="Times New Roman"/>
          <w:sz w:val="24"/>
          <w:szCs w:val="24"/>
        </w:rPr>
        <w:t>.</w:t>
      </w:r>
      <w:r w:rsidR="00DA2C8A">
        <w:rPr>
          <w:rFonts w:ascii="Times New Roman" w:hAnsi="Times New Roman" w:cs="Times New Roman"/>
          <w:sz w:val="24"/>
          <w:szCs w:val="24"/>
        </w:rPr>
        <w:t xml:space="preserve"> </w:t>
      </w:r>
      <w:r w:rsidR="00971392" w:rsidRPr="00971392">
        <w:rPr>
          <w:rFonts w:ascii="Times New Roman" w:hAnsi="Times New Roman" w:cs="Times New Roman"/>
          <w:sz w:val="24"/>
          <w:szCs w:val="24"/>
        </w:rPr>
        <w:t>Terrorist groups often prey upon vulnerable populations</w:t>
      </w:r>
      <w:r w:rsidR="00971392">
        <w:rPr>
          <w:rFonts w:ascii="Times New Roman" w:hAnsi="Times New Roman" w:cs="Times New Roman"/>
          <w:sz w:val="24"/>
          <w:szCs w:val="24"/>
        </w:rPr>
        <w:t xml:space="preserve">, </w:t>
      </w:r>
      <w:r w:rsidR="00971392" w:rsidRPr="00971392">
        <w:rPr>
          <w:rFonts w:ascii="Times New Roman" w:hAnsi="Times New Roman" w:cs="Times New Roman"/>
          <w:sz w:val="24"/>
          <w:szCs w:val="24"/>
        </w:rPr>
        <w:t>such as refugees, IDPs, and migrants</w:t>
      </w:r>
      <w:r w:rsidR="00971392">
        <w:rPr>
          <w:rFonts w:ascii="Times New Roman" w:hAnsi="Times New Roman" w:cs="Times New Roman"/>
          <w:sz w:val="24"/>
          <w:szCs w:val="24"/>
        </w:rPr>
        <w:t xml:space="preserve">, </w:t>
      </w:r>
      <w:r w:rsidR="00971392" w:rsidRPr="00971392">
        <w:rPr>
          <w:rFonts w:ascii="Times New Roman" w:hAnsi="Times New Roman" w:cs="Times New Roman"/>
          <w:sz w:val="24"/>
          <w:szCs w:val="24"/>
        </w:rPr>
        <w:t>engaging in exploitative schemes that augment both finances and social control.</w:t>
      </w:r>
    </w:p>
    <w:p w14:paraId="13BFD935" w14:textId="33CB965C" w:rsidR="00BC2FCC" w:rsidRPr="00733AB5" w:rsidRDefault="00DA2C8A" w:rsidP="00BC2FCC">
      <w:pPr>
        <w:jc w:val="both"/>
        <w:rPr>
          <w:rFonts w:ascii="Times New Roman" w:hAnsi="Times New Roman" w:cs="Times New Roman"/>
          <w:sz w:val="24"/>
          <w:szCs w:val="24"/>
        </w:rPr>
      </w:pPr>
      <w:r w:rsidRPr="00DA2C8A">
        <w:rPr>
          <w:rFonts w:ascii="Times New Roman" w:hAnsi="Times New Roman" w:cs="Times New Roman"/>
          <w:sz w:val="24"/>
          <w:szCs w:val="24"/>
        </w:rPr>
        <w:t>Sustaining a terrorist campaign requires considerable resources</w:t>
      </w:r>
      <w:r w:rsidR="000C7528">
        <w:rPr>
          <w:rFonts w:ascii="Times New Roman" w:hAnsi="Times New Roman" w:cs="Times New Roman"/>
          <w:sz w:val="24"/>
          <w:szCs w:val="24"/>
        </w:rPr>
        <w:t>,</w:t>
      </w:r>
      <w:r w:rsidRPr="00DA2C8A">
        <w:rPr>
          <w:rFonts w:ascii="Times New Roman" w:hAnsi="Times New Roman" w:cs="Times New Roman"/>
          <w:sz w:val="24"/>
          <w:szCs w:val="24"/>
        </w:rPr>
        <w:t xml:space="preserve"> funding recruitment drives, procuring weaponry, maintaining logistics chains, developing propaganda, administering governance structures, and supporting leadership cadres. While ideological patrons and state sponsors may provide initial funding, the durability of chronic operations often depends on illicit income sources. Without reliable legitimate revenue streams, many terrorist organizations gravitate toward systematic criminal behaviour.</w:t>
      </w:r>
    </w:p>
    <w:p w14:paraId="0808D4B3" w14:textId="26677F4B" w:rsidR="00BC2FCC" w:rsidRPr="00733AB5" w:rsidRDefault="00BC2FCC" w:rsidP="00BC2FCC">
      <w:pPr>
        <w:jc w:val="both"/>
        <w:rPr>
          <w:rFonts w:ascii="Times New Roman" w:hAnsi="Times New Roman" w:cs="Times New Roman"/>
          <w:sz w:val="24"/>
          <w:szCs w:val="24"/>
        </w:rPr>
      </w:pPr>
      <w:r w:rsidRPr="00733AB5">
        <w:rPr>
          <w:rFonts w:ascii="Times New Roman" w:hAnsi="Times New Roman" w:cs="Times New Roman"/>
          <w:sz w:val="24"/>
          <w:szCs w:val="24"/>
        </w:rPr>
        <w:t>Shelley and Picarelli (2005) argue that terrorist groups increasingly rely on such criminal activities, especially when isolated from legitimate financing. For example, ISIS reportedly earned over $1 million daily from oil smuggling alone in 2015 (Center for Security Studies, 2025).</w:t>
      </w:r>
      <w:r w:rsidR="0075261A">
        <w:rPr>
          <w:rFonts w:ascii="Times New Roman" w:hAnsi="Times New Roman" w:cs="Times New Roman"/>
          <w:sz w:val="24"/>
          <w:szCs w:val="24"/>
        </w:rPr>
        <w:t xml:space="preserve"> </w:t>
      </w:r>
      <w:r w:rsidRPr="00733AB5">
        <w:rPr>
          <w:rFonts w:ascii="Times New Roman" w:hAnsi="Times New Roman" w:cs="Times New Roman"/>
          <w:sz w:val="24"/>
          <w:szCs w:val="24"/>
        </w:rPr>
        <w:t>Criminal activities also provide logistical support. Smuggling routes used by drug cartels often double as arms trafficking corridors for terrorists. These shared resources create operational synergies between criminal and terrorist networks. According to Dishman (2005), cooperation may evolve from temporary alliances into more integrated partnerships.</w:t>
      </w:r>
    </w:p>
    <w:p w14:paraId="5581CC28" w14:textId="12A0A5FF" w:rsidR="00BC2FCC" w:rsidRPr="00733AB5" w:rsidRDefault="00BC2FCC" w:rsidP="00BC2FCC">
      <w:pPr>
        <w:jc w:val="both"/>
        <w:rPr>
          <w:rFonts w:ascii="Times New Roman" w:hAnsi="Times New Roman" w:cs="Times New Roman"/>
          <w:sz w:val="24"/>
          <w:szCs w:val="24"/>
        </w:rPr>
      </w:pPr>
      <w:r w:rsidRPr="00733AB5">
        <w:rPr>
          <w:rFonts w:ascii="Times New Roman" w:hAnsi="Times New Roman" w:cs="Times New Roman"/>
          <w:sz w:val="24"/>
          <w:szCs w:val="24"/>
        </w:rPr>
        <w:t>In areas with weak governance, terrorist groups may assume criminal roles to maintain control. For instance, Al-Shabaab in Somalia taxed local businesses and controlled trade routes to reinforce its authority, using extortion as a strategic tool (Center for Security Studies, 2025).</w:t>
      </w:r>
      <w:r w:rsidR="0075261A">
        <w:rPr>
          <w:rFonts w:ascii="Times New Roman" w:hAnsi="Times New Roman" w:cs="Times New Roman"/>
          <w:sz w:val="24"/>
          <w:szCs w:val="24"/>
        </w:rPr>
        <w:t xml:space="preserve"> This is used to ensure that the terrorist groups remain in </w:t>
      </w:r>
      <w:proofErr w:type="gramStart"/>
      <w:r w:rsidR="0075261A">
        <w:rPr>
          <w:rFonts w:ascii="Times New Roman" w:hAnsi="Times New Roman" w:cs="Times New Roman"/>
          <w:sz w:val="24"/>
          <w:szCs w:val="24"/>
        </w:rPr>
        <w:t>control</w:t>
      </w:r>
      <w:proofErr w:type="gramEnd"/>
      <w:r w:rsidR="0075261A">
        <w:rPr>
          <w:rFonts w:ascii="Times New Roman" w:hAnsi="Times New Roman" w:cs="Times New Roman"/>
          <w:sz w:val="24"/>
          <w:szCs w:val="24"/>
        </w:rPr>
        <w:t xml:space="preserve"> and it ensures they have a constat source of income. </w:t>
      </w:r>
    </w:p>
    <w:p w14:paraId="76E2D139" w14:textId="2F3D7DD0" w:rsidR="00517BF2" w:rsidRDefault="00BC2FCC" w:rsidP="00517BF2">
      <w:pPr>
        <w:jc w:val="both"/>
        <w:rPr>
          <w:rFonts w:ascii="Times New Roman" w:hAnsi="Times New Roman" w:cs="Times New Roman"/>
          <w:sz w:val="24"/>
          <w:szCs w:val="24"/>
        </w:rPr>
      </w:pPr>
      <w:r w:rsidRPr="00733AB5">
        <w:rPr>
          <w:rFonts w:ascii="Times New Roman" w:hAnsi="Times New Roman" w:cs="Times New Roman"/>
          <w:sz w:val="24"/>
          <w:szCs w:val="24"/>
        </w:rPr>
        <w:t>Islamic State (ISIS)</w:t>
      </w:r>
      <w:r w:rsidR="00AE1397">
        <w:rPr>
          <w:rFonts w:ascii="Times New Roman" w:hAnsi="Times New Roman" w:cs="Times New Roman"/>
          <w:sz w:val="24"/>
          <w:szCs w:val="24"/>
        </w:rPr>
        <w:t xml:space="preserve"> </w:t>
      </w:r>
      <w:r w:rsidRPr="00733AB5">
        <w:rPr>
          <w:rFonts w:ascii="Times New Roman" w:hAnsi="Times New Roman" w:cs="Times New Roman"/>
          <w:sz w:val="24"/>
          <w:szCs w:val="24"/>
        </w:rPr>
        <w:t xml:space="preserve">serves as a textbook example of a hybrid terrorist-criminal organization. Though ideologically motivated, it relied heavily on oil smuggling, kidnapping, and extortion to finance its operations. </w:t>
      </w:r>
      <w:r w:rsidR="009C4AA9" w:rsidRPr="009C4AA9">
        <w:rPr>
          <w:rFonts w:ascii="Times New Roman" w:hAnsi="Times New Roman" w:cs="Times New Roman"/>
          <w:sz w:val="24"/>
          <w:szCs w:val="24"/>
        </w:rPr>
        <w:t xml:space="preserve">Äijälä </w:t>
      </w:r>
      <w:r w:rsidR="009C4AA9">
        <w:rPr>
          <w:rFonts w:ascii="Times New Roman" w:hAnsi="Times New Roman" w:cs="Times New Roman"/>
          <w:sz w:val="24"/>
          <w:szCs w:val="24"/>
        </w:rPr>
        <w:t xml:space="preserve">suggest that </w:t>
      </w:r>
      <w:r w:rsidR="009C4AA9" w:rsidRPr="009C4AA9">
        <w:rPr>
          <w:rFonts w:ascii="Times New Roman" w:hAnsi="Times New Roman" w:cs="Times New Roman"/>
          <w:sz w:val="24"/>
          <w:szCs w:val="24"/>
        </w:rPr>
        <w:t>ISIS is able to exploit the local oil fields by taking</w:t>
      </w:r>
      <w:r w:rsidR="009C4AA9">
        <w:rPr>
          <w:rFonts w:ascii="Times New Roman" w:hAnsi="Times New Roman" w:cs="Times New Roman"/>
          <w:sz w:val="24"/>
          <w:szCs w:val="24"/>
        </w:rPr>
        <w:t xml:space="preserve"> </w:t>
      </w:r>
      <w:r w:rsidR="009C4AA9" w:rsidRPr="009C4AA9">
        <w:rPr>
          <w:rFonts w:ascii="Times New Roman" w:hAnsi="Times New Roman" w:cs="Times New Roman"/>
          <w:sz w:val="24"/>
          <w:szCs w:val="24"/>
        </w:rPr>
        <w:lastRenderedPageBreak/>
        <w:t>oil to its own use as well as to sell it forward. Additionally, the local people living under its control are taxed highly on every possible occasion</w:t>
      </w:r>
      <w:r w:rsidR="009C4AA9">
        <w:rPr>
          <w:rFonts w:ascii="Times New Roman" w:hAnsi="Times New Roman" w:cs="Times New Roman"/>
          <w:sz w:val="24"/>
          <w:szCs w:val="24"/>
        </w:rPr>
        <w:t xml:space="preserve"> </w:t>
      </w:r>
      <w:r w:rsidR="009C4AA9" w:rsidRPr="009C4AA9">
        <w:rPr>
          <w:rFonts w:ascii="Times New Roman" w:hAnsi="Times New Roman" w:cs="Times New Roman"/>
          <w:sz w:val="24"/>
          <w:szCs w:val="24"/>
        </w:rPr>
        <w:t>(Äijälä, 2016)</w:t>
      </w:r>
      <w:r w:rsidR="009C4AA9">
        <w:rPr>
          <w:rFonts w:ascii="Times New Roman" w:hAnsi="Times New Roman" w:cs="Times New Roman"/>
          <w:sz w:val="24"/>
          <w:szCs w:val="24"/>
        </w:rPr>
        <w:t xml:space="preserve">. This shows how terrorist groups are exploiting people for a financial gain. </w:t>
      </w:r>
    </w:p>
    <w:p w14:paraId="02A8A6F1" w14:textId="6D86B1D5" w:rsidR="00517BF2" w:rsidRPr="00517BF2" w:rsidRDefault="00517BF2" w:rsidP="00517BF2">
      <w:pPr>
        <w:jc w:val="both"/>
        <w:rPr>
          <w:rFonts w:ascii="Times New Roman" w:hAnsi="Times New Roman" w:cs="Times New Roman"/>
          <w:sz w:val="24"/>
          <w:szCs w:val="24"/>
        </w:rPr>
      </w:pPr>
      <w:r w:rsidRPr="00517BF2">
        <w:rPr>
          <w:rFonts w:ascii="Times New Roman" w:hAnsi="Times New Roman" w:cs="Times New Roman"/>
          <w:sz w:val="24"/>
          <w:szCs w:val="24"/>
        </w:rPr>
        <w:t>The Islamic State exemplifies the modern convergence of terror and criminality in stark terms. By 2014, ISIS controlled vast swathes of Iraq and Syria, leveraging territorial dominion to monetize natural resources, criminal markets, and coercive governance.</w:t>
      </w:r>
      <w:r>
        <w:rPr>
          <w:rFonts w:ascii="Times New Roman" w:hAnsi="Times New Roman" w:cs="Times New Roman"/>
          <w:sz w:val="24"/>
          <w:szCs w:val="24"/>
        </w:rPr>
        <w:t xml:space="preserve"> One way is o</w:t>
      </w:r>
      <w:r w:rsidRPr="00517BF2">
        <w:rPr>
          <w:rFonts w:ascii="Times New Roman" w:hAnsi="Times New Roman" w:cs="Times New Roman"/>
          <w:sz w:val="24"/>
          <w:szCs w:val="24"/>
        </w:rPr>
        <w:t>il Smuggling</w:t>
      </w:r>
      <w:r>
        <w:rPr>
          <w:rFonts w:ascii="Times New Roman" w:hAnsi="Times New Roman" w:cs="Times New Roman"/>
          <w:sz w:val="24"/>
          <w:szCs w:val="24"/>
        </w:rPr>
        <w:t xml:space="preserve">. </w:t>
      </w:r>
      <w:r w:rsidRPr="00517BF2">
        <w:rPr>
          <w:rFonts w:ascii="Times New Roman" w:hAnsi="Times New Roman" w:cs="Times New Roman"/>
          <w:sz w:val="24"/>
          <w:szCs w:val="24"/>
        </w:rPr>
        <w:t>ISIS took control of production facilities and pipelines, selling oil via smuggling networks in Turkey and Iraq. Daily revenues during peak periods ranged from $500,000 to $3 million based on various estimates</w:t>
      </w:r>
      <w:r>
        <w:rPr>
          <w:rFonts w:ascii="Times New Roman" w:hAnsi="Times New Roman" w:cs="Times New Roman"/>
          <w:sz w:val="24"/>
          <w:szCs w:val="24"/>
        </w:rPr>
        <w:t>. Another is k</w:t>
      </w:r>
      <w:r w:rsidRPr="00517BF2">
        <w:rPr>
          <w:rFonts w:ascii="Times New Roman" w:hAnsi="Times New Roman" w:cs="Times New Roman"/>
          <w:sz w:val="24"/>
          <w:szCs w:val="24"/>
        </w:rPr>
        <w:t xml:space="preserve">idnapping and </w:t>
      </w:r>
      <w:r>
        <w:rPr>
          <w:rFonts w:ascii="Times New Roman" w:hAnsi="Times New Roman" w:cs="Times New Roman"/>
          <w:sz w:val="24"/>
          <w:szCs w:val="24"/>
        </w:rPr>
        <w:t>e</w:t>
      </w:r>
      <w:r w:rsidRPr="00517BF2">
        <w:rPr>
          <w:rFonts w:ascii="Times New Roman" w:hAnsi="Times New Roman" w:cs="Times New Roman"/>
          <w:sz w:val="24"/>
          <w:szCs w:val="24"/>
        </w:rPr>
        <w:t>xtortion</w:t>
      </w:r>
      <w:r>
        <w:rPr>
          <w:rFonts w:ascii="Times New Roman" w:hAnsi="Times New Roman" w:cs="Times New Roman"/>
          <w:sz w:val="24"/>
          <w:szCs w:val="24"/>
        </w:rPr>
        <w:t>,</w:t>
      </w:r>
      <w:r w:rsidRPr="00517BF2">
        <w:rPr>
          <w:rFonts w:ascii="Times New Roman" w:hAnsi="Times New Roman" w:cs="Times New Roman"/>
          <w:sz w:val="24"/>
          <w:szCs w:val="24"/>
        </w:rPr>
        <w:t xml:space="preserve"> ISIS exploited religious and sectarian oppression to generate ransom payments. Hostages were often sold to intermediaries, while locals were subject to forced taxation under the guise of sharia-based governance.</w:t>
      </w:r>
      <w:r w:rsidR="009C4AA9">
        <w:rPr>
          <w:rFonts w:ascii="Times New Roman" w:hAnsi="Times New Roman" w:cs="Times New Roman"/>
          <w:sz w:val="24"/>
          <w:szCs w:val="24"/>
        </w:rPr>
        <w:t xml:space="preserve"> </w:t>
      </w:r>
      <w:r w:rsidR="009C4AA9" w:rsidRPr="009C4AA9">
        <w:rPr>
          <w:rFonts w:ascii="Times New Roman" w:hAnsi="Times New Roman" w:cs="Times New Roman"/>
          <w:sz w:val="24"/>
          <w:szCs w:val="24"/>
        </w:rPr>
        <w:t>(Malik, 2018)</w:t>
      </w:r>
    </w:p>
    <w:p w14:paraId="59429536" w14:textId="37DCD42F" w:rsidR="00BC2FCC" w:rsidRPr="00733AB5" w:rsidRDefault="00BC2FCC" w:rsidP="00BC2FCC">
      <w:pPr>
        <w:jc w:val="both"/>
        <w:rPr>
          <w:rFonts w:ascii="Times New Roman" w:hAnsi="Times New Roman" w:cs="Times New Roman"/>
          <w:sz w:val="24"/>
          <w:szCs w:val="24"/>
        </w:rPr>
      </w:pPr>
      <w:r w:rsidRPr="00733AB5">
        <w:rPr>
          <w:rFonts w:ascii="Times New Roman" w:hAnsi="Times New Roman" w:cs="Times New Roman"/>
          <w:sz w:val="24"/>
          <w:szCs w:val="24"/>
        </w:rPr>
        <w:t>Beyond ideological aspirations, Al-Shabaab has engaged in illegal charcoal exports despite international bans. Between 2012–2017, this trade allegedly earned them $400 million (Center for Security Studies, 2025). These profits funded operations, recruitment, and internal governance, making Al-Shabaab both a criminal cartel and an insurgent force.</w:t>
      </w:r>
    </w:p>
    <w:p w14:paraId="7A42D092" w14:textId="37ACCF4B" w:rsidR="00BC2FCC" w:rsidRPr="00733AB5" w:rsidRDefault="00BC2FCC" w:rsidP="00BC2FCC">
      <w:pPr>
        <w:jc w:val="both"/>
        <w:rPr>
          <w:rFonts w:ascii="Times New Roman" w:hAnsi="Times New Roman" w:cs="Times New Roman"/>
          <w:sz w:val="24"/>
          <w:szCs w:val="24"/>
        </w:rPr>
      </w:pPr>
      <w:r w:rsidRPr="00733AB5">
        <w:rPr>
          <w:rFonts w:ascii="Times New Roman" w:hAnsi="Times New Roman" w:cs="Times New Roman"/>
          <w:sz w:val="24"/>
          <w:szCs w:val="24"/>
        </w:rPr>
        <w:t>Tren de Aragua (</w:t>
      </w:r>
      <w:proofErr w:type="spellStart"/>
      <w:r w:rsidRPr="00733AB5">
        <w:rPr>
          <w:rFonts w:ascii="Times New Roman" w:hAnsi="Times New Roman" w:cs="Times New Roman"/>
          <w:sz w:val="24"/>
          <w:szCs w:val="24"/>
        </w:rPr>
        <w:t>TdA</w:t>
      </w:r>
      <w:proofErr w:type="spellEnd"/>
      <w:r w:rsidRPr="00733AB5">
        <w:rPr>
          <w:rFonts w:ascii="Times New Roman" w:hAnsi="Times New Roman" w:cs="Times New Roman"/>
          <w:sz w:val="24"/>
          <w:szCs w:val="24"/>
        </w:rPr>
        <w:t xml:space="preserve">) transnational expansion has involved strategic alliances with local criminal syndicates in Colombia, Brazil, and Peru. Their infiltration into these regions has included deploying members with military-grade training and forming temporary pacts with insurgent or politically violent actors. Such alliances are often opportunistic and evolve based on shared enemies or market interests, particularly in illegal mining and synthetic drug production. As such, </w:t>
      </w:r>
      <w:proofErr w:type="spellStart"/>
      <w:r w:rsidRPr="00733AB5">
        <w:rPr>
          <w:rFonts w:ascii="Times New Roman" w:hAnsi="Times New Roman" w:cs="Times New Roman"/>
          <w:sz w:val="24"/>
          <w:szCs w:val="24"/>
        </w:rPr>
        <w:t>TdA</w:t>
      </w:r>
      <w:proofErr w:type="spellEnd"/>
      <w:r w:rsidRPr="00733AB5">
        <w:rPr>
          <w:rFonts w:ascii="Times New Roman" w:hAnsi="Times New Roman" w:cs="Times New Roman"/>
          <w:sz w:val="24"/>
          <w:szCs w:val="24"/>
        </w:rPr>
        <w:t xml:space="preserve"> illustrates how a purely criminal group can gradually adopt terrorist methods</w:t>
      </w:r>
      <w:r w:rsidR="009C4AA9">
        <w:rPr>
          <w:rFonts w:ascii="Times New Roman" w:hAnsi="Times New Roman" w:cs="Times New Roman"/>
          <w:sz w:val="24"/>
          <w:szCs w:val="24"/>
        </w:rPr>
        <w:t xml:space="preserve">, </w:t>
      </w:r>
      <w:r w:rsidRPr="00733AB5">
        <w:rPr>
          <w:rFonts w:ascii="Times New Roman" w:hAnsi="Times New Roman" w:cs="Times New Roman"/>
          <w:sz w:val="24"/>
          <w:szCs w:val="24"/>
        </w:rPr>
        <w:t>intimidation, propaganda, public executions</w:t>
      </w:r>
      <w:r w:rsidR="009C4AA9">
        <w:rPr>
          <w:rFonts w:ascii="Times New Roman" w:hAnsi="Times New Roman" w:cs="Times New Roman"/>
          <w:sz w:val="24"/>
          <w:szCs w:val="24"/>
        </w:rPr>
        <w:t xml:space="preserve">, </w:t>
      </w:r>
      <w:r w:rsidRPr="00733AB5">
        <w:rPr>
          <w:rFonts w:ascii="Times New Roman" w:hAnsi="Times New Roman" w:cs="Times New Roman"/>
          <w:sz w:val="24"/>
          <w:szCs w:val="24"/>
        </w:rPr>
        <w:t>to maintain territorial control.</w:t>
      </w:r>
      <w:r w:rsidR="009C4AA9">
        <w:rPr>
          <w:rFonts w:ascii="Times New Roman" w:hAnsi="Times New Roman" w:cs="Times New Roman"/>
          <w:sz w:val="24"/>
          <w:szCs w:val="24"/>
        </w:rPr>
        <w:t xml:space="preserve"> </w:t>
      </w:r>
      <w:r w:rsidR="009C4AA9" w:rsidRPr="009C4AA9">
        <w:rPr>
          <w:rFonts w:ascii="Times New Roman" w:hAnsi="Times New Roman" w:cs="Times New Roman"/>
          <w:sz w:val="24"/>
          <w:szCs w:val="24"/>
        </w:rPr>
        <w:t>(US Department of State, 2025)</w:t>
      </w:r>
    </w:p>
    <w:p w14:paraId="26E800CA" w14:textId="26DF5D84" w:rsidR="00BC2FCC" w:rsidRPr="00733AB5" w:rsidRDefault="0058328F" w:rsidP="00BC2FCC">
      <w:pPr>
        <w:jc w:val="both"/>
        <w:rPr>
          <w:rFonts w:ascii="Times New Roman" w:hAnsi="Times New Roman" w:cs="Times New Roman"/>
          <w:sz w:val="24"/>
          <w:szCs w:val="24"/>
        </w:rPr>
      </w:pPr>
      <w:r>
        <w:rPr>
          <w:rFonts w:ascii="Times New Roman" w:hAnsi="Times New Roman" w:cs="Times New Roman"/>
          <w:sz w:val="24"/>
          <w:szCs w:val="24"/>
        </w:rPr>
        <w:t>There are many i</w:t>
      </w:r>
      <w:r w:rsidR="00BC2FCC" w:rsidRPr="00733AB5">
        <w:rPr>
          <w:rFonts w:ascii="Times New Roman" w:hAnsi="Times New Roman" w:cs="Times New Roman"/>
          <w:sz w:val="24"/>
          <w:szCs w:val="24"/>
        </w:rPr>
        <w:t xml:space="preserve">mplications for </w:t>
      </w:r>
      <w:r>
        <w:rPr>
          <w:rFonts w:ascii="Times New Roman" w:hAnsi="Times New Roman" w:cs="Times New Roman"/>
          <w:sz w:val="24"/>
          <w:szCs w:val="24"/>
        </w:rPr>
        <w:t>c</w:t>
      </w:r>
      <w:r w:rsidR="00AE1397" w:rsidRPr="00733AB5">
        <w:rPr>
          <w:rFonts w:ascii="Times New Roman" w:hAnsi="Times New Roman" w:cs="Times New Roman"/>
          <w:sz w:val="24"/>
          <w:szCs w:val="24"/>
        </w:rPr>
        <w:t>ounterterrorism</w:t>
      </w:r>
      <w:r w:rsidR="00BC2FCC" w:rsidRPr="00733AB5">
        <w:rPr>
          <w:rFonts w:ascii="Times New Roman" w:hAnsi="Times New Roman" w:cs="Times New Roman"/>
          <w:sz w:val="24"/>
          <w:szCs w:val="24"/>
        </w:rPr>
        <w:t xml:space="preserve"> </w:t>
      </w:r>
      <w:r>
        <w:rPr>
          <w:rFonts w:ascii="Times New Roman" w:hAnsi="Times New Roman" w:cs="Times New Roman"/>
          <w:sz w:val="24"/>
          <w:szCs w:val="24"/>
        </w:rPr>
        <w:t>p</w:t>
      </w:r>
      <w:r w:rsidR="00BC2FCC" w:rsidRPr="00733AB5">
        <w:rPr>
          <w:rFonts w:ascii="Times New Roman" w:hAnsi="Times New Roman" w:cs="Times New Roman"/>
          <w:sz w:val="24"/>
          <w:szCs w:val="24"/>
        </w:rPr>
        <w:t>olicing</w:t>
      </w:r>
      <w:r>
        <w:rPr>
          <w:rFonts w:ascii="Times New Roman" w:hAnsi="Times New Roman" w:cs="Times New Roman"/>
          <w:sz w:val="24"/>
          <w:szCs w:val="24"/>
        </w:rPr>
        <w:t>.</w:t>
      </w:r>
      <w:r w:rsidR="00BC2FCC" w:rsidRPr="00733AB5">
        <w:rPr>
          <w:rFonts w:ascii="Times New Roman" w:hAnsi="Times New Roman" w:cs="Times New Roman"/>
          <w:sz w:val="24"/>
          <w:szCs w:val="24"/>
        </w:rPr>
        <w:t xml:space="preserve"> The growing sophistication of hybrid threats also </w:t>
      </w:r>
      <w:r w:rsidRPr="00733AB5">
        <w:rPr>
          <w:rFonts w:ascii="Times New Roman" w:hAnsi="Times New Roman" w:cs="Times New Roman"/>
          <w:sz w:val="24"/>
          <w:szCs w:val="24"/>
        </w:rPr>
        <w:t>necessitates</w:t>
      </w:r>
      <w:r w:rsidR="00BC2FCC" w:rsidRPr="00733AB5">
        <w:rPr>
          <w:rFonts w:ascii="Times New Roman" w:hAnsi="Times New Roman" w:cs="Times New Roman"/>
          <w:sz w:val="24"/>
          <w:szCs w:val="24"/>
        </w:rPr>
        <w:t xml:space="preserve"> advanced data analysis tools and algorithms capable of identifying patterns in financial transactions, travel movements, and digital communications. Predictive policing models, while ethically contested, are increasingly used in efforts to anticipate and disrupt crime-terror alliances before they materialize operationally. Moreover, regional police forces must be trained not only in traditional law enforcement but also in cyber forensics, financial intelligence, and community engagement</w:t>
      </w:r>
      <w:r w:rsidR="00816AC0">
        <w:rPr>
          <w:rFonts w:ascii="Times New Roman" w:hAnsi="Times New Roman" w:cs="Times New Roman"/>
          <w:sz w:val="24"/>
          <w:szCs w:val="24"/>
        </w:rPr>
        <w:t xml:space="preserve">, </w:t>
      </w:r>
      <w:r w:rsidR="00BC2FCC" w:rsidRPr="00733AB5">
        <w:rPr>
          <w:rFonts w:ascii="Times New Roman" w:hAnsi="Times New Roman" w:cs="Times New Roman"/>
          <w:sz w:val="24"/>
          <w:szCs w:val="24"/>
        </w:rPr>
        <w:t>creating a new professional profile of the counter-terrorism officer.</w:t>
      </w:r>
    </w:p>
    <w:p w14:paraId="348D1EDD" w14:textId="4DC1C3C0" w:rsidR="00BC2FCC" w:rsidRPr="00733AB5" w:rsidRDefault="00BC2FCC" w:rsidP="00BC2FCC">
      <w:pPr>
        <w:jc w:val="both"/>
        <w:rPr>
          <w:rFonts w:ascii="Times New Roman" w:hAnsi="Times New Roman" w:cs="Times New Roman"/>
          <w:sz w:val="24"/>
          <w:szCs w:val="24"/>
        </w:rPr>
      </w:pPr>
      <w:r w:rsidRPr="00733AB5">
        <w:rPr>
          <w:rFonts w:ascii="Times New Roman" w:hAnsi="Times New Roman" w:cs="Times New Roman"/>
          <w:sz w:val="24"/>
          <w:szCs w:val="24"/>
        </w:rPr>
        <w:t>Understanding the crime-terror nexus has practical and strategic implications for policing.</w:t>
      </w:r>
      <w:r w:rsidR="00AE1397">
        <w:rPr>
          <w:rFonts w:ascii="Times New Roman" w:hAnsi="Times New Roman" w:cs="Times New Roman"/>
          <w:sz w:val="24"/>
          <w:szCs w:val="24"/>
        </w:rPr>
        <w:t xml:space="preserve"> </w:t>
      </w:r>
      <w:r w:rsidRPr="00733AB5">
        <w:rPr>
          <w:rFonts w:ascii="Times New Roman" w:hAnsi="Times New Roman" w:cs="Times New Roman"/>
          <w:sz w:val="24"/>
          <w:szCs w:val="24"/>
        </w:rPr>
        <w:t>Intelligence Sharing and Integration Traditional policing separates organized crime units from counter-terrorism divisions. However, the hybrid nature of threats necessitates inter-agency collaboration. Police must integrate data on financial transactions, trafficking routes, and ideological threats. Europol and Interpol already provide frameworks for this, but national implementation varies.</w:t>
      </w:r>
      <w:r w:rsidR="00D47E09">
        <w:rPr>
          <w:rFonts w:ascii="Times New Roman" w:hAnsi="Times New Roman" w:cs="Times New Roman"/>
          <w:sz w:val="24"/>
          <w:szCs w:val="24"/>
        </w:rPr>
        <w:t xml:space="preserve"> </w:t>
      </w:r>
      <w:r w:rsidR="00D47E09" w:rsidRPr="00D47E09">
        <w:rPr>
          <w:rFonts w:ascii="Times New Roman" w:hAnsi="Times New Roman" w:cs="Times New Roman"/>
          <w:sz w:val="24"/>
          <w:szCs w:val="24"/>
        </w:rPr>
        <w:t>(Petrich, 2021)</w:t>
      </w:r>
    </w:p>
    <w:p w14:paraId="1EFDA087" w14:textId="77777777" w:rsidR="00BC2FCC" w:rsidRPr="00733AB5" w:rsidRDefault="00BC2FCC" w:rsidP="00BC2FCC">
      <w:pPr>
        <w:jc w:val="both"/>
        <w:rPr>
          <w:rFonts w:ascii="Times New Roman" w:hAnsi="Times New Roman" w:cs="Times New Roman"/>
          <w:sz w:val="24"/>
          <w:szCs w:val="24"/>
        </w:rPr>
      </w:pPr>
      <w:r w:rsidRPr="00733AB5">
        <w:rPr>
          <w:rFonts w:ascii="Times New Roman" w:hAnsi="Times New Roman" w:cs="Times New Roman"/>
          <w:sz w:val="24"/>
          <w:szCs w:val="24"/>
        </w:rPr>
        <w:t>Counter-terrorism should focus not only on the ideological aspect but also on the financial mechanisms of terror groups. This includes tracking suspicious bank transactions, dismantling money laundering networks, and seizing illicit assets. According to Levitt (2013), financial disruption has proven effective in weakening groups like Hezbollah.</w:t>
      </w:r>
    </w:p>
    <w:p w14:paraId="4F34C466" w14:textId="77777777" w:rsidR="00BC2FCC" w:rsidRPr="00733AB5" w:rsidRDefault="00BC2FCC" w:rsidP="00BC2FCC">
      <w:pPr>
        <w:jc w:val="both"/>
        <w:rPr>
          <w:rFonts w:ascii="Times New Roman" w:hAnsi="Times New Roman" w:cs="Times New Roman"/>
          <w:sz w:val="24"/>
          <w:szCs w:val="24"/>
        </w:rPr>
      </w:pPr>
      <w:r w:rsidRPr="00733AB5">
        <w:rPr>
          <w:rFonts w:ascii="Times New Roman" w:hAnsi="Times New Roman" w:cs="Times New Roman"/>
          <w:sz w:val="24"/>
          <w:szCs w:val="24"/>
        </w:rPr>
        <w:lastRenderedPageBreak/>
        <w:t>Countries must adapt legal tools to address dual-purpose organizations. Laws that address terrorism separately from organized crime may fail to prosecute hybrid groups effectively. UNODC (2021) suggests a harmonized legal framework where criminal association and terrorist intent are jointly considered.</w:t>
      </w:r>
    </w:p>
    <w:p w14:paraId="04C31EC8" w14:textId="4777FB21" w:rsidR="00BC2FCC" w:rsidRPr="00733AB5" w:rsidRDefault="00BC2FCC" w:rsidP="00BC2FCC">
      <w:pPr>
        <w:jc w:val="both"/>
        <w:rPr>
          <w:rFonts w:ascii="Times New Roman" w:hAnsi="Times New Roman" w:cs="Times New Roman"/>
          <w:sz w:val="24"/>
          <w:szCs w:val="24"/>
        </w:rPr>
      </w:pPr>
      <w:r w:rsidRPr="00733AB5">
        <w:rPr>
          <w:rFonts w:ascii="Times New Roman" w:hAnsi="Times New Roman" w:cs="Times New Roman"/>
          <w:sz w:val="24"/>
          <w:szCs w:val="24"/>
        </w:rPr>
        <w:t>Community Engagement</w:t>
      </w:r>
      <w:r w:rsidR="00AE1397">
        <w:rPr>
          <w:rFonts w:ascii="Times New Roman" w:hAnsi="Times New Roman" w:cs="Times New Roman"/>
          <w:sz w:val="24"/>
          <w:szCs w:val="24"/>
        </w:rPr>
        <w:t>, p</w:t>
      </w:r>
      <w:r w:rsidRPr="00733AB5">
        <w:rPr>
          <w:rFonts w:ascii="Times New Roman" w:hAnsi="Times New Roman" w:cs="Times New Roman"/>
          <w:sz w:val="24"/>
          <w:szCs w:val="24"/>
        </w:rPr>
        <w:t>reventive strategies are vital. Community policing, education programs, and deradicalization efforts must be emphasized. If communities are economically and socially resilient, they are less likely to be exploited by terrorists or criminals. Lum, Kennedy, and Sherley (2006) found that community-based approaches enhance intelligence gathering and public trust.</w:t>
      </w:r>
    </w:p>
    <w:p w14:paraId="56D673B1" w14:textId="467CA16C" w:rsidR="00BC2FCC" w:rsidRPr="00733AB5" w:rsidRDefault="00AE1397" w:rsidP="00BC2FCC">
      <w:pPr>
        <w:jc w:val="both"/>
        <w:rPr>
          <w:rFonts w:ascii="Times New Roman" w:hAnsi="Times New Roman" w:cs="Times New Roman"/>
          <w:sz w:val="24"/>
          <w:szCs w:val="24"/>
        </w:rPr>
      </w:pPr>
      <w:r>
        <w:rPr>
          <w:rFonts w:ascii="Times New Roman" w:hAnsi="Times New Roman" w:cs="Times New Roman"/>
          <w:sz w:val="24"/>
          <w:szCs w:val="24"/>
        </w:rPr>
        <w:t>There are still c</w:t>
      </w:r>
      <w:r w:rsidR="00BC2FCC" w:rsidRPr="00733AB5">
        <w:rPr>
          <w:rFonts w:ascii="Times New Roman" w:hAnsi="Times New Roman" w:cs="Times New Roman"/>
          <w:sz w:val="24"/>
          <w:szCs w:val="24"/>
        </w:rPr>
        <w:t>hallenges in Implementation</w:t>
      </w:r>
      <w:r>
        <w:rPr>
          <w:rFonts w:ascii="Times New Roman" w:hAnsi="Times New Roman" w:cs="Times New Roman"/>
          <w:sz w:val="24"/>
          <w:szCs w:val="24"/>
        </w:rPr>
        <w:t xml:space="preserve">. </w:t>
      </w:r>
      <w:r w:rsidR="00BC2FCC" w:rsidRPr="00733AB5">
        <w:rPr>
          <w:rFonts w:ascii="Times New Roman" w:hAnsi="Times New Roman" w:cs="Times New Roman"/>
          <w:sz w:val="24"/>
          <w:szCs w:val="24"/>
        </w:rPr>
        <w:t>Despite theoretical clarity, several barriers hinder effective policy execution</w:t>
      </w:r>
      <w:r>
        <w:rPr>
          <w:rFonts w:ascii="Times New Roman" w:hAnsi="Times New Roman" w:cs="Times New Roman"/>
          <w:sz w:val="24"/>
          <w:szCs w:val="24"/>
        </w:rPr>
        <w:t xml:space="preserve"> j</w:t>
      </w:r>
      <w:r w:rsidR="00BC2FCC" w:rsidRPr="00733AB5">
        <w:rPr>
          <w:rFonts w:ascii="Times New Roman" w:hAnsi="Times New Roman" w:cs="Times New Roman"/>
          <w:sz w:val="24"/>
          <w:szCs w:val="24"/>
        </w:rPr>
        <w:t>urisdictional conflicts between law enforcement bodies</w:t>
      </w:r>
      <w:r>
        <w:rPr>
          <w:rFonts w:ascii="Times New Roman" w:hAnsi="Times New Roman" w:cs="Times New Roman"/>
          <w:sz w:val="24"/>
          <w:szCs w:val="24"/>
        </w:rPr>
        <w:t>, r</w:t>
      </w:r>
      <w:r w:rsidR="00BC2FCC" w:rsidRPr="00733AB5">
        <w:rPr>
          <w:rFonts w:ascii="Times New Roman" w:hAnsi="Times New Roman" w:cs="Times New Roman"/>
          <w:sz w:val="24"/>
          <w:szCs w:val="24"/>
        </w:rPr>
        <w:t>esource constraints in developing nations</w:t>
      </w:r>
      <w:r w:rsidR="004867DD">
        <w:rPr>
          <w:rFonts w:ascii="Times New Roman" w:hAnsi="Times New Roman" w:cs="Times New Roman"/>
          <w:sz w:val="24"/>
          <w:szCs w:val="24"/>
        </w:rPr>
        <w:t>, c</w:t>
      </w:r>
      <w:r w:rsidR="00BC2FCC" w:rsidRPr="00733AB5">
        <w:rPr>
          <w:rFonts w:ascii="Times New Roman" w:hAnsi="Times New Roman" w:cs="Times New Roman"/>
          <w:sz w:val="24"/>
          <w:szCs w:val="24"/>
        </w:rPr>
        <w:t>orruption within institutions</w:t>
      </w:r>
      <w:r w:rsidR="004867DD">
        <w:rPr>
          <w:rFonts w:ascii="Times New Roman" w:hAnsi="Times New Roman" w:cs="Times New Roman"/>
          <w:sz w:val="24"/>
          <w:szCs w:val="24"/>
        </w:rPr>
        <w:t xml:space="preserve"> and r</w:t>
      </w:r>
      <w:r w:rsidR="00BC2FCC" w:rsidRPr="00733AB5">
        <w:rPr>
          <w:rFonts w:ascii="Times New Roman" w:hAnsi="Times New Roman" w:cs="Times New Roman"/>
          <w:sz w:val="24"/>
          <w:szCs w:val="24"/>
        </w:rPr>
        <w:t>apid technological change, including encrypted messaging and cryptocurrencies used by criminals Furthermore, the global nature of terrorism makes unilateral policing insufficient. Effective counter-terrorism policing must involve multilateral cooperation, such as international treaties, joint task forces, and intelligence sharing.</w:t>
      </w:r>
    </w:p>
    <w:p w14:paraId="1ED342A8" w14:textId="00984AB0" w:rsidR="00BC2FCC" w:rsidRPr="00733AB5" w:rsidRDefault="00BC2FCC" w:rsidP="00BC2FCC">
      <w:pPr>
        <w:jc w:val="both"/>
        <w:rPr>
          <w:rFonts w:ascii="Times New Roman" w:hAnsi="Times New Roman" w:cs="Times New Roman"/>
          <w:sz w:val="24"/>
          <w:szCs w:val="24"/>
        </w:rPr>
      </w:pPr>
      <w:r w:rsidRPr="00733AB5">
        <w:rPr>
          <w:rFonts w:ascii="Times New Roman" w:hAnsi="Times New Roman" w:cs="Times New Roman"/>
          <w:sz w:val="24"/>
          <w:szCs w:val="24"/>
        </w:rPr>
        <w:t xml:space="preserve">As the threat landscape continues to evolve, a reimagining of international law enforcement cooperation is critical. This includes reforming institutions such as </w:t>
      </w:r>
      <w:r w:rsidR="007A1038" w:rsidRPr="00733AB5">
        <w:rPr>
          <w:rFonts w:ascii="Times New Roman" w:hAnsi="Times New Roman" w:cs="Times New Roman"/>
          <w:sz w:val="24"/>
          <w:szCs w:val="24"/>
        </w:rPr>
        <w:t xml:space="preserve">Interpol </w:t>
      </w:r>
      <w:r w:rsidRPr="00733AB5">
        <w:rPr>
          <w:rFonts w:ascii="Times New Roman" w:hAnsi="Times New Roman" w:cs="Times New Roman"/>
          <w:sz w:val="24"/>
          <w:szCs w:val="24"/>
        </w:rPr>
        <w:t>to facilitate more real-time intelligence sharing, promoting joint training operations, and investing in capacity-building for law enforcement in the Global South. A reactive approach will no longer suffice. Instead, a proactive, integrated, and anticipatory strategy</w:t>
      </w:r>
      <w:r w:rsidR="007A1038">
        <w:rPr>
          <w:rFonts w:ascii="Times New Roman" w:hAnsi="Times New Roman" w:cs="Times New Roman"/>
          <w:sz w:val="24"/>
          <w:szCs w:val="24"/>
        </w:rPr>
        <w:t xml:space="preserve">, </w:t>
      </w:r>
      <w:r w:rsidRPr="00733AB5">
        <w:rPr>
          <w:rFonts w:ascii="Times New Roman" w:hAnsi="Times New Roman" w:cs="Times New Roman"/>
          <w:sz w:val="24"/>
          <w:szCs w:val="24"/>
        </w:rPr>
        <w:t>built on data, partnerships, and public trust</w:t>
      </w:r>
      <w:r w:rsidR="007A1038">
        <w:rPr>
          <w:rFonts w:ascii="Times New Roman" w:hAnsi="Times New Roman" w:cs="Times New Roman"/>
          <w:sz w:val="24"/>
          <w:szCs w:val="24"/>
        </w:rPr>
        <w:t xml:space="preserve">, </w:t>
      </w:r>
      <w:r w:rsidRPr="00733AB5">
        <w:rPr>
          <w:rFonts w:ascii="Times New Roman" w:hAnsi="Times New Roman" w:cs="Times New Roman"/>
          <w:sz w:val="24"/>
          <w:szCs w:val="24"/>
        </w:rPr>
        <w:t>must guide the next generation of counter-terrorism policing.</w:t>
      </w:r>
    </w:p>
    <w:p w14:paraId="29B0F6FB" w14:textId="77777777" w:rsidR="00BC2FCC" w:rsidRPr="00733AB5" w:rsidRDefault="00BC2FCC" w:rsidP="00BC2FCC">
      <w:pPr>
        <w:jc w:val="both"/>
        <w:rPr>
          <w:rFonts w:ascii="Times New Roman" w:hAnsi="Times New Roman" w:cs="Times New Roman"/>
          <w:sz w:val="24"/>
          <w:szCs w:val="24"/>
        </w:rPr>
      </w:pPr>
      <w:r w:rsidRPr="00733AB5">
        <w:rPr>
          <w:rFonts w:ascii="Times New Roman" w:hAnsi="Times New Roman" w:cs="Times New Roman"/>
          <w:sz w:val="24"/>
          <w:szCs w:val="24"/>
        </w:rPr>
        <w:t>The convergence of terrorism and criminality represents one of the most pressing security challenges of the 21st century. As terrorist groups increasingly rely on criminal activities for survival, the lines between ideology and profit are becoming blurred. This crime-terror nexus complicates traditional policing methods and requires adaptive, integrated, and informed counter-terrorism strategies.</w:t>
      </w:r>
    </w:p>
    <w:p w14:paraId="04FFCDC2" w14:textId="77777777" w:rsidR="00BC2FCC" w:rsidRPr="00733AB5" w:rsidRDefault="00BC2FCC" w:rsidP="00BC2FCC">
      <w:pPr>
        <w:jc w:val="both"/>
        <w:rPr>
          <w:rFonts w:ascii="Times New Roman" w:hAnsi="Times New Roman" w:cs="Times New Roman"/>
          <w:sz w:val="24"/>
          <w:szCs w:val="24"/>
        </w:rPr>
      </w:pPr>
      <w:r w:rsidRPr="00733AB5">
        <w:rPr>
          <w:rFonts w:ascii="Times New Roman" w:hAnsi="Times New Roman" w:cs="Times New Roman"/>
          <w:sz w:val="24"/>
          <w:szCs w:val="24"/>
        </w:rPr>
        <w:t>Policing must evolve from a narrow focus on ideology to a broader analysis of the economic and operational infrastructure of terrorist groups. By integrating financial tracking, intelligence collaboration, legal innovation, and community engagement, counter-terrorism policing can effectively combat the dual threat posed by modern hybrid organizations.</w:t>
      </w:r>
    </w:p>
    <w:p w14:paraId="64854565" w14:textId="25FB7115" w:rsidR="00BC2FCC" w:rsidRDefault="00BC2FCC" w:rsidP="00BC2FCC">
      <w:pPr>
        <w:jc w:val="both"/>
        <w:rPr>
          <w:rFonts w:ascii="Times New Roman" w:hAnsi="Times New Roman" w:cs="Times New Roman"/>
          <w:sz w:val="24"/>
          <w:szCs w:val="24"/>
        </w:rPr>
      </w:pPr>
      <w:r w:rsidRPr="00733AB5">
        <w:rPr>
          <w:rFonts w:ascii="Times New Roman" w:hAnsi="Times New Roman" w:cs="Times New Roman"/>
          <w:sz w:val="24"/>
          <w:szCs w:val="24"/>
        </w:rPr>
        <w:t>The case studies of ISIS, Al-Shabaab, Abu Sayyaf, and Tren de Aragua demonstrate that criminality is no longer incidental to terrorism</w:t>
      </w:r>
      <w:r w:rsidR="007A1038">
        <w:rPr>
          <w:rFonts w:ascii="Times New Roman" w:hAnsi="Times New Roman" w:cs="Times New Roman"/>
          <w:sz w:val="24"/>
          <w:szCs w:val="24"/>
        </w:rPr>
        <w:t xml:space="preserve">, </w:t>
      </w:r>
      <w:r w:rsidRPr="00733AB5">
        <w:rPr>
          <w:rFonts w:ascii="Times New Roman" w:hAnsi="Times New Roman" w:cs="Times New Roman"/>
          <w:sz w:val="24"/>
          <w:szCs w:val="24"/>
        </w:rPr>
        <w:t>it is often central. Recognizing and responding to this reality is not only prudent but essential to safeguarding national and global security.</w:t>
      </w:r>
    </w:p>
    <w:p w14:paraId="4A20991A" w14:textId="0FE477A6" w:rsidR="00A61D56" w:rsidRDefault="00A61D56" w:rsidP="00BC2FCC">
      <w:pPr>
        <w:jc w:val="both"/>
        <w:rPr>
          <w:rFonts w:ascii="Times New Roman" w:hAnsi="Times New Roman" w:cs="Times New Roman"/>
          <w:sz w:val="24"/>
          <w:szCs w:val="24"/>
        </w:rPr>
      </w:pPr>
      <w:r>
        <w:rPr>
          <w:rFonts w:ascii="Times New Roman" w:hAnsi="Times New Roman" w:cs="Times New Roman"/>
          <w:sz w:val="24"/>
          <w:szCs w:val="24"/>
        </w:rPr>
        <w:t>Word Count = 18</w:t>
      </w:r>
      <w:r w:rsidR="00D47E09">
        <w:rPr>
          <w:rFonts w:ascii="Times New Roman" w:hAnsi="Times New Roman" w:cs="Times New Roman"/>
          <w:sz w:val="24"/>
          <w:szCs w:val="24"/>
        </w:rPr>
        <w:t>44</w:t>
      </w:r>
    </w:p>
    <w:p w14:paraId="1D6AC5A1" w14:textId="77777777" w:rsidR="0058328F" w:rsidRDefault="0058328F" w:rsidP="00BC2FCC">
      <w:pPr>
        <w:jc w:val="both"/>
        <w:rPr>
          <w:rFonts w:ascii="Times New Roman" w:hAnsi="Times New Roman" w:cs="Times New Roman"/>
          <w:sz w:val="24"/>
          <w:szCs w:val="24"/>
        </w:rPr>
      </w:pPr>
    </w:p>
    <w:p w14:paraId="56FEDFD5" w14:textId="77777777" w:rsidR="0058328F" w:rsidRDefault="0058328F" w:rsidP="00BC2FCC">
      <w:pPr>
        <w:jc w:val="both"/>
        <w:rPr>
          <w:rFonts w:ascii="Times New Roman" w:hAnsi="Times New Roman" w:cs="Times New Roman"/>
          <w:sz w:val="24"/>
          <w:szCs w:val="24"/>
        </w:rPr>
      </w:pPr>
    </w:p>
    <w:p w14:paraId="79905B6D" w14:textId="77777777" w:rsidR="0058328F" w:rsidRDefault="0058328F" w:rsidP="00BC2FCC">
      <w:pPr>
        <w:jc w:val="both"/>
        <w:rPr>
          <w:rFonts w:ascii="Times New Roman" w:hAnsi="Times New Roman" w:cs="Times New Roman"/>
          <w:sz w:val="24"/>
          <w:szCs w:val="24"/>
        </w:rPr>
      </w:pPr>
    </w:p>
    <w:p w14:paraId="26CD389B" w14:textId="77777777" w:rsidR="00336B41" w:rsidRDefault="00336B41" w:rsidP="00543548">
      <w:pPr>
        <w:jc w:val="both"/>
        <w:rPr>
          <w:rFonts w:ascii="Times New Roman" w:hAnsi="Times New Roman" w:cs="Times New Roman"/>
          <w:sz w:val="24"/>
          <w:szCs w:val="24"/>
        </w:rPr>
      </w:pPr>
    </w:p>
    <w:p w14:paraId="6F7A81BB" w14:textId="70AC8DEA" w:rsidR="00336B41" w:rsidRPr="009501CD" w:rsidRDefault="00543548" w:rsidP="00543548">
      <w:pPr>
        <w:jc w:val="both"/>
        <w:rPr>
          <w:rFonts w:ascii="Times New Roman" w:hAnsi="Times New Roman" w:cs="Times New Roman"/>
          <w:b/>
          <w:bCs/>
          <w:sz w:val="24"/>
          <w:szCs w:val="24"/>
        </w:rPr>
      </w:pPr>
      <w:r w:rsidRPr="009501CD">
        <w:rPr>
          <w:rFonts w:ascii="Times New Roman" w:hAnsi="Times New Roman" w:cs="Times New Roman"/>
          <w:b/>
          <w:bCs/>
          <w:sz w:val="24"/>
          <w:szCs w:val="24"/>
        </w:rPr>
        <w:lastRenderedPageBreak/>
        <w:t xml:space="preserve">Why </w:t>
      </w:r>
      <w:proofErr w:type="gramStart"/>
      <w:r w:rsidRPr="009501CD">
        <w:rPr>
          <w:rFonts w:ascii="Times New Roman" w:hAnsi="Times New Roman" w:cs="Times New Roman"/>
          <w:b/>
          <w:bCs/>
          <w:sz w:val="24"/>
          <w:szCs w:val="24"/>
        </w:rPr>
        <w:t>is</w:t>
      </w:r>
      <w:proofErr w:type="gramEnd"/>
      <w:r w:rsidRPr="009501CD">
        <w:rPr>
          <w:rFonts w:ascii="Times New Roman" w:hAnsi="Times New Roman" w:cs="Times New Roman"/>
          <w:b/>
          <w:bCs/>
          <w:sz w:val="24"/>
          <w:szCs w:val="24"/>
        </w:rPr>
        <w:t xml:space="preserve"> a partnership approach the most effective way to reach groups or communities who are less willing to engage with police? You should consider why certain groups are reluctant to engage with police, and the ways engagement can be achieved.</w:t>
      </w:r>
    </w:p>
    <w:p w14:paraId="512E9CA2" w14:textId="77777777" w:rsidR="00A61D56" w:rsidRP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t>Trust and engagement between the police and the communities they serve are foundational to effective and legitimate policing. When public confidence in law enforcement is strong, citizens are more likely to report crimes, cooperate with investigations, and comply with the law voluntarily. However, certain communities have historically been less willing to engage with the police due to a complex interplay of sociopolitical, cultural, and historical factors. The resulting mistrust undermines both the safety of those communities and the legitimacy of the police.</w:t>
      </w:r>
    </w:p>
    <w:p w14:paraId="043BE100" w14:textId="2A62E28D" w:rsidR="00A61D56" w:rsidRP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t>This essay examines why some groups are reluctant to engage with law enforcement and explores why a partnership approach is the most effective strategy for enhancing police-community relationships. Drawing upon academic research, governmental reports, and real-world case studies, the essay demonstrates how collaborative models lead to improved outcomes in community safety, trust, and participation. It argues that authentic partnerships</w:t>
      </w:r>
      <w:r w:rsidR="00D240B9">
        <w:rPr>
          <w:rFonts w:ascii="Times New Roman" w:hAnsi="Times New Roman" w:cs="Times New Roman"/>
          <w:sz w:val="24"/>
          <w:szCs w:val="24"/>
        </w:rPr>
        <w:t xml:space="preserve">, </w:t>
      </w:r>
      <w:r w:rsidRPr="00A61D56">
        <w:rPr>
          <w:rFonts w:ascii="Times New Roman" w:hAnsi="Times New Roman" w:cs="Times New Roman"/>
          <w:sz w:val="24"/>
          <w:szCs w:val="24"/>
        </w:rPr>
        <w:t>those grounded in mutual respect, shared goals, and inclusive governance</w:t>
      </w:r>
      <w:r w:rsidR="00D240B9">
        <w:rPr>
          <w:rFonts w:ascii="Times New Roman" w:hAnsi="Times New Roman" w:cs="Times New Roman"/>
          <w:sz w:val="24"/>
          <w:szCs w:val="24"/>
        </w:rPr>
        <w:t xml:space="preserve">, </w:t>
      </w:r>
      <w:r w:rsidRPr="00A61D56">
        <w:rPr>
          <w:rFonts w:ascii="Times New Roman" w:hAnsi="Times New Roman" w:cs="Times New Roman"/>
          <w:sz w:val="24"/>
          <w:szCs w:val="24"/>
        </w:rPr>
        <w:t>are essential to transform traditional policing into a more democratic, responsive, and equitable system.</w:t>
      </w:r>
    </w:p>
    <w:p w14:paraId="083370EE" w14:textId="567BDE35" w:rsidR="00A61D56" w:rsidRP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t>Research consistently shows that marginalized communities</w:t>
      </w:r>
      <w:r w:rsidR="00D240B9">
        <w:rPr>
          <w:rFonts w:ascii="Times New Roman" w:hAnsi="Times New Roman" w:cs="Times New Roman"/>
          <w:sz w:val="24"/>
          <w:szCs w:val="24"/>
        </w:rPr>
        <w:t xml:space="preserve">, </w:t>
      </w:r>
      <w:r w:rsidRPr="00A61D56">
        <w:rPr>
          <w:rFonts w:ascii="Times New Roman" w:hAnsi="Times New Roman" w:cs="Times New Roman"/>
          <w:sz w:val="24"/>
          <w:szCs w:val="24"/>
        </w:rPr>
        <w:t>particularly ethnic minorities, immigrants, LGBTQ+ individuals, and economically disadvantaged populations</w:t>
      </w:r>
      <w:r w:rsidR="00D240B9">
        <w:rPr>
          <w:rFonts w:ascii="Times New Roman" w:hAnsi="Times New Roman" w:cs="Times New Roman"/>
          <w:sz w:val="24"/>
          <w:szCs w:val="24"/>
        </w:rPr>
        <w:t xml:space="preserve">, </w:t>
      </w:r>
      <w:r w:rsidRPr="00A61D56">
        <w:rPr>
          <w:rFonts w:ascii="Times New Roman" w:hAnsi="Times New Roman" w:cs="Times New Roman"/>
          <w:sz w:val="24"/>
          <w:szCs w:val="24"/>
        </w:rPr>
        <w:t>are less likely to trust or cooperate with police (Tyler, 2005). This reluctance is neither irrational nor unfounded. It is shaped by lived experiences, intergenerational trauma, and evidence of unequal treatment.</w:t>
      </w:r>
      <w:r w:rsidR="00CA14C2" w:rsidRPr="00CA14C2">
        <w:rPr>
          <w:rFonts w:ascii="Times New Roman" w:hAnsi="Times New Roman" w:cs="Times New Roman"/>
          <w:sz w:val="24"/>
          <w:szCs w:val="24"/>
        </w:rPr>
        <w:t xml:space="preserve"> </w:t>
      </w:r>
      <w:r w:rsidR="00CA14C2" w:rsidRPr="00A61D56">
        <w:rPr>
          <w:rFonts w:ascii="Times New Roman" w:hAnsi="Times New Roman" w:cs="Times New Roman"/>
          <w:sz w:val="24"/>
          <w:szCs w:val="24"/>
        </w:rPr>
        <w:t>LGBTQ+ communities, especially transgender individuals, report high levels of discrimination and victimization in interactions with police. According to Stotzer (2014), transgender individuals are often assumed to be involved in sex work or other criminalized behaviours, resulting in biased treatment. Many do not report crimes due to fear of mistreatment or indifference, leaving them particularly vulnerable.</w:t>
      </w:r>
    </w:p>
    <w:p w14:paraId="38800938" w14:textId="77777777" w:rsidR="00A61D56" w:rsidRP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t>One of the most prominent UK examples of institutional mistrust is the Stephen Lawrence case. The subsequent Macpherson Report (1999) identified “institutional racism” within the Metropolitan Police, a term that became a critical lens through which to understand systemic bias. It highlighted not only the failures of the initial investigation but also the broader cultural and procedural issues within policing institutions that disadvantaged Black and Minority Ethnic (BME) individuals. The report’s findings resonated across communities and confirmed longstanding concerns about the partiality and accountability of the police.</w:t>
      </w:r>
    </w:p>
    <w:p w14:paraId="68994483" w14:textId="77777777" w:rsidR="00A61D56" w:rsidRP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t>For immigrant communities, especially those with precarious legal status, engagement with police is often fraught with anxiety. The Vera Institute of Justice (2008) notes that fear of deportation, language barriers, and unfamiliarity with Western legal systems reduce the likelihood of reporting crimes or cooperating with law enforcement. Even those with citizenship may carry memories or familial trauma from authoritarian regimes where police were agents of oppression, not protection.</w:t>
      </w:r>
    </w:p>
    <w:p w14:paraId="5AE63F63" w14:textId="434FF53E" w:rsidR="00A61D56" w:rsidRP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t xml:space="preserve">In </w:t>
      </w:r>
      <w:r w:rsidR="00336B41" w:rsidRPr="00A61D56">
        <w:rPr>
          <w:rFonts w:ascii="Times New Roman" w:hAnsi="Times New Roman" w:cs="Times New Roman"/>
          <w:sz w:val="24"/>
          <w:szCs w:val="24"/>
        </w:rPr>
        <w:t>poor</w:t>
      </w:r>
      <w:r w:rsidRPr="00A61D56">
        <w:rPr>
          <w:rFonts w:ascii="Times New Roman" w:hAnsi="Times New Roman" w:cs="Times New Roman"/>
          <w:sz w:val="24"/>
          <w:szCs w:val="24"/>
        </w:rPr>
        <w:t xml:space="preserve"> communities, issues of under-policing and over-policing coexist. On one hand, serious crimes may be neglected due to resource limitations or stereotyping. On the other, minor infractions are disproportionately policed, reinforcing cycles of criminalization and mistrust (Girling et al., 2000).</w:t>
      </w:r>
    </w:p>
    <w:p w14:paraId="4E1AA516" w14:textId="77777777" w:rsidR="00A61D56" w:rsidRP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lastRenderedPageBreak/>
        <w:t>This deep-rooted alienation creates a feedback loop: low trust leads to low engagement, which reduces opportunities for dialogue and co-production, further entrenching disconnection.</w:t>
      </w:r>
    </w:p>
    <w:p w14:paraId="6F3C1AF3" w14:textId="61E2C822" w:rsidR="00A61D56" w:rsidRP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t>Given these complexities, it is clear that traditional top-down, enforcement-led models of policing are inadequate for building trust or maintaining public safety in diverse, complex societies. A partnership approach offers a promising alternative. It involves collaboration between police and a range of stakeholders</w:t>
      </w:r>
      <w:r w:rsidR="00CA14C2">
        <w:rPr>
          <w:rFonts w:ascii="Times New Roman" w:hAnsi="Times New Roman" w:cs="Times New Roman"/>
          <w:sz w:val="24"/>
          <w:szCs w:val="24"/>
        </w:rPr>
        <w:t xml:space="preserve">, </w:t>
      </w:r>
      <w:r w:rsidRPr="00A61D56">
        <w:rPr>
          <w:rFonts w:ascii="Times New Roman" w:hAnsi="Times New Roman" w:cs="Times New Roman"/>
          <w:sz w:val="24"/>
          <w:szCs w:val="24"/>
        </w:rPr>
        <w:t>including local authorities, education providers, healthcare institutions, community organisations, and residents</w:t>
      </w:r>
      <w:r w:rsidR="00CA14C2">
        <w:rPr>
          <w:rFonts w:ascii="Times New Roman" w:hAnsi="Times New Roman" w:cs="Times New Roman"/>
          <w:sz w:val="24"/>
          <w:szCs w:val="24"/>
        </w:rPr>
        <w:t xml:space="preserve">, </w:t>
      </w:r>
      <w:r w:rsidRPr="00A61D56">
        <w:rPr>
          <w:rFonts w:ascii="Times New Roman" w:hAnsi="Times New Roman" w:cs="Times New Roman"/>
          <w:sz w:val="24"/>
          <w:szCs w:val="24"/>
        </w:rPr>
        <w:t>to identify problems and develop solutions jointly.</w:t>
      </w:r>
    </w:p>
    <w:p w14:paraId="6FE2D3EF" w14:textId="77777777" w:rsidR="00A61D56" w:rsidRP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t>This model aligns with the principles of community policing, which emphasize decentralization, citizen participation, and problem-solving (</w:t>
      </w:r>
      <w:proofErr w:type="spellStart"/>
      <w:r w:rsidRPr="00A61D56">
        <w:rPr>
          <w:rFonts w:ascii="Times New Roman" w:hAnsi="Times New Roman" w:cs="Times New Roman"/>
          <w:sz w:val="24"/>
          <w:szCs w:val="24"/>
        </w:rPr>
        <w:t>Skogan</w:t>
      </w:r>
      <w:proofErr w:type="spellEnd"/>
      <w:r w:rsidRPr="00A61D56">
        <w:rPr>
          <w:rFonts w:ascii="Times New Roman" w:hAnsi="Times New Roman" w:cs="Times New Roman"/>
          <w:sz w:val="24"/>
          <w:szCs w:val="24"/>
        </w:rPr>
        <w:t>, 2006). Rather than treating crime as an isolated phenomenon, it encourages law enforcement to understand and address its social determinants. Goldstein’s (1990) framework of problem-oriented policing, which identifies underlying causes rather than symptoms of crime, supports this approach by advocating for analytical, multi-agency interventions.</w:t>
      </w:r>
    </w:p>
    <w:p w14:paraId="6BE97B2C" w14:textId="3164417F" w:rsidR="00A61D56" w:rsidRP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t>Partnerships serve to expand the resources, knowledge, and legitimacy available to police. When officers collaborate with trusted community figures</w:t>
      </w:r>
      <w:r w:rsidR="00D240B9">
        <w:rPr>
          <w:rFonts w:ascii="Times New Roman" w:hAnsi="Times New Roman" w:cs="Times New Roman"/>
          <w:sz w:val="24"/>
          <w:szCs w:val="24"/>
        </w:rPr>
        <w:t xml:space="preserve">, </w:t>
      </w:r>
      <w:r w:rsidRPr="00A61D56">
        <w:rPr>
          <w:rFonts w:ascii="Times New Roman" w:hAnsi="Times New Roman" w:cs="Times New Roman"/>
          <w:sz w:val="24"/>
          <w:szCs w:val="24"/>
        </w:rPr>
        <w:t>such as religious leaders, youth workers, or cultural mediators</w:t>
      </w:r>
      <w:r w:rsidR="00D240B9">
        <w:rPr>
          <w:rFonts w:ascii="Times New Roman" w:hAnsi="Times New Roman" w:cs="Times New Roman"/>
          <w:sz w:val="24"/>
          <w:szCs w:val="24"/>
        </w:rPr>
        <w:t xml:space="preserve">, </w:t>
      </w:r>
      <w:r w:rsidRPr="00A61D56">
        <w:rPr>
          <w:rFonts w:ascii="Times New Roman" w:hAnsi="Times New Roman" w:cs="Times New Roman"/>
          <w:sz w:val="24"/>
          <w:szCs w:val="24"/>
        </w:rPr>
        <w:t>they gain access to networks and insight that improve responsiveness and reduce conflict (Myhill, 2012).</w:t>
      </w:r>
    </w:p>
    <w:p w14:paraId="772730DB" w14:textId="77777777" w:rsidR="00A61D56" w:rsidRP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t>Several mechanisms underpin the effectiveness of partnership approaches in building trust and engagement. One is cultural competence and sensitivity. One major obstacle to police-community engagement is cultural misunderstanding. Officers may misinterpret behaviours or norms due to unfamiliarity, leading to escalation or perceived disrespect. Partnerships with culturally competent organisations help bridge this gap. For instance, collaboration with Somali community leaders in London has enabled police to understand sensitivities rooted in historical trauma and authoritarian regimes (Innes, 2006). Police were able to modify their communication and engagement styles, thereby improving community relations and enhancing intelligence gathering.</w:t>
      </w:r>
    </w:p>
    <w:p w14:paraId="358A34B9" w14:textId="644B7DD6" w:rsidR="00A61D56" w:rsidRP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t>Another is informal engagement and accessibility. Partnerships allow the police to maintain a visible but non-confrontational presence in communities. Joint events</w:t>
      </w:r>
      <w:r w:rsidR="00CA14C2">
        <w:rPr>
          <w:rFonts w:ascii="Times New Roman" w:hAnsi="Times New Roman" w:cs="Times New Roman"/>
          <w:sz w:val="24"/>
          <w:szCs w:val="24"/>
        </w:rPr>
        <w:t xml:space="preserve">, </w:t>
      </w:r>
      <w:r w:rsidRPr="00A61D56">
        <w:rPr>
          <w:rFonts w:ascii="Times New Roman" w:hAnsi="Times New Roman" w:cs="Times New Roman"/>
          <w:sz w:val="24"/>
          <w:szCs w:val="24"/>
        </w:rPr>
        <w:t>such as public safety fairs, community barbecues, or town hall meetings</w:t>
      </w:r>
      <w:r w:rsidR="00CA14C2">
        <w:rPr>
          <w:rFonts w:ascii="Times New Roman" w:hAnsi="Times New Roman" w:cs="Times New Roman"/>
          <w:sz w:val="24"/>
          <w:szCs w:val="24"/>
        </w:rPr>
        <w:t xml:space="preserve">, </w:t>
      </w:r>
      <w:r w:rsidRPr="00A61D56">
        <w:rPr>
          <w:rFonts w:ascii="Times New Roman" w:hAnsi="Times New Roman" w:cs="Times New Roman"/>
          <w:sz w:val="24"/>
          <w:szCs w:val="24"/>
        </w:rPr>
        <w:t>provide informal spaces for dialogue. These settings are particularly valuable for youth and marginalized groups who may not feel comfortable approaching officers in formal environments.</w:t>
      </w:r>
      <w:r w:rsidR="00CA14C2">
        <w:rPr>
          <w:rFonts w:ascii="Times New Roman" w:hAnsi="Times New Roman" w:cs="Times New Roman"/>
          <w:sz w:val="24"/>
          <w:szCs w:val="24"/>
        </w:rPr>
        <w:t xml:space="preserve"> Gwent Police</w:t>
      </w:r>
      <w:r w:rsidR="00E07B33">
        <w:rPr>
          <w:rFonts w:ascii="Times New Roman" w:hAnsi="Times New Roman" w:cs="Times New Roman"/>
          <w:sz w:val="24"/>
          <w:szCs w:val="24"/>
        </w:rPr>
        <w:t xml:space="preserve"> </w:t>
      </w:r>
      <w:r w:rsidR="00CA14C2">
        <w:rPr>
          <w:rFonts w:ascii="Times New Roman" w:hAnsi="Times New Roman" w:cs="Times New Roman"/>
          <w:sz w:val="24"/>
          <w:szCs w:val="24"/>
        </w:rPr>
        <w:t xml:space="preserve">organise police surgeries, these allow communities to know when </w:t>
      </w:r>
      <w:r w:rsidR="00E07B33">
        <w:rPr>
          <w:rFonts w:ascii="Times New Roman" w:hAnsi="Times New Roman" w:cs="Times New Roman"/>
          <w:sz w:val="24"/>
          <w:szCs w:val="24"/>
        </w:rPr>
        <w:t xml:space="preserve">police </w:t>
      </w:r>
      <w:r w:rsidR="00CA14C2">
        <w:rPr>
          <w:rFonts w:ascii="Times New Roman" w:hAnsi="Times New Roman" w:cs="Times New Roman"/>
          <w:sz w:val="24"/>
          <w:szCs w:val="24"/>
        </w:rPr>
        <w:t>officers will be in their area and allow them to attend a specific location to share their thoughts and concerns. Following a surgery ran by Gwent Police, n</w:t>
      </w:r>
      <w:r w:rsidR="00CA14C2" w:rsidRPr="00CA14C2">
        <w:rPr>
          <w:rFonts w:ascii="Times New Roman" w:hAnsi="Times New Roman" w:cs="Times New Roman"/>
          <w:sz w:val="24"/>
          <w:szCs w:val="24"/>
        </w:rPr>
        <w:t>eighbourhood inspector, Lysha Thompson, thank</w:t>
      </w:r>
      <w:r w:rsidR="00CA14C2">
        <w:rPr>
          <w:rFonts w:ascii="Times New Roman" w:hAnsi="Times New Roman" w:cs="Times New Roman"/>
          <w:sz w:val="24"/>
          <w:szCs w:val="24"/>
        </w:rPr>
        <w:t>ed</w:t>
      </w:r>
      <w:r w:rsidR="00CA14C2" w:rsidRPr="00CA14C2">
        <w:rPr>
          <w:rFonts w:ascii="Times New Roman" w:hAnsi="Times New Roman" w:cs="Times New Roman"/>
          <w:sz w:val="24"/>
          <w:szCs w:val="24"/>
        </w:rPr>
        <w:t xml:space="preserve"> the public following series of surgeries which saw members of her team, local councillors and residents come together to discuss community safety</w:t>
      </w:r>
      <w:r w:rsidR="00CA14C2">
        <w:rPr>
          <w:rFonts w:ascii="Times New Roman" w:hAnsi="Times New Roman" w:cs="Times New Roman"/>
          <w:sz w:val="24"/>
          <w:szCs w:val="24"/>
        </w:rPr>
        <w:t xml:space="preserve"> </w:t>
      </w:r>
      <w:r w:rsidR="00E07B33" w:rsidRPr="00E07B33">
        <w:rPr>
          <w:rFonts w:ascii="Times New Roman" w:hAnsi="Times New Roman" w:cs="Times New Roman"/>
          <w:sz w:val="24"/>
          <w:szCs w:val="24"/>
        </w:rPr>
        <w:t>(Gwent Police, 2022)</w:t>
      </w:r>
      <w:r w:rsidR="00E07B33">
        <w:rPr>
          <w:rFonts w:ascii="Times New Roman" w:hAnsi="Times New Roman" w:cs="Times New Roman"/>
          <w:sz w:val="24"/>
          <w:szCs w:val="24"/>
        </w:rPr>
        <w:t xml:space="preserve">. </w:t>
      </w:r>
      <w:r w:rsidR="00CA14C2">
        <w:rPr>
          <w:rFonts w:ascii="Times New Roman" w:hAnsi="Times New Roman" w:cs="Times New Roman"/>
          <w:sz w:val="24"/>
          <w:szCs w:val="24"/>
        </w:rPr>
        <w:t xml:space="preserve">This suggests that members of the community took the opportunity to engage with police and in turn created a greater community engagement. </w:t>
      </w:r>
    </w:p>
    <w:p w14:paraId="12157E18" w14:textId="6B7DA0CE" w:rsidR="00A61D56" w:rsidRP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t xml:space="preserve">Another is shared responsibility and holistic solutions. Effective partnerships acknowledge that public safety cannot be the sole responsibility of </w:t>
      </w:r>
      <w:r w:rsidR="00E07B33">
        <w:rPr>
          <w:rFonts w:ascii="Times New Roman" w:hAnsi="Times New Roman" w:cs="Times New Roman"/>
          <w:sz w:val="24"/>
          <w:szCs w:val="24"/>
        </w:rPr>
        <w:t>police</w:t>
      </w:r>
      <w:r w:rsidRPr="00A61D56">
        <w:rPr>
          <w:rFonts w:ascii="Times New Roman" w:hAnsi="Times New Roman" w:cs="Times New Roman"/>
          <w:sz w:val="24"/>
          <w:szCs w:val="24"/>
        </w:rPr>
        <w:t xml:space="preserve">. Crime is often rooted in socioeconomic factors—unemployment, poor housing, educational disadvantage, or health inequality. A multi-agency approach allows for interventions that address these root causes. The Home Office </w:t>
      </w:r>
      <w:r w:rsidRPr="00A61D56">
        <w:rPr>
          <w:rFonts w:ascii="Times New Roman" w:hAnsi="Times New Roman" w:cs="Times New Roman"/>
          <w:sz w:val="24"/>
          <w:szCs w:val="24"/>
        </w:rPr>
        <w:lastRenderedPageBreak/>
        <w:t>(2010) highlights the need for shared responsibility in tackling issues such as anti-social behaviour, radicalisation, and gang involvement, all of which require more than enforcement to resolve.</w:t>
      </w:r>
    </w:p>
    <w:p w14:paraId="5D930CE0" w14:textId="77777777" w:rsidR="00A61D56" w:rsidRP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t>Finaly, enhanced accountability and co-governance. When community members are involved in the development, implementation, and evaluation of policing strategies, the legitimacy of those strategies increases. Mechanisms such as citizen review panels, stop-and-search scrutiny groups, or participatory budgeting for safety initiatives allow for co-governance, making police more transparent and responsive (HMICFRS, 2020).</w:t>
      </w:r>
    </w:p>
    <w:p w14:paraId="6D61C304" w14:textId="77777777" w:rsidR="00A61D56" w:rsidRP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t>Several real-world examples illustrate the potential of partnership approaches to transform police-community relations. One being Manchester’s integrated neighbourhood management teams. This initiative brought together police, housing authorities, community representatives, and local services to address not just crime, but the environmental and social factors that foster it. By improving street lighting, cleaning up neglected spaces, and offering youth services, the teams reduced anti-social behaviour and improved perceptions of safety (Crawford, 1997). Importantly, community members felt that they were being listened to, which enhanced trust.</w:t>
      </w:r>
    </w:p>
    <w:p w14:paraId="5A8361E5" w14:textId="77777777" w:rsidR="00A61D56" w:rsidRP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t>Another is Glasgow’s Violence Reduction Unit (VRU). A model of innovation, the VRU treats violence not simply as a criminal justice issue, but as a public health crisis. By involving police, social workers, educators, health professionals, and former offenders, the unit has achieved significant reductions in knife crime and youth violence (Deuchar, 2013). The emphasis on prevention, rehabilitation, and social support resonates particularly with communities previously disengaged from authority figures.</w:t>
      </w:r>
    </w:p>
    <w:p w14:paraId="7D4F6854" w14:textId="77777777" w:rsidR="00A61D56" w:rsidRP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t>Camden Safe and Well Visits (London). A collaboration between police, fire services, housing officers, and social workers, this initiative focused on conducting welfare checks for vulnerable individuals. These visits provided early intervention opportunities for issues such as neglect, isolation, or mental health concerns, and helped build police legitimacy, especially among elderly and disabled residents (Camden Council, 2019).</w:t>
      </w:r>
    </w:p>
    <w:p w14:paraId="6A624C0F" w14:textId="77777777" w:rsidR="00A61D56" w:rsidRP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t>UK Prevent Strategy. Though controversial, the Prevent strategy offers lessons in partnership working. Its goal is to stop individuals from being drawn into terrorism by engaging schools, mosques, and community organisations in early intervention efforts. Thomas (2016) found that while distrust remains, those projects that included credible local voices experienced better engagement from Muslim communities.</w:t>
      </w:r>
    </w:p>
    <w:p w14:paraId="580CCADE" w14:textId="77777777" w:rsidR="00A61D56" w:rsidRP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t>Partnerships provide the infrastructure and relationships needed to implement a variety of community engagement techniques, one being Co-Production and Co-Design. Involving communities in the design of policing strategies ensures relevance and ownership. Some UK forces have introduced community scrutiny panels that review practices such as stop-and-search and use-of-force incidents, providing feedback that shapes policy and training (HMICFRS, 2020).</w:t>
      </w:r>
    </w:p>
    <w:p w14:paraId="7DCF844E" w14:textId="77777777" w:rsidR="00A61D56" w:rsidRP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t>Another being youth engagement. Youth engagement is crucial, as early contact with police can shape long-term attitudes. Initiatives such as police cadets, sports leagues, and school liaison officers offer positive, structured interaction. Hughes et al. (2002) argue that youth partnerships help prevent criminal behaviour by fostering a sense of belonging and respect.</w:t>
      </w:r>
    </w:p>
    <w:p w14:paraId="1D13A67D" w14:textId="4D9E1CA9" w:rsidR="00A61D56" w:rsidRP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lastRenderedPageBreak/>
        <w:t>Community apps, police social media accounts, and online Neighbourhood Watch groups provide avenues for two-way communication. These platforms become more effective when supported by community influencers who can disseminate information and encourage dialogue.</w:t>
      </w:r>
      <w:r w:rsidR="00E07B33">
        <w:rPr>
          <w:rFonts w:ascii="Times New Roman" w:hAnsi="Times New Roman" w:cs="Times New Roman"/>
          <w:sz w:val="24"/>
          <w:szCs w:val="24"/>
        </w:rPr>
        <w:t xml:space="preserve"> Bullock, Garland and Coupar suggest that the use of social media allows police to be visible to a greater proportion of their communities.</w:t>
      </w:r>
      <w:r w:rsidR="00E07B33" w:rsidRPr="00E07B33">
        <w:rPr>
          <w:rFonts w:ascii="Times New Roman" w:eastAsia="Times New Roman" w:hAnsi="Times New Roman" w:cs="Times New Roman"/>
          <w:kern w:val="0"/>
          <w:sz w:val="24"/>
          <w:szCs w:val="24"/>
          <w:lang w:eastAsia="en-GB"/>
          <w14:ligatures w14:val="none"/>
        </w:rPr>
        <w:t xml:space="preserve"> </w:t>
      </w:r>
      <w:r w:rsidR="00E07B33" w:rsidRPr="00E07B33">
        <w:rPr>
          <w:rFonts w:ascii="Times New Roman" w:hAnsi="Times New Roman" w:cs="Times New Roman"/>
          <w:sz w:val="24"/>
          <w:szCs w:val="24"/>
        </w:rPr>
        <w:t>(Bullock, Garland and Coupar, 2020)</w:t>
      </w:r>
    </w:p>
    <w:p w14:paraId="52DA4041" w14:textId="77777777" w:rsidR="00A61D56" w:rsidRP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t>Ther are still a number of barriers to effective partnership. Despite their promise, partnership approaches face significant barriers. Bureaucratic silos, differing organisational cultures, and lack of shared objectives often hinder collaboration (Berry et al., 2011). For instance, the priorities of a police force may be short-term crime reduction, while community organisations may focus on long-term social development.</w:t>
      </w:r>
    </w:p>
    <w:p w14:paraId="763043B2" w14:textId="77777777" w:rsidR="00A61D56"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t>To overcome these challenges, several conditions must be met, such as clear governance structures. Partnerships should have defined roles, responsibilities, and decision-making processes to avoid confusion or conflict. Another is sustainable funding, long-term investment is necessary to build trust, maintain services, and evaluate outcomes effectively. Community leadership, the most effective partnerships are those in which community members, not just institutional actors, play leadership roles. This ensures that engagement is rooted in lived experience, not abstract policy.</w:t>
      </w:r>
    </w:p>
    <w:p w14:paraId="1C07FF31" w14:textId="72F61D4F" w:rsidR="001B670B" w:rsidRDefault="001B670B" w:rsidP="001B670B">
      <w:pPr>
        <w:jc w:val="both"/>
        <w:rPr>
          <w:rFonts w:ascii="Times New Roman" w:hAnsi="Times New Roman" w:cs="Times New Roman"/>
          <w:sz w:val="24"/>
          <w:szCs w:val="24"/>
        </w:rPr>
      </w:pPr>
      <w:r>
        <w:rPr>
          <w:rFonts w:ascii="Times New Roman" w:hAnsi="Times New Roman" w:cs="Times New Roman"/>
          <w:sz w:val="24"/>
          <w:szCs w:val="24"/>
        </w:rPr>
        <w:t>In attempts to overcome the challenges faced with equality and diversity Gwent Police have issued a equality plan that they aim to apply in attempts to better their communities. This plan is broken down into three separate area. They are their organisation, their communities and their partnership and plans. These areas give people an understanding of how they aim to better each area and their intentions. One example is t</w:t>
      </w:r>
      <w:r w:rsidRPr="001B670B">
        <w:rPr>
          <w:rFonts w:ascii="Times New Roman" w:hAnsi="Times New Roman" w:cs="Times New Roman"/>
          <w:sz w:val="24"/>
          <w:szCs w:val="24"/>
        </w:rPr>
        <w:t xml:space="preserve">o ensure all </w:t>
      </w:r>
      <w:r>
        <w:rPr>
          <w:rFonts w:ascii="Times New Roman" w:hAnsi="Times New Roman" w:cs="Times New Roman"/>
          <w:sz w:val="24"/>
          <w:szCs w:val="24"/>
        </w:rPr>
        <w:t>of their</w:t>
      </w:r>
      <w:r w:rsidRPr="001B670B">
        <w:rPr>
          <w:rFonts w:ascii="Times New Roman" w:hAnsi="Times New Roman" w:cs="Times New Roman"/>
          <w:sz w:val="24"/>
          <w:szCs w:val="24"/>
        </w:rPr>
        <w:t xml:space="preserve"> communities are treated in a trauma-informed manner and that crimes affecting our most vulnerable</w:t>
      </w:r>
      <w:r>
        <w:rPr>
          <w:rFonts w:ascii="Times New Roman" w:hAnsi="Times New Roman" w:cs="Times New Roman"/>
          <w:sz w:val="24"/>
          <w:szCs w:val="24"/>
        </w:rPr>
        <w:t xml:space="preserve"> </w:t>
      </w:r>
      <w:r w:rsidRPr="001B670B">
        <w:rPr>
          <w:rFonts w:ascii="Times New Roman" w:hAnsi="Times New Roman" w:cs="Times New Roman"/>
          <w:sz w:val="24"/>
          <w:szCs w:val="24"/>
        </w:rPr>
        <w:t>are appropriately investigated and scrutinised</w:t>
      </w:r>
      <w:r>
        <w:rPr>
          <w:rFonts w:ascii="Times New Roman" w:hAnsi="Times New Roman" w:cs="Times New Roman"/>
          <w:sz w:val="24"/>
          <w:szCs w:val="24"/>
        </w:rPr>
        <w:t xml:space="preserve">. In turn this goal will aid in public confidence and allow for a greater engagement with their communities. </w:t>
      </w:r>
      <w:r w:rsidRPr="001B670B">
        <w:rPr>
          <w:rFonts w:ascii="Times New Roman" w:hAnsi="Times New Roman" w:cs="Times New Roman"/>
          <w:sz w:val="24"/>
          <w:szCs w:val="24"/>
        </w:rPr>
        <w:t>(Gwent Police, 2023)</w:t>
      </w:r>
      <w:r w:rsidR="00336B41">
        <w:rPr>
          <w:rFonts w:ascii="Times New Roman" w:hAnsi="Times New Roman" w:cs="Times New Roman"/>
          <w:sz w:val="24"/>
          <w:szCs w:val="24"/>
        </w:rPr>
        <w:t>.</w:t>
      </w:r>
    </w:p>
    <w:p w14:paraId="34A200A5" w14:textId="639F876E" w:rsidR="00A61D56" w:rsidRPr="00A61D56" w:rsidRDefault="00336B41" w:rsidP="00A61D56">
      <w:pPr>
        <w:jc w:val="both"/>
        <w:rPr>
          <w:rFonts w:ascii="Times New Roman" w:hAnsi="Times New Roman" w:cs="Times New Roman"/>
          <w:sz w:val="24"/>
          <w:szCs w:val="24"/>
        </w:rPr>
      </w:pPr>
      <w:r>
        <w:rPr>
          <w:rFonts w:ascii="Times New Roman" w:hAnsi="Times New Roman" w:cs="Times New Roman"/>
          <w:sz w:val="24"/>
          <w:szCs w:val="24"/>
        </w:rPr>
        <w:t xml:space="preserve">Neighbourhood policing teams are another important strategy in developing community engagement. These teams allow officers the time and resources to meet with various members in their communities and developing a greater understanding of different cultures needs and wants. </w:t>
      </w:r>
      <w:r w:rsidRPr="00336B41">
        <w:rPr>
          <w:rFonts w:ascii="Times New Roman" w:hAnsi="Times New Roman" w:cs="Times New Roman"/>
          <w:sz w:val="24"/>
          <w:szCs w:val="24"/>
        </w:rPr>
        <w:t>Foot patrol is the building block of neighbourhood</w:t>
      </w:r>
      <w:r>
        <w:rPr>
          <w:rFonts w:ascii="Times New Roman" w:hAnsi="Times New Roman" w:cs="Times New Roman"/>
          <w:sz w:val="24"/>
          <w:szCs w:val="24"/>
        </w:rPr>
        <w:t xml:space="preserve"> </w:t>
      </w:r>
      <w:r w:rsidRPr="00336B41">
        <w:rPr>
          <w:rFonts w:ascii="Times New Roman" w:hAnsi="Times New Roman" w:cs="Times New Roman"/>
          <w:sz w:val="24"/>
          <w:szCs w:val="24"/>
        </w:rPr>
        <w:t>policing. The presence of patrol officers helps to</w:t>
      </w:r>
      <w:r>
        <w:rPr>
          <w:rFonts w:ascii="Times New Roman" w:hAnsi="Times New Roman" w:cs="Times New Roman"/>
          <w:sz w:val="24"/>
          <w:szCs w:val="24"/>
        </w:rPr>
        <w:t xml:space="preserve"> </w:t>
      </w:r>
      <w:r w:rsidRPr="00336B41">
        <w:rPr>
          <w:rFonts w:ascii="Times New Roman" w:hAnsi="Times New Roman" w:cs="Times New Roman"/>
          <w:sz w:val="24"/>
          <w:szCs w:val="24"/>
        </w:rPr>
        <w:t>reassure the public and improve police:</w:t>
      </w:r>
      <w:r>
        <w:rPr>
          <w:rFonts w:ascii="Times New Roman" w:hAnsi="Times New Roman" w:cs="Times New Roman"/>
          <w:sz w:val="24"/>
          <w:szCs w:val="24"/>
        </w:rPr>
        <w:t xml:space="preserve"> </w:t>
      </w:r>
      <w:r w:rsidRPr="00336B41">
        <w:rPr>
          <w:rFonts w:ascii="Times New Roman" w:hAnsi="Times New Roman" w:cs="Times New Roman"/>
          <w:sz w:val="24"/>
          <w:szCs w:val="24"/>
        </w:rPr>
        <w:t>community relations, but on its own it rarely</w:t>
      </w:r>
      <w:r>
        <w:rPr>
          <w:rFonts w:ascii="Times New Roman" w:hAnsi="Times New Roman" w:cs="Times New Roman"/>
          <w:sz w:val="24"/>
          <w:szCs w:val="24"/>
        </w:rPr>
        <w:t xml:space="preserve"> </w:t>
      </w:r>
      <w:r w:rsidRPr="00336B41">
        <w:rPr>
          <w:rFonts w:ascii="Times New Roman" w:hAnsi="Times New Roman" w:cs="Times New Roman"/>
          <w:sz w:val="24"/>
          <w:szCs w:val="24"/>
        </w:rPr>
        <w:t>deters crime</w:t>
      </w:r>
      <w:r>
        <w:rPr>
          <w:rFonts w:ascii="Times New Roman" w:hAnsi="Times New Roman" w:cs="Times New Roman"/>
          <w:sz w:val="24"/>
          <w:szCs w:val="24"/>
        </w:rPr>
        <w:t xml:space="preserve"> </w:t>
      </w:r>
      <w:r w:rsidRPr="00336B41">
        <w:rPr>
          <w:rFonts w:ascii="Times New Roman" w:hAnsi="Times New Roman" w:cs="Times New Roman"/>
          <w:sz w:val="24"/>
          <w:szCs w:val="24"/>
        </w:rPr>
        <w:t>(Longstaff et al., 2015)</w:t>
      </w:r>
      <w:r>
        <w:rPr>
          <w:rFonts w:ascii="Times New Roman" w:hAnsi="Times New Roman" w:cs="Times New Roman"/>
          <w:sz w:val="24"/>
          <w:szCs w:val="24"/>
        </w:rPr>
        <w:t xml:space="preserve">. Neighbourhood policing teams can conduct targeted patrols and work with partners to adopt a problem-solving approach that is more likely to have an impact on crime and antisocial behaviour. </w:t>
      </w:r>
    </w:p>
    <w:p w14:paraId="2AABE1D7" w14:textId="77777777" w:rsidR="00336B41"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t>Engaging with communities that are traditionally reluctant to work with police is a complex but essential task. Decades of mistrust, inequality, and institutional failure cannot be reversed overnight. However, academic research and real-world case studies consistently demonstrate that partnership approaches are among the most effective methods to achieve this goal.</w:t>
      </w:r>
      <w:r w:rsidR="00336B41">
        <w:rPr>
          <w:rFonts w:ascii="Times New Roman" w:hAnsi="Times New Roman" w:cs="Times New Roman"/>
          <w:sz w:val="24"/>
          <w:szCs w:val="24"/>
        </w:rPr>
        <w:t xml:space="preserve"> </w:t>
      </w:r>
      <w:r w:rsidRPr="00A61D56">
        <w:rPr>
          <w:rFonts w:ascii="Times New Roman" w:hAnsi="Times New Roman" w:cs="Times New Roman"/>
          <w:sz w:val="24"/>
          <w:szCs w:val="24"/>
        </w:rPr>
        <w:t>By collaborating with trusted organisations, respecting cultural nuances, and involving communities in decision-making processes, police can begin to rebuild trust, legitimacy, and effectiveness. Importantly, partnerships offer a holistic, preventative approach that addresses the social foundations of crime rather than relying solely on enforcement.</w:t>
      </w:r>
      <w:r w:rsidR="00336B41">
        <w:rPr>
          <w:rFonts w:ascii="Times New Roman" w:hAnsi="Times New Roman" w:cs="Times New Roman"/>
          <w:sz w:val="24"/>
          <w:szCs w:val="24"/>
        </w:rPr>
        <w:t xml:space="preserve"> </w:t>
      </w:r>
    </w:p>
    <w:p w14:paraId="0B223503" w14:textId="05430DE6" w:rsidR="00543548" w:rsidRDefault="00A61D56" w:rsidP="00A61D56">
      <w:pPr>
        <w:jc w:val="both"/>
        <w:rPr>
          <w:rFonts w:ascii="Times New Roman" w:hAnsi="Times New Roman" w:cs="Times New Roman"/>
          <w:sz w:val="24"/>
          <w:szCs w:val="24"/>
        </w:rPr>
      </w:pPr>
      <w:r w:rsidRPr="00A61D56">
        <w:rPr>
          <w:rFonts w:ascii="Times New Roman" w:hAnsi="Times New Roman" w:cs="Times New Roman"/>
          <w:sz w:val="24"/>
          <w:szCs w:val="24"/>
        </w:rPr>
        <w:t xml:space="preserve">However, partnerships must be authentic, adequately resourced, and grounded in mutual respect to truly transform community relations and public safety outcomes. Policymakers and </w:t>
      </w:r>
      <w:r w:rsidR="00336B41">
        <w:rPr>
          <w:rFonts w:ascii="Times New Roman" w:hAnsi="Times New Roman" w:cs="Times New Roman"/>
          <w:sz w:val="24"/>
          <w:szCs w:val="24"/>
        </w:rPr>
        <w:lastRenderedPageBreak/>
        <w:t>police</w:t>
      </w:r>
      <w:r w:rsidRPr="00A61D56">
        <w:rPr>
          <w:rFonts w:ascii="Times New Roman" w:hAnsi="Times New Roman" w:cs="Times New Roman"/>
          <w:sz w:val="24"/>
          <w:szCs w:val="24"/>
        </w:rPr>
        <w:t xml:space="preserve"> must commit to long-term structural change, not temporary outreach initiatives. Only through such sustained, inclusive collaboration can the police fulfil their role as protectors, not enforcers, in the eyes of all communities.</w:t>
      </w:r>
    </w:p>
    <w:p w14:paraId="03010020" w14:textId="5235488A" w:rsidR="007C37FF" w:rsidRDefault="00A61D56" w:rsidP="00BC2FCC">
      <w:pPr>
        <w:jc w:val="both"/>
        <w:rPr>
          <w:rFonts w:ascii="Times New Roman" w:hAnsi="Times New Roman" w:cs="Times New Roman"/>
          <w:sz w:val="24"/>
          <w:szCs w:val="24"/>
        </w:rPr>
      </w:pPr>
      <w:r>
        <w:rPr>
          <w:rFonts w:ascii="Times New Roman" w:hAnsi="Times New Roman" w:cs="Times New Roman"/>
          <w:sz w:val="24"/>
          <w:szCs w:val="24"/>
        </w:rPr>
        <w:t>Word Count = 1</w:t>
      </w:r>
      <w:r w:rsidR="00336B41">
        <w:rPr>
          <w:rFonts w:ascii="Times New Roman" w:hAnsi="Times New Roman" w:cs="Times New Roman"/>
          <w:sz w:val="24"/>
          <w:szCs w:val="24"/>
        </w:rPr>
        <w:t>955</w:t>
      </w:r>
    </w:p>
    <w:p w14:paraId="0E4488A5" w14:textId="77777777" w:rsidR="00336B41" w:rsidRDefault="00336B41" w:rsidP="00BC2FCC">
      <w:pPr>
        <w:jc w:val="both"/>
        <w:rPr>
          <w:rFonts w:ascii="Times New Roman" w:hAnsi="Times New Roman" w:cs="Times New Roman"/>
          <w:sz w:val="24"/>
          <w:szCs w:val="24"/>
        </w:rPr>
      </w:pPr>
    </w:p>
    <w:p w14:paraId="4A4DF937" w14:textId="77777777" w:rsidR="00336B41" w:rsidRDefault="00336B41" w:rsidP="00BC2FCC">
      <w:pPr>
        <w:jc w:val="both"/>
        <w:rPr>
          <w:rFonts w:ascii="Times New Roman" w:hAnsi="Times New Roman" w:cs="Times New Roman"/>
          <w:sz w:val="24"/>
          <w:szCs w:val="24"/>
        </w:rPr>
      </w:pPr>
    </w:p>
    <w:p w14:paraId="429DA257" w14:textId="77777777" w:rsidR="00336B41" w:rsidRDefault="00336B41" w:rsidP="00BC2FCC">
      <w:pPr>
        <w:jc w:val="both"/>
        <w:rPr>
          <w:rFonts w:ascii="Times New Roman" w:hAnsi="Times New Roman" w:cs="Times New Roman"/>
          <w:sz w:val="24"/>
          <w:szCs w:val="24"/>
        </w:rPr>
      </w:pPr>
    </w:p>
    <w:p w14:paraId="5778D161" w14:textId="77777777" w:rsidR="00336B41" w:rsidRDefault="00336B41" w:rsidP="00BC2FCC">
      <w:pPr>
        <w:jc w:val="both"/>
        <w:rPr>
          <w:rFonts w:ascii="Times New Roman" w:hAnsi="Times New Roman" w:cs="Times New Roman"/>
          <w:sz w:val="24"/>
          <w:szCs w:val="24"/>
        </w:rPr>
      </w:pPr>
    </w:p>
    <w:p w14:paraId="5439DCCC" w14:textId="77777777" w:rsidR="00336B41" w:rsidRDefault="00336B41" w:rsidP="00BC2FCC">
      <w:pPr>
        <w:jc w:val="both"/>
        <w:rPr>
          <w:rFonts w:ascii="Times New Roman" w:hAnsi="Times New Roman" w:cs="Times New Roman"/>
          <w:sz w:val="24"/>
          <w:szCs w:val="24"/>
        </w:rPr>
      </w:pPr>
    </w:p>
    <w:p w14:paraId="6BDD727A" w14:textId="77777777" w:rsidR="00336B41" w:rsidRDefault="00336B41" w:rsidP="00BC2FCC">
      <w:pPr>
        <w:jc w:val="both"/>
        <w:rPr>
          <w:rFonts w:ascii="Times New Roman" w:hAnsi="Times New Roman" w:cs="Times New Roman"/>
          <w:sz w:val="24"/>
          <w:szCs w:val="24"/>
        </w:rPr>
      </w:pPr>
    </w:p>
    <w:p w14:paraId="5476249A" w14:textId="77777777" w:rsidR="00336B41" w:rsidRDefault="00336B41" w:rsidP="00BC2FCC">
      <w:pPr>
        <w:jc w:val="both"/>
        <w:rPr>
          <w:rFonts w:ascii="Times New Roman" w:hAnsi="Times New Roman" w:cs="Times New Roman"/>
          <w:sz w:val="24"/>
          <w:szCs w:val="24"/>
        </w:rPr>
      </w:pPr>
    </w:p>
    <w:p w14:paraId="3151F27A" w14:textId="77777777" w:rsidR="00336B41" w:rsidRDefault="00336B41" w:rsidP="00BC2FCC">
      <w:pPr>
        <w:jc w:val="both"/>
        <w:rPr>
          <w:rFonts w:ascii="Times New Roman" w:hAnsi="Times New Roman" w:cs="Times New Roman"/>
          <w:sz w:val="24"/>
          <w:szCs w:val="24"/>
        </w:rPr>
      </w:pPr>
    </w:p>
    <w:p w14:paraId="5B38B506" w14:textId="77777777" w:rsidR="00336B41" w:rsidRDefault="00336B41" w:rsidP="00BC2FCC">
      <w:pPr>
        <w:jc w:val="both"/>
        <w:rPr>
          <w:rFonts w:ascii="Times New Roman" w:hAnsi="Times New Roman" w:cs="Times New Roman"/>
          <w:sz w:val="24"/>
          <w:szCs w:val="24"/>
        </w:rPr>
      </w:pPr>
    </w:p>
    <w:p w14:paraId="01DE8C8D" w14:textId="77777777" w:rsidR="00336B41" w:rsidRDefault="00336B41" w:rsidP="00BC2FCC">
      <w:pPr>
        <w:jc w:val="both"/>
        <w:rPr>
          <w:rFonts w:ascii="Times New Roman" w:hAnsi="Times New Roman" w:cs="Times New Roman"/>
          <w:sz w:val="24"/>
          <w:szCs w:val="24"/>
        </w:rPr>
      </w:pPr>
    </w:p>
    <w:p w14:paraId="372C5BBE" w14:textId="77777777" w:rsidR="00336B41" w:rsidRDefault="00336B41" w:rsidP="00BC2FCC">
      <w:pPr>
        <w:jc w:val="both"/>
        <w:rPr>
          <w:rFonts w:ascii="Times New Roman" w:hAnsi="Times New Roman" w:cs="Times New Roman"/>
          <w:sz w:val="24"/>
          <w:szCs w:val="24"/>
        </w:rPr>
      </w:pPr>
    </w:p>
    <w:p w14:paraId="108A7688" w14:textId="77777777" w:rsidR="00336B41" w:rsidRDefault="00336B41" w:rsidP="00BC2FCC">
      <w:pPr>
        <w:jc w:val="both"/>
        <w:rPr>
          <w:rFonts w:ascii="Times New Roman" w:hAnsi="Times New Roman" w:cs="Times New Roman"/>
          <w:sz w:val="24"/>
          <w:szCs w:val="24"/>
        </w:rPr>
      </w:pPr>
    </w:p>
    <w:p w14:paraId="1EA39DEA" w14:textId="77777777" w:rsidR="00336B41" w:rsidRDefault="00336B41" w:rsidP="00BC2FCC">
      <w:pPr>
        <w:jc w:val="both"/>
        <w:rPr>
          <w:rFonts w:ascii="Times New Roman" w:hAnsi="Times New Roman" w:cs="Times New Roman"/>
          <w:sz w:val="24"/>
          <w:szCs w:val="24"/>
        </w:rPr>
      </w:pPr>
    </w:p>
    <w:p w14:paraId="11638387" w14:textId="77777777" w:rsidR="00336B41" w:rsidRDefault="00336B41" w:rsidP="00BC2FCC">
      <w:pPr>
        <w:jc w:val="both"/>
        <w:rPr>
          <w:rFonts w:ascii="Times New Roman" w:hAnsi="Times New Roman" w:cs="Times New Roman"/>
          <w:sz w:val="24"/>
          <w:szCs w:val="24"/>
        </w:rPr>
      </w:pPr>
    </w:p>
    <w:p w14:paraId="388B6B3A" w14:textId="77777777" w:rsidR="00336B41" w:rsidRDefault="00336B41" w:rsidP="00BC2FCC">
      <w:pPr>
        <w:jc w:val="both"/>
        <w:rPr>
          <w:rFonts w:ascii="Times New Roman" w:hAnsi="Times New Roman" w:cs="Times New Roman"/>
          <w:sz w:val="24"/>
          <w:szCs w:val="24"/>
        </w:rPr>
      </w:pPr>
    </w:p>
    <w:p w14:paraId="4AC73A68" w14:textId="77777777" w:rsidR="00336B41" w:rsidRDefault="00336B41" w:rsidP="00BC2FCC">
      <w:pPr>
        <w:jc w:val="both"/>
        <w:rPr>
          <w:rFonts w:ascii="Times New Roman" w:hAnsi="Times New Roman" w:cs="Times New Roman"/>
          <w:sz w:val="24"/>
          <w:szCs w:val="24"/>
        </w:rPr>
      </w:pPr>
    </w:p>
    <w:p w14:paraId="3E348DD1" w14:textId="77777777" w:rsidR="00336B41" w:rsidRDefault="00336B41" w:rsidP="00BC2FCC">
      <w:pPr>
        <w:jc w:val="both"/>
        <w:rPr>
          <w:rFonts w:ascii="Times New Roman" w:hAnsi="Times New Roman" w:cs="Times New Roman"/>
          <w:sz w:val="24"/>
          <w:szCs w:val="24"/>
        </w:rPr>
      </w:pPr>
    </w:p>
    <w:p w14:paraId="5BBD69DC" w14:textId="77777777" w:rsidR="00336B41" w:rsidRDefault="00336B41" w:rsidP="00BC2FCC">
      <w:pPr>
        <w:jc w:val="both"/>
        <w:rPr>
          <w:rFonts w:ascii="Times New Roman" w:hAnsi="Times New Roman" w:cs="Times New Roman"/>
          <w:sz w:val="24"/>
          <w:szCs w:val="24"/>
        </w:rPr>
      </w:pPr>
    </w:p>
    <w:p w14:paraId="0127C4E8" w14:textId="77777777" w:rsidR="00336B41" w:rsidRDefault="00336B41" w:rsidP="00BC2FCC">
      <w:pPr>
        <w:jc w:val="both"/>
        <w:rPr>
          <w:rFonts w:ascii="Times New Roman" w:hAnsi="Times New Roman" w:cs="Times New Roman"/>
          <w:sz w:val="24"/>
          <w:szCs w:val="24"/>
        </w:rPr>
      </w:pPr>
    </w:p>
    <w:p w14:paraId="0524B87E" w14:textId="77777777" w:rsidR="00336B41" w:rsidRDefault="00336B41" w:rsidP="00BC2FCC">
      <w:pPr>
        <w:jc w:val="both"/>
        <w:rPr>
          <w:rFonts w:ascii="Times New Roman" w:hAnsi="Times New Roman" w:cs="Times New Roman"/>
          <w:sz w:val="24"/>
          <w:szCs w:val="24"/>
        </w:rPr>
      </w:pPr>
    </w:p>
    <w:p w14:paraId="137100E4" w14:textId="77777777" w:rsidR="00336B41" w:rsidRDefault="00336B41" w:rsidP="00BC2FCC">
      <w:pPr>
        <w:jc w:val="both"/>
        <w:rPr>
          <w:rFonts w:ascii="Times New Roman" w:hAnsi="Times New Roman" w:cs="Times New Roman"/>
          <w:sz w:val="24"/>
          <w:szCs w:val="24"/>
        </w:rPr>
      </w:pPr>
    </w:p>
    <w:p w14:paraId="218F9F37" w14:textId="77777777" w:rsidR="00336B41" w:rsidRDefault="00336B41" w:rsidP="00BC2FCC">
      <w:pPr>
        <w:jc w:val="both"/>
        <w:rPr>
          <w:rFonts w:ascii="Times New Roman" w:hAnsi="Times New Roman" w:cs="Times New Roman"/>
          <w:sz w:val="24"/>
          <w:szCs w:val="24"/>
        </w:rPr>
      </w:pPr>
    </w:p>
    <w:p w14:paraId="149A90A8" w14:textId="77777777" w:rsidR="00336B41" w:rsidRDefault="00336B41" w:rsidP="00BC2FCC">
      <w:pPr>
        <w:jc w:val="both"/>
        <w:rPr>
          <w:rFonts w:ascii="Times New Roman" w:hAnsi="Times New Roman" w:cs="Times New Roman"/>
          <w:sz w:val="24"/>
          <w:szCs w:val="24"/>
        </w:rPr>
      </w:pPr>
    </w:p>
    <w:p w14:paraId="51D07142" w14:textId="77777777" w:rsidR="00336B41" w:rsidRDefault="00336B41" w:rsidP="00BC2FCC">
      <w:pPr>
        <w:jc w:val="both"/>
        <w:rPr>
          <w:rFonts w:ascii="Times New Roman" w:hAnsi="Times New Roman" w:cs="Times New Roman"/>
          <w:sz w:val="24"/>
          <w:szCs w:val="24"/>
        </w:rPr>
      </w:pPr>
    </w:p>
    <w:p w14:paraId="4369F063" w14:textId="77777777" w:rsidR="00336B41" w:rsidRDefault="00336B41" w:rsidP="00BC2FCC">
      <w:pPr>
        <w:jc w:val="both"/>
        <w:rPr>
          <w:rFonts w:ascii="Times New Roman" w:hAnsi="Times New Roman" w:cs="Times New Roman"/>
          <w:sz w:val="24"/>
          <w:szCs w:val="24"/>
        </w:rPr>
      </w:pPr>
    </w:p>
    <w:p w14:paraId="46B3DAF0" w14:textId="77777777" w:rsidR="00336B41" w:rsidRDefault="00336B41" w:rsidP="00BC2FCC">
      <w:pPr>
        <w:jc w:val="both"/>
        <w:rPr>
          <w:rFonts w:ascii="Times New Roman" w:hAnsi="Times New Roman" w:cs="Times New Roman"/>
          <w:sz w:val="24"/>
          <w:szCs w:val="24"/>
        </w:rPr>
      </w:pPr>
    </w:p>
    <w:p w14:paraId="298B1127" w14:textId="77777777" w:rsidR="00336B41" w:rsidRDefault="00336B41" w:rsidP="00BC2FCC">
      <w:pPr>
        <w:jc w:val="both"/>
        <w:rPr>
          <w:rFonts w:ascii="Times New Roman" w:hAnsi="Times New Roman" w:cs="Times New Roman"/>
          <w:sz w:val="24"/>
          <w:szCs w:val="24"/>
        </w:rPr>
      </w:pPr>
    </w:p>
    <w:p w14:paraId="1A5B842C" w14:textId="2197AF85" w:rsidR="00FE3DA4" w:rsidRDefault="00FE3DA4" w:rsidP="00F613D4">
      <w:pPr>
        <w:rPr>
          <w:rFonts w:ascii="Times New Roman" w:hAnsi="Times New Roman" w:cs="Times New Roman"/>
          <w:sz w:val="24"/>
          <w:szCs w:val="24"/>
          <w:u w:val="single"/>
        </w:rPr>
      </w:pPr>
      <w:r w:rsidRPr="00FE3DA4">
        <w:rPr>
          <w:rFonts w:ascii="Times New Roman" w:hAnsi="Times New Roman" w:cs="Times New Roman"/>
          <w:sz w:val="24"/>
          <w:szCs w:val="24"/>
          <w:u w:val="single"/>
        </w:rPr>
        <w:lastRenderedPageBreak/>
        <w:t>Bibliography</w:t>
      </w:r>
    </w:p>
    <w:p w14:paraId="615B2E02" w14:textId="77777777" w:rsidR="00FE3DA4" w:rsidRPr="00FE3DA4" w:rsidRDefault="00FE3DA4" w:rsidP="00F613D4">
      <w:pPr>
        <w:rPr>
          <w:rFonts w:ascii="Times New Roman" w:hAnsi="Times New Roman" w:cs="Times New Roman"/>
          <w:sz w:val="24"/>
          <w:szCs w:val="24"/>
          <w:u w:val="single"/>
        </w:rPr>
      </w:pPr>
    </w:p>
    <w:p w14:paraId="0CDDB08A" w14:textId="671B38B6" w:rsidR="00F613D4" w:rsidRDefault="00336B41" w:rsidP="00F613D4">
      <w:pPr>
        <w:rPr>
          <w:rFonts w:ascii="Times New Roman" w:hAnsi="Times New Roman" w:cs="Times New Roman"/>
          <w:i/>
          <w:iCs/>
          <w:sz w:val="24"/>
          <w:szCs w:val="24"/>
        </w:rPr>
      </w:pPr>
      <w:r w:rsidRPr="00336B41">
        <w:rPr>
          <w:rFonts w:ascii="Times New Roman" w:hAnsi="Times New Roman" w:cs="Times New Roman"/>
          <w:sz w:val="24"/>
          <w:szCs w:val="24"/>
        </w:rPr>
        <w:t xml:space="preserve">Äijälä, A.-L. (2016). </w:t>
      </w:r>
      <w:r w:rsidR="00F613D4" w:rsidRPr="00336B41">
        <w:rPr>
          <w:rFonts w:ascii="Times New Roman" w:hAnsi="Times New Roman" w:cs="Times New Roman"/>
          <w:i/>
          <w:iCs/>
          <w:sz w:val="24"/>
          <w:szCs w:val="24"/>
        </w:rPr>
        <w:t>Chair Of International Relations and Politics How Is Isis Funded</w:t>
      </w:r>
      <w:r w:rsidR="00F613D4">
        <w:rPr>
          <w:rFonts w:ascii="Times New Roman" w:hAnsi="Times New Roman" w:cs="Times New Roman"/>
          <w:i/>
          <w:iCs/>
          <w:sz w:val="24"/>
          <w:szCs w:val="24"/>
        </w:rPr>
        <w:t>? pp 5-10</w:t>
      </w:r>
    </w:p>
    <w:p w14:paraId="30F3CA58" w14:textId="77777777" w:rsidR="00F613D4" w:rsidRDefault="00F613D4" w:rsidP="00F613D4">
      <w:pPr>
        <w:rPr>
          <w:rFonts w:ascii="Times New Roman" w:hAnsi="Times New Roman" w:cs="Times New Roman"/>
          <w:i/>
          <w:iCs/>
          <w:sz w:val="24"/>
          <w:szCs w:val="24"/>
        </w:rPr>
      </w:pPr>
    </w:p>
    <w:p w14:paraId="03CFA98E" w14:textId="3EBC9596" w:rsidR="00336B41" w:rsidRDefault="00336B41" w:rsidP="00F613D4">
      <w:pPr>
        <w:rPr>
          <w:rFonts w:ascii="Times New Roman" w:hAnsi="Times New Roman" w:cs="Times New Roman"/>
          <w:sz w:val="24"/>
          <w:szCs w:val="24"/>
        </w:rPr>
      </w:pPr>
      <w:r w:rsidRPr="00336B41">
        <w:rPr>
          <w:rFonts w:ascii="Times New Roman" w:hAnsi="Times New Roman" w:cs="Times New Roman"/>
          <w:sz w:val="24"/>
          <w:szCs w:val="24"/>
        </w:rPr>
        <w:t xml:space="preserve">Basra, R. and Neumann, P.R. (2016). European Jihadists and the New </w:t>
      </w:r>
      <w:r w:rsidR="00F613D4" w:rsidRPr="00336B41">
        <w:rPr>
          <w:rFonts w:ascii="Times New Roman" w:hAnsi="Times New Roman" w:cs="Times New Roman"/>
          <w:sz w:val="24"/>
          <w:szCs w:val="24"/>
        </w:rPr>
        <w:t>Crime Terror</w:t>
      </w:r>
      <w:r w:rsidRPr="00336B41">
        <w:rPr>
          <w:rFonts w:ascii="Times New Roman" w:hAnsi="Times New Roman" w:cs="Times New Roman"/>
          <w:sz w:val="24"/>
          <w:szCs w:val="24"/>
        </w:rPr>
        <w:t xml:space="preserve"> Nexus. </w:t>
      </w:r>
      <w:r w:rsidRPr="00336B41">
        <w:rPr>
          <w:rFonts w:ascii="Times New Roman" w:hAnsi="Times New Roman" w:cs="Times New Roman"/>
          <w:i/>
          <w:iCs/>
          <w:sz w:val="24"/>
          <w:szCs w:val="24"/>
        </w:rPr>
        <w:t>Perspectives on Terrorism</w:t>
      </w:r>
      <w:r w:rsidRPr="00336B41">
        <w:rPr>
          <w:rFonts w:ascii="Times New Roman" w:hAnsi="Times New Roman" w:cs="Times New Roman"/>
          <w:sz w:val="24"/>
          <w:szCs w:val="24"/>
        </w:rPr>
        <w:t xml:space="preserve">, [online] 10(6), pp.25–40. </w:t>
      </w:r>
      <w:proofErr w:type="spellStart"/>
      <w:r w:rsidRPr="00336B41">
        <w:rPr>
          <w:rFonts w:ascii="Times New Roman" w:hAnsi="Times New Roman" w:cs="Times New Roman"/>
          <w:sz w:val="24"/>
          <w:szCs w:val="24"/>
        </w:rPr>
        <w:t>doi:https</w:t>
      </w:r>
      <w:proofErr w:type="spellEnd"/>
      <w:r w:rsidRPr="00336B41">
        <w:rPr>
          <w:rFonts w:ascii="Times New Roman" w:hAnsi="Times New Roman" w:cs="Times New Roman"/>
          <w:sz w:val="24"/>
          <w:szCs w:val="24"/>
        </w:rPr>
        <w:t>://doi.org/10.2307/26297703.</w:t>
      </w:r>
    </w:p>
    <w:p w14:paraId="71FB9BF2" w14:textId="77777777" w:rsidR="00F613D4" w:rsidRPr="00336B41" w:rsidRDefault="00F613D4" w:rsidP="00F613D4">
      <w:pPr>
        <w:rPr>
          <w:rFonts w:ascii="Times New Roman" w:hAnsi="Times New Roman" w:cs="Times New Roman"/>
          <w:sz w:val="24"/>
          <w:szCs w:val="24"/>
        </w:rPr>
      </w:pPr>
    </w:p>
    <w:p w14:paraId="50A85E13" w14:textId="13FD6CB1" w:rsidR="00336B41" w:rsidRDefault="00336B41" w:rsidP="00F613D4">
      <w:pPr>
        <w:rPr>
          <w:rFonts w:ascii="Times New Roman" w:hAnsi="Times New Roman" w:cs="Times New Roman"/>
          <w:sz w:val="24"/>
          <w:szCs w:val="24"/>
        </w:rPr>
      </w:pPr>
      <w:r w:rsidRPr="00336B41">
        <w:rPr>
          <w:rFonts w:ascii="Times New Roman" w:hAnsi="Times New Roman" w:cs="Times New Roman"/>
          <w:sz w:val="24"/>
          <w:szCs w:val="24"/>
        </w:rPr>
        <w:t xml:space="preserve">Berry, G., Briggs, P., Erol, R. and Van Staden, L. (2011). </w:t>
      </w:r>
      <w:r w:rsidRPr="00336B41">
        <w:rPr>
          <w:rFonts w:ascii="Times New Roman" w:hAnsi="Times New Roman" w:cs="Times New Roman"/>
          <w:i/>
          <w:iCs/>
          <w:sz w:val="24"/>
          <w:szCs w:val="24"/>
        </w:rPr>
        <w:t>The Effectiveness of Partnership Working in a Crime and Disorder Context a Rapid Evidence Assessment</w:t>
      </w:r>
      <w:r w:rsidRPr="00336B41">
        <w:rPr>
          <w:rFonts w:ascii="Times New Roman" w:hAnsi="Times New Roman" w:cs="Times New Roman"/>
          <w:sz w:val="24"/>
          <w:szCs w:val="24"/>
        </w:rPr>
        <w:t>. Home Office. Available</w:t>
      </w:r>
      <w:r w:rsidR="00F613D4">
        <w:rPr>
          <w:rFonts w:ascii="Times New Roman" w:hAnsi="Times New Roman" w:cs="Times New Roman"/>
          <w:sz w:val="24"/>
          <w:szCs w:val="24"/>
        </w:rPr>
        <w:t xml:space="preserve"> </w:t>
      </w:r>
      <w:r w:rsidRPr="00336B41">
        <w:rPr>
          <w:rFonts w:ascii="Times New Roman" w:hAnsi="Times New Roman" w:cs="Times New Roman"/>
          <w:sz w:val="24"/>
          <w:szCs w:val="24"/>
        </w:rPr>
        <w:t>at:</w:t>
      </w:r>
      <w:r w:rsidR="00F613D4">
        <w:rPr>
          <w:rFonts w:ascii="Times New Roman" w:hAnsi="Times New Roman" w:cs="Times New Roman"/>
          <w:sz w:val="24"/>
          <w:szCs w:val="24"/>
        </w:rPr>
        <w:t xml:space="preserve"> </w:t>
      </w:r>
      <w:r w:rsidR="00F613D4" w:rsidRPr="00336B41">
        <w:rPr>
          <w:rFonts w:ascii="Times New Roman" w:hAnsi="Times New Roman" w:cs="Times New Roman"/>
          <w:sz w:val="24"/>
          <w:szCs w:val="24"/>
        </w:rPr>
        <w:t>https://assets.publishing.service.gov.uk/government/uploads/system/uploads/attachment_data/file/116549/horr52-report.pdf</w:t>
      </w:r>
      <w:r w:rsidRPr="00336B41">
        <w:rPr>
          <w:rFonts w:ascii="Times New Roman" w:hAnsi="Times New Roman" w:cs="Times New Roman"/>
          <w:sz w:val="24"/>
          <w:szCs w:val="24"/>
        </w:rPr>
        <w:t>.</w:t>
      </w:r>
    </w:p>
    <w:p w14:paraId="31415544" w14:textId="77777777" w:rsidR="00F613D4" w:rsidRPr="00336B41" w:rsidRDefault="00F613D4" w:rsidP="00F613D4">
      <w:pPr>
        <w:rPr>
          <w:rFonts w:ascii="Times New Roman" w:hAnsi="Times New Roman" w:cs="Times New Roman"/>
          <w:sz w:val="24"/>
          <w:szCs w:val="24"/>
        </w:rPr>
      </w:pPr>
    </w:p>
    <w:p w14:paraId="662DEAE9" w14:textId="2B242E95" w:rsidR="00336B41" w:rsidRDefault="00336B41" w:rsidP="00F613D4">
      <w:pPr>
        <w:rPr>
          <w:rFonts w:ascii="Times New Roman" w:hAnsi="Times New Roman" w:cs="Times New Roman"/>
          <w:sz w:val="24"/>
          <w:szCs w:val="24"/>
        </w:rPr>
      </w:pPr>
      <w:r w:rsidRPr="00336B41">
        <w:rPr>
          <w:rFonts w:ascii="Times New Roman" w:hAnsi="Times New Roman" w:cs="Times New Roman"/>
          <w:sz w:val="24"/>
          <w:szCs w:val="24"/>
        </w:rPr>
        <w:t xml:space="preserve">Bullock, K., Garland, J. and Coupar, F. (2020). Police-community Engagement and the Affordances and Constraints of </w:t>
      </w:r>
      <w:r w:rsidR="00F613D4" w:rsidRPr="00336B41">
        <w:rPr>
          <w:rFonts w:ascii="Times New Roman" w:hAnsi="Times New Roman" w:cs="Times New Roman"/>
          <w:sz w:val="24"/>
          <w:szCs w:val="24"/>
        </w:rPr>
        <w:t>social media</w:t>
      </w:r>
      <w:r w:rsidRPr="00336B41">
        <w:rPr>
          <w:rFonts w:ascii="Times New Roman" w:hAnsi="Times New Roman" w:cs="Times New Roman"/>
          <w:sz w:val="24"/>
          <w:szCs w:val="24"/>
        </w:rPr>
        <w:t xml:space="preserve">. </w:t>
      </w:r>
      <w:r w:rsidRPr="00336B41">
        <w:rPr>
          <w:rFonts w:ascii="Times New Roman" w:hAnsi="Times New Roman" w:cs="Times New Roman"/>
          <w:i/>
          <w:iCs/>
          <w:sz w:val="24"/>
          <w:szCs w:val="24"/>
        </w:rPr>
        <w:t>Policing and Society</w:t>
      </w:r>
      <w:r w:rsidRPr="00336B41">
        <w:rPr>
          <w:rFonts w:ascii="Times New Roman" w:hAnsi="Times New Roman" w:cs="Times New Roman"/>
          <w:sz w:val="24"/>
          <w:szCs w:val="24"/>
        </w:rPr>
        <w:t>,</w:t>
      </w:r>
      <w:r w:rsidR="00F613D4">
        <w:rPr>
          <w:rFonts w:ascii="Times New Roman" w:hAnsi="Times New Roman" w:cs="Times New Roman"/>
          <w:sz w:val="24"/>
          <w:szCs w:val="24"/>
        </w:rPr>
        <w:t xml:space="preserve"> </w:t>
      </w:r>
      <w:r w:rsidRPr="00336B41">
        <w:rPr>
          <w:rFonts w:ascii="Times New Roman" w:hAnsi="Times New Roman" w:cs="Times New Roman"/>
          <w:sz w:val="24"/>
          <w:szCs w:val="24"/>
        </w:rPr>
        <w:t xml:space="preserve">31(4), pp.1–13. </w:t>
      </w:r>
      <w:proofErr w:type="spellStart"/>
      <w:r w:rsidR="00F613D4">
        <w:rPr>
          <w:rFonts w:ascii="Times New Roman" w:hAnsi="Times New Roman" w:cs="Times New Roman"/>
          <w:sz w:val="24"/>
          <w:szCs w:val="24"/>
        </w:rPr>
        <w:t>Availalable</w:t>
      </w:r>
      <w:proofErr w:type="spellEnd"/>
      <w:r w:rsidR="00F613D4">
        <w:rPr>
          <w:rFonts w:ascii="Times New Roman" w:hAnsi="Times New Roman" w:cs="Times New Roman"/>
          <w:sz w:val="24"/>
          <w:szCs w:val="24"/>
        </w:rPr>
        <w:t xml:space="preserve"> at: </w:t>
      </w:r>
      <w:r w:rsidR="00F613D4" w:rsidRPr="00336B41">
        <w:rPr>
          <w:rFonts w:ascii="Times New Roman" w:hAnsi="Times New Roman" w:cs="Times New Roman"/>
          <w:sz w:val="24"/>
          <w:szCs w:val="24"/>
        </w:rPr>
        <w:t>https://doi.org/10.1080/10439463.2020.1831498</w:t>
      </w:r>
      <w:r w:rsidRPr="00336B41">
        <w:rPr>
          <w:rFonts w:ascii="Times New Roman" w:hAnsi="Times New Roman" w:cs="Times New Roman"/>
          <w:sz w:val="24"/>
          <w:szCs w:val="24"/>
        </w:rPr>
        <w:t>.</w:t>
      </w:r>
    </w:p>
    <w:p w14:paraId="6DAEE9D3" w14:textId="77777777" w:rsidR="00F613D4" w:rsidRPr="00336B41" w:rsidRDefault="00F613D4" w:rsidP="00F613D4">
      <w:pPr>
        <w:rPr>
          <w:rFonts w:ascii="Times New Roman" w:hAnsi="Times New Roman" w:cs="Times New Roman"/>
          <w:sz w:val="24"/>
          <w:szCs w:val="24"/>
        </w:rPr>
      </w:pPr>
    </w:p>
    <w:p w14:paraId="0A99D34D" w14:textId="282ED522" w:rsidR="00336B41" w:rsidRDefault="00336B41" w:rsidP="00F613D4">
      <w:pPr>
        <w:rPr>
          <w:rFonts w:ascii="Times New Roman" w:hAnsi="Times New Roman" w:cs="Times New Roman"/>
          <w:sz w:val="24"/>
          <w:szCs w:val="24"/>
        </w:rPr>
      </w:pPr>
      <w:r w:rsidRPr="00336B41">
        <w:rPr>
          <w:rFonts w:ascii="Times New Roman" w:hAnsi="Times New Roman" w:cs="Times New Roman"/>
          <w:sz w:val="24"/>
          <w:szCs w:val="24"/>
        </w:rPr>
        <w:t xml:space="preserve">Center for Security Studies (2025). </w:t>
      </w:r>
      <w:r w:rsidRPr="00336B41">
        <w:rPr>
          <w:rFonts w:ascii="Times New Roman" w:hAnsi="Times New Roman" w:cs="Times New Roman"/>
          <w:i/>
          <w:iCs/>
          <w:sz w:val="24"/>
          <w:szCs w:val="24"/>
        </w:rPr>
        <w:t>Strategic Trends 2025</w:t>
      </w:r>
      <w:r w:rsidRPr="00336B41">
        <w:rPr>
          <w:rFonts w:ascii="Times New Roman" w:hAnsi="Times New Roman" w:cs="Times New Roman"/>
          <w:sz w:val="24"/>
          <w:szCs w:val="24"/>
        </w:rPr>
        <w:t>. Center for Security Studies. Available at: https://css.ethz.ch/en/center/CSS-news/2025/03/strategic-trends-2025.html [Accessed 26 May 2025].</w:t>
      </w:r>
    </w:p>
    <w:p w14:paraId="704940F8" w14:textId="77777777" w:rsidR="00F613D4" w:rsidRPr="00336B41" w:rsidRDefault="00F613D4" w:rsidP="00F613D4">
      <w:pPr>
        <w:rPr>
          <w:rFonts w:ascii="Times New Roman" w:hAnsi="Times New Roman" w:cs="Times New Roman"/>
          <w:sz w:val="24"/>
          <w:szCs w:val="24"/>
        </w:rPr>
      </w:pPr>
    </w:p>
    <w:p w14:paraId="3C39C722" w14:textId="77777777" w:rsidR="00F613D4" w:rsidRDefault="00336B41" w:rsidP="00F613D4">
      <w:pPr>
        <w:rPr>
          <w:rFonts w:ascii="Times New Roman" w:hAnsi="Times New Roman" w:cs="Times New Roman"/>
          <w:sz w:val="24"/>
          <w:szCs w:val="24"/>
        </w:rPr>
      </w:pPr>
      <w:r w:rsidRPr="00336B41">
        <w:rPr>
          <w:rFonts w:ascii="Times New Roman" w:hAnsi="Times New Roman" w:cs="Times New Roman"/>
          <w:sz w:val="24"/>
          <w:szCs w:val="24"/>
        </w:rPr>
        <w:t xml:space="preserve">Chaney, C. and Robertson, R.V. (2013). Racism and Police Brutality in America. </w:t>
      </w:r>
      <w:r w:rsidRPr="00336B41">
        <w:rPr>
          <w:rFonts w:ascii="Times New Roman" w:hAnsi="Times New Roman" w:cs="Times New Roman"/>
          <w:i/>
          <w:iCs/>
          <w:sz w:val="24"/>
          <w:szCs w:val="24"/>
        </w:rPr>
        <w:t>Journal of African American Studies</w:t>
      </w:r>
      <w:r w:rsidRPr="00336B41">
        <w:rPr>
          <w:rFonts w:ascii="Times New Roman" w:hAnsi="Times New Roman" w:cs="Times New Roman"/>
          <w:sz w:val="24"/>
          <w:szCs w:val="24"/>
        </w:rPr>
        <w:t xml:space="preserve">, 17(4), pp.480–505. </w:t>
      </w:r>
    </w:p>
    <w:p w14:paraId="4A4BDE9B" w14:textId="68F53DF3" w:rsidR="00336B41" w:rsidRDefault="00336B41" w:rsidP="00F613D4">
      <w:pPr>
        <w:rPr>
          <w:rFonts w:ascii="Times New Roman" w:hAnsi="Times New Roman" w:cs="Times New Roman"/>
          <w:sz w:val="24"/>
          <w:szCs w:val="24"/>
        </w:rPr>
      </w:pPr>
      <w:r w:rsidRPr="00336B41">
        <w:rPr>
          <w:rFonts w:ascii="Times New Roman" w:hAnsi="Times New Roman" w:cs="Times New Roman"/>
          <w:sz w:val="24"/>
          <w:szCs w:val="24"/>
        </w:rPr>
        <w:t xml:space="preserve">Available at: </w:t>
      </w:r>
      <w:r w:rsidR="00F613D4" w:rsidRPr="00336B41">
        <w:rPr>
          <w:rFonts w:ascii="Times New Roman" w:hAnsi="Times New Roman" w:cs="Times New Roman"/>
          <w:sz w:val="24"/>
          <w:szCs w:val="24"/>
        </w:rPr>
        <w:t>https://www.jstor.org/stable/43525523</w:t>
      </w:r>
      <w:r w:rsidRPr="00336B41">
        <w:rPr>
          <w:rFonts w:ascii="Times New Roman" w:hAnsi="Times New Roman" w:cs="Times New Roman"/>
          <w:sz w:val="24"/>
          <w:szCs w:val="24"/>
        </w:rPr>
        <w:t>.</w:t>
      </w:r>
    </w:p>
    <w:p w14:paraId="04BC1341" w14:textId="77777777" w:rsidR="00F613D4" w:rsidRPr="00336B41" w:rsidRDefault="00F613D4" w:rsidP="00F613D4">
      <w:pPr>
        <w:rPr>
          <w:rFonts w:ascii="Times New Roman" w:hAnsi="Times New Roman" w:cs="Times New Roman"/>
          <w:sz w:val="24"/>
          <w:szCs w:val="24"/>
        </w:rPr>
      </w:pPr>
    </w:p>
    <w:p w14:paraId="385005FE" w14:textId="77777777" w:rsidR="00F613D4" w:rsidRDefault="00336B41" w:rsidP="00F613D4">
      <w:pPr>
        <w:rPr>
          <w:rFonts w:ascii="Times New Roman" w:hAnsi="Times New Roman" w:cs="Times New Roman"/>
          <w:sz w:val="24"/>
          <w:szCs w:val="24"/>
        </w:rPr>
      </w:pPr>
      <w:r w:rsidRPr="00336B41">
        <w:rPr>
          <w:rFonts w:ascii="Times New Roman" w:hAnsi="Times New Roman" w:cs="Times New Roman"/>
          <w:sz w:val="24"/>
          <w:szCs w:val="24"/>
        </w:rPr>
        <w:t xml:space="preserve">Coyle, B. (2023). Overcoming ‘Sheriff Syndrome’: Exploring Young Adults’ Experiences of Policing in Northern Ireland. </w:t>
      </w:r>
      <w:r w:rsidRPr="00336B41">
        <w:rPr>
          <w:rFonts w:ascii="Times New Roman" w:hAnsi="Times New Roman" w:cs="Times New Roman"/>
          <w:i/>
          <w:iCs/>
          <w:sz w:val="24"/>
          <w:szCs w:val="24"/>
        </w:rPr>
        <w:t>Youth Justice</w:t>
      </w:r>
      <w:r w:rsidRPr="00336B41">
        <w:rPr>
          <w:rFonts w:ascii="Times New Roman" w:hAnsi="Times New Roman" w:cs="Times New Roman"/>
          <w:sz w:val="24"/>
          <w:szCs w:val="24"/>
        </w:rPr>
        <w:t xml:space="preserve">. </w:t>
      </w:r>
    </w:p>
    <w:p w14:paraId="5BA7AB89" w14:textId="4D4056D5" w:rsidR="00336B41" w:rsidRDefault="00F613D4" w:rsidP="00F613D4">
      <w:pPr>
        <w:rPr>
          <w:rFonts w:ascii="Times New Roman" w:hAnsi="Times New Roman" w:cs="Times New Roman"/>
          <w:sz w:val="24"/>
          <w:szCs w:val="24"/>
        </w:rPr>
      </w:pPr>
      <w:r>
        <w:rPr>
          <w:rFonts w:ascii="Times New Roman" w:hAnsi="Times New Roman" w:cs="Times New Roman"/>
          <w:sz w:val="24"/>
          <w:szCs w:val="24"/>
        </w:rPr>
        <w:t xml:space="preserve">Available at: </w:t>
      </w:r>
      <w:r w:rsidR="00336B41" w:rsidRPr="00336B41">
        <w:rPr>
          <w:rFonts w:ascii="Times New Roman" w:hAnsi="Times New Roman" w:cs="Times New Roman"/>
          <w:sz w:val="24"/>
          <w:szCs w:val="24"/>
        </w:rPr>
        <w:t>https://doi.org/10.1177/14732254231206811.</w:t>
      </w:r>
    </w:p>
    <w:p w14:paraId="46430275" w14:textId="77777777" w:rsidR="00F613D4" w:rsidRPr="00336B41" w:rsidRDefault="00F613D4" w:rsidP="00F613D4">
      <w:pPr>
        <w:rPr>
          <w:rFonts w:ascii="Times New Roman" w:hAnsi="Times New Roman" w:cs="Times New Roman"/>
          <w:sz w:val="24"/>
          <w:szCs w:val="24"/>
        </w:rPr>
      </w:pPr>
    </w:p>
    <w:p w14:paraId="7D308F2A" w14:textId="77777777" w:rsidR="00F613D4" w:rsidRDefault="00336B41" w:rsidP="00F613D4">
      <w:pPr>
        <w:rPr>
          <w:rFonts w:ascii="Times New Roman" w:hAnsi="Times New Roman" w:cs="Times New Roman"/>
          <w:sz w:val="24"/>
          <w:szCs w:val="24"/>
        </w:rPr>
      </w:pPr>
      <w:r w:rsidRPr="00336B41">
        <w:rPr>
          <w:rFonts w:ascii="Times New Roman" w:hAnsi="Times New Roman" w:cs="Times New Roman"/>
          <w:sz w:val="24"/>
          <w:szCs w:val="24"/>
        </w:rPr>
        <w:t xml:space="preserve">Crawford, A. (1999). The Local Governance of Crime: Appeals to Community and Partnerships. </w:t>
      </w:r>
      <w:r w:rsidR="00F613D4" w:rsidRPr="00336B41">
        <w:rPr>
          <w:rFonts w:ascii="Times New Roman" w:hAnsi="Times New Roman" w:cs="Times New Roman"/>
          <w:sz w:val="24"/>
          <w:szCs w:val="24"/>
        </w:rPr>
        <w:t xml:space="preserve">Policing in Northern Ireland. </w:t>
      </w:r>
      <w:r w:rsidR="00F613D4" w:rsidRPr="00336B41">
        <w:rPr>
          <w:rFonts w:ascii="Times New Roman" w:hAnsi="Times New Roman" w:cs="Times New Roman"/>
          <w:i/>
          <w:iCs/>
          <w:sz w:val="24"/>
          <w:szCs w:val="24"/>
        </w:rPr>
        <w:t>Youth Justice</w:t>
      </w:r>
      <w:r w:rsidR="00F613D4" w:rsidRPr="00336B41">
        <w:rPr>
          <w:rFonts w:ascii="Times New Roman" w:hAnsi="Times New Roman" w:cs="Times New Roman"/>
          <w:sz w:val="24"/>
          <w:szCs w:val="24"/>
        </w:rPr>
        <w:t xml:space="preserve">. </w:t>
      </w:r>
    </w:p>
    <w:p w14:paraId="4A6C8EB2" w14:textId="24047CF9" w:rsidR="00336B41" w:rsidRDefault="00F613D4" w:rsidP="00F613D4">
      <w:pPr>
        <w:rPr>
          <w:rFonts w:ascii="Times New Roman" w:hAnsi="Times New Roman" w:cs="Times New Roman"/>
          <w:sz w:val="24"/>
          <w:szCs w:val="24"/>
        </w:rPr>
      </w:pPr>
      <w:r>
        <w:rPr>
          <w:rFonts w:ascii="Times New Roman" w:hAnsi="Times New Roman" w:cs="Times New Roman"/>
          <w:sz w:val="24"/>
          <w:szCs w:val="24"/>
        </w:rPr>
        <w:t xml:space="preserve">Available </w:t>
      </w:r>
      <w:proofErr w:type="spellStart"/>
      <w:r>
        <w:rPr>
          <w:rFonts w:ascii="Times New Roman" w:hAnsi="Times New Roman" w:cs="Times New Roman"/>
          <w:sz w:val="24"/>
          <w:szCs w:val="24"/>
        </w:rPr>
        <w:t>at</w:t>
      </w:r>
      <w:r w:rsidR="00336B41" w:rsidRPr="00336B41">
        <w:rPr>
          <w:rFonts w:ascii="Times New Roman" w:hAnsi="Times New Roman" w:cs="Times New Roman"/>
          <w:sz w:val="24"/>
          <w:szCs w:val="24"/>
        </w:rPr>
        <w:t>:https</w:t>
      </w:r>
      <w:proofErr w:type="spellEnd"/>
      <w:r w:rsidR="00336B41" w:rsidRPr="00336B41">
        <w:rPr>
          <w:rFonts w:ascii="Times New Roman" w:hAnsi="Times New Roman" w:cs="Times New Roman"/>
          <w:sz w:val="24"/>
          <w:szCs w:val="24"/>
        </w:rPr>
        <w:t>://doi.org/10.1093/</w:t>
      </w:r>
      <w:proofErr w:type="spellStart"/>
      <w:r w:rsidR="00336B41" w:rsidRPr="00336B41">
        <w:rPr>
          <w:rFonts w:ascii="Times New Roman" w:hAnsi="Times New Roman" w:cs="Times New Roman"/>
          <w:sz w:val="24"/>
          <w:szCs w:val="24"/>
        </w:rPr>
        <w:t>acprof:oso</w:t>
      </w:r>
      <w:proofErr w:type="spellEnd"/>
      <w:r w:rsidR="00336B41" w:rsidRPr="00336B41">
        <w:rPr>
          <w:rFonts w:ascii="Times New Roman" w:hAnsi="Times New Roman" w:cs="Times New Roman"/>
          <w:sz w:val="24"/>
          <w:szCs w:val="24"/>
        </w:rPr>
        <w:t>/9780198298458.001.0001.</w:t>
      </w:r>
    </w:p>
    <w:p w14:paraId="06269B3F" w14:textId="77777777" w:rsidR="00F613D4" w:rsidRPr="00336B41" w:rsidRDefault="00F613D4" w:rsidP="00F613D4">
      <w:pPr>
        <w:rPr>
          <w:rFonts w:ascii="Times New Roman" w:hAnsi="Times New Roman" w:cs="Times New Roman"/>
          <w:sz w:val="24"/>
          <w:szCs w:val="24"/>
        </w:rPr>
      </w:pPr>
    </w:p>
    <w:p w14:paraId="3647DC6E" w14:textId="77777777" w:rsidR="00F613D4" w:rsidRDefault="00336B41" w:rsidP="00F613D4">
      <w:pPr>
        <w:rPr>
          <w:rFonts w:ascii="Times New Roman" w:hAnsi="Times New Roman" w:cs="Times New Roman"/>
          <w:sz w:val="24"/>
          <w:szCs w:val="24"/>
        </w:rPr>
      </w:pPr>
      <w:r w:rsidRPr="00336B41">
        <w:rPr>
          <w:rFonts w:ascii="Times New Roman" w:hAnsi="Times New Roman" w:cs="Times New Roman"/>
          <w:sz w:val="24"/>
          <w:szCs w:val="24"/>
        </w:rPr>
        <w:lastRenderedPageBreak/>
        <w:t xml:space="preserve">DISHMAN, C. (2005). The Leaderless Nexus: When Crime and Terror Converge. </w:t>
      </w:r>
      <w:r w:rsidRPr="00336B41">
        <w:rPr>
          <w:rFonts w:ascii="Times New Roman" w:hAnsi="Times New Roman" w:cs="Times New Roman"/>
          <w:i/>
          <w:iCs/>
          <w:sz w:val="24"/>
          <w:szCs w:val="24"/>
        </w:rPr>
        <w:t>Studies in Conflict &amp; Terrorism</w:t>
      </w:r>
      <w:r w:rsidRPr="00336B41">
        <w:rPr>
          <w:rFonts w:ascii="Times New Roman" w:hAnsi="Times New Roman" w:cs="Times New Roman"/>
          <w:sz w:val="24"/>
          <w:szCs w:val="24"/>
        </w:rPr>
        <w:t xml:space="preserve">, 28(3), pp.237–252. </w:t>
      </w:r>
      <w:r w:rsidR="00F613D4" w:rsidRPr="00336B41">
        <w:rPr>
          <w:rFonts w:ascii="Times New Roman" w:hAnsi="Times New Roman" w:cs="Times New Roman"/>
          <w:sz w:val="24"/>
          <w:szCs w:val="24"/>
        </w:rPr>
        <w:t xml:space="preserve">Policing in Northern Ireland. </w:t>
      </w:r>
      <w:r w:rsidR="00F613D4" w:rsidRPr="00336B41">
        <w:rPr>
          <w:rFonts w:ascii="Times New Roman" w:hAnsi="Times New Roman" w:cs="Times New Roman"/>
          <w:i/>
          <w:iCs/>
          <w:sz w:val="24"/>
          <w:szCs w:val="24"/>
        </w:rPr>
        <w:t>Youth Justice</w:t>
      </w:r>
      <w:r w:rsidR="00F613D4" w:rsidRPr="00336B41">
        <w:rPr>
          <w:rFonts w:ascii="Times New Roman" w:hAnsi="Times New Roman" w:cs="Times New Roman"/>
          <w:sz w:val="24"/>
          <w:szCs w:val="24"/>
        </w:rPr>
        <w:t xml:space="preserve">. </w:t>
      </w:r>
    </w:p>
    <w:p w14:paraId="41AB1A08" w14:textId="53A43C45" w:rsidR="00336B41" w:rsidRDefault="00F613D4" w:rsidP="00F613D4">
      <w:pPr>
        <w:rPr>
          <w:rFonts w:ascii="Times New Roman" w:hAnsi="Times New Roman" w:cs="Times New Roman"/>
          <w:sz w:val="24"/>
          <w:szCs w:val="24"/>
        </w:rPr>
      </w:pPr>
      <w:r>
        <w:rPr>
          <w:rFonts w:ascii="Times New Roman" w:hAnsi="Times New Roman" w:cs="Times New Roman"/>
          <w:sz w:val="24"/>
          <w:szCs w:val="24"/>
        </w:rPr>
        <w:t xml:space="preserve">Available </w:t>
      </w:r>
      <w:proofErr w:type="spellStart"/>
      <w:r>
        <w:rPr>
          <w:rFonts w:ascii="Times New Roman" w:hAnsi="Times New Roman" w:cs="Times New Roman"/>
          <w:sz w:val="24"/>
          <w:szCs w:val="24"/>
        </w:rPr>
        <w:t>at</w:t>
      </w:r>
      <w:r w:rsidR="00336B41" w:rsidRPr="00336B41">
        <w:rPr>
          <w:rFonts w:ascii="Times New Roman" w:hAnsi="Times New Roman" w:cs="Times New Roman"/>
          <w:sz w:val="24"/>
          <w:szCs w:val="24"/>
        </w:rPr>
        <w:t>:https</w:t>
      </w:r>
      <w:proofErr w:type="spellEnd"/>
      <w:r w:rsidR="00336B41" w:rsidRPr="00336B41">
        <w:rPr>
          <w:rFonts w:ascii="Times New Roman" w:hAnsi="Times New Roman" w:cs="Times New Roman"/>
          <w:sz w:val="24"/>
          <w:szCs w:val="24"/>
        </w:rPr>
        <w:t>://doi.org/10.1080/10576100590928124.</w:t>
      </w:r>
    </w:p>
    <w:p w14:paraId="02EB31CF" w14:textId="77777777" w:rsidR="001C458A" w:rsidRDefault="001C458A" w:rsidP="00F613D4">
      <w:pPr>
        <w:rPr>
          <w:rFonts w:ascii="Times New Roman" w:hAnsi="Times New Roman" w:cs="Times New Roman"/>
          <w:sz w:val="24"/>
          <w:szCs w:val="24"/>
        </w:rPr>
      </w:pPr>
    </w:p>
    <w:p w14:paraId="5C1276CD" w14:textId="60A05BB6" w:rsidR="00336B41" w:rsidRDefault="00336B41" w:rsidP="00F613D4">
      <w:pPr>
        <w:rPr>
          <w:rFonts w:ascii="Times New Roman" w:hAnsi="Times New Roman" w:cs="Times New Roman"/>
          <w:sz w:val="24"/>
          <w:szCs w:val="24"/>
        </w:rPr>
      </w:pPr>
      <w:r w:rsidRPr="00336B41">
        <w:rPr>
          <w:rFonts w:ascii="Times New Roman" w:hAnsi="Times New Roman" w:cs="Times New Roman"/>
          <w:sz w:val="24"/>
          <w:szCs w:val="24"/>
        </w:rPr>
        <w:t xml:space="preserve">Gwent Police (2022). </w:t>
      </w:r>
      <w:r w:rsidRPr="00336B41">
        <w:rPr>
          <w:rFonts w:ascii="Times New Roman" w:hAnsi="Times New Roman" w:cs="Times New Roman"/>
          <w:i/>
          <w:iCs/>
          <w:sz w:val="24"/>
          <w:szCs w:val="24"/>
        </w:rPr>
        <w:t>Police Surgeries in Rhymney Helping Build Stronger Communities</w:t>
      </w:r>
      <w:r w:rsidRPr="00336B41">
        <w:rPr>
          <w:rFonts w:ascii="Times New Roman" w:hAnsi="Times New Roman" w:cs="Times New Roman"/>
          <w:sz w:val="24"/>
          <w:szCs w:val="24"/>
        </w:rPr>
        <w:t>.</w:t>
      </w:r>
      <w:r w:rsidR="00F613D4">
        <w:rPr>
          <w:rFonts w:ascii="Times New Roman" w:hAnsi="Times New Roman" w:cs="Times New Roman"/>
          <w:sz w:val="24"/>
          <w:szCs w:val="24"/>
        </w:rPr>
        <w:t xml:space="preserve"> </w:t>
      </w:r>
      <w:r w:rsidRPr="00336B41">
        <w:rPr>
          <w:rFonts w:ascii="Times New Roman" w:hAnsi="Times New Roman" w:cs="Times New Roman"/>
          <w:sz w:val="24"/>
          <w:szCs w:val="24"/>
        </w:rPr>
        <w:t>Gwent Police Surgeries in Rhymney Helping Build Stronger Communities. Available at:</w:t>
      </w:r>
      <w:r w:rsidR="00F613D4">
        <w:rPr>
          <w:rFonts w:ascii="Times New Roman" w:hAnsi="Times New Roman" w:cs="Times New Roman"/>
          <w:sz w:val="24"/>
          <w:szCs w:val="24"/>
        </w:rPr>
        <w:t xml:space="preserve"> </w:t>
      </w:r>
      <w:r w:rsidR="00F613D4" w:rsidRPr="00336B41">
        <w:rPr>
          <w:rFonts w:ascii="Times New Roman" w:hAnsi="Times New Roman" w:cs="Times New Roman"/>
          <w:sz w:val="24"/>
          <w:szCs w:val="24"/>
        </w:rPr>
        <w:t>https://www.gwent.police.uk/news/gwent/news/news/2022/july/open-door-police-surgeries-in-rhymney-helping-build-stronger-communities-says-local-inspector/</w:t>
      </w:r>
    </w:p>
    <w:p w14:paraId="5CCC26FF" w14:textId="77777777" w:rsidR="00F613D4" w:rsidRPr="00336B41" w:rsidRDefault="00F613D4" w:rsidP="00F613D4">
      <w:pPr>
        <w:rPr>
          <w:rFonts w:ascii="Times New Roman" w:hAnsi="Times New Roman" w:cs="Times New Roman"/>
          <w:sz w:val="24"/>
          <w:szCs w:val="24"/>
        </w:rPr>
      </w:pPr>
    </w:p>
    <w:p w14:paraId="4B6484C4" w14:textId="6F24C20B" w:rsidR="00336B41" w:rsidRDefault="00336B41" w:rsidP="00F613D4">
      <w:pPr>
        <w:rPr>
          <w:rFonts w:ascii="Times New Roman" w:hAnsi="Times New Roman" w:cs="Times New Roman"/>
          <w:i/>
          <w:iCs/>
          <w:sz w:val="24"/>
          <w:szCs w:val="24"/>
        </w:rPr>
      </w:pPr>
      <w:r w:rsidRPr="00336B41">
        <w:rPr>
          <w:rFonts w:ascii="Times New Roman" w:hAnsi="Times New Roman" w:cs="Times New Roman"/>
          <w:sz w:val="24"/>
          <w:szCs w:val="24"/>
        </w:rPr>
        <w:t xml:space="preserve">Gwent Police (2023). </w:t>
      </w:r>
      <w:r w:rsidRPr="00336B41">
        <w:rPr>
          <w:rFonts w:ascii="Times New Roman" w:hAnsi="Times New Roman" w:cs="Times New Roman"/>
          <w:i/>
          <w:iCs/>
          <w:sz w:val="24"/>
          <w:szCs w:val="24"/>
        </w:rPr>
        <w:t>Annual Equality Report</w:t>
      </w:r>
      <w:r w:rsidR="00F613D4">
        <w:rPr>
          <w:rFonts w:ascii="Times New Roman" w:hAnsi="Times New Roman" w:cs="Times New Roman"/>
          <w:i/>
          <w:iCs/>
          <w:sz w:val="24"/>
          <w:szCs w:val="24"/>
        </w:rPr>
        <w:t>. pp 20-22</w:t>
      </w:r>
    </w:p>
    <w:p w14:paraId="3E2FF828" w14:textId="77777777" w:rsidR="00F613D4" w:rsidRPr="00336B41" w:rsidRDefault="00F613D4" w:rsidP="00F613D4">
      <w:pPr>
        <w:rPr>
          <w:rFonts w:ascii="Times New Roman" w:hAnsi="Times New Roman" w:cs="Times New Roman"/>
          <w:sz w:val="24"/>
          <w:szCs w:val="24"/>
        </w:rPr>
      </w:pPr>
    </w:p>
    <w:p w14:paraId="292B97CD" w14:textId="77777777" w:rsidR="00F613D4" w:rsidRDefault="00336B41" w:rsidP="00F613D4">
      <w:pPr>
        <w:rPr>
          <w:rFonts w:ascii="Times New Roman" w:hAnsi="Times New Roman" w:cs="Times New Roman"/>
          <w:sz w:val="24"/>
          <w:szCs w:val="24"/>
        </w:rPr>
      </w:pPr>
      <w:r w:rsidRPr="00336B41">
        <w:rPr>
          <w:rFonts w:ascii="Times New Roman" w:hAnsi="Times New Roman" w:cs="Times New Roman"/>
          <w:sz w:val="24"/>
          <w:szCs w:val="24"/>
        </w:rPr>
        <w:t xml:space="preserve">Harding, S. (2014). Policing Youth Violence: Transatlantic Connections. by Ross Deuchar (London: IOE Press, 2013, 244pp., £26.99). </w:t>
      </w:r>
      <w:r w:rsidRPr="00336B41">
        <w:rPr>
          <w:rFonts w:ascii="Times New Roman" w:hAnsi="Times New Roman" w:cs="Times New Roman"/>
          <w:i/>
          <w:iCs/>
          <w:sz w:val="24"/>
          <w:szCs w:val="24"/>
        </w:rPr>
        <w:t>British Journal of Criminology</w:t>
      </w:r>
      <w:r w:rsidRPr="00336B41">
        <w:rPr>
          <w:rFonts w:ascii="Times New Roman" w:hAnsi="Times New Roman" w:cs="Times New Roman"/>
          <w:sz w:val="24"/>
          <w:szCs w:val="24"/>
        </w:rPr>
        <w:t xml:space="preserve">, 55(2), pp.423–427. </w:t>
      </w:r>
      <w:r w:rsidR="00F613D4" w:rsidRPr="00336B41">
        <w:rPr>
          <w:rFonts w:ascii="Times New Roman" w:hAnsi="Times New Roman" w:cs="Times New Roman"/>
          <w:sz w:val="24"/>
          <w:szCs w:val="24"/>
        </w:rPr>
        <w:t xml:space="preserve">Policing in Northern Ireland. </w:t>
      </w:r>
      <w:r w:rsidR="00F613D4" w:rsidRPr="00336B41">
        <w:rPr>
          <w:rFonts w:ascii="Times New Roman" w:hAnsi="Times New Roman" w:cs="Times New Roman"/>
          <w:i/>
          <w:iCs/>
          <w:sz w:val="24"/>
          <w:szCs w:val="24"/>
        </w:rPr>
        <w:t>Youth Justice</w:t>
      </w:r>
      <w:r w:rsidR="00F613D4" w:rsidRPr="00336B41">
        <w:rPr>
          <w:rFonts w:ascii="Times New Roman" w:hAnsi="Times New Roman" w:cs="Times New Roman"/>
          <w:sz w:val="24"/>
          <w:szCs w:val="24"/>
        </w:rPr>
        <w:t xml:space="preserve">. </w:t>
      </w:r>
    </w:p>
    <w:p w14:paraId="6A463B6D" w14:textId="3C127D94" w:rsidR="00336B41" w:rsidRDefault="00F613D4" w:rsidP="00F613D4">
      <w:pPr>
        <w:rPr>
          <w:rFonts w:ascii="Times New Roman" w:hAnsi="Times New Roman" w:cs="Times New Roman"/>
          <w:sz w:val="24"/>
          <w:szCs w:val="24"/>
        </w:rPr>
      </w:pPr>
      <w:r>
        <w:rPr>
          <w:rFonts w:ascii="Times New Roman" w:hAnsi="Times New Roman" w:cs="Times New Roman"/>
          <w:sz w:val="24"/>
          <w:szCs w:val="24"/>
        </w:rPr>
        <w:t xml:space="preserve">Available at: </w:t>
      </w:r>
      <w:r w:rsidRPr="00336B41">
        <w:rPr>
          <w:rFonts w:ascii="Times New Roman" w:hAnsi="Times New Roman" w:cs="Times New Roman"/>
          <w:sz w:val="24"/>
          <w:szCs w:val="24"/>
        </w:rPr>
        <w:t>https://doi.org/10.1093/bjc/azu068</w:t>
      </w:r>
      <w:r w:rsidR="00336B41" w:rsidRPr="00336B41">
        <w:rPr>
          <w:rFonts w:ascii="Times New Roman" w:hAnsi="Times New Roman" w:cs="Times New Roman"/>
          <w:sz w:val="24"/>
          <w:szCs w:val="24"/>
        </w:rPr>
        <w:t>.</w:t>
      </w:r>
    </w:p>
    <w:p w14:paraId="1717AF3F" w14:textId="77777777" w:rsidR="00F613D4" w:rsidRPr="00336B41" w:rsidRDefault="00F613D4" w:rsidP="00F613D4">
      <w:pPr>
        <w:rPr>
          <w:rFonts w:ascii="Times New Roman" w:hAnsi="Times New Roman" w:cs="Times New Roman"/>
          <w:sz w:val="24"/>
          <w:szCs w:val="24"/>
        </w:rPr>
      </w:pPr>
    </w:p>
    <w:p w14:paraId="2362B7D7" w14:textId="3A55F60C" w:rsidR="00336B41" w:rsidRDefault="00336B41" w:rsidP="00F613D4">
      <w:pPr>
        <w:rPr>
          <w:rFonts w:ascii="Times New Roman" w:hAnsi="Times New Roman" w:cs="Times New Roman"/>
          <w:sz w:val="24"/>
          <w:szCs w:val="24"/>
        </w:rPr>
      </w:pPr>
      <w:r w:rsidRPr="00336B41">
        <w:rPr>
          <w:rFonts w:ascii="Times New Roman" w:hAnsi="Times New Roman" w:cs="Times New Roman"/>
          <w:sz w:val="24"/>
          <w:szCs w:val="24"/>
        </w:rPr>
        <w:t xml:space="preserve">HM Government (2008). </w:t>
      </w:r>
      <w:r w:rsidRPr="00336B41">
        <w:rPr>
          <w:rFonts w:ascii="Times New Roman" w:hAnsi="Times New Roman" w:cs="Times New Roman"/>
          <w:i/>
          <w:iCs/>
          <w:sz w:val="24"/>
          <w:szCs w:val="24"/>
        </w:rPr>
        <w:t>Working Together to Cut Crime and Deliver Justice a Strategic Plan for HM Government</w:t>
      </w:r>
      <w:r w:rsidRPr="00336B41">
        <w:rPr>
          <w:rFonts w:ascii="Times New Roman" w:hAnsi="Times New Roman" w:cs="Times New Roman"/>
          <w:sz w:val="24"/>
          <w:szCs w:val="24"/>
        </w:rPr>
        <w:t>. Available at:</w:t>
      </w:r>
      <w:r w:rsidR="00F613D4">
        <w:rPr>
          <w:rFonts w:ascii="Times New Roman" w:hAnsi="Times New Roman" w:cs="Times New Roman"/>
          <w:sz w:val="24"/>
          <w:szCs w:val="24"/>
        </w:rPr>
        <w:t xml:space="preserve"> </w:t>
      </w:r>
      <w:r w:rsidR="00F613D4" w:rsidRPr="00336B41">
        <w:rPr>
          <w:rFonts w:ascii="Times New Roman" w:hAnsi="Times New Roman" w:cs="Times New Roman"/>
          <w:sz w:val="24"/>
          <w:szCs w:val="24"/>
        </w:rPr>
        <w:t>https://assets.publishing.service.gov.uk/media/5a7c68c340f0b62aff6c1776/7247.pdf</w:t>
      </w:r>
      <w:r w:rsidRPr="00336B41">
        <w:rPr>
          <w:rFonts w:ascii="Times New Roman" w:hAnsi="Times New Roman" w:cs="Times New Roman"/>
          <w:sz w:val="24"/>
          <w:szCs w:val="24"/>
        </w:rPr>
        <w:t>.</w:t>
      </w:r>
    </w:p>
    <w:p w14:paraId="4132894C" w14:textId="77777777" w:rsidR="00F613D4" w:rsidRPr="00336B41" w:rsidRDefault="00F613D4" w:rsidP="00F613D4">
      <w:pPr>
        <w:rPr>
          <w:rFonts w:ascii="Times New Roman" w:hAnsi="Times New Roman" w:cs="Times New Roman"/>
          <w:sz w:val="24"/>
          <w:szCs w:val="24"/>
        </w:rPr>
      </w:pPr>
    </w:p>
    <w:p w14:paraId="1D337485" w14:textId="5DE89AA0" w:rsidR="00336B41" w:rsidRDefault="00336B41" w:rsidP="00F613D4">
      <w:pPr>
        <w:rPr>
          <w:rFonts w:ascii="Times New Roman" w:hAnsi="Times New Roman" w:cs="Times New Roman"/>
          <w:sz w:val="24"/>
          <w:szCs w:val="24"/>
        </w:rPr>
      </w:pPr>
      <w:r w:rsidRPr="00336B41">
        <w:rPr>
          <w:rFonts w:ascii="Times New Roman" w:hAnsi="Times New Roman" w:cs="Times New Roman"/>
          <w:sz w:val="24"/>
          <w:szCs w:val="24"/>
        </w:rPr>
        <w:t xml:space="preserve">HMICFRS (2020). </w:t>
      </w:r>
      <w:r w:rsidRPr="00336B41">
        <w:rPr>
          <w:rFonts w:ascii="Times New Roman" w:hAnsi="Times New Roman" w:cs="Times New Roman"/>
          <w:i/>
          <w:iCs/>
          <w:sz w:val="24"/>
          <w:szCs w:val="24"/>
        </w:rPr>
        <w:t>HM Inspectorate of Constabulary and Fire &amp; Rescue Services</w:t>
      </w:r>
      <w:r w:rsidRPr="00336B41">
        <w:rPr>
          <w:rFonts w:ascii="Times New Roman" w:hAnsi="Times New Roman" w:cs="Times New Roman"/>
          <w:sz w:val="24"/>
          <w:szCs w:val="24"/>
        </w:rPr>
        <w:t xml:space="preserve">. GOV.UK. Available at: </w:t>
      </w:r>
      <w:r w:rsidR="00F613D4" w:rsidRPr="00336B41">
        <w:rPr>
          <w:rFonts w:ascii="Times New Roman" w:hAnsi="Times New Roman" w:cs="Times New Roman"/>
          <w:sz w:val="24"/>
          <w:szCs w:val="24"/>
        </w:rPr>
        <w:t>https://www.gov.uk/government/organisations/hm-inspectorate-of-constabulary-and-fire-rescue-services</w:t>
      </w:r>
      <w:r w:rsidRPr="00336B41">
        <w:rPr>
          <w:rFonts w:ascii="Times New Roman" w:hAnsi="Times New Roman" w:cs="Times New Roman"/>
          <w:sz w:val="24"/>
          <w:szCs w:val="24"/>
        </w:rPr>
        <w:t>.</w:t>
      </w:r>
    </w:p>
    <w:p w14:paraId="662CD036" w14:textId="77777777" w:rsidR="00F613D4" w:rsidRPr="00336B41" w:rsidRDefault="00F613D4" w:rsidP="00F613D4">
      <w:pPr>
        <w:rPr>
          <w:rFonts w:ascii="Times New Roman" w:hAnsi="Times New Roman" w:cs="Times New Roman"/>
          <w:sz w:val="24"/>
          <w:szCs w:val="24"/>
        </w:rPr>
      </w:pPr>
    </w:p>
    <w:p w14:paraId="5A09DBBF" w14:textId="3F80D207" w:rsidR="00336B41" w:rsidRDefault="00336B41" w:rsidP="00F613D4">
      <w:pPr>
        <w:rPr>
          <w:rFonts w:ascii="Times New Roman" w:hAnsi="Times New Roman" w:cs="Times New Roman"/>
          <w:sz w:val="24"/>
          <w:szCs w:val="24"/>
        </w:rPr>
      </w:pPr>
      <w:r w:rsidRPr="00336B41">
        <w:rPr>
          <w:rFonts w:ascii="Times New Roman" w:hAnsi="Times New Roman" w:cs="Times New Roman"/>
          <w:sz w:val="24"/>
          <w:szCs w:val="24"/>
        </w:rPr>
        <w:t xml:space="preserve">Hosker, S. (2025). </w:t>
      </w:r>
      <w:r w:rsidRPr="00336B41">
        <w:rPr>
          <w:rFonts w:ascii="Times New Roman" w:hAnsi="Times New Roman" w:cs="Times New Roman"/>
          <w:i/>
          <w:iCs/>
          <w:sz w:val="24"/>
          <w:szCs w:val="24"/>
        </w:rPr>
        <w:t>Art Dealer Jailed for Terrorism Offence</w:t>
      </w:r>
      <w:r w:rsidRPr="00336B41">
        <w:rPr>
          <w:rFonts w:ascii="Times New Roman" w:hAnsi="Times New Roman" w:cs="Times New Roman"/>
          <w:sz w:val="24"/>
          <w:szCs w:val="24"/>
        </w:rPr>
        <w:t>. Counter Terrorism Policing. Available at: https://www.counterterrorism.police.uk/art-dealer-jailed-for-terrorism-offence/ [Accessed 21 Jul. 2025].</w:t>
      </w:r>
    </w:p>
    <w:p w14:paraId="24A8EF35" w14:textId="77777777" w:rsidR="00F613D4" w:rsidRPr="00336B41" w:rsidRDefault="00F613D4" w:rsidP="00F613D4">
      <w:pPr>
        <w:rPr>
          <w:rFonts w:ascii="Times New Roman" w:hAnsi="Times New Roman" w:cs="Times New Roman"/>
          <w:sz w:val="24"/>
          <w:szCs w:val="24"/>
        </w:rPr>
      </w:pPr>
    </w:p>
    <w:p w14:paraId="55A3C0C2" w14:textId="77777777" w:rsidR="00F613D4" w:rsidRDefault="00336B41" w:rsidP="00F613D4">
      <w:pPr>
        <w:rPr>
          <w:rFonts w:ascii="Times New Roman" w:hAnsi="Times New Roman" w:cs="Times New Roman"/>
          <w:sz w:val="24"/>
          <w:szCs w:val="24"/>
        </w:rPr>
      </w:pPr>
      <w:r w:rsidRPr="00336B41">
        <w:rPr>
          <w:rFonts w:ascii="Times New Roman" w:hAnsi="Times New Roman" w:cs="Times New Roman"/>
          <w:sz w:val="24"/>
          <w:szCs w:val="24"/>
        </w:rPr>
        <w:t xml:space="preserve">Innes, M. (2006). Policing Uncertainty: Countering Terror through Community Intelligence and Democratic Policing. </w:t>
      </w:r>
      <w:r w:rsidRPr="00336B41">
        <w:rPr>
          <w:rFonts w:ascii="Times New Roman" w:hAnsi="Times New Roman" w:cs="Times New Roman"/>
          <w:i/>
          <w:iCs/>
          <w:sz w:val="24"/>
          <w:szCs w:val="24"/>
        </w:rPr>
        <w:t>The ANNALS of the American Academy of Political and Social Science</w:t>
      </w:r>
      <w:r w:rsidRPr="00336B41">
        <w:rPr>
          <w:rFonts w:ascii="Times New Roman" w:hAnsi="Times New Roman" w:cs="Times New Roman"/>
          <w:sz w:val="24"/>
          <w:szCs w:val="24"/>
        </w:rPr>
        <w:t xml:space="preserve">, 605(1), pp.222–241. </w:t>
      </w:r>
      <w:r w:rsidR="00F613D4" w:rsidRPr="00336B41">
        <w:rPr>
          <w:rFonts w:ascii="Times New Roman" w:hAnsi="Times New Roman" w:cs="Times New Roman"/>
          <w:sz w:val="24"/>
          <w:szCs w:val="24"/>
        </w:rPr>
        <w:t xml:space="preserve">Policing in Northern Ireland. </w:t>
      </w:r>
      <w:r w:rsidR="00F613D4" w:rsidRPr="00336B41">
        <w:rPr>
          <w:rFonts w:ascii="Times New Roman" w:hAnsi="Times New Roman" w:cs="Times New Roman"/>
          <w:i/>
          <w:iCs/>
          <w:sz w:val="24"/>
          <w:szCs w:val="24"/>
        </w:rPr>
        <w:t>Youth Justice</w:t>
      </w:r>
      <w:r w:rsidR="00F613D4" w:rsidRPr="00336B41">
        <w:rPr>
          <w:rFonts w:ascii="Times New Roman" w:hAnsi="Times New Roman" w:cs="Times New Roman"/>
          <w:sz w:val="24"/>
          <w:szCs w:val="24"/>
        </w:rPr>
        <w:t xml:space="preserve">. </w:t>
      </w:r>
    </w:p>
    <w:p w14:paraId="47400886" w14:textId="170CAF94" w:rsidR="00336B41" w:rsidRDefault="00F613D4" w:rsidP="00F613D4">
      <w:pPr>
        <w:rPr>
          <w:rFonts w:ascii="Times New Roman" w:hAnsi="Times New Roman" w:cs="Times New Roman"/>
          <w:sz w:val="24"/>
          <w:szCs w:val="24"/>
        </w:rPr>
      </w:pPr>
      <w:r>
        <w:rPr>
          <w:rFonts w:ascii="Times New Roman" w:hAnsi="Times New Roman" w:cs="Times New Roman"/>
          <w:sz w:val="24"/>
          <w:szCs w:val="24"/>
        </w:rPr>
        <w:t xml:space="preserve">Available at: </w:t>
      </w:r>
      <w:r w:rsidRPr="00336B41">
        <w:rPr>
          <w:rFonts w:ascii="Times New Roman" w:hAnsi="Times New Roman" w:cs="Times New Roman"/>
          <w:sz w:val="24"/>
          <w:szCs w:val="24"/>
        </w:rPr>
        <w:t>https://doi.org/10.1177/0002716206287118</w:t>
      </w:r>
      <w:r w:rsidR="00336B41" w:rsidRPr="00336B41">
        <w:rPr>
          <w:rFonts w:ascii="Times New Roman" w:hAnsi="Times New Roman" w:cs="Times New Roman"/>
          <w:sz w:val="24"/>
          <w:szCs w:val="24"/>
        </w:rPr>
        <w:t>.</w:t>
      </w:r>
    </w:p>
    <w:p w14:paraId="0BF3644A" w14:textId="77777777" w:rsidR="00F613D4" w:rsidRPr="00336B41" w:rsidRDefault="00F613D4" w:rsidP="00F613D4">
      <w:pPr>
        <w:rPr>
          <w:rFonts w:ascii="Times New Roman" w:hAnsi="Times New Roman" w:cs="Times New Roman"/>
          <w:sz w:val="24"/>
          <w:szCs w:val="24"/>
        </w:rPr>
      </w:pPr>
    </w:p>
    <w:p w14:paraId="7E93EA39" w14:textId="63316254" w:rsidR="00336B41" w:rsidRDefault="00336B41" w:rsidP="00F613D4">
      <w:pPr>
        <w:rPr>
          <w:rFonts w:ascii="Times New Roman" w:hAnsi="Times New Roman" w:cs="Times New Roman"/>
          <w:sz w:val="24"/>
          <w:szCs w:val="24"/>
        </w:rPr>
      </w:pPr>
      <w:r w:rsidRPr="00336B41">
        <w:rPr>
          <w:rFonts w:ascii="Times New Roman" w:hAnsi="Times New Roman" w:cs="Times New Roman"/>
          <w:sz w:val="24"/>
          <w:szCs w:val="24"/>
        </w:rPr>
        <w:t xml:space="preserve">Levitt, M. (2013). </w:t>
      </w:r>
      <w:r w:rsidRPr="00336B41">
        <w:rPr>
          <w:rFonts w:ascii="Times New Roman" w:hAnsi="Times New Roman" w:cs="Times New Roman"/>
          <w:i/>
          <w:iCs/>
          <w:sz w:val="24"/>
          <w:szCs w:val="24"/>
        </w:rPr>
        <w:t xml:space="preserve">Hezbollah: </w:t>
      </w:r>
      <w:r w:rsidR="00F613D4" w:rsidRPr="00336B41">
        <w:rPr>
          <w:rFonts w:ascii="Times New Roman" w:hAnsi="Times New Roman" w:cs="Times New Roman"/>
          <w:i/>
          <w:iCs/>
          <w:sz w:val="24"/>
          <w:szCs w:val="24"/>
        </w:rPr>
        <w:t>The</w:t>
      </w:r>
      <w:r w:rsidRPr="00336B41">
        <w:rPr>
          <w:rFonts w:ascii="Times New Roman" w:hAnsi="Times New Roman" w:cs="Times New Roman"/>
          <w:i/>
          <w:iCs/>
          <w:sz w:val="24"/>
          <w:szCs w:val="24"/>
        </w:rPr>
        <w:t xml:space="preserve"> Global Footprint of Lebanon’s Party of God</w:t>
      </w:r>
      <w:r w:rsidRPr="00336B41">
        <w:rPr>
          <w:rFonts w:ascii="Times New Roman" w:hAnsi="Times New Roman" w:cs="Times New Roman"/>
          <w:sz w:val="24"/>
          <w:szCs w:val="24"/>
        </w:rPr>
        <w:t xml:space="preserve">. The Washington Institute. Available at: </w:t>
      </w:r>
      <w:r w:rsidR="00F613D4" w:rsidRPr="00336B41">
        <w:rPr>
          <w:rFonts w:ascii="Times New Roman" w:hAnsi="Times New Roman" w:cs="Times New Roman"/>
          <w:sz w:val="24"/>
          <w:szCs w:val="24"/>
        </w:rPr>
        <w:t>https://www.washingtoninstitute.org/policy-analysis/hezbollah-global-footprint-lebanons-party-god</w:t>
      </w:r>
      <w:r w:rsidRPr="00336B41">
        <w:rPr>
          <w:rFonts w:ascii="Times New Roman" w:hAnsi="Times New Roman" w:cs="Times New Roman"/>
          <w:sz w:val="24"/>
          <w:szCs w:val="24"/>
        </w:rPr>
        <w:t>.</w:t>
      </w:r>
    </w:p>
    <w:p w14:paraId="78A0E2E8" w14:textId="77777777" w:rsidR="00F613D4" w:rsidRPr="00336B41" w:rsidRDefault="00F613D4" w:rsidP="00F613D4">
      <w:pPr>
        <w:rPr>
          <w:rFonts w:ascii="Times New Roman" w:hAnsi="Times New Roman" w:cs="Times New Roman"/>
          <w:sz w:val="24"/>
          <w:szCs w:val="24"/>
        </w:rPr>
      </w:pPr>
    </w:p>
    <w:p w14:paraId="7D657201" w14:textId="10FDB8FB" w:rsidR="00F613D4" w:rsidRPr="00336B41" w:rsidRDefault="00336B41" w:rsidP="00F613D4">
      <w:pPr>
        <w:rPr>
          <w:rFonts w:ascii="Times New Roman" w:hAnsi="Times New Roman" w:cs="Times New Roman"/>
          <w:sz w:val="24"/>
          <w:szCs w:val="24"/>
        </w:rPr>
      </w:pPr>
      <w:r w:rsidRPr="00336B41">
        <w:rPr>
          <w:rFonts w:ascii="Times New Roman" w:hAnsi="Times New Roman" w:cs="Times New Roman"/>
          <w:sz w:val="24"/>
          <w:szCs w:val="24"/>
        </w:rPr>
        <w:t xml:space="preserve">Longstaff, A., Willer, J., Chapman, J., Czarnomski, S. and Graham, J. (2015). </w:t>
      </w:r>
      <w:r w:rsidRPr="00336B41">
        <w:rPr>
          <w:rFonts w:ascii="Times New Roman" w:hAnsi="Times New Roman" w:cs="Times New Roman"/>
          <w:i/>
          <w:iCs/>
          <w:sz w:val="24"/>
          <w:szCs w:val="24"/>
        </w:rPr>
        <w:t>Neighbourhood policing: Past, Present and Future a Review of the Literature</w:t>
      </w:r>
      <w:r w:rsidRPr="00336B41">
        <w:rPr>
          <w:rFonts w:ascii="Times New Roman" w:hAnsi="Times New Roman" w:cs="Times New Roman"/>
          <w:sz w:val="24"/>
          <w:szCs w:val="24"/>
        </w:rPr>
        <w:t xml:space="preserve">. Available at: </w:t>
      </w:r>
      <w:r w:rsidR="00F613D4" w:rsidRPr="00336B41">
        <w:rPr>
          <w:rFonts w:ascii="Times New Roman" w:hAnsi="Times New Roman" w:cs="Times New Roman"/>
          <w:sz w:val="24"/>
          <w:szCs w:val="24"/>
        </w:rPr>
        <w:t>https://police-foundation.org.uk/wp-content/uploads/2017/06/neighbourhood_policing_past_present_future.pdf</w:t>
      </w:r>
    </w:p>
    <w:p w14:paraId="60753899" w14:textId="77777777" w:rsidR="00FE3DA4" w:rsidRDefault="00336B41" w:rsidP="00FE3DA4">
      <w:pPr>
        <w:rPr>
          <w:rFonts w:ascii="Times New Roman" w:hAnsi="Times New Roman" w:cs="Times New Roman"/>
          <w:sz w:val="24"/>
          <w:szCs w:val="24"/>
        </w:rPr>
      </w:pPr>
      <w:r w:rsidRPr="00336B41">
        <w:rPr>
          <w:rFonts w:ascii="Times New Roman" w:hAnsi="Times New Roman" w:cs="Times New Roman"/>
          <w:sz w:val="24"/>
          <w:szCs w:val="24"/>
        </w:rPr>
        <w:t xml:space="preserve">Lum, C., Kennedy, L.W. and Sherley, A.J. (2006). The Effectiveness of Counter-Terrorism Strategies. </w:t>
      </w:r>
      <w:r w:rsidRPr="00336B41">
        <w:rPr>
          <w:rFonts w:ascii="Times New Roman" w:hAnsi="Times New Roman" w:cs="Times New Roman"/>
          <w:i/>
          <w:iCs/>
          <w:sz w:val="24"/>
          <w:szCs w:val="24"/>
        </w:rPr>
        <w:t>Campbell Systematic Reviews</w:t>
      </w:r>
      <w:r w:rsidRPr="00336B41">
        <w:rPr>
          <w:rFonts w:ascii="Times New Roman" w:hAnsi="Times New Roman" w:cs="Times New Roman"/>
          <w:sz w:val="24"/>
          <w:szCs w:val="24"/>
        </w:rPr>
        <w:t xml:space="preserve">, 2(1), pp.1–50. </w:t>
      </w:r>
      <w:r w:rsidR="00FE3DA4" w:rsidRPr="00336B41">
        <w:rPr>
          <w:rFonts w:ascii="Times New Roman" w:hAnsi="Times New Roman" w:cs="Times New Roman"/>
          <w:sz w:val="24"/>
          <w:szCs w:val="24"/>
        </w:rPr>
        <w:t xml:space="preserve">Policing in Northern Ireland. </w:t>
      </w:r>
      <w:r w:rsidR="00FE3DA4" w:rsidRPr="00336B41">
        <w:rPr>
          <w:rFonts w:ascii="Times New Roman" w:hAnsi="Times New Roman" w:cs="Times New Roman"/>
          <w:i/>
          <w:iCs/>
          <w:sz w:val="24"/>
          <w:szCs w:val="24"/>
        </w:rPr>
        <w:t>Youth Justice</w:t>
      </w:r>
      <w:r w:rsidR="00FE3DA4" w:rsidRPr="00336B41">
        <w:rPr>
          <w:rFonts w:ascii="Times New Roman" w:hAnsi="Times New Roman" w:cs="Times New Roman"/>
          <w:sz w:val="24"/>
          <w:szCs w:val="24"/>
        </w:rPr>
        <w:t xml:space="preserve">. </w:t>
      </w:r>
    </w:p>
    <w:p w14:paraId="4DD9F59E" w14:textId="157318F2" w:rsidR="00336B41" w:rsidRDefault="00FE3DA4" w:rsidP="00FE3DA4">
      <w:pPr>
        <w:rPr>
          <w:rFonts w:ascii="Times New Roman" w:hAnsi="Times New Roman" w:cs="Times New Roman"/>
          <w:sz w:val="24"/>
          <w:szCs w:val="24"/>
        </w:rPr>
      </w:pPr>
      <w:r>
        <w:rPr>
          <w:rFonts w:ascii="Times New Roman" w:hAnsi="Times New Roman" w:cs="Times New Roman"/>
          <w:sz w:val="24"/>
          <w:szCs w:val="24"/>
        </w:rPr>
        <w:t xml:space="preserve">Available at: </w:t>
      </w:r>
      <w:r w:rsidRPr="00336B41">
        <w:rPr>
          <w:rFonts w:ascii="Times New Roman" w:hAnsi="Times New Roman" w:cs="Times New Roman"/>
          <w:sz w:val="24"/>
          <w:szCs w:val="24"/>
        </w:rPr>
        <w:t>https://doi.org/10.4073/csr.2006.2</w:t>
      </w:r>
      <w:r w:rsidR="00336B41" w:rsidRPr="00336B41">
        <w:rPr>
          <w:rFonts w:ascii="Times New Roman" w:hAnsi="Times New Roman" w:cs="Times New Roman"/>
          <w:sz w:val="24"/>
          <w:szCs w:val="24"/>
        </w:rPr>
        <w:t>.</w:t>
      </w:r>
    </w:p>
    <w:p w14:paraId="15ADB811" w14:textId="77777777" w:rsidR="00FE3DA4" w:rsidRPr="00336B41" w:rsidRDefault="00FE3DA4" w:rsidP="00FE3DA4">
      <w:pPr>
        <w:rPr>
          <w:rFonts w:ascii="Times New Roman" w:hAnsi="Times New Roman" w:cs="Times New Roman"/>
          <w:sz w:val="24"/>
          <w:szCs w:val="24"/>
        </w:rPr>
      </w:pPr>
    </w:p>
    <w:p w14:paraId="3DB09966" w14:textId="5F100B71" w:rsidR="00336B41" w:rsidRDefault="00336B41" w:rsidP="00F613D4">
      <w:pPr>
        <w:rPr>
          <w:rFonts w:ascii="Times New Roman" w:hAnsi="Times New Roman" w:cs="Times New Roman"/>
          <w:sz w:val="24"/>
          <w:szCs w:val="24"/>
        </w:rPr>
      </w:pPr>
      <w:r w:rsidRPr="00336B41">
        <w:rPr>
          <w:rFonts w:ascii="Times New Roman" w:hAnsi="Times New Roman" w:cs="Times New Roman"/>
          <w:sz w:val="24"/>
          <w:szCs w:val="24"/>
        </w:rPr>
        <w:t xml:space="preserve">Macpherson (1999). </w:t>
      </w:r>
      <w:r w:rsidRPr="00336B41">
        <w:rPr>
          <w:rFonts w:ascii="Times New Roman" w:hAnsi="Times New Roman" w:cs="Times New Roman"/>
          <w:i/>
          <w:iCs/>
          <w:sz w:val="24"/>
          <w:szCs w:val="24"/>
        </w:rPr>
        <w:t>The Stephen Lawrence Inquiry</w:t>
      </w:r>
      <w:r w:rsidRPr="00336B41">
        <w:rPr>
          <w:rFonts w:ascii="Times New Roman" w:hAnsi="Times New Roman" w:cs="Times New Roman"/>
          <w:sz w:val="24"/>
          <w:szCs w:val="24"/>
        </w:rPr>
        <w:t xml:space="preserve">. GOV.UK. Available at: </w:t>
      </w:r>
      <w:r w:rsidR="00FE3DA4" w:rsidRPr="00336B41">
        <w:rPr>
          <w:rFonts w:ascii="Times New Roman" w:hAnsi="Times New Roman" w:cs="Times New Roman"/>
          <w:sz w:val="24"/>
          <w:szCs w:val="24"/>
        </w:rPr>
        <w:t>https://www.gov.uk/government/publications/the-stephen-lawrence-inquiry</w:t>
      </w:r>
      <w:r w:rsidRPr="00336B41">
        <w:rPr>
          <w:rFonts w:ascii="Times New Roman" w:hAnsi="Times New Roman" w:cs="Times New Roman"/>
          <w:sz w:val="24"/>
          <w:szCs w:val="24"/>
        </w:rPr>
        <w:t>.</w:t>
      </w:r>
    </w:p>
    <w:p w14:paraId="2E2D1AE1" w14:textId="77777777" w:rsidR="00FE3DA4" w:rsidRPr="00336B41" w:rsidRDefault="00FE3DA4" w:rsidP="00F613D4">
      <w:pPr>
        <w:rPr>
          <w:rFonts w:ascii="Times New Roman" w:hAnsi="Times New Roman" w:cs="Times New Roman"/>
          <w:sz w:val="24"/>
          <w:szCs w:val="24"/>
        </w:rPr>
      </w:pPr>
    </w:p>
    <w:p w14:paraId="441618AD" w14:textId="77777777" w:rsidR="00FE3DA4" w:rsidRDefault="00336B41" w:rsidP="00F613D4">
      <w:pPr>
        <w:rPr>
          <w:rFonts w:ascii="Times New Roman" w:hAnsi="Times New Roman" w:cs="Times New Roman"/>
          <w:sz w:val="24"/>
          <w:szCs w:val="24"/>
        </w:rPr>
      </w:pPr>
      <w:r w:rsidRPr="00336B41">
        <w:rPr>
          <w:rFonts w:ascii="Times New Roman" w:hAnsi="Times New Roman" w:cs="Times New Roman"/>
          <w:sz w:val="24"/>
          <w:szCs w:val="24"/>
        </w:rPr>
        <w:t xml:space="preserve">Makarenko, T. (2004). The Crime-Terror Continuum: Tracing the Interplay between Transnational Organised Crime and Terrorism. </w:t>
      </w:r>
      <w:r w:rsidRPr="00336B41">
        <w:rPr>
          <w:rFonts w:ascii="Times New Roman" w:hAnsi="Times New Roman" w:cs="Times New Roman"/>
          <w:i/>
          <w:iCs/>
          <w:sz w:val="24"/>
          <w:szCs w:val="24"/>
        </w:rPr>
        <w:t>Global Crime</w:t>
      </w:r>
      <w:r w:rsidRPr="00336B41">
        <w:rPr>
          <w:rFonts w:ascii="Times New Roman" w:hAnsi="Times New Roman" w:cs="Times New Roman"/>
          <w:sz w:val="24"/>
          <w:szCs w:val="24"/>
        </w:rPr>
        <w:t xml:space="preserve">, 6(1), pp.129–145. </w:t>
      </w:r>
    </w:p>
    <w:p w14:paraId="3AF9A038" w14:textId="1C158D82" w:rsidR="00336B41" w:rsidRDefault="00336B41" w:rsidP="00F613D4">
      <w:pPr>
        <w:rPr>
          <w:rFonts w:ascii="Times New Roman" w:hAnsi="Times New Roman" w:cs="Times New Roman"/>
          <w:sz w:val="24"/>
          <w:szCs w:val="24"/>
        </w:rPr>
      </w:pPr>
      <w:r w:rsidRPr="00336B41">
        <w:rPr>
          <w:rFonts w:ascii="Times New Roman" w:hAnsi="Times New Roman" w:cs="Times New Roman"/>
          <w:sz w:val="24"/>
          <w:szCs w:val="24"/>
        </w:rPr>
        <w:t xml:space="preserve">Available at: </w:t>
      </w:r>
      <w:r w:rsidR="00FE3DA4" w:rsidRPr="00336B41">
        <w:rPr>
          <w:rFonts w:ascii="Times New Roman" w:hAnsi="Times New Roman" w:cs="Times New Roman"/>
          <w:sz w:val="24"/>
          <w:szCs w:val="24"/>
        </w:rPr>
        <w:t>https://www.tandfonline.com/doi/abs/10.1080/1744057042000297025</w:t>
      </w:r>
      <w:r w:rsidRPr="00336B41">
        <w:rPr>
          <w:rFonts w:ascii="Times New Roman" w:hAnsi="Times New Roman" w:cs="Times New Roman"/>
          <w:sz w:val="24"/>
          <w:szCs w:val="24"/>
        </w:rPr>
        <w:t>.</w:t>
      </w:r>
    </w:p>
    <w:p w14:paraId="684FE4FC" w14:textId="77777777" w:rsidR="00FE3DA4" w:rsidRPr="00336B41" w:rsidRDefault="00FE3DA4" w:rsidP="00F613D4">
      <w:pPr>
        <w:rPr>
          <w:rFonts w:ascii="Times New Roman" w:hAnsi="Times New Roman" w:cs="Times New Roman"/>
          <w:sz w:val="24"/>
          <w:szCs w:val="24"/>
        </w:rPr>
      </w:pPr>
    </w:p>
    <w:p w14:paraId="158446BC" w14:textId="48C61AFB" w:rsidR="00336B41" w:rsidRDefault="00336B41" w:rsidP="00F613D4">
      <w:pPr>
        <w:rPr>
          <w:rFonts w:ascii="Times New Roman" w:hAnsi="Times New Roman" w:cs="Times New Roman"/>
          <w:sz w:val="24"/>
          <w:szCs w:val="24"/>
        </w:rPr>
      </w:pPr>
      <w:r w:rsidRPr="00336B41">
        <w:rPr>
          <w:rFonts w:ascii="Times New Roman" w:hAnsi="Times New Roman" w:cs="Times New Roman"/>
          <w:sz w:val="24"/>
          <w:szCs w:val="24"/>
        </w:rPr>
        <w:t xml:space="preserve">Malik, N. (2018). </w:t>
      </w:r>
      <w:r w:rsidRPr="00336B41">
        <w:rPr>
          <w:rFonts w:ascii="Times New Roman" w:hAnsi="Times New Roman" w:cs="Times New Roman"/>
          <w:i/>
          <w:iCs/>
          <w:sz w:val="24"/>
          <w:szCs w:val="24"/>
        </w:rPr>
        <w:t>How Terrorists Use encryption, the darknet, and Cryptocurrencies</w:t>
      </w:r>
      <w:r w:rsidRPr="00336B41">
        <w:rPr>
          <w:rFonts w:ascii="Times New Roman" w:hAnsi="Times New Roman" w:cs="Times New Roman"/>
          <w:sz w:val="24"/>
          <w:szCs w:val="24"/>
        </w:rPr>
        <w:t xml:space="preserve">. [online] The Henry Jackson Society. Available at: </w:t>
      </w:r>
      <w:r w:rsidR="00FE3DA4" w:rsidRPr="00336B41">
        <w:rPr>
          <w:rFonts w:ascii="Times New Roman" w:hAnsi="Times New Roman" w:cs="Times New Roman"/>
          <w:sz w:val="24"/>
          <w:szCs w:val="24"/>
        </w:rPr>
        <w:t>https://henryjacksonsociety.org/wp-content/uploads/2018/04/Terror-in-the-Dark.pdf</w:t>
      </w:r>
      <w:r w:rsidRPr="00336B41">
        <w:rPr>
          <w:rFonts w:ascii="Times New Roman" w:hAnsi="Times New Roman" w:cs="Times New Roman"/>
          <w:sz w:val="24"/>
          <w:szCs w:val="24"/>
        </w:rPr>
        <w:t>.</w:t>
      </w:r>
    </w:p>
    <w:p w14:paraId="68D331FA" w14:textId="77777777" w:rsidR="00FE3DA4" w:rsidRPr="00336B41" w:rsidRDefault="00FE3DA4" w:rsidP="00F613D4">
      <w:pPr>
        <w:rPr>
          <w:rFonts w:ascii="Times New Roman" w:hAnsi="Times New Roman" w:cs="Times New Roman"/>
          <w:sz w:val="24"/>
          <w:szCs w:val="24"/>
        </w:rPr>
      </w:pPr>
    </w:p>
    <w:p w14:paraId="6EEF9623" w14:textId="56004260" w:rsidR="00FE3DA4" w:rsidRDefault="00336B41" w:rsidP="00F613D4">
      <w:pPr>
        <w:rPr>
          <w:rFonts w:ascii="Times New Roman" w:hAnsi="Times New Roman" w:cs="Times New Roman"/>
          <w:sz w:val="24"/>
          <w:szCs w:val="24"/>
        </w:rPr>
      </w:pPr>
      <w:r w:rsidRPr="00336B41">
        <w:rPr>
          <w:rFonts w:ascii="Times New Roman" w:hAnsi="Times New Roman" w:cs="Times New Roman"/>
          <w:sz w:val="24"/>
          <w:szCs w:val="24"/>
        </w:rPr>
        <w:t xml:space="preserve">Mason, L. (2007). </w:t>
      </w:r>
      <w:proofErr w:type="spellStart"/>
      <w:r w:rsidRPr="00336B41">
        <w:rPr>
          <w:rFonts w:ascii="Times New Roman" w:hAnsi="Times New Roman" w:cs="Times New Roman"/>
          <w:sz w:val="24"/>
          <w:szCs w:val="24"/>
        </w:rPr>
        <w:t>Skogan</w:t>
      </w:r>
      <w:proofErr w:type="spellEnd"/>
      <w:r w:rsidRPr="00336B41">
        <w:rPr>
          <w:rFonts w:ascii="Times New Roman" w:hAnsi="Times New Roman" w:cs="Times New Roman"/>
          <w:sz w:val="24"/>
          <w:szCs w:val="24"/>
        </w:rPr>
        <w:t xml:space="preserve">, W. G. (2006). * Police and Community in Chicago; a Tale of Three cities. </w:t>
      </w:r>
      <w:r w:rsidRPr="00336B41">
        <w:rPr>
          <w:rFonts w:ascii="Times New Roman" w:hAnsi="Times New Roman" w:cs="Times New Roman"/>
          <w:i/>
          <w:iCs/>
          <w:sz w:val="24"/>
          <w:szCs w:val="24"/>
        </w:rPr>
        <w:t>Policing</w:t>
      </w:r>
      <w:r w:rsidRPr="00336B41">
        <w:rPr>
          <w:rFonts w:ascii="Times New Roman" w:hAnsi="Times New Roman" w:cs="Times New Roman"/>
          <w:sz w:val="24"/>
          <w:szCs w:val="24"/>
        </w:rPr>
        <w:t>, 1(2), pp.244–245.</w:t>
      </w:r>
      <w:r w:rsidR="00FE3DA4">
        <w:rPr>
          <w:rFonts w:ascii="Times New Roman" w:hAnsi="Times New Roman" w:cs="Times New Roman"/>
          <w:sz w:val="24"/>
          <w:szCs w:val="24"/>
        </w:rPr>
        <w:t xml:space="preserve"> Available at</w:t>
      </w:r>
      <w:r w:rsidRPr="00336B41">
        <w:rPr>
          <w:rFonts w:ascii="Times New Roman" w:hAnsi="Times New Roman" w:cs="Times New Roman"/>
          <w:sz w:val="24"/>
          <w:szCs w:val="24"/>
        </w:rPr>
        <w:t>:</w:t>
      </w:r>
      <w:r w:rsidR="00FE3DA4">
        <w:rPr>
          <w:rFonts w:ascii="Times New Roman" w:hAnsi="Times New Roman" w:cs="Times New Roman"/>
          <w:sz w:val="24"/>
          <w:szCs w:val="24"/>
        </w:rPr>
        <w:t xml:space="preserve"> </w:t>
      </w:r>
      <w:r w:rsidRPr="00336B41">
        <w:rPr>
          <w:rFonts w:ascii="Times New Roman" w:hAnsi="Times New Roman" w:cs="Times New Roman"/>
          <w:sz w:val="24"/>
          <w:szCs w:val="24"/>
        </w:rPr>
        <w:t>https://doi.org/10.1093/police/pam034.</w:t>
      </w:r>
    </w:p>
    <w:p w14:paraId="44BAFD80" w14:textId="77777777" w:rsidR="00FE3DA4" w:rsidRPr="00336B41" w:rsidRDefault="00FE3DA4" w:rsidP="00F613D4">
      <w:pPr>
        <w:rPr>
          <w:rFonts w:ascii="Times New Roman" w:hAnsi="Times New Roman" w:cs="Times New Roman"/>
          <w:sz w:val="24"/>
          <w:szCs w:val="24"/>
        </w:rPr>
      </w:pPr>
    </w:p>
    <w:p w14:paraId="5044BAFF" w14:textId="77777777" w:rsidR="00336B41" w:rsidRDefault="00336B41" w:rsidP="00F613D4">
      <w:pPr>
        <w:rPr>
          <w:rFonts w:ascii="Times New Roman" w:hAnsi="Times New Roman" w:cs="Times New Roman"/>
          <w:sz w:val="24"/>
          <w:szCs w:val="24"/>
        </w:rPr>
      </w:pPr>
      <w:r w:rsidRPr="00336B41">
        <w:rPr>
          <w:rFonts w:ascii="Times New Roman" w:hAnsi="Times New Roman" w:cs="Times New Roman"/>
          <w:sz w:val="24"/>
          <w:szCs w:val="24"/>
        </w:rPr>
        <w:t xml:space="preserve">Omelicheva, M.Y. and Markowitz, L.P. (2021). Rethinking Intersections of Crime and Terrorism: Insights from Political Economies of Violence. </w:t>
      </w:r>
      <w:r w:rsidRPr="00336B41">
        <w:rPr>
          <w:rFonts w:ascii="Times New Roman" w:hAnsi="Times New Roman" w:cs="Times New Roman"/>
          <w:i/>
          <w:iCs/>
          <w:sz w:val="24"/>
          <w:szCs w:val="24"/>
        </w:rPr>
        <w:t>International Studies Review</w:t>
      </w:r>
      <w:r w:rsidRPr="00336B41">
        <w:rPr>
          <w:rFonts w:ascii="Times New Roman" w:hAnsi="Times New Roman" w:cs="Times New Roman"/>
          <w:sz w:val="24"/>
          <w:szCs w:val="24"/>
        </w:rPr>
        <w:t>, 23(4), pp.1541–1565.</w:t>
      </w:r>
    </w:p>
    <w:p w14:paraId="736461D7" w14:textId="77777777" w:rsidR="00FE3DA4" w:rsidRPr="00336B41" w:rsidRDefault="00FE3DA4" w:rsidP="00F613D4">
      <w:pPr>
        <w:rPr>
          <w:rFonts w:ascii="Times New Roman" w:hAnsi="Times New Roman" w:cs="Times New Roman"/>
          <w:sz w:val="24"/>
          <w:szCs w:val="24"/>
        </w:rPr>
      </w:pPr>
    </w:p>
    <w:p w14:paraId="77C6BB0D" w14:textId="6D0A6A5E" w:rsidR="00336B41" w:rsidRPr="00336B41" w:rsidRDefault="00336B41" w:rsidP="00F613D4">
      <w:pPr>
        <w:rPr>
          <w:rFonts w:ascii="Times New Roman" w:hAnsi="Times New Roman" w:cs="Times New Roman"/>
          <w:sz w:val="24"/>
          <w:szCs w:val="24"/>
        </w:rPr>
      </w:pPr>
      <w:r w:rsidRPr="00336B41">
        <w:rPr>
          <w:rFonts w:ascii="Times New Roman" w:hAnsi="Times New Roman" w:cs="Times New Roman"/>
          <w:sz w:val="24"/>
          <w:szCs w:val="24"/>
        </w:rPr>
        <w:t xml:space="preserve">OpenLibrary.org (2025). </w:t>
      </w:r>
      <w:r w:rsidRPr="00336B41">
        <w:rPr>
          <w:rFonts w:ascii="Times New Roman" w:hAnsi="Times New Roman" w:cs="Times New Roman"/>
          <w:i/>
          <w:iCs/>
          <w:sz w:val="24"/>
          <w:szCs w:val="24"/>
        </w:rPr>
        <w:t>Problem-oriented Policing by Herman Goldstein | Open Library</w:t>
      </w:r>
      <w:r w:rsidRPr="00336B41">
        <w:rPr>
          <w:rFonts w:ascii="Times New Roman" w:hAnsi="Times New Roman" w:cs="Times New Roman"/>
          <w:sz w:val="24"/>
          <w:szCs w:val="24"/>
        </w:rPr>
        <w:t>. Open Library. Available at: https://openlibrary.org/books/OL2194663M/Problem-oriented_policing.</w:t>
      </w:r>
    </w:p>
    <w:p w14:paraId="587176CF" w14:textId="77777777" w:rsidR="00FE3DA4" w:rsidRDefault="00FE3DA4" w:rsidP="00F613D4">
      <w:pPr>
        <w:rPr>
          <w:rFonts w:ascii="Times New Roman" w:hAnsi="Times New Roman" w:cs="Times New Roman"/>
          <w:sz w:val="24"/>
          <w:szCs w:val="24"/>
        </w:rPr>
      </w:pPr>
    </w:p>
    <w:p w14:paraId="1E02C993" w14:textId="087D9260" w:rsidR="00336B41" w:rsidRPr="00336B41" w:rsidRDefault="00336B41" w:rsidP="00F613D4">
      <w:pPr>
        <w:rPr>
          <w:rFonts w:ascii="Times New Roman" w:hAnsi="Times New Roman" w:cs="Times New Roman"/>
          <w:sz w:val="24"/>
          <w:szCs w:val="24"/>
        </w:rPr>
      </w:pPr>
      <w:r w:rsidRPr="00336B41">
        <w:rPr>
          <w:rFonts w:ascii="Times New Roman" w:hAnsi="Times New Roman" w:cs="Times New Roman"/>
          <w:sz w:val="24"/>
          <w:szCs w:val="24"/>
        </w:rPr>
        <w:t xml:space="preserve">Petrich, K. (2021). The Crime–Terror Nexus. </w:t>
      </w:r>
      <w:r w:rsidRPr="00336B41">
        <w:rPr>
          <w:rFonts w:ascii="Times New Roman" w:hAnsi="Times New Roman" w:cs="Times New Roman"/>
          <w:i/>
          <w:iCs/>
          <w:sz w:val="24"/>
          <w:szCs w:val="24"/>
        </w:rPr>
        <w:t xml:space="preserve">Oxford Research </w:t>
      </w:r>
      <w:proofErr w:type="spellStart"/>
      <w:r w:rsidRPr="00336B41">
        <w:rPr>
          <w:rFonts w:ascii="Times New Roman" w:hAnsi="Times New Roman" w:cs="Times New Roman"/>
          <w:i/>
          <w:iCs/>
          <w:sz w:val="24"/>
          <w:szCs w:val="24"/>
        </w:rPr>
        <w:t>Encyclopedia</w:t>
      </w:r>
      <w:proofErr w:type="spellEnd"/>
      <w:r w:rsidRPr="00336B41">
        <w:rPr>
          <w:rFonts w:ascii="Times New Roman" w:hAnsi="Times New Roman" w:cs="Times New Roman"/>
          <w:i/>
          <w:iCs/>
          <w:sz w:val="24"/>
          <w:szCs w:val="24"/>
        </w:rPr>
        <w:t xml:space="preserve"> of International Studies</w:t>
      </w:r>
      <w:r w:rsidRPr="00336B41">
        <w:rPr>
          <w:rFonts w:ascii="Times New Roman" w:hAnsi="Times New Roman" w:cs="Times New Roman"/>
          <w:sz w:val="24"/>
          <w:szCs w:val="24"/>
        </w:rPr>
        <w:t xml:space="preserve">. </w:t>
      </w:r>
      <w:r w:rsidR="00FE3DA4">
        <w:rPr>
          <w:rFonts w:ascii="Times New Roman" w:hAnsi="Times New Roman" w:cs="Times New Roman"/>
          <w:sz w:val="24"/>
          <w:szCs w:val="24"/>
        </w:rPr>
        <w:t>Available at</w:t>
      </w:r>
      <w:r w:rsidR="00FE3DA4" w:rsidRPr="00336B41">
        <w:rPr>
          <w:rFonts w:ascii="Times New Roman" w:hAnsi="Times New Roman" w:cs="Times New Roman"/>
          <w:sz w:val="24"/>
          <w:szCs w:val="24"/>
        </w:rPr>
        <w:t>:</w:t>
      </w:r>
      <w:r w:rsidR="00FE3DA4">
        <w:rPr>
          <w:rFonts w:ascii="Times New Roman" w:hAnsi="Times New Roman" w:cs="Times New Roman"/>
          <w:sz w:val="24"/>
          <w:szCs w:val="24"/>
        </w:rPr>
        <w:t xml:space="preserve"> </w:t>
      </w:r>
      <w:r w:rsidRPr="00336B41">
        <w:rPr>
          <w:rFonts w:ascii="Times New Roman" w:hAnsi="Times New Roman" w:cs="Times New Roman"/>
          <w:sz w:val="24"/>
          <w:szCs w:val="24"/>
        </w:rPr>
        <w:t>https://doi.org/10.1093/acrefore/9780190846626.013.608.</w:t>
      </w:r>
    </w:p>
    <w:p w14:paraId="4909922D" w14:textId="77777777" w:rsidR="00FE3DA4" w:rsidRDefault="00FE3DA4" w:rsidP="00F613D4">
      <w:pPr>
        <w:rPr>
          <w:rFonts w:ascii="Times New Roman" w:hAnsi="Times New Roman" w:cs="Times New Roman"/>
          <w:sz w:val="24"/>
          <w:szCs w:val="24"/>
        </w:rPr>
      </w:pPr>
    </w:p>
    <w:p w14:paraId="6BFBDCF3" w14:textId="0F3991B5" w:rsidR="00336B41" w:rsidRPr="00336B41" w:rsidRDefault="00336B41" w:rsidP="00F613D4">
      <w:pPr>
        <w:rPr>
          <w:rFonts w:ascii="Times New Roman" w:hAnsi="Times New Roman" w:cs="Times New Roman"/>
          <w:sz w:val="24"/>
          <w:szCs w:val="24"/>
        </w:rPr>
      </w:pPr>
      <w:r w:rsidRPr="00336B41">
        <w:rPr>
          <w:rFonts w:ascii="Times New Roman" w:hAnsi="Times New Roman" w:cs="Times New Roman"/>
          <w:sz w:val="24"/>
          <w:szCs w:val="24"/>
        </w:rPr>
        <w:lastRenderedPageBreak/>
        <w:t xml:space="preserve">Richer, A.D. and Tucker, E. (2025). </w:t>
      </w:r>
      <w:r w:rsidRPr="00336B41">
        <w:rPr>
          <w:rFonts w:ascii="Times New Roman" w:hAnsi="Times New Roman" w:cs="Times New Roman"/>
          <w:i/>
          <w:iCs/>
          <w:sz w:val="24"/>
          <w:szCs w:val="24"/>
        </w:rPr>
        <w:t>Pam Bondi Announces Terrorism Case against Alleged Tren De Aragua Member</w:t>
      </w:r>
      <w:r w:rsidRPr="00336B41">
        <w:rPr>
          <w:rFonts w:ascii="Times New Roman" w:hAnsi="Times New Roman" w:cs="Times New Roman"/>
          <w:sz w:val="24"/>
          <w:szCs w:val="24"/>
        </w:rPr>
        <w:t>. AP News. Available at: https://apnews.com/article/pam-bondi-terrorism-tda-gang-venezuela-colombia-74d29b4e08e362bceb7439f920290c2d.</w:t>
      </w:r>
    </w:p>
    <w:p w14:paraId="041F549F" w14:textId="77777777" w:rsidR="00FE3DA4" w:rsidRDefault="00FE3DA4" w:rsidP="00F613D4">
      <w:pPr>
        <w:rPr>
          <w:rFonts w:ascii="Times New Roman" w:hAnsi="Times New Roman" w:cs="Times New Roman"/>
          <w:sz w:val="24"/>
          <w:szCs w:val="24"/>
        </w:rPr>
      </w:pPr>
    </w:p>
    <w:p w14:paraId="7D90DC06" w14:textId="77777777" w:rsidR="00FE3DA4" w:rsidRDefault="00FE3DA4" w:rsidP="00F613D4">
      <w:pPr>
        <w:rPr>
          <w:rFonts w:ascii="Times New Roman" w:hAnsi="Times New Roman" w:cs="Times New Roman"/>
          <w:sz w:val="24"/>
          <w:szCs w:val="24"/>
        </w:rPr>
      </w:pPr>
    </w:p>
    <w:p w14:paraId="38583A3C" w14:textId="6A69F2B4" w:rsidR="00336B41" w:rsidRPr="00336B41" w:rsidRDefault="00336B41" w:rsidP="00F613D4">
      <w:pPr>
        <w:rPr>
          <w:rFonts w:ascii="Times New Roman" w:hAnsi="Times New Roman" w:cs="Times New Roman"/>
          <w:sz w:val="24"/>
          <w:szCs w:val="24"/>
        </w:rPr>
      </w:pPr>
      <w:r w:rsidRPr="00336B41">
        <w:rPr>
          <w:rFonts w:ascii="Times New Roman" w:hAnsi="Times New Roman" w:cs="Times New Roman"/>
          <w:sz w:val="24"/>
          <w:szCs w:val="24"/>
        </w:rPr>
        <w:t xml:space="preserve">Shah, S., Rahman, I. and </w:t>
      </w:r>
      <w:proofErr w:type="spellStart"/>
      <w:r w:rsidRPr="00336B41">
        <w:rPr>
          <w:rFonts w:ascii="Times New Roman" w:hAnsi="Times New Roman" w:cs="Times New Roman"/>
          <w:sz w:val="24"/>
          <w:szCs w:val="24"/>
        </w:rPr>
        <w:t>Khashu</w:t>
      </w:r>
      <w:proofErr w:type="spellEnd"/>
      <w:r w:rsidRPr="00336B41">
        <w:rPr>
          <w:rFonts w:ascii="Times New Roman" w:hAnsi="Times New Roman" w:cs="Times New Roman"/>
          <w:sz w:val="24"/>
          <w:szCs w:val="24"/>
        </w:rPr>
        <w:t xml:space="preserve">, A. (2008). </w:t>
      </w:r>
      <w:r w:rsidRPr="00336B41">
        <w:rPr>
          <w:rFonts w:ascii="Times New Roman" w:hAnsi="Times New Roman" w:cs="Times New Roman"/>
          <w:i/>
          <w:iCs/>
          <w:sz w:val="24"/>
          <w:szCs w:val="24"/>
        </w:rPr>
        <w:t>Overcoming Language Barriers: Solutions for Law Enforcement</w:t>
      </w:r>
      <w:r w:rsidRPr="00336B41">
        <w:rPr>
          <w:rFonts w:ascii="Times New Roman" w:hAnsi="Times New Roman" w:cs="Times New Roman"/>
          <w:sz w:val="24"/>
          <w:szCs w:val="24"/>
        </w:rPr>
        <w:t>. Available at: https://vera-institute.files.svdcdn.com/production/downloads/publications/Overcoming_Language_Barriers_FINAL.pdf.</w:t>
      </w:r>
    </w:p>
    <w:p w14:paraId="52221169" w14:textId="64FFA8F5" w:rsidR="00336B41" w:rsidRPr="00336B41" w:rsidRDefault="00336B41" w:rsidP="00F613D4">
      <w:pPr>
        <w:rPr>
          <w:rFonts w:ascii="Times New Roman" w:hAnsi="Times New Roman" w:cs="Times New Roman"/>
          <w:sz w:val="24"/>
          <w:szCs w:val="24"/>
        </w:rPr>
      </w:pPr>
      <w:r w:rsidRPr="00336B41">
        <w:rPr>
          <w:rFonts w:ascii="Times New Roman" w:hAnsi="Times New Roman" w:cs="Times New Roman"/>
          <w:sz w:val="24"/>
          <w:szCs w:val="24"/>
        </w:rPr>
        <w:t xml:space="preserve">Thomas, P. (2016). Youth, Terrorism and Education: Britain’s Prevent Programme. </w:t>
      </w:r>
      <w:r w:rsidRPr="00336B41">
        <w:rPr>
          <w:rFonts w:ascii="Times New Roman" w:hAnsi="Times New Roman" w:cs="Times New Roman"/>
          <w:i/>
          <w:iCs/>
          <w:sz w:val="24"/>
          <w:szCs w:val="24"/>
        </w:rPr>
        <w:t>International Journal of Lifelong Education</w:t>
      </w:r>
      <w:r w:rsidRPr="00336B41">
        <w:rPr>
          <w:rFonts w:ascii="Times New Roman" w:hAnsi="Times New Roman" w:cs="Times New Roman"/>
          <w:sz w:val="24"/>
          <w:szCs w:val="24"/>
        </w:rPr>
        <w:t>, 35(2), pp.171–187. Available at: https://www.tandfonline.com/doi/abs/10.1080/02601370.2016.1164469.</w:t>
      </w:r>
    </w:p>
    <w:p w14:paraId="3FE63360" w14:textId="77777777" w:rsidR="00FE3DA4" w:rsidRDefault="00FE3DA4" w:rsidP="00F613D4">
      <w:pPr>
        <w:rPr>
          <w:rFonts w:ascii="Times New Roman" w:hAnsi="Times New Roman" w:cs="Times New Roman"/>
          <w:sz w:val="24"/>
          <w:szCs w:val="24"/>
        </w:rPr>
      </w:pPr>
    </w:p>
    <w:p w14:paraId="0002BB58" w14:textId="7D70E361" w:rsidR="00336B41" w:rsidRPr="00336B41" w:rsidRDefault="00336B41" w:rsidP="00F613D4">
      <w:pPr>
        <w:rPr>
          <w:rFonts w:ascii="Times New Roman" w:hAnsi="Times New Roman" w:cs="Times New Roman"/>
          <w:sz w:val="24"/>
          <w:szCs w:val="24"/>
        </w:rPr>
      </w:pPr>
      <w:r w:rsidRPr="00336B41">
        <w:rPr>
          <w:rFonts w:ascii="Times New Roman" w:hAnsi="Times New Roman" w:cs="Times New Roman"/>
          <w:sz w:val="24"/>
          <w:szCs w:val="24"/>
        </w:rPr>
        <w:t xml:space="preserve">Tyler, T.R. (2005). Policing in Black and White: Ethnic Group Differences in Trust and Confidence in the Police. </w:t>
      </w:r>
      <w:r w:rsidRPr="00336B41">
        <w:rPr>
          <w:rFonts w:ascii="Times New Roman" w:hAnsi="Times New Roman" w:cs="Times New Roman"/>
          <w:i/>
          <w:iCs/>
          <w:sz w:val="24"/>
          <w:szCs w:val="24"/>
        </w:rPr>
        <w:t>Police Quarterly</w:t>
      </w:r>
      <w:r w:rsidRPr="00336B41">
        <w:rPr>
          <w:rFonts w:ascii="Times New Roman" w:hAnsi="Times New Roman" w:cs="Times New Roman"/>
          <w:sz w:val="24"/>
          <w:szCs w:val="24"/>
        </w:rPr>
        <w:t xml:space="preserve">, 8(3), pp.322–342. </w:t>
      </w:r>
      <w:r w:rsidR="00FE3DA4">
        <w:rPr>
          <w:rFonts w:ascii="Times New Roman" w:hAnsi="Times New Roman" w:cs="Times New Roman"/>
          <w:sz w:val="24"/>
          <w:szCs w:val="24"/>
        </w:rPr>
        <w:t>Available at</w:t>
      </w:r>
      <w:r w:rsidR="00FE3DA4" w:rsidRPr="00336B41">
        <w:rPr>
          <w:rFonts w:ascii="Times New Roman" w:hAnsi="Times New Roman" w:cs="Times New Roman"/>
          <w:sz w:val="24"/>
          <w:szCs w:val="24"/>
        </w:rPr>
        <w:t>:</w:t>
      </w:r>
      <w:r w:rsidR="00FE3DA4">
        <w:rPr>
          <w:rFonts w:ascii="Times New Roman" w:hAnsi="Times New Roman" w:cs="Times New Roman"/>
          <w:sz w:val="24"/>
          <w:szCs w:val="24"/>
        </w:rPr>
        <w:t xml:space="preserve"> </w:t>
      </w:r>
      <w:r w:rsidRPr="00336B41">
        <w:rPr>
          <w:rFonts w:ascii="Times New Roman" w:hAnsi="Times New Roman" w:cs="Times New Roman"/>
          <w:sz w:val="24"/>
          <w:szCs w:val="24"/>
        </w:rPr>
        <w:t>https://doi.org/10.1177/1098611104271105.</w:t>
      </w:r>
    </w:p>
    <w:p w14:paraId="2C45CA8D" w14:textId="77777777" w:rsidR="00FE3DA4" w:rsidRDefault="00FE3DA4" w:rsidP="00F613D4">
      <w:pPr>
        <w:rPr>
          <w:rFonts w:ascii="Times New Roman" w:hAnsi="Times New Roman" w:cs="Times New Roman"/>
          <w:sz w:val="24"/>
          <w:szCs w:val="24"/>
        </w:rPr>
      </w:pPr>
    </w:p>
    <w:p w14:paraId="03D9DC6A" w14:textId="6ED00B4D" w:rsidR="00336B41" w:rsidRPr="00336B41" w:rsidRDefault="00336B41" w:rsidP="00F613D4">
      <w:pPr>
        <w:rPr>
          <w:rFonts w:ascii="Times New Roman" w:hAnsi="Times New Roman" w:cs="Times New Roman"/>
          <w:sz w:val="24"/>
          <w:szCs w:val="24"/>
        </w:rPr>
      </w:pPr>
      <w:r w:rsidRPr="00336B41">
        <w:rPr>
          <w:rFonts w:ascii="Times New Roman" w:hAnsi="Times New Roman" w:cs="Times New Roman"/>
          <w:sz w:val="24"/>
          <w:szCs w:val="24"/>
        </w:rPr>
        <w:t xml:space="preserve">United Nations (2021). </w:t>
      </w:r>
      <w:r w:rsidRPr="00336B41">
        <w:rPr>
          <w:rFonts w:ascii="Times New Roman" w:hAnsi="Times New Roman" w:cs="Times New Roman"/>
          <w:i/>
          <w:iCs/>
          <w:sz w:val="24"/>
          <w:szCs w:val="24"/>
        </w:rPr>
        <w:t>UNODC Organized Crime - Tools and Publications</w:t>
      </w:r>
      <w:r w:rsidRPr="00336B41">
        <w:rPr>
          <w:rFonts w:ascii="Times New Roman" w:hAnsi="Times New Roman" w:cs="Times New Roman"/>
          <w:sz w:val="24"/>
          <w:szCs w:val="24"/>
        </w:rPr>
        <w:t>. United Nations : Office on Drugs and Crime. Available at: https://www.unodc.org/unodc/en/organized-crime/tools-and-publications.html.</w:t>
      </w:r>
    </w:p>
    <w:p w14:paraId="7BDFB6CC" w14:textId="77777777" w:rsidR="00FE3DA4" w:rsidRDefault="00FE3DA4" w:rsidP="00F613D4">
      <w:pPr>
        <w:rPr>
          <w:rFonts w:ascii="Times New Roman" w:hAnsi="Times New Roman" w:cs="Times New Roman"/>
          <w:sz w:val="24"/>
          <w:szCs w:val="24"/>
        </w:rPr>
      </w:pPr>
    </w:p>
    <w:p w14:paraId="57E97FE3" w14:textId="07F4D315" w:rsidR="00336B41" w:rsidRPr="00336B41" w:rsidRDefault="00336B41" w:rsidP="00F613D4">
      <w:pPr>
        <w:rPr>
          <w:rFonts w:ascii="Times New Roman" w:hAnsi="Times New Roman" w:cs="Times New Roman"/>
          <w:sz w:val="24"/>
          <w:szCs w:val="24"/>
        </w:rPr>
      </w:pPr>
      <w:r w:rsidRPr="00336B41">
        <w:rPr>
          <w:rFonts w:ascii="Times New Roman" w:hAnsi="Times New Roman" w:cs="Times New Roman"/>
          <w:sz w:val="24"/>
          <w:szCs w:val="24"/>
        </w:rPr>
        <w:t xml:space="preserve">US Department of State (2025). </w:t>
      </w:r>
      <w:r w:rsidRPr="00336B41">
        <w:rPr>
          <w:rFonts w:ascii="Times New Roman" w:hAnsi="Times New Roman" w:cs="Times New Roman"/>
          <w:i/>
          <w:iCs/>
          <w:sz w:val="24"/>
          <w:szCs w:val="24"/>
        </w:rPr>
        <w:t>Sanctioning Key Member of Foreign Terrorist Organization Tren De Aragua - United States Department of State</w:t>
      </w:r>
      <w:r w:rsidR="00FE3DA4">
        <w:rPr>
          <w:rFonts w:ascii="Times New Roman" w:hAnsi="Times New Roman" w:cs="Times New Roman"/>
          <w:sz w:val="24"/>
          <w:szCs w:val="24"/>
        </w:rPr>
        <w:t xml:space="preserve">. </w:t>
      </w:r>
      <w:r w:rsidRPr="00336B41">
        <w:rPr>
          <w:rFonts w:ascii="Times New Roman" w:hAnsi="Times New Roman" w:cs="Times New Roman"/>
          <w:sz w:val="24"/>
          <w:szCs w:val="24"/>
        </w:rPr>
        <w:t>United States Department of State. Available at: https://www.state.gov/releases/office-of-the-spokesperson/2025/06/sanctioning-key-member-of-foreign-terrorist-organization-tren-de-aragua [Accessed 21 Jul. 2025].</w:t>
      </w:r>
    </w:p>
    <w:p w14:paraId="2837F7D4" w14:textId="77777777" w:rsidR="00FE3DA4" w:rsidRDefault="00FE3DA4" w:rsidP="00F613D4">
      <w:pPr>
        <w:rPr>
          <w:rFonts w:ascii="Times New Roman" w:hAnsi="Times New Roman" w:cs="Times New Roman"/>
          <w:sz w:val="24"/>
          <w:szCs w:val="24"/>
        </w:rPr>
      </w:pPr>
    </w:p>
    <w:p w14:paraId="33DC03AD" w14:textId="3D364C55" w:rsidR="00336B41" w:rsidRPr="00336B41" w:rsidRDefault="00336B41" w:rsidP="00F613D4">
      <w:pPr>
        <w:rPr>
          <w:rFonts w:ascii="Times New Roman" w:hAnsi="Times New Roman" w:cs="Times New Roman"/>
          <w:sz w:val="24"/>
          <w:szCs w:val="24"/>
        </w:rPr>
      </w:pPr>
      <w:r w:rsidRPr="00336B41">
        <w:rPr>
          <w:rFonts w:ascii="Times New Roman" w:hAnsi="Times New Roman" w:cs="Times New Roman"/>
          <w:sz w:val="24"/>
          <w:szCs w:val="24"/>
        </w:rPr>
        <w:t xml:space="preserve">Williams, P. (2009). Illicit markets, Weak States and violence: Iraq and Mexico. </w:t>
      </w:r>
      <w:r w:rsidRPr="00336B41">
        <w:rPr>
          <w:rFonts w:ascii="Times New Roman" w:hAnsi="Times New Roman" w:cs="Times New Roman"/>
          <w:i/>
          <w:iCs/>
          <w:sz w:val="24"/>
          <w:szCs w:val="24"/>
        </w:rPr>
        <w:t>Crime, Law and Social Change</w:t>
      </w:r>
      <w:r w:rsidRPr="00336B41">
        <w:rPr>
          <w:rFonts w:ascii="Times New Roman" w:hAnsi="Times New Roman" w:cs="Times New Roman"/>
          <w:sz w:val="24"/>
          <w:szCs w:val="24"/>
        </w:rPr>
        <w:t>, 52(3), pp.323–336</w:t>
      </w:r>
      <w:r w:rsidR="00FE3DA4">
        <w:rPr>
          <w:rFonts w:ascii="Times New Roman" w:hAnsi="Times New Roman" w:cs="Times New Roman"/>
          <w:sz w:val="24"/>
          <w:szCs w:val="24"/>
        </w:rPr>
        <w:t>.</w:t>
      </w:r>
      <w:r w:rsidR="00FE3DA4" w:rsidRPr="00FE3DA4">
        <w:rPr>
          <w:rFonts w:ascii="Times New Roman" w:hAnsi="Times New Roman" w:cs="Times New Roman"/>
          <w:sz w:val="24"/>
          <w:szCs w:val="24"/>
        </w:rPr>
        <w:t xml:space="preserve"> </w:t>
      </w:r>
      <w:r w:rsidR="00FE3DA4">
        <w:rPr>
          <w:rFonts w:ascii="Times New Roman" w:hAnsi="Times New Roman" w:cs="Times New Roman"/>
          <w:sz w:val="24"/>
          <w:szCs w:val="24"/>
        </w:rPr>
        <w:t>Available at</w:t>
      </w:r>
      <w:r w:rsidR="00FE3DA4" w:rsidRPr="00336B41">
        <w:rPr>
          <w:rFonts w:ascii="Times New Roman" w:hAnsi="Times New Roman" w:cs="Times New Roman"/>
          <w:sz w:val="24"/>
          <w:szCs w:val="24"/>
        </w:rPr>
        <w:t>:</w:t>
      </w:r>
      <w:r w:rsidR="00FE3DA4">
        <w:rPr>
          <w:rFonts w:ascii="Times New Roman" w:hAnsi="Times New Roman" w:cs="Times New Roman"/>
          <w:sz w:val="24"/>
          <w:szCs w:val="24"/>
        </w:rPr>
        <w:t xml:space="preserve"> </w:t>
      </w:r>
      <w:r w:rsidRPr="00336B41">
        <w:rPr>
          <w:rFonts w:ascii="Times New Roman" w:hAnsi="Times New Roman" w:cs="Times New Roman"/>
          <w:sz w:val="24"/>
          <w:szCs w:val="24"/>
        </w:rPr>
        <w:t>https://doi.org/10.1007/s10611-009-9194-0.</w:t>
      </w:r>
    </w:p>
    <w:p w14:paraId="2B60D6AF" w14:textId="77777777" w:rsidR="00336B41" w:rsidRPr="00BC2FCC" w:rsidRDefault="00336B41" w:rsidP="00BC2FCC">
      <w:pPr>
        <w:jc w:val="both"/>
        <w:rPr>
          <w:rFonts w:ascii="Times New Roman" w:hAnsi="Times New Roman" w:cs="Times New Roman"/>
          <w:sz w:val="24"/>
          <w:szCs w:val="24"/>
        </w:rPr>
      </w:pPr>
    </w:p>
    <w:sectPr w:rsidR="00336B41" w:rsidRPr="00BC2FC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9C9976" w14:textId="77777777" w:rsidR="00D11F62" w:rsidRDefault="00D11F62" w:rsidP="00FE3DA4">
      <w:pPr>
        <w:spacing w:after="0" w:line="240" w:lineRule="auto"/>
      </w:pPr>
      <w:r>
        <w:separator/>
      </w:r>
    </w:p>
  </w:endnote>
  <w:endnote w:type="continuationSeparator" w:id="0">
    <w:p w14:paraId="35ACDBBC" w14:textId="77777777" w:rsidR="00D11F62" w:rsidRDefault="00D11F62" w:rsidP="00FE3D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24EF95" w14:textId="77777777" w:rsidR="00D11F62" w:rsidRDefault="00D11F62" w:rsidP="00FE3DA4">
      <w:pPr>
        <w:spacing w:after="0" w:line="240" w:lineRule="auto"/>
      </w:pPr>
      <w:r>
        <w:separator/>
      </w:r>
    </w:p>
  </w:footnote>
  <w:footnote w:type="continuationSeparator" w:id="0">
    <w:p w14:paraId="7C48D33E" w14:textId="77777777" w:rsidR="00D11F62" w:rsidRDefault="00D11F62" w:rsidP="00FE3D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3215D9"/>
    <w:multiLevelType w:val="multilevel"/>
    <w:tmpl w:val="B3A0902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3A3C48A7"/>
    <w:multiLevelType w:val="multilevel"/>
    <w:tmpl w:val="CFE87C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13372FB"/>
    <w:multiLevelType w:val="multilevel"/>
    <w:tmpl w:val="AD2603E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78AE6C55"/>
    <w:multiLevelType w:val="hybridMultilevel"/>
    <w:tmpl w:val="56A80568"/>
    <w:lvl w:ilvl="0" w:tplc="5CA23944">
      <w:start w:val="1"/>
      <w:numFmt w:val="decimal"/>
      <w:lvlText w:val="%1."/>
      <w:lvlJc w:val="left"/>
      <w:pPr>
        <w:ind w:left="786" w:hanging="360"/>
      </w:pPr>
    </w:lvl>
    <w:lvl w:ilvl="1" w:tplc="08090019">
      <w:start w:val="1"/>
      <w:numFmt w:val="lowerLetter"/>
      <w:lvlText w:val="%2."/>
      <w:lvlJc w:val="left"/>
      <w:pPr>
        <w:ind w:left="1506" w:hanging="360"/>
      </w:pPr>
    </w:lvl>
    <w:lvl w:ilvl="2" w:tplc="0809001B">
      <w:start w:val="1"/>
      <w:numFmt w:val="lowerRoman"/>
      <w:lvlText w:val="%3."/>
      <w:lvlJc w:val="right"/>
      <w:pPr>
        <w:ind w:left="2226" w:hanging="180"/>
      </w:pPr>
    </w:lvl>
    <w:lvl w:ilvl="3" w:tplc="0809000F">
      <w:start w:val="1"/>
      <w:numFmt w:val="decimal"/>
      <w:lvlText w:val="%4."/>
      <w:lvlJc w:val="left"/>
      <w:pPr>
        <w:ind w:left="2946" w:hanging="360"/>
      </w:pPr>
    </w:lvl>
    <w:lvl w:ilvl="4" w:tplc="08090019">
      <w:start w:val="1"/>
      <w:numFmt w:val="lowerLetter"/>
      <w:lvlText w:val="%5."/>
      <w:lvlJc w:val="left"/>
      <w:pPr>
        <w:ind w:left="3666" w:hanging="360"/>
      </w:pPr>
    </w:lvl>
    <w:lvl w:ilvl="5" w:tplc="0809001B">
      <w:start w:val="1"/>
      <w:numFmt w:val="lowerRoman"/>
      <w:lvlText w:val="%6."/>
      <w:lvlJc w:val="right"/>
      <w:pPr>
        <w:ind w:left="4386" w:hanging="180"/>
      </w:pPr>
    </w:lvl>
    <w:lvl w:ilvl="6" w:tplc="0809000F">
      <w:start w:val="1"/>
      <w:numFmt w:val="decimal"/>
      <w:lvlText w:val="%7."/>
      <w:lvlJc w:val="left"/>
      <w:pPr>
        <w:ind w:left="5106" w:hanging="360"/>
      </w:pPr>
    </w:lvl>
    <w:lvl w:ilvl="7" w:tplc="08090019">
      <w:start w:val="1"/>
      <w:numFmt w:val="lowerLetter"/>
      <w:lvlText w:val="%8."/>
      <w:lvlJc w:val="left"/>
      <w:pPr>
        <w:ind w:left="5826" w:hanging="360"/>
      </w:pPr>
    </w:lvl>
    <w:lvl w:ilvl="8" w:tplc="0809001B">
      <w:start w:val="1"/>
      <w:numFmt w:val="lowerRoman"/>
      <w:lvlText w:val="%9."/>
      <w:lvlJc w:val="right"/>
      <w:pPr>
        <w:ind w:left="6546" w:hanging="180"/>
      </w:pPr>
    </w:lvl>
  </w:abstractNum>
  <w:num w:numId="1" w16cid:durableId="194565070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005622781">
    <w:abstractNumId w:val="1"/>
  </w:num>
  <w:num w:numId="3" w16cid:durableId="96516460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71449632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4890"/>
    <w:rsid w:val="00037972"/>
    <w:rsid w:val="000C7528"/>
    <w:rsid w:val="00164623"/>
    <w:rsid w:val="001B670B"/>
    <w:rsid w:val="001C458A"/>
    <w:rsid w:val="001D7C91"/>
    <w:rsid w:val="002A7941"/>
    <w:rsid w:val="002E3142"/>
    <w:rsid w:val="00336B41"/>
    <w:rsid w:val="00413C62"/>
    <w:rsid w:val="00442EEB"/>
    <w:rsid w:val="004867DD"/>
    <w:rsid w:val="00493B71"/>
    <w:rsid w:val="004C3A1E"/>
    <w:rsid w:val="004E0E94"/>
    <w:rsid w:val="00517BF2"/>
    <w:rsid w:val="00543548"/>
    <w:rsid w:val="00547DB6"/>
    <w:rsid w:val="0058328F"/>
    <w:rsid w:val="005A2E7E"/>
    <w:rsid w:val="005D4CD4"/>
    <w:rsid w:val="005E0863"/>
    <w:rsid w:val="005E1C18"/>
    <w:rsid w:val="005E2908"/>
    <w:rsid w:val="006546B5"/>
    <w:rsid w:val="006672F4"/>
    <w:rsid w:val="006D3315"/>
    <w:rsid w:val="00710675"/>
    <w:rsid w:val="0075261A"/>
    <w:rsid w:val="007A1038"/>
    <w:rsid w:val="007C37FF"/>
    <w:rsid w:val="00816AC0"/>
    <w:rsid w:val="00897F8A"/>
    <w:rsid w:val="008B52D1"/>
    <w:rsid w:val="008F091F"/>
    <w:rsid w:val="008F7000"/>
    <w:rsid w:val="00913830"/>
    <w:rsid w:val="009241FB"/>
    <w:rsid w:val="009501CD"/>
    <w:rsid w:val="00955CBD"/>
    <w:rsid w:val="00971392"/>
    <w:rsid w:val="00977E0F"/>
    <w:rsid w:val="009C4AA9"/>
    <w:rsid w:val="00A61D56"/>
    <w:rsid w:val="00AE1397"/>
    <w:rsid w:val="00B20BCE"/>
    <w:rsid w:val="00BC2FCC"/>
    <w:rsid w:val="00C54813"/>
    <w:rsid w:val="00C75E06"/>
    <w:rsid w:val="00C8402B"/>
    <w:rsid w:val="00C93D4D"/>
    <w:rsid w:val="00CA14C2"/>
    <w:rsid w:val="00CC2713"/>
    <w:rsid w:val="00D11F62"/>
    <w:rsid w:val="00D240B9"/>
    <w:rsid w:val="00D47E09"/>
    <w:rsid w:val="00D569BD"/>
    <w:rsid w:val="00DA2C8A"/>
    <w:rsid w:val="00DE5F0D"/>
    <w:rsid w:val="00E07B33"/>
    <w:rsid w:val="00E914DB"/>
    <w:rsid w:val="00EA4890"/>
    <w:rsid w:val="00F613D4"/>
    <w:rsid w:val="00F82BF9"/>
    <w:rsid w:val="00FE3DA4"/>
    <w:rsid w:val="00FF71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FDC0F"/>
  <w15:chartTrackingRefBased/>
  <w15:docId w15:val="{B42C3B72-0A61-4CFC-AE04-3FC0208424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2FCC"/>
  </w:style>
  <w:style w:type="paragraph" w:styleId="Heading1">
    <w:name w:val="heading 1"/>
    <w:basedOn w:val="Normal"/>
    <w:next w:val="Normal"/>
    <w:link w:val="Heading1Char"/>
    <w:uiPriority w:val="9"/>
    <w:qFormat/>
    <w:rsid w:val="00EA48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A48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A48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48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48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48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48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48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48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48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A48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A48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48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48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48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48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48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4890"/>
    <w:rPr>
      <w:rFonts w:eastAsiaTheme="majorEastAsia" w:cstheme="majorBidi"/>
      <w:color w:val="272727" w:themeColor="text1" w:themeTint="D8"/>
    </w:rPr>
  </w:style>
  <w:style w:type="paragraph" w:styleId="Title">
    <w:name w:val="Title"/>
    <w:basedOn w:val="Normal"/>
    <w:next w:val="Normal"/>
    <w:link w:val="TitleChar"/>
    <w:uiPriority w:val="10"/>
    <w:qFormat/>
    <w:rsid w:val="00EA48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48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48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48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4890"/>
    <w:pPr>
      <w:spacing w:before="160"/>
      <w:jc w:val="center"/>
    </w:pPr>
    <w:rPr>
      <w:i/>
      <w:iCs/>
      <w:color w:val="404040" w:themeColor="text1" w:themeTint="BF"/>
    </w:rPr>
  </w:style>
  <w:style w:type="character" w:customStyle="1" w:styleId="QuoteChar">
    <w:name w:val="Quote Char"/>
    <w:basedOn w:val="DefaultParagraphFont"/>
    <w:link w:val="Quote"/>
    <w:uiPriority w:val="29"/>
    <w:rsid w:val="00EA4890"/>
    <w:rPr>
      <w:i/>
      <w:iCs/>
      <w:color w:val="404040" w:themeColor="text1" w:themeTint="BF"/>
    </w:rPr>
  </w:style>
  <w:style w:type="paragraph" w:styleId="ListParagraph">
    <w:name w:val="List Paragraph"/>
    <w:basedOn w:val="Normal"/>
    <w:uiPriority w:val="34"/>
    <w:qFormat/>
    <w:rsid w:val="00EA4890"/>
    <w:pPr>
      <w:ind w:left="720"/>
      <w:contextualSpacing/>
    </w:pPr>
  </w:style>
  <w:style w:type="character" w:styleId="IntenseEmphasis">
    <w:name w:val="Intense Emphasis"/>
    <w:basedOn w:val="DefaultParagraphFont"/>
    <w:uiPriority w:val="21"/>
    <w:qFormat/>
    <w:rsid w:val="00EA4890"/>
    <w:rPr>
      <w:i/>
      <w:iCs/>
      <w:color w:val="0F4761" w:themeColor="accent1" w:themeShade="BF"/>
    </w:rPr>
  </w:style>
  <w:style w:type="paragraph" w:styleId="IntenseQuote">
    <w:name w:val="Intense Quote"/>
    <w:basedOn w:val="Normal"/>
    <w:next w:val="Normal"/>
    <w:link w:val="IntenseQuoteChar"/>
    <w:uiPriority w:val="30"/>
    <w:qFormat/>
    <w:rsid w:val="00EA48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4890"/>
    <w:rPr>
      <w:i/>
      <w:iCs/>
      <w:color w:val="0F4761" w:themeColor="accent1" w:themeShade="BF"/>
    </w:rPr>
  </w:style>
  <w:style w:type="character" w:styleId="IntenseReference">
    <w:name w:val="Intense Reference"/>
    <w:basedOn w:val="DefaultParagraphFont"/>
    <w:uiPriority w:val="32"/>
    <w:qFormat/>
    <w:rsid w:val="00EA4890"/>
    <w:rPr>
      <w:b/>
      <w:bCs/>
      <w:smallCaps/>
      <w:color w:val="0F4761" w:themeColor="accent1" w:themeShade="BF"/>
      <w:spacing w:val="5"/>
    </w:rPr>
  </w:style>
  <w:style w:type="character" w:styleId="Hyperlink">
    <w:name w:val="Hyperlink"/>
    <w:basedOn w:val="DefaultParagraphFont"/>
    <w:uiPriority w:val="99"/>
    <w:unhideWhenUsed/>
    <w:rsid w:val="00977E0F"/>
    <w:rPr>
      <w:color w:val="467886" w:themeColor="hyperlink"/>
      <w:u w:val="single"/>
    </w:rPr>
  </w:style>
  <w:style w:type="character" w:styleId="UnresolvedMention">
    <w:name w:val="Unresolved Mention"/>
    <w:basedOn w:val="DefaultParagraphFont"/>
    <w:uiPriority w:val="99"/>
    <w:semiHidden/>
    <w:unhideWhenUsed/>
    <w:rsid w:val="00977E0F"/>
    <w:rPr>
      <w:color w:val="605E5C"/>
      <w:shd w:val="clear" w:color="auto" w:fill="E1DFDD"/>
    </w:rPr>
  </w:style>
  <w:style w:type="paragraph" w:styleId="Header">
    <w:name w:val="header"/>
    <w:basedOn w:val="Normal"/>
    <w:link w:val="HeaderChar"/>
    <w:uiPriority w:val="99"/>
    <w:unhideWhenUsed/>
    <w:rsid w:val="00FE3D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3DA4"/>
  </w:style>
  <w:style w:type="paragraph" w:styleId="Footer">
    <w:name w:val="footer"/>
    <w:basedOn w:val="Normal"/>
    <w:link w:val="FooterChar"/>
    <w:uiPriority w:val="99"/>
    <w:unhideWhenUsed/>
    <w:rsid w:val="00FE3D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3D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32383">
      <w:bodyDiv w:val="1"/>
      <w:marLeft w:val="0"/>
      <w:marRight w:val="0"/>
      <w:marTop w:val="0"/>
      <w:marBottom w:val="0"/>
      <w:divBdr>
        <w:top w:val="none" w:sz="0" w:space="0" w:color="auto"/>
        <w:left w:val="none" w:sz="0" w:space="0" w:color="auto"/>
        <w:bottom w:val="none" w:sz="0" w:space="0" w:color="auto"/>
        <w:right w:val="none" w:sz="0" w:space="0" w:color="auto"/>
      </w:divBdr>
    </w:div>
    <w:div w:id="15274824">
      <w:bodyDiv w:val="1"/>
      <w:marLeft w:val="0"/>
      <w:marRight w:val="0"/>
      <w:marTop w:val="0"/>
      <w:marBottom w:val="0"/>
      <w:divBdr>
        <w:top w:val="none" w:sz="0" w:space="0" w:color="auto"/>
        <w:left w:val="none" w:sz="0" w:space="0" w:color="auto"/>
        <w:bottom w:val="none" w:sz="0" w:space="0" w:color="auto"/>
        <w:right w:val="none" w:sz="0" w:space="0" w:color="auto"/>
      </w:divBdr>
    </w:div>
    <w:div w:id="60102648">
      <w:bodyDiv w:val="1"/>
      <w:marLeft w:val="0"/>
      <w:marRight w:val="0"/>
      <w:marTop w:val="0"/>
      <w:marBottom w:val="0"/>
      <w:divBdr>
        <w:top w:val="none" w:sz="0" w:space="0" w:color="auto"/>
        <w:left w:val="none" w:sz="0" w:space="0" w:color="auto"/>
        <w:bottom w:val="none" w:sz="0" w:space="0" w:color="auto"/>
        <w:right w:val="none" w:sz="0" w:space="0" w:color="auto"/>
      </w:divBdr>
    </w:div>
    <w:div w:id="146672747">
      <w:bodyDiv w:val="1"/>
      <w:marLeft w:val="0"/>
      <w:marRight w:val="0"/>
      <w:marTop w:val="0"/>
      <w:marBottom w:val="0"/>
      <w:divBdr>
        <w:top w:val="none" w:sz="0" w:space="0" w:color="auto"/>
        <w:left w:val="none" w:sz="0" w:space="0" w:color="auto"/>
        <w:bottom w:val="none" w:sz="0" w:space="0" w:color="auto"/>
        <w:right w:val="none" w:sz="0" w:space="0" w:color="auto"/>
      </w:divBdr>
    </w:div>
    <w:div w:id="252395287">
      <w:bodyDiv w:val="1"/>
      <w:marLeft w:val="0"/>
      <w:marRight w:val="0"/>
      <w:marTop w:val="0"/>
      <w:marBottom w:val="0"/>
      <w:divBdr>
        <w:top w:val="none" w:sz="0" w:space="0" w:color="auto"/>
        <w:left w:val="none" w:sz="0" w:space="0" w:color="auto"/>
        <w:bottom w:val="none" w:sz="0" w:space="0" w:color="auto"/>
        <w:right w:val="none" w:sz="0" w:space="0" w:color="auto"/>
      </w:divBdr>
    </w:div>
    <w:div w:id="257519399">
      <w:bodyDiv w:val="1"/>
      <w:marLeft w:val="0"/>
      <w:marRight w:val="0"/>
      <w:marTop w:val="0"/>
      <w:marBottom w:val="0"/>
      <w:divBdr>
        <w:top w:val="none" w:sz="0" w:space="0" w:color="auto"/>
        <w:left w:val="none" w:sz="0" w:space="0" w:color="auto"/>
        <w:bottom w:val="none" w:sz="0" w:space="0" w:color="auto"/>
        <w:right w:val="none" w:sz="0" w:space="0" w:color="auto"/>
      </w:divBdr>
    </w:div>
    <w:div w:id="290869611">
      <w:bodyDiv w:val="1"/>
      <w:marLeft w:val="0"/>
      <w:marRight w:val="0"/>
      <w:marTop w:val="0"/>
      <w:marBottom w:val="0"/>
      <w:divBdr>
        <w:top w:val="none" w:sz="0" w:space="0" w:color="auto"/>
        <w:left w:val="none" w:sz="0" w:space="0" w:color="auto"/>
        <w:bottom w:val="none" w:sz="0" w:space="0" w:color="auto"/>
        <w:right w:val="none" w:sz="0" w:space="0" w:color="auto"/>
      </w:divBdr>
    </w:div>
    <w:div w:id="321738802">
      <w:bodyDiv w:val="1"/>
      <w:marLeft w:val="0"/>
      <w:marRight w:val="0"/>
      <w:marTop w:val="0"/>
      <w:marBottom w:val="0"/>
      <w:divBdr>
        <w:top w:val="none" w:sz="0" w:space="0" w:color="auto"/>
        <w:left w:val="none" w:sz="0" w:space="0" w:color="auto"/>
        <w:bottom w:val="none" w:sz="0" w:space="0" w:color="auto"/>
        <w:right w:val="none" w:sz="0" w:space="0" w:color="auto"/>
      </w:divBdr>
      <w:divsChild>
        <w:div w:id="634145858">
          <w:marLeft w:val="0"/>
          <w:marRight w:val="0"/>
          <w:marTop w:val="0"/>
          <w:marBottom w:val="0"/>
          <w:divBdr>
            <w:top w:val="none" w:sz="0" w:space="0" w:color="auto"/>
            <w:left w:val="none" w:sz="0" w:space="0" w:color="auto"/>
            <w:bottom w:val="none" w:sz="0" w:space="0" w:color="auto"/>
            <w:right w:val="none" w:sz="0" w:space="0" w:color="auto"/>
          </w:divBdr>
        </w:div>
      </w:divsChild>
    </w:div>
    <w:div w:id="329719570">
      <w:bodyDiv w:val="1"/>
      <w:marLeft w:val="0"/>
      <w:marRight w:val="0"/>
      <w:marTop w:val="0"/>
      <w:marBottom w:val="0"/>
      <w:divBdr>
        <w:top w:val="none" w:sz="0" w:space="0" w:color="auto"/>
        <w:left w:val="none" w:sz="0" w:space="0" w:color="auto"/>
        <w:bottom w:val="none" w:sz="0" w:space="0" w:color="auto"/>
        <w:right w:val="none" w:sz="0" w:space="0" w:color="auto"/>
      </w:divBdr>
    </w:div>
    <w:div w:id="447505013">
      <w:bodyDiv w:val="1"/>
      <w:marLeft w:val="0"/>
      <w:marRight w:val="0"/>
      <w:marTop w:val="0"/>
      <w:marBottom w:val="0"/>
      <w:divBdr>
        <w:top w:val="none" w:sz="0" w:space="0" w:color="auto"/>
        <w:left w:val="none" w:sz="0" w:space="0" w:color="auto"/>
        <w:bottom w:val="none" w:sz="0" w:space="0" w:color="auto"/>
        <w:right w:val="none" w:sz="0" w:space="0" w:color="auto"/>
      </w:divBdr>
    </w:div>
    <w:div w:id="510528117">
      <w:bodyDiv w:val="1"/>
      <w:marLeft w:val="0"/>
      <w:marRight w:val="0"/>
      <w:marTop w:val="0"/>
      <w:marBottom w:val="0"/>
      <w:divBdr>
        <w:top w:val="none" w:sz="0" w:space="0" w:color="auto"/>
        <w:left w:val="none" w:sz="0" w:space="0" w:color="auto"/>
        <w:bottom w:val="none" w:sz="0" w:space="0" w:color="auto"/>
        <w:right w:val="none" w:sz="0" w:space="0" w:color="auto"/>
      </w:divBdr>
    </w:div>
    <w:div w:id="510919694">
      <w:bodyDiv w:val="1"/>
      <w:marLeft w:val="0"/>
      <w:marRight w:val="0"/>
      <w:marTop w:val="0"/>
      <w:marBottom w:val="0"/>
      <w:divBdr>
        <w:top w:val="none" w:sz="0" w:space="0" w:color="auto"/>
        <w:left w:val="none" w:sz="0" w:space="0" w:color="auto"/>
        <w:bottom w:val="none" w:sz="0" w:space="0" w:color="auto"/>
        <w:right w:val="none" w:sz="0" w:space="0" w:color="auto"/>
      </w:divBdr>
    </w:div>
    <w:div w:id="549878756">
      <w:bodyDiv w:val="1"/>
      <w:marLeft w:val="0"/>
      <w:marRight w:val="0"/>
      <w:marTop w:val="0"/>
      <w:marBottom w:val="0"/>
      <w:divBdr>
        <w:top w:val="none" w:sz="0" w:space="0" w:color="auto"/>
        <w:left w:val="none" w:sz="0" w:space="0" w:color="auto"/>
        <w:bottom w:val="none" w:sz="0" w:space="0" w:color="auto"/>
        <w:right w:val="none" w:sz="0" w:space="0" w:color="auto"/>
      </w:divBdr>
    </w:div>
    <w:div w:id="564992554">
      <w:bodyDiv w:val="1"/>
      <w:marLeft w:val="0"/>
      <w:marRight w:val="0"/>
      <w:marTop w:val="0"/>
      <w:marBottom w:val="0"/>
      <w:divBdr>
        <w:top w:val="none" w:sz="0" w:space="0" w:color="auto"/>
        <w:left w:val="none" w:sz="0" w:space="0" w:color="auto"/>
        <w:bottom w:val="none" w:sz="0" w:space="0" w:color="auto"/>
        <w:right w:val="none" w:sz="0" w:space="0" w:color="auto"/>
      </w:divBdr>
    </w:div>
    <w:div w:id="586575214">
      <w:bodyDiv w:val="1"/>
      <w:marLeft w:val="0"/>
      <w:marRight w:val="0"/>
      <w:marTop w:val="0"/>
      <w:marBottom w:val="0"/>
      <w:divBdr>
        <w:top w:val="none" w:sz="0" w:space="0" w:color="auto"/>
        <w:left w:val="none" w:sz="0" w:space="0" w:color="auto"/>
        <w:bottom w:val="none" w:sz="0" w:space="0" w:color="auto"/>
        <w:right w:val="none" w:sz="0" w:space="0" w:color="auto"/>
      </w:divBdr>
    </w:div>
    <w:div w:id="650527999">
      <w:bodyDiv w:val="1"/>
      <w:marLeft w:val="0"/>
      <w:marRight w:val="0"/>
      <w:marTop w:val="0"/>
      <w:marBottom w:val="0"/>
      <w:divBdr>
        <w:top w:val="none" w:sz="0" w:space="0" w:color="auto"/>
        <w:left w:val="none" w:sz="0" w:space="0" w:color="auto"/>
        <w:bottom w:val="none" w:sz="0" w:space="0" w:color="auto"/>
        <w:right w:val="none" w:sz="0" w:space="0" w:color="auto"/>
      </w:divBdr>
    </w:div>
    <w:div w:id="657343075">
      <w:bodyDiv w:val="1"/>
      <w:marLeft w:val="0"/>
      <w:marRight w:val="0"/>
      <w:marTop w:val="0"/>
      <w:marBottom w:val="0"/>
      <w:divBdr>
        <w:top w:val="none" w:sz="0" w:space="0" w:color="auto"/>
        <w:left w:val="none" w:sz="0" w:space="0" w:color="auto"/>
        <w:bottom w:val="none" w:sz="0" w:space="0" w:color="auto"/>
        <w:right w:val="none" w:sz="0" w:space="0" w:color="auto"/>
      </w:divBdr>
    </w:div>
    <w:div w:id="679502372">
      <w:bodyDiv w:val="1"/>
      <w:marLeft w:val="0"/>
      <w:marRight w:val="0"/>
      <w:marTop w:val="0"/>
      <w:marBottom w:val="0"/>
      <w:divBdr>
        <w:top w:val="none" w:sz="0" w:space="0" w:color="auto"/>
        <w:left w:val="none" w:sz="0" w:space="0" w:color="auto"/>
        <w:bottom w:val="none" w:sz="0" w:space="0" w:color="auto"/>
        <w:right w:val="none" w:sz="0" w:space="0" w:color="auto"/>
      </w:divBdr>
    </w:div>
    <w:div w:id="689063620">
      <w:bodyDiv w:val="1"/>
      <w:marLeft w:val="0"/>
      <w:marRight w:val="0"/>
      <w:marTop w:val="0"/>
      <w:marBottom w:val="0"/>
      <w:divBdr>
        <w:top w:val="none" w:sz="0" w:space="0" w:color="auto"/>
        <w:left w:val="none" w:sz="0" w:space="0" w:color="auto"/>
        <w:bottom w:val="none" w:sz="0" w:space="0" w:color="auto"/>
        <w:right w:val="none" w:sz="0" w:space="0" w:color="auto"/>
      </w:divBdr>
    </w:div>
    <w:div w:id="718668946">
      <w:bodyDiv w:val="1"/>
      <w:marLeft w:val="0"/>
      <w:marRight w:val="0"/>
      <w:marTop w:val="0"/>
      <w:marBottom w:val="0"/>
      <w:divBdr>
        <w:top w:val="none" w:sz="0" w:space="0" w:color="auto"/>
        <w:left w:val="none" w:sz="0" w:space="0" w:color="auto"/>
        <w:bottom w:val="none" w:sz="0" w:space="0" w:color="auto"/>
        <w:right w:val="none" w:sz="0" w:space="0" w:color="auto"/>
      </w:divBdr>
    </w:div>
    <w:div w:id="736053949">
      <w:bodyDiv w:val="1"/>
      <w:marLeft w:val="0"/>
      <w:marRight w:val="0"/>
      <w:marTop w:val="0"/>
      <w:marBottom w:val="0"/>
      <w:divBdr>
        <w:top w:val="none" w:sz="0" w:space="0" w:color="auto"/>
        <w:left w:val="none" w:sz="0" w:space="0" w:color="auto"/>
        <w:bottom w:val="none" w:sz="0" w:space="0" w:color="auto"/>
        <w:right w:val="none" w:sz="0" w:space="0" w:color="auto"/>
      </w:divBdr>
      <w:divsChild>
        <w:div w:id="1814132655">
          <w:marLeft w:val="0"/>
          <w:marRight w:val="0"/>
          <w:marTop w:val="0"/>
          <w:marBottom w:val="0"/>
          <w:divBdr>
            <w:top w:val="none" w:sz="0" w:space="0" w:color="auto"/>
            <w:left w:val="none" w:sz="0" w:space="0" w:color="auto"/>
            <w:bottom w:val="none" w:sz="0" w:space="0" w:color="auto"/>
            <w:right w:val="none" w:sz="0" w:space="0" w:color="auto"/>
          </w:divBdr>
        </w:div>
      </w:divsChild>
    </w:div>
    <w:div w:id="850145642">
      <w:bodyDiv w:val="1"/>
      <w:marLeft w:val="0"/>
      <w:marRight w:val="0"/>
      <w:marTop w:val="0"/>
      <w:marBottom w:val="0"/>
      <w:divBdr>
        <w:top w:val="none" w:sz="0" w:space="0" w:color="auto"/>
        <w:left w:val="none" w:sz="0" w:space="0" w:color="auto"/>
        <w:bottom w:val="none" w:sz="0" w:space="0" w:color="auto"/>
        <w:right w:val="none" w:sz="0" w:space="0" w:color="auto"/>
      </w:divBdr>
    </w:div>
    <w:div w:id="866915130">
      <w:bodyDiv w:val="1"/>
      <w:marLeft w:val="0"/>
      <w:marRight w:val="0"/>
      <w:marTop w:val="0"/>
      <w:marBottom w:val="0"/>
      <w:divBdr>
        <w:top w:val="none" w:sz="0" w:space="0" w:color="auto"/>
        <w:left w:val="none" w:sz="0" w:space="0" w:color="auto"/>
        <w:bottom w:val="none" w:sz="0" w:space="0" w:color="auto"/>
        <w:right w:val="none" w:sz="0" w:space="0" w:color="auto"/>
      </w:divBdr>
    </w:div>
    <w:div w:id="960837705">
      <w:bodyDiv w:val="1"/>
      <w:marLeft w:val="0"/>
      <w:marRight w:val="0"/>
      <w:marTop w:val="0"/>
      <w:marBottom w:val="0"/>
      <w:divBdr>
        <w:top w:val="none" w:sz="0" w:space="0" w:color="auto"/>
        <w:left w:val="none" w:sz="0" w:space="0" w:color="auto"/>
        <w:bottom w:val="none" w:sz="0" w:space="0" w:color="auto"/>
        <w:right w:val="none" w:sz="0" w:space="0" w:color="auto"/>
      </w:divBdr>
    </w:div>
    <w:div w:id="961883798">
      <w:bodyDiv w:val="1"/>
      <w:marLeft w:val="0"/>
      <w:marRight w:val="0"/>
      <w:marTop w:val="0"/>
      <w:marBottom w:val="0"/>
      <w:divBdr>
        <w:top w:val="none" w:sz="0" w:space="0" w:color="auto"/>
        <w:left w:val="none" w:sz="0" w:space="0" w:color="auto"/>
        <w:bottom w:val="none" w:sz="0" w:space="0" w:color="auto"/>
        <w:right w:val="none" w:sz="0" w:space="0" w:color="auto"/>
      </w:divBdr>
    </w:div>
    <w:div w:id="976909080">
      <w:bodyDiv w:val="1"/>
      <w:marLeft w:val="0"/>
      <w:marRight w:val="0"/>
      <w:marTop w:val="0"/>
      <w:marBottom w:val="0"/>
      <w:divBdr>
        <w:top w:val="none" w:sz="0" w:space="0" w:color="auto"/>
        <w:left w:val="none" w:sz="0" w:space="0" w:color="auto"/>
        <w:bottom w:val="none" w:sz="0" w:space="0" w:color="auto"/>
        <w:right w:val="none" w:sz="0" w:space="0" w:color="auto"/>
      </w:divBdr>
      <w:divsChild>
        <w:div w:id="188033162">
          <w:marLeft w:val="0"/>
          <w:marRight w:val="0"/>
          <w:marTop w:val="0"/>
          <w:marBottom w:val="0"/>
          <w:divBdr>
            <w:top w:val="none" w:sz="0" w:space="0" w:color="auto"/>
            <w:left w:val="none" w:sz="0" w:space="0" w:color="auto"/>
            <w:bottom w:val="none" w:sz="0" w:space="0" w:color="auto"/>
            <w:right w:val="none" w:sz="0" w:space="0" w:color="auto"/>
          </w:divBdr>
        </w:div>
      </w:divsChild>
    </w:div>
    <w:div w:id="1020666987">
      <w:bodyDiv w:val="1"/>
      <w:marLeft w:val="0"/>
      <w:marRight w:val="0"/>
      <w:marTop w:val="0"/>
      <w:marBottom w:val="0"/>
      <w:divBdr>
        <w:top w:val="none" w:sz="0" w:space="0" w:color="auto"/>
        <w:left w:val="none" w:sz="0" w:space="0" w:color="auto"/>
        <w:bottom w:val="none" w:sz="0" w:space="0" w:color="auto"/>
        <w:right w:val="none" w:sz="0" w:space="0" w:color="auto"/>
      </w:divBdr>
    </w:div>
    <w:div w:id="1034769875">
      <w:bodyDiv w:val="1"/>
      <w:marLeft w:val="0"/>
      <w:marRight w:val="0"/>
      <w:marTop w:val="0"/>
      <w:marBottom w:val="0"/>
      <w:divBdr>
        <w:top w:val="none" w:sz="0" w:space="0" w:color="auto"/>
        <w:left w:val="none" w:sz="0" w:space="0" w:color="auto"/>
        <w:bottom w:val="none" w:sz="0" w:space="0" w:color="auto"/>
        <w:right w:val="none" w:sz="0" w:space="0" w:color="auto"/>
      </w:divBdr>
    </w:div>
    <w:div w:id="1154950487">
      <w:bodyDiv w:val="1"/>
      <w:marLeft w:val="0"/>
      <w:marRight w:val="0"/>
      <w:marTop w:val="0"/>
      <w:marBottom w:val="0"/>
      <w:divBdr>
        <w:top w:val="none" w:sz="0" w:space="0" w:color="auto"/>
        <w:left w:val="none" w:sz="0" w:space="0" w:color="auto"/>
        <w:bottom w:val="none" w:sz="0" w:space="0" w:color="auto"/>
        <w:right w:val="none" w:sz="0" w:space="0" w:color="auto"/>
      </w:divBdr>
    </w:div>
    <w:div w:id="1213888562">
      <w:bodyDiv w:val="1"/>
      <w:marLeft w:val="0"/>
      <w:marRight w:val="0"/>
      <w:marTop w:val="0"/>
      <w:marBottom w:val="0"/>
      <w:divBdr>
        <w:top w:val="none" w:sz="0" w:space="0" w:color="auto"/>
        <w:left w:val="none" w:sz="0" w:space="0" w:color="auto"/>
        <w:bottom w:val="none" w:sz="0" w:space="0" w:color="auto"/>
        <w:right w:val="none" w:sz="0" w:space="0" w:color="auto"/>
      </w:divBdr>
    </w:div>
    <w:div w:id="1378697648">
      <w:bodyDiv w:val="1"/>
      <w:marLeft w:val="0"/>
      <w:marRight w:val="0"/>
      <w:marTop w:val="0"/>
      <w:marBottom w:val="0"/>
      <w:divBdr>
        <w:top w:val="none" w:sz="0" w:space="0" w:color="auto"/>
        <w:left w:val="none" w:sz="0" w:space="0" w:color="auto"/>
        <w:bottom w:val="none" w:sz="0" w:space="0" w:color="auto"/>
        <w:right w:val="none" w:sz="0" w:space="0" w:color="auto"/>
      </w:divBdr>
    </w:div>
    <w:div w:id="1491751982">
      <w:bodyDiv w:val="1"/>
      <w:marLeft w:val="0"/>
      <w:marRight w:val="0"/>
      <w:marTop w:val="0"/>
      <w:marBottom w:val="0"/>
      <w:divBdr>
        <w:top w:val="none" w:sz="0" w:space="0" w:color="auto"/>
        <w:left w:val="none" w:sz="0" w:space="0" w:color="auto"/>
        <w:bottom w:val="none" w:sz="0" w:space="0" w:color="auto"/>
        <w:right w:val="none" w:sz="0" w:space="0" w:color="auto"/>
      </w:divBdr>
    </w:div>
    <w:div w:id="1541556451">
      <w:bodyDiv w:val="1"/>
      <w:marLeft w:val="0"/>
      <w:marRight w:val="0"/>
      <w:marTop w:val="0"/>
      <w:marBottom w:val="0"/>
      <w:divBdr>
        <w:top w:val="none" w:sz="0" w:space="0" w:color="auto"/>
        <w:left w:val="none" w:sz="0" w:space="0" w:color="auto"/>
        <w:bottom w:val="none" w:sz="0" w:space="0" w:color="auto"/>
        <w:right w:val="none" w:sz="0" w:space="0" w:color="auto"/>
      </w:divBdr>
    </w:div>
    <w:div w:id="1614821704">
      <w:bodyDiv w:val="1"/>
      <w:marLeft w:val="0"/>
      <w:marRight w:val="0"/>
      <w:marTop w:val="0"/>
      <w:marBottom w:val="0"/>
      <w:divBdr>
        <w:top w:val="none" w:sz="0" w:space="0" w:color="auto"/>
        <w:left w:val="none" w:sz="0" w:space="0" w:color="auto"/>
        <w:bottom w:val="none" w:sz="0" w:space="0" w:color="auto"/>
        <w:right w:val="none" w:sz="0" w:space="0" w:color="auto"/>
      </w:divBdr>
    </w:div>
    <w:div w:id="1624925454">
      <w:bodyDiv w:val="1"/>
      <w:marLeft w:val="0"/>
      <w:marRight w:val="0"/>
      <w:marTop w:val="0"/>
      <w:marBottom w:val="0"/>
      <w:divBdr>
        <w:top w:val="none" w:sz="0" w:space="0" w:color="auto"/>
        <w:left w:val="none" w:sz="0" w:space="0" w:color="auto"/>
        <w:bottom w:val="none" w:sz="0" w:space="0" w:color="auto"/>
        <w:right w:val="none" w:sz="0" w:space="0" w:color="auto"/>
      </w:divBdr>
    </w:div>
    <w:div w:id="1633251192">
      <w:bodyDiv w:val="1"/>
      <w:marLeft w:val="0"/>
      <w:marRight w:val="0"/>
      <w:marTop w:val="0"/>
      <w:marBottom w:val="0"/>
      <w:divBdr>
        <w:top w:val="none" w:sz="0" w:space="0" w:color="auto"/>
        <w:left w:val="none" w:sz="0" w:space="0" w:color="auto"/>
        <w:bottom w:val="none" w:sz="0" w:space="0" w:color="auto"/>
        <w:right w:val="none" w:sz="0" w:space="0" w:color="auto"/>
      </w:divBdr>
    </w:div>
    <w:div w:id="1663509843">
      <w:bodyDiv w:val="1"/>
      <w:marLeft w:val="0"/>
      <w:marRight w:val="0"/>
      <w:marTop w:val="0"/>
      <w:marBottom w:val="0"/>
      <w:divBdr>
        <w:top w:val="none" w:sz="0" w:space="0" w:color="auto"/>
        <w:left w:val="none" w:sz="0" w:space="0" w:color="auto"/>
        <w:bottom w:val="none" w:sz="0" w:space="0" w:color="auto"/>
        <w:right w:val="none" w:sz="0" w:space="0" w:color="auto"/>
      </w:divBdr>
    </w:div>
    <w:div w:id="1669560070">
      <w:bodyDiv w:val="1"/>
      <w:marLeft w:val="0"/>
      <w:marRight w:val="0"/>
      <w:marTop w:val="0"/>
      <w:marBottom w:val="0"/>
      <w:divBdr>
        <w:top w:val="none" w:sz="0" w:space="0" w:color="auto"/>
        <w:left w:val="none" w:sz="0" w:space="0" w:color="auto"/>
        <w:bottom w:val="none" w:sz="0" w:space="0" w:color="auto"/>
        <w:right w:val="none" w:sz="0" w:space="0" w:color="auto"/>
      </w:divBdr>
    </w:div>
    <w:div w:id="1752193607">
      <w:bodyDiv w:val="1"/>
      <w:marLeft w:val="0"/>
      <w:marRight w:val="0"/>
      <w:marTop w:val="0"/>
      <w:marBottom w:val="0"/>
      <w:divBdr>
        <w:top w:val="none" w:sz="0" w:space="0" w:color="auto"/>
        <w:left w:val="none" w:sz="0" w:space="0" w:color="auto"/>
        <w:bottom w:val="none" w:sz="0" w:space="0" w:color="auto"/>
        <w:right w:val="none" w:sz="0" w:space="0" w:color="auto"/>
      </w:divBdr>
    </w:div>
    <w:div w:id="1819952536">
      <w:bodyDiv w:val="1"/>
      <w:marLeft w:val="0"/>
      <w:marRight w:val="0"/>
      <w:marTop w:val="0"/>
      <w:marBottom w:val="0"/>
      <w:divBdr>
        <w:top w:val="none" w:sz="0" w:space="0" w:color="auto"/>
        <w:left w:val="none" w:sz="0" w:space="0" w:color="auto"/>
        <w:bottom w:val="none" w:sz="0" w:space="0" w:color="auto"/>
        <w:right w:val="none" w:sz="0" w:space="0" w:color="auto"/>
      </w:divBdr>
    </w:div>
    <w:div w:id="1820802129">
      <w:bodyDiv w:val="1"/>
      <w:marLeft w:val="0"/>
      <w:marRight w:val="0"/>
      <w:marTop w:val="0"/>
      <w:marBottom w:val="0"/>
      <w:divBdr>
        <w:top w:val="none" w:sz="0" w:space="0" w:color="auto"/>
        <w:left w:val="none" w:sz="0" w:space="0" w:color="auto"/>
        <w:bottom w:val="none" w:sz="0" w:space="0" w:color="auto"/>
        <w:right w:val="none" w:sz="0" w:space="0" w:color="auto"/>
      </w:divBdr>
    </w:div>
    <w:div w:id="1913588847">
      <w:bodyDiv w:val="1"/>
      <w:marLeft w:val="0"/>
      <w:marRight w:val="0"/>
      <w:marTop w:val="0"/>
      <w:marBottom w:val="0"/>
      <w:divBdr>
        <w:top w:val="none" w:sz="0" w:space="0" w:color="auto"/>
        <w:left w:val="none" w:sz="0" w:space="0" w:color="auto"/>
        <w:bottom w:val="none" w:sz="0" w:space="0" w:color="auto"/>
        <w:right w:val="none" w:sz="0" w:space="0" w:color="auto"/>
      </w:divBdr>
    </w:div>
    <w:div w:id="1957564003">
      <w:bodyDiv w:val="1"/>
      <w:marLeft w:val="0"/>
      <w:marRight w:val="0"/>
      <w:marTop w:val="0"/>
      <w:marBottom w:val="0"/>
      <w:divBdr>
        <w:top w:val="none" w:sz="0" w:space="0" w:color="auto"/>
        <w:left w:val="none" w:sz="0" w:space="0" w:color="auto"/>
        <w:bottom w:val="none" w:sz="0" w:space="0" w:color="auto"/>
        <w:right w:val="none" w:sz="0" w:space="0" w:color="auto"/>
      </w:divBdr>
    </w:div>
    <w:div w:id="1971205719">
      <w:bodyDiv w:val="1"/>
      <w:marLeft w:val="0"/>
      <w:marRight w:val="0"/>
      <w:marTop w:val="0"/>
      <w:marBottom w:val="0"/>
      <w:divBdr>
        <w:top w:val="none" w:sz="0" w:space="0" w:color="auto"/>
        <w:left w:val="none" w:sz="0" w:space="0" w:color="auto"/>
        <w:bottom w:val="none" w:sz="0" w:space="0" w:color="auto"/>
        <w:right w:val="none" w:sz="0" w:space="0" w:color="auto"/>
      </w:divBdr>
      <w:divsChild>
        <w:div w:id="269356469">
          <w:marLeft w:val="0"/>
          <w:marRight w:val="0"/>
          <w:marTop w:val="0"/>
          <w:marBottom w:val="0"/>
          <w:divBdr>
            <w:top w:val="none" w:sz="0" w:space="0" w:color="auto"/>
            <w:left w:val="none" w:sz="0" w:space="0" w:color="auto"/>
            <w:bottom w:val="none" w:sz="0" w:space="0" w:color="auto"/>
            <w:right w:val="none" w:sz="0" w:space="0" w:color="auto"/>
          </w:divBdr>
        </w:div>
      </w:divsChild>
    </w:div>
    <w:div w:id="2116827468">
      <w:bodyDiv w:val="1"/>
      <w:marLeft w:val="0"/>
      <w:marRight w:val="0"/>
      <w:marTop w:val="0"/>
      <w:marBottom w:val="0"/>
      <w:divBdr>
        <w:top w:val="none" w:sz="0" w:space="0" w:color="auto"/>
        <w:left w:val="none" w:sz="0" w:space="0" w:color="auto"/>
        <w:bottom w:val="none" w:sz="0" w:space="0" w:color="auto"/>
        <w:right w:val="none" w:sz="0" w:space="0" w:color="auto"/>
      </w:divBdr>
    </w:div>
    <w:div w:id="2137601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2090</TotalTime>
  <Pages>13</Pages>
  <Words>5335</Words>
  <Characters>30414</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35678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Wilmore, Mark</dc:creator>
  <cp:keywords/>
  <dc:description/>
  <cp:lastModifiedBy>Wilmore, Mark</cp:lastModifiedBy>
  <cp:revision>37</cp:revision>
  <dcterms:created xsi:type="dcterms:W3CDTF">2025-05-26T21:33:00Z</dcterms:created>
  <dcterms:modified xsi:type="dcterms:W3CDTF">2025-07-21T18:33:00Z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2025-05-26T17:37:14Z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b6e53348-be6a-40ea-91a0-624db3b73ca1</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