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6100A32E"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 xml:space="preserve">Course: </w:t>
      </w:r>
      <w:r w:rsidR="005B2E73" w:rsidRPr="005B2E73">
        <w:rPr>
          <w:rFonts w:ascii="Aptos" w:hAnsi="Aptos" w:cs="Arial"/>
          <w:b/>
          <w:bCs/>
          <w:sz w:val="28"/>
          <w:szCs w:val="28"/>
        </w:rPr>
        <w:t>BSc Health and Social Care</w:t>
      </w:r>
    </w:p>
    <w:p w14:paraId="456A51B8" w14:textId="6821A95A" w:rsidR="005B2E73" w:rsidRDefault="00715990" w:rsidP="005B2E73">
      <w:pPr>
        <w:spacing w:before="120" w:after="120"/>
        <w:jc w:val="center"/>
        <w:rPr>
          <w:rFonts w:ascii="Arial" w:hAnsi="Arial" w:cs="Arial"/>
          <w:b/>
          <w:sz w:val="22"/>
        </w:rPr>
      </w:pPr>
      <w:r w:rsidRPr="003A2FDF">
        <w:rPr>
          <w:rFonts w:ascii="Aptos" w:hAnsi="Aptos" w:cs="Arial"/>
          <w:b/>
          <w:bCs/>
          <w:sz w:val="28"/>
          <w:szCs w:val="28"/>
        </w:rPr>
        <w:t xml:space="preserve">Module: </w:t>
      </w:r>
      <w:r w:rsidR="005B2E73" w:rsidRPr="005B2E73">
        <w:rPr>
          <w:rFonts w:ascii="Aptos" w:hAnsi="Aptos" w:cs="Arial"/>
          <w:b/>
          <w:bCs/>
          <w:sz w:val="28"/>
          <w:szCs w:val="28"/>
        </w:rPr>
        <w:t>Introduction to Independent Research Skills</w:t>
      </w:r>
      <w:r w:rsidR="005B2E73">
        <w:rPr>
          <w:rFonts w:ascii="Aptos" w:hAnsi="Aptos" w:cs="Arial"/>
          <w:b/>
          <w:bCs/>
          <w:sz w:val="28"/>
          <w:szCs w:val="28"/>
        </w:rPr>
        <w:t xml:space="preserve"> (</w:t>
      </w:r>
      <w:r w:rsidR="005B2E73">
        <w:rPr>
          <w:rFonts w:ascii="Arial" w:hAnsi="Arial" w:cs="Arial"/>
          <w:b/>
          <w:sz w:val="22"/>
        </w:rPr>
        <w:t>BMHP5019)</w:t>
      </w:r>
    </w:p>
    <w:p w14:paraId="7680A4B0" w14:textId="462C19AB" w:rsidR="00715990" w:rsidRPr="003A2FDF" w:rsidRDefault="00715990" w:rsidP="00041A5A">
      <w:pPr>
        <w:spacing w:line="360" w:lineRule="auto"/>
        <w:jc w:val="center"/>
        <w:rPr>
          <w:rFonts w:ascii="Aptos" w:hAnsi="Aptos" w:cs="Arial"/>
          <w:b/>
          <w:bCs/>
          <w:sz w:val="28"/>
          <w:szCs w:val="28"/>
        </w:rPr>
      </w:pPr>
    </w:p>
    <w:p w14:paraId="3157DF3C" w14:textId="77777777" w:rsidR="00715990" w:rsidRPr="003A2FDF" w:rsidRDefault="00715990" w:rsidP="00041A5A">
      <w:pPr>
        <w:spacing w:line="360" w:lineRule="auto"/>
        <w:jc w:val="center"/>
        <w:rPr>
          <w:rFonts w:ascii="Aptos" w:hAnsi="Aptos" w:cs="Arial"/>
          <w:sz w:val="28"/>
          <w:szCs w:val="28"/>
        </w:rPr>
      </w:pPr>
    </w:p>
    <w:p w14:paraId="4768C3AB" w14:textId="77777777" w:rsidR="005B2E73" w:rsidRPr="005B2E73" w:rsidRDefault="005B2E73" w:rsidP="005B2E73">
      <w:pPr>
        <w:spacing w:line="360" w:lineRule="auto"/>
        <w:jc w:val="center"/>
        <w:rPr>
          <w:rFonts w:ascii="Aptos" w:hAnsi="Aptos" w:cs="Arial"/>
          <w:b/>
          <w:bCs/>
          <w:sz w:val="28"/>
          <w:szCs w:val="28"/>
        </w:rPr>
      </w:pPr>
      <w:r w:rsidRPr="005B2E73">
        <w:rPr>
          <w:rFonts w:ascii="Aptos" w:hAnsi="Aptos" w:cs="Arial"/>
          <w:b/>
          <w:bCs/>
          <w:sz w:val="28"/>
          <w:szCs w:val="28"/>
        </w:rPr>
        <w:t xml:space="preserve">Component 1: </w:t>
      </w:r>
    </w:p>
    <w:p w14:paraId="08BDA311" w14:textId="19275216" w:rsidR="00041A5A" w:rsidRPr="005B2E73" w:rsidRDefault="005B2E73" w:rsidP="005B2E73">
      <w:pPr>
        <w:spacing w:line="360" w:lineRule="auto"/>
        <w:jc w:val="center"/>
        <w:rPr>
          <w:rFonts w:ascii="Aptos" w:hAnsi="Aptos" w:cs="Arial"/>
          <w:sz w:val="28"/>
          <w:szCs w:val="28"/>
        </w:rPr>
      </w:pPr>
      <w:r w:rsidRPr="005B2E73">
        <w:rPr>
          <w:rFonts w:ascii="Aptos" w:hAnsi="Aptos" w:cs="Arial"/>
          <w:sz w:val="28"/>
          <w:szCs w:val="28"/>
        </w:rPr>
        <w:t>Written Assignment (Research Proposal)</w:t>
      </w:r>
      <w:r w:rsidR="00545684" w:rsidRPr="005B2E73">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C7BAD5E" w14:textId="77777777" w:rsidR="005B2E73" w:rsidRPr="009228A2" w:rsidRDefault="00715990" w:rsidP="005B2E73">
      <w:pPr>
        <w:spacing w:line="360" w:lineRule="auto"/>
        <w:rPr>
          <w:rFonts w:ascii="Aptos" w:hAnsi="Aptos" w:cs="Arial"/>
          <w:sz w:val="28"/>
          <w:szCs w:val="28"/>
        </w:rPr>
      </w:pPr>
      <w:r w:rsidRPr="009228A2">
        <w:rPr>
          <w:rFonts w:ascii="Aptos" w:hAnsi="Aptos" w:cs="Arial"/>
          <w:b/>
          <w:bCs/>
          <w:sz w:val="28"/>
          <w:szCs w:val="28"/>
        </w:rPr>
        <w:t>Student ID</w:t>
      </w:r>
      <w:r w:rsidRPr="009228A2">
        <w:rPr>
          <w:rFonts w:ascii="Aptos" w:hAnsi="Aptos" w:cs="Arial"/>
          <w:sz w:val="28"/>
          <w:szCs w:val="28"/>
        </w:rPr>
        <w:t xml:space="preserve">: </w:t>
      </w:r>
      <w:r w:rsidR="005B2E73" w:rsidRPr="005B2E73">
        <w:rPr>
          <w:rFonts w:ascii="Aptos" w:hAnsi="Aptos" w:cs="Arial"/>
          <w:sz w:val="28"/>
          <w:szCs w:val="28"/>
        </w:rPr>
        <w:t>2426399</w:t>
      </w:r>
    </w:p>
    <w:p w14:paraId="01D5D8DB" w14:textId="03ED09ED" w:rsidR="00FF5B70" w:rsidRPr="009228A2" w:rsidRDefault="00FF5B70" w:rsidP="00041A5A">
      <w:pPr>
        <w:spacing w:line="360" w:lineRule="auto"/>
        <w:rPr>
          <w:rFonts w:ascii="Aptos" w:hAnsi="Aptos" w:cs="Arial"/>
          <w:sz w:val="28"/>
          <w:szCs w:val="28"/>
        </w:rPr>
      </w:pPr>
    </w:p>
    <w:p w14:paraId="7B4B148B" w14:textId="7E60E0A3" w:rsidR="00646B10" w:rsidRPr="009228A2" w:rsidRDefault="00FF5B70" w:rsidP="00646B10">
      <w:pPr>
        <w:spacing w:line="360" w:lineRule="auto"/>
        <w:rPr>
          <w:rFonts w:ascii="Aptos" w:hAnsi="Aptos" w:cs="Arial"/>
          <w:sz w:val="28"/>
          <w:szCs w:val="28"/>
        </w:rPr>
      </w:pPr>
      <w:r w:rsidRPr="009228A2">
        <w:rPr>
          <w:rFonts w:ascii="Aptos" w:hAnsi="Aptos" w:cs="Arial"/>
          <w:b/>
          <w:bCs/>
          <w:sz w:val="28"/>
          <w:szCs w:val="28"/>
        </w:rPr>
        <w:t>Student Name</w:t>
      </w:r>
      <w:r w:rsidRPr="009228A2">
        <w:rPr>
          <w:rFonts w:ascii="Aptos" w:hAnsi="Aptos" w:cs="Arial"/>
          <w:sz w:val="28"/>
          <w:szCs w:val="28"/>
        </w:rPr>
        <w:t xml:space="preserve">: </w:t>
      </w:r>
      <w:r w:rsidR="005B2E73" w:rsidRPr="005B2E73">
        <w:rPr>
          <w:rFonts w:ascii="Aptos" w:hAnsi="Aptos" w:cs="Arial"/>
          <w:sz w:val="28"/>
          <w:szCs w:val="28"/>
        </w:rPr>
        <w:t xml:space="preserve">Hira Ahmed </w:t>
      </w:r>
    </w:p>
    <w:p w14:paraId="638A4615" w14:textId="77777777" w:rsidR="00715990" w:rsidRPr="009228A2" w:rsidRDefault="00715990" w:rsidP="00041A5A">
      <w:pPr>
        <w:spacing w:line="360" w:lineRule="auto"/>
        <w:rPr>
          <w:rFonts w:ascii="Aptos" w:hAnsi="Aptos" w:cs="Arial"/>
          <w:sz w:val="28"/>
          <w:szCs w:val="28"/>
        </w:rPr>
      </w:pPr>
    </w:p>
    <w:p w14:paraId="5BD313B6" w14:textId="4BA804DC" w:rsidR="00715990" w:rsidRPr="009228A2" w:rsidRDefault="00715990" w:rsidP="00041A5A">
      <w:pPr>
        <w:spacing w:line="360" w:lineRule="auto"/>
        <w:rPr>
          <w:rFonts w:ascii="Aptos" w:hAnsi="Aptos" w:cs="Arial"/>
        </w:rPr>
      </w:pPr>
    </w:p>
    <w:p w14:paraId="07CF3A4D" w14:textId="4AAF8C7D" w:rsidR="00715990" w:rsidRPr="009228A2" w:rsidRDefault="00715990" w:rsidP="00041A5A">
      <w:pPr>
        <w:spacing w:line="360" w:lineRule="auto"/>
        <w:rPr>
          <w:rFonts w:ascii="Aptos" w:hAnsi="Aptos" w:cs="Arial"/>
        </w:rPr>
      </w:pPr>
      <w:r w:rsidRPr="009228A2">
        <w:rPr>
          <w:rFonts w:ascii="Aptos" w:hAnsi="Aptos" w:cs="Arial"/>
        </w:rPr>
        <w:br w:type="page"/>
      </w:r>
    </w:p>
    <w:p w14:paraId="75E7FD5C" w14:textId="3DECB18F" w:rsidR="00545684" w:rsidRPr="003A2FDF" w:rsidRDefault="005B2E73" w:rsidP="005B2E73">
      <w:pPr>
        <w:pStyle w:val="Heading1"/>
        <w:rPr>
          <w:rFonts w:ascii="Aptos" w:hAnsi="Aptos"/>
        </w:rPr>
      </w:pPr>
      <w:r w:rsidRPr="005B2E73">
        <w:rPr>
          <w:rFonts w:ascii="Aptos" w:hAnsi="Aptos"/>
          <w:bCs/>
        </w:rPr>
        <w:lastRenderedPageBreak/>
        <w:t>Written Assignment (Research Proposal)</w:t>
      </w:r>
    </w:p>
    <w:p w14:paraId="6630FBCE" w14:textId="0038F936" w:rsidR="00D769F0" w:rsidRPr="003A2FDF" w:rsidRDefault="00D769F0" w:rsidP="00D769F0">
      <w:pPr>
        <w:rPr>
          <w:rFonts w:ascii="Aptos" w:hAnsi="Aptos"/>
        </w:rPr>
      </w:pPr>
    </w:p>
    <w:p w14:paraId="40723A1F" w14:textId="2B855199" w:rsidR="00887DB9" w:rsidRPr="00887DB9" w:rsidRDefault="00FF5B70" w:rsidP="00887DB9">
      <w:pPr>
        <w:pStyle w:val="Heading2"/>
        <w:rPr>
          <w:rFonts w:ascii="Aptos" w:hAnsi="Aptos"/>
        </w:rPr>
      </w:pPr>
      <w:r w:rsidRPr="003A2FDF">
        <w:rPr>
          <w:rFonts w:ascii="Aptos" w:hAnsi="Aptos"/>
        </w:rPr>
        <w:t>My p</w:t>
      </w:r>
      <w:r w:rsidR="00D769F0" w:rsidRPr="003A2FDF">
        <w:rPr>
          <w:rFonts w:ascii="Aptos" w:hAnsi="Aptos"/>
        </w:rPr>
        <w:t>roject title</w:t>
      </w:r>
      <w:r w:rsidR="005B2E73">
        <w:rPr>
          <w:rFonts w:ascii="Aptos" w:hAnsi="Aptos"/>
        </w:rPr>
        <w:t xml:space="preserve">: </w:t>
      </w:r>
      <w:r w:rsidR="005B2E73" w:rsidRPr="005B2E73">
        <w:rPr>
          <w:rFonts w:ascii="Aptos" w:hAnsi="Aptos"/>
        </w:rPr>
        <w:t>The Impact of Language Barriers on Healthcare Access Among Migrants in the UK: A Scoping Review Proposal</w:t>
      </w:r>
    </w:p>
    <w:p w14:paraId="03FD30D3" w14:textId="475F3855" w:rsidR="00715990" w:rsidRPr="003A2FDF" w:rsidRDefault="00715990" w:rsidP="00041A5A">
      <w:pPr>
        <w:spacing w:line="360" w:lineRule="auto"/>
        <w:rPr>
          <w:rFonts w:ascii="Aptos" w:hAnsi="Aptos" w:cs="Arial"/>
        </w:rPr>
      </w:pPr>
    </w:p>
    <w:p w14:paraId="40C7BB25" w14:textId="0751AF64" w:rsidR="00784670" w:rsidRPr="003A2FDF" w:rsidRDefault="00FF5B70" w:rsidP="00C604B7">
      <w:pPr>
        <w:pStyle w:val="Heading2"/>
      </w:pPr>
      <w:r w:rsidRPr="003A2FDF">
        <w:t>1</w:t>
      </w:r>
      <w:r w:rsidR="00784670" w:rsidRPr="003A2FDF">
        <w:t xml:space="preserve">) </w:t>
      </w:r>
      <w:r w:rsidR="005B2E73" w:rsidRPr="005B2E73">
        <w:t>Research Topic, Question and Objectives</w:t>
      </w:r>
      <w:r w:rsidR="00784670" w:rsidRPr="003A2FDF">
        <w:t>:</w:t>
      </w:r>
    </w:p>
    <w:p w14:paraId="2AD6056B" w14:textId="77777777" w:rsidR="005B2E73" w:rsidRPr="005B2E73" w:rsidRDefault="005B2E73" w:rsidP="005B2E73">
      <w:pPr>
        <w:spacing w:line="360" w:lineRule="auto"/>
        <w:jc w:val="both"/>
        <w:rPr>
          <w:rFonts w:ascii="Arial" w:hAnsi="Arial" w:cs="Arial"/>
        </w:rPr>
      </w:pPr>
      <w:r w:rsidRPr="005B2E73">
        <w:rPr>
          <w:rFonts w:ascii="Arial" w:hAnsi="Arial" w:cs="Arial"/>
        </w:rPr>
        <w:t>Language barriers can make it difficult for migrants to access healthcare, explain symptoms and understand medical advice (Office for Health Improvement and Disparities, 2021).</w:t>
      </w:r>
    </w:p>
    <w:p w14:paraId="6F9AA5B2" w14:textId="77777777" w:rsidR="005B2E73" w:rsidRPr="005B2E73" w:rsidRDefault="005B2E73" w:rsidP="005B2E73">
      <w:pPr>
        <w:spacing w:line="360" w:lineRule="auto"/>
        <w:jc w:val="both"/>
        <w:rPr>
          <w:rFonts w:ascii="Arial" w:hAnsi="Arial" w:cs="Arial"/>
        </w:rPr>
      </w:pPr>
      <w:r w:rsidRPr="005B2E73">
        <w:rPr>
          <w:rFonts w:ascii="Arial" w:hAnsi="Arial" w:cs="Arial"/>
          <w:b/>
          <w:bCs/>
        </w:rPr>
        <w:t>Research question:</w:t>
      </w:r>
      <w:r w:rsidRPr="005B2E73">
        <w:rPr>
          <w:rFonts w:ascii="Arial" w:hAnsi="Arial" w:cs="Arial"/>
        </w:rPr>
        <w:t xml:space="preserve"> How do language barriers affect migrants' access to healthcare services in the UK?</w:t>
      </w:r>
    </w:p>
    <w:p w14:paraId="1AD396FA" w14:textId="77777777" w:rsidR="005B2E73" w:rsidRPr="005B2E73" w:rsidRDefault="005B2E73" w:rsidP="005B2E73">
      <w:pPr>
        <w:spacing w:line="360" w:lineRule="auto"/>
        <w:jc w:val="both"/>
        <w:rPr>
          <w:rFonts w:ascii="Arial" w:hAnsi="Arial" w:cs="Arial"/>
        </w:rPr>
      </w:pPr>
      <w:r w:rsidRPr="005B2E73">
        <w:rPr>
          <w:rFonts w:ascii="Arial" w:hAnsi="Arial" w:cs="Arial"/>
          <w:b/>
          <w:bCs/>
        </w:rPr>
        <w:t>Objectives:</w:t>
      </w:r>
    </w:p>
    <w:p w14:paraId="4253AB4B" w14:textId="77777777" w:rsidR="005B2E73" w:rsidRPr="005B2E73" w:rsidRDefault="005B2E73" w:rsidP="005B2E73">
      <w:pPr>
        <w:numPr>
          <w:ilvl w:val="0"/>
          <w:numId w:val="8"/>
        </w:numPr>
        <w:spacing w:line="360" w:lineRule="auto"/>
        <w:jc w:val="both"/>
        <w:rPr>
          <w:rFonts w:ascii="Arial" w:hAnsi="Arial" w:cs="Arial"/>
        </w:rPr>
      </w:pPr>
      <w:r w:rsidRPr="005B2E73">
        <w:rPr>
          <w:rFonts w:ascii="Arial" w:hAnsi="Arial" w:cs="Arial"/>
        </w:rPr>
        <w:t>Identify language-related barriers to healthcare access.</w:t>
      </w:r>
    </w:p>
    <w:p w14:paraId="1EDF381C" w14:textId="77777777" w:rsidR="005B2E73" w:rsidRPr="005B2E73" w:rsidRDefault="005B2E73" w:rsidP="005B2E73">
      <w:pPr>
        <w:numPr>
          <w:ilvl w:val="0"/>
          <w:numId w:val="8"/>
        </w:numPr>
        <w:spacing w:line="360" w:lineRule="auto"/>
        <w:jc w:val="both"/>
        <w:rPr>
          <w:rFonts w:ascii="Arial" w:hAnsi="Arial" w:cs="Arial"/>
        </w:rPr>
      </w:pPr>
      <w:r w:rsidRPr="005B2E73">
        <w:rPr>
          <w:rFonts w:ascii="Arial" w:hAnsi="Arial" w:cs="Arial"/>
        </w:rPr>
        <w:t>Examine their effects on communication and patient experiences.</w:t>
      </w:r>
    </w:p>
    <w:p w14:paraId="7478582B" w14:textId="77777777" w:rsidR="005B2E73" w:rsidRPr="005B2E73" w:rsidRDefault="005B2E73" w:rsidP="005B2E73">
      <w:pPr>
        <w:numPr>
          <w:ilvl w:val="0"/>
          <w:numId w:val="8"/>
        </w:numPr>
        <w:spacing w:line="360" w:lineRule="auto"/>
        <w:jc w:val="both"/>
        <w:rPr>
          <w:rFonts w:ascii="Arial" w:hAnsi="Arial" w:cs="Arial"/>
        </w:rPr>
      </w:pPr>
      <w:r w:rsidRPr="005B2E73">
        <w:rPr>
          <w:rFonts w:ascii="Arial" w:hAnsi="Arial" w:cs="Arial"/>
        </w:rPr>
        <w:t>Explore how interpreting services could improve access.</w:t>
      </w:r>
    </w:p>
    <w:p w14:paraId="4B36F4E2" w14:textId="77777777" w:rsidR="00A6153D" w:rsidRPr="003A2FDF" w:rsidRDefault="00A6153D" w:rsidP="00A6153D">
      <w:pPr>
        <w:spacing w:line="360" w:lineRule="auto"/>
        <w:rPr>
          <w:rFonts w:ascii="Aptos" w:hAnsi="Aptos" w:cs="Arial"/>
        </w:rPr>
      </w:pPr>
    </w:p>
    <w:p w14:paraId="3AC96963" w14:textId="4E209BAE" w:rsidR="00545684" w:rsidRPr="003A2FDF" w:rsidRDefault="005B2E73" w:rsidP="00784670">
      <w:pPr>
        <w:pStyle w:val="Heading2"/>
        <w:rPr>
          <w:rFonts w:ascii="Aptos" w:hAnsi="Aptos"/>
        </w:rPr>
      </w:pPr>
      <w:r>
        <w:rPr>
          <w:rFonts w:ascii="Aptos" w:hAnsi="Aptos"/>
        </w:rPr>
        <w:t>2</w:t>
      </w:r>
      <w:r w:rsidR="008E5015" w:rsidRPr="003A2FDF">
        <w:rPr>
          <w:rFonts w:ascii="Aptos" w:hAnsi="Aptos"/>
        </w:rPr>
        <w:t xml:space="preserve">) </w:t>
      </w:r>
      <w:r w:rsidR="00545684" w:rsidRPr="003A2FDF">
        <w:rPr>
          <w:rFonts w:ascii="Aptos" w:hAnsi="Aptos"/>
        </w:rPr>
        <w:t>Background</w:t>
      </w:r>
      <w:r>
        <w:rPr>
          <w:rFonts w:ascii="Aptos" w:hAnsi="Aptos"/>
        </w:rPr>
        <w:t xml:space="preserve"> and </w:t>
      </w:r>
      <w:r w:rsidR="00FB4301" w:rsidRPr="003A2FDF">
        <w:rPr>
          <w:rFonts w:ascii="Aptos" w:hAnsi="Aptos"/>
        </w:rPr>
        <w:t>Rationale</w:t>
      </w:r>
      <w:r w:rsidR="00545684" w:rsidRPr="003A2FDF">
        <w:rPr>
          <w:rFonts w:ascii="Aptos" w:hAnsi="Aptos"/>
        </w:rPr>
        <w:t>:</w:t>
      </w:r>
    </w:p>
    <w:p w14:paraId="48886EE3" w14:textId="77777777" w:rsidR="008A659F" w:rsidRPr="008A659F" w:rsidRDefault="008A659F" w:rsidP="008A659F">
      <w:pPr>
        <w:spacing w:line="360" w:lineRule="auto"/>
        <w:jc w:val="both"/>
        <w:rPr>
          <w:rFonts w:ascii="Arial" w:hAnsi="Arial" w:cs="Arial"/>
        </w:rPr>
      </w:pPr>
      <w:r w:rsidRPr="008A659F">
        <w:rPr>
          <w:rFonts w:ascii="Arial" w:hAnsi="Arial" w:cs="Arial"/>
        </w:rPr>
        <w:t>Language difficulties may cause delayed treatment, misunderstandings and unequal healthcare access (NHS England, 2025). However, unfamiliarity with NHS services and healthcare entitlements can create additional barriers (Office for Health Improvement and Disparities, 2021).</w:t>
      </w:r>
    </w:p>
    <w:p w14:paraId="25D4CD64" w14:textId="77777777" w:rsidR="00B23F0E" w:rsidRPr="00B23F0E" w:rsidRDefault="008A659F" w:rsidP="00B23F0E">
      <w:pPr>
        <w:spacing w:line="360" w:lineRule="auto"/>
        <w:jc w:val="both"/>
        <w:rPr>
          <w:rFonts w:ascii="Arial" w:hAnsi="Arial" w:cs="Arial"/>
        </w:rPr>
      </w:pPr>
      <w:r w:rsidRPr="008A659F">
        <w:rPr>
          <w:rFonts w:ascii="Arial" w:hAnsi="Arial" w:cs="Arial"/>
        </w:rPr>
        <w:t xml:space="preserve">Leonardo et al. (2025) highlight the benefits of interpreting services, while </w:t>
      </w:r>
      <w:proofErr w:type="spellStart"/>
      <w:r w:rsidRPr="008A659F">
        <w:rPr>
          <w:rFonts w:ascii="Arial" w:hAnsi="Arial" w:cs="Arial"/>
        </w:rPr>
        <w:t>Krystallidou</w:t>
      </w:r>
      <w:proofErr w:type="spellEnd"/>
      <w:r w:rsidRPr="008A659F">
        <w:rPr>
          <w:rFonts w:ascii="Arial" w:hAnsi="Arial" w:cs="Arial"/>
        </w:rPr>
        <w:t xml:space="preserve"> et al. (2024) identify continuing communication and cultural difficulties. This suggests that interpreters alone may not resolve healthcare inequalities. Hanwell et al. (2025) and Van Hout et al. (2024) also highlight wider challenges affecting healthcare access among refugees and asylum seekers.</w:t>
      </w:r>
      <w:r w:rsidR="00B23F0E">
        <w:rPr>
          <w:rFonts w:ascii="Arial" w:hAnsi="Arial" w:cs="Arial"/>
        </w:rPr>
        <w:t xml:space="preserve"> </w:t>
      </w:r>
      <w:r w:rsidR="00B23F0E" w:rsidRPr="00B23F0E">
        <w:rPr>
          <w:rFonts w:ascii="Arial" w:hAnsi="Arial" w:cs="Arial"/>
        </w:rPr>
        <w:t xml:space="preserve">However, these studies focus on </w:t>
      </w:r>
      <w:proofErr w:type="gramStart"/>
      <w:r w:rsidR="00B23F0E" w:rsidRPr="00B23F0E">
        <w:rPr>
          <w:rFonts w:ascii="Arial" w:hAnsi="Arial" w:cs="Arial"/>
        </w:rPr>
        <w:t>particular migrant</w:t>
      </w:r>
      <w:proofErr w:type="gramEnd"/>
      <w:r w:rsidR="00B23F0E" w:rsidRPr="00B23F0E">
        <w:rPr>
          <w:rFonts w:ascii="Arial" w:hAnsi="Arial" w:cs="Arial"/>
        </w:rPr>
        <w:t xml:space="preserve"> groups, so their findings may not fully represent the experiences of all migrants living in the UK.</w:t>
      </w:r>
    </w:p>
    <w:p w14:paraId="332E5A12" w14:textId="48C9333C" w:rsidR="00545684" w:rsidRPr="003A2FDF" w:rsidRDefault="00B23F0E" w:rsidP="00784670">
      <w:pPr>
        <w:pStyle w:val="Heading2"/>
        <w:rPr>
          <w:rFonts w:ascii="Aptos" w:hAnsi="Aptos"/>
        </w:rPr>
      </w:pPr>
      <w:r>
        <w:rPr>
          <w:rFonts w:ascii="Aptos" w:hAnsi="Aptos"/>
        </w:rPr>
        <w:lastRenderedPageBreak/>
        <w:t>3</w:t>
      </w:r>
      <w:r w:rsidR="008E5015" w:rsidRPr="003A2FDF">
        <w:rPr>
          <w:rFonts w:ascii="Aptos" w:hAnsi="Aptos"/>
        </w:rPr>
        <w:t xml:space="preserve">) </w:t>
      </w:r>
      <w:r w:rsidR="005B2E73" w:rsidRPr="005B2E73">
        <w:rPr>
          <w:rFonts w:ascii="Aptos" w:hAnsi="Aptos"/>
        </w:rPr>
        <w:t>Research Methodology</w:t>
      </w:r>
      <w:r w:rsidR="00545684" w:rsidRPr="003A2FDF">
        <w:rPr>
          <w:rFonts w:ascii="Aptos" w:hAnsi="Aptos"/>
        </w:rPr>
        <w:t>:</w:t>
      </w:r>
    </w:p>
    <w:p w14:paraId="26865E07" w14:textId="77777777" w:rsidR="008A659F" w:rsidRPr="008A659F" w:rsidRDefault="008A659F" w:rsidP="008A659F">
      <w:pPr>
        <w:spacing w:line="360" w:lineRule="auto"/>
        <w:jc w:val="both"/>
        <w:rPr>
          <w:rFonts w:ascii="Arial" w:hAnsi="Arial" w:cs="Arial"/>
        </w:rPr>
      </w:pPr>
      <w:r w:rsidRPr="008A659F">
        <w:rPr>
          <w:rFonts w:ascii="Arial" w:hAnsi="Arial" w:cs="Arial"/>
        </w:rPr>
        <w:t>This study will use a scoping review of published peer-reviewed research. This method is suitable for identifying barriers, comparing findings and recognising gaps in existing evidence (Peters et al., 2020).</w:t>
      </w:r>
    </w:p>
    <w:p w14:paraId="0BD1F84E" w14:textId="77777777" w:rsidR="008A659F" w:rsidRPr="008A659F" w:rsidRDefault="008A659F" w:rsidP="008A659F">
      <w:pPr>
        <w:spacing w:line="360" w:lineRule="auto"/>
        <w:jc w:val="both"/>
        <w:rPr>
          <w:rFonts w:ascii="Arial" w:hAnsi="Arial" w:cs="Arial"/>
        </w:rPr>
      </w:pPr>
      <w:r w:rsidRPr="008A659F">
        <w:rPr>
          <w:rFonts w:ascii="Arial" w:hAnsi="Arial" w:cs="Arial"/>
        </w:rPr>
        <w:t xml:space="preserve">PubMed, CINAHL and Google Scholar will be searched using keywords including ‘migrants’, ‘language barriers’, ‘interpreting’, ‘healthcare </w:t>
      </w:r>
      <w:proofErr w:type="gramStart"/>
      <w:r w:rsidRPr="008A659F">
        <w:rPr>
          <w:rFonts w:ascii="Arial" w:hAnsi="Arial" w:cs="Arial"/>
        </w:rPr>
        <w:t>access’</w:t>
      </w:r>
      <w:proofErr w:type="gramEnd"/>
      <w:r w:rsidRPr="008A659F">
        <w:rPr>
          <w:rFonts w:ascii="Arial" w:hAnsi="Arial" w:cs="Arial"/>
        </w:rPr>
        <w:t xml:space="preserve"> and ‘UK’.</w:t>
      </w:r>
    </w:p>
    <w:p w14:paraId="112F7FF0" w14:textId="599C86EB" w:rsidR="008A659F" w:rsidRPr="008A659F" w:rsidRDefault="008A659F" w:rsidP="008A659F">
      <w:pPr>
        <w:spacing w:line="360" w:lineRule="auto"/>
        <w:jc w:val="both"/>
        <w:rPr>
          <w:rFonts w:ascii="Arial" w:hAnsi="Arial" w:cs="Arial"/>
        </w:rPr>
      </w:pPr>
      <w:r w:rsidRPr="008A659F">
        <w:rPr>
          <w:rFonts w:ascii="Arial" w:hAnsi="Arial" w:cs="Arial"/>
        </w:rPr>
        <w:t xml:space="preserve">The review will prioritise studies published between 2021 and 2026 involving migrants accessing UK healthcare. Studies outside the UK or unrelated to language barriers will be excluded. </w:t>
      </w:r>
    </w:p>
    <w:p w14:paraId="664BC51F" w14:textId="77777777" w:rsidR="008A659F" w:rsidRPr="008A659F" w:rsidRDefault="008A659F" w:rsidP="008A659F">
      <w:pPr>
        <w:spacing w:line="360" w:lineRule="auto"/>
        <w:jc w:val="both"/>
        <w:rPr>
          <w:rFonts w:ascii="Arial" w:hAnsi="Arial" w:cs="Arial"/>
        </w:rPr>
      </w:pPr>
      <w:r w:rsidRPr="008A659F">
        <w:rPr>
          <w:rFonts w:ascii="Arial" w:hAnsi="Arial" w:cs="Arial"/>
        </w:rPr>
        <w:t>Selected studies will be screened, and information about healthcare settings, communication barriers and patient experiences will be recorded. Findings will be grouped into themes, including appointment access, interpreting services and communication difficulties. PRISMA-ScR guidance will support transparent reporting (Tricco et al., 2018).</w:t>
      </w:r>
    </w:p>
    <w:p w14:paraId="30E51E6F" w14:textId="77777777" w:rsidR="00B23F0E" w:rsidRDefault="00B23F0E" w:rsidP="00B23F0E">
      <w:pPr>
        <w:spacing w:line="360" w:lineRule="auto"/>
        <w:jc w:val="both"/>
        <w:rPr>
          <w:rFonts w:ascii="Arial" w:hAnsi="Arial" w:cs="Arial"/>
        </w:rPr>
      </w:pPr>
      <w:r w:rsidRPr="00B23F0E">
        <w:rPr>
          <w:rFonts w:ascii="Arial" w:hAnsi="Arial" w:cs="Arial"/>
        </w:rPr>
        <w:t>However, differences between migrant communities and excluding non-English publications may limit the findings. Comparing studies from different healthcare settings may also be difficult because their methods and participant groups vary.</w:t>
      </w:r>
    </w:p>
    <w:p w14:paraId="4CCC742B" w14:textId="77777777" w:rsidR="00E1492C" w:rsidRPr="00B23F0E" w:rsidRDefault="00E1492C" w:rsidP="00B23F0E">
      <w:pPr>
        <w:spacing w:line="360" w:lineRule="auto"/>
        <w:jc w:val="both"/>
        <w:rPr>
          <w:rFonts w:ascii="Arial" w:hAnsi="Arial" w:cs="Arial"/>
        </w:rPr>
      </w:pPr>
    </w:p>
    <w:p w14:paraId="232DCC93" w14:textId="6FFFC978" w:rsidR="0061260B" w:rsidRPr="003A2FDF" w:rsidRDefault="00B23F0E" w:rsidP="00784670">
      <w:pPr>
        <w:pStyle w:val="Heading2"/>
        <w:rPr>
          <w:rFonts w:ascii="Aptos" w:hAnsi="Aptos"/>
        </w:rPr>
      </w:pPr>
      <w:r>
        <w:rPr>
          <w:rFonts w:ascii="Aptos" w:hAnsi="Aptos"/>
        </w:rPr>
        <w:t>4</w:t>
      </w:r>
      <w:r w:rsidR="0061260B" w:rsidRPr="003A2FDF">
        <w:rPr>
          <w:rFonts w:ascii="Aptos" w:hAnsi="Aptos"/>
        </w:rPr>
        <w:t xml:space="preserve">) </w:t>
      </w:r>
      <w:r w:rsidR="005B2E73" w:rsidRPr="005B2E73">
        <w:rPr>
          <w:rFonts w:ascii="Aptos" w:hAnsi="Aptos"/>
        </w:rPr>
        <w:t>Ethical Considerations</w:t>
      </w:r>
      <w:r w:rsidR="00260277" w:rsidRPr="003A2FDF">
        <w:rPr>
          <w:rFonts w:ascii="Aptos" w:hAnsi="Aptos"/>
        </w:rPr>
        <w:t>:</w:t>
      </w:r>
      <w:r w:rsidR="0061260B" w:rsidRPr="003A2FDF">
        <w:rPr>
          <w:rFonts w:ascii="Aptos" w:hAnsi="Aptos"/>
        </w:rPr>
        <w:t xml:space="preserve"> </w:t>
      </w:r>
    </w:p>
    <w:p w14:paraId="1CE3B538" w14:textId="77777777" w:rsidR="00583A22" w:rsidRDefault="00583A22" w:rsidP="00583A22">
      <w:pPr>
        <w:spacing w:line="360" w:lineRule="auto"/>
        <w:jc w:val="both"/>
        <w:rPr>
          <w:rFonts w:ascii="Arial" w:hAnsi="Arial" w:cs="Arial"/>
        </w:rPr>
      </w:pPr>
      <w:r w:rsidRPr="00583A22">
        <w:rPr>
          <w:rFonts w:ascii="Arial" w:hAnsi="Arial" w:cs="Arial"/>
        </w:rPr>
        <w:t>Only published research will be reviewed, so no patients will be recruited. Sources will be referenced accurately, and findings will be presented fairly without stereotyping migrant communities. Confidentiality and patient safety will also be considered when examining interpreting services (NHS England, 2025).</w:t>
      </w:r>
    </w:p>
    <w:p w14:paraId="1B5EF1A9" w14:textId="77777777" w:rsidR="00E1492C" w:rsidRPr="00583A22" w:rsidRDefault="00E1492C" w:rsidP="00583A22">
      <w:pPr>
        <w:spacing w:line="360" w:lineRule="auto"/>
        <w:jc w:val="both"/>
        <w:rPr>
          <w:rFonts w:ascii="Arial" w:hAnsi="Arial" w:cs="Arial"/>
        </w:rPr>
      </w:pPr>
    </w:p>
    <w:p w14:paraId="5713A915" w14:textId="65C617F6" w:rsidR="00FF5B70" w:rsidRPr="003A2FDF" w:rsidRDefault="00B23F0E" w:rsidP="00041A5A">
      <w:pPr>
        <w:spacing w:line="360" w:lineRule="auto"/>
        <w:rPr>
          <w:rFonts w:ascii="Aptos" w:hAnsi="Aptos" w:cs="Arial"/>
          <w:b/>
          <w:bCs/>
          <w:i/>
          <w:iCs/>
          <w:sz w:val="28"/>
          <w:szCs w:val="28"/>
        </w:rPr>
      </w:pPr>
      <w:r>
        <w:rPr>
          <w:rFonts w:ascii="Aptos" w:hAnsi="Aptos" w:cs="Arial"/>
          <w:b/>
          <w:bCs/>
          <w:i/>
          <w:iCs/>
          <w:sz w:val="28"/>
          <w:szCs w:val="28"/>
        </w:rPr>
        <w:t>5</w:t>
      </w:r>
      <w:r w:rsidR="00FF5B70" w:rsidRPr="003A2FDF">
        <w:rPr>
          <w:rFonts w:ascii="Aptos" w:hAnsi="Aptos" w:cs="Arial"/>
          <w:b/>
          <w:bCs/>
          <w:i/>
          <w:iCs/>
          <w:sz w:val="28"/>
          <w:szCs w:val="28"/>
        </w:rPr>
        <w:t xml:space="preserve">) </w:t>
      </w:r>
      <w:r w:rsidR="005B2E73" w:rsidRPr="005B2E73">
        <w:rPr>
          <w:rFonts w:ascii="Aptos" w:hAnsi="Aptos" w:cs="Arial"/>
          <w:b/>
          <w:bCs/>
          <w:i/>
          <w:iCs/>
          <w:sz w:val="28"/>
          <w:szCs w:val="28"/>
        </w:rPr>
        <w:t>Expected Contribution</w:t>
      </w:r>
    </w:p>
    <w:p w14:paraId="3ECCA822" w14:textId="77777777" w:rsidR="008A659F" w:rsidRPr="008A659F" w:rsidRDefault="008A659F" w:rsidP="008A659F">
      <w:pPr>
        <w:spacing w:line="360" w:lineRule="auto"/>
        <w:jc w:val="both"/>
        <w:rPr>
          <w:rFonts w:ascii="Arial" w:hAnsi="Arial" w:cs="Arial"/>
        </w:rPr>
      </w:pPr>
      <w:r w:rsidRPr="008A659F">
        <w:rPr>
          <w:rFonts w:ascii="Arial" w:hAnsi="Arial" w:cs="Arial"/>
        </w:rPr>
        <w:t>The review may identify gaps in language support and recommend improvements to interpreting services, staff awareness and accessible healthcare communication.</w:t>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71E585E2" w14:textId="44932C1F" w:rsidR="00DC4EB2" w:rsidRPr="00DC4EB2" w:rsidRDefault="00DC4EB2" w:rsidP="00DC4EB2">
      <w:pPr>
        <w:spacing w:after="140" w:line="360" w:lineRule="auto"/>
        <w:ind w:left="90" w:firstLine="18"/>
        <w:rPr>
          <w:rFonts w:ascii="Arial" w:hAnsi="Arial"/>
          <w:lang w:val="fr-FR"/>
        </w:rPr>
      </w:pPr>
      <w:r w:rsidRPr="00DC4EB2">
        <w:rPr>
          <w:rFonts w:ascii="Arial" w:hAnsi="Arial"/>
        </w:rPr>
        <w:t xml:space="preserve">Hanwell, K., Finnerty, F. and Richardson, D. (2025) ‘Asylum seekers’ and refugees’ experiences of violence and accessing healthcare in the UK: a systematic review’, </w:t>
      </w:r>
      <w:r w:rsidRPr="00DC4EB2">
        <w:rPr>
          <w:rFonts w:ascii="Arial" w:hAnsi="Arial"/>
          <w:i/>
        </w:rPr>
        <w:t>Journal of Public Health</w:t>
      </w:r>
      <w:r w:rsidRPr="00DC4EB2">
        <w:rPr>
          <w:rFonts w:ascii="Arial" w:hAnsi="Arial"/>
        </w:rPr>
        <w:t xml:space="preserve"> 47(2), pp. 207–216. </w:t>
      </w:r>
      <w:r w:rsidRPr="00DC4EB2">
        <w:rPr>
          <w:rFonts w:ascii="Arial" w:hAnsi="Arial"/>
          <w:lang w:val="fr-FR"/>
        </w:rPr>
        <w:t xml:space="preserve">Available </w:t>
      </w:r>
      <w:proofErr w:type="gramStart"/>
      <w:r w:rsidRPr="00DC4EB2">
        <w:rPr>
          <w:rFonts w:ascii="Arial" w:hAnsi="Arial"/>
          <w:lang w:val="fr-FR"/>
        </w:rPr>
        <w:t>at:</w:t>
      </w:r>
      <w:proofErr w:type="gramEnd"/>
      <w:r w:rsidRPr="00DC4EB2">
        <w:rPr>
          <w:rFonts w:ascii="Arial" w:hAnsi="Arial"/>
          <w:lang w:val="fr-FR"/>
        </w:rPr>
        <w:t xml:space="preserve"> </w:t>
      </w:r>
      <w:hyperlink r:id="rId8">
        <w:r w:rsidRPr="00DC4EB2">
          <w:rPr>
            <w:rFonts w:ascii="Arial" w:hAnsi="Arial"/>
            <w:color w:val="0563C1"/>
            <w:lang w:val="fr-FR"/>
          </w:rPr>
          <w:t>https://doi.org/10.1093/pubmed/fdaf005</w:t>
        </w:r>
      </w:hyperlink>
    </w:p>
    <w:p w14:paraId="0D4E13CF" w14:textId="06E4580A" w:rsidR="00DC4EB2" w:rsidRPr="00DC4EB2" w:rsidRDefault="00DC4EB2" w:rsidP="00DC4EB2">
      <w:pPr>
        <w:spacing w:after="140" w:line="360" w:lineRule="auto"/>
        <w:ind w:left="90" w:firstLine="18"/>
        <w:rPr>
          <w:rFonts w:ascii="Arial" w:hAnsi="Arial"/>
        </w:rPr>
      </w:pPr>
      <w:r w:rsidRPr="00DC4EB2">
        <w:rPr>
          <w:rFonts w:ascii="Arial" w:hAnsi="Arial"/>
          <w:lang w:val="fr-FR"/>
        </w:rPr>
        <w:t xml:space="preserve">Krystallidou, D. et al. </w:t>
      </w:r>
      <w:r w:rsidRPr="00DC4EB2">
        <w:rPr>
          <w:rFonts w:ascii="Arial" w:hAnsi="Arial"/>
        </w:rPr>
        <w:t xml:space="preserve">(2024) ‘Communication in refugee and migrant mental healthcare: A systematic rapid review on the needs, barriers and strategies of seekers and providers of mental health services’, </w:t>
      </w:r>
      <w:r w:rsidRPr="00DC4EB2">
        <w:rPr>
          <w:rFonts w:ascii="Arial" w:hAnsi="Arial"/>
          <w:i/>
        </w:rPr>
        <w:t>Health Policy</w:t>
      </w:r>
      <w:r w:rsidRPr="00DC4EB2">
        <w:rPr>
          <w:rFonts w:ascii="Arial" w:hAnsi="Arial"/>
        </w:rPr>
        <w:t xml:space="preserve">, 139, article 104949. Available at: </w:t>
      </w:r>
      <w:hyperlink r:id="rId9">
        <w:r w:rsidRPr="00DC4EB2">
          <w:rPr>
            <w:rFonts w:ascii="Arial" w:hAnsi="Arial"/>
            <w:color w:val="4472C4" w:themeColor="accent1"/>
          </w:rPr>
          <w:t>https://doi.org/10.1016/j.healthpol.2023.104949</w:t>
        </w:r>
      </w:hyperlink>
    </w:p>
    <w:p w14:paraId="075AA479" w14:textId="77777777" w:rsidR="00DC4EB2" w:rsidRPr="00DC4EB2" w:rsidRDefault="00DC4EB2" w:rsidP="00DC4EB2">
      <w:pPr>
        <w:spacing w:after="140" w:line="360" w:lineRule="auto"/>
        <w:ind w:left="90" w:firstLine="18"/>
        <w:rPr>
          <w:rFonts w:ascii="Arial" w:hAnsi="Arial"/>
        </w:rPr>
      </w:pPr>
      <w:r w:rsidRPr="00DC4EB2">
        <w:rPr>
          <w:rFonts w:ascii="Arial" w:hAnsi="Arial"/>
        </w:rPr>
        <w:t xml:space="preserve">Leonardo, J., Hopkinshaw, B., Webb, S. and Eisen, S. (2025) ‘A qualitative study exploring the use of interpreters in a healthcare setting for children and young people seeking asylum and refugees’, </w:t>
      </w:r>
      <w:r w:rsidRPr="00DC4EB2">
        <w:rPr>
          <w:rFonts w:ascii="Arial" w:hAnsi="Arial"/>
          <w:i/>
        </w:rPr>
        <w:t>BMC Health Services Research</w:t>
      </w:r>
      <w:r w:rsidRPr="00DC4EB2">
        <w:rPr>
          <w:rFonts w:ascii="Arial" w:hAnsi="Arial"/>
        </w:rPr>
        <w:t xml:space="preserve">, 25, article 1547. Available at: </w:t>
      </w:r>
      <w:hyperlink r:id="rId10">
        <w:r w:rsidRPr="00DC4EB2">
          <w:rPr>
            <w:rFonts w:ascii="Arial" w:hAnsi="Arial"/>
            <w:color w:val="4472C4" w:themeColor="accent1"/>
          </w:rPr>
          <w:t>https://doi.org/10.1186/s12913-025-13533-8</w:t>
        </w:r>
      </w:hyperlink>
    </w:p>
    <w:p w14:paraId="3B64793E" w14:textId="28F49611" w:rsidR="00DC4EB2" w:rsidRPr="00DC4EB2" w:rsidRDefault="00DC4EB2" w:rsidP="00DC4EB2">
      <w:pPr>
        <w:spacing w:after="140" w:line="360" w:lineRule="auto"/>
        <w:ind w:left="90" w:firstLine="18"/>
        <w:rPr>
          <w:rFonts w:ascii="Arial" w:hAnsi="Arial"/>
        </w:rPr>
      </w:pPr>
      <w:r w:rsidRPr="00DC4EB2">
        <w:rPr>
          <w:rFonts w:ascii="Arial" w:hAnsi="Arial"/>
        </w:rPr>
        <w:t xml:space="preserve">NHS England (2025) </w:t>
      </w:r>
      <w:r w:rsidRPr="00DC4EB2">
        <w:rPr>
          <w:rFonts w:ascii="Arial" w:hAnsi="Arial"/>
          <w:i/>
        </w:rPr>
        <w:t>Improvement framework: community language translation and interpreting services</w:t>
      </w:r>
      <w:r w:rsidRPr="00DC4EB2">
        <w:rPr>
          <w:rFonts w:ascii="Arial" w:hAnsi="Arial"/>
        </w:rPr>
        <w:t xml:space="preserve">. Available at: </w:t>
      </w:r>
      <w:hyperlink r:id="rId11">
        <w:r w:rsidRPr="00DC4EB2">
          <w:rPr>
            <w:rFonts w:ascii="Arial" w:hAnsi="Arial"/>
            <w:color w:val="4472C4" w:themeColor="accent1"/>
          </w:rPr>
          <w:t>https://www.england.nhs.uk/long-read/improvement-framework-community-language-translation-and-interpreting-services/</w:t>
        </w:r>
      </w:hyperlink>
      <w:r w:rsidRPr="00DC4EB2">
        <w:rPr>
          <w:rFonts w:ascii="Arial" w:hAnsi="Arial"/>
        </w:rPr>
        <w:t xml:space="preserve"> (Accessed: 13 October 2026).</w:t>
      </w:r>
    </w:p>
    <w:p w14:paraId="188C1DB6" w14:textId="77777777" w:rsidR="00DC4EB2" w:rsidRPr="00DC4EB2" w:rsidRDefault="00DC4EB2" w:rsidP="00DC4EB2">
      <w:pPr>
        <w:spacing w:after="140" w:line="360" w:lineRule="auto"/>
        <w:ind w:left="90" w:firstLine="18"/>
        <w:rPr>
          <w:rFonts w:ascii="Arial" w:hAnsi="Arial"/>
        </w:rPr>
      </w:pPr>
      <w:r w:rsidRPr="00DC4EB2">
        <w:rPr>
          <w:rFonts w:ascii="Arial" w:hAnsi="Arial"/>
        </w:rPr>
        <w:t xml:space="preserve">Office for Health Improvement and Disparities (2021) </w:t>
      </w:r>
      <w:r w:rsidRPr="00DC4EB2">
        <w:rPr>
          <w:rFonts w:ascii="Arial" w:hAnsi="Arial"/>
          <w:i/>
        </w:rPr>
        <w:t>Language interpreting and translation: migrant health guide</w:t>
      </w:r>
      <w:r w:rsidRPr="00DC4EB2">
        <w:rPr>
          <w:rFonts w:ascii="Arial" w:hAnsi="Arial"/>
        </w:rPr>
        <w:t xml:space="preserve">. Available at: </w:t>
      </w:r>
      <w:hyperlink r:id="rId12">
        <w:r w:rsidRPr="00DC4EB2">
          <w:rPr>
            <w:rFonts w:ascii="Arial" w:hAnsi="Arial"/>
            <w:color w:val="4472C4" w:themeColor="accent1"/>
          </w:rPr>
          <w:t>https://www.gov.uk/guidance/language-interpretation-migrant-health-guide</w:t>
        </w:r>
      </w:hyperlink>
      <w:r w:rsidRPr="00DC4EB2">
        <w:rPr>
          <w:rFonts w:ascii="Arial" w:hAnsi="Arial"/>
          <w:color w:val="4472C4" w:themeColor="accent1"/>
        </w:rPr>
        <w:t xml:space="preserve"> </w:t>
      </w:r>
      <w:r w:rsidRPr="00DC4EB2">
        <w:rPr>
          <w:rFonts w:ascii="Arial" w:hAnsi="Arial"/>
        </w:rPr>
        <w:t>(Accessed: 13 October 2026).</w:t>
      </w:r>
    </w:p>
    <w:p w14:paraId="525C8EF5" w14:textId="77777777" w:rsidR="00DC4EB2" w:rsidRPr="00583A22" w:rsidRDefault="00DC4EB2" w:rsidP="00DC4EB2">
      <w:pPr>
        <w:spacing w:after="140" w:line="360" w:lineRule="auto"/>
        <w:ind w:left="90" w:firstLine="18"/>
        <w:rPr>
          <w:rFonts w:ascii="Arial" w:hAnsi="Arial"/>
          <w:color w:val="4472C4" w:themeColor="accent1"/>
          <w:lang w:val="fr-FR"/>
        </w:rPr>
      </w:pPr>
      <w:r w:rsidRPr="00DC4EB2">
        <w:rPr>
          <w:rFonts w:ascii="Arial" w:hAnsi="Arial"/>
          <w:lang w:val="nl-NL"/>
        </w:rPr>
        <w:t xml:space="preserve">Peters, M.D.J. et al. </w:t>
      </w:r>
      <w:r w:rsidRPr="00DC4EB2">
        <w:rPr>
          <w:rFonts w:ascii="Arial" w:hAnsi="Arial"/>
        </w:rPr>
        <w:t xml:space="preserve">(2020) ‘Updated methodological guidance for the conduct of scoping reviews’, </w:t>
      </w:r>
      <w:r w:rsidRPr="00DC4EB2">
        <w:rPr>
          <w:rFonts w:ascii="Arial" w:hAnsi="Arial"/>
          <w:i/>
        </w:rPr>
        <w:t>JBI Evidence Synthesis</w:t>
      </w:r>
      <w:r w:rsidRPr="00DC4EB2">
        <w:rPr>
          <w:rFonts w:ascii="Arial" w:hAnsi="Arial"/>
        </w:rPr>
        <w:t xml:space="preserve">, 18(10), pp. 2119–2126. </w:t>
      </w:r>
      <w:r w:rsidRPr="00583A22">
        <w:rPr>
          <w:rFonts w:ascii="Arial" w:hAnsi="Arial"/>
          <w:lang w:val="fr-FR"/>
        </w:rPr>
        <w:t xml:space="preserve">Available </w:t>
      </w:r>
      <w:proofErr w:type="gramStart"/>
      <w:r w:rsidRPr="00583A22">
        <w:rPr>
          <w:rFonts w:ascii="Arial" w:hAnsi="Arial"/>
          <w:lang w:val="fr-FR"/>
        </w:rPr>
        <w:t>at:</w:t>
      </w:r>
      <w:proofErr w:type="gramEnd"/>
      <w:r w:rsidRPr="00583A22">
        <w:rPr>
          <w:rFonts w:ascii="Arial" w:hAnsi="Arial"/>
          <w:lang w:val="fr-FR"/>
        </w:rPr>
        <w:t xml:space="preserve"> </w:t>
      </w:r>
      <w:hyperlink r:id="rId13">
        <w:r w:rsidRPr="00583A22">
          <w:rPr>
            <w:rFonts w:ascii="Arial" w:hAnsi="Arial"/>
            <w:color w:val="4472C4" w:themeColor="accent1"/>
            <w:lang w:val="fr-FR"/>
          </w:rPr>
          <w:t>https://doi.org/10.11124/JBIES-20-00167</w:t>
        </w:r>
      </w:hyperlink>
    </w:p>
    <w:p w14:paraId="43E51D8D" w14:textId="77777777" w:rsidR="00DC4EB2" w:rsidRPr="00DC4EB2" w:rsidRDefault="00DC4EB2" w:rsidP="00DC4EB2">
      <w:pPr>
        <w:spacing w:after="140" w:line="360" w:lineRule="auto"/>
        <w:ind w:left="90" w:firstLine="18"/>
        <w:rPr>
          <w:rFonts w:ascii="Arial" w:hAnsi="Arial"/>
        </w:rPr>
      </w:pPr>
      <w:proofErr w:type="spellStart"/>
      <w:r w:rsidRPr="00583A22">
        <w:rPr>
          <w:rFonts w:ascii="Arial" w:hAnsi="Arial"/>
          <w:lang w:val="fr-FR"/>
        </w:rPr>
        <w:t>Tricco</w:t>
      </w:r>
      <w:proofErr w:type="spellEnd"/>
      <w:r w:rsidRPr="00583A22">
        <w:rPr>
          <w:rFonts w:ascii="Arial" w:hAnsi="Arial"/>
          <w:lang w:val="fr-FR"/>
        </w:rPr>
        <w:t xml:space="preserve">, A.C. et al. </w:t>
      </w:r>
      <w:r w:rsidRPr="00DC4EB2">
        <w:rPr>
          <w:rFonts w:ascii="Arial" w:hAnsi="Arial"/>
        </w:rPr>
        <w:t xml:space="preserve">(2018) ‘PRISMA Extension for Scoping Reviews (PRISMA-ScR): Checklist and Explanation’, </w:t>
      </w:r>
      <w:r w:rsidRPr="00DC4EB2">
        <w:rPr>
          <w:rFonts w:ascii="Arial" w:hAnsi="Arial"/>
          <w:i/>
        </w:rPr>
        <w:t>Annals of Internal Medicine</w:t>
      </w:r>
      <w:r w:rsidRPr="00DC4EB2">
        <w:rPr>
          <w:rFonts w:ascii="Arial" w:hAnsi="Arial"/>
        </w:rPr>
        <w:t xml:space="preserve">, 169(7), pp. 467–473. Available at: </w:t>
      </w:r>
      <w:hyperlink r:id="rId14">
        <w:r w:rsidRPr="00DC4EB2">
          <w:rPr>
            <w:rFonts w:ascii="Arial" w:hAnsi="Arial"/>
            <w:color w:val="4472C4" w:themeColor="accent1"/>
          </w:rPr>
          <w:t>https://doi.org/10.7326/M18-0850</w:t>
        </w:r>
      </w:hyperlink>
    </w:p>
    <w:p w14:paraId="47AB8E2D" w14:textId="77777777" w:rsidR="00DC4EB2" w:rsidRPr="00DC4EB2" w:rsidRDefault="00DC4EB2" w:rsidP="00DC4EB2">
      <w:pPr>
        <w:spacing w:after="140" w:line="360" w:lineRule="auto"/>
        <w:ind w:left="90" w:firstLine="18"/>
        <w:rPr>
          <w:rFonts w:ascii="Arial" w:hAnsi="Arial"/>
        </w:rPr>
      </w:pPr>
      <w:r w:rsidRPr="00DC4EB2">
        <w:rPr>
          <w:rFonts w:ascii="Arial" w:hAnsi="Arial"/>
        </w:rPr>
        <w:t xml:space="preserve">Van Hout, M.C. et al. (2024) ‘The nexus of immigration regulation and health governance: a scoping review of the extent to which right to access healthcare by migrants, refugees and asylum seekers was upheld in the United Kingdom during </w:t>
      </w:r>
      <w:r w:rsidRPr="00DC4EB2">
        <w:rPr>
          <w:rFonts w:ascii="Arial" w:hAnsi="Arial"/>
        </w:rPr>
        <w:lastRenderedPageBreak/>
        <w:t xml:space="preserve">COVID-19’, </w:t>
      </w:r>
      <w:r w:rsidRPr="00DC4EB2">
        <w:rPr>
          <w:rFonts w:ascii="Arial" w:hAnsi="Arial"/>
          <w:i/>
        </w:rPr>
        <w:t>Public Health</w:t>
      </w:r>
      <w:r w:rsidRPr="00DC4EB2">
        <w:rPr>
          <w:rFonts w:ascii="Arial" w:hAnsi="Arial"/>
        </w:rPr>
        <w:t xml:space="preserve">, 232, pp. 21–29. Available at: </w:t>
      </w:r>
      <w:hyperlink r:id="rId15">
        <w:r w:rsidRPr="00DC4EB2">
          <w:rPr>
            <w:rFonts w:ascii="Arial" w:hAnsi="Arial"/>
            <w:color w:val="4472C4" w:themeColor="accent1"/>
          </w:rPr>
          <w:t>https://doi.org/10.1016/j.puhe.2024.04.012</w:t>
        </w:r>
      </w:hyperlink>
    </w:p>
    <w:p w14:paraId="5BC91157" w14:textId="542A32A3" w:rsidR="00545684" w:rsidRPr="003A2FDF" w:rsidRDefault="00545684" w:rsidP="00DC4EB2">
      <w:pPr>
        <w:spacing w:after="180" w:line="360" w:lineRule="auto"/>
        <w:ind w:left="90" w:firstLine="18"/>
        <w:rPr>
          <w:rFonts w:ascii="Aptos" w:hAnsi="Aptos" w:cs="Arial"/>
        </w:rPr>
      </w:pPr>
    </w:p>
    <w:sectPr w:rsidR="00545684" w:rsidRPr="003A2FDF" w:rsidSect="00041A5A">
      <w:footerReference w:type="defaul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B0C83" w14:textId="77777777" w:rsidR="002961CE" w:rsidRDefault="002961CE" w:rsidP="00545684">
      <w:pPr>
        <w:spacing w:after="0" w:line="240" w:lineRule="auto"/>
      </w:pPr>
      <w:r>
        <w:separator/>
      </w:r>
    </w:p>
  </w:endnote>
  <w:endnote w:type="continuationSeparator" w:id="0">
    <w:p w14:paraId="7C969635" w14:textId="77777777" w:rsidR="002961CE" w:rsidRDefault="002961C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7B890" w14:textId="77777777" w:rsidR="002961CE" w:rsidRDefault="002961CE" w:rsidP="00545684">
      <w:pPr>
        <w:spacing w:after="0" w:line="240" w:lineRule="auto"/>
      </w:pPr>
      <w:r>
        <w:separator/>
      </w:r>
    </w:p>
  </w:footnote>
  <w:footnote w:type="continuationSeparator" w:id="0">
    <w:p w14:paraId="747C3922" w14:textId="77777777" w:rsidR="002961CE" w:rsidRDefault="002961C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00F13"/>
    <w:multiLevelType w:val="multilevel"/>
    <w:tmpl w:val="18062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43BCB"/>
    <w:multiLevelType w:val="hybridMultilevel"/>
    <w:tmpl w:val="243A2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0D2817"/>
    <w:multiLevelType w:val="hybridMultilevel"/>
    <w:tmpl w:val="83782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4"/>
  </w:num>
  <w:num w:numId="3" w16cid:durableId="875194671">
    <w:abstractNumId w:val="1"/>
  </w:num>
  <w:num w:numId="4" w16cid:durableId="1703288516">
    <w:abstractNumId w:val="5"/>
  </w:num>
  <w:num w:numId="5" w16cid:durableId="1208763282">
    <w:abstractNumId w:val="6"/>
  </w:num>
  <w:num w:numId="6" w16cid:durableId="1051491444">
    <w:abstractNumId w:val="3"/>
  </w:num>
  <w:num w:numId="7" w16cid:durableId="154491242">
    <w:abstractNumId w:val="2"/>
  </w:num>
  <w:num w:numId="8" w16cid:durableId="751008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7BE8"/>
    <w:rsid w:val="00041A5A"/>
    <w:rsid w:val="00073BD1"/>
    <w:rsid w:val="000A5161"/>
    <w:rsid w:val="000B67B3"/>
    <w:rsid w:val="000B7CD5"/>
    <w:rsid w:val="0020643B"/>
    <w:rsid w:val="00214173"/>
    <w:rsid w:val="00216C85"/>
    <w:rsid w:val="00245A44"/>
    <w:rsid w:val="00260277"/>
    <w:rsid w:val="00273EDD"/>
    <w:rsid w:val="002961CE"/>
    <w:rsid w:val="002A15DA"/>
    <w:rsid w:val="002C3965"/>
    <w:rsid w:val="003018F0"/>
    <w:rsid w:val="00305611"/>
    <w:rsid w:val="00321C4C"/>
    <w:rsid w:val="00331F5A"/>
    <w:rsid w:val="003A2FDF"/>
    <w:rsid w:val="003B5B7F"/>
    <w:rsid w:val="003F6C7D"/>
    <w:rsid w:val="0040515B"/>
    <w:rsid w:val="00415B93"/>
    <w:rsid w:val="004903AA"/>
    <w:rsid w:val="004E467F"/>
    <w:rsid w:val="004E6C3B"/>
    <w:rsid w:val="00545684"/>
    <w:rsid w:val="00583A22"/>
    <w:rsid w:val="005A6543"/>
    <w:rsid w:val="005A7236"/>
    <w:rsid w:val="005B2E73"/>
    <w:rsid w:val="00612283"/>
    <w:rsid w:val="0061260B"/>
    <w:rsid w:val="00646B10"/>
    <w:rsid w:val="00685D06"/>
    <w:rsid w:val="006D298C"/>
    <w:rsid w:val="00715990"/>
    <w:rsid w:val="00784670"/>
    <w:rsid w:val="007F2181"/>
    <w:rsid w:val="0082367C"/>
    <w:rsid w:val="00866B7B"/>
    <w:rsid w:val="00887DB9"/>
    <w:rsid w:val="008A659F"/>
    <w:rsid w:val="008E5015"/>
    <w:rsid w:val="00903FCA"/>
    <w:rsid w:val="009228A2"/>
    <w:rsid w:val="00995717"/>
    <w:rsid w:val="009D1D1E"/>
    <w:rsid w:val="00A035FD"/>
    <w:rsid w:val="00A276A0"/>
    <w:rsid w:val="00A42A37"/>
    <w:rsid w:val="00A43EA3"/>
    <w:rsid w:val="00A6153D"/>
    <w:rsid w:val="00A813B0"/>
    <w:rsid w:val="00B23F0E"/>
    <w:rsid w:val="00C03E5F"/>
    <w:rsid w:val="00C54573"/>
    <w:rsid w:val="00C604B7"/>
    <w:rsid w:val="00D025CA"/>
    <w:rsid w:val="00D57197"/>
    <w:rsid w:val="00D769F0"/>
    <w:rsid w:val="00DC4EB2"/>
    <w:rsid w:val="00E0587A"/>
    <w:rsid w:val="00E1492C"/>
    <w:rsid w:val="00E57CE2"/>
    <w:rsid w:val="00E614D4"/>
    <w:rsid w:val="00EC68DA"/>
    <w:rsid w:val="00ED46CE"/>
    <w:rsid w:val="00F278D4"/>
    <w:rsid w:val="00F379B2"/>
    <w:rsid w:val="00F51128"/>
    <w:rsid w:val="00F979E7"/>
    <w:rsid w:val="00FB4301"/>
    <w:rsid w:val="00FC2B9B"/>
    <w:rsid w:val="00FD1D60"/>
    <w:rsid w:val="00FE150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table" w:styleId="GridTable5Dark-Accent4">
    <w:name w:val="Grid Table 5 Dark Accent 4"/>
    <w:basedOn w:val="TableNormal"/>
    <w:uiPriority w:val="50"/>
    <w:rsid w:val="00887DB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styleId="Hyperlink">
    <w:name w:val="Hyperlink"/>
    <w:basedOn w:val="DefaultParagraphFont"/>
    <w:uiPriority w:val="99"/>
    <w:unhideWhenUsed/>
    <w:rsid w:val="00887DB9"/>
    <w:rPr>
      <w:color w:val="0563C1" w:themeColor="hyperlink"/>
      <w:u w:val="single"/>
    </w:rPr>
  </w:style>
  <w:style w:type="character" w:styleId="UnresolvedMention">
    <w:name w:val="Unresolved Mention"/>
    <w:basedOn w:val="DefaultParagraphFont"/>
    <w:uiPriority w:val="99"/>
    <w:semiHidden/>
    <w:unhideWhenUsed/>
    <w:rsid w:val="00887DB9"/>
    <w:rPr>
      <w:color w:val="605E5C"/>
      <w:shd w:val="clear" w:color="auto" w:fill="E1DFDD"/>
    </w:rPr>
  </w:style>
  <w:style w:type="table" w:styleId="GridTable6Colorful-Accent5">
    <w:name w:val="Grid Table 6 Colorful Accent 5"/>
    <w:basedOn w:val="TableNormal"/>
    <w:uiPriority w:val="51"/>
    <w:rsid w:val="00A813B0"/>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ubmed/fdaf005" TargetMode="External"/><Relationship Id="rId13" Type="http://schemas.openxmlformats.org/officeDocument/2006/relationships/hyperlink" Target="https://doi.org/10.11124/JBIES-20-0016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uidance/language-interpretation-migrant-health-guid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improvement-framework-community-language-translation-and-interpreting-services/" TargetMode="External"/><Relationship Id="rId5" Type="http://schemas.openxmlformats.org/officeDocument/2006/relationships/webSettings" Target="webSettings.xml"/><Relationship Id="rId15" Type="http://schemas.openxmlformats.org/officeDocument/2006/relationships/hyperlink" Target="https://doi.org/10.1016/j.puhe.2024.04.012" TargetMode="External"/><Relationship Id="rId10" Type="http://schemas.openxmlformats.org/officeDocument/2006/relationships/hyperlink" Target="https://doi.org/10.1186/s12913-025-13533-8" TargetMode="External"/><Relationship Id="rId4" Type="http://schemas.openxmlformats.org/officeDocument/2006/relationships/settings" Target="settings.xml"/><Relationship Id="rId9" Type="http://schemas.openxmlformats.org/officeDocument/2006/relationships/hyperlink" Target="https://doi.org/10.1016/j.healthpol.2023.104949" TargetMode="External"/><Relationship Id="rId14" Type="http://schemas.openxmlformats.org/officeDocument/2006/relationships/hyperlink" Target="https://doi.org/10.7326/M18-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B740C-352E-4CF4-B8DC-E32C4655C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911</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Ahmed</dc:creator>
  <cp:keywords/>
  <dc:description/>
  <cp:lastModifiedBy>Iftekhar Rashid</cp:lastModifiedBy>
  <cp:revision>22</cp:revision>
  <dcterms:created xsi:type="dcterms:W3CDTF">2026-10-09T22:02:00Z</dcterms:created>
  <dcterms:modified xsi:type="dcterms:W3CDTF">2026-10-13T01:01:00Z</dcterms:modified>
</cp:coreProperties>
</file>