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188E" w:rsidRPr="00E53DA8" w:rsidRDefault="00E4188E" w:rsidP="003E18A8">
      <w:pPr>
        <w:pStyle w:val="NormalWeb"/>
        <w:spacing w:line="360" w:lineRule="auto"/>
        <w:jc w:val="center"/>
        <w:rPr>
          <w:rStyle w:val="Strong"/>
          <w:rFonts w:asciiTheme="minorBidi" w:hAnsiTheme="minorBidi" w:cstheme="minorBidi"/>
          <w:color w:val="000000" w:themeColor="text1"/>
          <w:sz w:val="32"/>
          <w:szCs w:val="32"/>
          <w:u w:val="single"/>
        </w:rPr>
      </w:pPr>
      <w:r w:rsidRPr="00E53DA8">
        <w:rPr>
          <w:rStyle w:val="Strong"/>
          <w:rFonts w:asciiTheme="minorBidi" w:hAnsiTheme="minorBidi" w:cstheme="minorBidi"/>
          <w:color w:val="000000" w:themeColor="text1"/>
          <w:sz w:val="32"/>
          <w:szCs w:val="32"/>
          <w:u w:val="single"/>
        </w:rPr>
        <w:t>University of Wales Trinity Saint David</w:t>
      </w:r>
    </w:p>
    <w:p w:rsidR="00E4188E" w:rsidRPr="00E53DA8" w:rsidRDefault="00E4188E" w:rsidP="003E18A8">
      <w:pPr>
        <w:pStyle w:val="NormalWeb"/>
        <w:spacing w:line="360" w:lineRule="auto"/>
        <w:jc w:val="center"/>
        <w:rPr>
          <w:rFonts w:asciiTheme="minorBidi" w:hAnsiTheme="minorBidi" w:cstheme="minorBidi"/>
          <w:color w:val="000000" w:themeColor="text1"/>
          <w:sz w:val="28"/>
          <w:szCs w:val="28"/>
        </w:rPr>
      </w:pPr>
      <w:r w:rsidRPr="00E53DA8">
        <w:rPr>
          <w:rStyle w:val="Strong"/>
          <w:rFonts w:asciiTheme="minorBidi" w:hAnsiTheme="minorBidi" w:cstheme="minorBidi"/>
          <w:color w:val="000000" w:themeColor="text1"/>
          <w:sz w:val="32"/>
          <w:szCs w:val="32"/>
          <w:u w:val="single"/>
        </w:rPr>
        <w:t>Student Name:</w:t>
      </w:r>
      <w:r w:rsidRPr="00E53DA8">
        <w:rPr>
          <w:rStyle w:val="Strong"/>
          <w:rFonts w:asciiTheme="minorBidi" w:hAnsiTheme="minorBidi" w:cstheme="minorBidi"/>
          <w:color w:val="000000" w:themeColor="text1"/>
          <w:sz w:val="32"/>
          <w:szCs w:val="32"/>
        </w:rPr>
        <w:t xml:space="preserve"> </w:t>
      </w:r>
      <w:r w:rsidRPr="00E53DA8">
        <w:rPr>
          <w:rFonts w:asciiTheme="minorBidi" w:hAnsiTheme="minorBidi" w:cstheme="minorBidi"/>
          <w:color w:val="000000" w:themeColor="text1"/>
          <w:sz w:val="28"/>
          <w:szCs w:val="28"/>
        </w:rPr>
        <w:br/>
        <w:t>Muhammad Hamza</w:t>
      </w:r>
    </w:p>
    <w:p w:rsidR="00E4188E" w:rsidRPr="00E53DA8" w:rsidRDefault="00E4188E" w:rsidP="003E18A8">
      <w:pPr>
        <w:pStyle w:val="NormalWeb"/>
        <w:spacing w:line="360" w:lineRule="auto"/>
        <w:jc w:val="center"/>
        <w:rPr>
          <w:rFonts w:asciiTheme="minorBidi" w:hAnsiTheme="minorBidi" w:cstheme="minorBidi"/>
          <w:color w:val="000000" w:themeColor="text1"/>
          <w:sz w:val="28"/>
          <w:szCs w:val="28"/>
        </w:rPr>
      </w:pPr>
      <w:r w:rsidRPr="00E53DA8">
        <w:rPr>
          <w:rStyle w:val="Strong"/>
          <w:rFonts w:asciiTheme="minorBidi" w:hAnsiTheme="minorBidi" w:cstheme="minorBidi"/>
          <w:color w:val="000000" w:themeColor="text1"/>
          <w:sz w:val="32"/>
          <w:szCs w:val="32"/>
          <w:u w:val="single"/>
        </w:rPr>
        <w:t>Student ID Number:</w:t>
      </w:r>
      <w:r w:rsidRPr="00E53DA8">
        <w:rPr>
          <w:rStyle w:val="Strong"/>
          <w:rFonts w:asciiTheme="minorBidi" w:hAnsiTheme="minorBidi" w:cstheme="minorBidi"/>
          <w:color w:val="000000" w:themeColor="text1"/>
          <w:sz w:val="32"/>
          <w:szCs w:val="32"/>
        </w:rPr>
        <w:t xml:space="preserve"> </w:t>
      </w:r>
      <w:r w:rsidRPr="00E53DA8">
        <w:rPr>
          <w:rFonts w:asciiTheme="minorBidi" w:hAnsiTheme="minorBidi" w:cstheme="minorBidi"/>
          <w:color w:val="000000" w:themeColor="text1"/>
          <w:sz w:val="28"/>
          <w:szCs w:val="28"/>
        </w:rPr>
        <w:br/>
        <w:t>2515820</w:t>
      </w:r>
    </w:p>
    <w:p w:rsidR="00E4188E" w:rsidRPr="00E53DA8" w:rsidRDefault="00E4188E" w:rsidP="003E18A8">
      <w:pPr>
        <w:pStyle w:val="NormalWeb"/>
        <w:spacing w:line="360" w:lineRule="auto"/>
        <w:jc w:val="center"/>
        <w:rPr>
          <w:rFonts w:asciiTheme="minorBidi" w:hAnsiTheme="minorBidi" w:cstheme="minorBidi"/>
          <w:color w:val="000000" w:themeColor="text1"/>
          <w:sz w:val="28"/>
          <w:szCs w:val="28"/>
        </w:rPr>
      </w:pPr>
      <w:r w:rsidRPr="00E53DA8">
        <w:rPr>
          <w:rStyle w:val="Strong"/>
          <w:rFonts w:asciiTheme="minorBidi" w:hAnsiTheme="minorBidi" w:cstheme="minorBidi"/>
          <w:color w:val="000000" w:themeColor="text1"/>
          <w:sz w:val="32"/>
          <w:szCs w:val="32"/>
          <w:u w:val="single"/>
        </w:rPr>
        <w:t>Program:</w:t>
      </w:r>
      <w:r w:rsidRPr="00E53DA8">
        <w:rPr>
          <w:rStyle w:val="Strong"/>
          <w:rFonts w:asciiTheme="minorBidi" w:hAnsiTheme="minorBidi" w:cstheme="minorBidi"/>
          <w:color w:val="000000" w:themeColor="text1"/>
          <w:sz w:val="28"/>
          <w:szCs w:val="28"/>
        </w:rPr>
        <w:t xml:space="preserve"> </w:t>
      </w:r>
      <w:r w:rsidRPr="00E53DA8">
        <w:rPr>
          <w:rFonts w:asciiTheme="minorBidi" w:hAnsiTheme="minorBidi" w:cstheme="minorBidi"/>
          <w:color w:val="000000" w:themeColor="text1"/>
          <w:sz w:val="28"/>
          <w:szCs w:val="28"/>
        </w:rPr>
        <w:br/>
        <w:t>MSc Public Health and Social Care in Practice</w:t>
      </w:r>
    </w:p>
    <w:p w:rsidR="00E4188E" w:rsidRPr="00E53DA8" w:rsidRDefault="00E4188E" w:rsidP="003E18A8">
      <w:pPr>
        <w:pStyle w:val="NormalWeb"/>
        <w:spacing w:line="360" w:lineRule="auto"/>
        <w:jc w:val="center"/>
        <w:rPr>
          <w:rFonts w:asciiTheme="minorBidi" w:hAnsiTheme="minorBidi" w:cstheme="minorBidi"/>
          <w:color w:val="000000" w:themeColor="text1"/>
          <w:sz w:val="28"/>
          <w:szCs w:val="28"/>
        </w:rPr>
      </w:pPr>
      <w:r w:rsidRPr="00E53DA8">
        <w:rPr>
          <w:rStyle w:val="Strong"/>
          <w:rFonts w:asciiTheme="minorBidi" w:hAnsiTheme="minorBidi" w:cstheme="minorBidi"/>
          <w:color w:val="000000" w:themeColor="text1"/>
          <w:sz w:val="32"/>
          <w:szCs w:val="32"/>
          <w:u w:val="single"/>
        </w:rPr>
        <w:t>Module Title:</w:t>
      </w:r>
      <w:r w:rsidRPr="00E53DA8">
        <w:rPr>
          <w:rStyle w:val="Strong"/>
          <w:rFonts w:asciiTheme="minorBidi" w:hAnsiTheme="minorBidi" w:cstheme="minorBidi"/>
          <w:color w:val="000000" w:themeColor="text1"/>
          <w:sz w:val="32"/>
          <w:szCs w:val="32"/>
        </w:rPr>
        <w:t xml:space="preserve"> </w:t>
      </w:r>
      <w:r w:rsidRPr="00E53DA8">
        <w:rPr>
          <w:rFonts w:asciiTheme="minorBidi" w:hAnsiTheme="minorBidi" w:cstheme="minorBidi"/>
          <w:color w:val="000000" w:themeColor="text1"/>
          <w:sz w:val="28"/>
          <w:szCs w:val="28"/>
        </w:rPr>
        <w:br/>
        <w:t>Social Epidemiology and Public Health Development</w:t>
      </w:r>
    </w:p>
    <w:p w:rsidR="00E4188E" w:rsidRPr="00E53DA8" w:rsidRDefault="00E4188E" w:rsidP="003E18A8">
      <w:pPr>
        <w:pStyle w:val="NormalWeb"/>
        <w:spacing w:line="360" w:lineRule="auto"/>
        <w:jc w:val="center"/>
        <w:rPr>
          <w:rFonts w:asciiTheme="minorBidi" w:hAnsiTheme="minorBidi" w:cstheme="minorBidi"/>
          <w:color w:val="000000" w:themeColor="text1"/>
          <w:sz w:val="28"/>
          <w:szCs w:val="28"/>
        </w:rPr>
      </w:pPr>
      <w:r w:rsidRPr="00E53DA8">
        <w:rPr>
          <w:rStyle w:val="Strong"/>
          <w:rFonts w:asciiTheme="minorBidi" w:hAnsiTheme="minorBidi" w:cstheme="minorBidi"/>
          <w:color w:val="000000" w:themeColor="text1"/>
          <w:sz w:val="32"/>
          <w:szCs w:val="32"/>
          <w:u w:val="single"/>
        </w:rPr>
        <w:t>Module Code:</w:t>
      </w:r>
      <w:r w:rsidRPr="00E53DA8">
        <w:rPr>
          <w:rStyle w:val="Strong"/>
          <w:rFonts w:asciiTheme="minorBidi" w:hAnsiTheme="minorBidi" w:cstheme="minorBidi"/>
          <w:color w:val="000000" w:themeColor="text1"/>
          <w:sz w:val="32"/>
          <w:szCs w:val="32"/>
        </w:rPr>
        <w:t xml:space="preserve"> </w:t>
      </w:r>
      <w:r w:rsidRPr="00E53DA8">
        <w:rPr>
          <w:rFonts w:asciiTheme="minorBidi" w:hAnsiTheme="minorBidi" w:cstheme="minorBidi"/>
          <w:color w:val="000000" w:themeColor="text1"/>
          <w:sz w:val="28"/>
          <w:szCs w:val="28"/>
        </w:rPr>
        <w:br/>
        <w:t>LCHS7000</w:t>
      </w:r>
    </w:p>
    <w:p w:rsidR="00E4188E" w:rsidRPr="00E53DA8" w:rsidRDefault="00E4188E" w:rsidP="003E18A8">
      <w:pPr>
        <w:pStyle w:val="NormalWeb"/>
        <w:spacing w:line="360" w:lineRule="auto"/>
        <w:jc w:val="center"/>
        <w:rPr>
          <w:rFonts w:asciiTheme="minorBidi" w:hAnsiTheme="minorBidi" w:cstheme="minorBidi"/>
          <w:color w:val="000000" w:themeColor="text1"/>
          <w:sz w:val="28"/>
          <w:szCs w:val="28"/>
        </w:rPr>
      </w:pPr>
      <w:r w:rsidRPr="00E53DA8">
        <w:rPr>
          <w:rStyle w:val="Strong"/>
          <w:rFonts w:asciiTheme="minorBidi" w:hAnsiTheme="minorBidi" w:cstheme="minorBidi"/>
          <w:color w:val="000000" w:themeColor="text1"/>
          <w:sz w:val="32"/>
          <w:szCs w:val="32"/>
          <w:u w:val="single"/>
        </w:rPr>
        <w:t>Assignment Title:</w:t>
      </w:r>
      <w:r w:rsidRPr="00E53DA8">
        <w:rPr>
          <w:rStyle w:val="Strong"/>
          <w:rFonts w:asciiTheme="minorBidi" w:hAnsiTheme="minorBidi" w:cstheme="minorBidi"/>
          <w:color w:val="000000" w:themeColor="text1"/>
          <w:sz w:val="32"/>
          <w:szCs w:val="32"/>
        </w:rPr>
        <w:t xml:space="preserve"> </w:t>
      </w:r>
      <w:r w:rsidRPr="00E53DA8">
        <w:rPr>
          <w:rFonts w:asciiTheme="minorBidi" w:hAnsiTheme="minorBidi" w:cstheme="minorBidi"/>
          <w:color w:val="000000" w:themeColor="text1"/>
          <w:sz w:val="28"/>
          <w:szCs w:val="28"/>
        </w:rPr>
        <w:br/>
        <w:t>Component 2 – Analytical Report</w:t>
      </w:r>
    </w:p>
    <w:p w:rsidR="00E4188E" w:rsidRPr="00E53DA8" w:rsidRDefault="00E4188E" w:rsidP="003E18A8">
      <w:pPr>
        <w:pStyle w:val="NormalWeb"/>
        <w:spacing w:line="360" w:lineRule="auto"/>
        <w:jc w:val="center"/>
        <w:rPr>
          <w:rFonts w:asciiTheme="minorBidi" w:hAnsiTheme="minorBidi" w:cstheme="minorBidi"/>
          <w:color w:val="000000" w:themeColor="text1"/>
          <w:sz w:val="28"/>
          <w:szCs w:val="28"/>
        </w:rPr>
      </w:pPr>
      <w:r w:rsidRPr="00E53DA8">
        <w:rPr>
          <w:rStyle w:val="Strong"/>
          <w:rFonts w:asciiTheme="minorBidi" w:hAnsiTheme="minorBidi" w:cstheme="minorBidi"/>
          <w:color w:val="000000" w:themeColor="text1"/>
          <w:sz w:val="32"/>
          <w:szCs w:val="32"/>
          <w:u w:val="single"/>
        </w:rPr>
        <w:t>Lecturer’s Name:</w:t>
      </w:r>
      <w:r w:rsidRPr="00E53DA8">
        <w:rPr>
          <w:rStyle w:val="Strong"/>
          <w:rFonts w:asciiTheme="minorBidi" w:hAnsiTheme="minorBidi" w:cstheme="minorBidi"/>
          <w:color w:val="000000" w:themeColor="text1"/>
          <w:sz w:val="32"/>
          <w:szCs w:val="32"/>
        </w:rPr>
        <w:t xml:space="preserve"> </w:t>
      </w:r>
      <w:r w:rsidRPr="00E53DA8">
        <w:rPr>
          <w:rFonts w:asciiTheme="minorBidi" w:hAnsiTheme="minorBidi" w:cstheme="minorBidi"/>
          <w:color w:val="000000" w:themeColor="text1"/>
          <w:sz w:val="28"/>
          <w:szCs w:val="28"/>
        </w:rPr>
        <w:br/>
      </w:r>
      <w:proofErr w:type="spellStart"/>
      <w:r w:rsidRPr="00E53DA8">
        <w:rPr>
          <w:rFonts w:asciiTheme="minorBidi" w:hAnsiTheme="minorBidi" w:cstheme="minorBidi"/>
          <w:color w:val="000000" w:themeColor="text1"/>
          <w:sz w:val="28"/>
          <w:szCs w:val="28"/>
        </w:rPr>
        <w:t>Dr</w:t>
      </w:r>
      <w:proofErr w:type="spellEnd"/>
      <w:r w:rsidRPr="00E53DA8">
        <w:rPr>
          <w:rFonts w:asciiTheme="minorBidi" w:hAnsiTheme="minorBidi" w:cstheme="minorBidi"/>
          <w:color w:val="000000" w:themeColor="text1"/>
          <w:sz w:val="28"/>
          <w:szCs w:val="28"/>
        </w:rPr>
        <w:t xml:space="preserve"> </w:t>
      </w:r>
      <w:proofErr w:type="spellStart"/>
      <w:r w:rsidRPr="00E53DA8">
        <w:rPr>
          <w:rFonts w:asciiTheme="minorBidi" w:hAnsiTheme="minorBidi" w:cstheme="minorBidi"/>
          <w:color w:val="000000" w:themeColor="text1"/>
          <w:sz w:val="28"/>
          <w:szCs w:val="28"/>
        </w:rPr>
        <w:t>Hamdi</w:t>
      </w:r>
      <w:proofErr w:type="spellEnd"/>
      <w:r w:rsidRPr="00E53DA8">
        <w:rPr>
          <w:rFonts w:asciiTheme="minorBidi" w:hAnsiTheme="minorBidi" w:cstheme="minorBidi"/>
          <w:color w:val="000000" w:themeColor="text1"/>
          <w:sz w:val="28"/>
          <w:szCs w:val="28"/>
        </w:rPr>
        <w:t xml:space="preserve"> Hussain</w:t>
      </w:r>
    </w:p>
    <w:p w:rsidR="00E4188E" w:rsidRPr="00E53DA8" w:rsidRDefault="00E4188E" w:rsidP="003E18A8">
      <w:pPr>
        <w:pStyle w:val="NormalWeb"/>
        <w:spacing w:line="360" w:lineRule="auto"/>
        <w:jc w:val="center"/>
        <w:rPr>
          <w:rFonts w:asciiTheme="minorBidi" w:hAnsiTheme="minorBidi" w:cstheme="minorBidi"/>
          <w:color w:val="000000" w:themeColor="text1"/>
          <w:sz w:val="28"/>
          <w:szCs w:val="28"/>
        </w:rPr>
      </w:pPr>
      <w:r w:rsidRPr="00E53DA8">
        <w:rPr>
          <w:rStyle w:val="Strong"/>
          <w:rFonts w:asciiTheme="minorBidi" w:hAnsiTheme="minorBidi" w:cstheme="minorBidi"/>
          <w:color w:val="000000" w:themeColor="text1"/>
          <w:sz w:val="32"/>
          <w:szCs w:val="32"/>
          <w:u w:val="single"/>
        </w:rPr>
        <w:t>Submission Date:</w:t>
      </w:r>
      <w:r w:rsidRPr="00E53DA8">
        <w:rPr>
          <w:rStyle w:val="Strong"/>
          <w:rFonts w:asciiTheme="minorBidi" w:hAnsiTheme="minorBidi" w:cstheme="minorBidi"/>
          <w:color w:val="000000" w:themeColor="text1"/>
          <w:sz w:val="32"/>
          <w:szCs w:val="32"/>
        </w:rPr>
        <w:t xml:space="preserve"> </w:t>
      </w:r>
      <w:r w:rsidRPr="00E53DA8">
        <w:rPr>
          <w:rFonts w:asciiTheme="minorBidi" w:hAnsiTheme="minorBidi" w:cstheme="minorBidi"/>
          <w:color w:val="000000" w:themeColor="text1"/>
          <w:sz w:val="28"/>
          <w:szCs w:val="28"/>
        </w:rPr>
        <w:br/>
        <w:t>17th November 2025</w:t>
      </w:r>
    </w:p>
    <w:p w:rsidR="00E4188E" w:rsidRPr="00E53DA8" w:rsidRDefault="00E4188E" w:rsidP="003E18A8">
      <w:pPr>
        <w:pStyle w:val="NormalWeb"/>
        <w:spacing w:line="360" w:lineRule="auto"/>
        <w:jc w:val="center"/>
        <w:rPr>
          <w:rFonts w:asciiTheme="minorBidi" w:hAnsiTheme="minorBidi" w:cstheme="minorBidi"/>
          <w:color w:val="000000" w:themeColor="text1"/>
          <w:sz w:val="28"/>
          <w:szCs w:val="28"/>
        </w:rPr>
      </w:pPr>
    </w:p>
    <w:p w:rsidR="00E4188E" w:rsidRPr="00E53DA8" w:rsidRDefault="00E4188E" w:rsidP="003E18A8">
      <w:pPr>
        <w:pStyle w:val="NormalWeb"/>
        <w:spacing w:line="360" w:lineRule="auto"/>
        <w:jc w:val="center"/>
        <w:rPr>
          <w:rFonts w:asciiTheme="minorBidi" w:hAnsiTheme="minorBidi" w:cstheme="minorBidi"/>
          <w:color w:val="000000" w:themeColor="text1"/>
          <w:sz w:val="28"/>
          <w:szCs w:val="28"/>
        </w:rPr>
      </w:pPr>
    </w:p>
    <w:p w:rsidR="00E4188E" w:rsidRPr="00E53DA8" w:rsidRDefault="00E4188E" w:rsidP="003E18A8">
      <w:pPr>
        <w:pStyle w:val="NormalWeb"/>
        <w:spacing w:line="360" w:lineRule="auto"/>
        <w:jc w:val="center"/>
        <w:rPr>
          <w:rFonts w:asciiTheme="minorBidi" w:hAnsiTheme="minorBidi" w:cstheme="minorBidi"/>
          <w:b/>
          <w:bCs/>
          <w:color w:val="000000" w:themeColor="text1"/>
          <w:sz w:val="28"/>
          <w:szCs w:val="28"/>
          <w:u w:val="single"/>
        </w:rPr>
      </w:pPr>
      <w:r w:rsidRPr="00E53DA8">
        <w:rPr>
          <w:rFonts w:asciiTheme="minorBidi" w:hAnsiTheme="minorBidi" w:cstheme="minorBidi"/>
          <w:b/>
          <w:bCs/>
          <w:color w:val="000000" w:themeColor="text1"/>
          <w:sz w:val="28"/>
          <w:szCs w:val="28"/>
          <w:u w:val="single"/>
        </w:rPr>
        <w:lastRenderedPageBreak/>
        <w:t xml:space="preserve">Task 1 </w:t>
      </w:r>
    </w:p>
    <w:p w:rsidR="00E4188E" w:rsidRPr="00E53DA8" w:rsidRDefault="00E4188E" w:rsidP="003E18A8">
      <w:pPr>
        <w:pStyle w:val="NormalWeb"/>
        <w:spacing w:line="360" w:lineRule="auto"/>
        <w:jc w:val="center"/>
        <w:rPr>
          <w:rFonts w:asciiTheme="minorBidi" w:hAnsiTheme="minorBidi" w:cstheme="minorBidi"/>
          <w:color w:val="000000" w:themeColor="text1"/>
          <w:u w:val="single"/>
        </w:rPr>
      </w:pPr>
      <w:r w:rsidRPr="00E53DA8">
        <w:rPr>
          <w:rFonts w:asciiTheme="minorBidi" w:hAnsiTheme="minorBidi" w:cstheme="minorBidi"/>
          <w:b/>
          <w:bCs/>
          <w:color w:val="000000" w:themeColor="text1"/>
          <w:u w:val="single"/>
        </w:rPr>
        <w:t xml:space="preserve">Topic: </w:t>
      </w:r>
      <w:r w:rsidRPr="00E53DA8">
        <w:rPr>
          <w:rFonts w:asciiTheme="minorBidi" w:hAnsiTheme="minorBidi" w:cstheme="minorBidi"/>
          <w:color w:val="000000" w:themeColor="text1"/>
          <w:u w:val="single"/>
        </w:rPr>
        <w:t xml:space="preserve">Age Related </w:t>
      </w:r>
      <w:r w:rsidR="006F7B78" w:rsidRPr="00E53DA8">
        <w:rPr>
          <w:rFonts w:asciiTheme="minorBidi" w:hAnsiTheme="minorBidi" w:cstheme="minorBidi"/>
          <w:color w:val="000000" w:themeColor="text1"/>
          <w:u w:val="single"/>
        </w:rPr>
        <w:t>health inequality in UK</w:t>
      </w:r>
    </w:p>
    <w:p w:rsidR="00B951AD" w:rsidRPr="00E53DA8" w:rsidRDefault="00CB1CBB" w:rsidP="003E18A8">
      <w:pPr>
        <w:spacing w:line="360" w:lineRule="auto"/>
        <w:rPr>
          <w:rFonts w:asciiTheme="minorBidi" w:hAnsiTheme="minorBidi"/>
          <w:b/>
          <w:bCs/>
          <w:color w:val="000000" w:themeColor="text1"/>
          <w:sz w:val="24"/>
          <w:szCs w:val="24"/>
          <w:u w:val="single"/>
        </w:rPr>
      </w:pPr>
      <w:r w:rsidRPr="00E53DA8">
        <w:rPr>
          <w:rFonts w:asciiTheme="minorBidi" w:hAnsiTheme="minorBidi"/>
          <w:b/>
          <w:bCs/>
          <w:color w:val="000000" w:themeColor="text1"/>
          <w:sz w:val="24"/>
          <w:szCs w:val="24"/>
          <w:u w:val="single"/>
        </w:rPr>
        <w:t xml:space="preserve">Introduction: </w:t>
      </w:r>
    </w:p>
    <w:p w:rsidR="00CB1CBB" w:rsidRPr="00E53DA8" w:rsidRDefault="00CB1CBB"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Health inequality based on age can be understood as systematic differences in health outcome between people of different ages that can be avoided and are viewed as unfair</w:t>
      </w:r>
      <w:r w:rsidR="007A6179" w:rsidRPr="00E53DA8">
        <w:rPr>
          <w:rFonts w:asciiTheme="minorBidi" w:hAnsiTheme="minorBidi"/>
          <w:color w:val="000000" w:themeColor="text1"/>
        </w:rPr>
        <w:t xml:space="preserve"> (Holman et al., 2021)</w:t>
      </w:r>
      <w:r w:rsidRPr="00E53DA8">
        <w:rPr>
          <w:rFonts w:asciiTheme="minorBidi" w:hAnsiTheme="minorBidi"/>
          <w:color w:val="000000" w:themeColor="text1"/>
        </w:rPr>
        <w:t>. In the context of the United Kingdom, it should be acknowledged that the most visible health inequalities are found amongst older adults</w:t>
      </w:r>
      <w:r w:rsidR="00277C3A" w:rsidRPr="00E53DA8">
        <w:rPr>
          <w:rFonts w:asciiTheme="minorBidi" w:hAnsiTheme="minorBidi"/>
          <w:color w:val="000000" w:themeColor="text1"/>
        </w:rPr>
        <w:t xml:space="preserve"> </w:t>
      </w:r>
      <w:r w:rsidRPr="00E53DA8">
        <w:rPr>
          <w:rFonts w:asciiTheme="minorBidi" w:hAnsiTheme="minorBidi"/>
          <w:color w:val="000000" w:themeColor="text1"/>
        </w:rPr>
        <w:t>those years aged 65 years</w:t>
      </w:r>
      <w:r w:rsidR="00937B28" w:rsidRPr="00E53DA8">
        <w:rPr>
          <w:rFonts w:asciiTheme="minorBidi" w:hAnsiTheme="minorBidi"/>
          <w:color w:val="000000" w:themeColor="text1"/>
        </w:rPr>
        <w:t>,</w:t>
      </w:r>
      <w:r w:rsidRPr="00E53DA8">
        <w:rPr>
          <w:rFonts w:asciiTheme="minorBidi" w:hAnsiTheme="minorBidi"/>
          <w:color w:val="000000" w:themeColor="text1"/>
        </w:rPr>
        <w:t xml:space="preserve"> and older</w:t>
      </w:r>
      <w:r w:rsidR="00937B28" w:rsidRPr="00E53DA8">
        <w:rPr>
          <w:rFonts w:asciiTheme="minorBidi" w:hAnsiTheme="minorBidi"/>
          <w:color w:val="000000" w:themeColor="text1"/>
        </w:rPr>
        <w:t xml:space="preserve"> </w:t>
      </w:r>
      <w:r w:rsidRPr="00E53DA8">
        <w:rPr>
          <w:rFonts w:asciiTheme="minorBidi" w:hAnsiTheme="minorBidi"/>
          <w:color w:val="000000" w:themeColor="text1"/>
        </w:rPr>
        <w:t xml:space="preserve">who at present account for over 19 % of the population (ONS, 2024). The biological process of ageing interacts with the experience of socioeconomic disadvantage, gendering of inequality, and place-based deprivation across health trajectories over the life course. In this study and analysis we are drawing on Marmot’s Social Determinants of Health Framework (Marmot et al., 2020) and the Life Course Approach, we will consider how material, </w:t>
      </w:r>
      <w:r w:rsidR="00937B28" w:rsidRPr="00E53DA8">
        <w:rPr>
          <w:rFonts w:asciiTheme="minorBidi" w:hAnsiTheme="minorBidi"/>
          <w:color w:val="000000" w:themeColor="text1"/>
        </w:rPr>
        <w:t>behavior</w:t>
      </w:r>
      <w:r w:rsidRPr="00E53DA8">
        <w:rPr>
          <w:rFonts w:asciiTheme="minorBidi" w:hAnsiTheme="minorBidi"/>
          <w:color w:val="000000" w:themeColor="text1"/>
        </w:rPr>
        <w:t>, and psychosocial variables can compound inequality in the later life, and how charities and national strategies are looking to address those variables.</w:t>
      </w:r>
    </w:p>
    <w:p w:rsidR="00CB1CBB" w:rsidRPr="00E53DA8" w:rsidRDefault="00CB1CBB" w:rsidP="003E18A8">
      <w:pPr>
        <w:spacing w:line="360" w:lineRule="auto"/>
        <w:rPr>
          <w:rFonts w:asciiTheme="minorBidi" w:hAnsiTheme="minorBidi"/>
          <w:b/>
          <w:bCs/>
          <w:color w:val="000000" w:themeColor="text1"/>
          <w:u w:val="single"/>
        </w:rPr>
      </w:pPr>
      <w:r w:rsidRPr="00E53DA8">
        <w:rPr>
          <w:rFonts w:asciiTheme="minorBidi" w:hAnsiTheme="minorBidi"/>
          <w:b/>
          <w:bCs/>
          <w:color w:val="000000" w:themeColor="text1"/>
          <w:u w:val="single"/>
        </w:rPr>
        <w:t>Contextual Background and Underlying Causes</w:t>
      </w:r>
    </w:p>
    <w:p w:rsidR="00CB1CBB" w:rsidRPr="00E53DA8" w:rsidRDefault="00CB1CBB"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1. Mental Health and Dementia</w:t>
      </w:r>
    </w:p>
    <w:p w:rsidR="00CB1CBB" w:rsidRPr="00E53DA8" w:rsidRDefault="00CB1CBB"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Older adults in the UK experience higher rates of depression and cognitive decline. Approximately 40% of care-home residents displayed symptoms of depression and one in 11 people aged over 65 has difficulty with symptoms of dementia (NHS Digital, 2023). Furthermore, the effects of bereavement, loneliness, and a lack of easily accessible intensified mental health services in rural and deprived areas contribute to the problem. Differences between genders exist, with older women being more likely to report depression than men, and older men are more likely to die by suicide</w:t>
      </w:r>
      <w:r w:rsidR="0030270D" w:rsidRPr="00E53DA8">
        <w:rPr>
          <w:rFonts w:asciiTheme="minorBidi" w:hAnsiTheme="minorBidi"/>
          <w:color w:val="000000" w:themeColor="text1"/>
        </w:rPr>
        <w:t xml:space="preserve"> (Jiang et al., 2021)</w:t>
      </w:r>
      <w:r w:rsidRPr="00E53DA8">
        <w:rPr>
          <w:rFonts w:asciiTheme="minorBidi" w:hAnsiTheme="minorBidi"/>
          <w:color w:val="000000" w:themeColor="text1"/>
        </w:rPr>
        <w:t xml:space="preserve">. An example of improvement is the introduction of community based psychological support and Dementia-friendly networks in the Mental Health Implementation Plan for the NHS in England (2019–2024), which provides further evaluation and early detection of mental health issues. However, schemes are still imbalanced. Regional inequality persists. </w:t>
      </w:r>
    </w:p>
    <w:p w:rsidR="00CB1CBB" w:rsidRPr="00E53DA8" w:rsidRDefault="00CB1CBB"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2. Cardiovascular Disease</w:t>
      </w:r>
    </w:p>
    <w:p w:rsidR="00137CFE" w:rsidRPr="00E53DA8" w:rsidRDefault="00CB1CBB"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Cardiovascular disease (CVD) is responsible for nearly one third of all deaths in people aged 65 and older (British Heart Foundation, 2023). Deprivation is strongly associat</w:t>
      </w:r>
      <w:r w:rsidR="00937B28" w:rsidRPr="00E53DA8">
        <w:rPr>
          <w:rFonts w:asciiTheme="minorBidi" w:hAnsiTheme="minorBidi"/>
          <w:color w:val="000000" w:themeColor="text1"/>
        </w:rPr>
        <w:t xml:space="preserve">ed with hypertension and stroke </w:t>
      </w:r>
      <w:r w:rsidRPr="00E53DA8">
        <w:rPr>
          <w:rFonts w:asciiTheme="minorBidi" w:hAnsiTheme="minorBidi"/>
          <w:color w:val="000000" w:themeColor="text1"/>
        </w:rPr>
        <w:t xml:space="preserve">those in the most deprived quintile are nearly twice as likely, to die prematurely of CVD </w:t>
      </w:r>
      <w:r w:rsidRPr="00E53DA8">
        <w:rPr>
          <w:rFonts w:asciiTheme="minorBidi" w:hAnsiTheme="minorBidi"/>
          <w:color w:val="000000" w:themeColor="text1"/>
        </w:rPr>
        <w:lastRenderedPageBreak/>
        <w:t xml:space="preserve">mortality than those in the least deprived quintile (PHE, 2020). Although the NHS Health Check </w:t>
      </w:r>
      <w:r w:rsidR="00937B28" w:rsidRPr="00E53DA8">
        <w:rPr>
          <w:rFonts w:asciiTheme="minorBidi" w:hAnsiTheme="minorBidi"/>
          <w:color w:val="000000" w:themeColor="text1"/>
        </w:rPr>
        <w:t>program</w:t>
      </w:r>
      <w:r w:rsidRPr="00E53DA8">
        <w:rPr>
          <w:rFonts w:asciiTheme="minorBidi" w:hAnsiTheme="minorBidi"/>
          <w:color w:val="000000" w:themeColor="text1"/>
        </w:rPr>
        <w:t xml:space="preserve"> will assist in prevention (and awareness of CVD), participation decreases with age and settings of deprivation. Awareness of CVD and preventive </w:t>
      </w:r>
      <w:r w:rsidR="00334AFD" w:rsidRPr="00E53DA8">
        <w:rPr>
          <w:rFonts w:asciiTheme="minorBidi" w:hAnsiTheme="minorBidi"/>
          <w:color w:val="000000" w:themeColor="text1"/>
        </w:rPr>
        <w:t>behaviors</w:t>
      </w:r>
      <w:r w:rsidRPr="00E53DA8">
        <w:rPr>
          <w:rFonts w:asciiTheme="minorBidi" w:hAnsiTheme="minorBidi"/>
          <w:color w:val="000000" w:themeColor="text1"/>
        </w:rPr>
        <w:t xml:space="preserve"> in midlife, that are part of a life-course approach see improveme</w:t>
      </w:r>
      <w:r w:rsidR="00CE252C" w:rsidRPr="00E53DA8">
        <w:rPr>
          <w:rFonts w:asciiTheme="minorBidi" w:hAnsiTheme="minorBidi"/>
          <w:color w:val="000000" w:themeColor="text1"/>
        </w:rPr>
        <w:t xml:space="preserve">nts and tackle upstream causes </w:t>
      </w:r>
      <w:r w:rsidRPr="00E53DA8">
        <w:rPr>
          <w:rFonts w:asciiTheme="minorBidi" w:hAnsiTheme="minorBidi"/>
          <w:color w:val="000000" w:themeColor="text1"/>
        </w:rPr>
        <w:t>rather than just treating people who already have advanced stages of CVD.</w:t>
      </w:r>
    </w:p>
    <w:p w:rsidR="00137CFE" w:rsidRPr="00E53DA8" w:rsidRDefault="00DB1802"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 xml:space="preserve">3. Chronic Illness and </w:t>
      </w:r>
      <w:proofErr w:type="spellStart"/>
      <w:r w:rsidRPr="00E53DA8">
        <w:rPr>
          <w:rFonts w:asciiTheme="minorBidi" w:hAnsiTheme="minorBidi"/>
          <w:b/>
          <w:bCs/>
          <w:color w:val="000000" w:themeColor="text1"/>
        </w:rPr>
        <w:t>Multimorbidity</w:t>
      </w:r>
      <w:proofErr w:type="spellEnd"/>
      <w:r w:rsidR="00137CFE" w:rsidRPr="00E53DA8">
        <w:rPr>
          <w:rFonts w:asciiTheme="minorBidi" w:hAnsiTheme="minorBidi"/>
          <w:b/>
          <w:bCs/>
          <w:color w:val="000000" w:themeColor="text1"/>
        </w:rPr>
        <w:t xml:space="preserve">: </w:t>
      </w:r>
    </w:p>
    <w:p w:rsidR="00DB1802" w:rsidRPr="00E53DA8" w:rsidRDefault="00137CFE"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More than 54% of those adults aged 65+ have two or more chronic conditions like diabetes, arthr</w:t>
      </w:r>
      <w:r w:rsidR="006B7A2E" w:rsidRPr="00E53DA8">
        <w:rPr>
          <w:rFonts w:asciiTheme="minorBidi" w:hAnsiTheme="minorBidi"/>
          <w:color w:val="000000" w:themeColor="text1"/>
        </w:rPr>
        <w:t>itis, or COPD (Chou et al., 2021</w:t>
      </w:r>
      <w:r w:rsidRPr="00E53DA8">
        <w:rPr>
          <w:rFonts w:asciiTheme="minorBidi" w:hAnsiTheme="minorBidi"/>
          <w:color w:val="000000" w:themeColor="text1"/>
        </w:rPr>
        <w:t>). Fragmented care pathways and age bias exacerbate continuity of care. In deprived communities, preventable hospital admissions are 40% higher than the national average (UKHSA, 2023). Integrated Care Systems (ICS) are improving the element of coordination, but resources larger at servicing the coordination element are usually inadequate. Extended funding into community rehabilitation and digital health literacy is required to reduce reliance of health services and improve self-management.</w:t>
      </w:r>
    </w:p>
    <w:p w:rsidR="00137CFE" w:rsidRPr="00E53DA8" w:rsidRDefault="00137CFE" w:rsidP="003E18A8">
      <w:pPr>
        <w:spacing w:line="360" w:lineRule="auto"/>
        <w:rPr>
          <w:rFonts w:asciiTheme="minorBidi" w:hAnsiTheme="minorBidi"/>
          <w:b/>
          <w:bCs/>
          <w:color w:val="000000" w:themeColor="text1"/>
        </w:rPr>
      </w:pPr>
      <w:r w:rsidRPr="00E53DA8">
        <w:rPr>
          <w:rFonts w:asciiTheme="minorBidi" w:hAnsiTheme="minorBidi"/>
          <w:b/>
          <w:bCs/>
          <w:color w:val="000000" w:themeColor="text1"/>
        </w:rPr>
        <w:t xml:space="preserve">4. Avoidance from social and loneliness </w:t>
      </w:r>
    </w:p>
    <w:p w:rsidR="00137CFE" w:rsidRPr="00E53DA8" w:rsidRDefault="00137CFE" w:rsidP="006B7A2E">
      <w:pPr>
        <w:spacing w:line="360" w:lineRule="auto"/>
        <w:jc w:val="both"/>
        <w:rPr>
          <w:rFonts w:asciiTheme="minorBidi" w:hAnsiTheme="minorBidi"/>
          <w:color w:val="000000" w:themeColor="text1"/>
        </w:rPr>
      </w:pPr>
      <w:r w:rsidRPr="00E53DA8">
        <w:rPr>
          <w:rFonts w:asciiTheme="minorBidi" w:hAnsiTheme="minorBidi"/>
          <w:color w:val="000000" w:themeColor="text1"/>
        </w:rPr>
        <w:t>Greater than 1.4 million older adults in the UK are reported as often lonely (Age UK, 2023). Loneliness is linked to a greater than 26 % increased risk of death (</w:t>
      </w:r>
      <w:r w:rsidR="006B7A2E" w:rsidRPr="00E53DA8">
        <w:rPr>
          <w:rFonts w:asciiTheme="minorBidi" w:hAnsiTheme="minorBidi"/>
          <w:color w:val="000000" w:themeColor="text1"/>
        </w:rPr>
        <w:t>Freak et al., 2021</w:t>
      </w:r>
      <w:r w:rsidRPr="00E53DA8">
        <w:rPr>
          <w:rFonts w:asciiTheme="minorBidi" w:hAnsiTheme="minorBidi"/>
          <w:color w:val="000000" w:themeColor="text1"/>
        </w:rPr>
        <w:t xml:space="preserve">) and negatively affects dementia and CVD (cardiovascular disease) outcomes. Older adults are more susceptible to loneliness due to the occurrence of bereavement, retirement, and the awakening of mobility loss. The pandemic deepened an already-present digital gap, with older adults living on low income sectors being especially affected. The NHS has made significant breakthroughs with social prescribing to better link primary care to community networks, nevertheless, the sustainability of this is dependent on longitudinal funding from local areas. </w:t>
      </w:r>
    </w:p>
    <w:p w:rsidR="00137CFE" w:rsidRPr="00E53DA8" w:rsidRDefault="00137CFE" w:rsidP="003E18A8">
      <w:pPr>
        <w:spacing w:line="360" w:lineRule="auto"/>
        <w:rPr>
          <w:rFonts w:asciiTheme="minorBidi" w:hAnsiTheme="minorBidi"/>
          <w:b/>
          <w:bCs/>
          <w:color w:val="000000" w:themeColor="text1"/>
        </w:rPr>
      </w:pPr>
      <w:r w:rsidRPr="00E53DA8">
        <w:rPr>
          <w:rFonts w:asciiTheme="minorBidi" w:hAnsiTheme="minorBidi"/>
          <w:b/>
          <w:bCs/>
          <w:color w:val="000000" w:themeColor="text1"/>
        </w:rPr>
        <w:t xml:space="preserve">5. Poverty and economic insecurity </w:t>
      </w:r>
    </w:p>
    <w:p w:rsidR="00137CFE" w:rsidRPr="00E53DA8" w:rsidRDefault="00137CFE" w:rsidP="006B7A2E">
      <w:pPr>
        <w:spacing w:line="360" w:lineRule="auto"/>
        <w:jc w:val="both"/>
        <w:rPr>
          <w:rFonts w:asciiTheme="minorBidi" w:hAnsiTheme="minorBidi"/>
          <w:color w:val="000000" w:themeColor="text1"/>
        </w:rPr>
      </w:pPr>
      <w:r w:rsidRPr="00E53DA8">
        <w:rPr>
          <w:rFonts w:asciiTheme="minorBidi" w:hAnsiTheme="minorBidi"/>
          <w:color w:val="000000" w:themeColor="text1"/>
        </w:rPr>
        <w:t>Almost 18 % of pensioners are estimated to be living on what is defined as relative poverty (</w:t>
      </w:r>
      <w:r w:rsidR="006B7A2E" w:rsidRPr="00E53DA8">
        <w:rPr>
          <w:rFonts w:asciiTheme="minorBidi" w:hAnsiTheme="minorBidi"/>
          <w:color w:val="000000" w:themeColor="text1"/>
        </w:rPr>
        <w:t>Li et al., 2023</w:t>
      </w:r>
      <w:r w:rsidRPr="00E53DA8">
        <w:rPr>
          <w:rFonts w:asciiTheme="minorBidi" w:hAnsiTheme="minorBidi"/>
          <w:color w:val="000000" w:themeColor="text1"/>
        </w:rPr>
        <w:t>), with even larger levels of poverty found in older women and older adults in ethnic-minority groups due to fragmented work histories and benefits offered on low pensions. Energy poverty can lead to increased mortality from winter illness and respiratory disease. While there are benefits that are offered such as the Winter Fuel Payment and Pension Credit, with inflation on the rise, the true value of these benefits has decreased in real terms. Policies must look to adapt from subsidizing and look to reform pensions, access to economic work, and job opportunities for older people to work in age-inclusive environments.</w:t>
      </w:r>
    </w:p>
    <w:p w:rsidR="00137CFE" w:rsidRPr="00E53DA8" w:rsidRDefault="00137CFE"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lastRenderedPageBreak/>
        <w:t>6. Accommodation and Living Context</w:t>
      </w:r>
    </w:p>
    <w:p w:rsidR="00137CFE" w:rsidRPr="00E53DA8" w:rsidRDefault="00137CFE" w:rsidP="003E18A8">
      <w:pPr>
        <w:spacing w:line="360" w:lineRule="auto"/>
        <w:jc w:val="both"/>
        <w:rPr>
          <w:rFonts w:asciiTheme="minorBidi" w:hAnsiTheme="minorBidi"/>
          <w:color w:val="000000" w:themeColor="text1"/>
        </w:rPr>
      </w:pPr>
    </w:p>
    <w:p w:rsidR="00137CFE" w:rsidRPr="00E53DA8" w:rsidRDefault="00137CFE"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Approximately 20 % of residences occupied by older individuals do not adhere to the Decent Homes Standard (UKHSA, 2023). Factors such as dampness, insufficient insulation, and inappropriate design lead to both respiratory illness and falls. There is a large disparity between regions, with mortality due to issues related to cold homes at its highest in northern England. Although the Better Care Fund is a positive initiative that encourages home adaptations, progress is often delayed in accessing funding from local authorities. Improving the integration of housing policy within Health and Social care is a national priority agenda for supporting older individuals remaining in their homes.</w:t>
      </w:r>
    </w:p>
    <w:p w:rsidR="00137CFE" w:rsidRPr="00E53DA8" w:rsidRDefault="00137CFE"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National Response to Reduce Health Inequalities</w:t>
      </w:r>
    </w:p>
    <w:p w:rsidR="00CB1CBB" w:rsidRPr="00E53DA8" w:rsidRDefault="00137CFE"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The NHS Long Term Plan (2019) and Public Health En</w:t>
      </w:r>
      <w:r w:rsidR="003E18A8" w:rsidRPr="00E53DA8">
        <w:rPr>
          <w:rFonts w:asciiTheme="minorBidi" w:hAnsiTheme="minorBidi"/>
          <w:color w:val="000000" w:themeColor="text1"/>
        </w:rPr>
        <w:t>gland’s Healthy Ageing Program</w:t>
      </w:r>
      <w:r w:rsidRPr="00E53DA8">
        <w:rPr>
          <w:rFonts w:asciiTheme="minorBidi" w:hAnsiTheme="minorBidi"/>
          <w:color w:val="000000" w:themeColor="text1"/>
        </w:rPr>
        <w:t xml:space="preserve"> (2020) provide a framework which aims to increase healthy life expectancy and reduce health inequalities in both wealth and location. Both documents share some common ground in their promotion of person-</w:t>
      </w:r>
      <w:r w:rsidR="00B93016" w:rsidRPr="00E53DA8">
        <w:rPr>
          <w:rFonts w:asciiTheme="minorBidi" w:hAnsiTheme="minorBidi"/>
          <w:color w:val="000000" w:themeColor="text1"/>
        </w:rPr>
        <w:t>centered</w:t>
      </w:r>
      <w:r w:rsidRPr="00E53DA8">
        <w:rPr>
          <w:rFonts w:asciiTheme="minorBidi" w:hAnsiTheme="minorBidi"/>
          <w:color w:val="000000" w:themeColor="text1"/>
        </w:rPr>
        <w:t xml:space="preserve"> care, prevention, and a community approach to support. The Ageing Society Grand Challenge is also an investment strategy for innovation, assisting technology, and independence in the home. However, there is still a critique that there is uneven and inconsistent implementation locally across the country, and these national strategies also put rely heavily on temporary funding streams (The King's Fund, 2023). The national commitment to health equity would be much more effective if regional budgets and staff accountability frameworks included targets for health equity.</w:t>
      </w:r>
    </w:p>
    <w:p w:rsidR="004D6AC1" w:rsidRPr="00E53DA8" w:rsidRDefault="004D6AC1"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Organizations Investing In Older Adults</w:t>
      </w:r>
    </w:p>
    <w:p w:rsidR="004D6AC1" w:rsidRPr="00E53DA8" w:rsidRDefault="004D6AC1"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Age UK is vital in addressing inequalities related to age</w:t>
      </w:r>
      <w:r w:rsidR="00AC014A" w:rsidRPr="00E53DA8">
        <w:rPr>
          <w:rFonts w:asciiTheme="minorBidi" w:hAnsiTheme="minorBidi"/>
          <w:color w:val="000000" w:themeColor="text1"/>
        </w:rPr>
        <w:t xml:space="preserve"> (</w:t>
      </w:r>
      <w:proofErr w:type="spellStart"/>
      <w:r w:rsidR="00AC014A" w:rsidRPr="00E53DA8">
        <w:rPr>
          <w:rFonts w:asciiTheme="minorBidi" w:hAnsiTheme="minorBidi"/>
          <w:color w:val="000000" w:themeColor="text1"/>
        </w:rPr>
        <w:t>Kneale</w:t>
      </w:r>
      <w:proofErr w:type="spellEnd"/>
      <w:r w:rsidR="00AC014A" w:rsidRPr="00E53DA8">
        <w:rPr>
          <w:rFonts w:asciiTheme="minorBidi" w:hAnsiTheme="minorBidi"/>
          <w:color w:val="000000" w:themeColor="text1"/>
        </w:rPr>
        <w:t xml:space="preserve"> et al., 2021)</w:t>
      </w:r>
      <w:r w:rsidRPr="00E53DA8">
        <w:rPr>
          <w:rFonts w:asciiTheme="minorBidi" w:hAnsiTheme="minorBidi"/>
          <w:color w:val="000000" w:themeColor="text1"/>
        </w:rPr>
        <w:t>. Its research and advocacy engage parliamentarians in public discussions on pension reform, social care, and loneliness. Age UK services that help mitigate social isolation and support self-management are befriending, advice lines, digital skills training, and health campaigns. In collaboration with the NHS and local authorities, Age UK works through initiatives like the Campaign to End Loneliness to foster community to combat loneliness. The Age UK mission and work supports the WHO Decade of Healthy Ageing (2021-2030) to lift the global agenda of dignity, participation, and equity in later life.</w:t>
      </w:r>
    </w:p>
    <w:p w:rsidR="004D6AC1" w:rsidRPr="00E53DA8" w:rsidRDefault="004D6AC1"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Conclusion</w:t>
      </w:r>
    </w:p>
    <w:p w:rsidR="00137CFE" w:rsidRPr="00E53DA8" w:rsidRDefault="004D6AC1"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lastRenderedPageBreak/>
        <w:t>Ageing-related health inequity in the UK is positioned against a backdrop of simultaneous biological ageing and social determinants of health - poverty, housing, isolation and unequal access to care. Demonstrating Marmot's framework can help illuminate how structural disadvantage, framed over the life course accumulates into an individual poor health status in old age. Intention is demonstrated at the national level</w:t>
      </w:r>
      <w:r w:rsidR="003E18A8" w:rsidRPr="00E53DA8">
        <w:rPr>
          <w:rFonts w:asciiTheme="minorBidi" w:hAnsiTheme="minorBidi"/>
          <w:color w:val="000000" w:themeColor="text1"/>
        </w:rPr>
        <w:t xml:space="preserve"> by the Healthy Ageing Program</w:t>
      </w:r>
      <w:r w:rsidRPr="00E53DA8">
        <w:rPr>
          <w:rFonts w:asciiTheme="minorBidi" w:hAnsiTheme="minorBidi"/>
          <w:color w:val="000000" w:themeColor="text1"/>
        </w:rPr>
        <w:t xml:space="preserve"> and the NHS Long Term Plan, which are seeking to ameliorate some of these inequities but there remains a lack of funding, regional equity and prevention. Supporting community engagement, age-friendly housing, and pension security is a good place to start to address and reduce inequity, and ensure that the increased number of years lived, mean more healthy and meaningful lived experience in later life.</w:t>
      </w: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jc w:val="both"/>
        <w:rPr>
          <w:rFonts w:asciiTheme="minorBidi" w:hAnsiTheme="minorBidi"/>
          <w:color w:val="000000" w:themeColor="text1"/>
        </w:rPr>
      </w:pPr>
    </w:p>
    <w:p w:rsidR="001935B2" w:rsidRPr="00E53DA8" w:rsidRDefault="001935B2" w:rsidP="003E18A8">
      <w:pPr>
        <w:spacing w:line="360" w:lineRule="auto"/>
        <w:rPr>
          <w:rFonts w:asciiTheme="minorBidi" w:hAnsiTheme="minorBidi"/>
          <w:color w:val="000000" w:themeColor="text1"/>
        </w:rPr>
      </w:pPr>
    </w:p>
    <w:p w:rsidR="001935B2" w:rsidRPr="00E53DA8" w:rsidRDefault="001935B2" w:rsidP="003E18A8">
      <w:pPr>
        <w:spacing w:line="360" w:lineRule="auto"/>
        <w:jc w:val="center"/>
        <w:rPr>
          <w:rFonts w:asciiTheme="minorBidi" w:hAnsiTheme="minorBidi"/>
          <w:b/>
          <w:bCs/>
          <w:color w:val="000000" w:themeColor="text1"/>
          <w:sz w:val="28"/>
          <w:szCs w:val="28"/>
          <w:u w:val="single"/>
        </w:rPr>
      </w:pPr>
      <w:r w:rsidRPr="00E53DA8">
        <w:rPr>
          <w:rFonts w:asciiTheme="minorBidi" w:hAnsiTheme="minorBidi"/>
          <w:b/>
          <w:bCs/>
          <w:color w:val="000000" w:themeColor="text1"/>
          <w:sz w:val="28"/>
          <w:szCs w:val="28"/>
          <w:u w:val="single"/>
        </w:rPr>
        <w:lastRenderedPageBreak/>
        <w:t xml:space="preserve">Task 2 </w:t>
      </w:r>
    </w:p>
    <w:p w:rsidR="001935B2" w:rsidRPr="00E53DA8" w:rsidRDefault="001935B2" w:rsidP="003E18A8">
      <w:pPr>
        <w:spacing w:line="360" w:lineRule="auto"/>
        <w:jc w:val="center"/>
        <w:rPr>
          <w:rFonts w:asciiTheme="minorBidi" w:hAnsiTheme="minorBidi"/>
          <w:color w:val="000000" w:themeColor="text1"/>
          <w:sz w:val="24"/>
          <w:szCs w:val="24"/>
          <w:u w:val="single"/>
        </w:rPr>
      </w:pPr>
      <w:r w:rsidRPr="00E53DA8">
        <w:rPr>
          <w:rFonts w:asciiTheme="minorBidi" w:hAnsiTheme="minorBidi"/>
          <w:b/>
          <w:bCs/>
          <w:color w:val="000000" w:themeColor="text1"/>
          <w:sz w:val="24"/>
          <w:szCs w:val="24"/>
          <w:u w:val="single"/>
        </w:rPr>
        <w:t xml:space="preserve">Topic: </w:t>
      </w:r>
      <w:r w:rsidRPr="00E53DA8">
        <w:rPr>
          <w:rFonts w:asciiTheme="minorBidi" w:hAnsiTheme="minorBidi"/>
          <w:color w:val="000000" w:themeColor="text1"/>
          <w:sz w:val="24"/>
          <w:szCs w:val="24"/>
          <w:u w:val="single"/>
        </w:rPr>
        <w:t>Epidemiological Analysis of Type 2 Diabetes Mellitus in the United Kingdom</w:t>
      </w:r>
    </w:p>
    <w:p w:rsidR="002D4701" w:rsidRPr="00E53DA8" w:rsidRDefault="002D4701" w:rsidP="003E18A8">
      <w:pPr>
        <w:spacing w:line="360" w:lineRule="auto"/>
        <w:jc w:val="both"/>
        <w:rPr>
          <w:rFonts w:asciiTheme="minorBidi" w:hAnsiTheme="minorBidi"/>
          <w:b/>
          <w:bCs/>
          <w:color w:val="000000" w:themeColor="text1"/>
          <w:u w:val="single"/>
        </w:rPr>
      </w:pPr>
      <w:r w:rsidRPr="00E53DA8">
        <w:rPr>
          <w:rFonts w:asciiTheme="minorBidi" w:hAnsiTheme="minorBidi"/>
          <w:b/>
          <w:bCs/>
          <w:color w:val="000000" w:themeColor="text1"/>
          <w:u w:val="single"/>
        </w:rPr>
        <w:t>Introduction:</w:t>
      </w:r>
    </w:p>
    <w:p w:rsidR="002D4701" w:rsidRPr="00E53DA8" w:rsidRDefault="002D4701" w:rsidP="006B7A2E">
      <w:pPr>
        <w:spacing w:line="360" w:lineRule="auto"/>
        <w:jc w:val="both"/>
        <w:rPr>
          <w:rFonts w:asciiTheme="minorBidi" w:hAnsiTheme="minorBidi"/>
          <w:color w:val="000000" w:themeColor="text1"/>
        </w:rPr>
      </w:pPr>
      <w:r w:rsidRPr="00E53DA8">
        <w:rPr>
          <w:rFonts w:asciiTheme="minorBidi" w:hAnsiTheme="minorBidi"/>
          <w:color w:val="000000" w:themeColor="text1"/>
        </w:rPr>
        <w:t>Type 2 Diabetes Mellitus (T2DM) is a prominent lifestyle disease and one of the greatest public health chall</w:t>
      </w:r>
      <w:r w:rsidR="006B7A2E" w:rsidRPr="00E53DA8">
        <w:rPr>
          <w:rFonts w:asciiTheme="minorBidi" w:hAnsiTheme="minorBidi"/>
          <w:color w:val="000000" w:themeColor="text1"/>
        </w:rPr>
        <w:t>enges in the United Kingdom (</w:t>
      </w:r>
      <w:proofErr w:type="spellStart"/>
      <w:r w:rsidR="006B7A2E" w:rsidRPr="00E53DA8">
        <w:rPr>
          <w:rFonts w:asciiTheme="minorBidi" w:hAnsiTheme="minorBidi"/>
          <w:color w:val="000000" w:themeColor="text1"/>
        </w:rPr>
        <w:t>Goodall</w:t>
      </w:r>
      <w:proofErr w:type="spellEnd"/>
      <w:r w:rsidR="006B7A2E" w:rsidRPr="00E53DA8">
        <w:rPr>
          <w:rFonts w:asciiTheme="minorBidi" w:hAnsiTheme="minorBidi"/>
          <w:color w:val="000000" w:themeColor="text1"/>
        </w:rPr>
        <w:t xml:space="preserve"> et al., 2021)</w:t>
      </w:r>
      <w:r w:rsidRPr="00E53DA8">
        <w:rPr>
          <w:rFonts w:asciiTheme="minorBidi" w:hAnsiTheme="minorBidi"/>
          <w:color w:val="000000" w:themeColor="text1"/>
        </w:rPr>
        <w:t xml:space="preserve">. It is a particular kind of diabetes which results in chronic </w:t>
      </w:r>
      <w:r w:rsidR="00B93016" w:rsidRPr="00E53DA8">
        <w:rPr>
          <w:rFonts w:asciiTheme="minorBidi" w:hAnsiTheme="minorBidi"/>
          <w:color w:val="000000" w:themeColor="text1"/>
        </w:rPr>
        <w:t>hyperglycemia</w:t>
      </w:r>
      <w:r w:rsidRPr="00E53DA8">
        <w:rPr>
          <w:rFonts w:asciiTheme="minorBidi" w:hAnsiTheme="minorBidi"/>
          <w:color w:val="000000" w:themeColor="text1"/>
        </w:rPr>
        <w:t xml:space="preserve"> due to a combination of insulin resistance and progressive dysfunction of the pancreatic beta cells. The NHS incurs a massive health economic burden of approximately £10 billion each year (Diabetes UK, 2023) as a result of the multitude of health complications and comorbidities of T2DM, including cardiovascular disease, renal failure, blindness, and early death. More socially and epidemiologically, T2DM is the result of a combination of deprivation, ethnicity, age, lifestyle factors, and the greater commercial determinants of health. This report </w:t>
      </w:r>
      <w:r w:rsidR="00B93016" w:rsidRPr="00E53DA8">
        <w:rPr>
          <w:rFonts w:asciiTheme="minorBidi" w:hAnsiTheme="minorBidi"/>
          <w:color w:val="000000" w:themeColor="text1"/>
        </w:rPr>
        <w:t>utilizes</w:t>
      </w:r>
      <w:r w:rsidRPr="00E53DA8">
        <w:rPr>
          <w:rFonts w:asciiTheme="minorBidi" w:hAnsiTheme="minorBidi"/>
          <w:color w:val="000000" w:themeColor="text1"/>
        </w:rPr>
        <w:t xml:space="preserve"> epidemiological modelling to illustrate the detection, evaluation, and management of T2DM in the UK including considerations of public health, risk factors, surveillance, control progr</w:t>
      </w:r>
      <w:r w:rsidR="003E18A8" w:rsidRPr="00E53DA8">
        <w:rPr>
          <w:rFonts w:asciiTheme="minorBidi" w:hAnsiTheme="minorBidi"/>
          <w:color w:val="000000" w:themeColor="text1"/>
        </w:rPr>
        <w:t>am,</w:t>
      </w:r>
      <w:r w:rsidR="000919D6" w:rsidRPr="00E53DA8">
        <w:rPr>
          <w:rFonts w:asciiTheme="minorBidi" w:hAnsiTheme="minorBidi"/>
          <w:color w:val="000000" w:themeColor="text1"/>
        </w:rPr>
        <w:t xml:space="preserve"> and systems. This report discus</w:t>
      </w:r>
      <w:r w:rsidRPr="00E53DA8">
        <w:rPr>
          <w:rFonts w:asciiTheme="minorBidi" w:hAnsiTheme="minorBidi"/>
          <w:color w:val="000000" w:themeColor="text1"/>
        </w:rPr>
        <w:t xml:space="preserve"> public health measures, and assesses, and also identifies the health surveillance systems, control measures, and gaps in the T2DM in UK.</w:t>
      </w:r>
    </w:p>
    <w:p w:rsidR="002D4701" w:rsidRPr="00E53DA8" w:rsidRDefault="002D4701" w:rsidP="006A081B">
      <w:pPr>
        <w:spacing w:line="360" w:lineRule="auto"/>
        <w:jc w:val="both"/>
        <w:rPr>
          <w:rFonts w:asciiTheme="minorBidi" w:hAnsiTheme="minorBidi"/>
          <w:b/>
          <w:bCs/>
          <w:color w:val="000000" w:themeColor="text1"/>
          <w:u w:val="single"/>
        </w:rPr>
      </w:pPr>
      <w:r w:rsidRPr="00E53DA8">
        <w:rPr>
          <w:rFonts w:asciiTheme="minorBidi" w:hAnsiTheme="minorBidi"/>
          <w:b/>
          <w:bCs/>
          <w:color w:val="000000" w:themeColor="text1"/>
          <w:u w:val="single"/>
        </w:rPr>
        <w:t>Incidence and Prevalence: Figures from Around the World and the UK</w:t>
      </w:r>
    </w:p>
    <w:p w:rsidR="002D4701" w:rsidRPr="00E53DA8" w:rsidRDefault="002D4701"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 xml:space="preserve">In total, more than 537 million adults worldwide are estimated to have diabetes, a figure which will rise to 643 million by 2030 (International Diabetes Federation, 2021). T2DM accounts for around 90% of diabetes cases worldwide. </w:t>
      </w:r>
    </w:p>
    <w:p w:rsidR="002D4701" w:rsidRPr="00E53DA8" w:rsidRDefault="002D4701"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 xml:space="preserve">Statistics from the UK include the following: </w:t>
      </w:r>
    </w:p>
    <w:p w:rsidR="002D4701" w:rsidRPr="00E53DA8" w:rsidRDefault="00E11019"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In the UK, about 4.3 million adults are diagnosed with diabetes, with an estimated 850,000 more adults undiagnosed (Diabetes UK, 2023). Approximately ninety percent of all diabetes is Type 2 Diabetes Mellitus (T2DM) which has the highest observed rates in adults aged 40–74 and is increasing at a fast rate</w:t>
      </w:r>
      <w:r w:rsidR="006A081B" w:rsidRPr="00E53DA8">
        <w:rPr>
          <w:rFonts w:asciiTheme="minorBidi" w:hAnsiTheme="minorBidi"/>
          <w:color w:val="000000" w:themeColor="text1"/>
        </w:rPr>
        <w:t xml:space="preserve"> (</w:t>
      </w:r>
      <w:proofErr w:type="spellStart"/>
      <w:r w:rsidR="006A081B" w:rsidRPr="00E53DA8">
        <w:rPr>
          <w:rFonts w:asciiTheme="minorBidi" w:hAnsiTheme="minorBidi"/>
          <w:color w:val="000000" w:themeColor="text1"/>
        </w:rPr>
        <w:t>Bjornstad</w:t>
      </w:r>
      <w:proofErr w:type="spellEnd"/>
      <w:r w:rsidR="006A081B" w:rsidRPr="00E53DA8">
        <w:rPr>
          <w:rFonts w:asciiTheme="minorBidi" w:hAnsiTheme="minorBidi"/>
          <w:color w:val="000000" w:themeColor="text1"/>
        </w:rPr>
        <w:t xml:space="preserve"> et al., 2023)</w:t>
      </w:r>
      <w:r w:rsidRPr="00E53DA8">
        <w:rPr>
          <w:rFonts w:asciiTheme="minorBidi" w:hAnsiTheme="minorBidi"/>
          <w:color w:val="000000" w:themeColor="text1"/>
        </w:rPr>
        <w:t>. Major inequalities still exist: adults living in the most deprived areas are over twice as likely to develop T2DM compared to those living in wealthy communities (PHE, 2020). Similarly, concerning ethnic inequalities are also found, with South Asian adults being up to six times more likely to develop T2DM than White British adults (ONS, 2021). Increased prevalence continues to be seen alongside rising obesity, inactivity, ageing, and social inequalities.</w:t>
      </w:r>
    </w:p>
    <w:p w:rsidR="00C16F23" w:rsidRPr="00E53DA8" w:rsidRDefault="00C16F23" w:rsidP="003E18A8">
      <w:pPr>
        <w:spacing w:line="360" w:lineRule="auto"/>
        <w:jc w:val="both"/>
        <w:rPr>
          <w:rFonts w:asciiTheme="minorBidi" w:hAnsiTheme="minorBidi"/>
          <w:b/>
          <w:bCs/>
          <w:color w:val="000000" w:themeColor="text1"/>
          <w:u w:val="single"/>
        </w:rPr>
      </w:pPr>
      <w:r w:rsidRPr="00E53DA8">
        <w:rPr>
          <w:rFonts w:asciiTheme="minorBidi" w:hAnsiTheme="minorBidi"/>
          <w:b/>
          <w:bCs/>
          <w:color w:val="000000" w:themeColor="text1"/>
          <w:u w:val="single"/>
        </w:rPr>
        <w:lastRenderedPageBreak/>
        <w:t>Public Health Strategies in the UK: Prevention, Protection and Promotion</w:t>
      </w:r>
    </w:p>
    <w:p w:rsidR="00C16F23" w:rsidRPr="00E53DA8" w:rsidRDefault="00C16F23"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1. Prevention</w:t>
      </w:r>
    </w:p>
    <w:p w:rsidR="00E11019" w:rsidRPr="00E53DA8" w:rsidRDefault="00E11019"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In the UK, there are a number of public health initiatives that aim to prevent and reduce Type 2 Diabetes Mellitus. The National Health Service (NH</w:t>
      </w:r>
      <w:r w:rsidR="002D4F40" w:rsidRPr="00E53DA8">
        <w:rPr>
          <w:rFonts w:asciiTheme="minorBidi" w:hAnsiTheme="minorBidi"/>
          <w:color w:val="000000" w:themeColor="text1"/>
        </w:rPr>
        <w:t>S) Diabetes Prevention Program</w:t>
      </w:r>
      <w:r w:rsidRPr="00E53DA8">
        <w:rPr>
          <w:rFonts w:asciiTheme="minorBidi" w:hAnsiTheme="minorBidi"/>
          <w:color w:val="000000" w:themeColor="text1"/>
        </w:rPr>
        <w:t xml:space="preserve"> (NDPP), assists those with a diagnosis of pre-diabetes in achieving healthier eating, increasing physical activity and controlling weight</w:t>
      </w:r>
      <w:r w:rsidR="002D4F40" w:rsidRPr="00E53DA8">
        <w:rPr>
          <w:rFonts w:asciiTheme="minorBidi" w:hAnsiTheme="minorBidi"/>
          <w:color w:val="000000" w:themeColor="text1"/>
        </w:rPr>
        <w:t>. The NHS Health Check program</w:t>
      </w:r>
      <w:r w:rsidRPr="00E53DA8">
        <w:rPr>
          <w:rFonts w:asciiTheme="minorBidi" w:hAnsiTheme="minorBidi"/>
          <w:color w:val="000000" w:themeColor="text1"/>
        </w:rPr>
        <w:t>, helps to identify risk early as it screens adults between the ages of 40 and 74 for obesity, high blood pressure and raised glucose levels. At the level of the population, the Soft Drinks Industry Levy aims to reduce sugar intake, particularly among children and those at socioeconomic disadvantage. There are also NHS digital weight management services an</w:t>
      </w:r>
      <w:r w:rsidR="002D4F40" w:rsidRPr="00E53DA8">
        <w:rPr>
          <w:rFonts w:asciiTheme="minorBidi" w:hAnsiTheme="minorBidi"/>
          <w:color w:val="000000" w:themeColor="text1"/>
        </w:rPr>
        <w:t>d community lifestyle program</w:t>
      </w:r>
      <w:r w:rsidRPr="00E53DA8">
        <w:rPr>
          <w:rFonts w:asciiTheme="minorBidi" w:hAnsiTheme="minorBidi"/>
          <w:color w:val="000000" w:themeColor="text1"/>
        </w:rPr>
        <w:t xml:space="preserve">, which provide structure and support to the individual to promote long term </w:t>
      </w:r>
      <w:r w:rsidR="002D4F40" w:rsidRPr="00E53DA8">
        <w:rPr>
          <w:rFonts w:asciiTheme="minorBidi" w:hAnsiTheme="minorBidi"/>
          <w:color w:val="000000" w:themeColor="text1"/>
        </w:rPr>
        <w:t>behavior</w:t>
      </w:r>
      <w:r w:rsidRPr="00E53DA8">
        <w:rPr>
          <w:rFonts w:asciiTheme="minorBidi" w:hAnsiTheme="minorBidi"/>
          <w:color w:val="000000" w:themeColor="text1"/>
        </w:rPr>
        <w:t xml:space="preserve"> change and reduce the risk of diabetes.</w:t>
      </w:r>
    </w:p>
    <w:p w:rsidR="00C16F23" w:rsidRPr="00E53DA8" w:rsidRDefault="00C16F23"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2. Protection</w:t>
      </w:r>
    </w:p>
    <w:p w:rsidR="002D4F40" w:rsidRPr="00E53DA8" w:rsidRDefault="002D4F40"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Screening for complications of diabetes as well as influenza and pneumococcal vaccinations are a way of preventing disability and protecting at-risk patients from severe infections</w:t>
      </w:r>
      <w:r w:rsidR="00DC71A8" w:rsidRPr="00E53DA8">
        <w:rPr>
          <w:rFonts w:asciiTheme="minorBidi" w:hAnsiTheme="minorBidi"/>
          <w:color w:val="000000" w:themeColor="text1"/>
        </w:rPr>
        <w:t xml:space="preserve"> </w:t>
      </w:r>
      <w:proofErr w:type="spellStart"/>
      <w:r w:rsidR="006A081B" w:rsidRPr="00E53DA8">
        <w:rPr>
          <w:rFonts w:asciiTheme="minorBidi" w:hAnsiTheme="minorBidi"/>
          <w:color w:val="000000" w:themeColor="text1"/>
        </w:rPr>
        <w:t>Ghit</w:t>
      </w:r>
      <w:proofErr w:type="spellEnd"/>
      <w:r w:rsidR="00DC71A8" w:rsidRPr="00E53DA8">
        <w:rPr>
          <w:rFonts w:asciiTheme="minorBidi" w:hAnsiTheme="minorBidi"/>
          <w:color w:val="000000" w:themeColor="text1"/>
        </w:rPr>
        <w:t>, (2023)</w:t>
      </w:r>
      <w:r w:rsidRPr="00E53DA8">
        <w:rPr>
          <w:rFonts w:asciiTheme="minorBidi" w:hAnsiTheme="minorBidi"/>
          <w:color w:val="000000" w:themeColor="text1"/>
        </w:rPr>
        <w:t xml:space="preserve">. </w:t>
      </w:r>
    </w:p>
    <w:p w:rsidR="00C16F23" w:rsidRPr="00E53DA8" w:rsidRDefault="00C16F23"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 xml:space="preserve">3. Health Promotion </w:t>
      </w:r>
    </w:p>
    <w:p w:rsidR="00C16F23" w:rsidRPr="00E53DA8" w:rsidRDefault="00C16F23"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 xml:space="preserve">National health campaigns run by Diabetes UK, Public Health England, local authorities promoting healthier diet, activity and awareness of symptoms of T2DM. Social prescribing and community walking clubs address </w:t>
      </w:r>
      <w:r w:rsidR="002D4F40" w:rsidRPr="00E53DA8">
        <w:rPr>
          <w:rFonts w:asciiTheme="minorBidi" w:hAnsiTheme="minorBidi"/>
          <w:color w:val="000000" w:themeColor="text1"/>
        </w:rPr>
        <w:t>behavioral</w:t>
      </w:r>
      <w:r w:rsidRPr="00E53DA8">
        <w:rPr>
          <w:rFonts w:asciiTheme="minorBidi" w:hAnsiTheme="minorBidi"/>
          <w:color w:val="000000" w:themeColor="text1"/>
        </w:rPr>
        <w:t xml:space="preserve"> and social determinants.</w:t>
      </w:r>
      <w:r w:rsidR="002D4F40" w:rsidRPr="00E53DA8">
        <w:rPr>
          <w:rFonts w:asciiTheme="minorBidi" w:hAnsiTheme="minorBidi"/>
          <w:color w:val="000000" w:themeColor="text1"/>
        </w:rPr>
        <w:t xml:space="preserve"> </w:t>
      </w:r>
      <w:r w:rsidRPr="00E53DA8">
        <w:rPr>
          <w:rFonts w:asciiTheme="minorBidi" w:hAnsiTheme="minorBidi"/>
          <w:color w:val="000000" w:themeColor="text1"/>
        </w:rPr>
        <w:t>However, uptak</w:t>
      </w:r>
      <w:r w:rsidR="002D4F40" w:rsidRPr="00E53DA8">
        <w:rPr>
          <w:rFonts w:asciiTheme="minorBidi" w:hAnsiTheme="minorBidi"/>
          <w:color w:val="000000" w:themeColor="text1"/>
        </w:rPr>
        <w:t>e of these prevention program</w:t>
      </w:r>
      <w:r w:rsidRPr="00E53DA8">
        <w:rPr>
          <w:rFonts w:asciiTheme="minorBidi" w:hAnsiTheme="minorBidi"/>
          <w:color w:val="000000" w:themeColor="text1"/>
        </w:rPr>
        <w:t xml:space="preserve"> are lower in poorer communities indicating structural inequalities in access and engagement.</w:t>
      </w:r>
    </w:p>
    <w:p w:rsidR="004F064B" w:rsidRPr="00E53DA8" w:rsidRDefault="004F064B" w:rsidP="003E18A8">
      <w:pPr>
        <w:spacing w:line="360" w:lineRule="auto"/>
        <w:jc w:val="both"/>
        <w:rPr>
          <w:rFonts w:asciiTheme="minorBidi" w:hAnsiTheme="minorBidi"/>
          <w:b/>
          <w:bCs/>
          <w:color w:val="000000" w:themeColor="text1"/>
          <w:u w:val="single"/>
        </w:rPr>
      </w:pPr>
      <w:r w:rsidRPr="00E53DA8">
        <w:rPr>
          <w:rFonts w:asciiTheme="minorBidi" w:hAnsiTheme="minorBidi"/>
          <w:b/>
          <w:bCs/>
          <w:color w:val="000000" w:themeColor="text1"/>
          <w:u w:val="single"/>
        </w:rPr>
        <w:t>Significant Determinants and Risk Factors</w:t>
      </w:r>
    </w:p>
    <w:p w:rsidR="004F064B" w:rsidRPr="00E53DA8" w:rsidRDefault="004F064B" w:rsidP="003E18A8">
      <w:pPr>
        <w:spacing w:line="360" w:lineRule="auto"/>
        <w:jc w:val="both"/>
        <w:rPr>
          <w:rFonts w:asciiTheme="minorBidi" w:hAnsiTheme="minorBidi"/>
          <w:b/>
          <w:bCs/>
          <w:color w:val="000000" w:themeColor="text1"/>
          <w:u w:val="single"/>
        </w:rPr>
      </w:pPr>
      <w:r w:rsidRPr="00E53DA8">
        <w:rPr>
          <w:rFonts w:asciiTheme="minorBidi" w:hAnsiTheme="minorBidi"/>
          <w:color w:val="000000" w:themeColor="text1"/>
        </w:rPr>
        <w:t xml:space="preserve">T2DM is caused by an interaction of biological, </w:t>
      </w:r>
      <w:r w:rsidR="002D4F40" w:rsidRPr="00E53DA8">
        <w:rPr>
          <w:rFonts w:asciiTheme="minorBidi" w:hAnsiTheme="minorBidi"/>
          <w:color w:val="000000" w:themeColor="text1"/>
        </w:rPr>
        <w:t>behavioral</w:t>
      </w:r>
      <w:r w:rsidRPr="00E53DA8">
        <w:rPr>
          <w:rFonts w:asciiTheme="minorBidi" w:hAnsiTheme="minorBidi"/>
          <w:color w:val="000000" w:themeColor="text1"/>
        </w:rPr>
        <w:t>, social and environmental factors</w:t>
      </w:r>
      <w:r w:rsidRPr="00E53DA8">
        <w:rPr>
          <w:rFonts w:asciiTheme="minorBidi" w:hAnsiTheme="minorBidi"/>
          <w:b/>
          <w:bCs/>
          <w:color w:val="000000" w:themeColor="text1"/>
          <w:u w:val="single"/>
        </w:rPr>
        <w:t>.</w:t>
      </w:r>
    </w:p>
    <w:p w:rsidR="004F064B" w:rsidRPr="00E53DA8" w:rsidRDefault="004F064B"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1. Biological determinants</w:t>
      </w:r>
    </w:p>
    <w:p w:rsidR="00CE252C" w:rsidRPr="00E53DA8" w:rsidRDefault="00CE252C"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Being older, having a family history, and being genetically at risk markedly increase risk of diabetes, and South Asian, Black African and Caribbean populations are disproportionately affected</w:t>
      </w:r>
      <w:r w:rsidR="00DC71A8" w:rsidRPr="00E53DA8">
        <w:rPr>
          <w:rFonts w:asciiTheme="minorBidi" w:hAnsiTheme="minorBidi"/>
          <w:color w:val="000000" w:themeColor="text1"/>
        </w:rPr>
        <w:t xml:space="preserve"> (</w:t>
      </w:r>
      <w:proofErr w:type="spellStart"/>
      <w:r w:rsidR="00DC71A8" w:rsidRPr="00E53DA8">
        <w:rPr>
          <w:rFonts w:asciiTheme="minorBidi" w:hAnsiTheme="minorBidi"/>
          <w:color w:val="000000" w:themeColor="text1"/>
        </w:rPr>
        <w:t>Farmaki</w:t>
      </w:r>
      <w:proofErr w:type="spellEnd"/>
      <w:r w:rsidR="00DC71A8" w:rsidRPr="00E53DA8">
        <w:rPr>
          <w:rFonts w:asciiTheme="minorBidi" w:hAnsiTheme="minorBidi"/>
          <w:color w:val="000000" w:themeColor="text1"/>
        </w:rPr>
        <w:t xml:space="preserve"> et al., 2022)</w:t>
      </w:r>
      <w:r w:rsidRPr="00E53DA8">
        <w:rPr>
          <w:rFonts w:asciiTheme="minorBidi" w:hAnsiTheme="minorBidi"/>
          <w:color w:val="000000" w:themeColor="text1"/>
        </w:rPr>
        <w:t>.</w:t>
      </w:r>
    </w:p>
    <w:p w:rsidR="004F064B" w:rsidRPr="00E53DA8" w:rsidRDefault="004F064B"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 xml:space="preserve">2. </w:t>
      </w:r>
      <w:r w:rsidR="00DC71A8" w:rsidRPr="00E53DA8">
        <w:rPr>
          <w:rFonts w:asciiTheme="minorBidi" w:hAnsiTheme="minorBidi"/>
          <w:b/>
          <w:bCs/>
          <w:color w:val="000000" w:themeColor="text1"/>
        </w:rPr>
        <w:t>Behavioral</w:t>
      </w:r>
      <w:r w:rsidRPr="00E53DA8">
        <w:rPr>
          <w:rFonts w:asciiTheme="minorBidi" w:hAnsiTheme="minorBidi"/>
          <w:b/>
          <w:bCs/>
          <w:color w:val="000000" w:themeColor="text1"/>
        </w:rPr>
        <w:t xml:space="preserve"> determinants</w:t>
      </w:r>
    </w:p>
    <w:p w:rsidR="006971A1" w:rsidRPr="00E53DA8" w:rsidRDefault="006971A1"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lastRenderedPageBreak/>
        <w:t>A sugary and fatty diet, lack of physical activity, tobacco and alcohol consumption, and obesity can substantially increase the risk of diabetes approximately 64% of adults in the UK are overweight or obese (NHS Digital, 2023).</w:t>
      </w:r>
    </w:p>
    <w:p w:rsidR="004F064B" w:rsidRPr="00E53DA8" w:rsidRDefault="004F064B"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 xml:space="preserve">3. Social &amp; environmental determinants </w:t>
      </w:r>
    </w:p>
    <w:p w:rsidR="006971A1" w:rsidRPr="00E53DA8" w:rsidRDefault="006971A1"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 xml:space="preserve">Deprivation, bad built environments, </w:t>
      </w:r>
      <w:r w:rsidR="00D83EE2" w:rsidRPr="00E53DA8">
        <w:rPr>
          <w:rFonts w:asciiTheme="minorBidi" w:hAnsiTheme="minorBidi"/>
          <w:color w:val="000000" w:themeColor="text1"/>
        </w:rPr>
        <w:t>neighborhoods</w:t>
      </w:r>
      <w:r w:rsidRPr="00E53DA8">
        <w:rPr>
          <w:rFonts w:asciiTheme="minorBidi" w:hAnsiTheme="minorBidi"/>
          <w:color w:val="000000" w:themeColor="text1"/>
        </w:rPr>
        <w:t xml:space="preserve"> with high access to fast-food, and poor education limit healthy choices and proxies for access to health services, while at the same time delaying diagnosis, which increases risk and burden of Type 2 diabetes</w:t>
      </w:r>
      <w:r w:rsidR="00D83EE2" w:rsidRPr="00E53DA8">
        <w:rPr>
          <w:rFonts w:asciiTheme="minorBidi" w:hAnsiTheme="minorBidi"/>
          <w:color w:val="000000" w:themeColor="text1"/>
        </w:rPr>
        <w:t xml:space="preserve"> (</w:t>
      </w:r>
      <w:proofErr w:type="spellStart"/>
      <w:r w:rsidR="00D83EE2" w:rsidRPr="00E53DA8">
        <w:rPr>
          <w:rFonts w:asciiTheme="minorBidi" w:hAnsiTheme="minorBidi"/>
          <w:color w:val="000000" w:themeColor="text1"/>
        </w:rPr>
        <w:t>Beulens</w:t>
      </w:r>
      <w:proofErr w:type="spellEnd"/>
      <w:r w:rsidR="00D83EE2" w:rsidRPr="00E53DA8">
        <w:rPr>
          <w:rFonts w:asciiTheme="minorBidi" w:hAnsiTheme="minorBidi"/>
          <w:color w:val="000000" w:themeColor="text1"/>
        </w:rPr>
        <w:t xml:space="preserve"> et al., 2022)</w:t>
      </w:r>
      <w:r w:rsidRPr="00E53DA8">
        <w:rPr>
          <w:rFonts w:asciiTheme="minorBidi" w:hAnsiTheme="minorBidi"/>
          <w:color w:val="000000" w:themeColor="text1"/>
        </w:rPr>
        <w:t>.</w:t>
      </w:r>
    </w:p>
    <w:p w:rsidR="004F064B" w:rsidRPr="00E53DA8" w:rsidRDefault="004F064B"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 xml:space="preserve">4. Commercial Determinants of Health </w:t>
      </w:r>
    </w:p>
    <w:p w:rsidR="001935B2" w:rsidRPr="00E53DA8" w:rsidRDefault="004F064B"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Unhealthy eating patterns are driven by ultra-processed foods, sugary drinks, and marketing of food.</w:t>
      </w:r>
      <w:r w:rsidR="002D4701" w:rsidRPr="00E53DA8">
        <w:rPr>
          <w:rFonts w:asciiTheme="minorBidi" w:hAnsiTheme="minorBidi"/>
          <w:color w:val="000000" w:themeColor="text1"/>
        </w:rPr>
        <w:t xml:space="preserve"> </w:t>
      </w:r>
    </w:p>
    <w:p w:rsidR="000301EE" w:rsidRPr="00E53DA8" w:rsidRDefault="000301EE" w:rsidP="003E18A8">
      <w:pPr>
        <w:spacing w:line="360" w:lineRule="auto"/>
        <w:jc w:val="both"/>
        <w:rPr>
          <w:rFonts w:asciiTheme="minorBidi" w:hAnsiTheme="minorBidi"/>
          <w:b/>
          <w:bCs/>
          <w:color w:val="000000" w:themeColor="text1"/>
          <w:u w:val="single"/>
        </w:rPr>
      </w:pPr>
      <w:r w:rsidRPr="00E53DA8">
        <w:rPr>
          <w:rFonts w:asciiTheme="minorBidi" w:hAnsiTheme="minorBidi"/>
          <w:b/>
          <w:bCs/>
          <w:color w:val="000000" w:themeColor="text1"/>
          <w:u w:val="single"/>
        </w:rPr>
        <w:t>Recognizing Vulnerable Groups Utilizing Epidemiological Studies</w:t>
      </w:r>
    </w:p>
    <w:p w:rsidR="000301EE" w:rsidRPr="00E53DA8" w:rsidRDefault="000301EE"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 xml:space="preserve">Epidemiological studies in the UK rely on cohort studies, cross-sectional studies, and longitudinal surveillance for identifying at-risk populations. </w:t>
      </w:r>
    </w:p>
    <w:p w:rsidR="000301EE" w:rsidRPr="00E53DA8" w:rsidRDefault="000301EE"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 xml:space="preserve">At-risk populations are: </w:t>
      </w:r>
    </w:p>
    <w:p w:rsidR="001648A6" w:rsidRPr="00E53DA8" w:rsidRDefault="001648A6"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The groups at greatest risk of Type 2 diabetes include adults aged 40-74 years, individuals with a BMI ≥30, South Asian, Black African and Caribbean populations, those in the most deprived IMD quintile, and those with a personal or family history of diabetes or gestational diabetes</w:t>
      </w:r>
      <w:r w:rsidR="00D83EE2" w:rsidRPr="00E53DA8">
        <w:rPr>
          <w:rFonts w:asciiTheme="minorBidi" w:hAnsiTheme="minorBidi"/>
          <w:color w:val="000000" w:themeColor="text1"/>
        </w:rPr>
        <w:t xml:space="preserve"> (</w:t>
      </w:r>
      <w:proofErr w:type="spellStart"/>
      <w:r w:rsidR="00D83EE2" w:rsidRPr="00E53DA8">
        <w:rPr>
          <w:rFonts w:asciiTheme="minorBidi" w:hAnsiTheme="minorBidi"/>
          <w:color w:val="000000" w:themeColor="text1"/>
        </w:rPr>
        <w:t>Jeyaparam</w:t>
      </w:r>
      <w:proofErr w:type="spellEnd"/>
      <w:r w:rsidR="00D83EE2" w:rsidRPr="00E53DA8">
        <w:rPr>
          <w:rFonts w:asciiTheme="minorBidi" w:hAnsiTheme="minorBidi"/>
          <w:color w:val="000000" w:themeColor="text1"/>
        </w:rPr>
        <w:t xml:space="preserve"> et al., 2024)</w:t>
      </w:r>
      <w:r w:rsidRPr="00E53DA8">
        <w:rPr>
          <w:rFonts w:asciiTheme="minorBidi" w:hAnsiTheme="minorBidi"/>
          <w:color w:val="000000" w:themeColor="text1"/>
        </w:rPr>
        <w:t xml:space="preserve">. Large studies including the Health Survey for England, UK </w:t>
      </w:r>
      <w:proofErr w:type="spellStart"/>
      <w:r w:rsidRPr="00E53DA8">
        <w:rPr>
          <w:rFonts w:asciiTheme="minorBidi" w:hAnsiTheme="minorBidi"/>
          <w:color w:val="000000" w:themeColor="text1"/>
        </w:rPr>
        <w:t>Biobank</w:t>
      </w:r>
      <w:proofErr w:type="spellEnd"/>
      <w:r w:rsidRPr="00E53DA8">
        <w:rPr>
          <w:rFonts w:asciiTheme="minorBidi" w:hAnsiTheme="minorBidi"/>
          <w:color w:val="000000" w:themeColor="text1"/>
        </w:rPr>
        <w:t xml:space="preserve"> and PHE Diabetes Profiles consistently chart risk factor patterns through data.</w:t>
      </w:r>
      <w:r w:rsidR="00DC71A8" w:rsidRPr="00E53DA8">
        <w:rPr>
          <w:rFonts w:asciiTheme="minorBidi" w:hAnsiTheme="minorBidi"/>
          <w:color w:val="000000" w:themeColor="text1"/>
        </w:rPr>
        <w:t xml:space="preserve"> </w:t>
      </w:r>
      <w:r w:rsidRPr="00E53DA8">
        <w:rPr>
          <w:rFonts w:asciiTheme="minorBidi" w:hAnsiTheme="minorBidi"/>
          <w:color w:val="000000" w:themeColor="text1"/>
        </w:rPr>
        <w:t>Health needs assessments generally reveal high levels of unmet need in deprived areas, lower attendances in prevention programs, high levels of complications in people from minority ethnic groups, and increased admissions for diabetic ketoacidosis in underserved populations.</w:t>
      </w:r>
    </w:p>
    <w:p w:rsidR="000301EE" w:rsidRPr="00E53DA8" w:rsidRDefault="000301EE"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Findings from Health Needs Assessment</w:t>
      </w:r>
    </w:p>
    <w:p w:rsidR="00EA2AE4" w:rsidRPr="00E53DA8" w:rsidRDefault="00EA2AE4"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Health needs assessments often identify significant unmet health needs in deprived areas, low rates of engagement in preventative interventions, higher rates of diabetes complications in ethnic minority groups, and higher rates of hospital admissions due to diabetic ketoacid</w:t>
      </w:r>
      <w:r w:rsidR="00DC71A8" w:rsidRPr="00E53DA8">
        <w:rPr>
          <w:rFonts w:asciiTheme="minorBidi" w:hAnsiTheme="minorBidi"/>
          <w:color w:val="000000" w:themeColor="text1"/>
        </w:rPr>
        <w:t>osis in underserved populations (</w:t>
      </w:r>
      <w:proofErr w:type="spellStart"/>
      <w:r w:rsidR="00DC71A8" w:rsidRPr="00E53DA8">
        <w:rPr>
          <w:rFonts w:asciiTheme="minorBidi" w:hAnsiTheme="minorBidi"/>
          <w:color w:val="000000" w:themeColor="text1"/>
        </w:rPr>
        <w:t>Mohler</w:t>
      </w:r>
      <w:proofErr w:type="spellEnd"/>
      <w:r w:rsidR="00DC71A8" w:rsidRPr="00E53DA8">
        <w:rPr>
          <w:rFonts w:asciiTheme="minorBidi" w:hAnsiTheme="minorBidi"/>
          <w:color w:val="000000" w:themeColor="text1"/>
        </w:rPr>
        <w:t xml:space="preserve"> et al., 2024).</w:t>
      </w:r>
    </w:p>
    <w:p w:rsidR="000301EE" w:rsidRPr="00E53DA8" w:rsidRDefault="000301EE" w:rsidP="003E18A8">
      <w:pPr>
        <w:spacing w:line="360" w:lineRule="auto"/>
        <w:jc w:val="both"/>
        <w:rPr>
          <w:rFonts w:asciiTheme="minorBidi" w:hAnsiTheme="minorBidi"/>
          <w:b/>
          <w:bCs/>
          <w:color w:val="000000" w:themeColor="text1"/>
          <w:u w:val="single"/>
        </w:rPr>
      </w:pPr>
      <w:r w:rsidRPr="00E53DA8">
        <w:rPr>
          <w:rFonts w:asciiTheme="minorBidi" w:hAnsiTheme="minorBidi"/>
          <w:b/>
          <w:bCs/>
          <w:color w:val="000000" w:themeColor="text1"/>
          <w:u w:val="single"/>
        </w:rPr>
        <w:t>Public health strategies and monitoring systems</w:t>
      </w:r>
    </w:p>
    <w:p w:rsidR="000301EE" w:rsidRPr="00E53DA8" w:rsidRDefault="003E18A8"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lastRenderedPageBreak/>
        <w:t xml:space="preserve">Monitoring is critical for determining the incidence, prevalence, and outcomes of diabetes within the UK. Important monitoring systems in the UK include the National Diabetes Audit (NDA) from NHS Digital, which quantifies the quality of care, outcomes, and access to services; the Diabetes Prevalence Model from Public Health England, which estimates cases of diabetes not yet diagnosed; the Health Survey for England (HSE), which provides data on BMI, </w:t>
      </w:r>
      <w:proofErr w:type="spellStart"/>
      <w:r w:rsidRPr="00E53DA8">
        <w:rPr>
          <w:rFonts w:asciiTheme="minorBidi" w:hAnsiTheme="minorBidi"/>
          <w:color w:val="000000" w:themeColor="text1"/>
        </w:rPr>
        <w:t>behavioural</w:t>
      </w:r>
      <w:proofErr w:type="spellEnd"/>
      <w:r w:rsidRPr="00E53DA8">
        <w:rPr>
          <w:rFonts w:asciiTheme="minorBidi" w:hAnsiTheme="minorBidi"/>
          <w:color w:val="000000" w:themeColor="text1"/>
        </w:rPr>
        <w:t xml:space="preserve"> risks, and glucose testing; the National Diabetes Inpatient Audit (</w:t>
      </w:r>
      <w:proofErr w:type="spellStart"/>
      <w:r w:rsidRPr="00E53DA8">
        <w:rPr>
          <w:rFonts w:asciiTheme="minorBidi" w:hAnsiTheme="minorBidi"/>
          <w:color w:val="000000" w:themeColor="text1"/>
        </w:rPr>
        <w:t>NaDIA</w:t>
      </w:r>
      <w:proofErr w:type="spellEnd"/>
      <w:r w:rsidRPr="00E53DA8">
        <w:rPr>
          <w:rFonts w:asciiTheme="minorBidi" w:hAnsiTheme="minorBidi"/>
          <w:color w:val="000000" w:themeColor="text1"/>
        </w:rPr>
        <w:t xml:space="preserve">), which examines care in hospital for people with diabetes; and primary care electronic health records, which provide detailed data on incidence and prevalence at the level of locality, age, sex, and ethnicity. </w:t>
      </w:r>
      <w:r w:rsidR="000301EE" w:rsidRPr="00E53DA8">
        <w:rPr>
          <w:rFonts w:asciiTheme="minorBidi" w:hAnsiTheme="minorBidi"/>
          <w:color w:val="000000" w:themeColor="text1"/>
        </w:rPr>
        <w:t>These surveillance systems help shape public health interventions but there are still gaps in data (e.g. irregular migrants, homeless people).</w:t>
      </w:r>
    </w:p>
    <w:p w:rsidR="007A36FB" w:rsidRPr="00E53DA8" w:rsidRDefault="007A36FB" w:rsidP="003E18A8">
      <w:pPr>
        <w:spacing w:line="360" w:lineRule="auto"/>
        <w:jc w:val="both"/>
        <w:rPr>
          <w:rFonts w:asciiTheme="minorBidi" w:hAnsiTheme="minorBidi"/>
          <w:b/>
          <w:bCs/>
          <w:color w:val="000000" w:themeColor="text1"/>
          <w:u w:val="single"/>
        </w:rPr>
      </w:pPr>
      <w:r w:rsidRPr="00E53DA8">
        <w:rPr>
          <w:rFonts w:asciiTheme="minorBidi" w:hAnsiTheme="minorBidi"/>
          <w:b/>
          <w:bCs/>
          <w:color w:val="000000" w:themeColor="text1"/>
          <w:u w:val="single"/>
        </w:rPr>
        <w:t>Impact and Consequences on Public Health</w:t>
      </w:r>
    </w:p>
    <w:p w:rsidR="007A36FB" w:rsidRPr="00E53DA8" w:rsidRDefault="007A36FB"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Short Term Consequences</w:t>
      </w:r>
    </w:p>
    <w:p w:rsidR="00EA2AE4" w:rsidRPr="00E53DA8" w:rsidRDefault="00EA2AE4"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Some immediate consequences of diabetes can include tiredness, increased risk of infections, weight gain, reduced quality of life, higher rates of NHS engagement, and reduced productivity.</w:t>
      </w:r>
    </w:p>
    <w:p w:rsidR="007A36FB" w:rsidRPr="00E53DA8" w:rsidRDefault="007A36FB"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Long Term Consequences</w:t>
      </w:r>
    </w:p>
    <w:p w:rsidR="007A36FB" w:rsidRPr="00E53DA8" w:rsidRDefault="00EA2AE4" w:rsidP="00D83EE2">
      <w:pPr>
        <w:spacing w:line="360" w:lineRule="auto"/>
        <w:jc w:val="both"/>
        <w:rPr>
          <w:rFonts w:asciiTheme="minorBidi" w:hAnsiTheme="minorBidi"/>
          <w:color w:val="000000" w:themeColor="text1"/>
        </w:rPr>
      </w:pPr>
      <w:r w:rsidRPr="00E53DA8">
        <w:rPr>
          <w:rFonts w:asciiTheme="minorBidi" w:hAnsiTheme="minorBidi"/>
          <w:color w:val="000000" w:themeColor="text1"/>
        </w:rPr>
        <w:t>Longer term consequences can include cardiovascular disease, neuropathy, amputations, chronic kidney disease, blindness, increased mortality, increased social healthcare costs, and greater health inequalities (DALYs are set to increase without effective preventative measures)</w:t>
      </w:r>
      <w:r w:rsidR="007A36FB" w:rsidRPr="00E53DA8">
        <w:rPr>
          <w:rFonts w:asciiTheme="minorBidi" w:hAnsiTheme="minorBidi"/>
          <w:color w:val="000000" w:themeColor="text1"/>
        </w:rPr>
        <w:t>.</w:t>
      </w:r>
    </w:p>
    <w:p w:rsidR="007A36FB" w:rsidRPr="00E53DA8" w:rsidRDefault="007A36FB" w:rsidP="003E18A8">
      <w:pPr>
        <w:spacing w:line="360" w:lineRule="auto"/>
        <w:jc w:val="both"/>
        <w:rPr>
          <w:rFonts w:asciiTheme="minorBidi" w:hAnsiTheme="minorBidi"/>
          <w:b/>
          <w:bCs/>
          <w:color w:val="000000" w:themeColor="text1"/>
          <w:u w:val="single"/>
        </w:rPr>
      </w:pPr>
      <w:r w:rsidRPr="00E53DA8">
        <w:rPr>
          <w:rFonts w:asciiTheme="minorBidi" w:hAnsiTheme="minorBidi"/>
          <w:b/>
          <w:bCs/>
          <w:color w:val="000000" w:themeColor="text1"/>
          <w:u w:val="single"/>
        </w:rPr>
        <w:t>Designing an Appropriate Health Intervention Program</w:t>
      </w:r>
    </w:p>
    <w:p w:rsidR="007A36FB" w:rsidRPr="00E53DA8" w:rsidRDefault="007A36FB"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Proposed Intervention “Healthy Pathways Diabetes Prevention Project (HP-DPP)”</w:t>
      </w:r>
    </w:p>
    <w:p w:rsidR="007A36FB" w:rsidRPr="00E53DA8" w:rsidRDefault="007A36FB"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Goal:</w:t>
      </w:r>
    </w:p>
    <w:p w:rsidR="007A36FB" w:rsidRPr="00E53DA8" w:rsidRDefault="007A36FB" w:rsidP="00D83EE2">
      <w:pPr>
        <w:spacing w:line="360" w:lineRule="auto"/>
        <w:rPr>
          <w:rFonts w:asciiTheme="minorBidi" w:hAnsiTheme="minorBidi"/>
          <w:color w:val="000000" w:themeColor="text1"/>
        </w:rPr>
      </w:pPr>
      <w:r w:rsidRPr="00E53DA8">
        <w:rPr>
          <w:rFonts w:asciiTheme="minorBidi" w:hAnsiTheme="minorBidi"/>
          <w:color w:val="000000" w:themeColor="text1"/>
        </w:rPr>
        <w:t>To lower rates of T2DM in high-risk adults in disadvantaged boroughs, through culturally relevant and community-based interventions.</w:t>
      </w:r>
    </w:p>
    <w:p w:rsidR="007A36FB" w:rsidRPr="00E53DA8" w:rsidRDefault="007A36FB"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Components</w:t>
      </w:r>
    </w:p>
    <w:p w:rsidR="00EA2AE4" w:rsidRPr="00E53DA8" w:rsidRDefault="00EA2AE4" w:rsidP="003E18A8">
      <w:pPr>
        <w:spacing w:line="360" w:lineRule="auto"/>
        <w:jc w:val="both"/>
        <w:rPr>
          <w:rFonts w:asciiTheme="minorBidi" w:hAnsiTheme="minorBidi"/>
          <w:color w:val="000000" w:themeColor="text1"/>
          <w:shd w:val="clear" w:color="auto" w:fill="FFFFFF"/>
        </w:rPr>
      </w:pPr>
      <w:r w:rsidRPr="00E53DA8">
        <w:rPr>
          <w:rFonts w:asciiTheme="minorBidi" w:hAnsiTheme="minorBidi"/>
          <w:color w:val="000000" w:themeColor="text1"/>
          <w:shd w:val="clear" w:color="auto" w:fill="FFFFFF"/>
        </w:rPr>
        <w:t>Examples of effective prevention of diabetes include mobile clinics, multilingual outreach and HbA1c screening in adults at risk. There are programs that include culturally appropriate diet and physical activity elements together with food incentives and affordable healthy store options, and digital health, as well as community champions to enhance engagement support healthy lifestyle changes, and address other social determinants of health</w:t>
      </w:r>
      <w:r w:rsidR="00D83EE2" w:rsidRPr="00E53DA8">
        <w:rPr>
          <w:rFonts w:asciiTheme="minorBidi" w:hAnsiTheme="minorBidi"/>
          <w:color w:val="000000" w:themeColor="text1"/>
          <w:shd w:val="clear" w:color="auto" w:fill="FFFFFF"/>
        </w:rPr>
        <w:t xml:space="preserve"> (</w:t>
      </w:r>
      <w:proofErr w:type="spellStart"/>
      <w:r w:rsidR="00D83EE2" w:rsidRPr="00E53DA8">
        <w:rPr>
          <w:rFonts w:asciiTheme="minorBidi" w:hAnsiTheme="minorBidi"/>
          <w:color w:val="000000" w:themeColor="text1"/>
          <w:shd w:val="clear" w:color="auto" w:fill="FFFFFF"/>
        </w:rPr>
        <w:t>Wadi</w:t>
      </w:r>
      <w:proofErr w:type="spellEnd"/>
      <w:r w:rsidR="00D83EE2" w:rsidRPr="00E53DA8">
        <w:rPr>
          <w:rFonts w:asciiTheme="minorBidi" w:hAnsiTheme="minorBidi"/>
          <w:color w:val="000000" w:themeColor="text1"/>
          <w:shd w:val="clear" w:color="auto" w:fill="FFFFFF"/>
        </w:rPr>
        <w:t xml:space="preserve"> et al., 2022)</w:t>
      </w:r>
      <w:r w:rsidRPr="00E53DA8">
        <w:rPr>
          <w:rFonts w:asciiTheme="minorBidi" w:hAnsiTheme="minorBidi"/>
          <w:color w:val="000000" w:themeColor="text1"/>
          <w:shd w:val="clear" w:color="auto" w:fill="FFFFFF"/>
        </w:rPr>
        <w:t>.</w:t>
      </w:r>
    </w:p>
    <w:p w:rsidR="007A36FB" w:rsidRPr="00E53DA8" w:rsidRDefault="007A36FB"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lastRenderedPageBreak/>
        <w:t>Evaluation Methods</w:t>
      </w:r>
    </w:p>
    <w:p w:rsidR="00EA2AE4" w:rsidRPr="00E53DA8" w:rsidRDefault="00EA2AE4" w:rsidP="003E18A8">
      <w:pPr>
        <w:spacing w:line="360" w:lineRule="auto"/>
        <w:jc w:val="both"/>
        <w:rPr>
          <w:rFonts w:asciiTheme="minorBidi" w:hAnsiTheme="minorBidi"/>
          <w:color w:val="000000" w:themeColor="text1"/>
          <w:shd w:val="clear" w:color="auto" w:fill="FFFFFF"/>
        </w:rPr>
      </w:pPr>
      <w:r w:rsidRPr="00E53DA8">
        <w:rPr>
          <w:rFonts w:asciiTheme="minorBidi" w:hAnsiTheme="minorBidi"/>
          <w:color w:val="000000" w:themeColor="text1"/>
          <w:shd w:val="clear" w:color="auto" w:fill="FFFFFF"/>
        </w:rPr>
        <w:t>Effectiveness measures include change in HbA1c and BMI, participation rates, participant enjoyment, cost-effectiveness, and new diagnoses decreased over three years</w:t>
      </w:r>
      <w:r w:rsidR="00DC71A8" w:rsidRPr="00E53DA8">
        <w:rPr>
          <w:rFonts w:asciiTheme="minorBidi" w:hAnsiTheme="minorBidi"/>
          <w:color w:val="000000" w:themeColor="text1"/>
          <w:shd w:val="clear" w:color="auto" w:fill="FFFFFF"/>
        </w:rPr>
        <w:t xml:space="preserve"> (Mueller et al., 2025)</w:t>
      </w:r>
      <w:r w:rsidRPr="00E53DA8">
        <w:rPr>
          <w:rFonts w:asciiTheme="minorBidi" w:hAnsiTheme="minorBidi"/>
          <w:color w:val="000000" w:themeColor="text1"/>
          <w:shd w:val="clear" w:color="auto" w:fill="FFFFFF"/>
        </w:rPr>
        <w:t>.</w:t>
      </w:r>
    </w:p>
    <w:p w:rsidR="003446CE" w:rsidRPr="00E53DA8" w:rsidRDefault="003446CE" w:rsidP="003E18A8">
      <w:pPr>
        <w:spacing w:line="360" w:lineRule="auto"/>
        <w:jc w:val="both"/>
        <w:rPr>
          <w:rFonts w:asciiTheme="minorBidi" w:hAnsiTheme="minorBidi"/>
          <w:b/>
          <w:bCs/>
          <w:color w:val="000000" w:themeColor="text1"/>
          <w:u w:val="single"/>
        </w:rPr>
      </w:pPr>
      <w:r w:rsidRPr="00E53DA8">
        <w:rPr>
          <w:rFonts w:asciiTheme="minorBidi" w:hAnsiTheme="minorBidi"/>
          <w:b/>
          <w:bCs/>
          <w:color w:val="000000" w:themeColor="text1"/>
          <w:u w:val="single"/>
        </w:rPr>
        <w:t xml:space="preserve">Advantages and Disadvantages of the Epidemiological Approach </w:t>
      </w:r>
    </w:p>
    <w:p w:rsidR="003446CE" w:rsidRPr="00E53DA8" w:rsidRDefault="003446CE"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Advantages</w:t>
      </w:r>
    </w:p>
    <w:p w:rsidR="00EA2AE4" w:rsidRPr="00E53DA8" w:rsidRDefault="00EA2AE4" w:rsidP="003E18A8">
      <w:pPr>
        <w:spacing w:line="360" w:lineRule="auto"/>
        <w:jc w:val="both"/>
        <w:rPr>
          <w:rFonts w:asciiTheme="minorBidi" w:hAnsiTheme="minorBidi"/>
          <w:color w:val="000000" w:themeColor="text1"/>
          <w:shd w:val="clear" w:color="auto" w:fill="FFFFFF"/>
        </w:rPr>
      </w:pPr>
      <w:r w:rsidRPr="00E53DA8">
        <w:rPr>
          <w:rFonts w:asciiTheme="minorBidi" w:hAnsiTheme="minorBidi"/>
          <w:color w:val="000000" w:themeColor="text1"/>
          <w:shd w:val="clear" w:color="auto" w:fill="FFFFFF"/>
        </w:rPr>
        <w:t>The UK has an epidemiological system in T2DM to identify high-risk groups, provides consistently high-quality data, enable design of interventions targeting high-risk groups, and evaluate long-term health trends</w:t>
      </w:r>
      <w:r w:rsidR="00D83EE2" w:rsidRPr="00E53DA8">
        <w:rPr>
          <w:rFonts w:asciiTheme="minorBidi" w:hAnsiTheme="minorBidi"/>
          <w:color w:val="000000" w:themeColor="text1"/>
          <w:shd w:val="clear" w:color="auto" w:fill="FFFFFF"/>
        </w:rPr>
        <w:t xml:space="preserve"> (Ahmad et al., 2022)</w:t>
      </w:r>
    </w:p>
    <w:p w:rsidR="003446CE" w:rsidRPr="00E53DA8" w:rsidRDefault="003446CE"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Disadvantages</w:t>
      </w:r>
    </w:p>
    <w:p w:rsidR="00EA2AE4" w:rsidRPr="00E53DA8" w:rsidRDefault="00EA2AE4" w:rsidP="003E18A8">
      <w:pPr>
        <w:spacing w:line="360" w:lineRule="auto"/>
        <w:jc w:val="both"/>
        <w:rPr>
          <w:rFonts w:asciiTheme="minorBidi" w:hAnsiTheme="minorBidi"/>
          <w:color w:val="000000" w:themeColor="text1"/>
          <w:shd w:val="clear" w:color="auto" w:fill="FFFFFF"/>
        </w:rPr>
      </w:pPr>
      <w:r w:rsidRPr="00E53DA8">
        <w:rPr>
          <w:rFonts w:asciiTheme="minorBidi" w:hAnsiTheme="minorBidi"/>
          <w:color w:val="000000" w:themeColor="text1"/>
          <w:shd w:val="clear" w:color="auto" w:fill="FFFFFF"/>
        </w:rPr>
        <w:t>Underdiagnosing T2DM in disadvantaged groups results in inflated prevalence statistics, Ethnicity data are often missing, social determinants are difficult to quantify, GP reporting varies by region, and bias may enter through participant self-report of health behaviors. Inequities in access still present an enormous barrier</w:t>
      </w:r>
      <w:r w:rsidR="00D83EE2" w:rsidRPr="00E53DA8">
        <w:rPr>
          <w:rFonts w:asciiTheme="minorBidi" w:hAnsiTheme="minorBidi"/>
          <w:color w:val="000000" w:themeColor="text1"/>
          <w:shd w:val="clear" w:color="auto" w:fill="FFFFFF"/>
        </w:rPr>
        <w:t xml:space="preserve"> (</w:t>
      </w:r>
      <w:proofErr w:type="spellStart"/>
      <w:r w:rsidR="00D83EE2" w:rsidRPr="00E53DA8">
        <w:rPr>
          <w:rFonts w:asciiTheme="minorBidi" w:hAnsiTheme="minorBidi"/>
          <w:color w:val="000000" w:themeColor="text1"/>
          <w:shd w:val="clear" w:color="auto" w:fill="FFFFFF"/>
        </w:rPr>
        <w:t>Galiero</w:t>
      </w:r>
      <w:proofErr w:type="spellEnd"/>
      <w:r w:rsidR="00D83EE2" w:rsidRPr="00E53DA8">
        <w:rPr>
          <w:rFonts w:asciiTheme="minorBidi" w:hAnsiTheme="minorBidi"/>
          <w:color w:val="000000" w:themeColor="text1"/>
          <w:shd w:val="clear" w:color="auto" w:fill="FFFFFF"/>
        </w:rPr>
        <w:t xml:space="preserve"> et al., 2023)</w:t>
      </w:r>
      <w:r w:rsidRPr="00E53DA8">
        <w:rPr>
          <w:rFonts w:asciiTheme="minorBidi" w:hAnsiTheme="minorBidi"/>
          <w:color w:val="000000" w:themeColor="text1"/>
          <w:shd w:val="clear" w:color="auto" w:fill="FFFFFF"/>
        </w:rPr>
        <w:t>.</w:t>
      </w:r>
    </w:p>
    <w:p w:rsidR="00EF430E" w:rsidRPr="00E53DA8" w:rsidRDefault="00EF430E" w:rsidP="003E18A8">
      <w:pPr>
        <w:spacing w:line="360" w:lineRule="auto"/>
        <w:jc w:val="both"/>
        <w:rPr>
          <w:rFonts w:asciiTheme="minorBidi" w:hAnsiTheme="minorBidi"/>
          <w:b/>
          <w:bCs/>
          <w:color w:val="000000" w:themeColor="text1"/>
          <w:u w:val="single"/>
        </w:rPr>
      </w:pPr>
      <w:r w:rsidRPr="00E53DA8">
        <w:rPr>
          <w:rFonts w:asciiTheme="minorBidi" w:hAnsiTheme="minorBidi"/>
          <w:b/>
          <w:bCs/>
          <w:color w:val="000000" w:themeColor="text1"/>
          <w:u w:val="single"/>
        </w:rPr>
        <w:t>Conclusion</w:t>
      </w:r>
    </w:p>
    <w:p w:rsidR="00EF430E" w:rsidRPr="00E53DA8" w:rsidRDefault="00EF430E" w:rsidP="003E18A8">
      <w:pPr>
        <w:spacing w:line="360" w:lineRule="auto"/>
        <w:jc w:val="both"/>
        <w:rPr>
          <w:rFonts w:asciiTheme="minorBidi" w:hAnsiTheme="minorBidi"/>
          <w:color w:val="000000" w:themeColor="text1"/>
        </w:rPr>
      </w:pPr>
      <w:r w:rsidRPr="00E53DA8">
        <w:rPr>
          <w:rFonts w:asciiTheme="minorBidi" w:hAnsiTheme="minorBidi"/>
          <w:color w:val="000000" w:themeColor="text1"/>
        </w:rPr>
        <w:t xml:space="preserve">Type 2 diabetes mellitus (T2DM) is a major public health issue in the UK, driven by biological, </w:t>
      </w:r>
      <w:r w:rsidR="003E18A8" w:rsidRPr="00E53DA8">
        <w:rPr>
          <w:rFonts w:asciiTheme="minorBidi" w:hAnsiTheme="minorBidi"/>
          <w:color w:val="000000" w:themeColor="text1"/>
        </w:rPr>
        <w:t>behavioral</w:t>
      </w:r>
      <w:r w:rsidRPr="00E53DA8">
        <w:rPr>
          <w:rFonts w:asciiTheme="minorBidi" w:hAnsiTheme="minorBidi"/>
          <w:color w:val="000000" w:themeColor="text1"/>
        </w:rPr>
        <w:t xml:space="preserve"> and social determinants. Deprivation, ethnicity and obesity are major contributors to the increase in prevalence. The UK has established good surveillance systems and some effective initiatives, such as the N</w:t>
      </w:r>
      <w:r w:rsidR="003E18A8" w:rsidRPr="00E53DA8">
        <w:rPr>
          <w:rFonts w:asciiTheme="minorBidi" w:hAnsiTheme="minorBidi"/>
          <w:color w:val="000000" w:themeColor="text1"/>
        </w:rPr>
        <w:t>HS Diabetes Prevention Program and Health Check program</w:t>
      </w:r>
      <w:r w:rsidRPr="00E53DA8">
        <w:rPr>
          <w:rFonts w:asciiTheme="minorBidi" w:hAnsiTheme="minorBidi"/>
          <w:color w:val="000000" w:themeColor="text1"/>
        </w:rPr>
        <w:t xml:space="preserve">. However, inequalities remain, particularly among deprived communities and minority ethnic groups. Action to improve prevention, culturally appropriate initiatives, and wider determinants of health will be vital to </w:t>
      </w:r>
      <w:r w:rsidR="00F733C5" w:rsidRPr="00E53DA8">
        <w:rPr>
          <w:rFonts w:asciiTheme="minorBidi" w:hAnsiTheme="minorBidi"/>
          <w:color w:val="000000" w:themeColor="text1"/>
        </w:rPr>
        <w:t>minimizing</w:t>
      </w:r>
      <w:r w:rsidRPr="00E53DA8">
        <w:rPr>
          <w:rFonts w:asciiTheme="minorBidi" w:hAnsiTheme="minorBidi"/>
          <w:color w:val="000000" w:themeColor="text1"/>
        </w:rPr>
        <w:t xml:space="preserve"> the future burden of T2DM and reducing inequalities.</w:t>
      </w:r>
    </w:p>
    <w:p w:rsidR="003E18A8" w:rsidRPr="00E53DA8" w:rsidRDefault="003E18A8" w:rsidP="003E18A8">
      <w:pPr>
        <w:spacing w:line="360" w:lineRule="auto"/>
        <w:jc w:val="both"/>
        <w:rPr>
          <w:rFonts w:asciiTheme="minorBidi" w:hAnsiTheme="minorBidi"/>
          <w:b/>
          <w:bCs/>
          <w:color w:val="000000" w:themeColor="text1"/>
        </w:rPr>
      </w:pPr>
      <w:r w:rsidRPr="00E53DA8">
        <w:rPr>
          <w:rFonts w:asciiTheme="minorBidi" w:hAnsiTheme="minorBidi"/>
          <w:b/>
          <w:bCs/>
          <w:color w:val="000000" w:themeColor="text1"/>
        </w:rPr>
        <w:t xml:space="preserve">References: </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Age UK (2023) Loneliness in Later Life. Age UK.</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shd w:val="clear" w:color="auto" w:fill="FFFFFF"/>
        </w:rPr>
        <w:t xml:space="preserve">Ahmad, E., Lim, S., </w:t>
      </w:r>
      <w:proofErr w:type="spellStart"/>
      <w:r w:rsidRPr="00E53DA8">
        <w:rPr>
          <w:rFonts w:asciiTheme="minorBidi" w:hAnsiTheme="minorBidi"/>
          <w:color w:val="000000" w:themeColor="text1"/>
          <w:shd w:val="clear" w:color="auto" w:fill="FFFFFF"/>
        </w:rPr>
        <w:t>Lamptey</w:t>
      </w:r>
      <w:proofErr w:type="spellEnd"/>
      <w:r w:rsidRPr="00E53DA8">
        <w:rPr>
          <w:rFonts w:asciiTheme="minorBidi" w:hAnsiTheme="minorBidi"/>
          <w:color w:val="000000" w:themeColor="text1"/>
          <w:shd w:val="clear" w:color="auto" w:fill="FFFFFF"/>
        </w:rPr>
        <w:t>, R., Webb, D.R. and Davies, M.J., 2022. Type 2 diabetes. </w:t>
      </w:r>
      <w:r w:rsidRPr="00E53DA8">
        <w:rPr>
          <w:rFonts w:asciiTheme="minorBidi" w:hAnsiTheme="minorBidi"/>
          <w:i/>
          <w:iCs/>
          <w:color w:val="000000" w:themeColor="text1"/>
          <w:shd w:val="clear" w:color="auto" w:fill="FFFFFF"/>
        </w:rPr>
        <w:t>The Lancet</w:t>
      </w:r>
      <w:r w:rsidRPr="00E53DA8">
        <w:rPr>
          <w:rFonts w:asciiTheme="minorBidi" w:hAnsiTheme="minorBidi"/>
          <w:color w:val="000000" w:themeColor="text1"/>
          <w:shd w:val="clear" w:color="auto" w:fill="FFFFFF"/>
        </w:rPr>
        <w:t>, </w:t>
      </w:r>
      <w:r w:rsidRPr="00E53DA8">
        <w:rPr>
          <w:rFonts w:asciiTheme="minorBidi" w:hAnsiTheme="minorBidi"/>
          <w:i/>
          <w:iCs/>
          <w:color w:val="000000" w:themeColor="text1"/>
          <w:shd w:val="clear" w:color="auto" w:fill="FFFFFF"/>
        </w:rPr>
        <w:t>400</w:t>
      </w:r>
      <w:r w:rsidRPr="00E53DA8">
        <w:rPr>
          <w:rFonts w:asciiTheme="minorBidi" w:hAnsiTheme="minorBidi"/>
          <w:color w:val="000000" w:themeColor="text1"/>
          <w:shd w:val="clear" w:color="auto" w:fill="FFFFFF"/>
        </w:rPr>
        <w:t>(10365), pp.1803-1820.</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proofErr w:type="spellStart"/>
      <w:r w:rsidRPr="00E53DA8">
        <w:rPr>
          <w:rFonts w:asciiTheme="minorBidi" w:hAnsiTheme="minorBidi"/>
          <w:color w:val="000000" w:themeColor="text1"/>
          <w:shd w:val="clear" w:color="auto" w:fill="FFFFFF"/>
        </w:rPr>
        <w:t>Beulens</w:t>
      </w:r>
      <w:proofErr w:type="spellEnd"/>
      <w:r w:rsidRPr="00E53DA8">
        <w:rPr>
          <w:rFonts w:asciiTheme="minorBidi" w:hAnsiTheme="minorBidi"/>
          <w:color w:val="000000" w:themeColor="text1"/>
          <w:shd w:val="clear" w:color="auto" w:fill="FFFFFF"/>
        </w:rPr>
        <w:t xml:space="preserve">, J.W., </w:t>
      </w:r>
      <w:proofErr w:type="spellStart"/>
      <w:r w:rsidRPr="00E53DA8">
        <w:rPr>
          <w:rFonts w:asciiTheme="minorBidi" w:hAnsiTheme="minorBidi"/>
          <w:color w:val="000000" w:themeColor="text1"/>
          <w:shd w:val="clear" w:color="auto" w:fill="FFFFFF"/>
        </w:rPr>
        <w:t>Pinho</w:t>
      </w:r>
      <w:proofErr w:type="spellEnd"/>
      <w:r w:rsidRPr="00E53DA8">
        <w:rPr>
          <w:rFonts w:asciiTheme="minorBidi" w:hAnsiTheme="minorBidi"/>
          <w:color w:val="000000" w:themeColor="text1"/>
          <w:shd w:val="clear" w:color="auto" w:fill="FFFFFF"/>
        </w:rPr>
        <w:t xml:space="preserve">, M.G., Abreu, T.C., den Braver, N.R., Lam, T.M., Huss, A., </w:t>
      </w:r>
      <w:proofErr w:type="spellStart"/>
      <w:r w:rsidRPr="00E53DA8">
        <w:rPr>
          <w:rFonts w:asciiTheme="minorBidi" w:hAnsiTheme="minorBidi"/>
          <w:color w:val="000000" w:themeColor="text1"/>
          <w:shd w:val="clear" w:color="auto" w:fill="FFFFFF"/>
        </w:rPr>
        <w:t>Vlaanderen</w:t>
      </w:r>
      <w:proofErr w:type="spellEnd"/>
      <w:r w:rsidRPr="00E53DA8">
        <w:rPr>
          <w:rFonts w:asciiTheme="minorBidi" w:hAnsiTheme="minorBidi"/>
          <w:color w:val="000000" w:themeColor="text1"/>
          <w:shd w:val="clear" w:color="auto" w:fill="FFFFFF"/>
        </w:rPr>
        <w:t xml:space="preserve">, J., </w:t>
      </w:r>
      <w:proofErr w:type="spellStart"/>
      <w:r w:rsidRPr="00E53DA8">
        <w:rPr>
          <w:rFonts w:asciiTheme="minorBidi" w:hAnsiTheme="minorBidi"/>
          <w:color w:val="000000" w:themeColor="text1"/>
          <w:shd w:val="clear" w:color="auto" w:fill="FFFFFF"/>
        </w:rPr>
        <w:t>Sonnenschein</w:t>
      </w:r>
      <w:proofErr w:type="spellEnd"/>
      <w:r w:rsidRPr="00E53DA8">
        <w:rPr>
          <w:rFonts w:asciiTheme="minorBidi" w:hAnsiTheme="minorBidi"/>
          <w:color w:val="000000" w:themeColor="text1"/>
          <w:shd w:val="clear" w:color="auto" w:fill="FFFFFF"/>
        </w:rPr>
        <w:t xml:space="preserve">, T., Siddiqui, N.Z., Yuan, Z. and </w:t>
      </w:r>
      <w:proofErr w:type="spellStart"/>
      <w:r w:rsidRPr="00E53DA8">
        <w:rPr>
          <w:rFonts w:asciiTheme="minorBidi" w:hAnsiTheme="minorBidi"/>
          <w:color w:val="000000" w:themeColor="text1"/>
          <w:shd w:val="clear" w:color="auto" w:fill="FFFFFF"/>
        </w:rPr>
        <w:t>Kerckhoffs</w:t>
      </w:r>
      <w:proofErr w:type="spellEnd"/>
      <w:r w:rsidRPr="00E53DA8">
        <w:rPr>
          <w:rFonts w:asciiTheme="minorBidi" w:hAnsiTheme="minorBidi"/>
          <w:color w:val="000000" w:themeColor="text1"/>
          <w:shd w:val="clear" w:color="auto" w:fill="FFFFFF"/>
        </w:rPr>
        <w:t xml:space="preserve">, J., 2022. Environmental risk factors of type 2 diabetes—an </w:t>
      </w:r>
      <w:proofErr w:type="spellStart"/>
      <w:r w:rsidRPr="00E53DA8">
        <w:rPr>
          <w:rFonts w:asciiTheme="minorBidi" w:hAnsiTheme="minorBidi"/>
          <w:color w:val="000000" w:themeColor="text1"/>
          <w:shd w:val="clear" w:color="auto" w:fill="FFFFFF"/>
        </w:rPr>
        <w:t>exposome</w:t>
      </w:r>
      <w:proofErr w:type="spellEnd"/>
      <w:r w:rsidRPr="00E53DA8">
        <w:rPr>
          <w:rFonts w:asciiTheme="minorBidi" w:hAnsiTheme="minorBidi"/>
          <w:color w:val="000000" w:themeColor="text1"/>
          <w:shd w:val="clear" w:color="auto" w:fill="FFFFFF"/>
        </w:rPr>
        <w:t xml:space="preserve"> approach. </w:t>
      </w:r>
      <w:proofErr w:type="spellStart"/>
      <w:r w:rsidRPr="00E53DA8">
        <w:rPr>
          <w:rFonts w:asciiTheme="minorBidi" w:hAnsiTheme="minorBidi"/>
          <w:i/>
          <w:iCs/>
          <w:color w:val="000000" w:themeColor="text1"/>
          <w:shd w:val="clear" w:color="auto" w:fill="FFFFFF"/>
        </w:rPr>
        <w:t>Diabetologia</w:t>
      </w:r>
      <w:proofErr w:type="spellEnd"/>
      <w:r w:rsidRPr="00E53DA8">
        <w:rPr>
          <w:rFonts w:asciiTheme="minorBidi" w:hAnsiTheme="minorBidi"/>
          <w:color w:val="000000" w:themeColor="text1"/>
          <w:shd w:val="clear" w:color="auto" w:fill="FFFFFF"/>
        </w:rPr>
        <w:t>, </w:t>
      </w:r>
      <w:r w:rsidRPr="00E53DA8">
        <w:rPr>
          <w:rFonts w:asciiTheme="minorBidi" w:hAnsiTheme="minorBidi"/>
          <w:i/>
          <w:iCs/>
          <w:color w:val="000000" w:themeColor="text1"/>
          <w:shd w:val="clear" w:color="auto" w:fill="FFFFFF"/>
        </w:rPr>
        <w:t>65</w:t>
      </w:r>
      <w:r w:rsidRPr="00E53DA8">
        <w:rPr>
          <w:rFonts w:asciiTheme="minorBidi" w:hAnsiTheme="minorBidi"/>
          <w:color w:val="000000" w:themeColor="text1"/>
          <w:shd w:val="clear" w:color="auto" w:fill="FFFFFF"/>
        </w:rPr>
        <w:t>(2), pp.263-274.</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proofErr w:type="spellStart"/>
      <w:r w:rsidRPr="00E53DA8">
        <w:rPr>
          <w:rFonts w:asciiTheme="minorBidi" w:hAnsiTheme="minorBidi"/>
          <w:color w:val="000000" w:themeColor="text1"/>
        </w:rPr>
        <w:lastRenderedPageBreak/>
        <w:t>Bjornstad</w:t>
      </w:r>
      <w:proofErr w:type="spellEnd"/>
      <w:r w:rsidRPr="00E53DA8">
        <w:rPr>
          <w:rFonts w:asciiTheme="minorBidi" w:hAnsiTheme="minorBidi"/>
          <w:color w:val="000000" w:themeColor="text1"/>
        </w:rPr>
        <w:t xml:space="preserve">, P., Chao, L.C., Cree-Green, M., Dart, A.B., King, M., Looker, H.C., </w:t>
      </w:r>
      <w:proofErr w:type="spellStart"/>
      <w:r w:rsidRPr="00E53DA8">
        <w:rPr>
          <w:rFonts w:asciiTheme="minorBidi" w:hAnsiTheme="minorBidi"/>
          <w:color w:val="000000" w:themeColor="text1"/>
        </w:rPr>
        <w:t>Magliano</w:t>
      </w:r>
      <w:proofErr w:type="spellEnd"/>
      <w:r w:rsidRPr="00E53DA8">
        <w:rPr>
          <w:rFonts w:asciiTheme="minorBidi" w:hAnsiTheme="minorBidi"/>
          <w:color w:val="000000" w:themeColor="text1"/>
        </w:rPr>
        <w:t xml:space="preserve">, D.J., Nadeau, K.J., </w:t>
      </w:r>
      <w:proofErr w:type="spellStart"/>
      <w:r w:rsidRPr="00E53DA8">
        <w:rPr>
          <w:rFonts w:asciiTheme="minorBidi" w:hAnsiTheme="minorBidi"/>
          <w:color w:val="000000" w:themeColor="text1"/>
        </w:rPr>
        <w:t>Pinhas-Hamiel</w:t>
      </w:r>
      <w:proofErr w:type="spellEnd"/>
      <w:r w:rsidRPr="00E53DA8">
        <w:rPr>
          <w:rFonts w:asciiTheme="minorBidi" w:hAnsiTheme="minorBidi"/>
          <w:color w:val="000000" w:themeColor="text1"/>
        </w:rPr>
        <w:t xml:space="preserve">, O., Shah, A.S. and van </w:t>
      </w:r>
      <w:proofErr w:type="spellStart"/>
      <w:r w:rsidRPr="00E53DA8">
        <w:rPr>
          <w:rFonts w:asciiTheme="minorBidi" w:hAnsiTheme="minorBidi"/>
          <w:color w:val="000000" w:themeColor="text1"/>
        </w:rPr>
        <w:t>Raalte</w:t>
      </w:r>
      <w:proofErr w:type="spellEnd"/>
      <w:r w:rsidRPr="00E53DA8">
        <w:rPr>
          <w:rFonts w:asciiTheme="minorBidi" w:hAnsiTheme="minorBidi"/>
          <w:color w:val="000000" w:themeColor="text1"/>
        </w:rPr>
        <w:t>, D.H., 2023. Youth-onset type 2 diabetes mellitus: an urgent challenge. </w:t>
      </w:r>
      <w:r w:rsidRPr="00E53DA8">
        <w:rPr>
          <w:rFonts w:asciiTheme="minorBidi" w:hAnsiTheme="minorBidi"/>
          <w:i/>
          <w:iCs/>
          <w:color w:val="000000" w:themeColor="text1"/>
        </w:rPr>
        <w:t>Nature Reviews Nephrology</w:t>
      </w:r>
      <w:r w:rsidRPr="00E53DA8">
        <w:rPr>
          <w:rFonts w:asciiTheme="minorBidi" w:hAnsiTheme="minorBidi"/>
          <w:color w:val="000000" w:themeColor="text1"/>
        </w:rPr>
        <w:t>, 19(3), pp.168-184.</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British Heart Foundation (2023) Cardiovascular Disease Statistics 2023. BHF.</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Chou, C.Y., Chiu, C.J., Chang, C.M., Wu, C.H., Lu, F.H., Wu, J.S. and Yang, Y.C., 2021. Disease-related disability burden: a comparison of seven chronic conditions in middle-aged and older adults. </w:t>
      </w:r>
      <w:r w:rsidRPr="00E53DA8">
        <w:rPr>
          <w:rFonts w:asciiTheme="minorBidi" w:hAnsiTheme="minorBidi"/>
          <w:i/>
          <w:iCs/>
          <w:color w:val="000000" w:themeColor="text1"/>
        </w:rPr>
        <w:t>BMC geriatrics</w:t>
      </w:r>
      <w:r w:rsidRPr="00E53DA8">
        <w:rPr>
          <w:rFonts w:asciiTheme="minorBidi" w:hAnsiTheme="minorBidi"/>
          <w:color w:val="000000" w:themeColor="text1"/>
        </w:rPr>
        <w:t>, 21(1), p.201.</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Diabetes UK (2023) Diabetes: Facts and Stats. Diabetes UK.</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proofErr w:type="spellStart"/>
      <w:r w:rsidRPr="00E53DA8">
        <w:rPr>
          <w:rFonts w:asciiTheme="minorBidi" w:hAnsiTheme="minorBidi"/>
          <w:color w:val="000000" w:themeColor="text1"/>
        </w:rPr>
        <w:t>Farmaki</w:t>
      </w:r>
      <w:proofErr w:type="spellEnd"/>
      <w:r w:rsidRPr="00E53DA8">
        <w:rPr>
          <w:rFonts w:asciiTheme="minorBidi" w:hAnsiTheme="minorBidi"/>
          <w:color w:val="000000" w:themeColor="text1"/>
        </w:rPr>
        <w:t xml:space="preserve">, A.E., Garfield, V., Eastwood, S.V., Farmer, R.E., </w:t>
      </w:r>
      <w:proofErr w:type="spellStart"/>
      <w:r w:rsidRPr="00E53DA8">
        <w:rPr>
          <w:rFonts w:asciiTheme="minorBidi" w:hAnsiTheme="minorBidi"/>
          <w:color w:val="000000" w:themeColor="text1"/>
        </w:rPr>
        <w:t>Mathur</w:t>
      </w:r>
      <w:proofErr w:type="spellEnd"/>
      <w:r w:rsidRPr="00E53DA8">
        <w:rPr>
          <w:rFonts w:asciiTheme="minorBidi" w:hAnsiTheme="minorBidi"/>
          <w:color w:val="000000" w:themeColor="text1"/>
        </w:rPr>
        <w:t xml:space="preserve">, R., </w:t>
      </w:r>
      <w:proofErr w:type="spellStart"/>
      <w:r w:rsidRPr="00E53DA8">
        <w:rPr>
          <w:rFonts w:asciiTheme="minorBidi" w:hAnsiTheme="minorBidi"/>
          <w:color w:val="000000" w:themeColor="text1"/>
        </w:rPr>
        <w:t>Giannakopoulou</w:t>
      </w:r>
      <w:proofErr w:type="spellEnd"/>
      <w:r w:rsidRPr="00E53DA8">
        <w:rPr>
          <w:rFonts w:asciiTheme="minorBidi" w:hAnsiTheme="minorBidi"/>
          <w:color w:val="000000" w:themeColor="text1"/>
        </w:rPr>
        <w:t xml:space="preserve">, O., </w:t>
      </w:r>
      <w:proofErr w:type="spellStart"/>
      <w:r w:rsidRPr="00E53DA8">
        <w:rPr>
          <w:rFonts w:asciiTheme="minorBidi" w:hAnsiTheme="minorBidi"/>
          <w:color w:val="000000" w:themeColor="text1"/>
        </w:rPr>
        <w:t>Patalay</w:t>
      </w:r>
      <w:proofErr w:type="spellEnd"/>
      <w:r w:rsidRPr="00E53DA8">
        <w:rPr>
          <w:rFonts w:asciiTheme="minorBidi" w:hAnsiTheme="minorBidi"/>
          <w:color w:val="000000" w:themeColor="text1"/>
        </w:rPr>
        <w:t xml:space="preserve">, P., </w:t>
      </w:r>
      <w:proofErr w:type="spellStart"/>
      <w:r w:rsidRPr="00E53DA8">
        <w:rPr>
          <w:rFonts w:asciiTheme="minorBidi" w:hAnsiTheme="minorBidi"/>
          <w:color w:val="000000" w:themeColor="text1"/>
        </w:rPr>
        <w:t>Kuchenbaecker</w:t>
      </w:r>
      <w:proofErr w:type="spellEnd"/>
      <w:r w:rsidRPr="00E53DA8">
        <w:rPr>
          <w:rFonts w:asciiTheme="minorBidi" w:hAnsiTheme="minorBidi"/>
          <w:color w:val="000000" w:themeColor="text1"/>
        </w:rPr>
        <w:t xml:space="preserve">, K., </w:t>
      </w:r>
      <w:proofErr w:type="spellStart"/>
      <w:r w:rsidRPr="00E53DA8">
        <w:rPr>
          <w:rFonts w:asciiTheme="minorBidi" w:hAnsiTheme="minorBidi"/>
          <w:color w:val="000000" w:themeColor="text1"/>
        </w:rPr>
        <w:t>Sattar</w:t>
      </w:r>
      <w:proofErr w:type="spellEnd"/>
      <w:r w:rsidRPr="00E53DA8">
        <w:rPr>
          <w:rFonts w:asciiTheme="minorBidi" w:hAnsiTheme="minorBidi"/>
          <w:color w:val="000000" w:themeColor="text1"/>
        </w:rPr>
        <w:t xml:space="preserve">, N., Hughes, A. and </w:t>
      </w:r>
      <w:proofErr w:type="spellStart"/>
      <w:r w:rsidRPr="00E53DA8">
        <w:rPr>
          <w:rFonts w:asciiTheme="minorBidi" w:hAnsiTheme="minorBidi"/>
          <w:color w:val="000000" w:themeColor="text1"/>
        </w:rPr>
        <w:t>Bhaskaran</w:t>
      </w:r>
      <w:proofErr w:type="spellEnd"/>
      <w:r w:rsidRPr="00E53DA8">
        <w:rPr>
          <w:rFonts w:asciiTheme="minorBidi" w:hAnsiTheme="minorBidi"/>
          <w:color w:val="000000" w:themeColor="text1"/>
        </w:rPr>
        <w:t>, K., 2022. Type 2 diabetes risks and determinants in second-generation migrants and mixed ethnicity people of South Asian and African Caribbean descent in the UK. </w:t>
      </w:r>
      <w:proofErr w:type="spellStart"/>
      <w:r w:rsidRPr="00E53DA8">
        <w:rPr>
          <w:rFonts w:asciiTheme="minorBidi" w:hAnsiTheme="minorBidi"/>
          <w:i/>
          <w:iCs/>
          <w:color w:val="000000" w:themeColor="text1"/>
        </w:rPr>
        <w:t>Diabetologia</w:t>
      </w:r>
      <w:proofErr w:type="spellEnd"/>
      <w:r w:rsidRPr="00E53DA8">
        <w:rPr>
          <w:rFonts w:asciiTheme="minorBidi" w:hAnsiTheme="minorBidi"/>
          <w:color w:val="000000" w:themeColor="text1"/>
        </w:rPr>
        <w:t>, 65(1), pp.113-127.</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Freak-</w:t>
      </w:r>
      <w:proofErr w:type="spellStart"/>
      <w:r w:rsidRPr="00E53DA8">
        <w:rPr>
          <w:rFonts w:asciiTheme="minorBidi" w:hAnsiTheme="minorBidi"/>
          <w:color w:val="000000" w:themeColor="text1"/>
        </w:rPr>
        <w:t>Poli</w:t>
      </w:r>
      <w:proofErr w:type="spellEnd"/>
      <w:r w:rsidRPr="00E53DA8">
        <w:rPr>
          <w:rFonts w:asciiTheme="minorBidi" w:hAnsiTheme="minorBidi"/>
          <w:color w:val="000000" w:themeColor="text1"/>
        </w:rPr>
        <w:t xml:space="preserve">, R., Ryan, J., Neumann, J.T., Tonkin, A., Reid, C.M., Woods, R.L., Nelson, M., Stocks, N., </w:t>
      </w:r>
      <w:proofErr w:type="spellStart"/>
      <w:r w:rsidRPr="00E53DA8">
        <w:rPr>
          <w:rFonts w:asciiTheme="minorBidi" w:hAnsiTheme="minorBidi"/>
          <w:color w:val="000000" w:themeColor="text1"/>
        </w:rPr>
        <w:t>Berk</w:t>
      </w:r>
      <w:proofErr w:type="spellEnd"/>
      <w:r w:rsidRPr="00E53DA8">
        <w:rPr>
          <w:rFonts w:asciiTheme="minorBidi" w:hAnsiTheme="minorBidi"/>
          <w:color w:val="000000" w:themeColor="text1"/>
        </w:rPr>
        <w:t>, M., McNeil, J.J. and Britt, C., 2021. Social isolation, social support and loneliness as predictors of cardiovascular disease incidence and mortality. </w:t>
      </w:r>
      <w:r w:rsidRPr="00E53DA8">
        <w:rPr>
          <w:rFonts w:asciiTheme="minorBidi" w:hAnsiTheme="minorBidi"/>
          <w:i/>
          <w:iCs/>
          <w:color w:val="000000" w:themeColor="text1"/>
        </w:rPr>
        <w:t>BMC geriatrics</w:t>
      </w:r>
      <w:r w:rsidRPr="00E53DA8">
        <w:rPr>
          <w:rFonts w:asciiTheme="minorBidi" w:hAnsiTheme="minorBidi"/>
          <w:color w:val="000000" w:themeColor="text1"/>
        </w:rPr>
        <w:t>, 21(1), p.711.</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proofErr w:type="spellStart"/>
      <w:r w:rsidRPr="00E53DA8">
        <w:rPr>
          <w:rFonts w:asciiTheme="minorBidi" w:hAnsiTheme="minorBidi"/>
          <w:color w:val="000000" w:themeColor="text1"/>
          <w:shd w:val="clear" w:color="auto" w:fill="FFFFFF"/>
        </w:rPr>
        <w:t>Galiero</w:t>
      </w:r>
      <w:proofErr w:type="spellEnd"/>
      <w:r w:rsidRPr="00E53DA8">
        <w:rPr>
          <w:rFonts w:asciiTheme="minorBidi" w:hAnsiTheme="minorBidi"/>
          <w:color w:val="000000" w:themeColor="text1"/>
          <w:shd w:val="clear" w:color="auto" w:fill="FFFFFF"/>
        </w:rPr>
        <w:t xml:space="preserve">, R., </w:t>
      </w:r>
      <w:proofErr w:type="spellStart"/>
      <w:r w:rsidRPr="00E53DA8">
        <w:rPr>
          <w:rFonts w:asciiTheme="minorBidi" w:hAnsiTheme="minorBidi"/>
          <w:color w:val="000000" w:themeColor="text1"/>
          <w:shd w:val="clear" w:color="auto" w:fill="FFFFFF"/>
        </w:rPr>
        <w:t>Caturano</w:t>
      </w:r>
      <w:proofErr w:type="spellEnd"/>
      <w:r w:rsidRPr="00E53DA8">
        <w:rPr>
          <w:rFonts w:asciiTheme="minorBidi" w:hAnsiTheme="minorBidi"/>
          <w:color w:val="000000" w:themeColor="text1"/>
          <w:shd w:val="clear" w:color="auto" w:fill="FFFFFF"/>
        </w:rPr>
        <w:t xml:space="preserve">, A., </w:t>
      </w:r>
      <w:proofErr w:type="spellStart"/>
      <w:r w:rsidRPr="00E53DA8">
        <w:rPr>
          <w:rFonts w:asciiTheme="minorBidi" w:hAnsiTheme="minorBidi"/>
          <w:color w:val="000000" w:themeColor="text1"/>
          <w:shd w:val="clear" w:color="auto" w:fill="FFFFFF"/>
        </w:rPr>
        <w:t>Vetrano</w:t>
      </w:r>
      <w:proofErr w:type="spellEnd"/>
      <w:r w:rsidRPr="00E53DA8">
        <w:rPr>
          <w:rFonts w:asciiTheme="minorBidi" w:hAnsiTheme="minorBidi"/>
          <w:color w:val="000000" w:themeColor="text1"/>
          <w:shd w:val="clear" w:color="auto" w:fill="FFFFFF"/>
        </w:rPr>
        <w:t xml:space="preserve">, E., </w:t>
      </w:r>
      <w:proofErr w:type="spellStart"/>
      <w:r w:rsidRPr="00E53DA8">
        <w:rPr>
          <w:rFonts w:asciiTheme="minorBidi" w:hAnsiTheme="minorBidi"/>
          <w:color w:val="000000" w:themeColor="text1"/>
          <w:shd w:val="clear" w:color="auto" w:fill="FFFFFF"/>
        </w:rPr>
        <w:t>Monda</w:t>
      </w:r>
      <w:proofErr w:type="spellEnd"/>
      <w:r w:rsidRPr="00E53DA8">
        <w:rPr>
          <w:rFonts w:asciiTheme="minorBidi" w:hAnsiTheme="minorBidi"/>
          <w:color w:val="000000" w:themeColor="text1"/>
          <w:shd w:val="clear" w:color="auto" w:fill="FFFFFF"/>
        </w:rPr>
        <w:t xml:space="preserve">, M., </w:t>
      </w:r>
      <w:proofErr w:type="spellStart"/>
      <w:r w:rsidRPr="00E53DA8">
        <w:rPr>
          <w:rFonts w:asciiTheme="minorBidi" w:hAnsiTheme="minorBidi"/>
          <w:color w:val="000000" w:themeColor="text1"/>
          <w:shd w:val="clear" w:color="auto" w:fill="FFFFFF"/>
        </w:rPr>
        <w:t>Marfella</w:t>
      </w:r>
      <w:proofErr w:type="spellEnd"/>
      <w:r w:rsidRPr="00E53DA8">
        <w:rPr>
          <w:rFonts w:asciiTheme="minorBidi" w:hAnsiTheme="minorBidi"/>
          <w:color w:val="000000" w:themeColor="text1"/>
          <w:shd w:val="clear" w:color="auto" w:fill="FFFFFF"/>
        </w:rPr>
        <w:t xml:space="preserve">, R., </w:t>
      </w:r>
      <w:proofErr w:type="spellStart"/>
      <w:r w:rsidRPr="00E53DA8">
        <w:rPr>
          <w:rFonts w:asciiTheme="minorBidi" w:hAnsiTheme="minorBidi"/>
          <w:color w:val="000000" w:themeColor="text1"/>
          <w:shd w:val="clear" w:color="auto" w:fill="FFFFFF"/>
        </w:rPr>
        <w:t>Sardu</w:t>
      </w:r>
      <w:proofErr w:type="spellEnd"/>
      <w:r w:rsidRPr="00E53DA8">
        <w:rPr>
          <w:rFonts w:asciiTheme="minorBidi" w:hAnsiTheme="minorBidi"/>
          <w:color w:val="000000" w:themeColor="text1"/>
          <w:shd w:val="clear" w:color="auto" w:fill="FFFFFF"/>
        </w:rPr>
        <w:t xml:space="preserve">, C., Salvatore, T., </w:t>
      </w:r>
      <w:proofErr w:type="spellStart"/>
      <w:r w:rsidRPr="00E53DA8">
        <w:rPr>
          <w:rFonts w:asciiTheme="minorBidi" w:hAnsiTheme="minorBidi"/>
          <w:color w:val="000000" w:themeColor="text1"/>
          <w:shd w:val="clear" w:color="auto" w:fill="FFFFFF"/>
        </w:rPr>
        <w:t>Rinaldi</w:t>
      </w:r>
      <w:proofErr w:type="spellEnd"/>
      <w:r w:rsidRPr="00E53DA8">
        <w:rPr>
          <w:rFonts w:asciiTheme="minorBidi" w:hAnsiTheme="minorBidi"/>
          <w:color w:val="000000" w:themeColor="text1"/>
          <w:shd w:val="clear" w:color="auto" w:fill="FFFFFF"/>
        </w:rPr>
        <w:t xml:space="preserve">, L. and </w:t>
      </w:r>
      <w:proofErr w:type="spellStart"/>
      <w:r w:rsidRPr="00E53DA8">
        <w:rPr>
          <w:rFonts w:asciiTheme="minorBidi" w:hAnsiTheme="minorBidi"/>
          <w:color w:val="000000" w:themeColor="text1"/>
          <w:shd w:val="clear" w:color="auto" w:fill="FFFFFF"/>
        </w:rPr>
        <w:t>Sasso</w:t>
      </w:r>
      <w:proofErr w:type="spellEnd"/>
      <w:r w:rsidRPr="00E53DA8">
        <w:rPr>
          <w:rFonts w:asciiTheme="minorBidi" w:hAnsiTheme="minorBidi"/>
          <w:color w:val="000000" w:themeColor="text1"/>
          <w:shd w:val="clear" w:color="auto" w:fill="FFFFFF"/>
        </w:rPr>
        <w:t>, F.C., 2023. Precision medicine in type 2 diabetes mellitus: Utility and limitations. </w:t>
      </w:r>
      <w:r w:rsidRPr="00E53DA8">
        <w:rPr>
          <w:rFonts w:asciiTheme="minorBidi" w:hAnsiTheme="minorBidi"/>
          <w:i/>
          <w:iCs/>
          <w:color w:val="000000" w:themeColor="text1"/>
          <w:shd w:val="clear" w:color="auto" w:fill="FFFFFF"/>
        </w:rPr>
        <w:t>Diabetes, Metabolic Syndrome and Obesity</w:t>
      </w:r>
      <w:r w:rsidRPr="00E53DA8">
        <w:rPr>
          <w:rFonts w:asciiTheme="minorBidi" w:hAnsiTheme="minorBidi"/>
          <w:color w:val="000000" w:themeColor="text1"/>
          <w:shd w:val="clear" w:color="auto" w:fill="FFFFFF"/>
        </w:rPr>
        <w:t>, pp.3669-3689.</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proofErr w:type="spellStart"/>
      <w:r w:rsidRPr="00E53DA8">
        <w:rPr>
          <w:rFonts w:asciiTheme="minorBidi" w:hAnsiTheme="minorBidi"/>
          <w:color w:val="000000" w:themeColor="text1"/>
        </w:rPr>
        <w:t>Ghit</w:t>
      </w:r>
      <w:proofErr w:type="spellEnd"/>
      <w:r w:rsidRPr="00E53DA8">
        <w:rPr>
          <w:rFonts w:asciiTheme="minorBidi" w:hAnsiTheme="minorBidi"/>
          <w:color w:val="000000" w:themeColor="text1"/>
        </w:rPr>
        <w:t>, A., 2023. Pneumococcal vaccination in diabetic patients: review from clinical practice. </w:t>
      </w:r>
      <w:r w:rsidRPr="00E53DA8">
        <w:rPr>
          <w:rFonts w:asciiTheme="minorBidi" w:hAnsiTheme="minorBidi"/>
          <w:i/>
          <w:iCs/>
          <w:color w:val="000000" w:themeColor="text1"/>
        </w:rPr>
        <w:t>The Egyptian Journal of Internal Medicine</w:t>
      </w:r>
      <w:r w:rsidRPr="00E53DA8">
        <w:rPr>
          <w:rFonts w:asciiTheme="minorBidi" w:hAnsiTheme="minorBidi"/>
          <w:color w:val="000000" w:themeColor="text1"/>
        </w:rPr>
        <w:t>, 35(1), p.16.</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proofErr w:type="spellStart"/>
      <w:r w:rsidRPr="00E53DA8">
        <w:rPr>
          <w:rFonts w:asciiTheme="minorBidi" w:hAnsiTheme="minorBidi"/>
          <w:color w:val="000000" w:themeColor="text1"/>
        </w:rPr>
        <w:t>Goodall</w:t>
      </w:r>
      <w:proofErr w:type="spellEnd"/>
      <w:r w:rsidRPr="00E53DA8">
        <w:rPr>
          <w:rFonts w:asciiTheme="minorBidi" w:hAnsiTheme="minorBidi"/>
          <w:color w:val="000000" w:themeColor="text1"/>
        </w:rPr>
        <w:t xml:space="preserve">, R., </w:t>
      </w:r>
      <w:proofErr w:type="spellStart"/>
      <w:r w:rsidRPr="00E53DA8">
        <w:rPr>
          <w:rFonts w:asciiTheme="minorBidi" w:hAnsiTheme="minorBidi"/>
          <w:color w:val="000000" w:themeColor="text1"/>
        </w:rPr>
        <w:t>Alazawi</w:t>
      </w:r>
      <w:proofErr w:type="spellEnd"/>
      <w:r w:rsidRPr="00E53DA8">
        <w:rPr>
          <w:rFonts w:asciiTheme="minorBidi" w:hAnsiTheme="minorBidi"/>
          <w:color w:val="000000" w:themeColor="text1"/>
        </w:rPr>
        <w:t xml:space="preserve">, A., Hughes, W., </w:t>
      </w:r>
      <w:proofErr w:type="spellStart"/>
      <w:r w:rsidRPr="00E53DA8">
        <w:rPr>
          <w:rFonts w:asciiTheme="minorBidi" w:hAnsiTheme="minorBidi"/>
          <w:color w:val="000000" w:themeColor="text1"/>
        </w:rPr>
        <w:t>Bravis</w:t>
      </w:r>
      <w:proofErr w:type="spellEnd"/>
      <w:r w:rsidRPr="00E53DA8">
        <w:rPr>
          <w:rFonts w:asciiTheme="minorBidi" w:hAnsiTheme="minorBidi"/>
          <w:color w:val="000000" w:themeColor="text1"/>
        </w:rPr>
        <w:t xml:space="preserve">, V., </w:t>
      </w:r>
      <w:proofErr w:type="spellStart"/>
      <w:r w:rsidRPr="00E53DA8">
        <w:rPr>
          <w:rFonts w:asciiTheme="minorBidi" w:hAnsiTheme="minorBidi"/>
          <w:color w:val="000000" w:themeColor="text1"/>
        </w:rPr>
        <w:t>Salciccioli</w:t>
      </w:r>
      <w:proofErr w:type="spellEnd"/>
      <w:r w:rsidRPr="00E53DA8">
        <w:rPr>
          <w:rFonts w:asciiTheme="minorBidi" w:hAnsiTheme="minorBidi"/>
          <w:color w:val="000000" w:themeColor="text1"/>
        </w:rPr>
        <w:t xml:space="preserve">, J.D., Marshall, D.C., Crowley, C. and </w:t>
      </w:r>
      <w:proofErr w:type="spellStart"/>
      <w:r w:rsidRPr="00E53DA8">
        <w:rPr>
          <w:rFonts w:asciiTheme="minorBidi" w:hAnsiTheme="minorBidi"/>
          <w:color w:val="000000" w:themeColor="text1"/>
        </w:rPr>
        <w:t>Shalhoub</w:t>
      </w:r>
      <w:proofErr w:type="spellEnd"/>
      <w:r w:rsidRPr="00E53DA8">
        <w:rPr>
          <w:rFonts w:asciiTheme="minorBidi" w:hAnsiTheme="minorBidi"/>
          <w:color w:val="000000" w:themeColor="text1"/>
        </w:rPr>
        <w:t>, J., 2021. Trends in type 2 diabetes mortality, prevalence and disability-adjusted life-years in the United Kingdom and European Union Countries: 1990–2019. </w:t>
      </w:r>
      <w:r w:rsidRPr="00E53DA8">
        <w:rPr>
          <w:rFonts w:asciiTheme="minorBidi" w:hAnsiTheme="minorBidi"/>
          <w:i/>
          <w:iCs/>
          <w:color w:val="000000" w:themeColor="text1"/>
        </w:rPr>
        <w:t>Journal of the Endocrine Society</w:t>
      </w:r>
      <w:r w:rsidRPr="00E53DA8">
        <w:rPr>
          <w:rFonts w:asciiTheme="minorBidi" w:hAnsiTheme="minorBidi"/>
          <w:color w:val="000000" w:themeColor="text1"/>
        </w:rPr>
        <w:t>, 5(</w:t>
      </w:r>
      <w:proofErr w:type="spellStart"/>
      <w:r w:rsidRPr="00E53DA8">
        <w:rPr>
          <w:rFonts w:asciiTheme="minorBidi" w:hAnsiTheme="minorBidi"/>
          <w:color w:val="000000" w:themeColor="text1"/>
        </w:rPr>
        <w:t>Suppl</w:t>
      </w:r>
      <w:proofErr w:type="spellEnd"/>
      <w:r w:rsidRPr="00E53DA8">
        <w:rPr>
          <w:rFonts w:asciiTheme="minorBidi" w:hAnsiTheme="minorBidi"/>
          <w:color w:val="000000" w:themeColor="text1"/>
        </w:rPr>
        <w:t xml:space="preserve"> 1), p.A481.</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Health Survey for England (HSE) (2022) Health, Lifestyles and Conditions Dataset. NHS Digital.</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 xml:space="preserve">Holman, D. and Walker, A., 2021. Understanding unequal ageing: towards a synthesis of </w:t>
      </w:r>
      <w:proofErr w:type="spellStart"/>
      <w:r w:rsidRPr="00E53DA8">
        <w:rPr>
          <w:rFonts w:asciiTheme="minorBidi" w:hAnsiTheme="minorBidi"/>
          <w:color w:val="000000" w:themeColor="text1"/>
        </w:rPr>
        <w:t>intersectionality</w:t>
      </w:r>
      <w:proofErr w:type="spellEnd"/>
      <w:r w:rsidRPr="00E53DA8">
        <w:rPr>
          <w:rFonts w:asciiTheme="minorBidi" w:hAnsiTheme="minorBidi"/>
          <w:color w:val="000000" w:themeColor="text1"/>
        </w:rPr>
        <w:t xml:space="preserve"> and life course analyses. </w:t>
      </w:r>
      <w:r w:rsidRPr="00E53DA8">
        <w:rPr>
          <w:rFonts w:asciiTheme="minorBidi" w:hAnsiTheme="minorBidi"/>
          <w:i/>
          <w:iCs/>
          <w:color w:val="000000" w:themeColor="text1"/>
        </w:rPr>
        <w:t>European journal of ageing</w:t>
      </w:r>
      <w:r w:rsidRPr="00E53DA8">
        <w:rPr>
          <w:rFonts w:asciiTheme="minorBidi" w:hAnsiTheme="minorBidi"/>
          <w:color w:val="000000" w:themeColor="text1"/>
        </w:rPr>
        <w:t>, 18(2), pp.239-255.</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 xml:space="preserve">International Diabetes Federation (IDF) (2021) IDF Diabetes Atlas, 10th </w:t>
      </w:r>
      <w:proofErr w:type="spellStart"/>
      <w:r w:rsidRPr="00E53DA8">
        <w:rPr>
          <w:rFonts w:asciiTheme="minorBidi" w:hAnsiTheme="minorBidi"/>
          <w:color w:val="000000" w:themeColor="text1"/>
        </w:rPr>
        <w:t>edn</w:t>
      </w:r>
      <w:proofErr w:type="spellEnd"/>
      <w:r w:rsidRPr="00E53DA8">
        <w:rPr>
          <w:rFonts w:asciiTheme="minorBidi" w:hAnsiTheme="minorBidi"/>
          <w:color w:val="000000" w:themeColor="text1"/>
        </w:rPr>
        <w:t>. Brussels: IDF.</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proofErr w:type="spellStart"/>
      <w:r w:rsidRPr="00E53DA8">
        <w:rPr>
          <w:rFonts w:asciiTheme="minorBidi" w:hAnsiTheme="minorBidi"/>
          <w:color w:val="000000" w:themeColor="text1"/>
          <w:shd w:val="clear" w:color="auto" w:fill="FFFFFF"/>
        </w:rPr>
        <w:lastRenderedPageBreak/>
        <w:t>Jeyaparam</w:t>
      </w:r>
      <w:proofErr w:type="spellEnd"/>
      <w:r w:rsidRPr="00E53DA8">
        <w:rPr>
          <w:rFonts w:asciiTheme="minorBidi" w:hAnsiTheme="minorBidi"/>
          <w:color w:val="000000" w:themeColor="text1"/>
          <w:shd w:val="clear" w:color="auto" w:fill="FFFFFF"/>
        </w:rPr>
        <w:t>, S., Agha-</w:t>
      </w:r>
      <w:proofErr w:type="spellStart"/>
      <w:r w:rsidRPr="00E53DA8">
        <w:rPr>
          <w:rFonts w:asciiTheme="minorBidi" w:hAnsiTheme="minorBidi"/>
          <w:color w:val="000000" w:themeColor="text1"/>
          <w:shd w:val="clear" w:color="auto" w:fill="FFFFFF"/>
        </w:rPr>
        <w:t>Jaffar</w:t>
      </w:r>
      <w:proofErr w:type="spellEnd"/>
      <w:r w:rsidRPr="00E53DA8">
        <w:rPr>
          <w:rFonts w:asciiTheme="minorBidi" w:hAnsiTheme="minorBidi"/>
          <w:color w:val="000000" w:themeColor="text1"/>
          <w:shd w:val="clear" w:color="auto" w:fill="FFFFFF"/>
        </w:rPr>
        <w:t xml:space="preserve">, R., Mullins, E., </w:t>
      </w:r>
      <w:proofErr w:type="spellStart"/>
      <w:r w:rsidRPr="00E53DA8">
        <w:rPr>
          <w:rFonts w:asciiTheme="minorBidi" w:hAnsiTheme="minorBidi"/>
          <w:color w:val="000000" w:themeColor="text1"/>
          <w:shd w:val="clear" w:color="auto" w:fill="FFFFFF"/>
        </w:rPr>
        <w:t>Pinho</w:t>
      </w:r>
      <w:proofErr w:type="spellEnd"/>
      <w:r w:rsidRPr="00E53DA8">
        <w:rPr>
          <w:rFonts w:asciiTheme="minorBidi" w:hAnsiTheme="minorBidi"/>
          <w:color w:val="000000" w:themeColor="text1"/>
          <w:shd w:val="clear" w:color="auto" w:fill="FFFFFF"/>
        </w:rPr>
        <w:t xml:space="preserve">-Gomes, A.C., </w:t>
      </w:r>
      <w:proofErr w:type="spellStart"/>
      <w:r w:rsidRPr="00E53DA8">
        <w:rPr>
          <w:rFonts w:asciiTheme="minorBidi" w:hAnsiTheme="minorBidi"/>
          <w:color w:val="000000" w:themeColor="text1"/>
          <w:shd w:val="clear" w:color="auto" w:fill="FFFFFF"/>
        </w:rPr>
        <w:t>Khunti</w:t>
      </w:r>
      <w:proofErr w:type="spellEnd"/>
      <w:r w:rsidRPr="00E53DA8">
        <w:rPr>
          <w:rFonts w:asciiTheme="minorBidi" w:hAnsiTheme="minorBidi"/>
          <w:color w:val="000000" w:themeColor="text1"/>
          <w:shd w:val="clear" w:color="auto" w:fill="FFFFFF"/>
        </w:rPr>
        <w:t>, K. and Robinson, S., 2024. Retrospective cohort study of the association between socioeconomic deprivation and incidence of gestational diabetes and perinatal outcomes. </w:t>
      </w:r>
      <w:r w:rsidRPr="00E53DA8">
        <w:rPr>
          <w:rFonts w:asciiTheme="minorBidi" w:hAnsiTheme="minorBidi"/>
          <w:i/>
          <w:iCs/>
          <w:color w:val="000000" w:themeColor="text1"/>
          <w:shd w:val="clear" w:color="auto" w:fill="FFFFFF"/>
        </w:rPr>
        <w:t>BMC public health</w:t>
      </w:r>
      <w:r w:rsidRPr="00E53DA8">
        <w:rPr>
          <w:rFonts w:asciiTheme="minorBidi" w:hAnsiTheme="minorBidi"/>
          <w:color w:val="000000" w:themeColor="text1"/>
          <w:shd w:val="clear" w:color="auto" w:fill="FFFFFF"/>
        </w:rPr>
        <w:t>, </w:t>
      </w:r>
      <w:r w:rsidRPr="00E53DA8">
        <w:rPr>
          <w:rFonts w:asciiTheme="minorBidi" w:hAnsiTheme="minorBidi"/>
          <w:i/>
          <w:iCs/>
          <w:color w:val="000000" w:themeColor="text1"/>
          <w:shd w:val="clear" w:color="auto" w:fill="FFFFFF"/>
        </w:rPr>
        <w:t>24</w:t>
      </w:r>
      <w:r w:rsidRPr="00E53DA8">
        <w:rPr>
          <w:rFonts w:asciiTheme="minorBidi" w:hAnsiTheme="minorBidi"/>
          <w:color w:val="000000" w:themeColor="text1"/>
          <w:shd w:val="clear" w:color="auto" w:fill="FFFFFF"/>
        </w:rPr>
        <w:t>(1), p.184.</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 xml:space="preserve">Jiang, T., Nagy, D., </w:t>
      </w:r>
      <w:proofErr w:type="spellStart"/>
      <w:r w:rsidRPr="00E53DA8">
        <w:rPr>
          <w:rFonts w:asciiTheme="minorBidi" w:hAnsiTheme="minorBidi"/>
          <w:color w:val="000000" w:themeColor="text1"/>
        </w:rPr>
        <w:t>Rosellini</w:t>
      </w:r>
      <w:proofErr w:type="spellEnd"/>
      <w:r w:rsidRPr="00E53DA8">
        <w:rPr>
          <w:rFonts w:asciiTheme="minorBidi" w:hAnsiTheme="minorBidi"/>
          <w:color w:val="000000" w:themeColor="text1"/>
        </w:rPr>
        <w:t xml:space="preserve">, A.J., </w:t>
      </w:r>
      <w:proofErr w:type="spellStart"/>
      <w:r w:rsidRPr="00E53DA8">
        <w:rPr>
          <w:rFonts w:asciiTheme="minorBidi" w:hAnsiTheme="minorBidi"/>
          <w:color w:val="000000" w:themeColor="text1"/>
        </w:rPr>
        <w:t>Horváth-Puhó</w:t>
      </w:r>
      <w:proofErr w:type="spellEnd"/>
      <w:r w:rsidRPr="00E53DA8">
        <w:rPr>
          <w:rFonts w:asciiTheme="minorBidi" w:hAnsiTheme="minorBidi"/>
          <w:color w:val="000000" w:themeColor="text1"/>
        </w:rPr>
        <w:t xml:space="preserve">, E., Keyes, K.M., Lash, T.L., </w:t>
      </w:r>
      <w:proofErr w:type="spellStart"/>
      <w:r w:rsidRPr="00E53DA8">
        <w:rPr>
          <w:rFonts w:asciiTheme="minorBidi" w:hAnsiTheme="minorBidi"/>
          <w:color w:val="000000" w:themeColor="text1"/>
        </w:rPr>
        <w:t>Galea</w:t>
      </w:r>
      <w:proofErr w:type="spellEnd"/>
      <w:r w:rsidRPr="00E53DA8">
        <w:rPr>
          <w:rFonts w:asciiTheme="minorBidi" w:hAnsiTheme="minorBidi"/>
          <w:color w:val="000000" w:themeColor="text1"/>
        </w:rPr>
        <w:t xml:space="preserve">, S., </w:t>
      </w:r>
      <w:proofErr w:type="spellStart"/>
      <w:r w:rsidRPr="00E53DA8">
        <w:rPr>
          <w:rFonts w:asciiTheme="minorBidi" w:hAnsiTheme="minorBidi"/>
          <w:color w:val="000000" w:themeColor="text1"/>
        </w:rPr>
        <w:t>Sørensen</w:t>
      </w:r>
      <w:proofErr w:type="spellEnd"/>
      <w:r w:rsidRPr="00E53DA8">
        <w:rPr>
          <w:rFonts w:asciiTheme="minorBidi" w:hAnsiTheme="minorBidi"/>
          <w:color w:val="000000" w:themeColor="text1"/>
        </w:rPr>
        <w:t xml:space="preserve">, H.T. and </w:t>
      </w:r>
      <w:proofErr w:type="spellStart"/>
      <w:r w:rsidRPr="00E53DA8">
        <w:rPr>
          <w:rFonts w:asciiTheme="minorBidi" w:hAnsiTheme="minorBidi"/>
          <w:color w:val="000000" w:themeColor="text1"/>
        </w:rPr>
        <w:t>Gradus</w:t>
      </w:r>
      <w:proofErr w:type="spellEnd"/>
      <w:r w:rsidRPr="00E53DA8">
        <w:rPr>
          <w:rFonts w:asciiTheme="minorBidi" w:hAnsiTheme="minorBidi"/>
          <w:color w:val="000000" w:themeColor="text1"/>
        </w:rPr>
        <w:t>, J.L., 2021. Suicide prediction among men and women with depression: a population-based study. </w:t>
      </w:r>
      <w:r w:rsidRPr="00E53DA8">
        <w:rPr>
          <w:rFonts w:asciiTheme="minorBidi" w:hAnsiTheme="minorBidi"/>
          <w:i/>
          <w:iCs/>
          <w:color w:val="000000" w:themeColor="text1"/>
        </w:rPr>
        <w:t>Journal of psychiatric research</w:t>
      </w:r>
      <w:r w:rsidRPr="00E53DA8">
        <w:rPr>
          <w:rFonts w:asciiTheme="minorBidi" w:hAnsiTheme="minorBidi"/>
          <w:color w:val="000000" w:themeColor="text1"/>
        </w:rPr>
        <w:t>, 142, pp.275-282.</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proofErr w:type="spellStart"/>
      <w:r w:rsidRPr="00E53DA8">
        <w:rPr>
          <w:rFonts w:asciiTheme="minorBidi" w:hAnsiTheme="minorBidi"/>
          <w:color w:val="000000" w:themeColor="text1"/>
          <w:shd w:val="clear" w:color="auto" w:fill="FFFFFF"/>
        </w:rPr>
        <w:t>Kneale</w:t>
      </w:r>
      <w:proofErr w:type="spellEnd"/>
      <w:r w:rsidRPr="00E53DA8">
        <w:rPr>
          <w:rFonts w:asciiTheme="minorBidi" w:hAnsiTheme="minorBidi"/>
          <w:color w:val="000000" w:themeColor="text1"/>
          <w:shd w:val="clear" w:color="auto" w:fill="FFFFFF"/>
        </w:rPr>
        <w:t>, D., Henley, J., Thomas, J. and French, R., 2021. Inequalities in older LGBT people's health and care needs in the United Kingdom: a systematic scoping review. </w:t>
      </w:r>
      <w:r w:rsidRPr="00E53DA8">
        <w:rPr>
          <w:rFonts w:asciiTheme="minorBidi" w:hAnsiTheme="minorBidi"/>
          <w:i/>
          <w:iCs/>
          <w:color w:val="000000" w:themeColor="text1"/>
          <w:shd w:val="clear" w:color="auto" w:fill="FFFFFF"/>
        </w:rPr>
        <w:t>Ageing &amp; Society</w:t>
      </w:r>
      <w:r w:rsidRPr="00E53DA8">
        <w:rPr>
          <w:rFonts w:asciiTheme="minorBidi" w:hAnsiTheme="minorBidi"/>
          <w:color w:val="000000" w:themeColor="text1"/>
          <w:shd w:val="clear" w:color="auto" w:fill="FFFFFF"/>
        </w:rPr>
        <w:t>, </w:t>
      </w:r>
      <w:r w:rsidRPr="00E53DA8">
        <w:rPr>
          <w:rFonts w:asciiTheme="minorBidi" w:hAnsiTheme="minorBidi"/>
          <w:i/>
          <w:iCs/>
          <w:color w:val="000000" w:themeColor="text1"/>
          <w:shd w:val="clear" w:color="auto" w:fill="FFFFFF"/>
        </w:rPr>
        <w:t>41</w:t>
      </w:r>
      <w:r w:rsidRPr="00E53DA8">
        <w:rPr>
          <w:rFonts w:asciiTheme="minorBidi" w:hAnsiTheme="minorBidi"/>
          <w:color w:val="000000" w:themeColor="text1"/>
          <w:shd w:val="clear" w:color="auto" w:fill="FFFFFF"/>
        </w:rPr>
        <w:t>(3), pp.493-515.</w:t>
      </w:r>
    </w:p>
    <w:p w:rsidR="00AC014A" w:rsidRPr="00E53DA8" w:rsidRDefault="00AC014A" w:rsidP="004A51F5">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Li, Q., Dong, L. and Zhang, L., 2023. Have pensions reduced the relative poverty?</w:t>
      </w:r>
      <w:r w:rsidR="004A51F5" w:rsidRPr="00E53DA8">
        <w:rPr>
          <w:rFonts w:asciiTheme="minorBidi" w:hAnsiTheme="minorBidi"/>
          <w:color w:val="000000" w:themeColor="text1"/>
        </w:rPr>
        <w:t xml:space="preserve"> </w:t>
      </w:r>
      <w:r w:rsidRPr="00E53DA8">
        <w:rPr>
          <w:rFonts w:asciiTheme="minorBidi" w:hAnsiTheme="minorBidi"/>
          <w:color w:val="000000" w:themeColor="text1"/>
        </w:rPr>
        <w:t>empirical analysis from China CHARLS data. </w:t>
      </w:r>
      <w:proofErr w:type="spellStart"/>
      <w:r w:rsidRPr="00E53DA8">
        <w:rPr>
          <w:rFonts w:asciiTheme="minorBidi" w:hAnsiTheme="minorBidi"/>
          <w:i/>
          <w:iCs/>
          <w:color w:val="000000" w:themeColor="text1"/>
        </w:rPr>
        <w:t>Heliyo</w:t>
      </w:r>
      <w:r w:rsidRPr="00E53DA8">
        <w:rPr>
          <w:rFonts w:asciiTheme="minorBidi" w:hAnsiTheme="minorBidi"/>
          <w:color w:val="000000" w:themeColor="text1"/>
        </w:rPr>
        <w:t>n</w:t>
      </w:r>
      <w:proofErr w:type="spellEnd"/>
      <w:r w:rsidRPr="00E53DA8">
        <w:rPr>
          <w:rFonts w:asciiTheme="minorBidi" w:hAnsiTheme="minorBidi"/>
          <w:color w:val="000000" w:themeColor="text1"/>
        </w:rPr>
        <w:t>, 9(12).</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 xml:space="preserve">Marmot, M., Allen, J., Boyce, T., </w:t>
      </w:r>
      <w:proofErr w:type="spellStart"/>
      <w:r w:rsidRPr="00E53DA8">
        <w:rPr>
          <w:rFonts w:asciiTheme="minorBidi" w:hAnsiTheme="minorBidi"/>
          <w:color w:val="000000" w:themeColor="text1"/>
        </w:rPr>
        <w:t>Goldblatt</w:t>
      </w:r>
      <w:proofErr w:type="spellEnd"/>
      <w:r w:rsidRPr="00E53DA8">
        <w:rPr>
          <w:rFonts w:asciiTheme="minorBidi" w:hAnsiTheme="minorBidi"/>
          <w:color w:val="000000" w:themeColor="text1"/>
        </w:rPr>
        <w:t>, P. &amp; Morrison, J. (2020) Health Equity in England: The Marmot Review 10 Years On. Institute of Health Equity.</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proofErr w:type="spellStart"/>
      <w:r w:rsidRPr="00E53DA8">
        <w:rPr>
          <w:rFonts w:asciiTheme="minorBidi" w:hAnsiTheme="minorBidi"/>
          <w:color w:val="000000" w:themeColor="text1"/>
        </w:rPr>
        <w:t>Mohler</w:t>
      </w:r>
      <w:proofErr w:type="spellEnd"/>
      <w:r w:rsidRPr="00E53DA8">
        <w:rPr>
          <w:rFonts w:asciiTheme="minorBidi" w:hAnsiTheme="minorBidi"/>
          <w:color w:val="000000" w:themeColor="text1"/>
        </w:rPr>
        <w:t xml:space="preserve">, R., </w:t>
      </w:r>
      <w:proofErr w:type="spellStart"/>
      <w:r w:rsidRPr="00E53DA8">
        <w:rPr>
          <w:rFonts w:asciiTheme="minorBidi" w:hAnsiTheme="minorBidi"/>
          <w:color w:val="000000" w:themeColor="text1"/>
        </w:rPr>
        <w:t>Lotharius</w:t>
      </w:r>
      <w:proofErr w:type="spellEnd"/>
      <w:r w:rsidRPr="00E53DA8">
        <w:rPr>
          <w:rFonts w:asciiTheme="minorBidi" w:hAnsiTheme="minorBidi"/>
          <w:color w:val="000000" w:themeColor="text1"/>
        </w:rPr>
        <w:t xml:space="preserve">, K., </w:t>
      </w:r>
      <w:proofErr w:type="spellStart"/>
      <w:r w:rsidRPr="00E53DA8">
        <w:rPr>
          <w:rFonts w:asciiTheme="minorBidi" w:hAnsiTheme="minorBidi"/>
          <w:color w:val="000000" w:themeColor="text1"/>
        </w:rPr>
        <w:t>Moothedan</w:t>
      </w:r>
      <w:proofErr w:type="spellEnd"/>
      <w:r w:rsidRPr="00E53DA8">
        <w:rPr>
          <w:rFonts w:asciiTheme="minorBidi" w:hAnsiTheme="minorBidi"/>
          <w:color w:val="000000" w:themeColor="text1"/>
        </w:rPr>
        <w:t xml:space="preserve">, E., </w:t>
      </w:r>
      <w:proofErr w:type="spellStart"/>
      <w:r w:rsidRPr="00E53DA8">
        <w:rPr>
          <w:rFonts w:asciiTheme="minorBidi" w:hAnsiTheme="minorBidi"/>
          <w:color w:val="000000" w:themeColor="text1"/>
        </w:rPr>
        <w:t>Goguen</w:t>
      </w:r>
      <w:proofErr w:type="spellEnd"/>
      <w:r w:rsidRPr="00E53DA8">
        <w:rPr>
          <w:rFonts w:asciiTheme="minorBidi" w:hAnsiTheme="minorBidi"/>
          <w:color w:val="000000" w:themeColor="text1"/>
        </w:rPr>
        <w:t xml:space="preserve">, J., </w:t>
      </w:r>
      <w:proofErr w:type="spellStart"/>
      <w:r w:rsidRPr="00E53DA8">
        <w:rPr>
          <w:rFonts w:asciiTheme="minorBidi" w:hAnsiTheme="minorBidi"/>
          <w:color w:val="000000" w:themeColor="text1"/>
        </w:rPr>
        <w:t>Bandi</w:t>
      </w:r>
      <w:proofErr w:type="spellEnd"/>
      <w:r w:rsidRPr="00E53DA8">
        <w:rPr>
          <w:rFonts w:asciiTheme="minorBidi" w:hAnsiTheme="minorBidi"/>
          <w:color w:val="000000" w:themeColor="text1"/>
        </w:rPr>
        <w:t xml:space="preserve">, R., Beaton, R., </w:t>
      </w:r>
      <w:proofErr w:type="spellStart"/>
      <w:r w:rsidRPr="00E53DA8">
        <w:rPr>
          <w:rFonts w:asciiTheme="minorBidi" w:hAnsiTheme="minorBidi"/>
          <w:color w:val="000000" w:themeColor="text1"/>
        </w:rPr>
        <w:t>Knecht</w:t>
      </w:r>
      <w:proofErr w:type="spellEnd"/>
      <w:r w:rsidRPr="00E53DA8">
        <w:rPr>
          <w:rFonts w:asciiTheme="minorBidi" w:hAnsiTheme="minorBidi"/>
          <w:color w:val="000000" w:themeColor="text1"/>
        </w:rPr>
        <w:t xml:space="preserve">, M., Mejia, M.C., </w:t>
      </w:r>
      <w:proofErr w:type="spellStart"/>
      <w:r w:rsidRPr="00E53DA8">
        <w:rPr>
          <w:rFonts w:asciiTheme="minorBidi" w:hAnsiTheme="minorBidi"/>
          <w:color w:val="000000" w:themeColor="text1"/>
        </w:rPr>
        <w:t>Khoury</w:t>
      </w:r>
      <w:proofErr w:type="spellEnd"/>
      <w:r w:rsidRPr="00E53DA8">
        <w:rPr>
          <w:rFonts w:asciiTheme="minorBidi" w:hAnsiTheme="minorBidi"/>
          <w:color w:val="000000" w:themeColor="text1"/>
        </w:rPr>
        <w:t xml:space="preserve">, M. and </w:t>
      </w:r>
      <w:proofErr w:type="spellStart"/>
      <w:r w:rsidRPr="00E53DA8">
        <w:rPr>
          <w:rFonts w:asciiTheme="minorBidi" w:hAnsiTheme="minorBidi"/>
          <w:color w:val="000000" w:themeColor="text1"/>
        </w:rPr>
        <w:t>Sacca</w:t>
      </w:r>
      <w:proofErr w:type="spellEnd"/>
      <w:r w:rsidRPr="00E53DA8">
        <w:rPr>
          <w:rFonts w:asciiTheme="minorBidi" w:hAnsiTheme="minorBidi"/>
          <w:color w:val="000000" w:themeColor="text1"/>
        </w:rPr>
        <w:t>, L., 2024. Factors contributing to diabetic ketoacidosis readmission in hospital settings in the United States: A scoping review. </w:t>
      </w:r>
      <w:r w:rsidRPr="00E53DA8">
        <w:rPr>
          <w:rFonts w:asciiTheme="minorBidi" w:hAnsiTheme="minorBidi"/>
          <w:i/>
          <w:iCs/>
          <w:color w:val="000000" w:themeColor="text1"/>
        </w:rPr>
        <w:t>Journal of Diabetes and its Complications</w:t>
      </w:r>
      <w:r w:rsidRPr="00E53DA8">
        <w:rPr>
          <w:rFonts w:asciiTheme="minorBidi" w:hAnsiTheme="minorBidi"/>
          <w:color w:val="000000" w:themeColor="text1"/>
        </w:rPr>
        <w:t>, 38(10), p.108835.</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 xml:space="preserve">Mueller, J., Breeze, P., Fusco, F., Sharp, S.J., </w:t>
      </w:r>
      <w:proofErr w:type="spellStart"/>
      <w:r w:rsidRPr="00E53DA8">
        <w:rPr>
          <w:rFonts w:asciiTheme="minorBidi" w:hAnsiTheme="minorBidi"/>
          <w:color w:val="000000" w:themeColor="text1"/>
        </w:rPr>
        <w:t>Pidd</w:t>
      </w:r>
      <w:proofErr w:type="spellEnd"/>
      <w:r w:rsidRPr="00E53DA8">
        <w:rPr>
          <w:rFonts w:asciiTheme="minorBidi" w:hAnsiTheme="minorBidi"/>
          <w:color w:val="000000" w:themeColor="text1"/>
        </w:rPr>
        <w:t>, K., Brennan, A., Hill, A.J., Morris, S., Hughes, C.A., Bates, S.E. and Pollard, D., 2025. Glucose Lowering through Weight management (</w:t>
      </w:r>
      <w:proofErr w:type="spellStart"/>
      <w:r w:rsidRPr="00E53DA8">
        <w:rPr>
          <w:rFonts w:asciiTheme="minorBidi" w:hAnsiTheme="minorBidi"/>
          <w:color w:val="000000" w:themeColor="text1"/>
        </w:rPr>
        <w:t>GLoW</w:t>
      </w:r>
      <w:proofErr w:type="spellEnd"/>
      <w:r w:rsidRPr="00E53DA8">
        <w:rPr>
          <w:rFonts w:asciiTheme="minorBidi" w:hAnsiTheme="minorBidi"/>
          <w:color w:val="000000" w:themeColor="text1"/>
        </w:rPr>
        <w:t xml:space="preserve">): a </w:t>
      </w:r>
      <w:proofErr w:type="spellStart"/>
      <w:r w:rsidRPr="00E53DA8">
        <w:rPr>
          <w:rFonts w:asciiTheme="minorBidi" w:hAnsiTheme="minorBidi"/>
          <w:color w:val="000000" w:themeColor="text1"/>
        </w:rPr>
        <w:t>randomised</w:t>
      </w:r>
      <w:proofErr w:type="spellEnd"/>
      <w:r w:rsidRPr="00E53DA8">
        <w:rPr>
          <w:rFonts w:asciiTheme="minorBidi" w:hAnsiTheme="minorBidi"/>
          <w:color w:val="000000" w:themeColor="text1"/>
        </w:rPr>
        <w:t xml:space="preserve"> controlled trial of the clinical and cost effectiveness of a diabetes education and </w:t>
      </w:r>
      <w:proofErr w:type="spellStart"/>
      <w:r w:rsidRPr="00E53DA8">
        <w:rPr>
          <w:rFonts w:asciiTheme="minorBidi" w:hAnsiTheme="minorBidi"/>
          <w:color w:val="000000" w:themeColor="text1"/>
        </w:rPr>
        <w:t>behavioural</w:t>
      </w:r>
      <w:proofErr w:type="spellEnd"/>
      <w:r w:rsidRPr="00E53DA8">
        <w:rPr>
          <w:rFonts w:asciiTheme="minorBidi" w:hAnsiTheme="minorBidi"/>
          <w:color w:val="000000" w:themeColor="text1"/>
        </w:rPr>
        <w:t xml:space="preserve"> weight management </w:t>
      </w:r>
      <w:proofErr w:type="spellStart"/>
      <w:r w:rsidRPr="00E53DA8">
        <w:rPr>
          <w:rFonts w:asciiTheme="minorBidi" w:hAnsiTheme="minorBidi"/>
          <w:color w:val="000000" w:themeColor="text1"/>
        </w:rPr>
        <w:t>programme</w:t>
      </w:r>
      <w:proofErr w:type="spellEnd"/>
      <w:r w:rsidRPr="00E53DA8">
        <w:rPr>
          <w:rFonts w:asciiTheme="minorBidi" w:hAnsiTheme="minorBidi"/>
          <w:color w:val="000000" w:themeColor="text1"/>
        </w:rPr>
        <w:t xml:space="preserve"> </w:t>
      </w:r>
      <w:proofErr w:type="spellStart"/>
      <w:r w:rsidRPr="00E53DA8">
        <w:rPr>
          <w:rFonts w:asciiTheme="minorBidi" w:hAnsiTheme="minorBidi"/>
          <w:color w:val="000000" w:themeColor="text1"/>
        </w:rPr>
        <w:t>vs</w:t>
      </w:r>
      <w:proofErr w:type="spellEnd"/>
      <w:r w:rsidRPr="00E53DA8">
        <w:rPr>
          <w:rFonts w:asciiTheme="minorBidi" w:hAnsiTheme="minorBidi"/>
          <w:color w:val="000000" w:themeColor="text1"/>
        </w:rPr>
        <w:t xml:space="preserve"> a diabetes education </w:t>
      </w:r>
      <w:proofErr w:type="spellStart"/>
      <w:r w:rsidRPr="00E53DA8">
        <w:rPr>
          <w:rFonts w:asciiTheme="minorBidi" w:hAnsiTheme="minorBidi"/>
          <w:color w:val="000000" w:themeColor="text1"/>
        </w:rPr>
        <w:t>programme</w:t>
      </w:r>
      <w:proofErr w:type="spellEnd"/>
      <w:r w:rsidRPr="00E53DA8">
        <w:rPr>
          <w:rFonts w:asciiTheme="minorBidi" w:hAnsiTheme="minorBidi"/>
          <w:color w:val="000000" w:themeColor="text1"/>
        </w:rPr>
        <w:t xml:space="preserve"> in adults with a recent diagnosis of type 2 diabetes. </w:t>
      </w:r>
      <w:proofErr w:type="spellStart"/>
      <w:r w:rsidRPr="00E53DA8">
        <w:rPr>
          <w:rFonts w:asciiTheme="minorBidi" w:hAnsiTheme="minorBidi"/>
          <w:i/>
          <w:iCs/>
          <w:color w:val="000000" w:themeColor="text1"/>
        </w:rPr>
        <w:t>Diabetologia</w:t>
      </w:r>
      <w:proofErr w:type="spellEnd"/>
      <w:r w:rsidRPr="00E53DA8">
        <w:rPr>
          <w:rFonts w:asciiTheme="minorBidi" w:hAnsiTheme="minorBidi"/>
          <w:color w:val="000000" w:themeColor="text1"/>
        </w:rPr>
        <w:t>, 68(5), pp.969-980.</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National Diabetes Audit (NDA) (2023) Care Processes and Outcomes Audit. NHS Digital.</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National Diabetes Inpatient Audit (</w:t>
      </w:r>
      <w:proofErr w:type="spellStart"/>
      <w:r w:rsidRPr="00E53DA8">
        <w:rPr>
          <w:rFonts w:asciiTheme="minorBidi" w:hAnsiTheme="minorBidi"/>
          <w:color w:val="000000" w:themeColor="text1"/>
        </w:rPr>
        <w:t>NaDIA</w:t>
      </w:r>
      <w:proofErr w:type="spellEnd"/>
      <w:r w:rsidRPr="00E53DA8">
        <w:rPr>
          <w:rFonts w:asciiTheme="minorBidi" w:hAnsiTheme="minorBidi"/>
          <w:color w:val="000000" w:themeColor="text1"/>
        </w:rPr>
        <w:t>) (2023) National Report. NHS Digital.</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NHS Digital (2023) Mental Health of Older People: Annual Report. NHS Digital.</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NHS Digital (2023) Statistics on Obesity, Physical Activity and Diet, England 2023. NHS Digital.</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NHS England (2019) The NHS Long Term Plan. NHS England.</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 xml:space="preserve">NHS England (2020) NHS Diabetes Prevention </w:t>
      </w:r>
      <w:proofErr w:type="spellStart"/>
      <w:r w:rsidRPr="00E53DA8">
        <w:rPr>
          <w:rFonts w:asciiTheme="minorBidi" w:hAnsiTheme="minorBidi"/>
          <w:color w:val="000000" w:themeColor="text1"/>
        </w:rPr>
        <w:t>Programme</w:t>
      </w:r>
      <w:proofErr w:type="spellEnd"/>
      <w:r w:rsidRPr="00E53DA8">
        <w:rPr>
          <w:rFonts w:asciiTheme="minorBidi" w:hAnsiTheme="minorBidi"/>
          <w:color w:val="000000" w:themeColor="text1"/>
        </w:rPr>
        <w:t>: Progress Report. NHS England.</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Office for National Statistics (ONS) (2021) Ethnicity and Type 2 Diabetes: Prevalence and Patterns. ONS.</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lastRenderedPageBreak/>
        <w:t>Office for National Statistics (ONS) (2024) Population estimates for the UK, England and Wales, Scotland and Northern Ireland: mid-2023. ONS.</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Public Health England (PHE) (2020) Diabetes Prevalence Model for Local Authorities. PHE.</w:t>
      </w:r>
    </w:p>
    <w:p w:rsidR="004A51F5"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Public Health England (PHE) (2020) Health Profile for England 2020. PHE.</w:t>
      </w:r>
      <w:r w:rsidRPr="00E53DA8">
        <w:rPr>
          <w:rFonts w:asciiTheme="minorBidi" w:hAnsiTheme="minorBidi"/>
          <w:color w:val="000000" w:themeColor="text1"/>
        </w:rPr>
        <w:br/>
        <w:t xml:space="preserve">UK Health Security Agency (UKHSA) (2023) Health Inequalities: Regional and Local </w:t>
      </w:r>
      <w:proofErr w:type="spellStart"/>
      <w:r w:rsidRPr="00E53DA8">
        <w:rPr>
          <w:rFonts w:asciiTheme="minorBidi" w:hAnsiTheme="minorBidi"/>
          <w:color w:val="000000" w:themeColor="text1"/>
        </w:rPr>
        <w:t>Trends</w:t>
      </w:r>
      <w:r w:rsidR="004A51F5" w:rsidRPr="00E53DA8">
        <w:rPr>
          <w:rFonts w:asciiTheme="minorBidi" w:hAnsiTheme="minorBidi"/>
          <w:color w:val="000000" w:themeColor="text1"/>
        </w:rPr>
        <w:t>.UKHSA.</w:t>
      </w:r>
      <w:proofErr w:type="spellEnd"/>
    </w:p>
    <w:p w:rsidR="004A51F5"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The King’s Fund (2023) The NHS Long Term Plan: Progress and Challenges</w:t>
      </w:r>
      <w:r w:rsidR="004A51F5" w:rsidRPr="00E53DA8">
        <w:rPr>
          <w:rFonts w:asciiTheme="minorBidi" w:hAnsiTheme="minorBidi"/>
          <w:color w:val="000000" w:themeColor="text1"/>
        </w:rPr>
        <w:t>. The King’s Fund.</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World Health Organization (WHO) (2021) Decade of Healthy Ageing (2021–2030). WHO.</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Public Health England (PHE) (2020) Health Profile for England 2020. PHE.</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r w:rsidRPr="00E53DA8">
        <w:rPr>
          <w:rFonts w:asciiTheme="minorBidi" w:hAnsiTheme="minorBidi"/>
          <w:color w:val="000000" w:themeColor="text1"/>
        </w:rPr>
        <w:t xml:space="preserve">UK Health Security Agency (UKHSA) (2023) Health Inequalities: </w:t>
      </w:r>
      <w:r w:rsidRPr="00E53DA8">
        <w:rPr>
          <w:rFonts w:asciiTheme="minorBidi" w:hAnsiTheme="minorBidi"/>
          <w:i/>
          <w:iCs/>
          <w:color w:val="000000" w:themeColor="text1"/>
        </w:rPr>
        <w:t>Regional and Local Trends</w:t>
      </w:r>
      <w:r w:rsidRPr="00E53DA8">
        <w:rPr>
          <w:rFonts w:asciiTheme="minorBidi" w:hAnsiTheme="minorBidi"/>
          <w:color w:val="000000" w:themeColor="text1"/>
        </w:rPr>
        <w:t>. UKHSA.</w:t>
      </w:r>
    </w:p>
    <w:p w:rsidR="00AC014A" w:rsidRPr="00E53DA8" w:rsidRDefault="00AC014A" w:rsidP="00AC014A">
      <w:pPr>
        <w:pStyle w:val="ListParagraph"/>
        <w:numPr>
          <w:ilvl w:val="0"/>
          <w:numId w:val="16"/>
        </w:numPr>
        <w:spacing w:line="360" w:lineRule="auto"/>
        <w:ind w:left="714" w:hanging="357"/>
        <w:jc w:val="both"/>
        <w:rPr>
          <w:rFonts w:asciiTheme="minorBidi" w:hAnsiTheme="minorBidi"/>
          <w:color w:val="000000" w:themeColor="text1"/>
        </w:rPr>
      </w:pPr>
      <w:proofErr w:type="spellStart"/>
      <w:r w:rsidRPr="00E53DA8">
        <w:rPr>
          <w:rFonts w:asciiTheme="minorBidi" w:hAnsiTheme="minorBidi"/>
          <w:color w:val="000000" w:themeColor="text1"/>
          <w:shd w:val="clear" w:color="auto" w:fill="FFFFFF"/>
        </w:rPr>
        <w:t>Wadi</w:t>
      </w:r>
      <w:proofErr w:type="spellEnd"/>
      <w:r w:rsidRPr="00E53DA8">
        <w:rPr>
          <w:rFonts w:asciiTheme="minorBidi" w:hAnsiTheme="minorBidi"/>
          <w:color w:val="000000" w:themeColor="text1"/>
          <w:shd w:val="clear" w:color="auto" w:fill="FFFFFF"/>
        </w:rPr>
        <w:t xml:space="preserve">, N.M., </w:t>
      </w:r>
      <w:proofErr w:type="spellStart"/>
      <w:r w:rsidRPr="00E53DA8">
        <w:rPr>
          <w:rFonts w:asciiTheme="minorBidi" w:hAnsiTheme="minorBidi"/>
          <w:color w:val="000000" w:themeColor="text1"/>
          <w:shd w:val="clear" w:color="auto" w:fill="FFFFFF"/>
        </w:rPr>
        <w:t>Asantewa-Ampaduh</w:t>
      </w:r>
      <w:proofErr w:type="spellEnd"/>
      <w:r w:rsidRPr="00E53DA8">
        <w:rPr>
          <w:rFonts w:asciiTheme="minorBidi" w:hAnsiTheme="minorBidi"/>
          <w:color w:val="000000" w:themeColor="text1"/>
          <w:shd w:val="clear" w:color="auto" w:fill="FFFFFF"/>
        </w:rPr>
        <w:t>, S., Rivas, C. and Goff, L.M., 2022. Culturally tailored lifestyle interventions for the prevention and management of type 2 diabetes in adults of Black African ancestry: a systematic review of tailoring methods and their effectiveness. </w:t>
      </w:r>
      <w:r w:rsidRPr="00E53DA8">
        <w:rPr>
          <w:rFonts w:asciiTheme="minorBidi" w:hAnsiTheme="minorBidi"/>
          <w:i/>
          <w:iCs/>
          <w:color w:val="000000" w:themeColor="text1"/>
          <w:shd w:val="clear" w:color="auto" w:fill="FFFFFF"/>
        </w:rPr>
        <w:t>Public Health Nutrition</w:t>
      </w:r>
      <w:r w:rsidRPr="00E53DA8">
        <w:rPr>
          <w:rFonts w:asciiTheme="minorBidi" w:hAnsiTheme="minorBidi"/>
          <w:color w:val="000000" w:themeColor="text1"/>
          <w:shd w:val="clear" w:color="auto" w:fill="FFFFFF"/>
        </w:rPr>
        <w:t>, </w:t>
      </w:r>
      <w:r w:rsidRPr="00E53DA8">
        <w:rPr>
          <w:rFonts w:asciiTheme="minorBidi" w:hAnsiTheme="minorBidi"/>
          <w:i/>
          <w:iCs/>
          <w:color w:val="000000" w:themeColor="text1"/>
          <w:shd w:val="clear" w:color="auto" w:fill="FFFFFF"/>
        </w:rPr>
        <w:t>25</w:t>
      </w:r>
      <w:r w:rsidRPr="00E53DA8">
        <w:rPr>
          <w:rFonts w:asciiTheme="minorBidi" w:hAnsiTheme="minorBidi"/>
          <w:color w:val="000000" w:themeColor="text1"/>
          <w:shd w:val="clear" w:color="auto" w:fill="FFFFFF"/>
        </w:rPr>
        <w:t>(2), pp.422-436.</w:t>
      </w:r>
      <w:bookmarkStart w:id="0" w:name="_GoBack"/>
      <w:bookmarkEnd w:id="0"/>
    </w:p>
    <w:p w:rsidR="003E18A8" w:rsidRPr="00E53DA8" w:rsidRDefault="003E18A8" w:rsidP="003E18A8">
      <w:pPr>
        <w:spacing w:line="360" w:lineRule="auto"/>
        <w:jc w:val="both"/>
        <w:rPr>
          <w:rFonts w:asciiTheme="minorBidi" w:hAnsiTheme="minorBidi"/>
          <w:b/>
          <w:bCs/>
          <w:color w:val="000000" w:themeColor="text1"/>
        </w:rPr>
      </w:pPr>
    </w:p>
    <w:sectPr w:rsidR="003E18A8" w:rsidRPr="00E53DA8">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219D" w:rsidRDefault="0066219D" w:rsidP="00E4188E">
      <w:pPr>
        <w:spacing w:after="0" w:line="240" w:lineRule="auto"/>
      </w:pPr>
      <w:r>
        <w:separator/>
      </w:r>
    </w:p>
  </w:endnote>
  <w:endnote w:type="continuationSeparator" w:id="0">
    <w:p w:rsidR="0066219D" w:rsidRDefault="0066219D" w:rsidP="00E41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219D" w:rsidRDefault="0066219D" w:rsidP="00E4188E">
      <w:pPr>
        <w:spacing w:after="0" w:line="240" w:lineRule="auto"/>
      </w:pPr>
      <w:r>
        <w:separator/>
      </w:r>
    </w:p>
  </w:footnote>
  <w:footnote w:type="continuationSeparator" w:id="0">
    <w:p w:rsidR="0066219D" w:rsidRDefault="0066219D" w:rsidP="00E4188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4188E" w:rsidRDefault="00E4188E">
    <w:pPr>
      <w:pStyle w:val="Header"/>
    </w:pPr>
    <w:r w:rsidRPr="00A406E5">
      <w:rPr>
        <w:rFonts w:ascii="Arial" w:hAnsi="Arial" w:cs="Arial"/>
        <w:noProof/>
      </w:rPr>
      <w:drawing>
        <wp:anchor distT="0" distB="0" distL="114300" distR="114300" simplePos="0" relativeHeight="251659264" behindDoc="0" locked="0" layoutInCell="1" allowOverlap="1" wp14:anchorId="6950B365" wp14:editId="57FF28D8">
          <wp:simplePos x="0" y="0"/>
          <wp:positionH relativeFrom="column">
            <wp:posOffset>-822960</wp:posOffset>
          </wp:positionH>
          <wp:positionV relativeFrom="paragraph">
            <wp:posOffset>-403860</wp:posOffset>
          </wp:positionV>
          <wp:extent cx="1866900" cy="73914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66900" cy="7391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7B482E"/>
    <w:multiLevelType w:val="hybridMultilevel"/>
    <w:tmpl w:val="BF606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462D76"/>
    <w:multiLevelType w:val="hybridMultilevel"/>
    <w:tmpl w:val="A914E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CDF6DC1"/>
    <w:multiLevelType w:val="hybridMultilevel"/>
    <w:tmpl w:val="C3669A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01813FB"/>
    <w:multiLevelType w:val="hybridMultilevel"/>
    <w:tmpl w:val="8F321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56C3DD4"/>
    <w:multiLevelType w:val="hybridMultilevel"/>
    <w:tmpl w:val="68EA6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6575D86"/>
    <w:multiLevelType w:val="hybridMultilevel"/>
    <w:tmpl w:val="3F589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935427B"/>
    <w:multiLevelType w:val="hybridMultilevel"/>
    <w:tmpl w:val="5B8A2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2996C48"/>
    <w:multiLevelType w:val="hybridMultilevel"/>
    <w:tmpl w:val="9F7CE5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B2E4F60"/>
    <w:multiLevelType w:val="hybridMultilevel"/>
    <w:tmpl w:val="2D9AE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B4943BA"/>
    <w:multiLevelType w:val="hybridMultilevel"/>
    <w:tmpl w:val="F5F8E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0C657D2"/>
    <w:multiLevelType w:val="hybridMultilevel"/>
    <w:tmpl w:val="BE763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473678C"/>
    <w:multiLevelType w:val="hybridMultilevel"/>
    <w:tmpl w:val="4BC8C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9C8596D"/>
    <w:multiLevelType w:val="hybridMultilevel"/>
    <w:tmpl w:val="418C00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D687CC3"/>
    <w:multiLevelType w:val="hybridMultilevel"/>
    <w:tmpl w:val="645A62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BEE2BC1"/>
    <w:multiLevelType w:val="hybridMultilevel"/>
    <w:tmpl w:val="8ED4D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E19467F"/>
    <w:multiLevelType w:val="hybridMultilevel"/>
    <w:tmpl w:val="76703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10"/>
  </w:num>
  <w:num w:numId="4">
    <w:abstractNumId w:val="11"/>
  </w:num>
  <w:num w:numId="5">
    <w:abstractNumId w:val="13"/>
  </w:num>
  <w:num w:numId="6">
    <w:abstractNumId w:val="8"/>
  </w:num>
  <w:num w:numId="7">
    <w:abstractNumId w:val="14"/>
  </w:num>
  <w:num w:numId="8">
    <w:abstractNumId w:val="12"/>
  </w:num>
  <w:num w:numId="9">
    <w:abstractNumId w:val="15"/>
  </w:num>
  <w:num w:numId="10">
    <w:abstractNumId w:val="4"/>
  </w:num>
  <w:num w:numId="11">
    <w:abstractNumId w:val="5"/>
  </w:num>
  <w:num w:numId="12">
    <w:abstractNumId w:val="0"/>
  </w:num>
  <w:num w:numId="13">
    <w:abstractNumId w:val="1"/>
  </w:num>
  <w:num w:numId="14">
    <w:abstractNumId w:val="3"/>
  </w:num>
  <w:num w:numId="15">
    <w:abstractNumId w:val="9"/>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188E"/>
    <w:rsid w:val="000301EE"/>
    <w:rsid w:val="000919D6"/>
    <w:rsid w:val="00137CFE"/>
    <w:rsid w:val="00157D0D"/>
    <w:rsid w:val="001648A6"/>
    <w:rsid w:val="001935B2"/>
    <w:rsid w:val="00263D4E"/>
    <w:rsid w:val="00277C3A"/>
    <w:rsid w:val="002D4701"/>
    <w:rsid w:val="002D4F40"/>
    <w:rsid w:val="0030270D"/>
    <w:rsid w:val="00334AFD"/>
    <w:rsid w:val="003446CE"/>
    <w:rsid w:val="00396FF4"/>
    <w:rsid w:val="003E18A8"/>
    <w:rsid w:val="004A51F5"/>
    <w:rsid w:val="004A7E15"/>
    <w:rsid w:val="004D6AC1"/>
    <w:rsid w:val="004F064B"/>
    <w:rsid w:val="00646FC1"/>
    <w:rsid w:val="0066219D"/>
    <w:rsid w:val="006971A1"/>
    <w:rsid w:val="006A081B"/>
    <w:rsid w:val="006B7A2E"/>
    <w:rsid w:val="006F7B78"/>
    <w:rsid w:val="007A36FB"/>
    <w:rsid w:val="007A6179"/>
    <w:rsid w:val="008B09C4"/>
    <w:rsid w:val="00912703"/>
    <w:rsid w:val="00937B28"/>
    <w:rsid w:val="00AC014A"/>
    <w:rsid w:val="00B93016"/>
    <w:rsid w:val="00B951AD"/>
    <w:rsid w:val="00BE7DED"/>
    <w:rsid w:val="00C16F23"/>
    <w:rsid w:val="00CB1CBB"/>
    <w:rsid w:val="00CE252C"/>
    <w:rsid w:val="00D15530"/>
    <w:rsid w:val="00D83EE2"/>
    <w:rsid w:val="00DB1802"/>
    <w:rsid w:val="00DC71A8"/>
    <w:rsid w:val="00E11019"/>
    <w:rsid w:val="00E4188E"/>
    <w:rsid w:val="00E53DA8"/>
    <w:rsid w:val="00EA2AE4"/>
    <w:rsid w:val="00EF430E"/>
    <w:rsid w:val="00F733C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C690C39-6AB0-4465-881F-B1A5A4A5D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4188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4188E"/>
    <w:rPr>
      <w:b/>
      <w:bCs/>
    </w:rPr>
  </w:style>
  <w:style w:type="character" w:styleId="Emphasis">
    <w:name w:val="Emphasis"/>
    <w:basedOn w:val="DefaultParagraphFont"/>
    <w:uiPriority w:val="20"/>
    <w:qFormat/>
    <w:rsid w:val="00E4188E"/>
    <w:rPr>
      <w:i/>
      <w:iCs/>
    </w:rPr>
  </w:style>
  <w:style w:type="paragraph" w:styleId="Header">
    <w:name w:val="header"/>
    <w:basedOn w:val="Normal"/>
    <w:link w:val="HeaderChar"/>
    <w:uiPriority w:val="99"/>
    <w:unhideWhenUsed/>
    <w:rsid w:val="00E418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188E"/>
  </w:style>
  <w:style w:type="paragraph" w:styleId="Footer">
    <w:name w:val="footer"/>
    <w:basedOn w:val="Normal"/>
    <w:link w:val="FooterChar"/>
    <w:uiPriority w:val="99"/>
    <w:unhideWhenUsed/>
    <w:rsid w:val="00E418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188E"/>
  </w:style>
  <w:style w:type="paragraph" w:styleId="ListParagraph">
    <w:name w:val="List Paragraph"/>
    <w:basedOn w:val="Normal"/>
    <w:uiPriority w:val="34"/>
    <w:qFormat/>
    <w:rsid w:val="002D47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2656031">
      <w:bodyDiv w:val="1"/>
      <w:marLeft w:val="0"/>
      <w:marRight w:val="0"/>
      <w:marTop w:val="0"/>
      <w:marBottom w:val="0"/>
      <w:divBdr>
        <w:top w:val="none" w:sz="0" w:space="0" w:color="auto"/>
        <w:left w:val="none" w:sz="0" w:space="0" w:color="auto"/>
        <w:bottom w:val="none" w:sz="0" w:space="0" w:color="auto"/>
        <w:right w:val="none" w:sz="0" w:space="0" w:color="auto"/>
      </w:divBdr>
    </w:div>
    <w:div w:id="1314523578">
      <w:bodyDiv w:val="1"/>
      <w:marLeft w:val="0"/>
      <w:marRight w:val="0"/>
      <w:marTop w:val="0"/>
      <w:marBottom w:val="0"/>
      <w:divBdr>
        <w:top w:val="none" w:sz="0" w:space="0" w:color="auto"/>
        <w:left w:val="none" w:sz="0" w:space="0" w:color="auto"/>
        <w:bottom w:val="none" w:sz="0" w:space="0" w:color="auto"/>
        <w:right w:val="none" w:sz="0" w:space="0" w:color="auto"/>
      </w:divBdr>
    </w:div>
    <w:div w:id="1982034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3741</Words>
  <Characters>21324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2025-11-17T10:43:00Z</dcterms:created>
  <dcterms:modified xsi:type="dcterms:W3CDTF">2025-11-17T10:43:00Z</dcterms:modified>
</cp:coreProperties>
</file>