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209307"/>
        <w:docPartObj>
          <w:docPartGallery w:val="Cover Pages"/>
          <w:docPartUnique/>
        </w:docPartObj>
      </w:sdtPr>
      <w:sdtContent>
        <w:p w14:paraId="34DCAECD" w14:textId="47254AB7" w:rsidR="002D3091" w:rsidRDefault="002D3091" w:rsidP="0034106C">
          <w:pPr>
            <w:jc w:val="both"/>
          </w:pPr>
        </w:p>
        <w:p w14:paraId="5BF6369B" w14:textId="00152B28" w:rsidR="002D3091" w:rsidRDefault="002D3091" w:rsidP="0034106C">
          <w:pPr>
            <w:spacing w:after="160" w:line="259" w:lineRule="auto"/>
            <w:jc w:val="both"/>
          </w:pPr>
          <w:r>
            <w:rPr>
              <w:noProof/>
            </w:rPr>
            <mc:AlternateContent>
              <mc:Choice Requires="wps">
                <w:drawing>
                  <wp:anchor distT="0" distB="0" distL="182880" distR="182880" simplePos="0" relativeHeight="251660288" behindDoc="0" locked="0" layoutInCell="1" allowOverlap="1" wp14:anchorId="2ECF93B4" wp14:editId="6C623C2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CDE4B" w14:textId="43EEBC4E" w:rsidR="002D3091"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D3091">
                                      <w:rPr>
                                        <w:color w:val="4472C4" w:themeColor="accent1"/>
                                        <w:sz w:val="72"/>
                                        <w:szCs w:val="72"/>
                                      </w:rPr>
                                      <w:t>Essay</w:t>
                                    </w:r>
                                  </w:sdtContent>
                                </w:sdt>
                              </w:p>
                              <w:sdt>
                                <w:sdtPr>
                                  <w:rPr>
                                    <w:rFonts w:ascii="Arial" w:hAnsi="Arial" w:cs="Arial"/>
                                    <w:sz w:val="24"/>
                                    <w:szCs w:val="2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528AC01" w14:textId="19EB3520" w:rsidR="002D3091" w:rsidRDefault="002D3091" w:rsidP="002D3091">
                                    <w:pPr>
                                      <w:pStyle w:val="NoSpacing"/>
                                      <w:spacing w:before="40" w:after="40" w:line="360" w:lineRule="auto"/>
                                      <w:rPr>
                                        <w:caps/>
                                        <w:color w:val="1F4E79" w:themeColor="accent5" w:themeShade="80"/>
                                        <w:sz w:val="28"/>
                                        <w:szCs w:val="28"/>
                                      </w:rPr>
                                    </w:pPr>
                                    <w:r w:rsidRPr="002D3091">
                                      <w:rPr>
                                        <w:rFonts w:ascii="Arial" w:hAnsi="Arial" w:cs="Arial"/>
                                        <w:sz w:val="24"/>
                                        <w:szCs w:val="24"/>
                                      </w:rPr>
                                      <w:t>Discuss the importance and significance of safeguarding policies and procedures in the UK and make reference on 2 high profile safeguarding cases in the last 20 years.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45B6427" w14:textId="6B59BC72" w:rsidR="002D3091" w:rsidRDefault="002D3091">
                                    <w:pPr>
                                      <w:pStyle w:val="NoSpacing"/>
                                      <w:spacing w:before="80" w:after="40"/>
                                      <w:rPr>
                                        <w:caps/>
                                        <w:color w:val="5B9BD5" w:themeColor="accent5"/>
                                        <w:sz w:val="24"/>
                                        <w:szCs w:val="24"/>
                                      </w:rPr>
                                    </w:pPr>
                                    <w:r>
                                      <w:rPr>
                                        <w:caps/>
                                        <w:color w:val="5B9BD5" w:themeColor="accent5"/>
                                        <w:sz w:val="24"/>
                                        <w:szCs w:val="24"/>
                                      </w:rPr>
                                      <w:t>Naveeda Aziz (2128414)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ECF93B4" id="_x0000_t202" coordsize="21600,21600" o:spt="202" path="m,l,21600r21600,l21600,xe">
                    <v:stroke joinstyle="miter"/>
                    <v:path gradientshapeok="t" o:connecttype="rect"/>
                  </v:shapetype>
                  <v:shape id="Text Box 32"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473CDE4B" w14:textId="43EEBC4E" w:rsidR="002D3091"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D3091">
                                <w:rPr>
                                  <w:color w:val="4472C4" w:themeColor="accent1"/>
                                  <w:sz w:val="72"/>
                                  <w:szCs w:val="72"/>
                                </w:rPr>
                                <w:t>Essay</w:t>
                              </w:r>
                            </w:sdtContent>
                          </w:sdt>
                        </w:p>
                        <w:sdt>
                          <w:sdtPr>
                            <w:rPr>
                              <w:rFonts w:ascii="Arial" w:hAnsi="Arial" w:cs="Arial"/>
                              <w:sz w:val="24"/>
                              <w:szCs w:val="2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528AC01" w14:textId="19EB3520" w:rsidR="002D3091" w:rsidRDefault="002D3091" w:rsidP="002D3091">
                              <w:pPr>
                                <w:pStyle w:val="NoSpacing"/>
                                <w:spacing w:before="40" w:after="40" w:line="360" w:lineRule="auto"/>
                                <w:rPr>
                                  <w:caps/>
                                  <w:color w:val="1F4E79" w:themeColor="accent5" w:themeShade="80"/>
                                  <w:sz w:val="28"/>
                                  <w:szCs w:val="28"/>
                                </w:rPr>
                              </w:pPr>
                              <w:r w:rsidRPr="002D3091">
                                <w:rPr>
                                  <w:rFonts w:ascii="Arial" w:hAnsi="Arial" w:cs="Arial"/>
                                  <w:sz w:val="24"/>
                                  <w:szCs w:val="24"/>
                                </w:rPr>
                                <w:t>Discuss the importance and significance of safeguarding policies and procedures in the UK and make reference on 2 high profile safeguarding cases in the last 20 years.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45B6427" w14:textId="6B59BC72" w:rsidR="002D3091" w:rsidRDefault="002D3091">
                              <w:pPr>
                                <w:pStyle w:val="NoSpacing"/>
                                <w:spacing w:before="80" w:after="40"/>
                                <w:rPr>
                                  <w:caps/>
                                  <w:color w:val="5B9BD5" w:themeColor="accent5"/>
                                  <w:sz w:val="24"/>
                                  <w:szCs w:val="24"/>
                                </w:rPr>
                              </w:pPr>
                              <w:r>
                                <w:rPr>
                                  <w:caps/>
                                  <w:color w:val="5B9BD5" w:themeColor="accent5"/>
                                  <w:sz w:val="24"/>
                                  <w:szCs w:val="24"/>
                                </w:rPr>
                                <w:t>Naveeda Aziz (2128414)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FAB77BF" wp14:editId="401D955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411DF214" w14:textId="671BFBF5" w:rsidR="002D3091" w:rsidRDefault="002D3091" w:rsidP="002D3091">
                                    <w:pPr>
                                      <w:pStyle w:val="NoSpacing"/>
                                      <w:jc w:val="center"/>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FAB77BF" id="Rectangle 33"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411DF214" w14:textId="671BFBF5" w:rsidR="002D3091" w:rsidRDefault="002D3091" w:rsidP="002D3091">
                              <w:pPr>
                                <w:pStyle w:val="NoSpacing"/>
                                <w:jc w:val="center"/>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6B4167ED" w14:textId="77777777" w:rsidR="00F27E48" w:rsidRPr="00AA775B" w:rsidRDefault="00F27E48" w:rsidP="0034106C">
      <w:pPr>
        <w:spacing w:line="360" w:lineRule="auto"/>
        <w:jc w:val="both"/>
        <w:rPr>
          <w:rFonts w:ascii="Arial" w:hAnsi="Arial" w:cs="Arial"/>
          <w:sz w:val="24"/>
          <w:szCs w:val="24"/>
        </w:rPr>
      </w:pPr>
    </w:p>
    <w:p w14:paraId="4F5B2544" w14:textId="77777777" w:rsidR="00F412B3" w:rsidRPr="00AA775B" w:rsidRDefault="00F412B3" w:rsidP="0034106C">
      <w:pPr>
        <w:spacing w:line="360" w:lineRule="auto"/>
        <w:jc w:val="both"/>
        <w:rPr>
          <w:rFonts w:ascii="Arial" w:hAnsi="Arial" w:cs="Arial"/>
          <w:sz w:val="24"/>
          <w:szCs w:val="24"/>
        </w:rPr>
      </w:pPr>
    </w:p>
    <w:p w14:paraId="4EEB68AE" w14:textId="77777777" w:rsidR="002D3091" w:rsidRDefault="002D3091" w:rsidP="0034106C">
      <w:pPr>
        <w:spacing w:line="360" w:lineRule="auto"/>
        <w:jc w:val="both"/>
        <w:rPr>
          <w:rFonts w:ascii="Arial" w:hAnsi="Arial" w:cs="Arial"/>
          <w:sz w:val="24"/>
          <w:szCs w:val="24"/>
        </w:rPr>
      </w:pPr>
    </w:p>
    <w:p w14:paraId="1C8CE7E9" w14:textId="77777777" w:rsidR="002D3091" w:rsidRDefault="002D3091" w:rsidP="0034106C">
      <w:pPr>
        <w:spacing w:line="360" w:lineRule="auto"/>
        <w:jc w:val="both"/>
        <w:rPr>
          <w:rFonts w:ascii="Arial" w:hAnsi="Arial" w:cs="Arial"/>
          <w:sz w:val="24"/>
          <w:szCs w:val="24"/>
        </w:rPr>
      </w:pPr>
    </w:p>
    <w:p w14:paraId="19C33DDF" w14:textId="77777777" w:rsidR="003B4A9C" w:rsidRDefault="003B4A9C" w:rsidP="0034106C">
      <w:pPr>
        <w:spacing w:line="360" w:lineRule="auto"/>
        <w:jc w:val="both"/>
        <w:rPr>
          <w:rFonts w:ascii="Arial" w:hAnsi="Arial" w:cs="Arial"/>
          <w:sz w:val="24"/>
          <w:szCs w:val="24"/>
        </w:rPr>
      </w:pPr>
    </w:p>
    <w:p w14:paraId="344C5C39" w14:textId="77777777" w:rsidR="003B4A9C" w:rsidRDefault="003B4A9C" w:rsidP="0034106C">
      <w:pPr>
        <w:spacing w:line="360" w:lineRule="auto"/>
        <w:jc w:val="both"/>
        <w:rPr>
          <w:rFonts w:ascii="Arial" w:hAnsi="Arial" w:cs="Arial"/>
          <w:sz w:val="24"/>
          <w:szCs w:val="24"/>
        </w:rPr>
      </w:pPr>
    </w:p>
    <w:p w14:paraId="59D85B15" w14:textId="77777777" w:rsidR="002D3091" w:rsidRDefault="002D3091" w:rsidP="0034106C">
      <w:pPr>
        <w:spacing w:line="360" w:lineRule="auto"/>
        <w:jc w:val="both"/>
        <w:rPr>
          <w:rFonts w:ascii="Arial" w:hAnsi="Arial" w:cs="Arial"/>
          <w:sz w:val="24"/>
          <w:szCs w:val="24"/>
        </w:rPr>
      </w:pPr>
    </w:p>
    <w:p w14:paraId="3862801F" w14:textId="64A99C26" w:rsidR="0000363C" w:rsidRPr="008274C9" w:rsidRDefault="0000363C" w:rsidP="0034106C">
      <w:pPr>
        <w:spacing w:line="360" w:lineRule="auto"/>
        <w:jc w:val="both"/>
        <w:rPr>
          <w:rFonts w:ascii="Arial" w:hAnsi="Arial" w:cs="Arial"/>
          <w:sz w:val="24"/>
          <w:szCs w:val="24"/>
        </w:rPr>
      </w:pPr>
      <w:r w:rsidRPr="008274C9">
        <w:rPr>
          <w:rFonts w:ascii="Arial" w:hAnsi="Arial" w:cs="Arial"/>
          <w:sz w:val="24"/>
          <w:szCs w:val="24"/>
        </w:rPr>
        <w:t xml:space="preserve">Name:  Naveeda Aziz </w:t>
      </w:r>
    </w:p>
    <w:p w14:paraId="35D9FA02" w14:textId="77777777" w:rsidR="0000363C" w:rsidRPr="008274C9" w:rsidRDefault="0000363C" w:rsidP="0034106C">
      <w:pPr>
        <w:spacing w:line="360" w:lineRule="auto"/>
        <w:jc w:val="both"/>
        <w:rPr>
          <w:rFonts w:ascii="Arial" w:hAnsi="Arial" w:cs="Arial"/>
          <w:sz w:val="24"/>
          <w:szCs w:val="24"/>
        </w:rPr>
      </w:pPr>
      <w:r w:rsidRPr="008274C9">
        <w:rPr>
          <w:rFonts w:ascii="Arial" w:hAnsi="Arial" w:cs="Arial"/>
          <w:sz w:val="24"/>
          <w:szCs w:val="24"/>
        </w:rPr>
        <w:t>Student Number: 2128414</w:t>
      </w:r>
    </w:p>
    <w:p w14:paraId="0658E2EA" w14:textId="0699B1F4" w:rsidR="0000363C" w:rsidRPr="008274C9" w:rsidRDefault="0000363C" w:rsidP="0034106C">
      <w:pPr>
        <w:spacing w:line="360" w:lineRule="auto"/>
        <w:jc w:val="both"/>
        <w:rPr>
          <w:rFonts w:ascii="Arial" w:hAnsi="Arial" w:cs="Arial"/>
          <w:sz w:val="24"/>
          <w:szCs w:val="24"/>
        </w:rPr>
      </w:pPr>
      <w:r w:rsidRPr="008274C9">
        <w:rPr>
          <w:rFonts w:ascii="Arial" w:hAnsi="Arial" w:cs="Arial"/>
          <w:sz w:val="24"/>
          <w:szCs w:val="24"/>
        </w:rPr>
        <w:t>Module title</w:t>
      </w:r>
      <w:r w:rsidR="002D3091" w:rsidRPr="008274C9">
        <w:rPr>
          <w:rFonts w:ascii="Arial" w:hAnsi="Arial" w:cs="Arial"/>
          <w:sz w:val="24"/>
          <w:szCs w:val="24"/>
        </w:rPr>
        <w:t xml:space="preserve"> and code</w:t>
      </w:r>
      <w:r w:rsidRPr="008274C9">
        <w:rPr>
          <w:rFonts w:ascii="Arial" w:hAnsi="Arial" w:cs="Arial"/>
          <w:sz w:val="24"/>
          <w:szCs w:val="24"/>
        </w:rPr>
        <w:t>:</w:t>
      </w:r>
      <w:r w:rsidR="002D3091" w:rsidRPr="008274C9">
        <w:rPr>
          <w:rFonts w:ascii="Arial" w:hAnsi="Arial" w:cs="Arial"/>
          <w:sz w:val="24"/>
          <w:szCs w:val="24"/>
        </w:rPr>
        <w:t xml:space="preserve"> </w:t>
      </w:r>
      <w:r w:rsidR="002D3091" w:rsidRPr="008274C9">
        <w:rPr>
          <w:rFonts w:ascii="Arial" w:hAnsi="Arial" w:cs="Arial"/>
          <w:bCs/>
          <w:sz w:val="24"/>
          <w:szCs w:val="24"/>
        </w:rPr>
        <w:t>Children, Young People and Families BMHP5004_BIRM</w:t>
      </w:r>
      <w:r w:rsidR="002D3091" w:rsidRPr="008274C9">
        <w:rPr>
          <w:rFonts w:ascii="Arial" w:hAnsi="Arial" w:cs="Arial"/>
          <w:b/>
          <w:sz w:val="24"/>
          <w:szCs w:val="24"/>
        </w:rPr>
        <w:t xml:space="preserve">  </w:t>
      </w:r>
    </w:p>
    <w:p w14:paraId="4CE43952" w14:textId="2049FC23" w:rsidR="0000363C" w:rsidRPr="008274C9" w:rsidRDefault="0000363C" w:rsidP="0034106C">
      <w:pPr>
        <w:spacing w:before="120" w:after="120" w:line="360" w:lineRule="auto"/>
        <w:jc w:val="both"/>
        <w:rPr>
          <w:rFonts w:ascii="Arial" w:hAnsi="Arial" w:cs="Arial"/>
          <w:b/>
          <w:sz w:val="24"/>
          <w:szCs w:val="24"/>
        </w:rPr>
      </w:pPr>
      <w:r w:rsidRPr="008274C9">
        <w:rPr>
          <w:rFonts w:ascii="Arial" w:hAnsi="Arial" w:cs="Arial"/>
          <w:sz w:val="24"/>
          <w:szCs w:val="24"/>
        </w:rPr>
        <w:t xml:space="preserve">Lecturer’s Name: </w:t>
      </w:r>
      <w:r w:rsidRPr="008274C9">
        <w:rPr>
          <w:rFonts w:ascii="Arial" w:hAnsi="Arial" w:cs="Arial"/>
          <w:bCs/>
          <w:sz w:val="24"/>
          <w:szCs w:val="24"/>
        </w:rPr>
        <w:t xml:space="preserve"> </w:t>
      </w:r>
      <w:r w:rsidR="00B446B5" w:rsidRPr="008274C9">
        <w:rPr>
          <w:rFonts w:ascii="Arial" w:hAnsi="Arial" w:cs="Arial"/>
          <w:bCs/>
          <w:sz w:val="24"/>
          <w:szCs w:val="24"/>
        </w:rPr>
        <w:t>Colin Barr, Debra Odeh</w:t>
      </w:r>
    </w:p>
    <w:p w14:paraId="6A77D3D5" w14:textId="77777777" w:rsidR="0000363C" w:rsidRPr="008274C9" w:rsidRDefault="0000363C" w:rsidP="0034106C">
      <w:pPr>
        <w:spacing w:line="360" w:lineRule="auto"/>
        <w:jc w:val="both"/>
        <w:rPr>
          <w:rFonts w:ascii="Arial" w:hAnsi="Arial" w:cs="Arial"/>
          <w:bCs/>
          <w:sz w:val="24"/>
          <w:szCs w:val="24"/>
        </w:rPr>
      </w:pPr>
      <w:r w:rsidRPr="008274C9">
        <w:rPr>
          <w:rFonts w:ascii="Arial" w:hAnsi="Arial" w:cs="Arial"/>
          <w:sz w:val="24"/>
          <w:szCs w:val="24"/>
        </w:rPr>
        <w:t xml:space="preserve">Assignment title: </w:t>
      </w:r>
      <w:r w:rsidRPr="008274C9">
        <w:rPr>
          <w:rFonts w:ascii="Arial" w:hAnsi="Arial" w:cs="Arial"/>
          <w:bCs/>
          <w:sz w:val="24"/>
          <w:szCs w:val="24"/>
        </w:rPr>
        <w:t>Academic Essay</w:t>
      </w:r>
    </w:p>
    <w:p w14:paraId="3BFCD97A" w14:textId="77777777" w:rsidR="00AA775B" w:rsidRPr="00AA775B" w:rsidRDefault="00AA775B" w:rsidP="0034106C">
      <w:pPr>
        <w:spacing w:line="360" w:lineRule="auto"/>
        <w:jc w:val="both"/>
        <w:rPr>
          <w:rFonts w:ascii="Arial" w:hAnsi="Arial" w:cs="Arial"/>
          <w:bCs/>
          <w:sz w:val="24"/>
          <w:szCs w:val="24"/>
        </w:rPr>
      </w:pPr>
    </w:p>
    <w:p w14:paraId="4309BBF8" w14:textId="77777777" w:rsidR="00AA775B" w:rsidRPr="00AA775B" w:rsidRDefault="00AA775B" w:rsidP="0034106C">
      <w:pPr>
        <w:spacing w:line="360" w:lineRule="auto"/>
        <w:jc w:val="both"/>
        <w:rPr>
          <w:rFonts w:ascii="Arial" w:hAnsi="Arial" w:cs="Arial"/>
          <w:bCs/>
          <w:sz w:val="24"/>
          <w:szCs w:val="24"/>
        </w:rPr>
      </w:pPr>
    </w:p>
    <w:p w14:paraId="3FCB4922" w14:textId="77777777" w:rsidR="00AA775B" w:rsidRPr="00AA775B" w:rsidRDefault="00AA775B" w:rsidP="0034106C">
      <w:pPr>
        <w:spacing w:line="360" w:lineRule="auto"/>
        <w:jc w:val="both"/>
        <w:rPr>
          <w:rFonts w:ascii="Arial" w:hAnsi="Arial" w:cs="Arial"/>
          <w:bCs/>
          <w:sz w:val="24"/>
          <w:szCs w:val="24"/>
        </w:rPr>
      </w:pPr>
    </w:p>
    <w:p w14:paraId="3E25D78A" w14:textId="77777777" w:rsidR="00AA775B" w:rsidRPr="00AA775B" w:rsidRDefault="00AA775B" w:rsidP="0034106C">
      <w:pPr>
        <w:spacing w:line="360" w:lineRule="auto"/>
        <w:jc w:val="both"/>
        <w:rPr>
          <w:rFonts w:ascii="Arial" w:hAnsi="Arial" w:cs="Arial"/>
          <w:bCs/>
          <w:sz w:val="24"/>
          <w:szCs w:val="24"/>
        </w:rPr>
      </w:pPr>
    </w:p>
    <w:p w14:paraId="164AEB94" w14:textId="77777777" w:rsidR="00AA775B" w:rsidRPr="00AA775B" w:rsidRDefault="00AA775B" w:rsidP="0034106C">
      <w:pPr>
        <w:spacing w:line="360" w:lineRule="auto"/>
        <w:jc w:val="both"/>
        <w:rPr>
          <w:rFonts w:ascii="Arial" w:hAnsi="Arial" w:cs="Arial"/>
          <w:bCs/>
          <w:sz w:val="24"/>
          <w:szCs w:val="24"/>
        </w:rPr>
      </w:pPr>
    </w:p>
    <w:p w14:paraId="4AD80C6B" w14:textId="77777777" w:rsidR="00AA775B" w:rsidRPr="00AA775B" w:rsidRDefault="00AA775B" w:rsidP="0034106C">
      <w:pPr>
        <w:spacing w:line="360" w:lineRule="auto"/>
        <w:jc w:val="both"/>
        <w:rPr>
          <w:rFonts w:ascii="Arial" w:hAnsi="Arial" w:cs="Arial"/>
          <w:bCs/>
          <w:sz w:val="24"/>
          <w:szCs w:val="24"/>
        </w:rPr>
      </w:pPr>
    </w:p>
    <w:p w14:paraId="7603258C" w14:textId="77777777" w:rsidR="00AA775B" w:rsidRPr="00AA775B" w:rsidRDefault="00AA775B" w:rsidP="0034106C">
      <w:pPr>
        <w:spacing w:line="360" w:lineRule="auto"/>
        <w:jc w:val="both"/>
        <w:rPr>
          <w:rFonts w:ascii="Arial" w:hAnsi="Arial" w:cs="Arial"/>
          <w:bCs/>
          <w:sz w:val="24"/>
          <w:szCs w:val="24"/>
        </w:rPr>
      </w:pPr>
    </w:p>
    <w:p w14:paraId="1430D911" w14:textId="77777777" w:rsidR="00AA775B" w:rsidRPr="00AA775B" w:rsidRDefault="00AA775B" w:rsidP="0034106C">
      <w:pPr>
        <w:spacing w:line="360" w:lineRule="auto"/>
        <w:jc w:val="both"/>
        <w:rPr>
          <w:rFonts w:ascii="Arial" w:hAnsi="Arial" w:cs="Arial"/>
          <w:bCs/>
          <w:sz w:val="24"/>
          <w:szCs w:val="24"/>
        </w:rPr>
      </w:pPr>
    </w:p>
    <w:p w14:paraId="067646E0" w14:textId="77777777" w:rsidR="00AA775B" w:rsidRPr="00AA775B" w:rsidRDefault="00AA775B" w:rsidP="0034106C">
      <w:pPr>
        <w:spacing w:line="360" w:lineRule="auto"/>
        <w:jc w:val="both"/>
        <w:rPr>
          <w:rFonts w:ascii="Arial" w:hAnsi="Arial" w:cs="Arial"/>
          <w:bCs/>
          <w:sz w:val="24"/>
          <w:szCs w:val="24"/>
        </w:rPr>
      </w:pPr>
    </w:p>
    <w:p w14:paraId="78851C85" w14:textId="77777777" w:rsidR="00AA775B" w:rsidRPr="00AA775B" w:rsidRDefault="00AA775B" w:rsidP="0034106C">
      <w:pPr>
        <w:spacing w:line="360" w:lineRule="auto"/>
        <w:jc w:val="both"/>
        <w:rPr>
          <w:rFonts w:ascii="Arial" w:hAnsi="Arial" w:cs="Arial"/>
          <w:bCs/>
          <w:sz w:val="24"/>
          <w:szCs w:val="24"/>
        </w:rPr>
      </w:pPr>
    </w:p>
    <w:p w14:paraId="201F3116" w14:textId="77777777" w:rsidR="00AA775B" w:rsidRPr="00AA775B" w:rsidRDefault="00AA775B" w:rsidP="0034106C">
      <w:pPr>
        <w:spacing w:line="360" w:lineRule="auto"/>
        <w:jc w:val="both"/>
        <w:rPr>
          <w:rFonts w:ascii="Arial" w:hAnsi="Arial" w:cs="Arial"/>
          <w:bCs/>
          <w:sz w:val="24"/>
          <w:szCs w:val="24"/>
        </w:rPr>
      </w:pPr>
    </w:p>
    <w:p w14:paraId="1EC085C7" w14:textId="77777777" w:rsidR="00AA775B" w:rsidRPr="00AA775B" w:rsidRDefault="00AA775B" w:rsidP="0034106C">
      <w:pPr>
        <w:spacing w:line="360" w:lineRule="auto"/>
        <w:jc w:val="both"/>
        <w:rPr>
          <w:rFonts w:ascii="Arial" w:hAnsi="Arial" w:cs="Arial"/>
          <w:bCs/>
          <w:sz w:val="24"/>
          <w:szCs w:val="24"/>
        </w:rPr>
      </w:pPr>
    </w:p>
    <w:p w14:paraId="4C356F6B" w14:textId="77777777" w:rsidR="00AA775B" w:rsidRPr="00AA775B" w:rsidRDefault="00AA775B" w:rsidP="0034106C">
      <w:pPr>
        <w:spacing w:line="360" w:lineRule="auto"/>
        <w:jc w:val="both"/>
        <w:rPr>
          <w:rFonts w:ascii="Arial" w:hAnsi="Arial" w:cs="Arial"/>
          <w:bCs/>
          <w:sz w:val="24"/>
          <w:szCs w:val="24"/>
        </w:rPr>
      </w:pPr>
    </w:p>
    <w:p w14:paraId="58FC6E92" w14:textId="77777777" w:rsidR="00AA775B" w:rsidRPr="00AA775B" w:rsidRDefault="00AA775B" w:rsidP="0034106C">
      <w:pPr>
        <w:spacing w:line="360" w:lineRule="auto"/>
        <w:jc w:val="both"/>
        <w:rPr>
          <w:rFonts w:ascii="Arial" w:hAnsi="Arial" w:cs="Arial"/>
          <w:bCs/>
          <w:sz w:val="24"/>
          <w:szCs w:val="24"/>
        </w:rPr>
      </w:pPr>
    </w:p>
    <w:p w14:paraId="6EB3382C" w14:textId="77777777" w:rsidR="00AA775B" w:rsidRPr="00AA775B" w:rsidRDefault="00AA775B" w:rsidP="0034106C">
      <w:pPr>
        <w:spacing w:line="360" w:lineRule="auto"/>
        <w:jc w:val="both"/>
        <w:rPr>
          <w:rFonts w:ascii="Arial" w:hAnsi="Arial" w:cs="Arial"/>
          <w:bCs/>
          <w:sz w:val="24"/>
          <w:szCs w:val="24"/>
        </w:rPr>
      </w:pPr>
    </w:p>
    <w:p w14:paraId="5941FC41" w14:textId="77777777" w:rsidR="00AA775B" w:rsidRPr="00AA775B" w:rsidRDefault="00AA775B" w:rsidP="0034106C">
      <w:pPr>
        <w:spacing w:line="360" w:lineRule="auto"/>
        <w:jc w:val="both"/>
        <w:rPr>
          <w:rFonts w:ascii="Arial" w:hAnsi="Arial" w:cs="Arial"/>
          <w:bCs/>
          <w:sz w:val="24"/>
          <w:szCs w:val="24"/>
        </w:rPr>
      </w:pPr>
    </w:p>
    <w:p w14:paraId="1EEDCFEA" w14:textId="77777777" w:rsidR="00AA775B" w:rsidRPr="00AA775B" w:rsidRDefault="00AA775B" w:rsidP="0034106C">
      <w:pPr>
        <w:spacing w:line="360" w:lineRule="auto"/>
        <w:jc w:val="both"/>
        <w:rPr>
          <w:rFonts w:ascii="Arial" w:hAnsi="Arial" w:cs="Arial"/>
          <w:bCs/>
          <w:sz w:val="24"/>
          <w:szCs w:val="24"/>
        </w:rPr>
      </w:pPr>
    </w:p>
    <w:p w14:paraId="61D0B70A" w14:textId="77777777" w:rsidR="00AA775B" w:rsidRPr="00AA775B" w:rsidRDefault="00AA775B" w:rsidP="0034106C">
      <w:pPr>
        <w:spacing w:line="360" w:lineRule="auto"/>
        <w:jc w:val="both"/>
        <w:rPr>
          <w:rFonts w:ascii="Arial" w:hAnsi="Arial" w:cs="Arial"/>
          <w:bCs/>
          <w:sz w:val="24"/>
          <w:szCs w:val="24"/>
        </w:rPr>
      </w:pPr>
    </w:p>
    <w:p w14:paraId="009F53F0" w14:textId="77777777" w:rsidR="00AA775B" w:rsidRPr="00AA775B" w:rsidRDefault="00AA775B" w:rsidP="0034106C">
      <w:pPr>
        <w:spacing w:line="360" w:lineRule="auto"/>
        <w:jc w:val="both"/>
        <w:rPr>
          <w:rFonts w:ascii="Arial" w:hAnsi="Arial" w:cs="Arial"/>
          <w:bCs/>
          <w:sz w:val="24"/>
          <w:szCs w:val="24"/>
        </w:rPr>
      </w:pPr>
    </w:p>
    <w:p w14:paraId="416361EE" w14:textId="77777777" w:rsidR="00AA775B" w:rsidRPr="00AA775B" w:rsidRDefault="00AA775B" w:rsidP="0034106C">
      <w:pPr>
        <w:spacing w:line="360" w:lineRule="auto"/>
        <w:jc w:val="both"/>
        <w:rPr>
          <w:rFonts w:ascii="Arial" w:hAnsi="Arial" w:cs="Arial"/>
          <w:bCs/>
          <w:sz w:val="24"/>
          <w:szCs w:val="24"/>
        </w:rPr>
      </w:pPr>
    </w:p>
    <w:p w14:paraId="41A45349" w14:textId="77777777" w:rsidR="00AA775B" w:rsidRPr="00AA775B" w:rsidRDefault="00AA775B" w:rsidP="0034106C">
      <w:pPr>
        <w:spacing w:line="360" w:lineRule="auto"/>
        <w:jc w:val="both"/>
        <w:rPr>
          <w:rFonts w:ascii="Arial" w:hAnsi="Arial" w:cs="Arial"/>
          <w:bCs/>
          <w:sz w:val="24"/>
          <w:szCs w:val="24"/>
        </w:rPr>
      </w:pPr>
    </w:p>
    <w:p w14:paraId="43B3A056" w14:textId="77777777" w:rsidR="00AA775B" w:rsidRPr="00AA775B" w:rsidRDefault="00AA775B" w:rsidP="0034106C">
      <w:pPr>
        <w:spacing w:line="360" w:lineRule="auto"/>
        <w:jc w:val="both"/>
        <w:rPr>
          <w:rFonts w:ascii="Arial" w:hAnsi="Arial" w:cs="Arial"/>
          <w:bCs/>
          <w:sz w:val="24"/>
          <w:szCs w:val="24"/>
        </w:rPr>
      </w:pPr>
    </w:p>
    <w:sdt>
      <w:sdtPr>
        <w:rPr>
          <w:rFonts w:ascii="Times New Roman" w:eastAsia="Times New Roman" w:hAnsi="Times New Roman" w:cs="Times New Roman"/>
          <w:color w:val="auto"/>
          <w:sz w:val="20"/>
          <w:szCs w:val="20"/>
          <w:lang w:val="en-GB" w:eastAsia="en-GB"/>
        </w:rPr>
        <w:id w:val="-804155595"/>
        <w:docPartObj>
          <w:docPartGallery w:val="Table of Contents"/>
          <w:docPartUnique/>
        </w:docPartObj>
      </w:sdtPr>
      <w:sdtEndPr>
        <w:rPr>
          <w:b/>
          <w:bCs/>
          <w:noProof/>
        </w:rPr>
      </w:sdtEndPr>
      <w:sdtContent>
        <w:p w14:paraId="1A172DB4" w14:textId="3A65A21F" w:rsidR="00237F24" w:rsidRDefault="00237F24" w:rsidP="0034106C">
          <w:pPr>
            <w:pStyle w:val="TOCHeading"/>
            <w:jc w:val="both"/>
          </w:pPr>
          <w:r>
            <w:t>Table of Contents</w:t>
          </w:r>
        </w:p>
        <w:p w14:paraId="28F89864" w14:textId="35C4BCAA" w:rsidR="00237F24" w:rsidRPr="00DD0DD8" w:rsidRDefault="00237F24"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52017510" w:history="1">
            <w:r w:rsidRPr="00DD0DD8">
              <w:rPr>
                <w:rStyle w:val="Hyperlink"/>
                <w:noProof/>
                <w:sz w:val="24"/>
                <w:szCs w:val="24"/>
              </w:rPr>
              <w:t>Introduction</w:t>
            </w:r>
            <w:r w:rsidRPr="00DD0DD8">
              <w:rPr>
                <w:noProof/>
                <w:webHidden/>
                <w:sz w:val="24"/>
                <w:szCs w:val="24"/>
              </w:rPr>
              <w:tab/>
            </w:r>
            <w:r w:rsidRPr="00DD0DD8">
              <w:rPr>
                <w:noProof/>
                <w:webHidden/>
                <w:sz w:val="24"/>
                <w:szCs w:val="24"/>
              </w:rPr>
              <w:fldChar w:fldCharType="begin"/>
            </w:r>
            <w:r w:rsidRPr="00DD0DD8">
              <w:rPr>
                <w:noProof/>
                <w:webHidden/>
                <w:sz w:val="24"/>
                <w:szCs w:val="24"/>
              </w:rPr>
              <w:instrText xml:space="preserve"> PAGEREF _Toc152017510 \h </w:instrText>
            </w:r>
            <w:r w:rsidRPr="00DD0DD8">
              <w:rPr>
                <w:noProof/>
                <w:webHidden/>
                <w:sz w:val="24"/>
                <w:szCs w:val="24"/>
              </w:rPr>
            </w:r>
            <w:r w:rsidRPr="00DD0DD8">
              <w:rPr>
                <w:noProof/>
                <w:webHidden/>
                <w:sz w:val="24"/>
                <w:szCs w:val="24"/>
              </w:rPr>
              <w:fldChar w:fldCharType="separate"/>
            </w:r>
            <w:r w:rsidR="00660E91">
              <w:rPr>
                <w:noProof/>
                <w:webHidden/>
                <w:sz w:val="24"/>
                <w:szCs w:val="24"/>
              </w:rPr>
              <w:t>3</w:t>
            </w:r>
            <w:r w:rsidRPr="00DD0DD8">
              <w:rPr>
                <w:noProof/>
                <w:webHidden/>
                <w:sz w:val="24"/>
                <w:szCs w:val="24"/>
              </w:rPr>
              <w:fldChar w:fldCharType="end"/>
            </w:r>
          </w:hyperlink>
        </w:p>
        <w:p w14:paraId="63FB02ED" w14:textId="5F94C58F" w:rsidR="00237F24" w:rsidRPr="00DD0DD8" w:rsidRDefault="00000000"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1" w:history="1">
            <w:r w:rsidR="00237F24" w:rsidRPr="00DD0DD8">
              <w:rPr>
                <w:rStyle w:val="Hyperlink"/>
                <w:noProof/>
                <w:sz w:val="24"/>
                <w:szCs w:val="24"/>
              </w:rPr>
              <w:t>Evolution and Legal Foundations</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_Toc152017511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4</w:t>
            </w:r>
            <w:r w:rsidR="00237F24" w:rsidRPr="00DD0DD8">
              <w:rPr>
                <w:noProof/>
                <w:webHidden/>
                <w:sz w:val="24"/>
                <w:szCs w:val="24"/>
              </w:rPr>
              <w:fldChar w:fldCharType="end"/>
            </w:r>
          </w:hyperlink>
        </w:p>
        <w:p w14:paraId="2FAC2CB1" w14:textId="6B375A3B" w:rsidR="00237F24" w:rsidRPr="00DD0DD8" w:rsidRDefault="00000000"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2" w:history="1">
            <w:r w:rsidR="00237F24" w:rsidRPr="00DD0DD8">
              <w:rPr>
                <w:rStyle w:val="Hyperlink"/>
                <w:noProof/>
                <w:sz w:val="24"/>
                <w:szCs w:val="24"/>
              </w:rPr>
              <w:t>Prevention and Early Intervention</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_Toc152017512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4</w:t>
            </w:r>
            <w:r w:rsidR="00237F24" w:rsidRPr="00DD0DD8">
              <w:rPr>
                <w:noProof/>
                <w:webHidden/>
                <w:sz w:val="24"/>
                <w:szCs w:val="24"/>
              </w:rPr>
              <w:fldChar w:fldCharType="end"/>
            </w:r>
          </w:hyperlink>
        </w:p>
        <w:p w14:paraId="7B3B6008" w14:textId="6022B857" w:rsidR="00237F24" w:rsidRPr="00DD0DD8" w:rsidRDefault="00000000"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3" w:history="1">
            <w:r w:rsidR="00237F24" w:rsidRPr="00DD0DD8">
              <w:rPr>
                <w:rStyle w:val="Hyperlink"/>
                <w:noProof/>
                <w:sz w:val="24"/>
                <w:szCs w:val="24"/>
              </w:rPr>
              <w:t>Multi-Agency Collaboration and Accountability</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_Toc152017513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4</w:t>
            </w:r>
            <w:r w:rsidR="00237F24" w:rsidRPr="00DD0DD8">
              <w:rPr>
                <w:noProof/>
                <w:webHidden/>
                <w:sz w:val="24"/>
                <w:szCs w:val="24"/>
              </w:rPr>
              <w:fldChar w:fldCharType="end"/>
            </w:r>
          </w:hyperlink>
        </w:p>
        <w:p w14:paraId="2FE01C07" w14:textId="3190E7BB" w:rsidR="00237F24" w:rsidRPr="00DD0DD8" w:rsidRDefault="00000000"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4" w:history="1">
            <w:r w:rsidR="00237F24" w:rsidRPr="00DD0DD8">
              <w:rPr>
                <w:rStyle w:val="Hyperlink"/>
                <w:noProof/>
                <w:sz w:val="24"/>
                <w:szCs w:val="24"/>
              </w:rPr>
              <w:t>High-Profile Cases as Catalysts for Change</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_Toc152017514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5</w:t>
            </w:r>
            <w:r w:rsidR="00237F24" w:rsidRPr="00DD0DD8">
              <w:rPr>
                <w:noProof/>
                <w:webHidden/>
                <w:sz w:val="24"/>
                <w:szCs w:val="24"/>
              </w:rPr>
              <w:fldChar w:fldCharType="end"/>
            </w:r>
          </w:hyperlink>
        </w:p>
        <w:p w14:paraId="439FFB9B" w14:textId="48CCBB55" w:rsidR="00237F24" w:rsidRPr="00DD0DD8" w:rsidRDefault="00000000"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5" w:history="1">
            <w:r w:rsidR="00237F24" w:rsidRPr="00DD0DD8">
              <w:rPr>
                <w:rStyle w:val="Hyperlink"/>
                <w:noProof/>
                <w:sz w:val="24"/>
                <w:szCs w:val="24"/>
              </w:rPr>
              <w:t>Importance of Safeguarding Policies and Procedures</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_Toc152017515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6</w:t>
            </w:r>
            <w:r w:rsidR="00237F24" w:rsidRPr="00DD0DD8">
              <w:rPr>
                <w:noProof/>
                <w:webHidden/>
                <w:sz w:val="24"/>
                <w:szCs w:val="24"/>
              </w:rPr>
              <w:fldChar w:fldCharType="end"/>
            </w:r>
          </w:hyperlink>
        </w:p>
        <w:p w14:paraId="6B843296" w14:textId="16123829"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6" w:history="1">
            <w:r w:rsidR="00237F24" w:rsidRPr="00DD0DD8">
              <w:rPr>
                <w:rStyle w:val="Hyperlink"/>
                <w:noProof/>
                <w:sz w:val="24"/>
                <w:szCs w:val="24"/>
              </w:rPr>
              <w:t>Legal Framework</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_Toc152017516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7</w:t>
            </w:r>
            <w:r w:rsidR="00237F24" w:rsidRPr="00DD0DD8">
              <w:rPr>
                <w:noProof/>
                <w:webHidden/>
                <w:sz w:val="24"/>
                <w:szCs w:val="24"/>
              </w:rPr>
              <w:fldChar w:fldCharType="end"/>
            </w:r>
          </w:hyperlink>
        </w:p>
        <w:p w14:paraId="4995970F" w14:textId="50249618"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7" w:history="1">
            <w:r w:rsidR="00237F24" w:rsidRPr="00DD0DD8">
              <w:rPr>
                <w:rStyle w:val="Hyperlink"/>
                <w:noProof/>
                <w:sz w:val="24"/>
                <w:szCs w:val="24"/>
              </w:rPr>
              <w:t>Prevention of Abuse and Neglect</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_Toc152017517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7</w:t>
            </w:r>
            <w:r w:rsidR="00237F24" w:rsidRPr="00DD0DD8">
              <w:rPr>
                <w:noProof/>
                <w:webHidden/>
                <w:sz w:val="24"/>
                <w:szCs w:val="24"/>
              </w:rPr>
              <w:fldChar w:fldCharType="end"/>
            </w:r>
          </w:hyperlink>
        </w:p>
        <w:p w14:paraId="0AD0E9F4" w14:textId="38B38450"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8" w:history="1">
            <w:r w:rsidR="00237F24" w:rsidRPr="00DD0DD8">
              <w:rPr>
                <w:rStyle w:val="Hyperlink"/>
                <w:noProof/>
                <w:sz w:val="24"/>
                <w:szCs w:val="24"/>
              </w:rPr>
              <w:t>Early Intervention and Reporting</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_Toc152017518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7</w:t>
            </w:r>
            <w:r w:rsidR="00237F24" w:rsidRPr="00DD0DD8">
              <w:rPr>
                <w:noProof/>
                <w:webHidden/>
                <w:sz w:val="24"/>
                <w:szCs w:val="24"/>
              </w:rPr>
              <w:fldChar w:fldCharType="end"/>
            </w:r>
          </w:hyperlink>
        </w:p>
        <w:p w14:paraId="0BABDE68" w14:textId="2D6285F4"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19" w:history="1">
            <w:r w:rsidR="00237F24" w:rsidRPr="00DD0DD8">
              <w:rPr>
                <w:rStyle w:val="Hyperlink"/>
                <w:noProof/>
                <w:sz w:val="24"/>
                <w:szCs w:val="24"/>
              </w:rPr>
              <w:t>Multi-Agency Collaboration</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_Toc152017519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7</w:t>
            </w:r>
            <w:r w:rsidR="00237F24" w:rsidRPr="00DD0DD8">
              <w:rPr>
                <w:noProof/>
                <w:webHidden/>
                <w:sz w:val="24"/>
                <w:szCs w:val="24"/>
              </w:rPr>
              <w:fldChar w:fldCharType="end"/>
            </w:r>
          </w:hyperlink>
        </w:p>
        <w:p w14:paraId="5B7FE810" w14:textId="6771DC5C"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0" w:history="1">
            <w:r w:rsidR="00237F24" w:rsidRPr="00DD0DD8">
              <w:rPr>
                <w:rStyle w:val="Hyperlink"/>
                <w:noProof/>
                <w:sz w:val="24"/>
                <w:szCs w:val="24"/>
              </w:rPr>
              <w:t>Accountability and Transparency</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_Toc152017520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7</w:t>
            </w:r>
            <w:r w:rsidR="00237F24" w:rsidRPr="00DD0DD8">
              <w:rPr>
                <w:noProof/>
                <w:webHidden/>
                <w:sz w:val="24"/>
                <w:szCs w:val="24"/>
              </w:rPr>
              <w:fldChar w:fldCharType="end"/>
            </w:r>
          </w:hyperlink>
        </w:p>
        <w:p w14:paraId="54F69510" w14:textId="55E9F670"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1" w:history="1">
            <w:r w:rsidR="00237F24" w:rsidRPr="00DD0DD8">
              <w:rPr>
                <w:rStyle w:val="Hyperlink"/>
                <w:noProof/>
                <w:sz w:val="24"/>
                <w:szCs w:val="24"/>
              </w:rPr>
              <w:t>Children's Safeguarding</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_Toc152017521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7</w:t>
            </w:r>
            <w:r w:rsidR="00237F24" w:rsidRPr="00DD0DD8">
              <w:rPr>
                <w:noProof/>
                <w:webHidden/>
                <w:sz w:val="24"/>
                <w:szCs w:val="24"/>
              </w:rPr>
              <w:fldChar w:fldCharType="end"/>
            </w:r>
          </w:hyperlink>
        </w:p>
        <w:p w14:paraId="12C16C32" w14:textId="1793E670"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2" w:history="1">
            <w:r w:rsidR="00237F24" w:rsidRPr="00DD0DD8">
              <w:rPr>
                <w:rStyle w:val="Hyperlink"/>
                <w:noProof/>
                <w:sz w:val="24"/>
                <w:szCs w:val="24"/>
              </w:rPr>
              <w:t>Vetting and Recruitment</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_Toc152017522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7</w:t>
            </w:r>
            <w:r w:rsidR="00237F24" w:rsidRPr="00DD0DD8">
              <w:rPr>
                <w:noProof/>
                <w:webHidden/>
                <w:sz w:val="24"/>
                <w:szCs w:val="24"/>
              </w:rPr>
              <w:fldChar w:fldCharType="end"/>
            </w:r>
          </w:hyperlink>
        </w:p>
        <w:p w14:paraId="2160646D" w14:textId="24387242" w:rsidR="00237F24" w:rsidRPr="00DD0DD8" w:rsidRDefault="00000000"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3" w:history="1">
            <w:r w:rsidR="00237F24" w:rsidRPr="00DD0DD8">
              <w:rPr>
                <w:rStyle w:val="Hyperlink"/>
                <w:noProof/>
                <w:sz w:val="24"/>
                <w:szCs w:val="24"/>
              </w:rPr>
              <w:t>Lessons Learned and Reforms</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_Toc152017523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8</w:t>
            </w:r>
            <w:r w:rsidR="00237F24" w:rsidRPr="00DD0DD8">
              <w:rPr>
                <w:noProof/>
                <w:webHidden/>
                <w:sz w:val="24"/>
                <w:szCs w:val="24"/>
              </w:rPr>
              <w:fldChar w:fldCharType="end"/>
            </w:r>
          </w:hyperlink>
        </w:p>
        <w:p w14:paraId="09F96E29" w14:textId="79DEF24A"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4" w:history="1">
            <w:r w:rsidR="00237F24" w:rsidRPr="00DD0DD8">
              <w:rPr>
                <w:rStyle w:val="Hyperlink"/>
                <w:noProof/>
                <w:sz w:val="24"/>
                <w:szCs w:val="24"/>
              </w:rPr>
              <w:t>Improved Multi-Agency Collaboration</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_Toc152017524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8</w:t>
            </w:r>
            <w:r w:rsidR="00237F24" w:rsidRPr="00DD0DD8">
              <w:rPr>
                <w:noProof/>
                <w:webHidden/>
                <w:sz w:val="24"/>
                <w:szCs w:val="24"/>
              </w:rPr>
              <w:fldChar w:fldCharType="end"/>
            </w:r>
          </w:hyperlink>
        </w:p>
        <w:p w14:paraId="4103D617" w14:textId="5AD9D2CB"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5" w:history="1">
            <w:r w:rsidR="00237F24" w:rsidRPr="00DD0DD8">
              <w:rPr>
                <w:rStyle w:val="Hyperlink"/>
                <w:noProof/>
                <w:sz w:val="24"/>
                <w:szCs w:val="24"/>
              </w:rPr>
              <w:t>Enhanced Training and Supervision</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_Toc152017525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8</w:t>
            </w:r>
            <w:r w:rsidR="00237F24" w:rsidRPr="00DD0DD8">
              <w:rPr>
                <w:noProof/>
                <w:webHidden/>
                <w:sz w:val="24"/>
                <w:szCs w:val="24"/>
              </w:rPr>
              <w:fldChar w:fldCharType="end"/>
            </w:r>
          </w:hyperlink>
        </w:p>
        <w:p w14:paraId="4B38F6DD" w14:textId="3A097514"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6" w:history="1">
            <w:r w:rsidR="00237F24" w:rsidRPr="00DD0DD8">
              <w:rPr>
                <w:rStyle w:val="Hyperlink"/>
                <w:noProof/>
                <w:sz w:val="24"/>
                <w:szCs w:val="24"/>
              </w:rPr>
              <w:t>Focus on Frontline Practices</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_Toc152017526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9</w:t>
            </w:r>
            <w:r w:rsidR="00237F24" w:rsidRPr="00DD0DD8">
              <w:rPr>
                <w:noProof/>
                <w:webHidden/>
                <w:sz w:val="24"/>
                <w:szCs w:val="24"/>
              </w:rPr>
              <w:fldChar w:fldCharType="end"/>
            </w:r>
          </w:hyperlink>
        </w:p>
        <w:p w14:paraId="63635333" w14:textId="1F97A959"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7" w:history="1">
            <w:r w:rsidR="00237F24" w:rsidRPr="00DD0DD8">
              <w:rPr>
                <w:rStyle w:val="Hyperlink"/>
                <w:noProof/>
                <w:sz w:val="24"/>
                <w:szCs w:val="24"/>
              </w:rPr>
              <w:t>Increased Accountability and Scrutiny</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_Toc152017527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9</w:t>
            </w:r>
            <w:r w:rsidR="00237F24" w:rsidRPr="00DD0DD8">
              <w:rPr>
                <w:noProof/>
                <w:webHidden/>
                <w:sz w:val="24"/>
                <w:szCs w:val="24"/>
              </w:rPr>
              <w:fldChar w:fldCharType="end"/>
            </w:r>
          </w:hyperlink>
        </w:p>
        <w:p w14:paraId="747BC056" w14:textId="30876D93" w:rsidR="00237F24" w:rsidRPr="00DD0DD8" w:rsidRDefault="00000000" w:rsidP="0034106C">
          <w:pPr>
            <w:pStyle w:val="TOC2"/>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8" w:history="1">
            <w:r w:rsidR="00237F24" w:rsidRPr="00DD0DD8">
              <w:rPr>
                <w:rStyle w:val="Hyperlink"/>
                <w:noProof/>
                <w:sz w:val="24"/>
                <w:szCs w:val="24"/>
              </w:rPr>
              <w:t>Emphasis on the Voice of the Child</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_Toc152017528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9</w:t>
            </w:r>
            <w:r w:rsidR="00237F24" w:rsidRPr="00DD0DD8">
              <w:rPr>
                <w:noProof/>
                <w:webHidden/>
                <w:sz w:val="24"/>
                <w:szCs w:val="24"/>
              </w:rPr>
              <w:fldChar w:fldCharType="end"/>
            </w:r>
          </w:hyperlink>
        </w:p>
        <w:p w14:paraId="4A8EAA43" w14:textId="0CE9EEB7" w:rsidR="00237F24" w:rsidRPr="00DD0DD8" w:rsidRDefault="00000000"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29" w:history="1">
            <w:r w:rsidR="00237F24" w:rsidRPr="00DD0DD8">
              <w:rPr>
                <w:rStyle w:val="Hyperlink"/>
                <w:noProof/>
                <w:sz w:val="24"/>
                <w:szCs w:val="24"/>
              </w:rPr>
              <w:t>Theories:</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_Toc152017529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9</w:t>
            </w:r>
            <w:r w:rsidR="00237F24" w:rsidRPr="00DD0DD8">
              <w:rPr>
                <w:noProof/>
                <w:webHidden/>
                <w:sz w:val="24"/>
                <w:szCs w:val="24"/>
              </w:rPr>
              <w:fldChar w:fldCharType="end"/>
            </w:r>
          </w:hyperlink>
        </w:p>
        <w:p w14:paraId="5E26B277" w14:textId="5A27CE00" w:rsidR="00237F24" w:rsidRPr="00DD0DD8" w:rsidRDefault="00000000" w:rsidP="0034106C">
          <w:pPr>
            <w:pStyle w:val="TOC1"/>
            <w:tabs>
              <w:tab w:val="right" w:leader="dot" w:pos="9016"/>
            </w:tabs>
            <w:jc w:val="both"/>
            <w:rPr>
              <w:rFonts w:asciiTheme="minorHAnsi" w:eastAsiaTheme="minorEastAsia" w:hAnsiTheme="minorHAnsi" w:cstheme="minorBidi"/>
              <w:noProof/>
              <w:kern w:val="2"/>
              <w:sz w:val="24"/>
              <w:szCs w:val="24"/>
              <w14:ligatures w14:val="standardContextual"/>
            </w:rPr>
          </w:pPr>
          <w:hyperlink w:anchor="_Toc152017530" w:history="1">
            <w:r w:rsidR="00237F24" w:rsidRPr="00DD0DD8">
              <w:rPr>
                <w:rStyle w:val="Hyperlink"/>
                <w:noProof/>
                <w:sz w:val="24"/>
                <w:szCs w:val="24"/>
              </w:rPr>
              <w:t>Conclusion</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_Toc152017530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11</w:t>
            </w:r>
            <w:r w:rsidR="00237F24" w:rsidRPr="00DD0DD8">
              <w:rPr>
                <w:noProof/>
                <w:webHidden/>
                <w:sz w:val="24"/>
                <w:szCs w:val="24"/>
              </w:rPr>
              <w:fldChar w:fldCharType="end"/>
            </w:r>
          </w:hyperlink>
        </w:p>
        <w:p w14:paraId="0D996F2D" w14:textId="35649CC7" w:rsidR="00237F24" w:rsidRDefault="00000000" w:rsidP="0034106C">
          <w:pPr>
            <w:pStyle w:val="TOC1"/>
            <w:tabs>
              <w:tab w:val="right" w:leader="dot" w:pos="9016"/>
            </w:tabs>
            <w:jc w:val="both"/>
            <w:rPr>
              <w:rFonts w:asciiTheme="minorHAnsi" w:eastAsiaTheme="minorEastAsia" w:hAnsiTheme="minorHAnsi" w:cstheme="minorBidi"/>
              <w:noProof/>
              <w:kern w:val="2"/>
              <w:sz w:val="22"/>
              <w:szCs w:val="22"/>
              <w14:ligatures w14:val="standardContextual"/>
            </w:rPr>
          </w:pPr>
          <w:hyperlink w:anchor="_Toc152017531" w:history="1">
            <w:r w:rsidR="00237F24" w:rsidRPr="00DD0DD8">
              <w:rPr>
                <w:rStyle w:val="Hyperlink"/>
                <w:noProof/>
                <w:sz w:val="24"/>
                <w:szCs w:val="24"/>
              </w:rPr>
              <w:t>References</w:t>
            </w:r>
            <w:r w:rsidR="00237F24" w:rsidRPr="00DD0DD8">
              <w:rPr>
                <w:noProof/>
                <w:webHidden/>
                <w:sz w:val="24"/>
                <w:szCs w:val="24"/>
              </w:rPr>
              <w:tab/>
            </w:r>
            <w:r w:rsidR="00237F24" w:rsidRPr="00DD0DD8">
              <w:rPr>
                <w:noProof/>
                <w:webHidden/>
                <w:sz w:val="24"/>
                <w:szCs w:val="24"/>
              </w:rPr>
              <w:fldChar w:fldCharType="begin"/>
            </w:r>
            <w:r w:rsidR="00237F24" w:rsidRPr="00DD0DD8">
              <w:rPr>
                <w:noProof/>
                <w:webHidden/>
                <w:sz w:val="24"/>
                <w:szCs w:val="24"/>
              </w:rPr>
              <w:instrText xml:space="preserve"> PAGEREF _Toc152017531 \h </w:instrText>
            </w:r>
            <w:r w:rsidR="00237F24" w:rsidRPr="00DD0DD8">
              <w:rPr>
                <w:noProof/>
                <w:webHidden/>
                <w:sz w:val="24"/>
                <w:szCs w:val="24"/>
              </w:rPr>
            </w:r>
            <w:r w:rsidR="00237F24" w:rsidRPr="00DD0DD8">
              <w:rPr>
                <w:noProof/>
                <w:webHidden/>
                <w:sz w:val="24"/>
                <w:szCs w:val="24"/>
              </w:rPr>
              <w:fldChar w:fldCharType="separate"/>
            </w:r>
            <w:r w:rsidR="00660E91">
              <w:rPr>
                <w:noProof/>
                <w:webHidden/>
                <w:sz w:val="24"/>
                <w:szCs w:val="24"/>
              </w:rPr>
              <w:t>12</w:t>
            </w:r>
            <w:r w:rsidR="00237F24" w:rsidRPr="00DD0DD8">
              <w:rPr>
                <w:noProof/>
                <w:webHidden/>
                <w:sz w:val="24"/>
                <w:szCs w:val="24"/>
              </w:rPr>
              <w:fldChar w:fldCharType="end"/>
            </w:r>
          </w:hyperlink>
        </w:p>
        <w:p w14:paraId="06410DF6" w14:textId="36DC3EE5" w:rsidR="00237F24" w:rsidRDefault="00237F24" w:rsidP="0034106C">
          <w:pPr>
            <w:jc w:val="both"/>
          </w:pPr>
          <w:r>
            <w:rPr>
              <w:b/>
              <w:bCs/>
              <w:noProof/>
            </w:rPr>
            <w:fldChar w:fldCharType="end"/>
          </w:r>
        </w:p>
      </w:sdtContent>
    </w:sdt>
    <w:p w14:paraId="79073224" w14:textId="77777777" w:rsidR="00AA775B" w:rsidRPr="00AA775B" w:rsidRDefault="00AA775B" w:rsidP="0034106C">
      <w:pPr>
        <w:spacing w:line="360" w:lineRule="auto"/>
        <w:jc w:val="both"/>
        <w:rPr>
          <w:rFonts w:ascii="Arial" w:hAnsi="Arial" w:cs="Arial"/>
          <w:bCs/>
          <w:sz w:val="24"/>
          <w:szCs w:val="24"/>
        </w:rPr>
      </w:pPr>
    </w:p>
    <w:p w14:paraId="5118061C" w14:textId="77777777" w:rsidR="00AA775B" w:rsidRPr="00AA775B" w:rsidRDefault="00AA775B" w:rsidP="0034106C">
      <w:pPr>
        <w:spacing w:line="360" w:lineRule="auto"/>
        <w:jc w:val="both"/>
        <w:rPr>
          <w:rFonts w:ascii="Arial" w:hAnsi="Arial" w:cs="Arial"/>
          <w:bCs/>
          <w:sz w:val="24"/>
          <w:szCs w:val="24"/>
        </w:rPr>
      </w:pPr>
    </w:p>
    <w:p w14:paraId="598AFFAF" w14:textId="77777777" w:rsidR="00AA775B" w:rsidRPr="00AA775B" w:rsidRDefault="00AA775B" w:rsidP="0034106C">
      <w:pPr>
        <w:spacing w:line="360" w:lineRule="auto"/>
        <w:jc w:val="both"/>
        <w:rPr>
          <w:rFonts w:ascii="Arial" w:hAnsi="Arial" w:cs="Arial"/>
          <w:bCs/>
          <w:sz w:val="24"/>
          <w:szCs w:val="24"/>
        </w:rPr>
      </w:pPr>
    </w:p>
    <w:p w14:paraId="74D317AA" w14:textId="77777777" w:rsidR="00AA775B" w:rsidRPr="00AA775B" w:rsidRDefault="00AA775B" w:rsidP="0034106C">
      <w:pPr>
        <w:spacing w:line="360" w:lineRule="auto"/>
        <w:jc w:val="both"/>
        <w:rPr>
          <w:rFonts w:ascii="Arial" w:hAnsi="Arial" w:cs="Arial"/>
          <w:bCs/>
          <w:sz w:val="24"/>
          <w:szCs w:val="24"/>
        </w:rPr>
      </w:pPr>
    </w:p>
    <w:p w14:paraId="68A8D563" w14:textId="77777777" w:rsidR="00AA775B" w:rsidRPr="00AA775B" w:rsidRDefault="00AA775B" w:rsidP="0034106C">
      <w:pPr>
        <w:spacing w:line="360" w:lineRule="auto"/>
        <w:jc w:val="both"/>
        <w:rPr>
          <w:rFonts w:ascii="Arial" w:hAnsi="Arial" w:cs="Arial"/>
          <w:bCs/>
          <w:sz w:val="24"/>
          <w:szCs w:val="24"/>
        </w:rPr>
      </w:pPr>
    </w:p>
    <w:p w14:paraId="4E0A14BD" w14:textId="77777777" w:rsidR="00AA775B" w:rsidRPr="00AA775B" w:rsidRDefault="00AA775B" w:rsidP="0034106C">
      <w:pPr>
        <w:spacing w:line="360" w:lineRule="auto"/>
        <w:jc w:val="both"/>
        <w:rPr>
          <w:rFonts w:ascii="Arial" w:hAnsi="Arial" w:cs="Arial"/>
          <w:bCs/>
          <w:sz w:val="24"/>
          <w:szCs w:val="24"/>
        </w:rPr>
      </w:pPr>
    </w:p>
    <w:p w14:paraId="0A814843" w14:textId="77777777" w:rsidR="00AA775B" w:rsidRPr="00AA775B" w:rsidRDefault="00AA775B" w:rsidP="0034106C">
      <w:pPr>
        <w:spacing w:line="360" w:lineRule="auto"/>
        <w:jc w:val="both"/>
        <w:rPr>
          <w:rFonts w:ascii="Arial" w:hAnsi="Arial" w:cs="Arial"/>
          <w:sz w:val="24"/>
          <w:szCs w:val="24"/>
        </w:rPr>
      </w:pPr>
    </w:p>
    <w:p w14:paraId="3CEF970C" w14:textId="77777777" w:rsidR="00AA775B" w:rsidRPr="00AA775B" w:rsidRDefault="00AA775B" w:rsidP="0034106C">
      <w:pPr>
        <w:spacing w:line="360" w:lineRule="auto"/>
        <w:jc w:val="both"/>
        <w:rPr>
          <w:rFonts w:ascii="Arial" w:hAnsi="Arial" w:cs="Arial"/>
          <w:sz w:val="24"/>
          <w:szCs w:val="24"/>
        </w:rPr>
      </w:pPr>
    </w:p>
    <w:p w14:paraId="7EC76D20" w14:textId="77777777" w:rsidR="00AA775B" w:rsidRPr="00AA775B" w:rsidRDefault="00AA775B" w:rsidP="0034106C">
      <w:pPr>
        <w:spacing w:line="360" w:lineRule="auto"/>
        <w:jc w:val="both"/>
        <w:rPr>
          <w:rFonts w:ascii="Arial" w:hAnsi="Arial" w:cs="Arial"/>
          <w:sz w:val="24"/>
          <w:szCs w:val="24"/>
        </w:rPr>
      </w:pPr>
    </w:p>
    <w:p w14:paraId="2E17A9E4" w14:textId="77777777" w:rsidR="00F27E48" w:rsidRPr="00AA775B" w:rsidRDefault="00F27E48" w:rsidP="0034106C">
      <w:pPr>
        <w:spacing w:line="360" w:lineRule="auto"/>
        <w:jc w:val="both"/>
        <w:rPr>
          <w:rFonts w:ascii="Arial" w:hAnsi="Arial" w:cs="Arial"/>
          <w:sz w:val="24"/>
          <w:szCs w:val="24"/>
        </w:rPr>
      </w:pPr>
    </w:p>
    <w:p w14:paraId="2F87D71B" w14:textId="77777777" w:rsidR="00AA775B" w:rsidRPr="00AA775B" w:rsidRDefault="00AA775B" w:rsidP="0034106C">
      <w:pPr>
        <w:spacing w:line="360" w:lineRule="auto"/>
        <w:jc w:val="both"/>
        <w:rPr>
          <w:rFonts w:ascii="Arial" w:hAnsi="Arial" w:cs="Arial"/>
          <w:sz w:val="24"/>
          <w:szCs w:val="24"/>
        </w:rPr>
      </w:pPr>
    </w:p>
    <w:p w14:paraId="0AF5314B" w14:textId="3846F20C" w:rsidR="00F27E48" w:rsidRPr="00544F19" w:rsidRDefault="00F27E48" w:rsidP="0034106C">
      <w:pPr>
        <w:pStyle w:val="Heading1"/>
        <w:spacing w:line="360" w:lineRule="auto"/>
        <w:jc w:val="both"/>
        <w:rPr>
          <w:b/>
          <w:bCs/>
        </w:rPr>
      </w:pPr>
      <w:bookmarkStart w:id="0" w:name="_Toc152017510"/>
      <w:r w:rsidRPr="00544F19">
        <w:rPr>
          <w:b/>
          <w:bCs/>
        </w:rPr>
        <w:t>Introduction</w:t>
      </w:r>
      <w:bookmarkEnd w:id="0"/>
    </w:p>
    <w:p w14:paraId="5708FDA8" w14:textId="77777777" w:rsidR="004565AB" w:rsidRDefault="004565AB" w:rsidP="0034106C">
      <w:pPr>
        <w:spacing w:line="360" w:lineRule="auto"/>
        <w:jc w:val="both"/>
        <w:rPr>
          <w:rFonts w:ascii="Arial" w:hAnsi="Arial" w:cs="Arial"/>
          <w:sz w:val="24"/>
          <w:szCs w:val="24"/>
        </w:rPr>
      </w:pPr>
      <w:r w:rsidRPr="004565AB">
        <w:rPr>
          <w:rFonts w:ascii="Arial" w:hAnsi="Arial" w:cs="Arial"/>
          <w:sz w:val="24"/>
          <w:szCs w:val="24"/>
        </w:rPr>
        <w:t>The UK is committed to safeguarding those who are vulnerable and promoting their well-being, and safeguarding policies and procedures are essential parts of this. Together, these rules provide a strong foundation for preventing and dealing with diverse kinds of abuse, neglect, and exploitation in a variety of contexts. This essay examines the historical evolution, guiding concepts, and real-world applications of safeguarding laws and procedures in the UK, highlighting their enormous significance. Two well-known safeguarding cases from the previous 20 years are also brought up to enhance the conversation and highlight the real-world effects of both insufficient and effective safeguarding measures.</w:t>
      </w:r>
    </w:p>
    <w:p w14:paraId="4A7A511C" w14:textId="4A133A79" w:rsidR="00082939" w:rsidRDefault="00D366AE" w:rsidP="0034106C">
      <w:pPr>
        <w:spacing w:line="360" w:lineRule="auto"/>
        <w:jc w:val="both"/>
        <w:rPr>
          <w:rFonts w:ascii="Arial" w:hAnsi="Arial" w:cs="Arial"/>
          <w:sz w:val="24"/>
          <w:szCs w:val="24"/>
        </w:rPr>
      </w:pPr>
      <w:r w:rsidRPr="00CF00E1">
        <w:rPr>
          <w:rFonts w:ascii="Arial" w:hAnsi="Arial" w:cs="Arial"/>
          <w:b/>
          <w:bCs/>
          <w:sz w:val="24"/>
          <w:szCs w:val="24"/>
        </w:rPr>
        <w:t>Safeguarding</w:t>
      </w:r>
      <w:r w:rsidR="00CF00E1" w:rsidRPr="00CF00E1">
        <w:rPr>
          <w:rFonts w:ascii="Arial" w:hAnsi="Arial" w:cs="Arial"/>
          <w:b/>
          <w:bCs/>
          <w:sz w:val="24"/>
          <w:szCs w:val="24"/>
        </w:rPr>
        <w:t>, policies and procedures</w:t>
      </w:r>
      <w:r w:rsidRPr="00CF00E1">
        <w:rPr>
          <w:rFonts w:ascii="Arial" w:hAnsi="Arial" w:cs="Arial"/>
          <w:b/>
          <w:bCs/>
          <w:sz w:val="24"/>
          <w:szCs w:val="24"/>
        </w:rPr>
        <w:t>:</w:t>
      </w:r>
      <w:r w:rsidRPr="00D366AE">
        <w:rPr>
          <w:rFonts w:ascii="Arial" w:hAnsi="Arial" w:cs="Arial"/>
          <w:sz w:val="24"/>
          <w:szCs w:val="24"/>
        </w:rPr>
        <w:t xml:space="preserve"> </w:t>
      </w:r>
      <w:r w:rsidR="00F56598" w:rsidRPr="00F56598">
        <w:rPr>
          <w:rFonts w:ascii="Arial" w:hAnsi="Arial" w:cs="Arial"/>
          <w:sz w:val="24"/>
          <w:szCs w:val="24"/>
        </w:rPr>
        <w:t>In the UK, the term "safeguarding" refers to the coordinated efforts and policies put in place to shield people—especially vulnerable groups—from danger, abuse, or neglect. It includes a broad range of guidelines and practises designed to stop, recognise, and address possible threats to the health and safety of vulnerable individuals and children. The legal foundation for safeguarding is established by laws like the Children Act 1989 and the Care Act 2014, which highlight the value of person-cantered planning and multi-agency collaboration. The Department of Education's "Working Together to Safeguard Children" (2018) offers guidance on inter-agency cooperation, risk assessment, and the development of a culture that prioritises the welfare of individuals. The Munro Review (2011) emphasises the importance of a child-cantered system.</w:t>
      </w:r>
    </w:p>
    <w:p w14:paraId="3CC688A9" w14:textId="77777777" w:rsidR="00660E91" w:rsidRDefault="00660E91" w:rsidP="0034106C">
      <w:pPr>
        <w:spacing w:line="360" w:lineRule="auto"/>
        <w:jc w:val="both"/>
        <w:rPr>
          <w:rFonts w:ascii="Arial" w:hAnsi="Arial" w:cs="Arial"/>
          <w:sz w:val="24"/>
          <w:szCs w:val="24"/>
        </w:rPr>
      </w:pPr>
    </w:p>
    <w:p w14:paraId="641ED9A6" w14:textId="77777777" w:rsidR="00660E91" w:rsidRDefault="00660E91" w:rsidP="0034106C">
      <w:pPr>
        <w:spacing w:line="360" w:lineRule="auto"/>
        <w:jc w:val="both"/>
        <w:rPr>
          <w:rFonts w:ascii="Arial" w:hAnsi="Arial" w:cs="Arial"/>
          <w:sz w:val="24"/>
          <w:szCs w:val="24"/>
        </w:rPr>
      </w:pPr>
    </w:p>
    <w:p w14:paraId="44FA1023" w14:textId="77777777" w:rsidR="00660E91" w:rsidRDefault="00660E91" w:rsidP="0034106C">
      <w:pPr>
        <w:spacing w:line="360" w:lineRule="auto"/>
        <w:jc w:val="both"/>
        <w:rPr>
          <w:rFonts w:ascii="Arial" w:hAnsi="Arial" w:cs="Arial"/>
          <w:sz w:val="24"/>
          <w:szCs w:val="24"/>
        </w:rPr>
      </w:pPr>
    </w:p>
    <w:p w14:paraId="7E7DCB7E" w14:textId="77777777" w:rsidR="00660E91" w:rsidRDefault="00660E91" w:rsidP="0034106C">
      <w:pPr>
        <w:spacing w:line="360" w:lineRule="auto"/>
        <w:jc w:val="both"/>
        <w:rPr>
          <w:rFonts w:ascii="Arial" w:hAnsi="Arial" w:cs="Arial"/>
          <w:sz w:val="24"/>
          <w:szCs w:val="24"/>
        </w:rPr>
      </w:pPr>
    </w:p>
    <w:p w14:paraId="1A5CE75C" w14:textId="77777777" w:rsidR="00660E91" w:rsidRDefault="00660E91" w:rsidP="0034106C">
      <w:pPr>
        <w:spacing w:line="360" w:lineRule="auto"/>
        <w:jc w:val="both"/>
        <w:rPr>
          <w:rFonts w:ascii="Arial" w:hAnsi="Arial" w:cs="Arial"/>
          <w:sz w:val="24"/>
          <w:szCs w:val="24"/>
        </w:rPr>
      </w:pPr>
    </w:p>
    <w:p w14:paraId="507187B9" w14:textId="77777777" w:rsidR="00660E91" w:rsidRDefault="00660E91" w:rsidP="0034106C">
      <w:pPr>
        <w:spacing w:line="360" w:lineRule="auto"/>
        <w:jc w:val="both"/>
        <w:rPr>
          <w:rFonts w:ascii="Arial" w:hAnsi="Arial" w:cs="Arial"/>
          <w:sz w:val="24"/>
          <w:szCs w:val="24"/>
        </w:rPr>
      </w:pPr>
    </w:p>
    <w:p w14:paraId="75A543A9" w14:textId="77777777" w:rsidR="00660E91" w:rsidRDefault="00660E91" w:rsidP="0034106C">
      <w:pPr>
        <w:spacing w:line="360" w:lineRule="auto"/>
        <w:jc w:val="both"/>
        <w:rPr>
          <w:rFonts w:ascii="Arial" w:hAnsi="Arial" w:cs="Arial"/>
          <w:sz w:val="24"/>
          <w:szCs w:val="24"/>
        </w:rPr>
      </w:pPr>
    </w:p>
    <w:p w14:paraId="63567C4B" w14:textId="77777777" w:rsidR="00660E91" w:rsidRDefault="00660E91" w:rsidP="0034106C">
      <w:pPr>
        <w:spacing w:line="360" w:lineRule="auto"/>
        <w:jc w:val="both"/>
        <w:rPr>
          <w:rFonts w:ascii="Arial" w:hAnsi="Arial" w:cs="Arial"/>
          <w:sz w:val="24"/>
          <w:szCs w:val="24"/>
        </w:rPr>
      </w:pPr>
    </w:p>
    <w:p w14:paraId="31E5B474" w14:textId="6360F7C4" w:rsidR="00F27E48" w:rsidRPr="00544F19" w:rsidRDefault="00F27E48" w:rsidP="0034106C">
      <w:pPr>
        <w:pStyle w:val="Heading1"/>
        <w:spacing w:line="360" w:lineRule="auto"/>
        <w:jc w:val="both"/>
        <w:rPr>
          <w:b/>
          <w:bCs/>
        </w:rPr>
      </w:pPr>
      <w:bookmarkStart w:id="1" w:name="_Toc152017511"/>
      <w:r w:rsidRPr="00544F19">
        <w:rPr>
          <w:b/>
          <w:bCs/>
        </w:rPr>
        <w:lastRenderedPageBreak/>
        <w:t>Evolution and Legal Foundations</w:t>
      </w:r>
      <w:bookmarkEnd w:id="1"/>
    </w:p>
    <w:p w14:paraId="54489BA2" w14:textId="6CF106CE" w:rsidR="00F27E48" w:rsidRPr="00AA775B" w:rsidRDefault="000732E4" w:rsidP="0034106C">
      <w:pPr>
        <w:spacing w:line="360" w:lineRule="auto"/>
        <w:jc w:val="both"/>
        <w:rPr>
          <w:rFonts w:ascii="Arial" w:hAnsi="Arial" w:cs="Arial"/>
          <w:sz w:val="24"/>
          <w:szCs w:val="24"/>
        </w:rPr>
      </w:pPr>
      <w:r w:rsidRPr="000732E4">
        <w:rPr>
          <w:rFonts w:ascii="Arial" w:hAnsi="Arial" w:cs="Arial"/>
          <w:sz w:val="24"/>
          <w:szCs w:val="24"/>
        </w:rPr>
        <w:t>The creation of a comprehensive legal framework in the UK is directly linked to the evolution of safeguarding measures. The legal foundation for safeguarding procedures is established by laws like the Mental Capacity Act of 2005, the Care Act of 2014, and the Children Act of 1989, along with its 2004 modifications. These laws outline the obligations of individuals, groups, and authorities in preventing and responding to harm, and they also define the duty of care due to vulnerable populations. The legal framework describes the consequences of not abiding by safeguarding commitments in addition to setting criteria for appropriate behaviour</w:t>
      </w:r>
      <w:r>
        <w:rPr>
          <w:rFonts w:ascii="Arial" w:hAnsi="Arial" w:cs="Arial"/>
          <w:sz w:val="24"/>
          <w:szCs w:val="24"/>
        </w:rPr>
        <w:t xml:space="preserve"> </w:t>
      </w:r>
      <w:r w:rsidR="00F27E48" w:rsidRPr="00AA775B">
        <w:rPr>
          <w:rFonts w:ascii="Arial" w:hAnsi="Arial" w:cs="Arial"/>
          <w:sz w:val="24"/>
          <w:szCs w:val="24"/>
        </w:rPr>
        <w:t>(Department for Education, 2018).</w:t>
      </w:r>
    </w:p>
    <w:p w14:paraId="0087795C" w14:textId="77777777" w:rsidR="00F27E48" w:rsidRPr="00544F19" w:rsidRDefault="00F27E48" w:rsidP="0034106C">
      <w:pPr>
        <w:pStyle w:val="Heading1"/>
        <w:spacing w:line="360" w:lineRule="auto"/>
        <w:jc w:val="both"/>
        <w:rPr>
          <w:b/>
          <w:bCs/>
        </w:rPr>
      </w:pPr>
      <w:bookmarkStart w:id="2" w:name="_Toc152017512"/>
      <w:r w:rsidRPr="00544F19">
        <w:rPr>
          <w:b/>
          <w:bCs/>
        </w:rPr>
        <w:t>Prevention and Early Intervention</w:t>
      </w:r>
      <w:bookmarkEnd w:id="2"/>
    </w:p>
    <w:p w14:paraId="68477A4A" w14:textId="3AA86EFB" w:rsidR="00F27E48" w:rsidRPr="00AA775B" w:rsidRDefault="00A126D9" w:rsidP="0034106C">
      <w:pPr>
        <w:spacing w:line="360" w:lineRule="auto"/>
        <w:jc w:val="both"/>
        <w:rPr>
          <w:rFonts w:ascii="Arial" w:hAnsi="Arial" w:cs="Arial"/>
          <w:sz w:val="24"/>
          <w:szCs w:val="24"/>
        </w:rPr>
      </w:pPr>
      <w:r w:rsidRPr="00A126D9">
        <w:rPr>
          <w:rFonts w:ascii="Arial" w:hAnsi="Arial" w:cs="Arial"/>
          <w:sz w:val="24"/>
          <w:szCs w:val="24"/>
        </w:rPr>
        <w:t>The main goals of safeguarding policies are to stop abuse and neglect, with an emphasis on identifying potential dangers and establishing appropriate behavioural standards. These regulations give people and organisations the power to establish surroundings that promote wellbeing. A key component of these policies is early intervention, which emphasises the prompt identification and reporting of safeguarding concerns. The standards furnish professionals and community members with the necessary tools to recognise indicators of abuse, enabling timely responses to minimise harm</w:t>
      </w:r>
      <w:r w:rsidR="00F27E48" w:rsidRPr="00AA775B">
        <w:rPr>
          <w:rFonts w:ascii="Arial" w:hAnsi="Arial" w:cs="Arial"/>
          <w:sz w:val="24"/>
          <w:szCs w:val="24"/>
        </w:rPr>
        <w:t xml:space="preserve"> (Brandon et al., 2019).</w:t>
      </w:r>
    </w:p>
    <w:p w14:paraId="192B47BF" w14:textId="77777777" w:rsidR="00F27E48" w:rsidRPr="00544F19" w:rsidRDefault="00F27E48" w:rsidP="0034106C">
      <w:pPr>
        <w:pStyle w:val="Heading1"/>
        <w:spacing w:line="360" w:lineRule="auto"/>
        <w:jc w:val="both"/>
        <w:rPr>
          <w:b/>
          <w:bCs/>
        </w:rPr>
      </w:pPr>
      <w:bookmarkStart w:id="3" w:name="_Toc152017513"/>
      <w:r w:rsidRPr="00544F19">
        <w:rPr>
          <w:b/>
          <w:bCs/>
        </w:rPr>
        <w:t>Multi-Agency Collaboration and Accountability</w:t>
      </w:r>
      <w:bookmarkEnd w:id="3"/>
    </w:p>
    <w:p w14:paraId="2C6C27AE" w14:textId="7EECD7DD" w:rsidR="00F27E48" w:rsidRPr="00AA775B" w:rsidRDefault="00AD5547" w:rsidP="0034106C">
      <w:pPr>
        <w:spacing w:line="360" w:lineRule="auto"/>
        <w:jc w:val="both"/>
        <w:rPr>
          <w:rFonts w:ascii="Arial" w:hAnsi="Arial" w:cs="Arial"/>
          <w:sz w:val="24"/>
          <w:szCs w:val="24"/>
        </w:rPr>
      </w:pPr>
      <w:r w:rsidRPr="00AD5547">
        <w:rPr>
          <w:rFonts w:ascii="Arial" w:hAnsi="Arial" w:cs="Arial"/>
          <w:sz w:val="24"/>
          <w:szCs w:val="24"/>
        </w:rPr>
        <w:t>In order to properly handle the complexity of safeguarding concerns, multi-agency collaboration is encouraged by safeguarding policies. These rules encourage collaboration between educational institutions, medical facilities, social service agencies, and law enforcement in child-related matters. This coordinated strategy leverages the knowledge of other sectors to ensure a comprehensive response to safeguarding concerns. Additionally, by outlining roles and responsibilities precisely, safeguarding rules create a foundation for openness and responsibility. Holding people and organisations accountable for their deeds promotes a culture of accountability in safety procedures</w:t>
      </w:r>
      <w:r>
        <w:rPr>
          <w:rFonts w:ascii="Arial" w:hAnsi="Arial" w:cs="Arial"/>
          <w:sz w:val="24"/>
          <w:szCs w:val="24"/>
        </w:rPr>
        <w:t xml:space="preserve"> </w:t>
      </w:r>
      <w:r w:rsidR="00F27E48" w:rsidRPr="00AA775B">
        <w:rPr>
          <w:rFonts w:ascii="Arial" w:hAnsi="Arial" w:cs="Arial"/>
          <w:sz w:val="24"/>
          <w:szCs w:val="24"/>
        </w:rPr>
        <w:t>(Featherstone et al., 2014).</w:t>
      </w:r>
    </w:p>
    <w:p w14:paraId="4C3B0804" w14:textId="77777777" w:rsidR="00F27E48" w:rsidRPr="008729BE" w:rsidRDefault="00F27E48" w:rsidP="0034106C">
      <w:pPr>
        <w:pStyle w:val="Heading1"/>
        <w:spacing w:line="360" w:lineRule="auto"/>
        <w:jc w:val="both"/>
        <w:rPr>
          <w:b/>
          <w:bCs/>
        </w:rPr>
      </w:pPr>
      <w:bookmarkStart w:id="4" w:name="_Toc152017514"/>
      <w:r w:rsidRPr="008729BE">
        <w:rPr>
          <w:b/>
          <w:bCs/>
        </w:rPr>
        <w:lastRenderedPageBreak/>
        <w:t>High-Profile Cases as Catalysts for Change</w:t>
      </w:r>
      <w:bookmarkEnd w:id="4"/>
    </w:p>
    <w:p w14:paraId="0FAF5813" w14:textId="292C1864" w:rsidR="00F27E48" w:rsidRPr="00AA775B" w:rsidRDefault="0026454C" w:rsidP="0034106C">
      <w:pPr>
        <w:spacing w:line="360" w:lineRule="auto"/>
        <w:jc w:val="both"/>
        <w:rPr>
          <w:rFonts w:ascii="Arial" w:hAnsi="Arial" w:cs="Arial"/>
          <w:sz w:val="24"/>
          <w:szCs w:val="24"/>
        </w:rPr>
      </w:pPr>
      <w:r w:rsidRPr="0026454C">
        <w:rPr>
          <w:rFonts w:ascii="Arial" w:hAnsi="Arial" w:cs="Arial"/>
          <w:sz w:val="24"/>
          <w:szCs w:val="24"/>
        </w:rPr>
        <w:t xml:space="preserve">The importance of rules for safeguarding is emphasised by well-known incidents that have occurred within the past 20 years. The Victoria Climbié case from 2000 and the Baby P (Peter Connelly) case from 2007 are two such cases that serve as powerful illustrations of the vital significance of efficient safeguarding. These cases—which will be covered in more detail later in this essay—exposed structural flaws and spurred important changes to safeguarding procedures and policies, which shaped the direction of child protection in the UK </w:t>
      </w:r>
      <w:r w:rsidR="00F27E48" w:rsidRPr="00AA775B">
        <w:rPr>
          <w:rFonts w:ascii="Arial" w:hAnsi="Arial" w:cs="Arial"/>
          <w:sz w:val="24"/>
          <w:szCs w:val="24"/>
        </w:rPr>
        <w:t>(Brandon et al., 2017).</w:t>
      </w:r>
    </w:p>
    <w:p w14:paraId="5A0E3D04" w14:textId="77777777" w:rsidR="00E320B1" w:rsidRPr="00E320B1" w:rsidRDefault="00E320B1" w:rsidP="0034106C">
      <w:pPr>
        <w:spacing w:line="360" w:lineRule="auto"/>
        <w:jc w:val="both"/>
        <w:rPr>
          <w:rFonts w:ascii="Arial" w:hAnsi="Arial" w:cs="Arial"/>
          <w:sz w:val="24"/>
          <w:szCs w:val="24"/>
        </w:rPr>
      </w:pPr>
      <w:r w:rsidRPr="00E320B1">
        <w:rPr>
          <w:rFonts w:ascii="Arial" w:hAnsi="Arial" w:cs="Arial"/>
          <w:sz w:val="24"/>
          <w:szCs w:val="24"/>
        </w:rPr>
        <w:t>The Victoria Climbié Case in 2000 and the Baby P (Peter Connelly) Case in 2007 are two tragic incidents that showed serious weaknesses in the United Kingdom's child protection services. These incidents shaken the country and sparked lengthy investigations into the deficiencies of social services, healthcare, and communication among numerous institutions tasked with protecting children.</w:t>
      </w:r>
    </w:p>
    <w:p w14:paraId="6F47B29E" w14:textId="77777777" w:rsidR="00E320B1" w:rsidRPr="00E320B1" w:rsidRDefault="00E320B1" w:rsidP="0034106C">
      <w:pPr>
        <w:spacing w:line="360" w:lineRule="auto"/>
        <w:jc w:val="both"/>
        <w:rPr>
          <w:rFonts w:ascii="Arial" w:hAnsi="Arial" w:cs="Arial"/>
          <w:sz w:val="24"/>
          <w:szCs w:val="24"/>
        </w:rPr>
      </w:pPr>
      <w:r w:rsidRPr="00E320B1">
        <w:rPr>
          <w:rFonts w:ascii="Arial" w:hAnsi="Arial" w:cs="Arial"/>
          <w:sz w:val="24"/>
          <w:szCs w:val="24"/>
        </w:rPr>
        <w:t>The Victoria Climbié Case broke in 2000, exposing the horrendous torture of an 8-year-old child by her guardians. Victoria's carers, Marie-Thérèse Kouao and Carl Manning, exposed her to physical and emotional abuse for an extended period of time, ultimately resulting to her untimely death. Victoria's suffering went undetected and unaddressed despite multiple contacts with social services, hospital specialists, and the police.</w:t>
      </w:r>
    </w:p>
    <w:p w14:paraId="713B8E66" w14:textId="77777777" w:rsidR="00C81B2F" w:rsidRDefault="00C81B2F" w:rsidP="0034106C">
      <w:pPr>
        <w:spacing w:line="360" w:lineRule="auto"/>
        <w:jc w:val="both"/>
        <w:rPr>
          <w:rFonts w:ascii="Arial" w:hAnsi="Arial" w:cs="Arial"/>
          <w:sz w:val="24"/>
          <w:szCs w:val="24"/>
        </w:rPr>
      </w:pPr>
      <w:r w:rsidRPr="00C81B2F">
        <w:rPr>
          <w:rFonts w:ascii="Arial" w:hAnsi="Arial" w:cs="Arial"/>
          <w:sz w:val="24"/>
          <w:szCs w:val="24"/>
        </w:rPr>
        <w:t>Similarly, in 2007, the Baby P Case involved the death of 17-month-old Peter Connelly, who was repeatedly abused and neglected by his mother, her boyfriend, and their lodger. Peter had several interactions with health and social care providers, yet symptoms of abuse were consistently ignored. His death exposed structural flaws and communication breakdowns in child welfare agencies.</w:t>
      </w:r>
    </w:p>
    <w:p w14:paraId="440653F7" w14:textId="77777777" w:rsidR="00C30F9D" w:rsidRDefault="00C30F9D" w:rsidP="0034106C">
      <w:pPr>
        <w:spacing w:line="360" w:lineRule="auto"/>
        <w:jc w:val="both"/>
        <w:rPr>
          <w:rFonts w:ascii="Arial" w:hAnsi="Arial" w:cs="Arial"/>
          <w:sz w:val="24"/>
          <w:szCs w:val="24"/>
        </w:rPr>
      </w:pPr>
      <w:r w:rsidRPr="00C30F9D">
        <w:rPr>
          <w:rFonts w:ascii="Arial" w:hAnsi="Arial" w:cs="Arial"/>
          <w:sz w:val="24"/>
          <w:szCs w:val="24"/>
        </w:rPr>
        <w:t>A similarity between the two incidents was the ineffective coordination and communication between the several child protection authorities. In the instance of Victoria, the abusers were able to exert systemic control over her, tricking professionals and keeping them from realising the seriousness of the abuse. In a similar vein, Baby P's case demonstrated how important information was withheld from medical professionals, social workers, and police, which impeded a thorough assessment of the child's circumstances.</w:t>
      </w:r>
    </w:p>
    <w:p w14:paraId="2954AC4B" w14:textId="77777777" w:rsidR="00F0230A" w:rsidRDefault="00F0230A" w:rsidP="0034106C">
      <w:pPr>
        <w:spacing w:line="360" w:lineRule="auto"/>
        <w:jc w:val="both"/>
        <w:rPr>
          <w:rFonts w:ascii="Arial" w:hAnsi="Arial" w:cs="Arial"/>
          <w:sz w:val="24"/>
          <w:szCs w:val="24"/>
        </w:rPr>
      </w:pPr>
      <w:r w:rsidRPr="00F0230A">
        <w:rPr>
          <w:rFonts w:ascii="Arial" w:hAnsi="Arial" w:cs="Arial"/>
          <w:sz w:val="24"/>
          <w:szCs w:val="24"/>
        </w:rPr>
        <w:t xml:space="preserve">The investigations that followed these tragedies, such as the Laming Report in the case of Victoria Climbié and the Ofsted report in the case of Baby P, revealed systemic </w:t>
      </w:r>
      <w:r w:rsidRPr="00F0230A">
        <w:rPr>
          <w:rFonts w:ascii="Arial" w:hAnsi="Arial" w:cs="Arial"/>
          <w:sz w:val="24"/>
          <w:szCs w:val="24"/>
        </w:rPr>
        <w:lastRenderedPageBreak/>
        <w:t>flaws in child protection systems. These findings emphasised the importance of greater inter-agency communication, better professional training, and a focus on putting the child's welfare at the core of decision-making processes.</w:t>
      </w:r>
    </w:p>
    <w:p w14:paraId="00A865F9" w14:textId="31AABA58" w:rsidR="00894F9E" w:rsidRDefault="00894F9E" w:rsidP="0034106C">
      <w:pPr>
        <w:spacing w:line="360" w:lineRule="auto"/>
        <w:jc w:val="both"/>
        <w:rPr>
          <w:rFonts w:ascii="Arial" w:hAnsi="Arial" w:cs="Arial"/>
          <w:sz w:val="24"/>
          <w:szCs w:val="24"/>
        </w:rPr>
      </w:pPr>
      <w:r w:rsidRPr="00894F9E">
        <w:rPr>
          <w:rFonts w:ascii="Arial" w:hAnsi="Arial" w:cs="Arial"/>
          <w:sz w:val="24"/>
          <w:szCs w:val="24"/>
        </w:rPr>
        <w:t xml:space="preserve">The Victoria Climbié and Baby P incidents resulted in substantial changes to child safety policies in the United Kingdom. The administration instituted initiatives such as </w:t>
      </w:r>
      <w:r w:rsidR="00956614" w:rsidRPr="00894F9E">
        <w:rPr>
          <w:rFonts w:ascii="Arial" w:hAnsi="Arial" w:cs="Arial"/>
          <w:sz w:val="24"/>
          <w:szCs w:val="24"/>
        </w:rPr>
        <w:t>Every</w:t>
      </w:r>
      <w:r w:rsidRPr="00894F9E">
        <w:rPr>
          <w:rFonts w:ascii="Arial" w:hAnsi="Arial" w:cs="Arial"/>
          <w:sz w:val="24"/>
          <w:szCs w:val="24"/>
        </w:rPr>
        <w:t xml:space="preserve"> Child Matters framework, which emphasised the significance of collaboration and communication among many organisations in order to guarantee a holistic approach to </w:t>
      </w:r>
      <w:r w:rsidR="00660E91" w:rsidRPr="00894F9E">
        <w:rPr>
          <w:rFonts w:ascii="Arial" w:hAnsi="Arial" w:cs="Arial"/>
          <w:sz w:val="24"/>
          <w:szCs w:val="24"/>
        </w:rPr>
        <w:t>childcare</w:t>
      </w:r>
      <w:r w:rsidRPr="00894F9E">
        <w:rPr>
          <w:rFonts w:ascii="Arial" w:hAnsi="Arial" w:cs="Arial"/>
          <w:sz w:val="24"/>
          <w:szCs w:val="24"/>
        </w:rPr>
        <w:t>. Furthermore, the Munro Review, published in 2011, emphasised the significance of minimising bureaucracy and supporting expert judgement in order to promote a more child-</w:t>
      </w:r>
      <w:r w:rsidR="00956614" w:rsidRPr="00894F9E">
        <w:rPr>
          <w:rFonts w:ascii="Arial" w:hAnsi="Arial" w:cs="Arial"/>
          <w:sz w:val="24"/>
          <w:szCs w:val="24"/>
        </w:rPr>
        <w:t>cantered</w:t>
      </w:r>
      <w:r w:rsidRPr="00894F9E">
        <w:rPr>
          <w:rFonts w:ascii="Arial" w:hAnsi="Arial" w:cs="Arial"/>
          <w:sz w:val="24"/>
          <w:szCs w:val="24"/>
        </w:rPr>
        <w:t xml:space="preserve"> and less process-driven approach.</w:t>
      </w:r>
    </w:p>
    <w:p w14:paraId="385525CA" w14:textId="380E3BB2" w:rsidR="0036132B" w:rsidRDefault="00CE42BB" w:rsidP="00660E91">
      <w:pPr>
        <w:spacing w:line="360" w:lineRule="auto"/>
        <w:jc w:val="both"/>
        <w:rPr>
          <w:rFonts w:ascii="Arial" w:hAnsi="Arial" w:cs="Arial"/>
          <w:sz w:val="24"/>
          <w:szCs w:val="24"/>
        </w:rPr>
      </w:pPr>
      <w:r w:rsidRPr="00CE42BB">
        <w:rPr>
          <w:rFonts w:ascii="Arial" w:hAnsi="Arial" w:cs="Arial"/>
          <w:sz w:val="24"/>
          <w:szCs w:val="24"/>
        </w:rPr>
        <w:t>Despite these steps, maintaining the safety of vulnerable children remains a struggle. The examples highlighted the need for a culture transformation within child welfare agencies, emphasising a proactive and watchful approach to identifying and responding to indicators of abuse. Continuous training and professional development for child protection workers, as well as strict supervision and oversight, are critical components of an efficient child safeguarding system.</w:t>
      </w:r>
      <w:bookmarkStart w:id="5" w:name="_Toc152017515"/>
      <w:r w:rsidR="00660E91">
        <w:rPr>
          <w:rFonts w:ascii="Arial" w:hAnsi="Arial" w:cs="Arial"/>
          <w:sz w:val="24"/>
          <w:szCs w:val="24"/>
        </w:rPr>
        <w:t xml:space="preserve"> </w:t>
      </w:r>
      <w:r w:rsidR="0036132B" w:rsidRPr="0036132B">
        <w:rPr>
          <w:rFonts w:ascii="Arial" w:hAnsi="Arial" w:cs="Arial"/>
          <w:sz w:val="24"/>
          <w:szCs w:val="24"/>
        </w:rPr>
        <w:t>Finally, the Victoria Climbié and Baby P cases were critical in exposing flaws in the UK's child protection procedures. The terrible deaths of these children triggered a rethinking of policies and practises, resulting in important improvements aimed at increasing communication, collaboration, and general effectiveness in child safety. However, continued efforts are required to ensure that these reforms result in actual improvements in the safety and well-being of vulnerable children throughout the country.</w:t>
      </w:r>
    </w:p>
    <w:p w14:paraId="260EB4A0" w14:textId="699FF1DB" w:rsidR="008729BE" w:rsidRPr="00A23782" w:rsidRDefault="008729BE" w:rsidP="0034106C">
      <w:pPr>
        <w:pStyle w:val="Heading1"/>
        <w:spacing w:line="360" w:lineRule="auto"/>
        <w:jc w:val="both"/>
        <w:rPr>
          <w:b/>
          <w:bCs/>
        </w:rPr>
      </w:pPr>
      <w:r w:rsidRPr="00A23782">
        <w:rPr>
          <w:b/>
          <w:bCs/>
        </w:rPr>
        <w:lastRenderedPageBreak/>
        <w:t>Importance of Safeguarding Policies and Procedures</w:t>
      </w:r>
      <w:bookmarkEnd w:id="5"/>
    </w:p>
    <w:p w14:paraId="27EE1A93" w14:textId="747E35F1" w:rsidR="00A23782" w:rsidRPr="00A23782" w:rsidRDefault="008729BE" w:rsidP="0034106C">
      <w:pPr>
        <w:pStyle w:val="Heading2"/>
        <w:spacing w:line="360" w:lineRule="auto"/>
        <w:jc w:val="both"/>
        <w:rPr>
          <w:b/>
          <w:bCs/>
        </w:rPr>
      </w:pPr>
      <w:bookmarkStart w:id="6" w:name="_Toc152017516"/>
      <w:r w:rsidRPr="00A23782">
        <w:rPr>
          <w:b/>
          <w:bCs/>
        </w:rPr>
        <w:t>Legal Framework</w:t>
      </w:r>
      <w:bookmarkEnd w:id="6"/>
      <w:r w:rsidRPr="00A23782">
        <w:rPr>
          <w:b/>
          <w:bCs/>
        </w:rPr>
        <w:t xml:space="preserve"> </w:t>
      </w:r>
    </w:p>
    <w:p w14:paraId="1A765F79" w14:textId="77777777" w:rsidR="00D0129F" w:rsidRDefault="00D0129F" w:rsidP="0034106C">
      <w:pPr>
        <w:pStyle w:val="Heading2"/>
        <w:spacing w:line="360" w:lineRule="auto"/>
        <w:jc w:val="both"/>
        <w:rPr>
          <w:rFonts w:ascii="Arial" w:eastAsia="Times New Roman" w:hAnsi="Arial" w:cs="Arial"/>
          <w:color w:val="auto"/>
          <w:sz w:val="24"/>
          <w:szCs w:val="24"/>
        </w:rPr>
      </w:pPr>
      <w:bookmarkStart w:id="7" w:name="_Toc152017517"/>
      <w:r w:rsidRPr="00D0129F">
        <w:rPr>
          <w:rFonts w:ascii="Arial" w:eastAsia="Times New Roman" w:hAnsi="Arial" w:cs="Arial"/>
          <w:color w:val="auto"/>
          <w:sz w:val="24"/>
          <w:szCs w:val="24"/>
        </w:rPr>
        <w:t>The legal system aimed at protecting individuals from harm is built on safeguarding policies and procedures. Legislation such as the Children Acts of 1989 and 2004, the Care Act of 2014, and the Mental Capacity Act of 2005 provide the legal foundation for safeguarding, emphasising the responsibility of care due to children, vulnerable adults, and children at risk.</w:t>
      </w:r>
    </w:p>
    <w:p w14:paraId="490995ED" w14:textId="2C0A1939" w:rsidR="00A23782" w:rsidRPr="00A23782" w:rsidRDefault="008729BE" w:rsidP="0034106C">
      <w:pPr>
        <w:pStyle w:val="Heading2"/>
        <w:spacing w:line="360" w:lineRule="auto"/>
        <w:jc w:val="both"/>
        <w:rPr>
          <w:b/>
          <w:bCs/>
        </w:rPr>
      </w:pPr>
      <w:r w:rsidRPr="00A23782">
        <w:rPr>
          <w:b/>
          <w:bCs/>
        </w:rPr>
        <w:t>Prevention of Abuse and Neglect</w:t>
      </w:r>
      <w:bookmarkEnd w:id="7"/>
      <w:r w:rsidR="00A23782" w:rsidRPr="00A23782">
        <w:rPr>
          <w:b/>
          <w:bCs/>
        </w:rPr>
        <w:t xml:space="preserve"> </w:t>
      </w:r>
    </w:p>
    <w:p w14:paraId="05501AE6" w14:textId="77777777" w:rsidR="0000590B" w:rsidRDefault="0000590B" w:rsidP="0034106C">
      <w:pPr>
        <w:pStyle w:val="Heading2"/>
        <w:spacing w:line="360" w:lineRule="auto"/>
        <w:jc w:val="both"/>
        <w:rPr>
          <w:rFonts w:ascii="Arial" w:eastAsia="Times New Roman" w:hAnsi="Arial" w:cs="Arial"/>
          <w:color w:val="auto"/>
          <w:sz w:val="24"/>
          <w:szCs w:val="24"/>
        </w:rPr>
      </w:pPr>
      <w:bookmarkStart w:id="8" w:name="_Toc152017518"/>
      <w:r w:rsidRPr="0000590B">
        <w:rPr>
          <w:rFonts w:ascii="Arial" w:eastAsia="Times New Roman" w:hAnsi="Arial" w:cs="Arial"/>
          <w:color w:val="auto"/>
          <w:sz w:val="24"/>
          <w:szCs w:val="24"/>
        </w:rPr>
        <w:t>Preventing abuse and neglect is one of safeguarding policies' main goals. These policies enable people, professionals, and organisations to establish safe and well-being-promoting settings by delineating acceptable norms of behaviour and recognising potential dangers.</w:t>
      </w:r>
    </w:p>
    <w:p w14:paraId="7AAC2D61" w14:textId="200F4829" w:rsidR="00A23782" w:rsidRPr="00A23782" w:rsidRDefault="008729BE" w:rsidP="0034106C">
      <w:pPr>
        <w:pStyle w:val="Heading2"/>
        <w:spacing w:line="360" w:lineRule="auto"/>
        <w:jc w:val="both"/>
        <w:rPr>
          <w:b/>
          <w:bCs/>
        </w:rPr>
      </w:pPr>
      <w:r w:rsidRPr="00A23782">
        <w:rPr>
          <w:b/>
          <w:bCs/>
        </w:rPr>
        <w:t>Early Intervention and Reporting</w:t>
      </w:r>
      <w:bookmarkEnd w:id="8"/>
    </w:p>
    <w:p w14:paraId="1B7F5A04" w14:textId="77777777" w:rsidR="009957DA" w:rsidRDefault="009957DA" w:rsidP="0034106C">
      <w:pPr>
        <w:pStyle w:val="Heading2"/>
        <w:spacing w:line="360" w:lineRule="auto"/>
        <w:jc w:val="both"/>
        <w:rPr>
          <w:rFonts w:ascii="Arial" w:eastAsia="Times New Roman" w:hAnsi="Arial" w:cs="Arial"/>
          <w:color w:val="auto"/>
          <w:sz w:val="24"/>
          <w:szCs w:val="24"/>
        </w:rPr>
      </w:pPr>
      <w:bookmarkStart w:id="9" w:name="_Toc152017519"/>
      <w:r w:rsidRPr="009957DA">
        <w:rPr>
          <w:rFonts w:ascii="Arial" w:eastAsia="Times New Roman" w:hAnsi="Arial" w:cs="Arial"/>
          <w:color w:val="auto"/>
          <w:sz w:val="24"/>
          <w:szCs w:val="24"/>
        </w:rPr>
        <w:t>Early intervention and reporting are emphasised as critical components of safeguarding measures. They offer instructions on how to spot indicators of abuse or neglect and promote timely reporting to the appropriate authorities. This proactive strategy ensures prompt interventions and helps to mitigate harm.</w:t>
      </w:r>
    </w:p>
    <w:p w14:paraId="42C63ABD" w14:textId="3F3626FA" w:rsidR="00A23782" w:rsidRPr="00A23782" w:rsidRDefault="008729BE" w:rsidP="0034106C">
      <w:pPr>
        <w:pStyle w:val="Heading2"/>
        <w:spacing w:line="360" w:lineRule="auto"/>
        <w:jc w:val="both"/>
        <w:rPr>
          <w:b/>
          <w:bCs/>
        </w:rPr>
      </w:pPr>
      <w:r w:rsidRPr="00A23782">
        <w:rPr>
          <w:b/>
          <w:bCs/>
        </w:rPr>
        <w:t>Multi-Agency Collaboration</w:t>
      </w:r>
      <w:bookmarkEnd w:id="9"/>
    </w:p>
    <w:p w14:paraId="2D6385CE" w14:textId="77777777" w:rsidR="00C74628" w:rsidRDefault="00C74628" w:rsidP="0034106C">
      <w:pPr>
        <w:pStyle w:val="Heading2"/>
        <w:spacing w:line="360" w:lineRule="auto"/>
        <w:jc w:val="both"/>
        <w:rPr>
          <w:rFonts w:ascii="Arial" w:eastAsia="Times New Roman" w:hAnsi="Arial" w:cs="Arial"/>
          <w:color w:val="auto"/>
          <w:sz w:val="24"/>
          <w:szCs w:val="24"/>
        </w:rPr>
      </w:pPr>
      <w:bookmarkStart w:id="10" w:name="_Toc152017520"/>
      <w:r w:rsidRPr="00C74628">
        <w:rPr>
          <w:rFonts w:ascii="Arial" w:eastAsia="Times New Roman" w:hAnsi="Arial" w:cs="Arial"/>
          <w:color w:val="auto"/>
          <w:sz w:val="24"/>
          <w:szCs w:val="24"/>
        </w:rPr>
        <w:t>The importance of multi-agency coordination is highlighted by safeguarding policies. For example, in cases involving children, policies encourage collaboration among schools, healthcare professionals, social agencies, and law enforcement to provide a comprehensive and coordinated response.</w:t>
      </w:r>
    </w:p>
    <w:p w14:paraId="590EC516" w14:textId="335E223C" w:rsidR="00A23782" w:rsidRPr="00A23782" w:rsidRDefault="008729BE" w:rsidP="0034106C">
      <w:pPr>
        <w:pStyle w:val="Heading2"/>
        <w:spacing w:line="360" w:lineRule="auto"/>
        <w:jc w:val="both"/>
        <w:rPr>
          <w:b/>
          <w:bCs/>
        </w:rPr>
      </w:pPr>
      <w:r w:rsidRPr="00A23782">
        <w:rPr>
          <w:b/>
          <w:bCs/>
        </w:rPr>
        <w:t>Accountability and Transparency</w:t>
      </w:r>
      <w:bookmarkEnd w:id="10"/>
    </w:p>
    <w:p w14:paraId="663A4201" w14:textId="77777777" w:rsidR="00993214" w:rsidRPr="00993214" w:rsidRDefault="00993214" w:rsidP="0034106C">
      <w:pPr>
        <w:pStyle w:val="Heading2"/>
        <w:spacing w:line="360" w:lineRule="auto"/>
        <w:jc w:val="both"/>
        <w:rPr>
          <w:rFonts w:ascii="Arial" w:eastAsia="Times New Roman" w:hAnsi="Arial" w:cs="Arial"/>
          <w:color w:val="auto"/>
          <w:sz w:val="24"/>
          <w:szCs w:val="24"/>
        </w:rPr>
      </w:pPr>
      <w:bookmarkStart w:id="11" w:name="_Toc152017521"/>
      <w:r w:rsidRPr="00993214">
        <w:rPr>
          <w:rFonts w:ascii="Arial" w:eastAsia="Times New Roman" w:hAnsi="Arial" w:cs="Arial"/>
          <w:color w:val="auto"/>
          <w:sz w:val="24"/>
          <w:szCs w:val="24"/>
        </w:rPr>
        <w:t>These policies set the stage for accountability and openness. They define duties and responsibilities, ensuring that individuals and organisations are held accountable for their safeguarding actions or inactions.</w:t>
      </w:r>
    </w:p>
    <w:p w14:paraId="3AA0CCAF" w14:textId="77777777" w:rsidR="00A23782" w:rsidRPr="00A23782" w:rsidRDefault="008729BE" w:rsidP="0034106C">
      <w:pPr>
        <w:pStyle w:val="Heading2"/>
        <w:spacing w:line="360" w:lineRule="auto"/>
        <w:jc w:val="both"/>
        <w:rPr>
          <w:b/>
          <w:bCs/>
        </w:rPr>
      </w:pPr>
      <w:r w:rsidRPr="00A23782">
        <w:rPr>
          <w:b/>
          <w:bCs/>
        </w:rPr>
        <w:t>Children's Safeguarding</w:t>
      </w:r>
      <w:bookmarkEnd w:id="11"/>
    </w:p>
    <w:p w14:paraId="573E3008" w14:textId="77777777" w:rsidR="00164370" w:rsidRDefault="00164370" w:rsidP="0034106C">
      <w:pPr>
        <w:pStyle w:val="Heading2"/>
        <w:spacing w:line="360" w:lineRule="auto"/>
        <w:jc w:val="both"/>
        <w:rPr>
          <w:rFonts w:ascii="Arial" w:eastAsia="Times New Roman" w:hAnsi="Arial" w:cs="Arial"/>
          <w:color w:val="auto"/>
          <w:sz w:val="24"/>
          <w:szCs w:val="24"/>
        </w:rPr>
      </w:pPr>
      <w:bookmarkStart w:id="12" w:name="_Toc152017522"/>
      <w:r w:rsidRPr="00164370">
        <w:rPr>
          <w:rFonts w:ascii="Arial" w:eastAsia="Times New Roman" w:hAnsi="Arial" w:cs="Arial"/>
          <w:color w:val="auto"/>
          <w:sz w:val="24"/>
          <w:szCs w:val="24"/>
        </w:rPr>
        <w:t>Due of this group's vulnerability, children's safeguarding has been a priority in the UK. Working Together to Safeguard Children (2018) is one policy that outlines the duties that different agencies play in promoting and safeguarding the welfare of children.</w:t>
      </w:r>
    </w:p>
    <w:p w14:paraId="6F987100" w14:textId="77777777" w:rsidR="00660E91" w:rsidRPr="00660E91" w:rsidRDefault="00660E91" w:rsidP="00660E91"/>
    <w:p w14:paraId="319DFE0B" w14:textId="77777777" w:rsidR="00164370" w:rsidRPr="00164370" w:rsidRDefault="00164370" w:rsidP="0034106C">
      <w:pPr>
        <w:pStyle w:val="Heading2"/>
        <w:spacing w:line="360" w:lineRule="auto"/>
        <w:jc w:val="both"/>
        <w:rPr>
          <w:b/>
          <w:bCs/>
        </w:rPr>
      </w:pPr>
      <w:r w:rsidRPr="00164370">
        <w:rPr>
          <w:b/>
          <w:bCs/>
        </w:rPr>
        <w:lastRenderedPageBreak/>
        <w:t xml:space="preserve">Adults at Risk: </w:t>
      </w:r>
    </w:p>
    <w:p w14:paraId="07C574E2" w14:textId="4F9C1352" w:rsidR="00164370" w:rsidRPr="00164370" w:rsidRDefault="00164370" w:rsidP="0034106C">
      <w:pPr>
        <w:pStyle w:val="Heading2"/>
        <w:spacing w:line="360" w:lineRule="auto"/>
        <w:jc w:val="both"/>
        <w:rPr>
          <w:rFonts w:ascii="Arial" w:eastAsia="Times New Roman" w:hAnsi="Arial" w:cs="Arial"/>
          <w:color w:val="auto"/>
          <w:sz w:val="24"/>
          <w:szCs w:val="24"/>
        </w:rPr>
      </w:pPr>
      <w:r w:rsidRPr="00164370">
        <w:rPr>
          <w:rFonts w:ascii="Arial" w:eastAsia="Times New Roman" w:hAnsi="Arial" w:cs="Arial"/>
          <w:color w:val="auto"/>
          <w:sz w:val="24"/>
          <w:szCs w:val="24"/>
        </w:rPr>
        <w:t>The Care Act of 2014 made clear that adults at risk are likewise covered by safeguarding policies. In order to safeguard adults in need of care and support from abuse and neglect, this act highlights the responsibility of care given to them.</w:t>
      </w:r>
    </w:p>
    <w:p w14:paraId="63010D50" w14:textId="77777777" w:rsidR="00A23782" w:rsidRPr="009269E3" w:rsidRDefault="008729BE" w:rsidP="0034106C">
      <w:pPr>
        <w:pStyle w:val="Heading2"/>
        <w:spacing w:line="360" w:lineRule="auto"/>
        <w:jc w:val="both"/>
        <w:rPr>
          <w:b/>
          <w:bCs/>
        </w:rPr>
      </w:pPr>
      <w:r w:rsidRPr="009269E3">
        <w:rPr>
          <w:b/>
          <w:bCs/>
        </w:rPr>
        <w:t>Vetting and Recruitment</w:t>
      </w:r>
      <w:bookmarkEnd w:id="12"/>
    </w:p>
    <w:p w14:paraId="4E5BFB49" w14:textId="77777777" w:rsidR="00350DD9" w:rsidRPr="00350DD9" w:rsidRDefault="00350DD9" w:rsidP="0034106C">
      <w:pPr>
        <w:pStyle w:val="Heading1"/>
        <w:spacing w:line="360" w:lineRule="auto"/>
        <w:jc w:val="both"/>
        <w:rPr>
          <w:rFonts w:ascii="Arial" w:eastAsia="Times New Roman" w:hAnsi="Arial" w:cs="Arial"/>
          <w:color w:val="auto"/>
          <w:sz w:val="24"/>
          <w:szCs w:val="24"/>
        </w:rPr>
      </w:pPr>
      <w:bookmarkStart w:id="13" w:name="_Toc152017523"/>
      <w:r w:rsidRPr="00350DD9">
        <w:rPr>
          <w:rFonts w:ascii="Arial" w:eastAsia="Times New Roman" w:hAnsi="Arial" w:cs="Arial"/>
          <w:color w:val="auto"/>
          <w:sz w:val="24"/>
          <w:szCs w:val="24"/>
        </w:rPr>
        <w:t>Safeguarding rules direct the screening and recruitment processes, guaranteeing that those who work with vulnerable populations go through extensive background checks. By doing this, it keeps possible abusers out of positions of power and trust.</w:t>
      </w:r>
    </w:p>
    <w:p w14:paraId="251E8818" w14:textId="77777777" w:rsidR="00350DD9" w:rsidRDefault="00350DD9" w:rsidP="0034106C">
      <w:pPr>
        <w:pStyle w:val="Heading1"/>
        <w:spacing w:line="360" w:lineRule="auto"/>
        <w:jc w:val="both"/>
        <w:rPr>
          <w:rFonts w:ascii="Arial" w:eastAsia="Times New Roman" w:hAnsi="Arial" w:cs="Arial"/>
          <w:color w:val="auto"/>
          <w:sz w:val="24"/>
          <w:szCs w:val="24"/>
        </w:rPr>
      </w:pPr>
      <w:r w:rsidRPr="00350DD9">
        <w:rPr>
          <w:rStyle w:val="Heading2Char"/>
          <w:b/>
          <w:bCs/>
        </w:rPr>
        <w:t>Education and Training:</w:t>
      </w:r>
      <w:r w:rsidRPr="00350DD9">
        <w:rPr>
          <w:rFonts w:ascii="Arial" w:eastAsia="Times New Roman" w:hAnsi="Arial" w:cs="Arial"/>
          <w:color w:val="auto"/>
          <w:sz w:val="24"/>
          <w:szCs w:val="24"/>
        </w:rPr>
        <w:t xml:space="preserve"> </w:t>
      </w:r>
    </w:p>
    <w:p w14:paraId="39C40220" w14:textId="26DA709A" w:rsidR="00350DD9" w:rsidRPr="00350DD9" w:rsidRDefault="00350DD9" w:rsidP="0034106C">
      <w:pPr>
        <w:pStyle w:val="Heading1"/>
        <w:spacing w:line="360" w:lineRule="auto"/>
        <w:jc w:val="both"/>
        <w:rPr>
          <w:rFonts w:ascii="Arial" w:eastAsia="Times New Roman" w:hAnsi="Arial" w:cs="Arial"/>
          <w:color w:val="auto"/>
          <w:sz w:val="24"/>
          <w:szCs w:val="24"/>
        </w:rPr>
      </w:pPr>
      <w:r w:rsidRPr="00350DD9">
        <w:rPr>
          <w:rFonts w:ascii="Arial" w:eastAsia="Times New Roman" w:hAnsi="Arial" w:cs="Arial"/>
          <w:color w:val="auto"/>
          <w:sz w:val="24"/>
          <w:szCs w:val="24"/>
        </w:rPr>
        <w:t>Constant instruction and training are essential parts of policies pertaining to child protection. Training is provided to professionals in a range of sectors, such as social services, education, and healthcare, to improve their awareness, knowledge, and abilities in safeguarding.</w:t>
      </w:r>
    </w:p>
    <w:p w14:paraId="4070435E" w14:textId="6BAC96C9" w:rsidR="00905FC8" w:rsidRPr="003F76EE" w:rsidRDefault="00905FC8" w:rsidP="0034106C">
      <w:pPr>
        <w:pStyle w:val="Heading1"/>
        <w:spacing w:line="360" w:lineRule="auto"/>
        <w:jc w:val="both"/>
        <w:rPr>
          <w:b/>
          <w:bCs/>
        </w:rPr>
      </w:pPr>
      <w:r w:rsidRPr="003F76EE">
        <w:rPr>
          <w:b/>
          <w:bCs/>
        </w:rPr>
        <w:t>Lessons Learned and Reforms</w:t>
      </w:r>
      <w:bookmarkEnd w:id="13"/>
    </w:p>
    <w:p w14:paraId="32D682F9" w14:textId="5E12E730" w:rsidR="005024F8" w:rsidRDefault="005024F8" w:rsidP="0034106C">
      <w:pPr>
        <w:pStyle w:val="Heading2"/>
        <w:spacing w:line="360" w:lineRule="auto"/>
        <w:jc w:val="both"/>
        <w:rPr>
          <w:rFonts w:ascii="Arial" w:eastAsia="Times New Roman" w:hAnsi="Arial" w:cs="Arial"/>
          <w:color w:val="auto"/>
          <w:sz w:val="24"/>
          <w:szCs w:val="24"/>
        </w:rPr>
      </w:pPr>
      <w:bookmarkStart w:id="14" w:name="_Toc152017524"/>
      <w:r w:rsidRPr="005024F8">
        <w:rPr>
          <w:rFonts w:ascii="Arial" w:eastAsia="Times New Roman" w:hAnsi="Arial" w:cs="Arial"/>
          <w:color w:val="auto"/>
          <w:sz w:val="24"/>
          <w:szCs w:val="24"/>
        </w:rPr>
        <w:t xml:space="preserve">Both </w:t>
      </w:r>
      <w:r w:rsidR="00B838B8">
        <w:rPr>
          <w:rFonts w:ascii="Arial" w:eastAsia="Times New Roman" w:hAnsi="Arial" w:cs="Arial"/>
          <w:color w:val="auto"/>
          <w:sz w:val="24"/>
          <w:szCs w:val="24"/>
        </w:rPr>
        <w:t>incidents</w:t>
      </w:r>
      <w:r w:rsidRPr="005024F8">
        <w:rPr>
          <w:rFonts w:ascii="Arial" w:eastAsia="Times New Roman" w:hAnsi="Arial" w:cs="Arial"/>
          <w:color w:val="auto"/>
          <w:sz w:val="24"/>
          <w:szCs w:val="24"/>
        </w:rPr>
        <w:t xml:space="preserve"> resulted in substantial modifications in the United Kingdom's approach to safeguarding. The recommendations made by the investigations into these events resulted in legislative and procedural changes that emphasised the necessity of collaboration, communication, and continual improvement in safeguarding practises.</w:t>
      </w:r>
    </w:p>
    <w:p w14:paraId="3F4BC8DF" w14:textId="19DD219E" w:rsidR="003F76EE" w:rsidRPr="003F76EE" w:rsidRDefault="00905FC8" w:rsidP="0034106C">
      <w:pPr>
        <w:pStyle w:val="Heading2"/>
        <w:spacing w:line="360" w:lineRule="auto"/>
        <w:jc w:val="both"/>
        <w:rPr>
          <w:b/>
          <w:bCs/>
        </w:rPr>
      </w:pPr>
      <w:r w:rsidRPr="003F76EE">
        <w:rPr>
          <w:b/>
          <w:bCs/>
        </w:rPr>
        <w:t>Improved Multi-Agency Collaboration</w:t>
      </w:r>
      <w:bookmarkEnd w:id="14"/>
      <w:r w:rsidRPr="003F76EE">
        <w:rPr>
          <w:b/>
          <w:bCs/>
        </w:rPr>
        <w:t xml:space="preserve"> </w:t>
      </w:r>
    </w:p>
    <w:p w14:paraId="363672F9" w14:textId="77777777" w:rsidR="002D3DBE" w:rsidRDefault="002D3DBE" w:rsidP="0034106C">
      <w:pPr>
        <w:pStyle w:val="Heading2"/>
        <w:spacing w:line="360" w:lineRule="auto"/>
        <w:jc w:val="both"/>
        <w:rPr>
          <w:rFonts w:ascii="Arial" w:eastAsia="Times New Roman" w:hAnsi="Arial" w:cs="Arial"/>
          <w:color w:val="auto"/>
          <w:sz w:val="24"/>
          <w:szCs w:val="24"/>
        </w:rPr>
      </w:pPr>
      <w:bookmarkStart w:id="15" w:name="_Toc152017525"/>
      <w:r w:rsidRPr="002D3DBE">
        <w:rPr>
          <w:rFonts w:ascii="Arial" w:eastAsia="Times New Roman" w:hAnsi="Arial" w:cs="Arial"/>
          <w:color w:val="auto"/>
          <w:sz w:val="24"/>
          <w:szCs w:val="24"/>
        </w:rPr>
        <w:t>The Victoria Climbié case revealed the fragmentation of child protection agencies. Following reforms, such as the formation of Local Safeguarding Children Boards (LSCBs) and, later, Local Safeguarding Partnerships (LSPs), intended to improve communication and coordination among agencies. The guidelines for "Working Together to Safeguard Children" were also updated to emphasise a more integrated approach (HM Government, 2018).</w:t>
      </w:r>
    </w:p>
    <w:p w14:paraId="26324A0A" w14:textId="2CA44D4E" w:rsidR="003F76EE" w:rsidRPr="003F76EE" w:rsidRDefault="00905FC8" w:rsidP="0034106C">
      <w:pPr>
        <w:pStyle w:val="Heading2"/>
        <w:spacing w:line="360" w:lineRule="auto"/>
        <w:jc w:val="both"/>
        <w:rPr>
          <w:b/>
          <w:bCs/>
        </w:rPr>
      </w:pPr>
      <w:r w:rsidRPr="003F76EE">
        <w:rPr>
          <w:b/>
          <w:bCs/>
        </w:rPr>
        <w:t>Enhanced Training and Supervision</w:t>
      </w:r>
      <w:bookmarkEnd w:id="15"/>
    </w:p>
    <w:p w14:paraId="6C9ABC6C" w14:textId="77196E74" w:rsidR="00905FC8" w:rsidRPr="00AA775B" w:rsidRDefault="00F0058D" w:rsidP="0034106C">
      <w:pPr>
        <w:spacing w:line="360" w:lineRule="auto"/>
        <w:jc w:val="both"/>
        <w:rPr>
          <w:rFonts w:ascii="Arial" w:hAnsi="Arial" w:cs="Arial"/>
          <w:sz w:val="24"/>
          <w:szCs w:val="24"/>
        </w:rPr>
      </w:pPr>
      <w:r w:rsidRPr="00F0058D">
        <w:rPr>
          <w:rFonts w:ascii="Arial" w:hAnsi="Arial" w:cs="Arial"/>
          <w:sz w:val="24"/>
          <w:szCs w:val="24"/>
        </w:rPr>
        <w:t xml:space="preserve">In reaction to both incidents, there was an increased emphasis on the training and monitoring of safeguarding experts. Regular monitoring, reflective practise, and </w:t>
      </w:r>
      <w:r w:rsidRPr="00F0058D">
        <w:rPr>
          <w:rFonts w:ascii="Arial" w:hAnsi="Arial" w:cs="Arial"/>
          <w:sz w:val="24"/>
          <w:szCs w:val="24"/>
        </w:rPr>
        <w:lastRenderedPageBreak/>
        <w:t xml:space="preserve">ongoing training to improve professionals' abilities to recognise and respond to indicators of abuse or neglect became a key topic </w:t>
      </w:r>
      <w:r w:rsidR="00905FC8" w:rsidRPr="00AA775B">
        <w:rPr>
          <w:rFonts w:ascii="Arial" w:hAnsi="Arial" w:cs="Arial"/>
          <w:sz w:val="24"/>
          <w:szCs w:val="24"/>
        </w:rPr>
        <w:t>(Brandon et al., 2017).</w:t>
      </w:r>
    </w:p>
    <w:p w14:paraId="10BBCF34" w14:textId="77777777" w:rsidR="003F76EE" w:rsidRPr="003F76EE" w:rsidRDefault="00905FC8" w:rsidP="0034106C">
      <w:pPr>
        <w:pStyle w:val="Heading2"/>
        <w:spacing w:line="360" w:lineRule="auto"/>
        <w:jc w:val="both"/>
        <w:rPr>
          <w:b/>
          <w:bCs/>
        </w:rPr>
      </w:pPr>
      <w:bookmarkStart w:id="16" w:name="_Toc152017526"/>
      <w:r w:rsidRPr="003F76EE">
        <w:rPr>
          <w:b/>
          <w:bCs/>
        </w:rPr>
        <w:t>Focus on Frontline Practices</w:t>
      </w:r>
      <w:bookmarkEnd w:id="16"/>
      <w:r w:rsidRPr="003F76EE">
        <w:rPr>
          <w:b/>
          <w:bCs/>
        </w:rPr>
        <w:t xml:space="preserve"> </w:t>
      </w:r>
    </w:p>
    <w:p w14:paraId="073B5B99" w14:textId="19042D15" w:rsidR="00905FC8" w:rsidRPr="00AA775B" w:rsidRDefault="00DE6BAE" w:rsidP="0034106C">
      <w:pPr>
        <w:spacing w:line="360" w:lineRule="auto"/>
        <w:jc w:val="both"/>
        <w:rPr>
          <w:rFonts w:ascii="Arial" w:hAnsi="Arial" w:cs="Arial"/>
          <w:sz w:val="24"/>
          <w:szCs w:val="24"/>
        </w:rPr>
      </w:pPr>
      <w:r w:rsidRPr="00DE6BAE">
        <w:rPr>
          <w:rFonts w:ascii="Arial" w:hAnsi="Arial" w:cs="Arial"/>
          <w:sz w:val="24"/>
          <w:szCs w:val="24"/>
        </w:rPr>
        <w:t>The Baby P case prompted a rethinking of frontline practises, with a special emphasis on putting child welfare ahead of bureaucratic procedures. Following the Baby P tragedy, the Munro Review recommended a change away from compliance-driven practises and towards more child-</w:t>
      </w:r>
      <w:r w:rsidR="004E32EA" w:rsidRPr="00DE6BAE">
        <w:rPr>
          <w:rFonts w:ascii="Arial" w:hAnsi="Arial" w:cs="Arial"/>
          <w:sz w:val="24"/>
          <w:szCs w:val="24"/>
        </w:rPr>
        <w:t>cantered</w:t>
      </w:r>
      <w:r w:rsidRPr="00DE6BAE">
        <w:rPr>
          <w:rFonts w:ascii="Arial" w:hAnsi="Arial" w:cs="Arial"/>
          <w:sz w:val="24"/>
          <w:szCs w:val="24"/>
        </w:rPr>
        <w:t xml:space="preserve">, evidence-informed practise </w:t>
      </w:r>
      <w:r w:rsidR="00905FC8" w:rsidRPr="00AA775B">
        <w:rPr>
          <w:rFonts w:ascii="Arial" w:hAnsi="Arial" w:cs="Arial"/>
          <w:sz w:val="24"/>
          <w:szCs w:val="24"/>
        </w:rPr>
        <w:t>(Munro, 2011).</w:t>
      </w:r>
    </w:p>
    <w:p w14:paraId="7AC5EDDC" w14:textId="77777777" w:rsidR="003F76EE" w:rsidRPr="003F76EE" w:rsidRDefault="00905FC8" w:rsidP="0034106C">
      <w:pPr>
        <w:pStyle w:val="Heading2"/>
        <w:spacing w:line="360" w:lineRule="auto"/>
        <w:jc w:val="both"/>
        <w:rPr>
          <w:b/>
          <w:bCs/>
        </w:rPr>
      </w:pPr>
      <w:bookmarkStart w:id="17" w:name="_Toc152017527"/>
      <w:r w:rsidRPr="003F76EE">
        <w:rPr>
          <w:b/>
          <w:bCs/>
        </w:rPr>
        <w:t>Increased Accountability and Scrutiny</w:t>
      </w:r>
      <w:bookmarkEnd w:id="17"/>
    </w:p>
    <w:p w14:paraId="0B35A07A" w14:textId="0BFE7DAC" w:rsidR="00905FC8" w:rsidRPr="00AA775B" w:rsidRDefault="00BE1503" w:rsidP="0034106C">
      <w:pPr>
        <w:spacing w:line="360" w:lineRule="auto"/>
        <w:jc w:val="both"/>
        <w:rPr>
          <w:rFonts w:ascii="Arial" w:hAnsi="Arial" w:cs="Arial"/>
          <w:sz w:val="24"/>
          <w:szCs w:val="24"/>
        </w:rPr>
      </w:pPr>
      <w:r w:rsidRPr="00BE1503">
        <w:rPr>
          <w:rFonts w:ascii="Arial" w:hAnsi="Arial" w:cs="Arial"/>
          <w:sz w:val="24"/>
          <w:szCs w:val="24"/>
        </w:rPr>
        <w:t xml:space="preserve">Both examples emphasised the necessity of transparency and responsibility in safeguarding practises. Regulatory entities, such as Ofsted, were granted greater authority to scrutinise and hold agencies accountable for their safeguarding responsibilities. The emphasis on transparency and responsibility attempted to avoid such failures from occurring again </w:t>
      </w:r>
      <w:r w:rsidR="00905FC8" w:rsidRPr="00AA775B">
        <w:rPr>
          <w:rFonts w:ascii="Arial" w:hAnsi="Arial" w:cs="Arial"/>
          <w:sz w:val="24"/>
          <w:szCs w:val="24"/>
        </w:rPr>
        <w:t>(HM Government, 2013).</w:t>
      </w:r>
    </w:p>
    <w:p w14:paraId="73001B27" w14:textId="77777777" w:rsidR="003F76EE" w:rsidRPr="003F76EE" w:rsidRDefault="00905FC8" w:rsidP="0034106C">
      <w:pPr>
        <w:pStyle w:val="Heading2"/>
        <w:spacing w:line="360" w:lineRule="auto"/>
        <w:jc w:val="both"/>
        <w:rPr>
          <w:b/>
          <w:bCs/>
        </w:rPr>
      </w:pPr>
      <w:bookmarkStart w:id="18" w:name="_Toc152017528"/>
      <w:r w:rsidRPr="003F76EE">
        <w:rPr>
          <w:b/>
          <w:bCs/>
        </w:rPr>
        <w:t>Emphasis on the Voice of the Child</w:t>
      </w:r>
      <w:bookmarkEnd w:id="18"/>
      <w:r w:rsidRPr="003F76EE">
        <w:rPr>
          <w:b/>
          <w:bCs/>
        </w:rPr>
        <w:t xml:space="preserve"> </w:t>
      </w:r>
    </w:p>
    <w:p w14:paraId="235A1C06" w14:textId="19947094" w:rsidR="00905FC8" w:rsidRPr="00AA775B" w:rsidRDefault="00891CC5" w:rsidP="0034106C">
      <w:pPr>
        <w:spacing w:line="360" w:lineRule="auto"/>
        <w:jc w:val="both"/>
        <w:rPr>
          <w:rFonts w:ascii="Arial" w:hAnsi="Arial" w:cs="Arial"/>
          <w:sz w:val="24"/>
          <w:szCs w:val="24"/>
        </w:rPr>
      </w:pPr>
      <w:r w:rsidRPr="00891CC5">
        <w:rPr>
          <w:rFonts w:ascii="Arial" w:hAnsi="Arial" w:cs="Arial"/>
          <w:sz w:val="24"/>
          <w:szCs w:val="24"/>
        </w:rPr>
        <w:t xml:space="preserve">The tragedies of Victoria Climbié and Baby P underlined the importance of prioritising the child's voice in safeguarding processes. Following reforms, such as the Children and Families Act of 2014, emphasised the significance of listening to and including children in choices that affect their lives, ensuring that their opinions are important to safeguarding practises </w:t>
      </w:r>
      <w:r w:rsidR="00905FC8" w:rsidRPr="00AA775B">
        <w:rPr>
          <w:rFonts w:ascii="Arial" w:hAnsi="Arial" w:cs="Arial"/>
          <w:sz w:val="24"/>
          <w:szCs w:val="24"/>
        </w:rPr>
        <w:t>(HM Government, 2014).</w:t>
      </w:r>
    </w:p>
    <w:p w14:paraId="373259AC" w14:textId="77777777" w:rsidR="00C60C18" w:rsidRDefault="00C60C18" w:rsidP="0034106C">
      <w:pPr>
        <w:spacing w:line="360" w:lineRule="auto"/>
        <w:jc w:val="both"/>
        <w:rPr>
          <w:rFonts w:ascii="Arial" w:hAnsi="Arial" w:cs="Arial"/>
          <w:sz w:val="24"/>
          <w:szCs w:val="24"/>
        </w:rPr>
      </w:pPr>
      <w:r w:rsidRPr="00C60C18">
        <w:rPr>
          <w:rFonts w:ascii="Arial" w:hAnsi="Arial" w:cs="Arial"/>
          <w:b/>
          <w:bCs/>
          <w:sz w:val="24"/>
          <w:szCs w:val="24"/>
        </w:rPr>
        <w:t>Conclusion:</w:t>
      </w:r>
      <w:r w:rsidRPr="00C60C18">
        <w:rPr>
          <w:rFonts w:ascii="Arial" w:hAnsi="Arial" w:cs="Arial"/>
          <w:sz w:val="24"/>
          <w:szCs w:val="24"/>
        </w:rPr>
        <w:t xml:space="preserve"> The cases of Victoria Climbié and Baby P serve as terrible reminders of the human cost of inadequate safety. These deaths prompted a paradigm shift in the United Kingdom's approach to safeguarding, resulting in substantial reforms and attempts to prevent such events. The lessons learnt from these incidents are still shaping the evolution of safeguarding policies, emphasising the critical importance of collaboration, constant improvement, and, most importantly, the safety and well-being of the vulnerable.</w:t>
      </w:r>
    </w:p>
    <w:p w14:paraId="6FB01731" w14:textId="181D1581" w:rsidR="00905FC8" w:rsidRPr="004128AA" w:rsidRDefault="00B52814" w:rsidP="0034106C">
      <w:pPr>
        <w:pStyle w:val="Heading1"/>
        <w:spacing w:line="360" w:lineRule="auto"/>
        <w:jc w:val="both"/>
        <w:rPr>
          <w:b/>
          <w:bCs/>
        </w:rPr>
      </w:pPr>
      <w:bookmarkStart w:id="19" w:name="_Toc152017529"/>
      <w:r w:rsidRPr="004128AA">
        <w:rPr>
          <w:b/>
          <w:bCs/>
        </w:rPr>
        <w:t>Theories:</w:t>
      </w:r>
      <w:bookmarkEnd w:id="19"/>
      <w:r w:rsidRPr="004128AA">
        <w:rPr>
          <w:b/>
          <w:bCs/>
        </w:rPr>
        <w:t xml:space="preserve"> </w:t>
      </w:r>
    </w:p>
    <w:p w14:paraId="55E40153" w14:textId="53FFCBAD" w:rsidR="00B52814" w:rsidRPr="00AA775B" w:rsidRDefault="00BC2EAD" w:rsidP="0034106C">
      <w:pPr>
        <w:spacing w:line="360" w:lineRule="auto"/>
        <w:jc w:val="both"/>
        <w:rPr>
          <w:rFonts w:ascii="Arial" w:hAnsi="Arial" w:cs="Arial"/>
          <w:sz w:val="24"/>
          <w:szCs w:val="24"/>
        </w:rPr>
      </w:pPr>
      <w:r w:rsidRPr="00BC2EAD">
        <w:rPr>
          <w:rFonts w:ascii="Arial" w:hAnsi="Arial" w:cs="Arial"/>
          <w:sz w:val="24"/>
          <w:szCs w:val="24"/>
        </w:rPr>
        <w:t xml:space="preserve">In the United Kingdom, safeguarding policies and procedures play an essential role in protecting individuals, particularly vulnerable groups such as children and adults at risk. Several theories emphasise the relevance of these policies, emphasising their role in preventing harm, improving well-being, and cultivating a culture of safety and </w:t>
      </w:r>
      <w:r w:rsidRPr="00BC2EAD">
        <w:rPr>
          <w:rFonts w:ascii="Arial" w:hAnsi="Arial" w:cs="Arial"/>
          <w:sz w:val="24"/>
          <w:szCs w:val="24"/>
        </w:rPr>
        <w:lastRenderedPageBreak/>
        <w:t>responsibility.</w:t>
      </w:r>
      <w:r w:rsidR="00660E91">
        <w:rPr>
          <w:rFonts w:ascii="Arial" w:hAnsi="Arial" w:cs="Arial"/>
          <w:sz w:val="24"/>
          <w:szCs w:val="24"/>
        </w:rPr>
        <w:t xml:space="preserve"> </w:t>
      </w:r>
      <w:r w:rsidRPr="00BC2EAD">
        <w:rPr>
          <w:rFonts w:ascii="Arial" w:hAnsi="Arial" w:cs="Arial"/>
          <w:sz w:val="24"/>
          <w:szCs w:val="24"/>
        </w:rPr>
        <w:t>The social-ecological paradigm, for example, holds that individual well-being is influenced by various linked elements at the individual, interpersonal, organisational, community, and societal levels. Within this framework, safeguarding policies operate by developing an organised and comprehensive strategy to addressing risks and vulnerabilities across these multiple levels, ensuring a holistic protection mechanism</w:t>
      </w:r>
      <w:r>
        <w:rPr>
          <w:rFonts w:ascii="Arial" w:hAnsi="Arial" w:cs="Arial"/>
          <w:sz w:val="24"/>
          <w:szCs w:val="24"/>
        </w:rPr>
        <w:t xml:space="preserve"> </w:t>
      </w:r>
      <w:r w:rsidR="00E22844">
        <w:rPr>
          <w:rFonts w:ascii="Arial" w:hAnsi="Arial" w:cs="Arial"/>
          <w:sz w:val="24"/>
          <w:szCs w:val="24"/>
        </w:rPr>
        <w:t>(</w:t>
      </w:r>
      <w:r w:rsidR="008D0D89" w:rsidRPr="00AA775B">
        <w:rPr>
          <w:rFonts w:ascii="Arial" w:hAnsi="Arial" w:cs="Arial"/>
          <w:sz w:val="24"/>
          <w:szCs w:val="24"/>
        </w:rPr>
        <w:t>Laming, Lord. 2009).</w:t>
      </w:r>
    </w:p>
    <w:p w14:paraId="79E02DC8" w14:textId="77777777" w:rsidR="00026BD8" w:rsidRDefault="00026BD8" w:rsidP="0034106C">
      <w:pPr>
        <w:spacing w:line="360" w:lineRule="auto"/>
        <w:jc w:val="both"/>
        <w:rPr>
          <w:rFonts w:ascii="Arial" w:hAnsi="Arial" w:cs="Arial"/>
          <w:sz w:val="24"/>
          <w:szCs w:val="24"/>
        </w:rPr>
      </w:pPr>
      <w:r w:rsidRPr="00026BD8">
        <w:rPr>
          <w:rFonts w:ascii="Arial" w:hAnsi="Arial" w:cs="Arial"/>
          <w:sz w:val="24"/>
          <w:szCs w:val="24"/>
        </w:rPr>
        <w:t>Furthermore, Amartya Sen's Capability Approach emphasises the necessity of enabling people to live lives they value. By minimising risks and preventing harm, safeguarding policies help to improve persons' capabilities, allowing them to pursue their objectives and aspirations without the barrier of abuse, neglect, or exploitation.</w:t>
      </w:r>
    </w:p>
    <w:p w14:paraId="56BD37F0" w14:textId="522FFEFF" w:rsidR="006E04D0" w:rsidRPr="006E04D0" w:rsidRDefault="006E04D0" w:rsidP="0034106C">
      <w:pPr>
        <w:spacing w:line="360" w:lineRule="auto"/>
        <w:jc w:val="both"/>
        <w:rPr>
          <w:rFonts w:ascii="Arial" w:hAnsi="Arial" w:cs="Arial"/>
          <w:sz w:val="24"/>
          <w:szCs w:val="24"/>
        </w:rPr>
      </w:pPr>
      <w:r w:rsidRPr="006E04D0">
        <w:rPr>
          <w:rFonts w:ascii="Arial" w:hAnsi="Arial" w:cs="Arial"/>
          <w:sz w:val="24"/>
          <w:szCs w:val="24"/>
        </w:rPr>
        <w:t xml:space="preserve">According to the Functionalist view of sociology, institutions—such as protecting systems—have specific roles to play in preserving social cohesiveness and order. Regarding safeguarding, the purpose of these policies and procedures is to establish a secure atmosphere that keeps people safe, promotes societal stability, and protects individuals from damage </w:t>
      </w:r>
      <w:r w:rsidR="003834D9">
        <w:rPr>
          <w:rFonts w:ascii="Arial" w:hAnsi="Arial" w:cs="Arial"/>
          <w:sz w:val="24"/>
          <w:szCs w:val="24"/>
        </w:rPr>
        <w:t>(</w:t>
      </w:r>
      <w:r w:rsidRPr="006E04D0">
        <w:rPr>
          <w:rFonts w:ascii="Arial" w:hAnsi="Arial" w:cs="Arial"/>
          <w:sz w:val="24"/>
          <w:szCs w:val="24"/>
        </w:rPr>
        <w:t>United Nations, 1948</w:t>
      </w:r>
      <w:r w:rsidR="003834D9">
        <w:rPr>
          <w:rFonts w:ascii="Arial" w:hAnsi="Arial" w:cs="Arial"/>
          <w:sz w:val="24"/>
          <w:szCs w:val="24"/>
        </w:rPr>
        <w:t>)</w:t>
      </w:r>
      <w:r w:rsidRPr="006E04D0">
        <w:rPr>
          <w:rFonts w:ascii="Arial" w:hAnsi="Arial" w:cs="Arial"/>
          <w:sz w:val="24"/>
          <w:szCs w:val="24"/>
        </w:rPr>
        <w:t>.</w:t>
      </w:r>
    </w:p>
    <w:p w14:paraId="25898C33" w14:textId="2797AC06" w:rsidR="00B52814" w:rsidRPr="00AA775B" w:rsidRDefault="006E04D0" w:rsidP="0034106C">
      <w:pPr>
        <w:spacing w:line="360" w:lineRule="auto"/>
        <w:jc w:val="both"/>
        <w:rPr>
          <w:rFonts w:ascii="Arial" w:hAnsi="Arial" w:cs="Arial"/>
          <w:sz w:val="24"/>
          <w:szCs w:val="24"/>
        </w:rPr>
      </w:pPr>
      <w:r w:rsidRPr="006E04D0">
        <w:rPr>
          <w:rFonts w:ascii="Arial" w:hAnsi="Arial" w:cs="Arial"/>
          <w:sz w:val="24"/>
          <w:szCs w:val="24"/>
        </w:rPr>
        <w:t>Furthermore, according to the Human Rights idea, each and every person has intrinsic rights and dignity that need to be upheld. This approach is supported by safeguarding policies, which provide a framework that protects people's rights and keeps them safe from abuse and damage. These regulations serve as a means of preserving both one's physical health and a wider range of human rights</w:t>
      </w:r>
      <w:r>
        <w:rPr>
          <w:rFonts w:ascii="Arial" w:hAnsi="Arial" w:cs="Arial"/>
          <w:sz w:val="24"/>
          <w:szCs w:val="24"/>
        </w:rPr>
        <w:t xml:space="preserve"> </w:t>
      </w:r>
      <w:r w:rsidR="004128AA">
        <w:rPr>
          <w:rFonts w:ascii="Arial" w:hAnsi="Arial" w:cs="Arial"/>
          <w:sz w:val="24"/>
          <w:szCs w:val="24"/>
        </w:rPr>
        <w:t>(</w:t>
      </w:r>
      <w:r w:rsidR="008D0D89" w:rsidRPr="00AA775B">
        <w:rPr>
          <w:rFonts w:ascii="Arial" w:hAnsi="Arial" w:cs="Arial"/>
          <w:sz w:val="24"/>
          <w:szCs w:val="24"/>
        </w:rPr>
        <w:t>Durkheim, É. 1951).</w:t>
      </w:r>
    </w:p>
    <w:p w14:paraId="4A4314C4" w14:textId="77777777" w:rsidR="00B52814" w:rsidRPr="00AA775B" w:rsidRDefault="00B52814" w:rsidP="0034106C">
      <w:pPr>
        <w:spacing w:line="360" w:lineRule="auto"/>
        <w:jc w:val="both"/>
        <w:rPr>
          <w:rFonts w:ascii="Arial" w:hAnsi="Arial" w:cs="Arial"/>
          <w:sz w:val="24"/>
          <w:szCs w:val="24"/>
        </w:rPr>
      </w:pPr>
    </w:p>
    <w:p w14:paraId="769F4970" w14:textId="77777777" w:rsidR="00F27E48" w:rsidRDefault="00F27E48" w:rsidP="0034106C">
      <w:pPr>
        <w:spacing w:line="360" w:lineRule="auto"/>
        <w:jc w:val="both"/>
        <w:rPr>
          <w:rFonts w:ascii="Arial" w:hAnsi="Arial" w:cs="Arial"/>
          <w:sz w:val="24"/>
          <w:szCs w:val="24"/>
        </w:rPr>
      </w:pPr>
    </w:p>
    <w:p w14:paraId="7D648AF0" w14:textId="77777777" w:rsidR="00660E91" w:rsidRDefault="00660E91" w:rsidP="0034106C">
      <w:pPr>
        <w:spacing w:line="360" w:lineRule="auto"/>
        <w:jc w:val="both"/>
        <w:rPr>
          <w:rFonts w:ascii="Arial" w:hAnsi="Arial" w:cs="Arial"/>
          <w:sz w:val="24"/>
          <w:szCs w:val="24"/>
        </w:rPr>
      </w:pPr>
    </w:p>
    <w:p w14:paraId="6647AD24" w14:textId="77777777" w:rsidR="00660E91" w:rsidRDefault="00660E91" w:rsidP="0034106C">
      <w:pPr>
        <w:spacing w:line="360" w:lineRule="auto"/>
        <w:jc w:val="both"/>
        <w:rPr>
          <w:rFonts w:ascii="Arial" w:hAnsi="Arial" w:cs="Arial"/>
          <w:sz w:val="24"/>
          <w:szCs w:val="24"/>
        </w:rPr>
      </w:pPr>
    </w:p>
    <w:p w14:paraId="64189D1D" w14:textId="77777777" w:rsidR="00660E91" w:rsidRDefault="00660E91" w:rsidP="0034106C">
      <w:pPr>
        <w:spacing w:line="360" w:lineRule="auto"/>
        <w:jc w:val="both"/>
        <w:rPr>
          <w:rFonts w:ascii="Arial" w:hAnsi="Arial" w:cs="Arial"/>
          <w:sz w:val="24"/>
          <w:szCs w:val="24"/>
        </w:rPr>
      </w:pPr>
    </w:p>
    <w:p w14:paraId="0438482A" w14:textId="77777777" w:rsidR="00660E91" w:rsidRDefault="00660E91" w:rsidP="0034106C">
      <w:pPr>
        <w:spacing w:line="360" w:lineRule="auto"/>
        <w:jc w:val="both"/>
        <w:rPr>
          <w:rFonts w:ascii="Arial" w:hAnsi="Arial" w:cs="Arial"/>
          <w:sz w:val="24"/>
          <w:szCs w:val="24"/>
        </w:rPr>
      </w:pPr>
    </w:p>
    <w:p w14:paraId="497424B4" w14:textId="77777777" w:rsidR="00660E91" w:rsidRDefault="00660E91" w:rsidP="0034106C">
      <w:pPr>
        <w:spacing w:line="360" w:lineRule="auto"/>
        <w:jc w:val="both"/>
        <w:rPr>
          <w:rFonts w:ascii="Arial" w:hAnsi="Arial" w:cs="Arial"/>
          <w:sz w:val="24"/>
          <w:szCs w:val="24"/>
        </w:rPr>
      </w:pPr>
    </w:p>
    <w:p w14:paraId="1759BEEC" w14:textId="77777777" w:rsidR="00660E91" w:rsidRDefault="00660E91" w:rsidP="0034106C">
      <w:pPr>
        <w:spacing w:line="360" w:lineRule="auto"/>
        <w:jc w:val="both"/>
        <w:rPr>
          <w:rFonts w:ascii="Arial" w:hAnsi="Arial" w:cs="Arial"/>
          <w:sz w:val="24"/>
          <w:szCs w:val="24"/>
        </w:rPr>
      </w:pPr>
    </w:p>
    <w:p w14:paraId="46270598" w14:textId="77777777" w:rsidR="00660E91" w:rsidRDefault="00660E91" w:rsidP="0034106C">
      <w:pPr>
        <w:spacing w:line="360" w:lineRule="auto"/>
        <w:jc w:val="both"/>
        <w:rPr>
          <w:rFonts w:ascii="Arial" w:hAnsi="Arial" w:cs="Arial"/>
          <w:sz w:val="24"/>
          <w:szCs w:val="24"/>
        </w:rPr>
      </w:pPr>
    </w:p>
    <w:p w14:paraId="7CDD8A61" w14:textId="77777777" w:rsidR="00660E91" w:rsidRDefault="00660E91" w:rsidP="0034106C">
      <w:pPr>
        <w:spacing w:line="360" w:lineRule="auto"/>
        <w:jc w:val="both"/>
        <w:rPr>
          <w:rFonts w:ascii="Arial" w:hAnsi="Arial" w:cs="Arial"/>
          <w:sz w:val="24"/>
          <w:szCs w:val="24"/>
        </w:rPr>
      </w:pPr>
    </w:p>
    <w:p w14:paraId="46B400F1" w14:textId="77777777" w:rsidR="00660E91" w:rsidRPr="00AA775B" w:rsidRDefault="00660E91" w:rsidP="0034106C">
      <w:pPr>
        <w:spacing w:line="360" w:lineRule="auto"/>
        <w:jc w:val="both"/>
        <w:rPr>
          <w:rFonts w:ascii="Arial" w:hAnsi="Arial" w:cs="Arial"/>
          <w:sz w:val="24"/>
          <w:szCs w:val="24"/>
        </w:rPr>
      </w:pPr>
    </w:p>
    <w:p w14:paraId="14EAC6E4" w14:textId="7F51B6AD" w:rsidR="00F27E48" w:rsidRPr="00464934" w:rsidRDefault="00464934" w:rsidP="0034106C">
      <w:pPr>
        <w:pStyle w:val="Heading1"/>
        <w:spacing w:line="360" w:lineRule="auto"/>
        <w:jc w:val="both"/>
        <w:rPr>
          <w:b/>
          <w:bCs/>
        </w:rPr>
      </w:pPr>
      <w:bookmarkStart w:id="20" w:name="_Toc152017530"/>
      <w:r w:rsidRPr="00464934">
        <w:rPr>
          <w:b/>
          <w:bCs/>
        </w:rPr>
        <w:lastRenderedPageBreak/>
        <w:t>Conclusion</w:t>
      </w:r>
      <w:bookmarkEnd w:id="20"/>
    </w:p>
    <w:p w14:paraId="4F62AAFA" w14:textId="77777777" w:rsidR="00125204" w:rsidRDefault="00125204" w:rsidP="0034106C">
      <w:pPr>
        <w:spacing w:line="360" w:lineRule="auto"/>
        <w:jc w:val="both"/>
        <w:rPr>
          <w:rFonts w:ascii="Arial" w:hAnsi="Arial" w:cs="Arial"/>
          <w:sz w:val="24"/>
          <w:szCs w:val="24"/>
        </w:rPr>
      </w:pPr>
      <w:r w:rsidRPr="00125204">
        <w:rPr>
          <w:rFonts w:ascii="Arial" w:hAnsi="Arial" w:cs="Arial"/>
          <w:sz w:val="24"/>
          <w:szCs w:val="24"/>
        </w:rPr>
        <w:t>In conclusion, it is impossible to exaggerate the fundamental relevance and necessity of safeguarding policies and procedures in the United Kingdom. These policies are essential instruments in stopping and dealing with actual cases of abuse and neglect, as demonstrated by the sad situations of Victoria Climbié and Baby P. The development of safeguarding procedures, which has been influenced by a strong legal system and the lessons discovered from well-publicized incidents, emphasises the continuous dedication to improving the protection of those who are vulnerable.</w:t>
      </w:r>
    </w:p>
    <w:p w14:paraId="22F9E628" w14:textId="6216A4CB" w:rsidR="00F27E48" w:rsidRDefault="001F5170" w:rsidP="0034106C">
      <w:pPr>
        <w:spacing w:line="360" w:lineRule="auto"/>
        <w:jc w:val="both"/>
        <w:rPr>
          <w:rFonts w:ascii="Arial" w:hAnsi="Arial" w:cs="Arial"/>
          <w:sz w:val="24"/>
          <w:szCs w:val="24"/>
        </w:rPr>
      </w:pPr>
      <w:r w:rsidRPr="001F5170">
        <w:rPr>
          <w:rFonts w:ascii="Arial" w:hAnsi="Arial" w:cs="Arial"/>
          <w:sz w:val="24"/>
          <w:szCs w:val="24"/>
        </w:rPr>
        <w:t>The cases of Victoria Climbié and Baby P, characterised by systematic failings and terrible consequences, served as inspirations for dramatic reforms. These deaths sparked a rethinking of multi-agency collaboration, a focus on frontline practises, improved training and supervision, higher responsibility, and a change towards a child-</w:t>
      </w:r>
      <w:r w:rsidR="0034106C" w:rsidRPr="001F5170">
        <w:rPr>
          <w:rFonts w:ascii="Arial" w:hAnsi="Arial" w:cs="Arial"/>
          <w:sz w:val="24"/>
          <w:szCs w:val="24"/>
        </w:rPr>
        <w:t>cantered</w:t>
      </w:r>
      <w:r w:rsidRPr="001F5170">
        <w:rPr>
          <w:rFonts w:ascii="Arial" w:hAnsi="Arial" w:cs="Arial"/>
          <w:sz w:val="24"/>
          <w:szCs w:val="24"/>
        </w:rPr>
        <w:t xml:space="preserve"> strategy. The ramifications of these events can be found in the ongoing refining of safeguarding policies, which emphasise a proactive, collaborative, and child-</w:t>
      </w:r>
      <w:r w:rsidR="0034106C" w:rsidRPr="001F5170">
        <w:rPr>
          <w:rFonts w:ascii="Arial" w:hAnsi="Arial" w:cs="Arial"/>
          <w:sz w:val="24"/>
          <w:szCs w:val="24"/>
        </w:rPr>
        <w:t>cantered</w:t>
      </w:r>
      <w:r w:rsidRPr="001F5170">
        <w:rPr>
          <w:rFonts w:ascii="Arial" w:hAnsi="Arial" w:cs="Arial"/>
          <w:sz w:val="24"/>
          <w:szCs w:val="24"/>
        </w:rPr>
        <w:t xml:space="preserve"> approach to preventing future gaps and ensuring the well-being of individuals who rely on the strength and efficacy of these protective measures.</w:t>
      </w:r>
    </w:p>
    <w:p w14:paraId="3C32CAE1" w14:textId="77777777" w:rsidR="00E31310" w:rsidRDefault="00E31310" w:rsidP="0034106C">
      <w:pPr>
        <w:spacing w:line="360" w:lineRule="auto"/>
        <w:jc w:val="both"/>
        <w:rPr>
          <w:rFonts w:ascii="Arial" w:hAnsi="Arial" w:cs="Arial"/>
          <w:sz w:val="24"/>
          <w:szCs w:val="24"/>
        </w:rPr>
      </w:pPr>
    </w:p>
    <w:p w14:paraId="5BD8BA7B" w14:textId="77777777" w:rsidR="00E31310" w:rsidRDefault="00E31310" w:rsidP="0034106C">
      <w:pPr>
        <w:spacing w:line="360" w:lineRule="auto"/>
        <w:jc w:val="both"/>
        <w:rPr>
          <w:rFonts w:ascii="Arial" w:hAnsi="Arial" w:cs="Arial"/>
          <w:sz w:val="24"/>
          <w:szCs w:val="24"/>
        </w:rPr>
      </w:pPr>
    </w:p>
    <w:p w14:paraId="02560E11" w14:textId="77777777" w:rsidR="00E31310" w:rsidRDefault="00E31310" w:rsidP="0034106C">
      <w:pPr>
        <w:spacing w:line="360" w:lineRule="auto"/>
        <w:jc w:val="both"/>
        <w:rPr>
          <w:rFonts w:ascii="Arial" w:hAnsi="Arial" w:cs="Arial"/>
          <w:sz w:val="24"/>
          <w:szCs w:val="24"/>
        </w:rPr>
      </w:pPr>
    </w:p>
    <w:p w14:paraId="0224A287" w14:textId="77777777" w:rsidR="00E31310" w:rsidRDefault="00E31310" w:rsidP="0034106C">
      <w:pPr>
        <w:spacing w:line="360" w:lineRule="auto"/>
        <w:jc w:val="both"/>
        <w:rPr>
          <w:rFonts w:ascii="Arial" w:hAnsi="Arial" w:cs="Arial"/>
          <w:sz w:val="24"/>
          <w:szCs w:val="24"/>
        </w:rPr>
      </w:pPr>
    </w:p>
    <w:p w14:paraId="730499C3" w14:textId="77777777" w:rsidR="00E31310" w:rsidRDefault="00E31310" w:rsidP="0034106C">
      <w:pPr>
        <w:spacing w:line="360" w:lineRule="auto"/>
        <w:jc w:val="both"/>
        <w:rPr>
          <w:rFonts w:ascii="Arial" w:hAnsi="Arial" w:cs="Arial"/>
          <w:sz w:val="24"/>
          <w:szCs w:val="24"/>
        </w:rPr>
      </w:pPr>
    </w:p>
    <w:p w14:paraId="171BFCF4" w14:textId="77777777" w:rsidR="00E31310" w:rsidRDefault="00E31310" w:rsidP="0034106C">
      <w:pPr>
        <w:spacing w:line="360" w:lineRule="auto"/>
        <w:jc w:val="both"/>
        <w:rPr>
          <w:rFonts w:ascii="Arial" w:hAnsi="Arial" w:cs="Arial"/>
          <w:sz w:val="24"/>
          <w:szCs w:val="24"/>
        </w:rPr>
      </w:pPr>
    </w:p>
    <w:p w14:paraId="1D9E05E0" w14:textId="77777777" w:rsidR="00E31310" w:rsidRDefault="00E31310" w:rsidP="0034106C">
      <w:pPr>
        <w:spacing w:line="360" w:lineRule="auto"/>
        <w:jc w:val="both"/>
        <w:rPr>
          <w:rFonts w:ascii="Arial" w:hAnsi="Arial" w:cs="Arial"/>
          <w:sz w:val="24"/>
          <w:szCs w:val="24"/>
        </w:rPr>
      </w:pPr>
    </w:p>
    <w:p w14:paraId="0118E3E0" w14:textId="77777777" w:rsidR="00E31310" w:rsidRDefault="00E31310" w:rsidP="0034106C">
      <w:pPr>
        <w:spacing w:line="360" w:lineRule="auto"/>
        <w:jc w:val="both"/>
        <w:rPr>
          <w:rFonts w:ascii="Arial" w:hAnsi="Arial" w:cs="Arial"/>
          <w:sz w:val="24"/>
          <w:szCs w:val="24"/>
        </w:rPr>
      </w:pPr>
    </w:p>
    <w:p w14:paraId="747CF19D" w14:textId="77777777" w:rsidR="00E31310" w:rsidRDefault="00E31310" w:rsidP="0034106C">
      <w:pPr>
        <w:spacing w:line="360" w:lineRule="auto"/>
        <w:jc w:val="both"/>
        <w:rPr>
          <w:rFonts w:ascii="Arial" w:hAnsi="Arial" w:cs="Arial"/>
          <w:sz w:val="24"/>
          <w:szCs w:val="24"/>
        </w:rPr>
      </w:pPr>
    </w:p>
    <w:p w14:paraId="63700C34" w14:textId="77777777" w:rsidR="00E31310" w:rsidRDefault="00E31310" w:rsidP="0034106C">
      <w:pPr>
        <w:spacing w:line="360" w:lineRule="auto"/>
        <w:jc w:val="both"/>
        <w:rPr>
          <w:rFonts w:ascii="Arial" w:hAnsi="Arial" w:cs="Arial"/>
          <w:sz w:val="24"/>
          <w:szCs w:val="24"/>
        </w:rPr>
      </w:pPr>
    </w:p>
    <w:p w14:paraId="7EDFAB0C" w14:textId="77777777" w:rsidR="0034106C" w:rsidRDefault="0034106C" w:rsidP="0034106C">
      <w:pPr>
        <w:spacing w:line="360" w:lineRule="auto"/>
        <w:jc w:val="both"/>
        <w:rPr>
          <w:rFonts w:ascii="Arial" w:hAnsi="Arial" w:cs="Arial"/>
          <w:sz w:val="24"/>
          <w:szCs w:val="24"/>
        </w:rPr>
      </w:pPr>
    </w:p>
    <w:p w14:paraId="73763E33" w14:textId="77777777" w:rsidR="0034106C" w:rsidRDefault="0034106C" w:rsidP="0034106C">
      <w:pPr>
        <w:spacing w:line="360" w:lineRule="auto"/>
        <w:jc w:val="both"/>
        <w:rPr>
          <w:rFonts w:ascii="Arial" w:hAnsi="Arial" w:cs="Arial"/>
          <w:sz w:val="24"/>
          <w:szCs w:val="24"/>
        </w:rPr>
      </w:pPr>
    </w:p>
    <w:p w14:paraId="11324B99" w14:textId="77777777" w:rsidR="0034106C" w:rsidRDefault="0034106C" w:rsidP="0034106C">
      <w:pPr>
        <w:spacing w:line="360" w:lineRule="auto"/>
        <w:jc w:val="both"/>
        <w:rPr>
          <w:rFonts w:ascii="Arial" w:hAnsi="Arial" w:cs="Arial"/>
          <w:sz w:val="24"/>
          <w:szCs w:val="24"/>
        </w:rPr>
      </w:pPr>
    </w:p>
    <w:p w14:paraId="6608A9E4" w14:textId="77777777" w:rsidR="0034106C" w:rsidRDefault="0034106C" w:rsidP="0034106C">
      <w:pPr>
        <w:spacing w:line="360" w:lineRule="auto"/>
        <w:jc w:val="both"/>
        <w:rPr>
          <w:rFonts w:ascii="Arial" w:hAnsi="Arial" w:cs="Arial"/>
          <w:sz w:val="24"/>
          <w:szCs w:val="24"/>
        </w:rPr>
      </w:pPr>
    </w:p>
    <w:p w14:paraId="3D06CAE3" w14:textId="77777777" w:rsidR="0034106C" w:rsidRDefault="0034106C" w:rsidP="0034106C">
      <w:pPr>
        <w:spacing w:line="360" w:lineRule="auto"/>
        <w:jc w:val="both"/>
        <w:rPr>
          <w:rFonts w:ascii="Arial" w:hAnsi="Arial" w:cs="Arial"/>
          <w:sz w:val="24"/>
          <w:szCs w:val="24"/>
        </w:rPr>
      </w:pPr>
    </w:p>
    <w:p w14:paraId="6522762A" w14:textId="77777777" w:rsidR="0034106C" w:rsidRPr="00AA775B" w:rsidRDefault="0034106C" w:rsidP="0034106C">
      <w:pPr>
        <w:spacing w:line="360" w:lineRule="auto"/>
        <w:jc w:val="both"/>
        <w:rPr>
          <w:rFonts w:ascii="Arial" w:hAnsi="Arial" w:cs="Arial"/>
          <w:sz w:val="24"/>
          <w:szCs w:val="24"/>
        </w:rPr>
      </w:pPr>
    </w:p>
    <w:p w14:paraId="4A608F32" w14:textId="4CDE7495" w:rsidR="00F27E48" w:rsidRPr="00E31310" w:rsidRDefault="00464934" w:rsidP="0034106C">
      <w:pPr>
        <w:pStyle w:val="Heading1"/>
        <w:spacing w:line="360" w:lineRule="auto"/>
        <w:jc w:val="both"/>
        <w:rPr>
          <w:b/>
          <w:bCs/>
        </w:rPr>
      </w:pPr>
      <w:bookmarkStart w:id="21" w:name="_Toc152017531"/>
      <w:r w:rsidRPr="00E31310">
        <w:rPr>
          <w:b/>
          <w:bCs/>
        </w:rPr>
        <w:lastRenderedPageBreak/>
        <w:t>References</w:t>
      </w:r>
      <w:bookmarkEnd w:id="21"/>
    </w:p>
    <w:p w14:paraId="48D9EB49" w14:textId="77777777" w:rsidR="00C95F9A" w:rsidRDefault="00C95F9A" w:rsidP="00C95F9A">
      <w:pPr>
        <w:spacing w:line="360" w:lineRule="auto"/>
        <w:rPr>
          <w:rFonts w:ascii="Arial" w:hAnsi="Arial" w:cs="Arial"/>
          <w:sz w:val="24"/>
          <w:szCs w:val="24"/>
        </w:rPr>
      </w:pPr>
    </w:p>
    <w:p w14:paraId="45586729" w14:textId="37E0DF0E" w:rsidR="00C95F9A" w:rsidRDefault="00C95F9A" w:rsidP="00C95F9A">
      <w:pPr>
        <w:spacing w:line="360" w:lineRule="auto"/>
        <w:rPr>
          <w:rFonts w:ascii="Arial" w:hAnsi="Arial" w:cs="Arial"/>
          <w:sz w:val="24"/>
          <w:szCs w:val="24"/>
        </w:rPr>
      </w:pPr>
      <w:r w:rsidRPr="00C95F9A">
        <w:rPr>
          <w:rFonts w:ascii="Arial" w:hAnsi="Arial" w:cs="Arial"/>
          <w:sz w:val="24"/>
          <w:szCs w:val="24"/>
        </w:rPr>
        <w:t>Munro, E. (2011). </w:t>
      </w:r>
      <w:r w:rsidRPr="00C95F9A">
        <w:rPr>
          <w:rFonts w:ascii="Arial" w:hAnsi="Arial" w:cs="Arial"/>
          <w:i/>
          <w:iCs/>
          <w:sz w:val="24"/>
          <w:szCs w:val="24"/>
        </w:rPr>
        <w:t>The Munro Review of Child Protection: Final Report A child-centred system.</w:t>
      </w:r>
      <w:r w:rsidRPr="00C95F9A">
        <w:rPr>
          <w:rFonts w:ascii="Arial" w:hAnsi="Arial" w:cs="Arial"/>
          <w:sz w:val="24"/>
          <w:szCs w:val="24"/>
        </w:rPr>
        <w:t xml:space="preserve"> [online] Available at: </w:t>
      </w:r>
      <w:hyperlink r:id="rId9" w:history="1">
        <w:r w:rsidRPr="00AA3524">
          <w:rPr>
            <w:rStyle w:val="Hyperlink"/>
            <w:rFonts w:ascii="Arial" w:hAnsi="Arial" w:cs="Arial"/>
            <w:sz w:val="24"/>
            <w:szCs w:val="24"/>
          </w:rPr>
          <w:t>https://assets.publishing.service.gov.uk/media/5a7b455ee5274a34770ea939/Munro-Review.pdf</w:t>
        </w:r>
      </w:hyperlink>
      <w:r w:rsidRPr="00C95F9A">
        <w:rPr>
          <w:rFonts w:ascii="Arial" w:hAnsi="Arial" w:cs="Arial"/>
          <w:sz w:val="24"/>
          <w:szCs w:val="24"/>
        </w:rPr>
        <w:t>.</w:t>
      </w:r>
    </w:p>
    <w:p w14:paraId="325A38D2" w14:textId="77777777" w:rsidR="00C95F9A" w:rsidRPr="00C95F9A" w:rsidRDefault="00C95F9A" w:rsidP="00C95F9A">
      <w:pPr>
        <w:spacing w:line="360" w:lineRule="auto"/>
        <w:rPr>
          <w:rFonts w:ascii="Arial" w:hAnsi="Arial" w:cs="Arial"/>
          <w:sz w:val="24"/>
          <w:szCs w:val="24"/>
        </w:rPr>
      </w:pPr>
    </w:p>
    <w:p w14:paraId="4D9089AA" w14:textId="6566F870" w:rsidR="00636CA3" w:rsidRPr="009515F5" w:rsidRDefault="009515F5" w:rsidP="009515F5">
      <w:pPr>
        <w:spacing w:line="360" w:lineRule="auto"/>
        <w:rPr>
          <w:rFonts w:ascii="Arial" w:hAnsi="Arial" w:cs="Arial"/>
          <w:sz w:val="24"/>
          <w:szCs w:val="24"/>
        </w:rPr>
      </w:pPr>
      <w:r w:rsidRPr="009515F5">
        <w:rPr>
          <w:rFonts w:ascii="Arial" w:hAnsi="Arial" w:cs="Arial"/>
          <w:sz w:val="24"/>
          <w:szCs w:val="24"/>
        </w:rPr>
        <w:t>HM government (2018). </w:t>
      </w:r>
      <w:r w:rsidRPr="009515F5">
        <w:rPr>
          <w:rFonts w:ascii="Arial" w:hAnsi="Arial" w:cs="Arial"/>
          <w:i/>
          <w:iCs/>
          <w:sz w:val="24"/>
          <w:szCs w:val="24"/>
        </w:rPr>
        <w:t>Working Together to Safeguard Children.</w:t>
      </w:r>
      <w:r w:rsidRPr="009515F5">
        <w:rPr>
          <w:rFonts w:ascii="Arial" w:hAnsi="Arial" w:cs="Arial"/>
          <w:sz w:val="24"/>
          <w:szCs w:val="24"/>
        </w:rPr>
        <w:t xml:space="preserve"> [online] Available at: </w:t>
      </w:r>
      <w:hyperlink r:id="rId10" w:history="1">
        <w:r w:rsidRPr="009515F5">
          <w:rPr>
            <w:rStyle w:val="Hyperlink"/>
            <w:rFonts w:ascii="Arial" w:hAnsi="Arial" w:cs="Arial"/>
            <w:color w:val="auto"/>
            <w:sz w:val="24"/>
            <w:szCs w:val="24"/>
            <w:u w:val="none"/>
          </w:rPr>
          <w:t>https://assets.publishing.service.gov.uk/media/5fd0a8e78fa8f54d5d6555f9/Working_together_to_safeguard_children_inter_agency_guid</w:t>
        </w:r>
      </w:hyperlink>
    </w:p>
    <w:p w14:paraId="0C29FDC0" w14:textId="77777777" w:rsidR="009515F5" w:rsidRDefault="009515F5" w:rsidP="009515F5">
      <w:pPr>
        <w:spacing w:line="360" w:lineRule="auto"/>
        <w:rPr>
          <w:rFonts w:ascii="Arial" w:hAnsi="Arial" w:cs="Arial"/>
          <w:sz w:val="24"/>
          <w:szCs w:val="24"/>
        </w:rPr>
      </w:pPr>
    </w:p>
    <w:p w14:paraId="4F76F7F4" w14:textId="20EE8C96" w:rsidR="0068403A" w:rsidRPr="0068403A" w:rsidRDefault="0068403A" w:rsidP="0068403A">
      <w:pPr>
        <w:rPr>
          <w:rFonts w:ascii="Arial" w:hAnsi="Arial" w:cs="Arial"/>
          <w:sz w:val="24"/>
          <w:szCs w:val="24"/>
        </w:rPr>
      </w:pPr>
      <w:r w:rsidRPr="0068403A">
        <w:rPr>
          <w:rFonts w:ascii="Arial" w:hAnsi="Arial" w:cs="Arial"/>
          <w:sz w:val="24"/>
          <w:szCs w:val="24"/>
        </w:rPr>
        <w:t>NSPCC (2011). </w:t>
      </w:r>
      <w:r w:rsidRPr="0068403A">
        <w:rPr>
          <w:rFonts w:ascii="Arial" w:hAnsi="Arial" w:cs="Arial"/>
          <w:i/>
          <w:iCs/>
          <w:sz w:val="24"/>
          <w:szCs w:val="24"/>
        </w:rPr>
        <w:t>Child abuse and neglect in the UK today.</w:t>
      </w:r>
      <w:r w:rsidRPr="0068403A">
        <w:rPr>
          <w:rFonts w:ascii="Arial" w:hAnsi="Arial" w:cs="Arial"/>
          <w:sz w:val="24"/>
          <w:szCs w:val="24"/>
        </w:rPr>
        <w:t xml:space="preserve"> [online] NSPCC Learning. Available at: </w:t>
      </w:r>
      <w:hyperlink r:id="rId11" w:history="1">
        <w:r w:rsidRPr="0068403A">
          <w:rPr>
            <w:rStyle w:val="Hyperlink"/>
            <w:rFonts w:ascii="Arial" w:hAnsi="Arial" w:cs="Arial"/>
            <w:sz w:val="24"/>
            <w:szCs w:val="24"/>
          </w:rPr>
          <w:t>https://learning.nspcc.org.uk/research-resources/pre-2013/child-abuse-neglect-uk-today</w:t>
        </w:r>
      </w:hyperlink>
      <w:r w:rsidRPr="0068403A">
        <w:rPr>
          <w:rFonts w:ascii="Arial" w:hAnsi="Arial" w:cs="Arial"/>
          <w:sz w:val="24"/>
          <w:szCs w:val="24"/>
        </w:rPr>
        <w:t>.</w:t>
      </w:r>
    </w:p>
    <w:p w14:paraId="2F1F7537" w14:textId="77777777" w:rsidR="0068403A" w:rsidRDefault="0068403A" w:rsidP="009515F5">
      <w:pPr>
        <w:spacing w:line="360" w:lineRule="auto"/>
        <w:rPr>
          <w:rFonts w:ascii="Arial" w:hAnsi="Arial" w:cs="Arial"/>
          <w:sz w:val="24"/>
          <w:szCs w:val="24"/>
        </w:rPr>
      </w:pPr>
    </w:p>
    <w:p w14:paraId="64D61EAE" w14:textId="2466F53D" w:rsidR="00F86C11" w:rsidRPr="00F86C11" w:rsidRDefault="00F86C11" w:rsidP="00F86C11">
      <w:pPr>
        <w:spacing w:line="360" w:lineRule="auto"/>
        <w:rPr>
          <w:rFonts w:ascii="Arial" w:hAnsi="Arial" w:cs="Arial"/>
          <w:sz w:val="24"/>
          <w:szCs w:val="24"/>
        </w:rPr>
      </w:pPr>
      <w:r w:rsidRPr="00F86C11">
        <w:rPr>
          <w:rFonts w:ascii="Arial" w:hAnsi="Arial" w:cs="Arial"/>
          <w:sz w:val="24"/>
          <w:szCs w:val="24"/>
        </w:rPr>
        <w:t>Department of Education (2021). </w:t>
      </w:r>
      <w:r w:rsidRPr="00F86C11">
        <w:rPr>
          <w:rFonts w:ascii="Arial" w:hAnsi="Arial" w:cs="Arial"/>
          <w:i/>
          <w:iCs/>
          <w:sz w:val="24"/>
          <w:szCs w:val="24"/>
        </w:rPr>
        <w:t>The Children Act 1989 guidance and regulations Volume 2: care planning, placement and case review.</w:t>
      </w:r>
      <w:r w:rsidRPr="00F86C11">
        <w:rPr>
          <w:rFonts w:ascii="Arial" w:hAnsi="Arial" w:cs="Arial"/>
          <w:sz w:val="24"/>
          <w:szCs w:val="24"/>
        </w:rPr>
        <w:t xml:space="preserve"> [online] Available at: https://assets.publishing.service.gov.uk/government/uploads/system/uploads/attachment_data/file/1000549/The_Children_Act_1989_guidan</w:t>
      </w:r>
    </w:p>
    <w:p w14:paraId="648CE9E6" w14:textId="77777777" w:rsidR="00F86C11" w:rsidRPr="009515F5" w:rsidRDefault="00F86C11" w:rsidP="009515F5">
      <w:pPr>
        <w:spacing w:line="360" w:lineRule="auto"/>
        <w:rPr>
          <w:rFonts w:ascii="Arial" w:hAnsi="Arial" w:cs="Arial"/>
          <w:sz w:val="24"/>
          <w:szCs w:val="24"/>
        </w:rPr>
      </w:pPr>
    </w:p>
    <w:p w14:paraId="33BE28CD" w14:textId="43B9C1E3" w:rsidR="00415A14" w:rsidRDefault="00415A14" w:rsidP="00415A14">
      <w:pPr>
        <w:spacing w:line="360" w:lineRule="auto"/>
        <w:rPr>
          <w:rFonts w:ascii="Arial" w:hAnsi="Arial" w:cs="Arial"/>
          <w:sz w:val="24"/>
          <w:szCs w:val="24"/>
        </w:rPr>
      </w:pPr>
      <w:r w:rsidRPr="00415A14">
        <w:rPr>
          <w:rFonts w:ascii="Arial" w:hAnsi="Arial" w:cs="Arial"/>
          <w:sz w:val="24"/>
          <w:szCs w:val="24"/>
        </w:rPr>
        <w:t>Brandon, M.,</w:t>
      </w:r>
      <w:r>
        <w:rPr>
          <w:rFonts w:ascii="Arial" w:hAnsi="Arial" w:cs="Arial"/>
          <w:sz w:val="24"/>
          <w:szCs w:val="24"/>
        </w:rPr>
        <w:t xml:space="preserve"> et al.,</w:t>
      </w:r>
      <w:r w:rsidRPr="00415A14">
        <w:rPr>
          <w:rFonts w:ascii="Arial" w:hAnsi="Arial" w:cs="Arial"/>
          <w:sz w:val="24"/>
          <w:szCs w:val="24"/>
        </w:rPr>
        <w:t xml:space="preserve"> (2009). </w:t>
      </w:r>
      <w:r w:rsidRPr="00415A14">
        <w:rPr>
          <w:rFonts w:ascii="Arial" w:hAnsi="Arial" w:cs="Arial"/>
          <w:i/>
          <w:iCs/>
          <w:sz w:val="24"/>
          <w:szCs w:val="24"/>
        </w:rPr>
        <w:t xml:space="preserve">New learning from serious case reviews: a </w:t>
      </w:r>
      <w:r w:rsidR="00C0507A" w:rsidRPr="00415A14">
        <w:rPr>
          <w:rFonts w:ascii="Arial" w:hAnsi="Arial" w:cs="Arial"/>
          <w:i/>
          <w:iCs/>
          <w:sz w:val="24"/>
          <w:szCs w:val="24"/>
        </w:rPr>
        <w:t>two-year</w:t>
      </w:r>
      <w:r w:rsidRPr="00415A14">
        <w:rPr>
          <w:rFonts w:ascii="Arial" w:hAnsi="Arial" w:cs="Arial"/>
          <w:i/>
          <w:iCs/>
          <w:sz w:val="24"/>
          <w:szCs w:val="24"/>
        </w:rPr>
        <w:t xml:space="preserve"> report for. </w:t>
      </w:r>
      <w:r w:rsidRPr="00415A14">
        <w:rPr>
          <w:rFonts w:ascii="Arial" w:hAnsi="Arial" w:cs="Arial"/>
          <w:sz w:val="24"/>
          <w:szCs w:val="24"/>
        </w:rPr>
        <w:t xml:space="preserve">[online] Available at: </w:t>
      </w:r>
      <w:hyperlink r:id="rId12" w:history="1">
        <w:r w:rsidR="00E37CE9" w:rsidRPr="00AA3524">
          <w:rPr>
            <w:rStyle w:val="Hyperlink"/>
            <w:rFonts w:ascii="Arial" w:hAnsi="Arial" w:cs="Arial"/>
            <w:sz w:val="24"/>
            <w:szCs w:val="24"/>
          </w:rPr>
          <w:t>https://assets.publishing.service.gov.uk/media/5a7a0893ed915d6d99f5cab0/DFE-RR226_Report.pdf</w:t>
        </w:r>
      </w:hyperlink>
      <w:r w:rsidRPr="00415A14">
        <w:rPr>
          <w:rFonts w:ascii="Arial" w:hAnsi="Arial" w:cs="Arial"/>
          <w:sz w:val="24"/>
          <w:szCs w:val="24"/>
        </w:rPr>
        <w:t>.</w:t>
      </w:r>
    </w:p>
    <w:p w14:paraId="429E1C2A" w14:textId="77777777" w:rsidR="00E37CE9" w:rsidRPr="00415A14" w:rsidRDefault="00E37CE9" w:rsidP="00415A14">
      <w:pPr>
        <w:spacing w:line="360" w:lineRule="auto"/>
        <w:rPr>
          <w:rFonts w:ascii="Arial" w:hAnsi="Arial" w:cs="Arial"/>
          <w:sz w:val="24"/>
          <w:szCs w:val="24"/>
        </w:rPr>
      </w:pPr>
    </w:p>
    <w:p w14:paraId="71922B9C" w14:textId="00B56652" w:rsidR="00636CA3" w:rsidRPr="00E37CE9" w:rsidRDefault="00E37CE9" w:rsidP="00E37CE9">
      <w:pPr>
        <w:spacing w:line="360" w:lineRule="auto"/>
        <w:rPr>
          <w:rFonts w:ascii="Arial" w:hAnsi="Arial" w:cs="Arial"/>
          <w:sz w:val="24"/>
          <w:szCs w:val="24"/>
        </w:rPr>
      </w:pPr>
      <w:r w:rsidRPr="00E37CE9">
        <w:rPr>
          <w:rFonts w:ascii="Arial" w:hAnsi="Arial" w:cs="Arial"/>
          <w:sz w:val="24"/>
          <w:szCs w:val="24"/>
        </w:rPr>
        <w:t>HARINGEY LOCAL SAFEGUARDING CHILDREN BOARD SERIOUS CASE REVIEW ‘CHILD A’ Published by the Department for Education on 26. (2009). Available at: https://assets.publishing.service.gov.uk/media/5a8155a4e5274a2e8ab536d2/second_serious_case_overview_report_relating_to_peter_connelly</w:t>
      </w:r>
    </w:p>
    <w:p w14:paraId="4A35AF4C" w14:textId="77777777" w:rsidR="00E37CE9" w:rsidRDefault="00E37CE9" w:rsidP="0034106C">
      <w:pPr>
        <w:spacing w:line="360" w:lineRule="auto"/>
        <w:jc w:val="both"/>
        <w:rPr>
          <w:rFonts w:ascii="Arial" w:hAnsi="Arial" w:cs="Arial"/>
          <w:sz w:val="24"/>
          <w:szCs w:val="24"/>
        </w:rPr>
      </w:pPr>
    </w:p>
    <w:p w14:paraId="75C2848C" w14:textId="364C8D82" w:rsidR="00E37CE9" w:rsidRPr="00E37CE9" w:rsidRDefault="00E37CE9" w:rsidP="00E37CE9">
      <w:pPr>
        <w:spacing w:line="360" w:lineRule="auto"/>
        <w:rPr>
          <w:rFonts w:ascii="Arial" w:hAnsi="Arial" w:cs="Arial"/>
          <w:sz w:val="24"/>
          <w:szCs w:val="24"/>
        </w:rPr>
      </w:pPr>
      <w:r w:rsidRPr="00E37CE9">
        <w:rPr>
          <w:rFonts w:ascii="Arial" w:hAnsi="Arial" w:cs="Arial"/>
          <w:sz w:val="24"/>
          <w:szCs w:val="24"/>
        </w:rPr>
        <w:t>Lord Laming (2003). </w:t>
      </w:r>
      <w:r w:rsidRPr="00E37CE9">
        <w:rPr>
          <w:rFonts w:ascii="Arial" w:hAnsi="Arial" w:cs="Arial"/>
          <w:i/>
          <w:iCs/>
          <w:sz w:val="24"/>
          <w:szCs w:val="24"/>
        </w:rPr>
        <w:t>The Victoria Climbie Inquiry: report of an inquiry by Lord Laming.</w:t>
      </w:r>
      <w:r w:rsidRPr="00E37CE9">
        <w:rPr>
          <w:rFonts w:ascii="Arial" w:hAnsi="Arial" w:cs="Arial"/>
          <w:sz w:val="24"/>
          <w:szCs w:val="24"/>
        </w:rPr>
        <w:t xml:space="preserve"> [online] GOV.UK. Available at: </w:t>
      </w:r>
      <w:r w:rsidRPr="00E37CE9">
        <w:rPr>
          <w:rFonts w:ascii="Arial" w:hAnsi="Arial" w:cs="Arial"/>
          <w:sz w:val="24"/>
          <w:szCs w:val="24"/>
        </w:rPr>
        <w:lastRenderedPageBreak/>
        <w:t>https://www.gov.uk/government/publications/the-victoria-climbie-inquiry-report-of-an-inquiry-by-lord-laming.</w:t>
      </w:r>
    </w:p>
    <w:p w14:paraId="5AFA1742" w14:textId="77777777" w:rsidR="00E37CE9" w:rsidRDefault="00E37CE9" w:rsidP="0034106C">
      <w:pPr>
        <w:spacing w:line="360" w:lineRule="auto"/>
        <w:jc w:val="both"/>
        <w:rPr>
          <w:rFonts w:ascii="Arial" w:hAnsi="Arial" w:cs="Arial"/>
          <w:sz w:val="24"/>
          <w:szCs w:val="24"/>
        </w:rPr>
      </w:pPr>
    </w:p>
    <w:p w14:paraId="31AEE9A7" w14:textId="177E60C0" w:rsidR="00CB1281" w:rsidRPr="00CB1281" w:rsidRDefault="00CB1281" w:rsidP="00CB1281">
      <w:pPr>
        <w:spacing w:line="360" w:lineRule="auto"/>
        <w:rPr>
          <w:rFonts w:ascii="Arial" w:hAnsi="Arial" w:cs="Arial"/>
          <w:sz w:val="24"/>
          <w:szCs w:val="24"/>
        </w:rPr>
      </w:pPr>
      <w:r w:rsidRPr="00CB1281">
        <w:rPr>
          <w:rFonts w:ascii="Arial" w:hAnsi="Arial" w:cs="Arial"/>
          <w:sz w:val="24"/>
          <w:szCs w:val="24"/>
        </w:rPr>
        <w:t>the Guardian. (2009). </w:t>
      </w:r>
      <w:r w:rsidRPr="00CB1281">
        <w:rPr>
          <w:rFonts w:ascii="Arial" w:hAnsi="Arial" w:cs="Arial"/>
          <w:i/>
          <w:iCs/>
          <w:sz w:val="24"/>
          <w:szCs w:val="24"/>
        </w:rPr>
        <w:t>Ofsted accused of manipulating Haringey report over Baby P.</w:t>
      </w:r>
      <w:r w:rsidRPr="00CB1281">
        <w:rPr>
          <w:rFonts w:ascii="Arial" w:hAnsi="Arial" w:cs="Arial"/>
          <w:sz w:val="24"/>
          <w:szCs w:val="24"/>
        </w:rPr>
        <w:t xml:space="preserve"> [online] Available at: https://www.theguardian.com/society/2009/oct/09/baby-p-childprotection [Accessed 9 Dec. 2020].</w:t>
      </w:r>
    </w:p>
    <w:p w14:paraId="1879CBDB" w14:textId="77777777" w:rsidR="00E37CE9" w:rsidRPr="00397DDC" w:rsidRDefault="00E37CE9" w:rsidP="0034106C">
      <w:pPr>
        <w:spacing w:line="360" w:lineRule="auto"/>
        <w:jc w:val="both"/>
        <w:rPr>
          <w:rFonts w:ascii="Arial" w:hAnsi="Arial" w:cs="Arial"/>
          <w:sz w:val="24"/>
          <w:szCs w:val="24"/>
        </w:rPr>
      </w:pPr>
    </w:p>
    <w:p w14:paraId="259F1606" w14:textId="11C6089E" w:rsidR="00CB1281" w:rsidRDefault="003A29BC" w:rsidP="003A29BC">
      <w:pPr>
        <w:spacing w:line="360" w:lineRule="auto"/>
        <w:rPr>
          <w:rFonts w:ascii="Arial" w:hAnsi="Arial" w:cs="Arial"/>
          <w:sz w:val="24"/>
          <w:szCs w:val="24"/>
        </w:rPr>
      </w:pPr>
      <w:r w:rsidRPr="003A29BC">
        <w:rPr>
          <w:rFonts w:ascii="Arial" w:hAnsi="Arial" w:cs="Arial"/>
          <w:sz w:val="24"/>
          <w:szCs w:val="24"/>
        </w:rPr>
        <w:t>Munro, E. (2011). </w:t>
      </w:r>
      <w:r w:rsidRPr="003A29BC">
        <w:rPr>
          <w:rFonts w:ascii="Arial" w:hAnsi="Arial" w:cs="Arial"/>
          <w:i/>
          <w:iCs/>
          <w:sz w:val="24"/>
          <w:szCs w:val="24"/>
        </w:rPr>
        <w:t xml:space="preserve">The Munro Review of Child Protection: Final Report A child-centred system. </w:t>
      </w:r>
      <w:r w:rsidRPr="003A29BC">
        <w:rPr>
          <w:rFonts w:ascii="Arial" w:hAnsi="Arial" w:cs="Arial"/>
          <w:sz w:val="24"/>
          <w:szCs w:val="24"/>
        </w:rPr>
        <w:t xml:space="preserve">[online] Available at: </w:t>
      </w:r>
      <w:hyperlink r:id="rId13" w:history="1">
        <w:r w:rsidR="00EC712E" w:rsidRPr="00AA3524">
          <w:rPr>
            <w:rStyle w:val="Hyperlink"/>
            <w:rFonts w:ascii="Arial" w:hAnsi="Arial" w:cs="Arial"/>
            <w:sz w:val="24"/>
            <w:szCs w:val="24"/>
          </w:rPr>
          <w:t>https://assets.publishing.service.gov.uk/media/5a7b455ee5274a34770ea939/Munro-Review.pdf</w:t>
        </w:r>
      </w:hyperlink>
      <w:r w:rsidRPr="003A29BC">
        <w:rPr>
          <w:rFonts w:ascii="Arial" w:hAnsi="Arial" w:cs="Arial"/>
          <w:sz w:val="24"/>
          <w:szCs w:val="24"/>
        </w:rPr>
        <w:t>.</w:t>
      </w:r>
    </w:p>
    <w:p w14:paraId="029669E4" w14:textId="77777777" w:rsidR="00EC712E" w:rsidRPr="003A29BC" w:rsidRDefault="00EC712E" w:rsidP="003A29BC">
      <w:pPr>
        <w:spacing w:line="360" w:lineRule="auto"/>
        <w:rPr>
          <w:rFonts w:ascii="Arial" w:hAnsi="Arial" w:cs="Arial"/>
          <w:sz w:val="24"/>
          <w:szCs w:val="24"/>
        </w:rPr>
      </w:pPr>
    </w:p>
    <w:p w14:paraId="4BE1E606" w14:textId="5C405468" w:rsidR="003A2300" w:rsidRPr="003A2300" w:rsidRDefault="003A2300" w:rsidP="003A2300">
      <w:pPr>
        <w:spacing w:line="360" w:lineRule="auto"/>
        <w:rPr>
          <w:rFonts w:ascii="Arial" w:hAnsi="Arial" w:cs="Arial"/>
          <w:sz w:val="24"/>
          <w:szCs w:val="24"/>
        </w:rPr>
      </w:pPr>
      <w:r w:rsidRPr="003A2300">
        <w:rPr>
          <w:rFonts w:ascii="Arial" w:hAnsi="Arial" w:cs="Arial"/>
          <w:sz w:val="24"/>
          <w:szCs w:val="24"/>
        </w:rPr>
        <w:t>Hall, D. (2003). Child protection—lessons from Victoria Climbié. </w:t>
      </w:r>
      <w:r w:rsidRPr="003A2300">
        <w:rPr>
          <w:rFonts w:ascii="Arial" w:hAnsi="Arial" w:cs="Arial"/>
          <w:i/>
          <w:iCs/>
          <w:sz w:val="24"/>
          <w:szCs w:val="24"/>
        </w:rPr>
        <w:t>BMJ: British Medical Journal</w:t>
      </w:r>
      <w:r w:rsidRPr="003A2300">
        <w:rPr>
          <w:rFonts w:ascii="Arial" w:hAnsi="Arial" w:cs="Arial"/>
          <w:sz w:val="24"/>
          <w:szCs w:val="24"/>
        </w:rPr>
        <w:t>, [online] 326(7384), pp.293–294. Available at: https://www.ncbi.nlm.nih.gov/pmc/articles/PMC1125167/.</w:t>
      </w:r>
    </w:p>
    <w:p w14:paraId="6FC05B96" w14:textId="77777777" w:rsidR="003A2300" w:rsidRDefault="003A2300" w:rsidP="0034106C">
      <w:pPr>
        <w:spacing w:line="360" w:lineRule="auto"/>
        <w:jc w:val="both"/>
        <w:rPr>
          <w:rFonts w:ascii="Arial" w:hAnsi="Arial" w:cs="Arial"/>
          <w:sz w:val="24"/>
          <w:szCs w:val="24"/>
        </w:rPr>
      </w:pPr>
    </w:p>
    <w:p w14:paraId="02DEA5FD" w14:textId="0BAF7CCE" w:rsidR="00AF7127" w:rsidRPr="00AF7127" w:rsidRDefault="00AF7127" w:rsidP="00AF7127">
      <w:pPr>
        <w:spacing w:line="360" w:lineRule="auto"/>
        <w:rPr>
          <w:rFonts w:ascii="Arial" w:hAnsi="Arial" w:cs="Arial"/>
          <w:sz w:val="24"/>
          <w:szCs w:val="24"/>
        </w:rPr>
      </w:pPr>
      <w:r w:rsidRPr="00AF7127">
        <w:rPr>
          <w:rFonts w:ascii="Arial" w:hAnsi="Arial" w:cs="Arial"/>
          <w:sz w:val="24"/>
          <w:szCs w:val="24"/>
        </w:rPr>
        <w:t>Department for Children, Schools and Families (2009). </w:t>
      </w:r>
      <w:r w:rsidRPr="00AF7127">
        <w:rPr>
          <w:rFonts w:ascii="Arial" w:hAnsi="Arial" w:cs="Arial"/>
          <w:i/>
          <w:iCs/>
          <w:sz w:val="24"/>
          <w:szCs w:val="24"/>
        </w:rPr>
        <w:t xml:space="preserve">The protection of children in England: a progress report. </w:t>
      </w:r>
      <w:r w:rsidRPr="00AF7127">
        <w:rPr>
          <w:rFonts w:ascii="Arial" w:hAnsi="Arial" w:cs="Arial"/>
          <w:sz w:val="24"/>
          <w:szCs w:val="24"/>
        </w:rPr>
        <w:t>[online] GOV.UK. Available at: https://www.gov.uk/government/publications/the-protection-of-children-in-england-a-progress-report.</w:t>
      </w:r>
    </w:p>
    <w:p w14:paraId="3987737F" w14:textId="77777777" w:rsidR="00AF7127" w:rsidRDefault="00AF7127" w:rsidP="0034106C">
      <w:pPr>
        <w:spacing w:line="360" w:lineRule="auto"/>
        <w:jc w:val="both"/>
        <w:rPr>
          <w:rFonts w:ascii="Arial" w:hAnsi="Arial" w:cs="Arial"/>
          <w:sz w:val="24"/>
          <w:szCs w:val="24"/>
        </w:rPr>
      </w:pPr>
    </w:p>
    <w:p w14:paraId="640AE7A6" w14:textId="77777777" w:rsidR="00B7434E" w:rsidRPr="00A04F80" w:rsidRDefault="00B7434E" w:rsidP="00A04F80">
      <w:pPr>
        <w:spacing w:line="360" w:lineRule="auto"/>
        <w:rPr>
          <w:rFonts w:ascii="Arial" w:hAnsi="Arial" w:cs="Arial"/>
          <w:sz w:val="24"/>
          <w:szCs w:val="24"/>
        </w:rPr>
      </w:pPr>
    </w:p>
    <w:p w14:paraId="559F65A6" w14:textId="0F3D08E5" w:rsidR="00F27E48" w:rsidRDefault="00A04F80" w:rsidP="00A04F80">
      <w:pPr>
        <w:spacing w:line="360" w:lineRule="auto"/>
        <w:rPr>
          <w:rFonts w:ascii="Arial" w:hAnsi="Arial" w:cs="Arial"/>
          <w:sz w:val="24"/>
          <w:szCs w:val="24"/>
        </w:rPr>
      </w:pPr>
      <w:r w:rsidRPr="00A04F80">
        <w:rPr>
          <w:rFonts w:ascii="Arial" w:hAnsi="Arial" w:cs="Arial"/>
          <w:sz w:val="24"/>
          <w:szCs w:val="24"/>
        </w:rPr>
        <w:t>Routledge &amp; CRC Press. (n.d.). </w:t>
      </w:r>
      <w:r w:rsidRPr="00A04F80">
        <w:rPr>
          <w:rFonts w:ascii="Arial" w:hAnsi="Arial" w:cs="Arial"/>
          <w:i/>
          <w:iCs/>
          <w:sz w:val="24"/>
          <w:szCs w:val="24"/>
        </w:rPr>
        <w:t>Beyond Blame: Child Abuse Tragedies Revisited.</w:t>
      </w:r>
      <w:r w:rsidRPr="00A04F80">
        <w:rPr>
          <w:rFonts w:ascii="Arial" w:hAnsi="Arial" w:cs="Arial"/>
          <w:sz w:val="24"/>
          <w:szCs w:val="24"/>
        </w:rPr>
        <w:t xml:space="preserve"> [online] Available at: https://www.routledge.com/Beyond-Blame-Child-Abuse-Tragedies-Revisited/Reder-Duncan-Gray/p/book/9780415066792 [Accessed 30 Nov. 2023].</w:t>
      </w:r>
    </w:p>
    <w:p w14:paraId="6F4F0342" w14:textId="77777777" w:rsidR="00EC712E" w:rsidRDefault="00EC712E" w:rsidP="00A04F80">
      <w:pPr>
        <w:spacing w:line="360" w:lineRule="auto"/>
        <w:rPr>
          <w:rFonts w:ascii="Arial" w:hAnsi="Arial" w:cs="Arial"/>
          <w:sz w:val="24"/>
          <w:szCs w:val="24"/>
        </w:rPr>
      </w:pPr>
    </w:p>
    <w:p w14:paraId="50405CAA" w14:textId="160E4388" w:rsidR="00EC712E" w:rsidRDefault="00EC712E" w:rsidP="00EC712E">
      <w:pPr>
        <w:spacing w:line="360" w:lineRule="auto"/>
        <w:rPr>
          <w:rFonts w:ascii="Arial" w:hAnsi="Arial" w:cs="Arial"/>
          <w:color w:val="374151"/>
          <w:sz w:val="24"/>
          <w:szCs w:val="24"/>
        </w:rPr>
      </w:pPr>
      <w:r w:rsidRPr="00EC712E">
        <w:rPr>
          <w:rFonts w:ascii="Arial" w:hAnsi="Arial" w:cs="Arial"/>
          <w:color w:val="374151"/>
          <w:sz w:val="24"/>
          <w:szCs w:val="24"/>
        </w:rPr>
        <w:t xml:space="preserve">Taylor, R., &amp; Killian, M. (2014). Safeguarding children: A comparison of England's data to that of Australia and the Netherlands. </w:t>
      </w:r>
      <w:r w:rsidRPr="00EC712E">
        <w:rPr>
          <w:rFonts w:ascii="Arial" w:hAnsi="Arial" w:cs="Arial"/>
          <w:i/>
          <w:iCs/>
          <w:color w:val="374151"/>
          <w:sz w:val="24"/>
          <w:szCs w:val="24"/>
        </w:rPr>
        <w:t>Child Abuse &amp; Neglect, 38</w:t>
      </w:r>
      <w:r w:rsidRPr="00EC712E">
        <w:rPr>
          <w:rFonts w:ascii="Arial" w:hAnsi="Arial" w:cs="Arial"/>
          <w:color w:val="374151"/>
          <w:sz w:val="24"/>
          <w:szCs w:val="24"/>
        </w:rPr>
        <w:t>(11), 1798-1806</w:t>
      </w:r>
    </w:p>
    <w:p w14:paraId="7C91651A" w14:textId="77777777" w:rsidR="00E119CF" w:rsidRDefault="00E119CF" w:rsidP="00EC712E">
      <w:pPr>
        <w:spacing w:line="360" w:lineRule="auto"/>
        <w:rPr>
          <w:rFonts w:ascii="Arial" w:hAnsi="Arial" w:cs="Arial"/>
          <w:color w:val="374151"/>
          <w:sz w:val="24"/>
          <w:szCs w:val="24"/>
        </w:rPr>
      </w:pPr>
    </w:p>
    <w:p w14:paraId="6F6B393B" w14:textId="527513BF" w:rsidR="00E119CF" w:rsidRDefault="00E119CF" w:rsidP="00E119CF">
      <w:pPr>
        <w:spacing w:line="360" w:lineRule="auto"/>
        <w:rPr>
          <w:rFonts w:ascii="Arial" w:hAnsi="Arial" w:cs="Arial"/>
          <w:color w:val="374151"/>
          <w:sz w:val="24"/>
          <w:szCs w:val="24"/>
        </w:rPr>
      </w:pPr>
      <w:r w:rsidRPr="00E119CF">
        <w:rPr>
          <w:rFonts w:ascii="Arial" w:hAnsi="Arial" w:cs="Arial"/>
          <w:color w:val="374151"/>
          <w:sz w:val="24"/>
          <w:szCs w:val="24"/>
        </w:rPr>
        <w:t xml:space="preserve">Tunstill, J., &amp; Percy-Smith, B. (2002). The Children Act 1989: The ‘Family Rights’ Principle and the Duty to Cooperate—A Precarious Balancing Act? </w:t>
      </w:r>
      <w:r w:rsidRPr="00E119CF">
        <w:rPr>
          <w:rFonts w:ascii="Arial" w:hAnsi="Arial" w:cs="Arial"/>
          <w:i/>
          <w:iCs/>
          <w:color w:val="374151"/>
          <w:sz w:val="24"/>
          <w:szCs w:val="24"/>
        </w:rPr>
        <w:t>Journal of Social Welfare and Family Law, 24</w:t>
      </w:r>
      <w:r w:rsidRPr="00E119CF">
        <w:rPr>
          <w:rFonts w:ascii="Arial" w:hAnsi="Arial" w:cs="Arial"/>
          <w:color w:val="374151"/>
          <w:sz w:val="24"/>
          <w:szCs w:val="24"/>
        </w:rPr>
        <w:t>(1), 1-18.</w:t>
      </w:r>
    </w:p>
    <w:p w14:paraId="724A10DC" w14:textId="7A676954" w:rsidR="004A1723" w:rsidRDefault="004A1723" w:rsidP="004A1723">
      <w:pPr>
        <w:spacing w:line="360" w:lineRule="auto"/>
        <w:rPr>
          <w:rFonts w:ascii="Arial" w:hAnsi="Arial" w:cs="Arial"/>
          <w:sz w:val="24"/>
          <w:szCs w:val="24"/>
        </w:rPr>
      </w:pPr>
      <w:r w:rsidRPr="004A1723">
        <w:rPr>
          <w:rFonts w:ascii="Arial" w:hAnsi="Arial" w:cs="Arial"/>
          <w:sz w:val="24"/>
          <w:szCs w:val="24"/>
        </w:rPr>
        <w:lastRenderedPageBreak/>
        <w:t>Gallagher, B. and Fraser, C. (n.d.). </w:t>
      </w:r>
      <w:r w:rsidRPr="004A1723">
        <w:rPr>
          <w:rFonts w:ascii="Arial" w:hAnsi="Arial" w:cs="Arial"/>
          <w:i/>
          <w:iCs/>
          <w:sz w:val="24"/>
          <w:szCs w:val="24"/>
        </w:rPr>
        <w:t xml:space="preserve">THE UK REGISTER OF CHILD PROTECTION RESEARCH VOLUME 1. </w:t>
      </w:r>
      <w:r w:rsidRPr="004A1723">
        <w:rPr>
          <w:rFonts w:ascii="Arial" w:hAnsi="Arial" w:cs="Arial"/>
          <w:sz w:val="24"/>
          <w:szCs w:val="24"/>
        </w:rPr>
        <w:t>[online] Available at: https://research.hud.ac.uk/media/universityofhuddersfield/content2013/schools/humanandhealthsciences/document/school/research/ukcprr/researchVol1v04122012.pdf [Accessed 30 Nov. 2023].</w:t>
      </w:r>
    </w:p>
    <w:p w14:paraId="2EC6026F" w14:textId="77777777" w:rsidR="00931277" w:rsidRDefault="00931277" w:rsidP="004A1723">
      <w:pPr>
        <w:spacing w:line="360" w:lineRule="auto"/>
        <w:rPr>
          <w:rFonts w:ascii="Arial" w:hAnsi="Arial" w:cs="Arial"/>
          <w:sz w:val="24"/>
          <w:szCs w:val="24"/>
        </w:rPr>
      </w:pPr>
    </w:p>
    <w:p w14:paraId="3BF79CDF" w14:textId="75EE7A17" w:rsidR="00931277" w:rsidRPr="00CB12EB" w:rsidRDefault="00CB12EB" w:rsidP="00CB12EB">
      <w:pPr>
        <w:spacing w:line="360" w:lineRule="auto"/>
        <w:rPr>
          <w:rFonts w:ascii="Arial" w:hAnsi="Arial" w:cs="Arial"/>
          <w:sz w:val="24"/>
          <w:szCs w:val="24"/>
        </w:rPr>
      </w:pPr>
      <w:r w:rsidRPr="00CB12EB">
        <w:rPr>
          <w:rFonts w:ascii="Arial" w:hAnsi="Arial" w:cs="Arial"/>
          <w:sz w:val="24"/>
          <w:szCs w:val="24"/>
        </w:rPr>
        <w:t>GOV.UK. (n.d.). </w:t>
      </w:r>
      <w:r w:rsidRPr="00CB12EB">
        <w:rPr>
          <w:rFonts w:ascii="Arial" w:hAnsi="Arial" w:cs="Arial"/>
          <w:i/>
          <w:iCs/>
          <w:sz w:val="24"/>
          <w:szCs w:val="24"/>
        </w:rPr>
        <w:t>Standards for children in the youth justice system.</w:t>
      </w:r>
      <w:r w:rsidRPr="00CB12EB">
        <w:rPr>
          <w:rFonts w:ascii="Arial" w:hAnsi="Arial" w:cs="Arial"/>
          <w:sz w:val="24"/>
          <w:szCs w:val="24"/>
        </w:rPr>
        <w:t xml:space="preserve"> [online] Available at: https://www.gov.uk/government/publications/national-standards-for-youth-justice-services.</w:t>
      </w:r>
    </w:p>
    <w:sectPr w:rsidR="00931277" w:rsidRPr="00CB12EB" w:rsidSect="002D3091">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7FB91" w14:textId="77777777" w:rsidR="008202C0" w:rsidRDefault="008202C0" w:rsidP="00237F24">
      <w:r>
        <w:separator/>
      </w:r>
    </w:p>
  </w:endnote>
  <w:endnote w:type="continuationSeparator" w:id="0">
    <w:p w14:paraId="2437C9A9" w14:textId="77777777" w:rsidR="008202C0" w:rsidRDefault="008202C0" w:rsidP="0023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2BD4F" w14:textId="77777777" w:rsidR="008202C0" w:rsidRDefault="008202C0" w:rsidP="00237F24">
      <w:r>
        <w:separator/>
      </w:r>
    </w:p>
  </w:footnote>
  <w:footnote w:type="continuationSeparator" w:id="0">
    <w:p w14:paraId="700C7391" w14:textId="77777777" w:rsidR="008202C0" w:rsidRDefault="008202C0" w:rsidP="00237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691240"/>
      <w:docPartObj>
        <w:docPartGallery w:val="Page Numbers (Top of Page)"/>
        <w:docPartUnique/>
      </w:docPartObj>
    </w:sdtPr>
    <w:sdtEndPr>
      <w:rPr>
        <w:noProof/>
      </w:rPr>
    </w:sdtEndPr>
    <w:sdtContent>
      <w:p w14:paraId="077AD3CD" w14:textId="62CD0BFA" w:rsidR="00237F24" w:rsidRDefault="00237F2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9C690FB" w14:textId="77777777" w:rsidR="00237F24" w:rsidRDefault="00237F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2AF3"/>
    <w:multiLevelType w:val="multilevel"/>
    <w:tmpl w:val="B09A8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B43D5"/>
    <w:multiLevelType w:val="multilevel"/>
    <w:tmpl w:val="10922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7A6855"/>
    <w:multiLevelType w:val="multilevel"/>
    <w:tmpl w:val="93F4A3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4208B2"/>
    <w:multiLevelType w:val="multilevel"/>
    <w:tmpl w:val="8FB81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FE06F8"/>
    <w:multiLevelType w:val="multilevel"/>
    <w:tmpl w:val="1B2CD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0966E2"/>
    <w:multiLevelType w:val="multilevel"/>
    <w:tmpl w:val="81B2F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0C7E9F"/>
    <w:multiLevelType w:val="multilevel"/>
    <w:tmpl w:val="CFFC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4D5DBB"/>
    <w:multiLevelType w:val="multilevel"/>
    <w:tmpl w:val="24623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7D1746"/>
    <w:multiLevelType w:val="multilevel"/>
    <w:tmpl w:val="34144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9044746">
    <w:abstractNumId w:val="7"/>
  </w:num>
  <w:num w:numId="2" w16cid:durableId="2086951920">
    <w:abstractNumId w:val="6"/>
  </w:num>
  <w:num w:numId="3" w16cid:durableId="320037602">
    <w:abstractNumId w:val="4"/>
  </w:num>
  <w:num w:numId="4" w16cid:durableId="2116515524">
    <w:abstractNumId w:val="1"/>
  </w:num>
  <w:num w:numId="5" w16cid:durableId="860553922">
    <w:abstractNumId w:val="0"/>
  </w:num>
  <w:num w:numId="6" w16cid:durableId="254363961">
    <w:abstractNumId w:val="5"/>
  </w:num>
  <w:num w:numId="7" w16cid:durableId="1430585863">
    <w:abstractNumId w:val="2"/>
  </w:num>
  <w:num w:numId="8" w16cid:durableId="1414161822">
    <w:abstractNumId w:val="8"/>
  </w:num>
  <w:num w:numId="9" w16cid:durableId="219247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44"/>
    <w:rsid w:val="0000363C"/>
    <w:rsid w:val="0000590B"/>
    <w:rsid w:val="00026BD8"/>
    <w:rsid w:val="00043EBC"/>
    <w:rsid w:val="000732E4"/>
    <w:rsid w:val="00082939"/>
    <w:rsid w:val="000D6442"/>
    <w:rsid w:val="00106A30"/>
    <w:rsid w:val="00125204"/>
    <w:rsid w:val="00164370"/>
    <w:rsid w:val="0019318B"/>
    <w:rsid w:val="001C5AF8"/>
    <w:rsid w:val="001F5170"/>
    <w:rsid w:val="00213FE2"/>
    <w:rsid w:val="00237F24"/>
    <w:rsid w:val="0026454C"/>
    <w:rsid w:val="00272CFA"/>
    <w:rsid w:val="00277710"/>
    <w:rsid w:val="00280F48"/>
    <w:rsid w:val="002D3091"/>
    <w:rsid w:val="002D3DBE"/>
    <w:rsid w:val="002F4D54"/>
    <w:rsid w:val="00340A16"/>
    <w:rsid w:val="0034106C"/>
    <w:rsid w:val="00350DD9"/>
    <w:rsid w:val="0036132B"/>
    <w:rsid w:val="00377BF5"/>
    <w:rsid w:val="003834D9"/>
    <w:rsid w:val="00397DDC"/>
    <w:rsid w:val="003A2300"/>
    <w:rsid w:val="003A29BC"/>
    <w:rsid w:val="003B4A9C"/>
    <w:rsid w:val="003F76EE"/>
    <w:rsid w:val="004128AA"/>
    <w:rsid w:val="00415A14"/>
    <w:rsid w:val="00456244"/>
    <w:rsid w:val="004565AB"/>
    <w:rsid w:val="00464934"/>
    <w:rsid w:val="00471D53"/>
    <w:rsid w:val="00483ECA"/>
    <w:rsid w:val="004A1723"/>
    <w:rsid w:val="004E32EA"/>
    <w:rsid w:val="004F48D5"/>
    <w:rsid w:val="005024F8"/>
    <w:rsid w:val="005247EC"/>
    <w:rsid w:val="00544F19"/>
    <w:rsid w:val="00636CA3"/>
    <w:rsid w:val="00660E91"/>
    <w:rsid w:val="0068403A"/>
    <w:rsid w:val="006B733C"/>
    <w:rsid w:val="006E04D0"/>
    <w:rsid w:val="007129B2"/>
    <w:rsid w:val="00725E61"/>
    <w:rsid w:val="007E1692"/>
    <w:rsid w:val="008202C0"/>
    <w:rsid w:val="008274C9"/>
    <w:rsid w:val="008417FC"/>
    <w:rsid w:val="00867DBA"/>
    <w:rsid w:val="008729BE"/>
    <w:rsid w:val="00891CC5"/>
    <w:rsid w:val="00894F9E"/>
    <w:rsid w:val="008D0D89"/>
    <w:rsid w:val="008F2F11"/>
    <w:rsid w:val="00905FC8"/>
    <w:rsid w:val="009269E3"/>
    <w:rsid w:val="00931277"/>
    <w:rsid w:val="009515F5"/>
    <w:rsid w:val="00956614"/>
    <w:rsid w:val="00993214"/>
    <w:rsid w:val="009957DA"/>
    <w:rsid w:val="009D2038"/>
    <w:rsid w:val="00A04F80"/>
    <w:rsid w:val="00A126D9"/>
    <w:rsid w:val="00A23782"/>
    <w:rsid w:val="00A32D0B"/>
    <w:rsid w:val="00A84C00"/>
    <w:rsid w:val="00AA775B"/>
    <w:rsid w:val="00AB2378"/>
    <w:rsid w:val="00AD5547"/>
    <w:rsid w:val="00AF7127"/>
    <w:rsid w:val="00B338F4"/>
    <w:rsid w:val="00B446B5"/>
    <w:rsid w:val="00B52814"/>
    <w:rsid w:val="00B7434E"/>
    <w:rsid w:val="00B838B8"/>
    <w:rsid w:val="00BC2EAD"/>
    <w:rsid w:val="00BE1503"/>
    <w:rsid w:val="00C0507A"/>
    <w:rsid w:val="00C30F9D"/>
    <w:rsid w:val="00C60C18"/>
    <w:rsid w:val="00C74628"/>
    <w:rsid w:val="00C81B2F"/>
    <w:rsid w:val="00C95F9A"/>
    <w:rsid w:val="00CB1281"/>
    <w:rsid w:val="00CB12EB"/>
    <w:rsid w:val="00CD10AD"/>
    <w:rsid w:val="00CE42BB"/>
    <w:rsid w:val="00CF00E1"/>
    <w:rsid w:val="00D008ED"/>
    <w:rsid w:val="00D0129F"/>
    <w:rsid w:val="00D366AE"/>
    <w:rsid w:val="00DD0DD8"/>
    <w:rsid w:val="00DD796F"/>
    <w:rsid w:val="00DE6BAE"/>
    <w:rsid w:val="00DE6D2A"/>
    <w:rsid w:val="00E119CF"/>
    <w:rsid w:val="00E22844"/>
    <w:rsid w:val="00E31310"/>
    <w:rsid w:val="00E320B1"/>
    <w:rsid w:val="00E37CE9"/>
    <w:rsid w:val="00E76957"/>
    <w:rsid w:val="00E8250E"/>
    <w:rsid w:val="00EA274D"/>
    <w:rsid w:val="00EC712E"/>
    <w:rsid w:val="00F0058D"/>
    <w:rsid w:val="00F0230A"/>
    <w:rsid w:val="00F27E48"/>
    <w:rsid w:val="00F412B3"/>
    <w:rsid w:val="00F56598"/>
    <w:rsid w:val="00F75061"/>
    <w:rsid w:val="00F86C11"/>
    <w:rsid w:val="00F95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5FB5A"/>
  <w15:chartTrackingRefBased/>
  <w15:docId w15:val="{64F6F8DC-EFA1-4642-8CCD-D6AF98177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24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829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29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D2A"/>
    <w:pPr>
      <w:spacing w:before="100" w:beforeAutospacing="1" w:after="100" w:afterAutospacing="1"/>
    </w:pPr>
    <w:rPr>
      <w:sz w:val="24"/>
      <w:szCs w:val="24"/>
    </w:rPr>
  </w:style>
  <w:style w:type="character" w:styleId="Strong">
    <w:name w:val="Strong"/>
    <w:basedOn w:val="DefaultParagraphFont"/>
    <w:uiPriority w:val="22"/>
    <w:qFormat/>
    <w:rsid w:val="00DE6D2A"/>
    <w:rPr>
      <w:b/>
      <w:bCs/>
    </w:rPr>
  </w:style>
  <w:style w:type="paragraph" w:styleId="z-TopofForm">
    <w:name w:val="HTML Top of Form"/>
    <w:basedOn w:val="Normal"/>
    <w:next w:val="Normal"/>
    <w:link w:val="z-TopofFormChar"/>
    <w:hidden/>
    <w:uiPriority w:val="99"/>
    <w:semiHidden/>
    <w:unhideWhenUsed/>
    <w:rsid w:val="00DE6D2A"/>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E6D2A"/>
    <w:rPr>
      <w:rFonts w:ascii="Arial" w:eastAsia="Times New Roman" w:hAnsi="Arial" w:cs="Arial"/>
      <w:vanish/>
      <w:kern w:val="0"/>
      <w:sz w:val="16"/>
      <w:szCs w:val="16"/>
      <w:lang w:eastAsia="en-GB"/>
      <w14:ligatures w14:val="none"/>
    </w:rPr>
  </w:style>
  <w:style w:type="character" w:styleId="Emphasis">
    <w:name w:val="Emphasis"/>
    <w:basedOn w:val="DefaultParagraphFont"/>
    <w:uiPriority w:val="20"/>
    <w:qFormat/>
    <w:rsid w:val="000D6442"/>
    <w:rPr>
      <w:i/>
      <w:iCs/>
    </w:rPr>
  </w:style>
  <w:style w:type="character" w:styleId="Hyperlink">
    <w:name w:val="Hyperlink"/>
    <w:basedOn w:val="DefaultParagraphFont"/>
    <w:uiPriority w:val="99"/>
    <w:unhideWhenUsed/>
    <w:rsid w:val="00397DDC"/>
    <w:rPr>
      <w:color w:val="0000FF"/>
      <w:u w:val="single"/>
    </w:rPr>
  </w:style>
  <w:style w:type="character" w:customStyle="1" w:styleId="Heading1Char">
    <w:name w:val="Heading 1 Char"/>
    <w:basedOn w:val="DefaultParagraphFont"/>
    <w:link w:val="Heading1"/>
    <w:uiPriority w:val="9"/>
    <w:rsid w:val="00082939"/>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082939"/>
    <w:rPr>
      <w:rFonts w:asciiTheme="majorHAnsi" w:eastAsiaTheme="majorEastAsia" w:hAnsiTheme="majorHAnsi" w:cstheme="majorBidi"/>
      <w:color w:val="2F5496" w:themeColor="accent1" w:themeShade="BF"/>
      <w:kern w:val="0"/>
      <w:sz w:val="26"/>
      <w:szCs w:val="26"/>
      <w:lang w:eastAsia="en-GB"/>
      <w14:ligatures w14:val="none"/>
    </w:rPr>
  </w:style>
  <w:style w:type="paragraph" w:styleId="Header">
    <w:name w:val="header"/>
    <w:basedOn w:val="Normal"/>
    <w:link w:val="HeaderChar"/>
    <w:uiPriority w:val="99"/>
    <w:unhideWhenUsed/>
    <w:rsid w:val="00237F24"/>
    <w:pPr>
      <w:tabs>
        <w:tab w:val="center" w:pos="4513"/>
        <w:tab w:val="right" w:pos="9026"/>
      </w:tabs>
    </w:pPr>
  </w:style>
  <w:style w:type="character" w:customStyle="1" w:styleId="HeaderChar">
    <w:name w:val="Header Char"/>
    <w:basedOn w:val="DefaultParagraphFont"/>
    <w:link w:val="Header"/>
    <w:uiPriority w:val="99"/>
    <w:rsid w:val="00237F24"/>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237F24"/>
    <w:pPr>
      <w:tabs>
        <w:tab w:val="center" w:pos="4513"/>
        <w:tab w:val="right" w:pos="9026"/>
      </w:tabs>
    </w:pPr>
  </w:style>
  <w:style w:type="character" w:customStyle="1" w:styleId="FooterChar">
    <w:name w:val="Footer Char"/>
    <w:basedOn w:val="DefaultParagraphFont"/>
    <w:link w:val="Footer"/>
    <w:uiPriority w:val="99"/>
    <w:rsid w:val="00237F24"/>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237F24"/>
    <w:pPr>
      <w:spacing w:line="259" w:lineRule="auto"/>
      <w:outlineLvl w:val="9"/>
    </w:pPr>
    <w:rPr>
      <w:lang w:val="en-US" w:eastAsia="en-US"/>
    </w:rPr>
  </w:style>
  <w:style w:type="paragraph" w:styleId="TOC1">
    <w:name w:val="toc 1"/>
    <w:basedOn w:val="Normal"/>
    <w:next w:val="Normal"/>
    <w:autoRedefine/>
    <w:uiPriority w:val="39"/>
    <w:unhideWhenUsed/>
    <w:rsid w:val="00237F24"/>
    <w:pPr>
      <w:spacing w:after="100"/>
    </w:pPr>
  </w:style>
  <w:style w:type="paragraph" w:styleId="TOC2">
    <w:name w:val="toc 2"/>
    <w:basedOn w:val="Normal"/>
    <w:next w:val="Normal"/>
    <w:autoRedefine/>
    <w:uiPriority w:val="39"/>
    <w:unhideWhenUsed/>
    <w:rsid w:val="00237F24"/>
    <w:pPr>
      <w:spacing w:after="100"/>
      <w:ind w:left="200"/>
    </w:pPr>
  </w:style>
  <w:style w:type="paragraph" w:styleId="NoSpacing">
    <w:name w:val="No Spacing"/>
    <w:link w:val="NoSpacingChar"/>
    <w:uiPriority w:val="1"/>
    <w:qFormat/>
    <w:rsid w:val="002D309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D3091"/>
    <w:rPr>
      <w:rFonts w:eastAsiaTheme="minorEastAsia"/>
      <w:kern w:val="0"/>
      <w:lang w:val="en-US"/>
      <w14:ligatures w14:val="none"/>
    </w:rPr>
  </w:style>
  <w:style w:type="paragraph" w:styleId="Title">
    <w:name w:val="Title"/>
    <w:basedOn w:val="Normal"/>
    <w:next w:val="Normal"/>
    <w:link w:val="TitleChar"/>
    <w:uiPriority w:val="10"/>
    <w:qFormat/>
    <w:rsid w:val="002D3091"/>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2D3091"/>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2D3091"/>
    <w:pPr>
      <w:numPr>
        <w:ilvl w:val="1"/>
      </w:numPr>
      <w:spacing w:after="160" w:line="259" w:lineRule="auto"/>
    </w:pPr>
    <w:rPr>
      <w:rFonts w:asciiTheme="minorHAnsi" w:eastAsiaTheme="minorEastAsia" w:hAnsiTheme="minorHAnsi"/>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2D3091"/>
    <w:rPr>
      <w:rFonts w:eastAsiaTheme="minorEastAsia" w:cs="Times New Roman"/>
      <w:color w:val="5A5A5A" w:themeColor="text1" w:themeTint="A5"/>
      <w:spacing w:val="15"/>
      <w:kern w:val="0"/>
      <w:lang w:val="en-US"/>
      <w14:ligatures w14:val="none"/>
    </w:rPr>
  </w:style>
  <w:style w:type="character" w:styleId="UnresolvedMention">
    <w:name w:val="Unresolved Mention"/>
    <w:basedOn w:val="DefaultParagraphFont"/>
    <w:uiPriority w:val="99"/>
    <w:semiHidden/>
    <w:unhideWhenUsed/>
    <w:rsid w:val="00951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61657">
      <w:bodyDiv w:val="1"/>
      <w:marLeft w:val="0"/>
      <w:marRight w:val="0"/>
      <w:marTop w:val="0"/>
      <w:marBottom w:val="0"/>
      <w:divBdr>
        <w:top w:val="none" w:sz="0" w:space="0" w:color="auto"/>
        <w:left w:val="none" w:sz="0" w:space="0" w:color="auto"/>
        <w:bottom w:val="none" w:sz="0" w:space="0" w:color="auto"/>
        <w:right w:val="none" w:sz="0" w:space="0" w:color="auto"/>
      </w:divBdr>
    </w:div>
    <w:div w:id="89588476">
      <w:bodyDiv w:val="1"/>
      <w:marLeft w:val="0"/>
      <w:marRight w:val="0"/>
      <w:marTop w:val="0"/>
      <w:marBottom w:val="0"/>
      <w:divBdr>
        <w:top w:val="none" w:sz="0" w:space="0" w:color="auto"/>
        <w:left w:val="none" w:sz="0" w:space="0" w:color="auto"/>
        <w:bottom w:val="none" w:sz="0" w:space="0" w:color="auto"/>
        <w:right w:val="none" w:sz="0" w:space="0" w:color="auto"/>
      </w:divBdr>
    </w:div>
    <w:div w:id="160702674">
      <w:bodyDiv w:val="1"/>
      <w:marLeft w:val="0"/>
      <w:marRight w:val="0"/>
      <w:marTop w:val="0"/>
      <w:marBottom w:val="0"/>
      <w:divBdr>
        <w:top w:val="none" w:sz="0" w:space="0" w:color="auto"/>
        <w:left w:val="none" w:sz="0" w:space="0" w:color="auto"/>
        <w:bottom w:val="none" w:sz="0" w:space="0" w:color="auto"/>
        <w:right w:val="none" w:sz="0" w:space="0" w:color="auto"/>
      </w:divBdr>
    </w:div>
    <w:div w:id="219830482">
      <w:bodyDiv w:val="1"/>
      <w:marLeft w:val="0"/>
      <w:marRight w:val="0"/>
      <w:marTop w:val="0"/>
      <w:marBottom w:val="0"/>
      <w:divBdr>
        <w:top w:val="none" w:sz="0" w:space="0" w:color="auto"/>
        <w:left w:val="none" w:sz="0" w:space="0" w:color="auto"/>
        <w:bottom w:val="none" w:sz="0" w:space="0" w:color="auto"/>
        <w:right w:val="none" w:sz="0" w:space="0" w:color="auto"/>
      </w:divBdr>
    </w:div>
    <w:div w:id="356661100">
      <w:bodyDiv w:val="1"/>
      <w:marLeft w:val="0"/>
      <w:marRight w:val="0"/>
      <w:marTop w:val="0"/>
      <w:marBottom w:val="0"/>
      <w:divBdr>
        <w:top w:val="none" w:sz="0" w:space="0" w:color="auto"/>
        <w:left w:val="none" w:sz="0" w:space="0" w:color="auto"/>
        <w:bottom w:val="none" w:sz="0" w:space="0" w:color="auto"/>
        <w:right w:val="none" w:sz="0" w:space="0" w:color="auto"/>
      </w:divBdr>
      <w:divsChild>
        <w:div w:id="1989743858">
          <w:marLeft w:val="0"/>
          <w:marRight w:val="0"/>
          <w:marTop w:val="0"/>
          <w:marBottom w:val="0"/>
          <w:divBdr>
            <w:top w:val="single" w:sz="2" w:space="0" w:color="D9D9E3"/>
            <w:left w:val="single" w:sz="2" w:space="0" w:color="D9D9E3"/>
            <w:bottom w:val="single" w:sz="2" w:space="0" w:color="D9D9E3"/>
            <w:right w:val="single" w:sz="2" w:space="0" w:color="D9D9E3"/>
          </w:divBdr>
          <w:divsChild>
            <w:div w:id="213009182">
              <w:marLeft w:val="0"/>
              <w:marRight w:val="0"/>
              <w:marTop w:val="0"/>
              <w:marBottom w:val="0"/>
              <w:divBdr>
                <w:top w:val="single" w:sz="2" w:space="0" w:color="D9D9E3"/>
                <w:left w:val="single" w:sz="2" w:space="0" w:color="D9D9E3"/>
                <w:bottom w:val="single" w:sz="2" w:space="0" w:color="D9D9E3"/>
                <w:right w:val="single" w:sz="2" w:space="0" w:color="D9D9E3"/>
              </w:divBdr>
              <w:divsChild>
                <w:div w:id="2000767061">
                  <w:marLeft w:val="0"/>
                  <w:marRight w:val="0"/>
                  <w:marTop w:val="0"/>
                  <w:marBottom w:val="0"/>
                  <w:divBdr>
                    <w:top w:val="single" w:sz="2" w:space="0" w:color="D9D9E3"/>
                    <w:left w:val="single" w:sz="2" w:space="0" w:color="D9D9E3"/>
                    <w:bottom w:val="single" w:sz="2" w:space="0" w:color="D9D9E3"/>
                    <w:right w:val="single" w:sz="2" w:space="0" w:color="D9D9E3"/>
                  </w:divBdr>
                  <w:divsChild>
                    <w:div w:id="1107962342">
                      <w:marLeft w:val="0"/>
                      <w:marRight w:val="0"/>
                      <w:marTop w:val="0"/>
                      <w:marBottom w:val="0"/>
                      <w:divBdr>
                        <w:top w:val="single" w:sz="2" w:space="0" w:color="D9D9E3"/>
                        <w:left w:val="single" w:sz="2" w:space="0" w:color="D9D9E3"/>
                        <w:bottom w:val="single" w:sz="2" w:space="0" w:color="D9D9E3"/>
                        <w:right w:val="single" w:sz="2" w:space="0" w:color="D9D9E3"/>
                      </w:divBdr>
                      <w:divsChild>
                        <w:div w:id="494298274">
                          <w:marLeft w:val="0"/>
                          <w:marRight w:val="0"/>
                          <w:marTop w:val="0"/>
                          <w:marBottom w:val="0"/>
                          <w:divBdr>
                            <w:top w:val="none" w:sz="0" w:space="0" w:color="auto"/>
                            <w:left w:val="none" w:sz="0" w:space="0" w:color="auto"/>
                            <w:bottom w:val="none" w:sz="0" w:space="0" w:color="auto"/>
                            <w:right w:val="none" w:sz="0" w:space="0" w:color="auto"/>
                          </w:divBdr>
                          <w:divsChild>
                            <w:div w:id="671297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952127052">
                                  <w:marLeft w:val="0"/>
                                  <w:marRight w:val="0"/>
                                  <w:marTop w:val="0"/>
                                  <w:marBottom w:val="0"/>
                                  <w:divBdr>
                                    <w:top w:val="single" w:sz="2" w:space="0" w:color="D9D9E3"/>
                                    <w:left w:val="single" w:sz="2" w:space="0" w:color="D9D9E3"/>
                                    <w:bottom w:val="single" w:sz="2" w:space="0" w:color="D9D9E3"/>
                                    <w:right w:val="single" w:sz="2" w:space="0" w:color="D9D9E3"/>
                                  </w:divBdr>
                                  <w:divsChild>
                                    <w:div w:id="1311251644">
                                      <w:marLeft w:val="0"/>
                                      <w:marRight w:val="0"/>
                                      <w:marTop w:val="0"/>
                                      <w:marBottom w:val="0"/>
                                      <w:divBdr>
                                        <w:top w:val="single" w:sz="2" w:space="0" w:color="D9D9E3"/>
                                        <w:left w:val="single" w:sz="2" w:space="0" w:color="D9D9E3"/>
                                        <w:bottom w:val="single" w:sz="2" w:space="0" w:color="D9D9E3"/>
                                        <w:right w:val="single" w:sz="2" w:space="0" w:color="D9D9E3"/>
                                      </w:divBdr>
                                      <w:divsChild>
                                        <w:div w:id="906888815">
                                          <w:marLeft w:val="0"/>
                                          <w:marRight w:val="0"/>
                                          <w:marTop w:val="0"/>
                                          <w:marBottom w:val="0"/>
                                          <w:divBdr>
                                            <w:top w:val="single" w:sz="2" w:space="0" w:color="D9D9E3"/>
                                            <w:left w:val="single" w:sz="2" w:space="0" w:color="D9D9E3"/>
                                            <w:bottom w:val="single" w:sz="2" w:space="0" w:color="D9D9E3"/>
                                            <w:right w:val="single" w:sz="2" w:space="0" w:color="D9D9E3"/>
                                          </w:divBdr>
                                          <w:divsChild>
                                            <w:div w:id="306981946">
                                              <w:marLeft w:val="0"/>
                                              <w:marRight w:val="0"/>
                                              <w:marTop w:val="0"/>
                                              <w:marBottom w:val="0"/>
                                              <w:divBdr>
                                                <w:top w:val="single" w:sz="2" w:space="0" w:color="D9D9E3"/>
                                                <w:left w:val="single" w:sz="2" w:space="0" w:color="D9D9E3"/>
                                                <w:bottom w:val="single" w:sz="2" w:space="0" w:color="D9D9E3"/>
                                                <w:right w:val="single" w:sz="2" w:space="0" w:color="D9D9E3"/>
                                              </w:divBdr>
                                              <w:divsChild>
                                                <w:div w:id="1747264198">
                                                  <w:marLeft w:val="0"/>
                                                  <w:marRight w:val="0"/>
                                                  <w:marTop w:val="0"/>
                                                  <w:marBottom w:val="0"/>
                                                  <w:divBdr>
                                                    <w:top w:val="single" w:sz="2" w:space="0" w:color="D9D9E3"/>
                                                    <w:left w:val="single" w:sz="2" w:space="0" w:color="D9D9E3"/>
                                                    <w:bottom w:val="single" w:sz="2" w:space="0" w:color="D9D9E3"/>
                                                    <w:right w:val="single" w:sz="2" w:space="0" w:color="D9D9E3"/>
                                                  </w:divBdr>
                                                  <w:divsChild>
                                                    <w:div w:id="12075705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3791582">
          <w:marLeft w:val="0"/>
          <w:marRight w:val="0"/>
          <w:marTop w:val="0"/>
          <w:marBottom w:val="0"/>
          <w:divBdr>
            <w:top w:val="none" w:sz="0" w:space="0" w:color="auto"/>
            <w:left w:val="none" w:sz="0" w:space="0" w:color="auto"/>
            <w:bottom w:val="none" w:sz="0" w:space="0" w:color="auto"/>
            <w:right w:val="none" w:sz="0" w:space="0" w:color="auto"/>
          </w:divBdr>
        </w:div>
      </w:divsChild>
    </w:div>
    <w:div w:id="780881241">
      <w:bodyDiv w:val="1"/>
      <w:marLeft w:val="0"/>
      <w:marRight w:val="0"/>
      <w:marTop w:val="0"/>
      <w:marBottom w:val="0"/>
      <w:divBdr>
        <w:top w:val="none" w:sz="0" w:space="0" w:color="auto"/>
        <w:left w:val="none" w:sz="0" w:space="0" w:color="auto"/>
        <w:bottom w:val="none" w:sz="0" w:space="0" w:color="auto"/>
        <w:right w:val="none" w:sz="0" w:space="0" w:color="auto"/>
      </w:divBdr>
      <w:divsChild>
        <w:div w:id="1686982064">
          <w:marLeft w:val="0"/>
          <w:marRight w:val="0"/>
          <w:marTop w:val="0"/>
          <w:marBottom w:val="0"/>
          <w:divBdr>
            <w:top w:val="single" w:sz="2" w:space="0" w:color="D9D9E3"/>
            <w:left w:val="single" w:sz="2" w:space="0" w:color="D9D9E3"/>
            <w:bottom w:val="single" w:sz="2" w:space="0" w:color="D9D9E3"/>
            <w:right w:val="single" w:sz="2" w:space="0" w:color="D9D9E3"/>
          </w:divBdr>
          <w:divsChild>
            <w:div w:id="1881898896">
              <w:marLeft w:val="0"/>
              <w:marRight w:val="0"/>
              <w:marTop w:val="0"/>
              <w:marBottom w:val="0"/>
              <w:divBdr>
                <w:top w:val="single" w:sz="2" w:space="0" w:color="D9D9E3"/>
                <w:left w:val="single" w:sz="2" w:space="0" w:color="D9D9E3"/>
                <w:bottom w:val="single" w:sz="2" w:space="0" w:color="D9D9E3"/>
                <w:right w:val="single" w:sz="2" w:space="0" w:color="D9D9E3"/>
              </w:divBdr>
              <w:divsChild>
                <w:div w:id="410584494">
                  <w:marLeft w:val="0"/>
                  <w:marRight w:val="0"/>
                  <w:marTop w:val="0"/>
                  <w:marBottom w:val="0"/>
                  <w:divBdr>
                    <w:top w:val="single" w:sz="2" w:space="0" w:color="D9D9E3"/>
                    <w:left w:val="single" w:sz="2" w:space="0" w:color="D9D9E3"/>
                    <w:bottom w:val="single" w:sz="2" w:space="0" w:color="D9D9E3"/>
                    <w:right w:val="single" w:sz="2" w:space="0" w:color="D9D9E3"/>
                  </w:divBdr>
                  <w:divsChild>
                    <w:div w:id="253321707">
                      <w:marLeft w:val="0"/>
                      <w:marRight w:val="0"/>
                      <w:marTop w:val="0"/>
                      <w:marBottom w:val="0"/>
                      <w:divBdr>
                        <w:top w:val="single" w:sz="2" w:space="0" w:color="D9D9E3"/>
                        <w:left w:val="single" w:sz="2" w:space="0" w:color="D9D9E3"/>
                        <w:bottom w:val="single" w:sz="2" w:space="0" w:color="D9D9E3"/>
                        <w:right w:val="single" w:sz="2" w:space="0" w:color="D9D9E3"/>
                      </w:divBdr>
                      <w:divsChild>
                        <w:div w:id="81269905">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094020">
                                  <w:marLeft w:val="0"/>
                                  <w:marRight w:val="0"/>
                                  <w:marTop w:val="0"/>
                                  <w:marBottom w:val="0"/>
                                  <w:divBdr>
                                    <w:top w:val="single" w:sz="2" w:space="0" w:color="D9D9E3"/>
                                    <w:left w:val="single" w:sz="2" w:space="0" w:color="D9D9E3"/>
                                    <w:bottom w:val="single" w:sz="2" w:space="0" w:color="D9D9E3"/>
                                    <w:right w:val="single" w:sz="2" w:space="0" w:color="D9D9E3"/>
                                  </w:divBdr>
                                  <w:divsChild>
                                    <w:div w:id="580025265">
                                      <w:marLeft w:val="0"/>
                                      <w:marRight w:val="0"/>
                                      <w:marTop w:val="0"/>
                                      <w:marBottom w:val="0"/>
                                      <w:divBdr>
                                        <w:top w:val="single" w:sz="2" w:space="0" w:color="D9D9E3"/>
                                        <w:left w:val="single" w:sz="2" w:space="0" w:color="D9D9E3"/>
                                        <w:bottom w:val="single" w:sz="2" w:space="0" w:color="D9D9E3"/>
                                        <w:right w:val="single" w:sz="2" w:space="0" w:color="D9D9E3"/>
                                      </w:divBdr>
                                      <w:divsChild>
                                        <w:div w:id="1703632296">
                                          <w:marLeft w:val="0"/>
                                          <w:marRight w:val="0"/>
                                          <w:marTop w:val="0"/>
                                          <w:marBottom w:val="0"/>
                                          <w:divBdr>
                                            <w:top w:val="single" w:sz="2" w:space="0" w:color="D9D9E3"/>
                                            <w:left w:val="single" w:sz="2" w:space="0" w:color="D9D9E3"/>
                                            <w:bottom w:val="single" w:sz="2" w:space="0" w:color="D9D9E3"/>
                                            <w:right w:val="single" w:sz="2" w:space="0" w:color="D9D9E3"/>
                                          </w:divBdr>
                                          <w:divsChild>
                                            <w:div w:id="2126339208">
                                              <w:marLeft w:val="0"/>
                                              <w:marRight w:val="0"/>
                                              <w:marTop w:val="0"/>
                                              <w:marBottom w:val="0"/>
                                              <w:divBdr>
                                                <w:top w:val="single" w:sz="2" w:space="0" w:color="D9D9E3"/>
                                                <w:left w:val="single" w:sz="2" w:space="0" w:color="D9D9E3"/>
                                                <w:bottom w:val="single" w:sz="2" w:space="0" w:color="D9D9E3"/>
                                                <w:right w:val="single" w:sz="2" w:space="0" w:color="D9D9E3"/>
                                              </w:divBdr>
                                              <w:divsChild>
                                                <w:div w:id="1691755642">
                                                  <w:marLeft w:val="0"/>
                                                  <w:marRight w:val="0"/>
                                                  <w:marTop w:val="0"/>
                                                  <w:marBottom w:val="0"/>
                                                  <w:divBdr>
                                                    <w:top w:val="single" w:sz="2" w:space="0" w:color="D9D9E3"/>
                                                    <w:left w:val="single" w:sz="2" w:space="0" w:color="D9D9E3"/>
                                                    <w:bottom w:val="single" w:sz="2" w:space="0" w:color="D9D9E3"/>
                                                    <w:right w:val="single" w:sz="2" w:space="0" w:color="D9D9E3"/>
                                                  </w:divBdr>
                                                  <w:divsChild>
                                                    <w:div w:id="1330863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11875961">
          <w:marLeft w:val="0"/>
          <w:marRight w:val="0"/>
          <w:marTop w:val="0"/>
          <w:marBottom w:val="0"/>
          <w:divBdr>
            <w:top w:val="none" w:sz="0" w:space="0" w:color="auto"/>
            <w:left w:val="none" w:sz="0" w:space="0" w:color="auto"/>
            <w:bottom w:val="none" w:sz="0" w:space="0" w:color="auto"/>
            <w:right w:val="none" w:sz="0" w:space="0" w:color="auto"/>
          </w:divBdr>
        </w:div>
      </w:divsChild>
    </w:div>
    <w:div w:id="892236842">
      <w:bodyDiv w:val="1"/>
      <w:marLeft w:val="0"/>
      <w:marRight w:val="0"/>
      <w:marTop w:val="0"/>
      <w:marBottom w:val="0"/>
      <w:divBdr>
        <w:top w:val="none" w:sz="0" w:space="0" w:color="auto"/>
        <w:left w:val="none" w:sz="0" w:space="0" w:color="auto"/>
        <w:bottom w:val="none" w:sz="0" w:space="0" w:color="auto"/>
        <w:right w:val="none" w:sz="0" w:space="0" w:color="auto"/>
      </w:divBdr>
    </w:div>
    <w:div w:id="1019432767">
      <w:bodyDiv w:val="1"/>
      <w:marLeft w:val="0"/>
      <w:marRight w:val="0"/>
      <w:marTop w:val="0"/>
      <w:marBottom w:val="0"/>
      <w:divBdr>
        <w:top w:val="none" w:sz="0" w:space="0" w:color="auto"/>
        <w:left w:val="none" w:sz="0" w:space="0" w:color="auto"/>
        <w:bottom w:val="none" w:sz="0" w:space="0" w:color="auto"/>
        <w:right w:val="none" w:sz="0" w:space="0" w:color="auto"/>
      </w:divBdr>
    </w:div>
    <w:div w:id="1232622266">
      <w:bodyDiv w:val="1"/>
      <w:marLeft w:val="0"/>
      <w:marRight w:val="0"/>
      <w:marTop w:val="0"/>
      <w:marBottom w:val="0"/>
      <w:divBdr>
        <w:top w:val="none" w:sz="0" w:space="0" w:color="auto"/>
        <w:left w:val="none" w:sz="0" w:space="0" w:color="auto"/>
        <w:bottom w:val="none" w:sz="0" w:space="0" w:color="auto"/>
        <w:right w:val="none" w:sz="0" w:space="0" w:color="auto"/>
      </w:divBdr>
    </w:div>
    <w:div w:id="1375538111">
      <w:bodyDiv w:val="1"/>
      <w:marLeft w:val="0"/>
      <w:marRight w:val="0"/>
      <w:marTop w:val="0"/>
      <w:marBottom w:val="0"/>
      <w:divBdr>
        <w:top w:val="none" w:sz="0" w:space="0" w:color="auto"/>
        <w:left w:val="none" w:sz="0" w:space="0" w:color="auto"/>
        <w:bottom w:val="none" w:sz="0" w:space="0" w:color="auto"/>
        <w:right w:val="none" w:sz="0" w:space="0" w:color="auto"/>
      </w:divBdr>
      <w:divsChild>
        <w:div w:id="244412656">
          <w:marLeft w:val="0"/>
          <w:marRight w:val="0"/>
          <w:marTop w:val="0"/>
          <w:marBottom w:val="0"/>
          <w:divBdr>
            <w:top w:val="single" w:sz="2" w:space="0" w:color="D9D9E3"/>
            <w:left w:val="single" w:sz="2" w:space="0" w:color="D9D9E3"/>
            <w:bottom w:val="single" w:sz="2" w:space="0" w:color="D9D9E3"/>
            <w:right w:val="single" w:sz="2" w:space="0" w:color="D9D9E3"/>
          </w:divBdr>
          <w:divsChild>
            <w:div w:id="836847167">
              <w:marLeft w:val="0"/>
              <w:marRight w:val="0"/>
              <w:marTop w:val="0"/>
              <w:marBottom w:val="0"/>
              <w:divBdr>
                <w:top w:val="single" w:sz="2" w:space="0" w:color="D9D9E3"/>
                <w:left w:val="single" w:sz="2" w:space="0" w:color="D9D9E3"/>
                <w:bottom w:val="single" w:sz="2" w:space="0" w:color="D9D9E3"/>
                <w:right w:val="single" w:sz="2" w:space="0" w:color="D9D9E3"/>
              </w:divBdr>
              <w:divsChild>
                <w:div w:id="903688010">
                  <w:marLeft w:val="0"/>
                  <w:marRight w:val="0"/>
                  <w:marTop w:val="0"/>
                  <w:marBottom w:val="0"/>
                  <w:divBdr>
                    <w:top w:val="single" w:sz="2" w:space="0" w:color="D9D9E3"/>
                    <w:left w:val="single" w:sz="2" w:space="0" w:color="D9D9E3"/>
                    <w:bottom w:val="single" w:sz="2" w:space="0" w:color="D9D9E3"/>
                    <w:right w:val="single" w:sz="2" w:space="0" w:color="D9D9E3"/>
                  </w:divBdr>
                  <w:divsChild>
                    <w:div w:id="1784374454">
                      <w:marLeft w:val="0"/>
                      <w:marRight w:val="0"/>
                      <w:marTop w:val="0"/>
                      <w:marBottom w:val="0"/>
                      <w:divBdr>
                        <w:top w:val="single" w:sz="2" w:space="0" w:color="D9D9E3"/>
                        <w:left w:val="single" w:sz="2" w:space="0" w:color="D9D9E3"/>
                        <w:bottom w:val="single" w:sz="2" w:space="0" w:color="D9D9E3"/>
                        <w:right w:val="single" w:sz="2" w:space="0" w:color="D9D9E3"/>
                      </w:divBdr>
                      <w:divsChild>
                        <w:div w:id="1795052996">
                          <w:marLeft w:val="0"/>
                          <w:marRight w:val="0"/>
                          <w:marTop w:val="0"/>
                          <w:marBottom w:val="0"/>
                          <w:divBdr>
                            <w:top w:val="none" w:sz="0" w:space="0" w:color="auto"/>
                            <w:left w:val="none" w:sz="0" w:space="0" w:color="auto"/>
                            <w:bottom w:val="none" w:sz="0" w:space="0" w:color="auto"/>
                            <w:right w:val="none" w:sz="0" w:space="0" w:color="auto"/>
                          </w:divBdr>
                          <w:divsChild>
                            <w:div w:id="27031930">
                              <w:marLeft w:val="0"/>
                              <w:marRight w:val="0"/>
                              <w:marTop w:val="100"/>
                              <w:marBottom w:val="100"/>
                              <w:divBdr>
                                <w:top w:val="single" w:sz="2" w:space="0" w:color="D9D9E3"/>
                                <w:left w:val="single" w:sz="2" w:space="0" w:color="D9D9E3"/>
                                <w:bottom w:val="single" w:sz="2" w:space="0" w:color="D9D9E3"/>
                                <w:right w:val="single" w:sz="2" w:space="0" w:color="D9D9E3"/>
                              </w:divBdr>
                              <w:divsChild>
                                <w:div w:id="529758994">
                                  <w:marLeft w:val="0"/>
                                  <w:marRight w:val="0"/>
                                  <w:marTop w:val="0"/>
                                  <w:marBottom w:val="0"/>
                                  <w:divBdr>
                                    <w:top w:val="single" w:sz="2" w:space="0" w:color="D9D9E3"/>
                                    <w:left w:val="single" w:sz="2" w:space="0" w:color="D9D9E3"/>
                                    <w:bottom w:val="single" w:sz="2" w:space="0" w:color="D9D9E3"/>
                                    <w:right w:val="single" w:sz="2" w:space="0" w:color="D9D9E3"/>
                                  </w:divBdr>
                                  <w:divsChild>
                                    <w:div w:id="1256668772">
                                      <w:marLeft w:val="0"/>
                                      <w:marRight w:val="0"/>
                                      <w:marTop w:val="0"/>
                                      <w:marBottom w:val="0"/>
                                      <w:divBdr>
                                        <w:top w:val="single" w:sz="2" w:space="0" w:color="D9D9E3"/>
                                        <w:left w:val="single" w:sz="2" w:space="0" w:color="D9D9E3"/>
                                        <w:bottom w:val="single" w:sz="2" w:space="0" w:color="D9D9E3"/>
                                        <w:right w:val="single" w:sz="2" w:space="0" w:color="D9D9E3"/>
                                      </w:divBdr>
                                      <w:divsChild>
                                        <w:div w:id="325671150">
                                          <w:marLeft w:val="0"/>
                                          <w:marRight w:val="0"/>
                                          <w:marTop w:val="0"/>
                                          <w:marBottom w:val="0"/>
                                          <w:divBdr>
                                            <w:top w:val="single" w:sz="2" w:space="0" w:color="D9D9E3"/>
                                            <w:left w:val="single" w:sz="2" w:space="0" w:color="D9D9E3"/>
                                            <w:bottom w:val="single" w:sz="2" w:space="0" w:color="D9D9E3"/>
                                            <w:right w:val="single" w:sz="2" w:space="0" w:color="D9D9E3"/>
                                          </w:divBdr>
                                          <w:divsChild>
                                            <w:div w:id="2031947657">
                                              <w:marLeft w:val="0"/>
                                              <w:marRight w:val="0"/>
                                              <w:marTop w:val="0"/>
                                              <w:marBottom w:val="0"/>
                                              <w:divBdr>
                                                <w:top w:val="single" w:sz="2" w:space="0" w:color="D9D9E3"/>
                                                <w:left w:val="single" w:sz="2" w:space="0" w:color="D9D9E3"/>
                                                <w:bottom w:val="single" w:sz="2" w:space="0" w:color="D9D9E3"/>
                                                <w:right w:val="single" w:sz="2" w:space="0" w:color="D9D9E3"/>
                                              </w:divBdr>
                                              <w:divsChild>
                                                <w:div w:id="1968775207">
                                                  <w:marLeft w:val="0"/>
                                                  <w:marRight w:val="0"/>
                                                  <w:marTop w:val="0"/>
                                                  <w:marBottom w:val="0"/>
                                                  <w:divBdr>
                                                    <w:top w:val="single" w:sz="2" w:space="0" w:color="D9D9E3"/>
                                                    <w:left w:val="single" w:sz="2" w:space="0" w:color="D9D9E3"/>
                                                    <w:bottom w:val="single" w:sz="2" w:space="0" w:color="D9D9E3"/>
                                                    <w:right w:val="single" w:sz="2" w:space="0" w:color="D9D9E3"/>
                                                  </w:divBdr>
                                                  <w:divsChild>
                                                    <w:div w:id="2074542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65496036">
          <w:marLeft w:val="0"/>
          <w:marRight w:val="0"/>
          <w:marTop w:val="0"/>
          <w:marBottom w:val="0"/>
          <w:divBdr>
            <w:top w:val="none" w:sz="0" w:space="0" w:color="auto"/>
            <w:left w:val="none" w:sz="0" w:space="0" w:color="auto"/>
            <w:bottom w:val="none" w:sz="0" w:space="0" w:color="auto"/>
            <w:right w:val="none" w:sz="0" w:space="0" w:color="auto"/>
          </w:divBdr>
        </w:div>
      </w:divsChild>
    </w:div>
    <w:div w:id="168724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5a7b455ee5274a34770ea939/Munro-Review.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ssets.publishing.service.gov.uk/media/5a7a0893ed915d6d99f5cab0/DFE-RR226_Report.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arning.nspcc.org.uk/research-resources/pre-2013/child-abuse-neglect-uk-toda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assets.publishing.service.gov.uk/media/5fd0a8e78fa8f54d5d6555f9/Working_together_to_safeguard_children_inter_agency_guid" TargetMode="External"/><Relationship Id="rId4" Type="http://schemas.openxmlformats.org/officeDocument/2006/relationships/styles" Target="styles.xml"/><Relationship Id="rId9" Type="http://schemas.openxmlformats.org/officeDocument/2006/relationships/hyperlink" Target="https://assets.publishing.service.gov.uk/media/5a7b455ee5274a34770ea939/Munro-Review.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068341-9A85-463B-BF62-8A5742C1B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15</Pages>
  <Words>3481</Words>
  <Characters>19844</Characters>
  <Application>Microsoft Office Word</Application>
  <DocSecurity>0</DocSecurity>
  <Lines>165</Lines>
  <Paragraphs>46</Paragraphs>
  <ScaleCrop>false</ScaleCrop>
  <Company/>
  <LinksUpToDate>false</LinksUpToDate>
  <CharactersWithSpaces>23279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Discuss the importance and significance of safeguarding policies and procedures in the UK and make reference on 2 high profile safeguarding cases in the last 20 years.</dc:subject>
  <dc:creator>Naveeda Aziz (2128414)</dc:creator>
  <cp:keywords/>
  <dc:description/>
  <cp:lastModifiedBy>Naveeda Aziz (2128414)</cp:lastModifiedBy>
  <cp:revision>123</cp:revision>
  <dcterms:created xsi:type="dcterms:W3CDTF">2023-11-18T21:29:00Z</dcterms:created>
  <dcterms:modified xsi:type="dcterms:W3CDTF">2023-11-30T07:54:00Z</dcterms:modified>
</cp:coreProperties>
</file>