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17492FEA" w:rsidR="00986B43" w:rsidRPr="00D432AA" w:rsidRDefault="00986B43" w:rsidP="005D3F07">
            <w:pPr>
              <w:overflowPunct/>
              <w:autoSpaceDE/>
              <w:autoSpaceDN/>
              <w:adjustRightInd/>
              <w:ind w:right="-957"/>
              <w:textAlignment w:val="auto"/>
              <w:rPr>
                <w:rFonts w:ascii="Times New Roman" w:hAnsi="Times New Roman" w:cs="Times New Roman"/>
                <w:b/>
                <w:color w:val="auto"/>
                <w:sz w:val="40"/>
                <w:szCs w:val="40"/>
              </w:rPr>
            </w:pPr>
            <w:r w:rsidRPr="00D432AA">
              <w:rPr>
                <w:rFonts w:ascii="Times New Roman" w:hAnsi="Times New Roman" w:cs="Times New Roman"/>
                <w:b/>
                <w:color w:val="auto"/>
                <w:sz w:val="40"/>
                <w:szCs w:val="40"/>
              </w:rPr>
              <w:t>Learner’s name:</w:t>
            </w:r>
            <w:r w:rsidR="00247265" w:rsidRPr="00D432AA">
              <w:rPr>
                <w:rFonts w:ascii="Times New Roman" w:hAnsi="Times New Roman" w:cs="Times New Roman"/>
                <w:b/>
                <w:color w:val="auto"/>
                <w:sz w:val="40"/>
                <w:szCs w:val="40"/>
              </w:rPr>
              <w:t xml:space="preserve"> </w:t>
            </w:r>
            <w:r w:rsidR="00D432AA" w:rsidRPr="00D432AA">
              <w:rPr>
                <w:rFonts w:ascii="Times New Roman" w:hAnsi="Times New Roman" w:cs="Times New Roman"/>
                <w:b/>
                <w:color w:val="auto"/>
                <w:sz w:val="40"/>
                <w:szCs w:val="40"/>
              </w:rPr>
              <w:t>Jessica Worthington</w:t>
            </w:r>
          </w:p>
          <w:p w14:paraId="0B6CD0DB" w14:textId="689515B5" w:rsidR="009C337F" w:rsidRPr="00D432AA" w:rsidRDefault="009C337F" w:rsidP="005D3F07">
            <w:pPr>
              <w:overflowPunct/>
              <w:autoSpaceDE/>
              <w:autoSpaceDN/>
              <w:adjustRightInd/>
              <w:ind w:right="-957"/>
              <w:textAlignment w:val="auto"/>
              <w:rPr>
                <w:rFonts w:ascii="Times New Roman" w:hAnsi="Times New Roman" w:cs="Times New Roman"/>
                <w:b/>
                <w:color w:val="auto"/>
                <w:sz w:val="40"/>
                <w:szCs w:val="40"/>
              </w:rPr>
            </w:pPr>
          </w:p>
          <w:p w14:paraId="3A6EAAC7" w14:textId="7F3299BD" w:rsidR="009C337F" w:rsidRPr="00D432AA" w:rsidRDefault="009C337F" w:rsidP="005D3F07">
            <w:pPr>
              <w:overflowPunct/>
              <w:autoSpaceDE/>
              <w:autoSpaceDN/>
              <w:adjustRightInd/>
              <w:ind w:right="-957"/>
              <w:textAlignment w:val="auto"/>
              <w:rPr>
                <w:rFonts w:ascii="Times New Roman" w:hAnsi="Times New Roman" w:cs="Times New Roman"/>
                <w:b/>
                <w:color w:val="auto"/>
                <w:sz w:val="40"/>
                <w:szCs w:val="40"/>
              </w:rPr>
            </w:pPr>
            <w:r w:rsidRPr="00D432AA">
              <w:rPr>
                <w:rFonts w:ascii="Times New Roman" w:hAnsi="Times New Roman" w:cs="Times New Roman"/>
                <w:b/>
                <w:color w:val="auto"/>
                <w:sz w:val="40"/>
                <w:szCs w:val="40"/>
              </w:rPr>
              <w:t>Email address:</w:t>
            </w:r>
            <w:r w:rsidR="00D432AA" w:rsidRPr="00D432AA">
              <w:rPr>
                <w:rFonts w:ascii="Times New Roman" w:hAnsi="Times New Roman" w:cs="Times New Roman"/>
                <w:b/>
                <w:color w:val="auto"/>
                <w:sz w:val="40"/>
                <w:szCs w:val="40"/>
              </w:rPr>
              <w:t xml:space="preserve"> Jessica.worthington@powys.gov.uk</w:t>
            </w:r>
          </w:p>
          <w:p w14:paraId="22E38809" w14:textId="77777777" w:rsidR="00986B43" w:rsidRPr="00D432AA" w:rsidRDefault="00986B43" w:rsidP="005D3F07">
            <w:pPr>
              <w:overflowPunct/>
              <w:autoSpaceDE/>
              <w:autoSpaceDN/>
              <w:adjustRightInd/>
              <w:ind w:right="-957"/>
              <w:textAlignment w:val="auto"/>
              <w:rPr>
                <w:rFonts w:ascii="Times New Roman" w:hAnsi="Times New Roman" w:cs="Times New Roman"/>
                <w:b/>
                <w:color w:val="auto"/>
                <w:sz w:val="40"/>
                <w:szCs w:val="40"/>
              </w:rPr>
            </w:pPr>
          </w:p>
          <w:p w14:paraId="0DE696B2" w14:textId="4FFF90AB" w:rsidR="00F927A1" w:rsidRPr="00D432AA" w:rsidRDefault="0085230E" w:rsidP="005D3F07">
            <w:pPr>
              <w:overflowPunct/>
              <w:autoSpaceDE/>
              <w:autoSpaceDN/>
              <w:adjustRightInd/>
              <w:ind w:right="-957"/>
              <w:textAlignment w:val="auto"/>
              <w:rPr>
                <w:rFonts w:ascii="Times New Roman" w:hAnsi="Times New Roman" w:cs="Times New Roman"/>
                <w:b/>
                <w:color w:val="auto"/>
                <w:sz w:val="40"/>
                <w:szCs w:val="40"/>
              </w:rPr>
            </w:pPr>
            <w:r w:rsidRPr="00D432AA">
              <w:rPr>
                <w:rFonts w:ascii="Times New Roman" w:hAnsi="Times New Roman" w:cs="Times New Roman"/>
                <w:b/>
                <w:color w:val="auto"/>
                <w:sz w:val="40"/>
                <w:szCs w:val="40"/>
              </w:rPr>
              <w:t>Learner’s University Registration</w:t>
            </w:r>
            <w:r w:rsidR="00F927A1" w:rsidRPr="00D432AA">
              <w:rPr>
                <w:rFonts w:ascii="Times New Roman" w:hAnsi="Times New Roman" w:cs="Times New Roman"/>
                <w:b/>
                <w:color w:val="auto"/>
                <w:sz w:val="40"/>
                <w:szCs w:val="40"/>
              </w:rPr>
              <w:t xml:space="preserve"> Number:</w:t>
            </w:r>
            <w:r w:rsidR="00D432AA" w:rsidRPr="00D432AA">
              <w:rPr>
                <w:rFonts w:ascii="Times New Roman" w:hAnsi="Times New Roman" w:cs="Times New Roman"/>
                <w:b/>
                <w:color w:val="auto"/>
                <w:sz w:val="40"/>
                <w:szCs w:val="40"/>
              </w:rPr>
              <w:t>2416351</w:t>
            </w:r>
          </w:p>
          <w:p w14:paraId="622FD17A" w14:textId="77777777" w:rsidR="0085230E" w:rsidRPr="00D432AA" w:rsidRDefault="0085230E" w:rsidP="005D3F07">
            <w:pPr>
              <w:overflowPunct/>
              <w:autoSpaceDE/>
              <w:autoSpaceDN/>
              <w:adjustRightInd/>
              <w:ind w:right="-957"/>
              <w:textAlignment w:val="auto"/>
              <w:rPr>
                <w:rFonts w:ascii="Times New Roman" w:hAnsi="Times New Roman" w:cs="Times New Roman"/>
                <w:b/>
                <w:color w:val="auto"/>
                <w:sz w:val="40"/>
                <w:szCs w:val="40"/>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432AA">
              <w:rPr>
                <w:rFonts w:ascii="Times New Roman" w:hAnsi="Times New Roman" w:cs="Times New Roman"/>
                <w:b/>
                <w:color w:val="auto"/>
                <w:sz w:val="40"/>
                <w:szCs w:val="40"/>
              </w:rPr>
              <w:t xml:space="preserve">Cohort: </w:t>
            </w:r>
            <w:r w:rsidR="00B037B0" w:rsidRPr="00D432AA">
              <w:rPr>
                <w:rFonts w:ascii="Times New Roman" w:hAnsi="Times New Roman" w:cs="Times New Roman"/>
                <w:b/>
                <w:color w:val="auto"/>
                <w:sz w:val="40"/>
                <w:szCs w:val="40"/>
              </w:rPr>
              <w:t>21</w:t>
            </w:r>
            <w:r w:rsidR="00AE6231" w:rsidRPr="00D432AA">
              <w:rPr>
                <w:rFonts w:ascii="Times New Roman" w:hAnsi="Times New Roman" w:cs="Times New Roman"/>
                <w:b/>
                <w:color w:val="auto"/>
                <w:sz w:val="40"/>
                <w:szCs w:val="40"/>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1A5DC4A5" w14:textId="77777777" w:rsidR="00D432AA" w:rsidRPr="00D432AA" w:rsidRDefault="00D432AA" w:rsidP="00D432AA">
            <w:r w:rsidRPr="00D432AA">
              <w:t>This assignment will explore a scenario based on an assessment that I have completed collaboratively with others, concerning the safeguarding of children.</w:t>
            </w:r>
          </w:p>
          <w:p w14:paraId="1A4D9D39" w14:textId="77777777" w:rsidR="00D432AA" w:rsidRPr="00D432AA" w:rsidRDefault="00D432AA" w:rsidP="00D432AA">
            <w:r w:rsidRPr="00D432AA">
              <w:t>The young person in this case was a Child Looked After (CLA) accommodated under Section 31 of the Children Act 1989, which remains a cornerstone of child protection legislation across the UK. In Wales, however, the Social Services and Well-being (Wales) Act 2014 (SSWBA) provides the primary legal framework for safeguarding. Part 7 of the Act outlines the duties of local authorities and partner agencies to protect children from abuse and neglect </w:t>
            </w:r>
          </w:p>
          <w:p w14:paraId="2E955EC9" w14:textId="1421B384" w:rsidR="00D432AA" w:rsidRPr="00D432AA" w:rsidRDefault="00D432AA" w:rsidP="00D432AA">
            <w:r w:rsidRPr="00D432AA">
              <w:t xml:space="preserve">The young person, aged 17, resides in a supported lodgings placement and were on respite in a 16+ semi supported provision when they made a disclosure of sexual assault. They told one of the support workers that they had had a few alcoholic drinks but were not drunk. The support worker spoke about the possible dangers of drinking alcohol and not getting yourself into vulnerable situations. The young person spoke openly about some historical incidences of verbal abuse and sexual harassment whilst walking around town in the evening. During this conversation the young person also informed the support worker of a historical incident of rape. They explained that this involved a man taking them into the basement of a pub where they worked and approached them to perform a </w:t>
            </w:r>
            <w:r w:rsidRPr="00D432AA">
              <w:rPr>
                <w:color w:val="auto"/>
              </w:rPr>
              <w:t xml:space="preserve">sex act. The </w:t>
            </w:r>
            <w:r w:rsidRPr="00D432AA">
              <w:t xml:space="preserve">young person reassured the support worker that the incident had already been reported through the right </w:t>
            </w:r>
            <w:r w:rsidR="00CE1A40" w:rsidRPr="00D432AA">
              <w:t>channels,</w:t>
            </w:r>
            <w:r w:rsidRPr="00D432AA">
              <w:t xml:space="preserve"> and the person had received a conviction and jail sentence. The young person also shared that a group of Muslim men had offered to pay them for a group sexual act, and that this had resulted in them having a dislike of Muslim men in general.</w:t>
            </w:r>
          </w:p>
          <w:p w14:paraId="33621F02" w14:textId="77777777" w:rsidR="00D432AA" w:rsidRPr="00D432AA" w:rsidRDefault="00D432AA" w:rsidP="00D432AA">
            <w:r w:rsidRPr="00D432AA">
              <w:t xml:space="preserve">Although the young person initially claimed the incident had been reported and dealt with, I felt compelled to verify this as I did not believe this to be the case, having worked with them for over a year and knowing the case history. My review of the IT system and Multi Agency Referral forms for Safeguarding revealed no record of the incident, prompting me to re-engage the young person. This decision was informed by the Wales Safeguarding Procedures 2019, which emphasize the importance of professional curiosity and thorough information gathering. My review of the system was not a passive exercise but a critical analysis of available data, comparing the new disclosure with previous records, considering the context, and evaluating the credibility of the information. </w:t>
            </w:r>
          </w:p>
          <w:p w14:paraId="564C6F56" w14:textId="77777777" w:rsidR="00D432AA" w:rsidRPr="00D432AA" w:rsidRDefault="00D432AA" w:rsidP="00D432AA">
            <w:r w:rsidRPr="00D432AA">
              <w:lastRenderedPageBreak/>
              <w:t xml:space="preserve">I was mindful of policy and legislation around accessing and sharing personal data during this process. Whilst the UK is no longer a member of the European Union, EU legislation as it applied to the UK on 31 December 2020 became part of UK domestic legislation under the control of the UK’s Parliaments and Assemblies. For example, the UK </w:t>
            </w:r>
            <w:r w:rsidRPr="00D432AA">
              <w:rPr>
                <w:color w:val="auto"/>
              </w:rPr>
              <w:t xml:space="preserve">GDPR </w:t>
            </w:r>
            <w:r w:rsidRPr="00D432AA">
              <w:t xml:space="preserve">(UK Government, 2016) </w:t>
            </w:r>
            <w:r w:rsidRPr="00D432AA">
              <w:rPr>
                <w:color w:val="auto"/>
              </w:rPr>
              <w:t xml:space="preserve">is </w:t>
            </w:r>
            <w:r w:rsidRPr="00D432AA">
              <w:t xml:space="preserve">derived from EU law, it is the retained version of the EU GDPR as it existed before Brexit. It was incorporated into UK law by the European Union (Withdrawal) Act 2018. </w:t>
            </w:r>
          </w:p>
          <w:p w14:paraId="4D580764" w14:textId="77777777" w:rsidR="00D432AA" w:rsidRPr="00D432AA" w:rsidRDefault="00D432AA" w:rsidP="00D432AA">
            <w:r w:rsidRPr="00D432AA">
              <w:t xml:space="preserve">I confirmed that this incident had never been recorded on their file. I wondered whether that because the young person was drunk that they had recounted the incident differently. The young person confirmed that this was not the same incident that was recorded on their file, and that this was a different allegation. The young person claimed that the incident had been dealt with by police and they did not want it all to resurface. I empathised with the young person and explained I would have to speak to the police to ensure they were acting on the report the young person had made. I felt the young person was not being honest with me regarding reporting the incident as we should have had a report through from the police as they are a CLA. I was aware that it was possible, though highly unlikely that the young person had reported it to the police, but the police had not informed us of this. </w:t>
            </w:r>
          </w:p>
          <w:p w14:paraId="4520564D" w14:textId="40FC2928" w:rsidR="00D432AA" w:rsidRPr="00D432AA" w:rsidRDefault="00D432AA" w:rsidP="00D432AA">
            <w:r w:rsidRPr="00D432AA">
              <w:t>The following day I received a message from the young person asking if they could speak to the police about something, they told me that they did not want to tell me as they were worried about me thinking the incident was my fault. They explained that the incident didn’t happen how they had originally said and that they were actually sexually assaulted when they stayed at a bed and breakfast whilst visiting a relative. They also said that they had not reported this to the police as previously mentioned. This required me to exercise significant professional judgement. The young person’s initial disclosure, followed by a retraction and revised account, presented a complex ethical dilemma. I had to balance their autonomy and expressed wishes with my duty to safeguard. This was an example of using my professional judgement in a complex situation. The SSWBWA places a duty on practitioners to promote well-being, voice, and control, while also ensuring protection from abuse and neglect. It emphasises that the individual’s views, wishes, and feelings must be central to decision-making, as far as is reasonably practicable. This dual duty creates a moral dilemma when the young person’s wishes conflict with safeguarding imperatives. Banks (2012) discusses the concept of ethical complexity where choices made by practitioners are not entirely right or wrong and that all decisions we make have consequences.</w:t>
            </w:r>
          </w:p>
          <w:p w14:paraId="24B5C7B9" w14:textId="2D498D67" w:rsidR="00D432AA" w:rsidRPr="00D432AA" w:rsidRDefault="00D432AA" w:rsidP="00D432AA">
            <w:pPr>
              <w:spacing w:after="160" w:line="278" w:lineRule="auto"/>
            </w:pPr>
            <w:r w:rsidRPr="00D432AA">
              <w:t>Under the SSWBA 2014, we have a statutory duty to promote the well-being of children and to act when there is reasonable cause to suspect that a child is at risk of significant harm. The Act also places a duty on agencies to work together, which was central to my decision to initiate a strategy discussion involving the police, health, and CAMHS (Child and Adolescent Mental Health Service). There are many different pieces of guidance and legislation relating to social work in the UK that outlines the importance of collaborative inter-agency working. The Children Act 2004 supports inter-agency cooperation and the Working Together to Safeguard Children (2023) guidance, although primarily for England, continues to influence best practice in Wales. Although mandated</w:t>
            </w:r>
            <w:r w:rsidR="0075132F">
              <w:t>,</w:t>
            </w:r>
            <w:r w:rsidRPr="00D432AA">
              <w:t xml:space="preserve"> working collaboratively can be hindered by differing priorities, data systems and organisational cultures. McManus, Ball and Almond’s (2023) report commissioned by the National Independent Safeguarding Board presents findings from a thematic analysis of Child Practice Reviews in Wales. It highlights that fragmented communication systems, c</w:t>
            </w:r>
            <w:r w:rsidRPr="00006A5E">
              <w:t>onflicting agency priorities</w:t>
            </w:r>
            <w:r w:rsidRPr="00D432AA">
              <w:t xml:space="preserve"> and l</w:t>
            </w:r>
            <w:r w:rsidRPr="00006A5E">
              <w:t>ack of shared understanding of roles</w:t>
            </w:r>
            <w:r w:rsidRPr="00D432AA">
              <w:t xml:space="preserve"> </w:t>
            </w:r>
            <w:r w:rsidRPr="00006A5E">
              <w:t xml:space="preserve">are recurring barriers to effective multi-agency safeguarding in </w:t>
            </w:r>
            <w:r w:rsidR="00173103" w:rsidRPr="00006A5E">
              <w:t>Wales.</w:t>
            </w:r>
            <w:r w:rsidR="00173103" w:rsidRPr="00D432AA">
              <w:t xml:space="preserve"> </w:t>
            </w:r>
            <w:r w:rsidR="00D31304">
              <w:t xml:space="preserve">  </w:t>
            </w:r>
            <w:r w:rsidR="00BA57E1">
              <w:t xml:space="preserve">  </w:t>
            </w:r>
            <w:r w:rsidR="00477F87">
              <w:t xml:space="preserve">                                                          </w:t>
            </w:r>
            <w:r w:rsidR="005B3FB3">
              <w:t xml:space="preserve">    </w:t>
            </w:r>
            <w:r w:rsidR="00BA57E1">
              <w:t xml:space="preserve"> </w:t>
            </w:r>
            <w:r w:rsidR="00173103" w:rsidRPr="00D432AA">
              <w:t>The</w:t>
            </w:r>
            <w:r w:rsidRPr="00D432AA">
              <w:t xml:space="preserve"> purpose of a strategy discussion is to discuss the incident, share appropriate information and to collectively decide whether the threshold for a Section 47 enquiry has been met. The threshold for initiating a Section 47 enquiry under the Children Act 1989 is when there is reasonable cause to suspect that a child is suffering, or is likely to suffer, significant harm. The police confirmed that they had no record of this incident on their system. As there were concerns that a crime may have been committed it was agreed that a joint agency Section 47 enquiry would be undertaken. This means that children services and the police work together to ensure that the child is protected, with the police taking the lead on the criminal investigation aspect of the enquiry and social services taking the lead on the child protection aspect, ensuring the child’s well-being and safety.                             </w:t>
            </w:r>
            <w:r>
              <w:t xml:space="preserve">                                   </w:t>
            </w:r>
            <w:r w:rsidRPr="00D432AA">
              <w:t xml:space="preserve">There were 3 outcomes agreed as part of this strategy discussion. These were for myself to share details of the disclosure with CAMHS to ensure that the young person was appropriately supported, health to share the strategy discussion with the CLA nurse and CAMHS, and for the joint section 47 enquiry to take place. We </w:t>
            </w:r>
            <w:r w:rsidRPr="00D432AA">
              <w:lastRenderedPageBreak/>
              <w:t xml:space="preserve">were mindful that the young person would have been impacted by this incident and in addition to the section 47 enquiry we wanted to ensure that there was appropriate mental health support available to the young person. Fortunately, the young person had already had a CAMHS referral and an initial consultation a few weeks prior. Since this incident I have learnt of Sexual Assault Referral Centres and feel that this might have been an appropriate avenue to explore for this young person. Although the incident had happened 3 months prior and therefor a forensic medical examination could not take place other support such as practical and emotional support from specialists could have been offered.                                                                              </w:t>
            </w:r>
            <w:r>
              <w:t xml:space="preserve">                 </w:t>
            </w:r>
            <w:r w:rsidRPr="00D432AA">
              <w:t xml:space="preserve">As there were no immediate safeguarding concerns as the incident happened away from the placement it was not necessary to visit the child on the same day, though a visit was arranged as soon as practicable, for a few days’ time.  The child was concerned that we would be visiting them at their placement. To ensure that the young person felt comfortable during the discussions I asked whether they would be happy for us to visit them in college, they confirmed that this would be okay. I was aware that the young person had only been living at the placement for around 4 months and was likely anxious about the hosts knowing about the incident. Internationally, the UN Convention on the Rights of the Child (UNCRC), which is embedded in Welsh law, informed my approach. Article 19 of the UNCRC obliges states to protect children from all forms of violence, while Article 12 affirms their right to be heard. I ensured the young person had a voice in how and where we met, choosing their college over their placement to protect their privacy and emotional safety.                        The police officer that accompanied me on the visit to the child shared with me that they had read the initial Multi Agency Referral Form but had not had chance to read the minutes from the strategy discussion. I explained that further information had been disclosed by the young person which indicated that the initial allegations were not an honest account of what had actually happened, and that the young person’s story had changed. The police officer suggested that she should not read the new information prior to speaking to the child so that her discussion and judgement was not clouded by conflicting information. I agreed that in this instance that would be an appropriate decision to make.                                                                                   We completed the visit together, both asking the young person questions that we felt were relevant to the enquiry, with the police focusing on details that would help the criminal investigation and myself asking questions to ascertain more about the incident and the impact this has had on the young </w:t>
            </w:r>
            <w:r w:rsidR="00A507D7" w:rsidRPr="00D432AA">
              <w:t>person’s</w:t>
            </w:r>
            <w:r w:rsidRPr="00D432AA">
              <w:t xml:space="preserve"> wellbeing. With the information from this visit and information provided by other agencies during the strategy discussion I wrote up my S47 assessment and gave recommendations, some of which I will explore in this essay.                One of the recommendations was for the police to complete their investigation. A month or two after the visit the young person was contacted and invited in for a video interview with the police, the young person decided not to pursue this matter further explaining they did not want to have to go to a trial for them to potentially not be charged, as this would be very emotionally challenging for them. I discussed the pros and cons of continuing with the investigation such as a potential conviction which would hopefully prevent them from being able to do this to someone else or there potentially not being enough evidence to convict and the emotional impact this might have on the young person. I wanted to ensure that they had all the information to make an informed decision. Ultimately they decided not to pursue the investigation, in doing so they were exercising their rights under the European Convention on Human Rights (ECHR), as incorporated into UK law by the Human Rights Act 1998. The most relevant right in this context is: Article 8 – Right to respect for private and family life. This article protects an individual's autonomy and privacy, including: the right to make decisions about personal matters, such as whether to participate in a criminal investigation and the right to withdraw consent for the use of personal data or involvement in legal proceedings, especially in sensitive cases like sexual assault. The ECHR is not part of the European Union, it was established by the Council of Europe, therefore Brexit did not affect the UK’s membership in the ECHR. The Welsh Government continues to uphold human rights standards based on the ECHR and Welsh Social Services operate within this framework particularly within safeguarding, care and advocacy for vulnerable individuals.                                          </w:t>
            </w:r>
            <w:r>
              <w:t xml:space="preserve">                                                   </w:t>
            </w:r>
            <w:r w:rsidRPr="00D432AA">
              <w:t>Although the primary goal of the S47 enquiry was to ascertain facts, for the police to conduct a criminal investigation</w:t>
            </w:r>
            <w:r w:rsidR="00C2666A">
              <w:t xml:space="preserve"> and</w:t>
            </w:r>
            <w:r w:rsidRPr="00D432AA">
              <w:t xml:space="preserve"> to safeguard the young person and promote their welfare, the conclusion of this enquiry was </w:t>
            </w:r>
            <w:r w:rsidRPr="00D432AA">
              <w:lastRenderedPageBreak/>
              <w:t xml:space="preserve">that some further issues needed to be addressed with the young person. These included the potential racism displayed by them expressing a generalised dislike of Muslim men, and underage drinking. While Wales has devolved powers over social care, our practice is still shaped by UK-wide and international frameworks. For example, the Equality Act 2010 applies across the UK and underpins anti-discriminatory practice. This was particularly relevant when the young person expressed the dislike of Muslim men following an incident involving a group of men who had propositioned them. I used analysis in my assessment as I recognised the need to address this issue sensitively. While I acknowledged their feelings, I also recognised the need to challenge discriminatory views and promote equality, as required by the Equality Act 2010.                                                It must be recognised that the young person made this disclosure of sexual assault while under the influence of alcohol and during a period of respite. The support worker whom the initial disclosure was made to did talk to the young person about underage drinking, I also completed some direct work with the young person regarding the legalities and impact of underage drinking. I also wanted to consider the wider context of alcohol in this case study. From my professional experience and supported by research, I understand that alcohol can significantly reduce inhibitions and increase emotional vulnerability. According to Public Health England (2016), alcohol impairs judgement and lowers psychological defences, which can lead individuals to disclose traumatic experiences they might otherwise withhold. This aligns with what I observed in this case, the young person appeared more open and emotionally expressive during their conversation with the support worker, which may have been influenced by their alcohol consumption.                                                                     </w:t>
            </w:r>
            <w:r>
              <w:t xml:space="preserve">                     </w:t>
            </w:r>
            <w:r w:rsidRPr="00D432AA">
              <w:t xml:space="preserve">While it is important not to discredit disclosures made under the influence, I also had to consider the implications for the young person’s emotional safety and the accuracy of their account. Alcohol can affect memory recall and emotional regulation, which may complicate the process of gathering reliable information (O’Connor, 2020). However, in this instance, the young person later confirmed the disclosure when sober, which reinforced the credibility of their account and justified the decision to proceed with a Section 47 enquiry.  It was also evident that the young person did not initially want the allegation to be investigated further. They told the support worker that the incident had already been reported and resolved and later told me they did not want it to be brought back up again. This reluctance is not uncommon among young people who have experienced sexual trauma, particularly when they fear the emotional toll of revisiting the incident or the potential consequences of disclosure. The Substance Misuse Treatment Framework in Wales highlights that individuals with trauma histories may use substances like alcohol to cope, and that disclosure in such contexts can be both a cry for help and a protective mechanism (Welsh Government, 2021). Reflecting on this, I believe that if the young person had not been a CLA, the incident might never have been reported to the police or investigated. As a CLA, they are subject to additional safeguarding oversight, and professionals like myself have a statutory duty to act on any concerns, even when the young person expresses a desire not to pursue the matter. This raises important ethical questions about autonomy and protection. While I respected the young person’s wishes as far as possible, I also had to prioritise their safety and well-being, as required by the SSWBWA 2014 and the Children Act 1989.                                                                                               </w:t>
            </w:r>
            <w:r>
              <w:t xml:space="preserve"> </w:t>
            </w:r>
            <w:r w:rsidRPr="00D432AA">
              <w:t>This situation highlighted the delicate balance between respecting a young person’s agency and fulfilling my safeguarding responsibilities. It also reinforced the importance of trauma-informed practice, where disclosures, regardless of the context in which they are made, are treated with sensitivity, care, and professional scrutiny. Research by Perôt, Chevou</w:t>
            </w:r>
            <w:r w:rsidR="0042010D">
              <w:t>s,</w:t>
            </w:r>
            <w:r w:rsidRPr="00D432AA">
              <w:t xml:space="preserve"> and the Survivors’ Voices Research Group (2018) found that trauma-informed approaches, particularly those that prioritise safety, trust, and empowerment can create the conditions necessary for individuals to disclose traumatic experiences as they reduce fear shame and mistrust. According to Levenson (2017), trauma-informed social work is grounded in the understanding that early adversity and trauma shape a person’s worldview, coping mechanisms, and psychosocial functioning. It encourages practitioners to r</w:t>
            </w:r>
            <w:r w:rsidRPr="00C56ACB">
              <w:t>ecognise trauma symptoms as adaptive responses to adverse experiences</w:t>
            </w:r>
            <w:r w:rsidRPr="00D432AA">
              <w:t>, a</w:t>
            </w:r>
            <w:r w:rsidRPr="00C56ACB">
              <w:t>void re-traumatisation by fostering safe, respectful, and empowering environme</w:t>
            </w:r>
            <w:r w:rsidRPr="00D432AA">
              <w:t>nt and i</w:t>
            </w:r>
            <w:r w:rsidRPr="00C56ACB">
              <w:t>ntegrat</w:t>
            </w:r>
            <w:r w:rsidRPr="00D432AA">
              <w:t>ing</w:t>
            </w:r>
            <w:r w:rsidRPr="00C56ACB">
              <w:t xml:space="preserve"> trauma awareness into assessment, planning, and intervention</w:t>
            </w:r>
            <w:r w:rsidRPr="00D432AA">
              <w:t xml:space="preserve">. Critics of a trauma informed approach argue that trauma-informed practice often focuses on individual experiences without addressing systemic causes of trauma such as </w:t>
            </w:r>
            <w:r w:rsidRPr="00D432AA">
              <w:lastRenderedPageBreak/>
              <w:t xml:space="preserve">poverty, racism or inequality (Hooper et al., 2007). This raises a fundamental tension: while trauma-informed care promotes empathy and safety, it may </w:t>
            </w:r>
            <w:r w:rsidRPr="00D432AA">
              <w:rPr>
                <w:color w:val="auto"/>
              </w:rPr>
              <w:t xml:space="preserve">inadvertently depoliticise trauma, framing it as a personal issue rather than a consequence of systemic injustice. As a social worker supporting children who have already been removed from their families, your role is often reactive rather than preventative. We have limited scope for early intervention, unlike ‘Early Help’ teams, we engage with children and families after significant harm has occurred, reducing opportunities to address root causes. We also have to manage power imbalances, children in care may experience multiple placements, inconsistent relationships, and institutional settings that can re-traumatise rather than </w:t>
            </w:r>
            <w:r w:rsidRPr="00D432AA">
              <w:t xml:space="preserve">heal.                                                                                                                                  </w:t>
            </w:r>
            <w:r>
              <w:t xml:space="preserve"> </w:t>
            </w:r>
            <w:r w:rsidRPr="00D432AA">
              <w:t xml:space="preserve">In this case, the young person disclosed that the alleged perpetrator had approached them and asked for help in their room, which is how the incident occurred. This interaction highlights the young person’s trusting nature and possible naivety, which may have contributed to their vulnerability. Over time, this young person has gone on to have multiple relationships with individuals who were a few years older and who have treated them inappropriately or caused them harm. These patterns suggest a deeper need for connection and belonging, which may stem from their early experiences of neglect. According to attachment theory, particularly the work of Bowlby and Ainsworth (1992), children who grow up in neglectful or inconsistent caregiving environments may develop insecure attachment styles, leading them to seek out relationships indiscriminately, even when those relationships may not be safe or appropriate. Their internal working model may not adequately distinguish between safe and unsafe attachments, making them more susceptible to exploitation or manipulation. Reflecting on attachment theory positively in relation to this case study, the young person’s trusting nature allowed them to disclose this allegation to a support worker they had only just met and myself having worked with them for almost two years allowed for the eventual truthful disclosure. I believe our consistent relationship supported this.                                                                                                               This understanding of attachments has informed the ongoing direct work being completed with the young person, which focuses on developing their understanding of healthy relationships, boundaries, and personal safety. This work is being prioritised, but it must be approached with sensitivity to avoid any perception of victim blaming. For example, I have supported the young person to make a Clare’s law disclosure request which provided them with information relating to their partners criminal history and empowered them to make their own decision to end that relationship. Research highlights that young people who have experienced trauma or adverse childhood experiences (ACEs) often struggle with emotional regulation, self-worth, and relational boundaries, which can increase their vulnerability in relationships (Cafcass Cymru, 2019).  Programmes that promote healthy relationships and resilience, such as those developed by AVA and Women’s Aid, emphasise the importance of empowering young people to recognise unacceptable behaviour without placing responsibility on them for the actions of others (British Association of Social Workers (BASW) England Children and Families Group, 2020). As a practitioner, I am mindful of the need to create a safe, non-judgemental space where the young person can explore these issues and build the skills and confidence to form safe, respectful relationships in the future (Estyn, 2020).                                                                                    </w:t>
            </w:r>
            <w:r>
              <w:t xml:space="preserve">                            </w:t>
            </w:r>
            <w:r w:rsidRPr="00D432AA">
              <w:t xml:space="preserve">A key aspect of this case involved balancing the young person’s expressed wish to visit their extended family with my professional responsibility to ensure their safety and well-being. The young person had a strong desire to maintain family connections, which is entirely consistent with the principles of the SSWBWA 2014, particularly the emphasis on promoting well-being and supporting personal outcomes that matter to the individual (Welsh Government, 2016).                                                                                                   Unfortunately, the family members they wished to visit did not have the capacity to accommodate them overnight. This presented a challenge: how to facilitate the visit in a way that respected the young person’s wishes while also managing potential risks. After careful consideration, I arranged for the young person to stay in a local bed and breakfast. I assessed that the risks should be relatively low, as the young person planned to spend the majority of their time with family and would only return to the B&amp;B to sleep.                                           I also took proactive steps to mitigate risk. When I learned that the original B&amp;B I had booked was being used to house homeless individuals, including another of our CLA that had recently been released from custody, I </w:t>
            </w:r>
            <w:r w:rsidRPr="00D432AA">
              <w:lastRenderedPageBreak/>
              <w:t xml:space="preserve">cancelled the booking. I was concerned that this environment could be unsafe or triggering for the young person, particularly given their history. I sought alternative accommodation, though options were limited due to the rural location. I obtained consent from the Head of Service for the revised arrangement, and while I was not directed to complete a formal risk assessment, I made the decision based on the information available and my professional judgement.                                                                                                                              </w:t>
            </w:r>
            <w:r>
              <w:t xml:space="preserve">        </w:t>
            </w:r>
            <w:r w:rsidRPr="00D432AA">
              <w:t>This was a new situation for me, and I now recognise that more structured guidance or a formal risk assessment process would have been beneficial. I feel a strong sense of responsibility for the young person’s experience and will take this incident forward as a learning opportunity. It has highlighted the need for clearer protocols when arranging informal or temporary accommodation for CLA, especially in rural areas where choices are limited. The rurality issues are significant due to the geographical nature of Wales.                                  Importantly, I also acknowledge that incidents such as the one disclosed by the young person could occur in any setting. While we strive to minimise risk, we cannot eliminate it entirely. What matters is that we respond appropriately, support the young person, and reflect critically on our practice to improve future safeguarding arrangements. I discussed this situation in depth in my supervision sessions. I reflected on the emotional impact of this case and explored alternative approaches and how I would do things differently in the future.</w:t>
            </w:r>
            <w:r>
              <w:t xml:space="preserve"> </w:t>
            </w:r>
            <w:r w:rsidRPr="00D432AA">
              <w:t>This aligns with the Professional Capabilities Framework (PCF), which emphasises the importance of critical reflection and continuous professional development. Maintaining professional accountability and developing practice through supervision and reflection is also part of the National Occupational Standards (NOS) for Social Work (Social Care Wales, 2011).</w:t>
            </w:r>
            <w:r w:rsidRPr="00D432AA">
              <w:rPr>
                <w:b/>
                <w:bCs/>
              </w:rPr>
              <w:t xml:space="preserve"> </w:t>
            </w:r>
            <w:r w:rsidRPr="00D432AA">
              <w:t>NOS guide our work and define the knowledge, skills and understanding required for high quality practice.</w:t>
            </w:r>
            <w:r w:rsidRPr="00D432AA">
              <w:rPr>
                <w:b/>
                <w:bCs/>
              </w:rPr>
              <w:t xml:space="preserve">                                                                                                                 </w:t>
            </w:r>
            <w:r w:rsidRPr="00D432AA">
              <w:t>Working in Wales brings with it a unique set of responsibilities and contextual considerations that directly influenced my practice in this case. The SSWBWA 2014 is underpinned by a rights-based approach, aligning with the Well-being of Future Generations (Wales) Act 2015 and the incorporation of the UNCRC into Welsh law. These legislative frameworks emphasise the importance of promoting well-being, respecting the voice of the child, and delivering services that are person-centred and co-produced. In this case, I was guided by these principles when balancing the young person’s wish to visit family with my safeguarding responsibilities. Additionally, the bilingual and culturally distinct context of Wales requires practitioners to be sensitive to local identities, rural service limitations, and the importance of community-based support. The rural setting of the B&amp;B, and the limited accommodation options available, highlighted the challenges of delivering equitable care in less urbanised areas, a key consideration in Welsh social work practice. These dimensions reinforced the need for flexible, reflective, and ethically grounded decision-making that is responsive to both the individual and the wider Welsh context.                                                                                                                              Reflecting on this case, there are several aspects of my practice that I would approach differently in the future. While I acted in good faith and prioritised the young person’s wishes, I now recognise that I should have conducted a more formal risk assessment of the B&amp;B accommodation, even though it was a short-term arrangement and not a formal placement. At the time, I was not guided to do so, and the situation was new to me. However, safeguarding responsibilities remain constant regardless of the setting, and I have since learned that informal arrangements still require the same level of scrutiny and planning. I also believe I could have explored alternative options more thoroughly, such as liaising with other local authorities or voluntary sector providers for emergency accommodation. This experience has reinforced the importance of proactive planning, clear documentation, and seeking supervision when navigating unfamiliar or complex situations. Most importantly, I have learned that even when a young person appears to be coping well, hidden trauma may surface unexpectedly, and we must always be prepared to respond with sensitivity, professionalism, and care. I will carry this learning forward into future cases, ensuring that I advocate for clearer guidance and apply a more structured approach to risk management in similar scenarios.</w:t>
            </w:r>
          </w:p>
          <w:p w14:paraId="20370495" w14:textId="79B79501" w:rsidR="00D3203C" w:rsidRDefault="00D3203C" w:rsidP="00FF7EBB">
            <w:pPr>
              <w:jc w:val="both"/>
              <w:rPr>
                <w:i/>
                <w:sz w:val="24"/>
                <w:szCs w:val="24"/>
              </w:rPr>
            </w:pPr>
          </w:p>
          <w:p w14:paraId="12DC2F24" w14:textId="24094196"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r w:rsidR="00D432AA" w:rsidRPr="008B28E7" w14:paraId="6926E7AC" w14:textId="77777777" w:rsidTr="7B2CF1A9">
        <w:tc>
          <w:tcPr>
            <w:tcW w:w="10031" w:type="dxa"/>
          </w:tcPr>
          <w:p w14:paraId="5FD4289D" w14:textId="3FC90B12" w:rsidR="00D432AA" w:rsidRPr="006872A0" w:rsidRDefault="00D432AA" w:rsidP="00064063">
            <w:pPr>
              <w:jc w:val="both"/>
              <w:rPr>
                <w:b/>
                <w:sz w:val="24"/>
                <w:szCs w:val="24"/>
              </w:rPr>
            </w:pPr>
            <w:r>
              <w:rPr>
                <w:b/>
                <w:sz w:val="24"/>
                <w:szCs w:val="24"/>
              </w:rPr>
              <w:lastRenderedPageBreak/>
              <w:t>Word count: 42</w:t>
            </w:r>
            <w:r w:rsidR="00964D73">
              <w:rPr>
                <w:b/>
                <w:sz w:val="24"/>
                <w:szCs w:val="24"/>
              </w:rPr>
              <w:t>89</w:t>
            </w: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44"/>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3103"/>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D2C"/>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77A08"/>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010D"/>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77F87"/>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3FB3"/>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132F"/>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4D73"/>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6CD9"/>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7D7"/>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57E1"/>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66A"/>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1A40"/>
    <w:rsid w:val="00CE4BC4"/>
    <w:rsid w:val="00CE7DA2"/>
    <w:rsid w:val="00CF2F8A"/>
    <w:rsid w:val="00CF3DB3"/>
    <w:rsid w:val="00D0274B"/>
    <w:rsid w:val="00D0503D"/>
    <w:rsid w:val="00D052BC"/>
    <w:rsid w:val="00D07026"/>
    <w:rsid w:val="00D146AE"/>
    <w:rsid w:val="00D22C8F"/>
    <w:rsid w:val="00D31304"/>
    <w:rsid w:val="00D3203C"/>
    <w:rsid w:val="00D33491"/>
    <w:rsid w:val="00D3442D"/>
    <w:rsid w:val="00D36F00"/>
    <w:rsid w:val="00D432AA"/>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462"/>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unhideWhenUsed/>
    <w:rsid w:val="0057780F"/>
    <w:rPr>
      <w:rFonts w:cs="Times New Roman"/>
      <w:lang w:val="x-none" w:eastAsia="x-none"/>
    </w:rPr>
  </w:style>
  <w:style w:type="character" w:customStyle="1" w:styleId="CommentTextChar">
    <w:name w:val="Comment Text Char"/>
    <w:link w:val="CommentText"/>
    <w:uiPriority w:val="99"/>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8</Pages>
  <Words>4490</Words>
  <Characters>25820</Characters>
  <Application>Microsoft Office Word</Application>
  <DocSecurity>0</DocSecurity>
  <Lines>348</Lines>
  <Paragraphs>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Jessica Worthington</cp:lastModifiedBy>
  <cp:revision>16</cp:revision>
  <cp:lastPrinted>2020-02-11T19:20:00Z</cp:lastPrinted>
  <dcterms:created xsi:type="dcterms:W3CDTF">2025-09-11T13:28:00Z</dcterms:created>
  <dcterms:modified xsi:type="dcterms:W3CDTF">2025-10-06T18:48:00Z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