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18882420"/>
        <w:docPartObj>
          <w:docPartGallery w:val="Cover Pages"/>
          <w:docPartUnique/>
        </w:docPartObj>
      </w:sdtPr>
      <w:sdtContent>
        <w:p w14:paraId="3C6E3DDF" w14:textId="3060F3B2" w:rsidR="00A45342" w:rsidRDefault="00A45342">
          <w:r>
            <w:rPr>
              <w:noProof/>
            </w:rPr>
            <mc:AlternateContent>
              <mc:Choice Requires="wps">
                <w:drawing>
                  <wp:anchor distT="0" distB="0" distL="114300" distR="114300" simplePos="0" relativeHeight="251659264" behindDoc="1" locked="0" layoutInCell="1" allowOverlap="0" wp14:anchorId="6C48660E" wp14:editId="30802351">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45342" w14:paraId="51C018A6" w14:textId="77777777">
                                  <w:trPr>
                                    <w:trHeight w:hRule="exact" w:val="9360"/>
                                  </w:trPr>
                                  <w:tc>
                                    <w:tcPr>
                                      <w:tcW w:w="5000" w:type="pct"/>
                                    </w:tcPr>
                                    <w:p w14:paraId="6BDB28FB" w14:textId="77777777" w:rsidR="00A45342" w:rsidRDefault="00A45342">
                                      <w:r>
                                        <w:rPr>
                                          <w:noProof/>
                                        </w:rPr>
                                        <w:drawing>
                                          <wp:inline distT="0" distB="0" distL="0" distR="0" wp14:anchorId="3C8AEB15" wp14:editId="38695853">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45342" w14:paraId="3E5575F4" w14:textId="77777777">
                                  <w:trPr>
                                    <w:trHeight w:hRule="exact" w:val="4320"/>
                                  </w:trPr>
                                  <w:tc>
                                    <w:tcPr>
                                      <w:tcW w:w="5000" w:type="pct"/>
                                      <w:shd w:val="clear" w:color="auto" w:fill="156082" w:themeFill="accent1"/>
                                      <w:vAlign w:val="center"/>
                                    </w:tcPr>
                                    <w:p w14:paraId="517E6EB2" w14:textId="1837FDA9" w:rsidR="00A45342"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45342">
                                            <w:rPr>
                                              <w:rFonts w:asciiTheme="majorHAnsi" w:hAnsiTheme="majorHAnsi"/>
                                              <w:color w:val="FFFFFF" w:themeColor="background1"/>
                                              <w:sz w:val="96"/>
                                              <w:szCs w:val="96"/>
                                            </w:rPr>
                                            <w:t>Assignment 1</w:t>
                                          </w:r>
                                        </w:sdtContent>
                                      </w:sdt>
                                    </w:p>
                                    <w:p w14:paraId="7A698D0F" w14:textId="389606B7" w:rsidR="00A45342"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A45342">
                                            <w:rPr>
                                              <w:color w:val="FFFFFF" w:themeColor="background1"/>
                                              <w:sz w:val="32"/>
                                              <w:szCs w:val="32"/>
                                            </w:rPr>
                                            <w:t>Swot Analysis Introduction</w:t>
                                          </w:r>
                                        </w:sdtContent>
                                      </w:sdt>
                                      <w:r w:rsidR="00A45342">
                                        <w:rPr>
                                          <w:color w:val="FFFFFF" w:themeColor="background1"/>
                                          <w:sz w:val="32"/>
                                          <w:szCs w:val="32"/>
                                        </w:rPr>
                                        <w:t xml:space="preserve"> </w:t>
                                      </w:r>
                                    </w:p>
                                  </w:tc>
                                </w:tr>
                                <w:tr w:rsidR="00A45342" w14:paraId="770A5E4D"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45342" w14:paraId="0CBAC6B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F9AF511" w14:textId="56CD5414" w:rsidR="00A45342" w:rsidRDefault="00A45342">
                                                <w:pPr>
                                                  <w:pStyle w:val="NoSpacing"/>
                                                  <w:ind w:left="144" w:right="144"/>
                                                  <w:jc w:val="center"/>
                                                  <w:rPr>
                                                    <w:color w:val="FFFFFF" w:themeColor="background1"/>
                                                  </w:rPr>
                                                </w:pPr>
                                                <w:r>
                                                  <w:rPr>
                                                    <w:color w:val="FFFFFF" w:themeColor="background1"/>
                                                  </w:rPr>
                                                  <w:t>Constantin Tanasa</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4-11-08T00:00:00Z">
                                                <w:dateFormat w:val="M/d/yy"/>
                                                <w:lid w:val="en-US"/>
                                                <w:storeMappedDataAs w:val="dateTime"/>
                                                <w:calendar w:val="gregorian"/>
                                              </w:date>
                                            </w:sdtPr>
                                            <w:sdtContent>
                                              <w:p w14:paraId="26B88ECE" w14:textId="56CFA4CA" w:rsidR="00A45342" w:rsidRDefault="00A45342">
                                                <w:pPr>
                                                  <w:pStyle w:val="NoSpacing"/>
                                                  <w:ind w:left="144" w:right="144"/>
                                                  <w:jc w:val="center"/>
                                                  <w:rPr>
                                                    <w:color w:val="FFFFFF" w:themeColor="background1"/>
                                                  </w:rPr>
                                                </w:pPr>
                                                <w:r>
                                                  <w:rPr>
                                                    <w:color w:val="FFFFFF" w:themeColor="background1"/>
                                                  </w:rPr>
                                                  <w:t>11/8/24</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14B319B" w14:textId="1B659215" w:rsidR="00A45342" w:rsidRDefault="00A45342">
                                                <w:pPr>
                                                  <w:pStyle w:val="NoSpacing"/>
                                                  <w:ind w:left="144" w:right="720"/>
                                                  <w:jc w:val="right"/>
                                                  <w:rPr>
                                                    <w:color w:val="FFFFFF" w:themeColor="background1"/>
                                                  </w:rPr>
                                                </w:pPr>
                                                <w:r>
                                                  <w:rPr>
                                                    <w:color w:val="FFFFFF" w:themeColor="background1"/>
                                                  </w:rPr>
                                                  <w:t>Problem Solving and Innovation</w:t>
                                                </w:r>
                                              </w:p>
                                            </w:tc>
                                          </w:sdtContent>
                                        </w:sdt>
                                      </w:tr>
                                    </w:tbl>
                                    <w:p w14:paraId="74658E20" w14:textId="77777777" w:rsidR="00A45342" w:rsidRDefault="00A45342"/>
                                  </w:tc>
                                </w:tr>
                              </w:tbl>
                              <w:p w14:paraId="63D0B9C4" w14:textId="77777777" w:rsidR="00A45342" w:rsidRDefault="00A4534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C48660E"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45342" w14:paraId="51C018A6" w14:textId="77777777">
                            <w:trPr>
                              <w:trHeight w:hRule="exact" w:val="9360"/>
                            </w:trPr>
                            <w:tc>
                              <w:tcPr>
                                <w:tcW w:w="5000" w:type="pct"/>
                              </w:tcPr>
                              <w:p w14:paraId="6BDB28FB" w14:textId="77777777" w:rsidR="00A45342" w:rsidRDefault="00A45342">
                                <w:r>
                                  <w:rPr>
                                    <w:noProof/>
                                  </w:rPr>
                                  <w:drawing>
                                    <wp:inline distT="0" distB="0" distL="0" distR="0" wp14:anchorId="3C8AEB15" wp14:editId="38695853">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45342" w14:paraId="3E5575F4" w14:textId="77777777">
                            <w:trPr>
                              <w:trHeight w:hRule="exact" w:val="4320"/>
                            </w:trPr>
                            <w:tc>
                              <w:tcPr>
                                <w:tcW w:w="5000" w:type="pct"/>
                                <w:shd w:val="clear" w:color="auto" w:fill="156082" w:themeFill="accent1"/>
                                <w:vAlign w:val="center"/>
                              </w:tcPr>
                              <w:p w14:paraId="517E6EB2" w14:textId="1837FDA9" w:rsidR="00A45342"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45342">
                                      <w:rPr>
                                        <w:rFonts w:asciiTheme="majorHAnsi" w:hAnsiTheme="majorHAnsi"/>
                                        <w:color w:val="FFFFFF" w:themeColor="background1"/>
                                        <w:sz w:val="96"/>
                                        <w:szCs w:val="96"/>
                                      </w:rPr>
                                      <w:t>Assignment 1</w:t>
                                    </w:r>
                                  </w:sdtContent>
                                </w:sdt>
                              </w:p>
                              <w:p w14:paraId="7A698D0F" w14:textId="389606B7" w:rsidR="00A45342"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A45342">
                                      <w:rPr>
                                        <w:color w:val="FFFFFF" w:themeColor="background1"/>
                                        <w:sz w:val="32"/>
                                        <w:szCs w:val="32"/>
                                      </w:rPr>
                                      <w:t>Swot Analysis Introduction</w:t>
                                    </w:r>
                                  </w:sdtContent>
                                </w:sdt>
                                <w:r w:rsidR="00A45342">
                                  <w:rPr>
                                    <w:color w:val="FFFFFF" w:themeColor="background1"/>
                                    <w:sz w:val="32"/>
                                    <w:szCs w:val="32"/>
                                  </w:rPr>
                                  <w:t xml:space="preserve"> </w:t>
                                </w:r>
                              </w:p>
                            </w:tc>
                          </w:tr>
                          <w:tr w:rsidR="00A45342" w14:paraId="770A5E4D"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45342" w14:paraId="0CBAC6B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F9AF511" w14:textId="56CD5414" w:rsidR="00A45342" w:rsidRDefault="00A45342">
                                          <w:pPr>
                                            <w:pStyle w:val="NoSpacing"/>
                                            <w:ind w:left="144" w:right="144"/>
                                            <w:jc w:val="center"/>
                                            <w:rPr>
                                              <w:color w:val="FFFFFF" w:themeColor="background1"/>
                                            </w:rPr>
                                          </w:pPr>
                                          <w:r>
                                            <w:rPr>
                                              <w:color w:val="FFFFFF" w:themeColor="background1"/>
                                            </w:rPr>
                                            <w:t>Constantin Tanasa</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4-11-08T00:00:00Z">
                                          <w:dateFormat w:val="M/d/yy"/>
                                          <w:lid w:val="en-US"/>
                                          <w:storeMappedDataAs w:val="dateTime"/>
                                          <w:calendar w:val="gregorian"/>
                                        </w:date>
                                      </w:sdtPr>
                                      <w:sdtContent>
                                        <w:p w14:paraId="26B88ECE" w14:textId="56CFA4CA" w:rsidR="00A45342" w:rsidRDefault="00A45342">
                                          <w:pPr>
                                            <w:pStyle w:val="NoSpacing"/>
                                            <w:ind w:left="144" w:right="144"/>
                                            <w:jc w:val="center"/>
                                            <w:rPr>
                                              <w:color w:val="FFFFFF" w:themeColor="background1"/>
                                            </w:rPr>
                                          </w:pPr>
                                          <w:r>
                                            <w:rPr>
                                              <w:color w:val="FFFFFF" w:themeColor="background1"/>
                                            </w:rPr>
                                            <w:t>11/8/24</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14B319B" w14:textId="1B659215" w:rsidR="00A45342" w:rsidRDefault="00A45342">
                                          <w:pPr>
                                            <w:pStyle w:val="NoSpacing"/>
                                            <w:ind w:left="144" w:right="720"/>
                                            <w:jc w:val="right"/>
                                            <w:rPr>
                                              <w:color w:val="FFFFFF" w:themeColor="background1"/>
                                            </w:rPr>
                                          </w:pPr>
                                          <w:r>
                                            <w:rPr>
                                              <w:color w:val="FFFFFF" w:themeColor="background1"/>
                                            </w:rPr>
                                            <w:t>Problem Solving and Innovation</w:t>
                                          </w:r>
                                        </w:p>
                                      </w:tc>
                                    </w:sdtContent>
                                  </w:sdt>
                                </w:tr>
                              </w:tbl>
                              <w:p w14:paraId="74658E20" w14:textId="77777777" w:rsidR="00A45342" w:rsidRDefault="00A45342"/>
                            </w:tc>
                          </w:tr>
                        </w:tbl>
                        <w:p w14:paraId="63D0B9C4" w14:textId="77777777" w:rsidR="00A45342" w:rsidRDefault="00A45342"/>
                      </w:txbxContent>
                    </v:textbox>
                    <w10:wrap anchorx="page" anchory="page"/>
                  </v:shape>
                </w:pict>
              </mc:Fallback>
            </mc:AlternateContent>
          </w:r>
        </w:p>
        <w:p w14:paraId="320C4F4F" w14:textId="751CDB82" w:rsidR="00A45342" w:rsidRDefault="00A45342">
          <w:r>
            <w:br w:type="page"/>
          </w:r>
        </w:p>
      </w:sdtContent>
    </w:sdt>
    <w:p w14:paraId="1F551E0F" w14:textId="5EA66F65" w:rsidR="0020653A" w:rsidRPr="0020653A" w:rsidRDefault="0020653A" w:rsidP="0020653A">
      <w:pPr>
        <w:spacing w:line="259" w:lineRule="auto"/>
        <w:rPr>
          <w:rFonts w:ascii="Times New Roman" w:eastAsia="Calibri" w:hAnsi="Times New Roman" w:cs="Times New Roman"/>
          <w:szCs w:val="22"/>
          <w:lang w:val="en-US"/>
        </w:rPr>
      </w:pPr>
      <w:r w:rsidRPr="0020653A">
        <w:rPr>
          <w:rFonts w:ascii="Times New Roman" w:eastAsia="Calibri" w:hAnsi="Times New Roman" w:cs="Times New Roman"/>
          <w:noProof/>
          <w:szCs w:val="22"/>
          <w:lang w:val="en-US"/>
        </w:rPr>
        <w:lastRenderedPageBreak/>
        <w:drawing>
          <wp:inline distT="0" distB="0" distL="0" distR="0" wp14:anchorId="5B735743" wp14:editId="72E79E7F">
            <wp:extent cx="1828800" cy="814006"/>
            <wp:effectExtent l="0" t="0" r="0" b="5715"/>
            <wp:docPr id="2470811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8111"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60098" cy="827937"/>
                    </a:xfrm>
                    <a:prstGeom prst="rect">
                      <a:avLst/>
                    </a:prstGeom>
                  </pic:spPr>
                </pic:pic>
              </a:graphicData>
            </a:graphic>
          </wp:inline>
        </w:drawing>
      </w:r>
    </w:p>
    <w:p w14:paraId="1F6EF0E8" w14:textId="77777777" w:rsidR="0020653A" w:rsidRPr="0020653A" w:rsidRDefault="0020653A" w:rsidP="0020653A">
      <w:pPr>
        <w:spacing w:line="259" w:lineRule="auto"/>
        <w:rPr>
          <w:rFonts w:ascii="Times New Roman" w:eastAsia="Calibri" w:hAnsi="Times New Roman" w:cs="Times New Roman"/>
          <w:szCs w:val="22"/>
          <w:lang w:val="en-US"/>
        </w:rPr>
      </w:pPr>
    </w:p>
    <w:p w14:paraId="7E1CA462" w14:textId="77777777" w:rsidR="0020653A" w:rsidRPr="0020653A" w:rsidRDefault="0020653A" w:rsidP="0020653A">
      <w:pPr>
        <w:spacing w:line="259" w:lineRule="auto"/>
        <w:rPr>
          <w:rFonts w:ascii="Times New Roman" w:eastAsia="Calibri" w:hAnsi="Times New Roman" w:cs="Times New Roman"/>
          <w:szCs w:val="22"/>
          <w:lang w:val="en-US"/>
        </w:rPr>
      </w:pPr>
    </w:p>
    <w:p w14:paraId="2BDB34F8" w14:textId="77777777" w:rsidR="0020653A" w:rsidRPr="0020653A" w:rsidRDefault="0020653A" w:rsidP="0020653A">
      <w:pPr>
        <w:spacing w:line="259" w:lineRule="auto"/>
        <w:rPr>
          <w:rFonts w:ascii="Times New Roman" w:eastAsia="Calibri" w:hAnsi="Times New Roman" w:cs="Times New Roman"/>
          <w:szCs w:val="22"/>
          <w:lang w:val="en-US"/>
        </w:rPr>
      </w:pPr>
    </w:p>
    <w:p w14:paraId="138BE131" w14:textId="77777777" w:rsidR="0020653A" w:rsidRPr="0020653A" w:rsidRDefault="0020653A" w:rsidP="0020653A">
      <w:pPr>
        <w:spacing w:line="259" w:lineRule="auto"/>
        <w:rPr>
          <w:rFonts w:ascii="Times New Roman" w:eastAsia="Calibri" w:hAnsi="Times New Roman" w:cs="Times New Roman"/>
          <w:szCs w:val="22"/>
          <w:lang w:val="en-US"/>
        </w:rPr>
      </w:pPr>
    </w:p>
    <w:p w14:paraId="784AD922" w14:textId="77777777" w:rsidR="0020653A" w:rsidRPr="0020653A" w:rsidRDefault="0020653A" w:rsidP="0020653A">
      <w:pPr>
        <w:spacing w:line="259" w:lineRule="auto"/>
        <w:jc w:val="center"/>
        <w:rPr>
          <w:rFonts w:ascii="Times New Roman" w:eastAsia="Calibri" w:hAnsi="Times New Roman" w:cs="Times New Roman"/>
          <w:szCs w:val="22"/>
          <w:lang w:val="en-US"/>
        </w:rPr>
      </w:pPr>
    </w:p>
    <w:p w14:paraId="6A78E05D" w14:textId="77777777" w:rsidR="0020653A" w:rsidRPr="0020653A" w:rsidRDefault="0020653A" w:rsidP="0020653A">
      <w:pPr>
        <w:spacing w:line="259" w:lineRule="auto"/>
        <w:jc w:val="center"/>
        <w:rPr>
          <w:rFonts w:ascii="Arial" w:eastAsia="Calibri" w:hAnsi="Arial" w:cs="Arial"/>
          <w:u w:val="single"/>
          <w:lang w:val="en-US"/>
        </w:rPr>
      </w:pPr>
      <w:r w:rsidRPr="0020653A">
        <w:rPr>
          <w:rFonts w:ascii="Times New Roman" w:eastAsia="Calibri" w:hAnsi="Times New Roman" w:cs="Times New Roman"/>
          <w:szCs w:val="22"/>
          <w:lang w:val="en-US"/>
        </w:rPr>
        <w:fldChar w:fldCharType="begin"/>
      </w:r>
      <w:r w:rsidRPr="0020653A">
        <w:rPr>
          <w:rFonts w:ascii="Times New Roman" w:eastAsia="Calibri" w:hAnsi="Times New Roman" w:cs="Times New Roman"/>
          <w:szCs w:val="22"/>
          <w:lang w:val="en-US"/>
        </w:rPr>
        <w:instrText>HYPERLINK "https://www.bing.com/search?q=university+of+wales+trinity+saint+david&amp;filters=dtbk:%22MCFvdmVydmlldyFvdmVydmlldyFlMTRiODZmOS0yNzFmLTczNzQtZDljNC0zMzVlYzI1MjhmMDg%3d%22+sid:%22e14b86f9-271f-7374-d9c4-335ec2528f08%22+tphint:%22f%22&amp;FORM=DEPNAV" \o "University of Wales Trinity Saint David University in Wales, UK" \t "_self"</w:instrText>
      </w:r>
      <w:r w:rsidRPr="0020653A">
        <w:rPr>
          <w:rFonts w:ascii="Times New Roman" w:eastAsia="Calibri" w:hAnsi="Times New Roman" w:cs="Times New Roman"/>
          <w:szCs w:val="22"/>
          <w:lang w:val="en-US"/>
        </w:rPr>
      </w:r>
      <w:r w:rsidRPr="0020653A">
        <w:rPr>
          <w:rFonts w:ascii="Times New Roman" w:eastAsia="Calibri" w:hAnsi="Times New Roman" w:cs="Times New Roman"/>
          <w:szCs w:val="22"/>
          <w:lang w:val="en-US"/>
        </w:rPr>
        <w:fldChar w:fldCharType="separate"/>
      </w:r>
      <w:bookmarkStart w:id="0" w:name="_Toc166313720"/>
      <w:r w:rsidRPr="0020653A">
        <w:rPr>
          <w:rFonts w:ascii="Arial" w:eastAsia="Calibri" w:hAnsi="Arial" w:cs="Arial"/>
          <w:u w:val="single"/>
          <w:lang w:val="en-US"/>
        </w:rPr>
        <w:t>University of Wales Trinity Saint David</w:t>
      </w:r>
      <w:bookmarkEnd w:id="0"/>
    </w:p>
    <w:p w14:paraId="4C9AF463" w14:textId="61F0A513" w:rsidR="00D32164" w:rsidRDefault="0020653A" w:rsidP="0020653A">
      <w:pPr>
        <w:spacing w:line="259" w:lineRule="auto"/>
        <w:jc w:val="center"/>
        <w:rPr>
          <w:rFonts w:ascii="Times New Roman" w:eastAsia="Calibri" w:hAnsi="Times New Roman" w:cs="Times New Roman"/>
          <w:szCs w:val="22"/>
          <w:lang w:val="en-US"/>
        </w:rPr>
      </w:pPr>
      <w:r w:rsidRPr="0020653A">
        <w:rPr>
          <w:rFonts w:ascii="Times New Roman" w:eastAsia="Calibri" w:hAnsi="Times New Roman" w:cs="Times New Roman"/>
          <w:szCs w:val="22"/>
          <w:lang w:val="en-US"/>
        </w:rPr>
        <w:fldChar w:fldCharType="end"/>
      </w:r>
      <w:r w:rsidR="00D32164">
        <w:rPr>
          <w:rFonts w:ascii="Times New Roman" w:eastAsia="Calibri" w:hAnsi="Times New Roman" w:cs="Times New Roman"/>
          <w:szCs w:val="22"/>
          <w:lang w:val="en-US"/>
        </w:rPr>
        <w:t>Programme</w:t>
      </w:r>
      <w:r w:rsidR="00D32164" w:rsidRPr="0020653A">
        <w:rPr>
          <w:rFonts w:ascii="Times New Roman" w:eastAsia="Calibri" w:hAnsi="Times New Roman" w:cs="Times New Roman"/>
          <w:szCs w:val="22"/>
          <w:lang w:val="en-US"/>
        </w:rPr>
        <w:t>:</w:t>
      </w:r>
      <w:r w:rsidR="00D32164">
        <w:rPr>
          <w:rFonts w:ascii="Times New Roman" w:eastAsia="Calibri" w:hAnsi="Times New Roman" w:cs="Times New Roman"/>
          <w:szCs w:val="22"/>
          <w:lang w:val="en-US"/>
        </w:rPr>
        <w:t xml:space="preserve"> Certificate</w:t>
      </w:r>
      <w:r w:rsidRPr="0020653A">
        <w:rPr>
          <w:rFonts w:ascii="Times New Roman" w:eastAsia="Calibri" w:hAnsi="Times New Roman" w:cs="Times New Roman"/>
          <w:szCs w:val="22"/>
          <w:lang w:val="en-US"/>
        </w:rPr>
        <w:t xml:space="preserve"> </w:t>
      </w:r>
      <w:r w:rsidR="00D32164">
        <w:rPr>
          <w:rFonts w:ascii="Times New Roman" w:eastAsia="Calibri" w:hAnsi="Times New Roman" w:cs="Times New Roman"/>
          <w:szCs w:val="22"/>
          <w:lang w:val="en-US"/>
        </w:rPr>
        <w:t>of Higher Education</w:t>
      </w:r>
      <w:r w:rsidRPr="0020653A">
        <w:rPr>
          <w:rFonts w:ascii="Times New Roman" w:eastAsia="Calibri" w:hAnsi="Times New Roman" w:cs="Times New Roman"/>
          <w:szCs w:val="22"/>
          <w:lang w:val="en-US"/>
        </w:rPr>
        <w:t xml:space="preserve"> </w:t>
      </w:r>
    </w:p>
    <w:p w14:paraId="515C900A" w14:textId="77777777" w:rsidR="00D32164" w:rsidRDefault="00D32164" w:rsidP="0020653A">
      <w:pPr>
        <w:spacing w:line="259" w:lineRule="auto"/>
        <w:jc w:val="center"/>
        <w:rPr>
          <w:rFonts w:ascii="Times New Roman" w:eastAsia="Calibri" w:hAnsi="Times New Roman" w:cs="Times New Roman"/>
          <w:szCs w:val="22"/>
          <w:lang w:val="en-US"/>
        </w:rPr>
      </w:pPr>
      <w:r>
        <w:rPr>
          <w:rFonts w:ascii="Times New Roman" w:eastAsia="Calibri" w:hAnsi="Times New Roman" w:cs="Times New Roman"/>
          <w:szCs w:val="22"/>
          <w:lang w:val="en-US"/>
        </w:rPr>
        <w:t>Employability</w:t>
      </w:r>
      <w:r w:rsidR="0020653A" w:rsidRPr="0020653A">
        <w:rPr>
          <w:rFonts w:ascii="Times New Roman" w:eastAsia="Calibri" w:hAnsi="Times New Roman" w:cs="Times New Roman"/>
          <w:szCs w:val="22"/>
          <w:lang w:val="en-US"/>
        </w:rPr>
        <w:t xml:space="preserve"> </w:t>
      </w:r>
      <w:r>
        <w:rPr>
          <w:rFonts w:ascii="Times New Roman" w:eastAsia="Calibri" w:hAnsi="Times New Roman" w:cs="Times New Roman"/>
          <w:szCs w:val="22"/>
          <w:lang w:val="en-US"/>
        </w:rPr>
        <w:t>Skills</w:t>
      </w:r>
    </w:p>
    <w:p w14:paraId="7D1810A9" w14:textId="1F442F23" w:rsidR="00D32164" w:rsidRDefault="00D32164" w:rsidP="0020653A">
      <w:pPr>
        <w:spacing w:line="259" w:lineRule="auto"/>
        <w:jc w:val="center"/>
        <w:rPr>
          <w:rFonts w:ascii="Times New Roman" w:eastAsia="Calibri" w:hAnsi="Times New Roman" w:cs="Times New Roman"/>
          <w:szCs w:val="22"/>
          <w:lang w:val="en-US"/>
        </w:rPr>
      </w:pPr>
      <w:r>
        <w:rPr>
          <w:rFonts w:ascii="Times New Roman" w:eastAsia="Calibri" w:hAnsi="Times New Roman" w:cs="Times New Roman"/>
          <w:szCs w:val="22"/>
          <w:lang w:val="en-US"/>
        </w:rPr>
        <w:t>Module: Problem |Solving and Innovation</w:t>
      </w:r>
    </w:p>
    <w:p w14:paraId="3A444918" w14:textId="5DA980BD" w:rsidR="0020653A" w:rsidRPr="0020653A" w:rsidRDefault="00D32164" w:rsidP="0020653A">
      <w:pPr>
        <w:spacing w:line="259" w:lineRule="auto"/>
        <w:jc w:val="center"/>
        <w:rPr>
          <w:rFonts w:ascii="Times New Roman" w:eastAsia="Calibri" w:hAnsi="Times New Roman" w:cs="Times New Roman"/>
          <w:szCs w:val="22"/>
          <w:lang w:val="en-US"/>
        </w:rPr>
      </w:pPr>
      <w:r>
        <w:rPr>
          <w:rFonts w:ascii="Times New Roman" w:eastAsia="Calibri" w:hAnsi="Times New Roman" w:cs="Times New Roman"/>
          <w:szCs w:val="22"/>
          <w:lang w:val="en-US"/>
        </w:rPr>
        <w:t>Module code: BMSW4014</w:t>
      </w:r>
      <w:r w:rsidR="0020653A" w:rsidRPr="0020653A">
        <w:rPr>
          <w:rFonts w:ascii="Times New Roman" w:eastAsia="Calibri" w:hAnsi="Times New Roman" w:cs="Times New Roman"/>
          <w:szCs w:val="22"/>
          <w:lang w:val="en-US"/>
        </w:rPr>
        <w:t xml:space="preserve">                        </w:t>
      </w:r>
    </w:p>
    <w:p w14:paraId="01FA1595" w14:textId="267E641E" w:rsidR="0020653A" w:rsidRPr="00D32164" w:rsidRDefault="0020653A" w:rsidP="00D32164">
      <w:pPr>
        <w:spacing w:line="259" w:lineRule="auto"/>
        <w:jc w:val="center"/>
        <w:rPr>
          <w:rFonts w:ascii="Times New Roman" w:eastAsia="Calibri" w:hAnsi="Times New Roman" w:cs="Times New Roman"/>
          <w:szCs w:val="22"/>
          <w:lang w:val="en-US"/>
        </w:rPr>
      </w:pPr>
      <w:r w:rsidRPr="0020653A">
        <w:rPr>
          <w:rFonts w:ascii="Times New Roman" w:eastAsia="Calibri" w:hAnsi="Times New Roman" w:cs="Times New Roman"/>
          <w:szCs w:val="22"/>
          <w:lang w:val="en-US"/>
        </w:rPr>
        <w:t xml:space="preserve">  </w:t>
      </w:r>
      <w:r w:rsidR="00D32164">
        <w:rPr>
          <w:rFonts w:ascii="Times New Roman" w:eastAsia="Calibri" w:hAnsi="Times New Roman" w:cs="Times New Roman"/>
          <w:szCs w:val="22"/>
          <w:lang w:val="en-US"/>
        </w:rPr>
        <w:t>Assignment Title: A Swot Analysis of Starbucks</w:t>
      </w:r>
    </w:p>
    <w:p w14:paraId="721AA0E2" w14:textId="77777777" w:rsidR="0020653A" w:rsidRPr="0020653A" w:rsidRDefault="0020653A" w:rsidP="0020653A">
      <w:pPr>
        <w:spacing w:line="259" w:lineRule="auto"/>
        <w:jc w:val="center"/>
        <w:rPr>
          <w:rFonts w:ascii="Times New Roman" w:eastAsia="Calibri" w:hAnsi="Times New Roman" w:cs="Times New Roman"/>
          <w:szCs w:val="22"/>
          <w:lang w:val="en-US"/>
        </w:rPr>
      </w:pPr>
      <w:bookmarkStart w:id="1" w:name="_Toc166313722"/>
      <w:r w:rsidRPr="0020653A">
        <w:rPr>
          <w:rFonts w:ascii="Times New Roman" w:eastAsia="Calibri" w:hAnsi="Times New Roman" w:cs="Times New Roman"/>
          <w:szCs w:val="22"/>
          <w:lang w:val="en-US"/>
        </w:rPr>
        <w:t>Constantin Tanasa (2332158</w:t>
      </w:r>
      <w:bookmarkEnd w:id="1"/>
      <w:r w:rsidRPr="0020653A">
        <w:rPr>
          <w:rFonts w:ascii="Times New Roman" w:eastAsia="Calibri" w:hAnsi="Times New Roman" w:cs="Times New Roman"/>
          <w:szCs w:val="22"/>
          <w:lang w:val="en-US"/>
        </w:rPr>
        <w:t>)</w:t>
      </w:r>
    </w:p>
    <w:p w14:paraId="029B014F" w14:textId="7D846CDD" w:rsidR="0020653A" w:rsidRPr="0020653A" w:rsidRDefault="0020653A" w:rsidP="0020653A">
      <w:pPr>
        <w:spacing w:line="259" w:lineRule="auto"/>
        <w:jc w:val="center"/>
        <w:rPr>
          <w:rFonts w:ascii="Times New Roman" w:eastAsia="Calibri" w:hAnsi="Times New Roman" w:cs="Times New Roman"/>
          <w:szCs w:val="22"/>
          <w:lang w:val="en-US"/>
        </w:rPr>
      </w:pPr>
      <w:bookmarkStart w:id="2" w:name="_Toc166313723"/>
      <w:r w:rsidRPr="0020653A">
        <w:rPr>
          <w:rFonts w:ascii="Times New Roman" w:eastAsia="Calibri" w:hAnsi="Times New Roman" w:cs="Times New Roman"/>
          <w:szCs w:val="22"/>
          <w:lang w:val="en-US"/>
        </w:rPr>
        <w:t xml:space="preserve">Lecturer: </w:t>
      </w:r>
      <w:bookmarkEnd w:id="2"/>
      <w:r w:rsidR="00D32164">
        <w:rPr>
          <w:rFonts w:ascii="Times New Roman" w:eastAsia="Calibri" w:hAnsi="Times New Roman" w:cs="Times New Roman"/>
          <w:szCs w:val="22"/>
          <w:lang w:val="en-US"/>
        </w:rPr>
        <w:t>Rebecca Francis-Davies</w:t>
      </w:r>
    </w:p>
    <w:p w14:paraId="0F8DD9D7" w14:textId="77777777" w:rsidR="0020653A" w:rsidRPr="0020653A" w:rsidRDefault="0020653A" w:rsidP="0020653A">
      <w:pPr>
        <w:spacing w:line="259" w:lineRule="auto"/>
        <w:rPr>
          <w:rFonts w:ascii="Times New Roman" w:eastAsia="Calibri" w:hAnsi="Times New Roman" w:cs="Times New Roman"/>
          <w:szCs w:val="22"/>
          <w:lang w:val="en-US"/>
        </w:rPr>
      </w:pPr>
      <w:bookmarkStart w:id="3" w:name="_Hlk166921828"/>
      <w:r w:rsidRPr="0020653A">
        <w:rPr>
          <w:rFonts w:ascii="Times New Roman" w:eastAsia="Calibri" w:hAnsi="Times New Roman" w:cs="Times New Roman"/>
          <w:szCs w:val="22"/>
          <w:lang w:val="en-US"/>
        </w:rPr>
        <w:t xml:space="preserve">                                                                                                                                                                                                                                                                                                                            </w:t>
      </w:r>
      <w:bookmarkStart w:id="4" w:name="_Toc166313724"/>
      <w:bookmarkEnd w:id="3"/>
    </w:p>
    <w:p w14:paraId="4FEAD20B" w14:textId="77777777" w:rsidR="0020653A" w:rsidRPr="0020653A" w:rsidRDefault="0020653A" w:rsidP="0020653A">
      <w:pPr>
        <w:spacing w:line="259" w:lineRule="auto"/>
        <w:rPr>
          <w:rFonts w:ascii="Times New Roman" w:eastAsia="Calibri" w:hAnsi="Times New Roman" w:cs="Times New Roman"/>
          <w:szCs w:val="22"/>
          <w:lang w:val="en-US"/>
        </w:rPr>
      </w:pPr>
    </w:p>
    <w:p w14:paraId="7E88BEAB" w14:textId="77777777" w:rsidR="0020653A" w:rsidRPr="0020653A" w:rsidRDefault="0020653A" w:rsidP="0020653A">
      <w:pPr>
        <w:spacing w:line="259" w:lineRule="auto"/>
        <w:rPr>
          <w:rFonts w:ascii="Times New Roman" w:eastAsia="Calibri" w:hAnsi="Times New Roman" w:cs="Times New Roman"/>
          <w:szCs w:val="22"/>
          <w:lang w:val="en-US"/>
        </w:rPr>
      </w:pPr>
    </w:p>
    <w:p w14:paraId="5F079BAF" w14:textId="77777777" w:rsidR="0020653A" w:rsidRPr="0020653A" w:rsidRDefault="0020653A" w:rsidP="0020653A">
      <w:pPr>
        <w:spacing w:line="259" w:lineRule="auto"/>
        <w:rPr>
          <w:rFonts w:ascii="Times New Roman" w:eastAsia="Calibri" w:hAnsi="Times New Roman" w:cs="Times New Roman"/>
          <w:szCs w:val="22"/>
          <w:lang w:val="en-US"/>
        </w:rPr>
      </w:pPr>
    </w:p>
    <w:p w14:paraId="41EC6243" w14:textId="77777777" w:rsidR="0020653A" w:rsidRPr="0020653A" w:rsidRDefault="0020653A" w:rsidP="0020653A">
      <w:pPr>
        <w:spacing w:line="259" w:lineRule="auto"/>
        <w:rPr>
          <w:rFonts w:ascii="Times New Roman" w:eastAsia="Calibri" w:hAnsi="Times New Roman" w:cs="Times New Roman"/>
          <w:szCs w:val="22"/>
          <w:lang w:val="en-US"/>
        </w:rPr>
      </w:pPr>
    </w:p>
    <w:p w14:paraId="24828E71" w14:textId="3644B0C9" w:rsidR="0020653A" w:rsidRPr="0020653A" w:rsidRDefault="0020653A" w:rsidP="0020653A">
      <w:pPr>
        <w:spacing w:line="259" w:lineRule="auto"/>
        <w:rPr>
          <w:rFonts w:ascii="Times New Roman" w:eastAsia="Calibri" w:hAnsi="Times New Roman" w:cs="Times New Roman"/>
          <w:szCs w:val="22"/>
          <w:lang w:val="en-US"/>
        </w:rPr>
      </w:pPr>
      <w:r w:rsidRPr="0020653A">
        <w:rPr>
          <w:rFonts w:ascii="Times New Roman" w:eastAsia="Calibri" w:hAnsi="Times New Roman" w:cs="Times New Roman"/>
          <w:szCs w:val="22"/>
          <w:lang w:val="en-US"/>
        </w:rPr>
        <w:t xml:space="preserve">Word count: </w:t>
      </w:r>
      <w:r w:rsidR="00453D14">
        <w:rPr>
          <w:rFonts w:ascii="Times New Roman" w:eastAsia="Calibri" w:hAnsi="Times New Roman" w:cs="Times New Roman"/>
          <w:szCs w:val="22"/>
          <w:lang w:val="en-US"/>
        </w:rPr>
        <w:t>53</w:t>
      </w:r>
      <w:r w:rsidR="006059B0">
        <w:rPr>
          <w:rFonts w:ascii="Times New Roman" w:eastAsia="Calibri" w:hAnsi="Times New Roman" w:cs="Times New Roman"/>
          <w:szCs w:val="22"/>
          <w:lang w:val="en-US"/>
        </w:rPr>
        <w:t>7</w:t>
      </w:r>
      <w:r w:rsidRPr="0020653A">
        <w:rPr>
          <w:rFonts w:ascii="Times New Roman" w:eastAsia="Calibri" w:hAnsi="Times New Roman" w:cs="Times New Roman"/>
          <w:szCs w:val="22"/>
          <w:lang w:val="en-US"/>
        </w:rPr>
        <w:t xml:space="preserve">                                                                     Submission Deadline:</w:t>
      </w:r>
      <w:r w:rsidR="00D32164">
        <w:rPr>
          <w:rFonts w:ascii="Times New Roman" w:eastAsia="Calibri" w:hAnsi="Times New Roman" w:cs="Times New Roman"/>
          <w:szCs w:val="22"/>
          <w:lang w:val="en-US"/>
        </w:rPr>
        <w:t>08</w:t>
      </w:r>
      <w:r w:rsidRPr="0020653A">
        <w:rPr>
          <w:rFonts w:ascii="Times New Roman" w:eastAsia="Calibri" w:hAnsi="Times New Roman" w:cs="Times New Roman"/>
          <w:szCs w:val="22"/>
          <w:lang w:val="en-US"/>
        </w:rPr>
        <w:t>.</w:t>
      </w:r>
      <w:r w:rsidR="00D32164">
        <w:rPr>
          <w:rFonts w:ascii="Times New Roman" w:eastAsia="Calibri" w:hAnsi="Times New Roman" w:cs="Times New Roman"/>
          <w:szCs w:val="22"/>
          <w:lang w:val="en-US"/>
        </w:rPr>
        <w:t>11</w:t>
      </w:r>
      <w:r w:rsidRPr="0020653A">
        <w:rPr>
          <w:rFonts w:ascii="Times New Roman" w:eastAsia="Calibri" w:hAnsi="Times New Roman" w:cs="Times New Roman"/>
          <w:szCs w:val="22"/>
          <w:lang w:val="en-US"/>
        </w:rPr>
        <w:t xml:space="preserve">.2024                                                                                                                                                                                                                                                                                                                                   </w:t>
      </w:r>
    </w:p>
    <w:p w14:paraId="3F9F4052" w14:textId="77777777" w:rsidR="0020653A" w:rsidRPr="0020653A" w:rsidRDefault="0020653A" w:rsidP="0020653A">
      <w:pPr>
        <w:spacing w:line="259" w:lineRule="auto"/>
        <w:rPr>
          <w:rFonts w:ascii="Times New Roman" w:eastAsia="Calibri" w:hAnsi="Times New Roman" w:cs="Times New Roman"/>
          <w:szCs w:val="22"/>
          <w:lang w:val="en-US"/>
        </w:rPr>
      </w:pPr>
      <w:r w:rsidRPr="0020653A">
        <w:rPr>
          <w:rFonts w:ascii="Times New Roman" w:eastAsia="Calibri" w:hAnsi="Times New Roman" w:cs="Times New Roman"/>
          <w:szCs w:val="22"/>
          <w:lang w:val="en-US"/>
        </w:rPr>
        <w:t xml:space="preserve">                                                             </w:t>
      </w:r>
      <w:bookmarkEnd w:id="4"/>
    </w:p>
    <w:p w14:paraId="02541A98" w14:textId="77777777" w:rsidR="007149FE" w:rsidRDefault="007149FE"/>
    <w:p w14:paraId="3A89AAAA" w14:textId="77777777" w:rsidR="00C4159D" w:rsidRDefault="00C4159D"/>
    <w:p w14:paraId="17A9B85E" w14:textId="77777777" w:rsidR="00C4159D" w:rsidRDefault="00C4159D"/>
    <w:p w14:paraId="19504BF6" w14:textId="77777777" w:rsidR="00C4159D" w:rsidRDefault="00C4159D"/>
    <w:p w14:paraId="742940F0" w14:textId="77777777" w:rsidR="00C4159D" w:rsidRDefault="00C4159D"/>
    <w:p w14:paraId="2A215E6B" w14:textId="77777777" w:rsidR="00C4159D" w:rsidRDefault="00C4159D"/>
    <w:p w14:paraId="138F250A" w14:textId="77777777" w:rsidR="00C4159D" w:rsidRDefault="00C4159D"/>
    <w:p w14:paraId="2F135CC2" w14:textId="331A3E8D" w:rsidR="00C4159D" w:rsidRPr="00D32164" w:rsidRDefault="00D32164">
      <w:pPr>
        <w:rPr>
          <w:b/>
          <w:bCs/>
        </w:rPr>
      </w:pPr>
      <w:r>
        <w:lastRenderedPageBreak/>
        <w:t xml:space="preserve">                                                            </w:t>
      </w:r>
      <w:r w:rsidRPr="00D32164">
        <w:rPr>
          <w:b/>
          <w:bCs/>
        </w:rPr>
        <w:t>Introduction of Swot Analysis</w:t>
      </w:r>
    </w:p>
    <w:p w14:paraId="349F6679" w14:textId="77777777" w:rsidR="00D32164" w:rsidRDefault="00D32164" w:rsidP="00695F27">
      <w:pPr>
        <w:spacing w:line="360" w:lineRule="auto"/>
        <w:jc w:val="both"/>
        <w:rPr>
          <w:rFonts w:ascii="Arial" w:hAnsi="Arial" w:cs="Arial"/>
        </w:rPr>
      </w:pPr>
    </w:p>
    <w:p w14:paraId="17E26872" w14:textId="261CD842" w:rsidR="00C4159D" w:rsidRPr="00ED46BE" w:rsidRDefault="00C4159D" w:rsidP="00695F27">
      <w:pPr>
        <w:spacing w:line="360" w:lineRule="auto"/>
        <w:jc w:val="both"/>
        <w:rPr>
          <w:rFonts w:ascii="Arial" w:hAnsi="Arial" w:cs="Arial"/>
        </w:rPr>
      </w:pPr>
      <w:r w:rsidRPr="00ED46BE">
        <w:rPr>
          <w:rFonts w:ascii="Arial" w:hAnsi="Arial" w:cs="Arial"/>
        </w:rPr>
        <w:t xml:space="preserve">SWOT analysis </w:t>
      </w:r>
      <w:r w:rsidR="00AB3BA9">
        <w:rPr>
          <w:rFonts w:ascii="Arial" w:hAnsi="Arial" w:cs="Arial"/>
        </w:rPr>
        <w:t>it is a strategic planning</w:t>
      </w:r>
      <w:r w:rsidRPr="00ED46BE">
        <w:rPr>
          <w:rFonts w:ascii="Arial" w:hAnsi="Arial" w:cs="Arial"/>
        </w:rPr>
        <w:t xml:space="preserve"> tool used to develop business strategies based on the internal and external environment of on organization. The </w:t>
      </w:r>
      <w:r w:rsidR="00AB3BA9">
        <w:rPr>
          <w:rFonts w:ascii="Arial" w:hAnsi="Arial" w:cs="Arial"/>
        </w:rPr>
        <w:t>tool</w:t>
      </w:r>
      <w:r w:rsidRPr="00ED46BE">
        <w:rPr>
          <w:rFonts w:ascii="Arial" w:hAnsi="Arial" w:cs="Arial"/>
        </w:rPr>
        <w:t xml:space="preserve"> stands for Strength, Weaknesses, Opportunities, and Threats. Businesses use SWOT analysis to identify how the internal environment affects organisational goals and success by examining its strengths and weaknesses. Further, the tool is used to examine the external environment that is beyond an organisation</w:t>
      </w:r>
      <w:r w:rsidR="00AB3BA9">
        <w:rPr>
          <w:rFonts w:ascii="Arial" w:hAnsi="Arial" w:cs="Arial"/>
        </w:rPr>
        <w:t>’</w:t>
      </w:r>
      <w:r w:rsidRPr="00ED46BE">
        <w:rPr>
          <w:rFonts w:ascii="Arial" w:hAnsi="Arial" w:cs="Arial"/>
        </w:rPr>
        <w:t xml:space="preserve">s control and how it affects an organisation under the opportunities and threats. By understanding these factors, businesses </w:t>
      </w:r>
      <w:r w:rsidR="00523E0D" w:rsidRPr="00ED46BE">
        <w:rPr>
          <w:rFonts w:ascii="Arial" w:hAnsi="Arial" w:cs="Arial"/>
        </w:rPr>
        <w:t>can</w:t>
      </w:r>
      <w:r w:rsidRPr="00ED46BE">
        <w:rPr>
          <w:rFonts w:ascii="Arial" w:hAnsi="Arial" w:cs="Arial"/>
        </w:rPr>
        <w:t xml:space="preserve"> make informed decisions that support their</w:t>
      </w:r>
      <w:r w:rsidR="00523E0D" w:rsidRPr="00ED46BE">
        <w:rPr>
          <w:rFonts w:ascii="Arial" w:hAnsi="Arial" w:cs="Arial"/>
        </w:rPr>
        <w:t xml:space="preserve"> organisational success and growth in the market (Puyt, Lie, and Wilderom, 2023). The strengths of an organisation can include their brand reputation, superior product features, and the use of advanced technologies, while their weaknesses could slow processes and poor organisational culture. The opportunities are aspects that an organisation can leverage to gain a competitive edge. Example of opportunities include utilising advanced technologies to develop more products and tapping into new customer segments (Taherdoost and Madanchian, 2021)</w:t>
      </w:r>
      <w:r w:rsidR="00AA39A0" w:rsidRPr="00ED46BE">
        <w:rPr>
          <w:rFonts w:ascii="Arial" w:hAnsi="Arial" w:cs="Arial"/>
        </w:rPr>
        <w:t xml:space="preserve">. Additionally, the threats can negatively affect </w:t>
      </w:r>
      <w:r w:rsidR="003F68AD" w:rsidRPr="00ED46BE">
        <w:rPr>
          <w:rFonts w:ascii="Arial" w:hAnsi="Arial" w:cs="Arial"/>
        </w:rPr>
        <w:t>organizational</w:t>
      </w:r>
      <w:r w:rsidR="00AA39A0" w:rsidRPr="00ED46BE">
        <w:rPr>
          <w:rFonts w:ascii="Arial" w:hAnsi="Arial" w:cs="Arial"/>
        </w:rPr>
        <w:t xml:space="preserve"> processes and performance in the market. They include factors such as having many competitors, the existence of substitutes in the market, and regulatory changes in the market (Kumar and Praveena,2023).</w:t>
      </w:r>
    </w:p>
    <w:p w14:paraId="3A1FA9ED" w14:textId="356EB9A0" w:rsidR="00AA39A0" w:rsidRPr="00ED46BE" w:rsidRDefault="00AA39A0" w:rsidP="00695F27">
      <w:pPr>
        <w:spacing w:line="360" w:lineRule="auto"/>
        <w:jc w:val="both"/>
        <w:rPr>
          <w:rFonts w:ascii="Arial" w:hAnsi="Arial" w:cs="Arial"/>
        </w:rPr>
      </w:pPr>
      <w:r w:rsidRPr="00ED46BE">
        <w:rPr>
          <w:rFonts w:ascii="Arial" w:hAnsi="Arial" w:cs="Arial"/>
        </w:rPr>
        <w:t>The advantages of a SWOT analysis include its application to promote a comprehensive examination of an organisation</w:t>
      </w:r>
      <w:r w:rsidR="00AB3BA9">
        <w:rPr>
          <w:rFonts w:ascii="Arial" w:hAnsi="Arial" w:cs="Arial"/>
        </w:rPr>
        <w:t>’</w:t>
      </w:r>
      <w:r w:rsidRPr="00ED46BE">
        <w:rPr>
          <w:rFonts w:ascii="Arial" w:hAnsi="Arial" w:cs="Arial"/>
        </w:rPr>
        <w:t xml:space="preserve">s internal and external factors that affect their productivity and goals. </w:t>
      </w:r>
      <w:r w:rsidR="00AB3BA9" w:rsidRPr="00ED46BE">
        <w:rPr>
          <w:rFonts w:ascii="Arial" w:hAnsi="Arial" w:cs="Arial"/>
        </w:rPr>
        <w:t>Through</w:t>
      </w:r>
      <w:r w:rsidRPr="00ED46BE">
        <w:rPr>
          <w:rFonts w:ascii="Arial" w:hAnsi="Arial" w:cs="Arial"/>
        </w:rPr>
        <w:t xml:space="preserve"> the examination of the strengths, weaknesses, opportunities, and threats, organisations are able to gain a holistic view of their organisation</w:t>
      </w:r>
      <w:r w:rsidR="00AB3BA9">
        <w:rPr>
          <w:rFonts w:ascii="Arial" w:hAnsi="Arial" w:cs="Arial"/>
        </w:rPr>
        <w:t>’</w:t>
      </w:r>
      <w:r w:rsidRPr="00ED46BE">
        <w:rPr>
          <w:rFonts w:ascii="Arial" w:hAnsi="Arial" w:cs="Arial"/>
        </w:rPr>
        <w:t xml:space="preserve">s position in the market. As a result, the SWOT tool is also instrumental as a brainstorming tool that encourages collaboration </w:t>
      </w:r>
      <w:r w:rsidR="00CD298D" w:rsidRPr="00ED46BE">
        <w:rPr>
          <w:rFonts w:ascii="Arial" w:hAnsi="Arial" w:cs="Arial"/>
        </w:rPr>
        <w:t>among employees and leaders as they develop strategies that support organisational success (Phadermrod, Crowder, and Wills, 2019). Additionally, the tool is instrumental in developing strategies that support organisational success by understanding the weaknesses, leveraging the strengths, and exploring opportunities to gain a competitive edge while mitigating potential threats. It also helps organisations in strategic planning based on stakeholder</w:t>
      </w:r>
      <w:r w:rsidR="006C51BF" w:rsidRPr="00ED46BE">
        <w:rPr>
          <w:rFonts w:ascii="Arial" w:hAnsi="Arial" w:cs="Arial"/>
        </w:rPr>
        <w:t xml:space="preserve"> viewpoints such as the customers feedback (Phadermrod, Crowder, and Wills,2019). According to Teoli, An, and Sanvictores </w:t>
      </w:r>
      <w:r w:rsidR="006C51BF" w:rsidRPr="00ED46BE">
        <w:rPr>
          <w:rFonts w:ascii="Arial" w:hAnsi="Arial" w:cs="Arial"/>
        </w:rPr>
        <w:lastRenderedPageBreak/>
        <w:t>(2023), organisations use SWOT analysis results to identify their competitors and develop quick and tactical strategies to remain superior in the market. Additionally, it helps organisations understand any new government regulations and policies that may affect them, such as the tax remittance guidelines (Teoli, An, and Sanvictores, 2023).</w:t>
      </w:r>
    </w:p>
    <w:p w14:paraId="43AC6C34" w14:textId="7C756DAB" w:rsidR="006C51BF" w:rsidRPr="00ED46BE" w:rsidRDefault="006C51BF" w:rsidP="00695F27">
      <w:pPr>
        <w:spacing w:line="360" w:lineRule="auto"/>
        <w:jc w:val="both"/>
        <w:rPr>
          <w:rFonts w:ascii="Arial" w:hAnsi="Arial" w:cs="Arial"/>
        </w:rPr>
      </w:pPr>
      <w:r w:rsidRPr="00ED46BE">
        <w:rPr>
          <w:rFonts w:ascii="Arial" w:hAnsi="Arial" w:cs="Arial"/>
        </w:rPr>
        <w:t xml:space="preserve">Despite such advantages, SWOT analysis can present some limitations when used within an organization. One major limitation is that SWOT analysis can be subjective and biased, thus affecting </w:t>
      </w:r>
      <w:r w:rsidR="003F68AD" w:rsidRPr="00ED46BE">
        <w:rPr>
          <w:rFonts w:ascii="Arial" w:hAnsi="Arial" w:cs="Arial"/>
        </w:rPr>
        <w:t>its validity and use in strategic planning</w:t>
      </w:r>
      <w:r w:rsidR="008A11C2">
        <w:rPr>
          <w:rFonts w:ascii="Arial" w:hAnsi="Arial" w:cs="Arial"/>
        </w:rPr>
        <w:t xml:space="preserve"> (</w:t>
      </w:r>
      <w:r w:rsidR="008A11C2" w:rsidRPr="008A11C2">
        <w:rPr>
          <w:rFonts w:ascii="Arial" w:hAnsi="Arial" w:cs="Arial"/>
        </w:rPr>
        <w:t>Hill, and Westbrook,</w:t>
      </w:r>
      <w:r w:rsidR="008A11C2">
        <w:rPr>
          <w:rFonts w:ascii="Arial" w:hAnsi="Arial" w:cs="Arial"/>
        </w:rPr>
        <w:t xml:space="preserve"> </w:t>
      </w:r>
      <w:r w:rsidR="008A11C2" w:rsidRPr="008A11C2">
        <w:rPr>
          <w:rFonts w:ascii="Arial" w:hAnsi="Arial" w:cs="Arial"/>
        </w:rPr>
        <w:t>1997)</w:t>
      </w:r>
      <w:r w:rsidR="003F68AD" w:rsidRPr="00ED46BE">
        <w:rPr>
          <w:rFonts w:ascii="Arial" w:hAnsi="Arial" w:cs="Arial"/>
        </w:rPr>
        <w:t xml:space="preserve">. Additionally, the analysis offers a general perspective and general solutions that may not consider the continuous changes in technology and competitions, which can affect its suitability for an organization. The static view of the SWOT analysis overlooks the rapid changes in various industries; hence, it does not share a complete picture of the internal and external factors that could be affecting the organization. </w:t>
      </w:r>
      <w:r w:rsidR="002F7707" w:rsidRPr="00ED46BE">
        <w:rPr>
          <w:rFonts w:ascii="Arial" w:hAnsi="Arial" w:cs="Arial"/>
        </w:rPr>
        <w:t>Gurel (</w:t>
      </w:r>
      <w:r w:rsidR="003F68AD" w:rsidRPr="00ED46BE">
        <w:rPr>
          <w:rFonts w:ascii="Arial" w:hAnsi="Arial" w:cs="Arial"/>
        </w:rPr>
        <w:t>2017) explains that SWOT analysis is poorly formulated as it has a challenge with the quality and quantity elements. As a result, organizations may struggle to understand the priorities of factors that are outlined in a SWOT analysis (Gurel,2017).</w:t>
      </w:r>
    </w:p>
    <w:p w14:paraId="69301F56" w14:textId="77777777" w:rsidR="00453D14" w:rsidRPr="00ED46BE" w:rsidRDefault="00453D14">
      <w:pPr>
        <w:rPr>
          <w:rFonts w:ascii="Arial" w:hAnsi="Arial" w:cs="Arial"/>
        </w:rPr>
        <w:sectPr w:rsidR="00453D14" w:rsidRPr="00ED46BE" w:rsidSect="00A4534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63F32D80" w14:textId="744AD9B4" w:rsidR="00C4159D" w:rsidRDefault="00ED46BE" w:rsidP="00ED46BE">
      <w:pPr>
        <w:rPr>
          <w:rFonts w:ascii="Arial" w:hAnsi="Arial" w:cs="Arial"/>
          <w:b/>
          <w:bCs/>
        </w:rPr>
      </w:pPr>
      <w:r>
        <w:rPr>
          <w:rFonts w:ascii="Arial" w:hAnsi="Arial" w:cs="Arial"/>
          <w:b/>
          <w:bCs/>
        </w:rPr>
        <w:lastRenderedPageBreak/>
        <w:t>References</w:t>
      </w:r>
    </w:p>
    <w:p w14:paraId="459C944C" w14:textId="77777777" w:rsidR="00ED46BE" w:rsidRDefault="00ED46BE" w:rsidP="00ED46BE">
      <w:pPr>
        <w:rPr>
          <w:rFonts w:ascii="Arial" w:hAnsi="Arial" w:cs="Arial"/>
          <w:b/>
          <w:bCs/>
        </w:rPr>
      </w:pPr>
    </w:p>
    <w:p w14:paraId="6756C0AA" w14:textId="27B8D8D7" w:rsidR="00ED46BE" w:rsidRDefault="00ED46BE" w:rsidP="00ED46BE">
      <w:pPr>
        <w:spacing w:after="0" w:line="480" w:lineRule="auto"/>
        <w:ind w:left="720" w:hanging="720"/>
        <w:contextualSpacing/>
        <w:rPr>
          <w:rFonts w:ascii="Times New Roman" w:eastAsia="Times New Roman" w:hAnsi="Times New Roman" w:cs="Times New Roman"/>
          <w:kern w:val="0"/>
          <w:lang w:val="en-US"/>
          <w14:ligatures w14:val="none"/>
        </w:rPr>
      </w:pPr>
      <w:r w:rsidRPr="00ED46BE">
        <w:rPr>
          <w:rFonts w:ascii="Times New Roman" w:eastAsia="Times New Roman" w:hAnsi="Times New Roman" w:cs="Times New Roman"/>
          <w:kern w:val="0"/>
          <w:lang w:val="en-US"/>
          <w14:ligatures w14:val="none"/>
        </w:rPr>
        <w:t xml:space="preserve">Gurel, E. (2017). </w:t>
      </w:r>
      <w:r w:rsidRPr="00ED46BE">
        <w:rPr>
          <w:rFonts w:ascii="Times New Roman" w:eastAsia="Times New Roman" w:hAnsi="Times New Roman" w:cs="Times New Roman"/>
          <w:i/>
          <w:iCs/>
          <w:kern w:val="0"/>
          <w:lang w:val="en-US"/>
          <w14:ligatures w14:val="none"/>
        </w:rPr>
        <w:t>SWOT Analysis: A Theoretical Review</w:t>
      </w:r>
      <w:r w:rsidRPr="00ED46BE">
        <w:rPr>
          <w:rFonts w:ascii="Times New Roman" w:eastAsia="Times New Roman" w:hAnsi="Times New Roman" w:cs="Times New Roman"/>
          <w:kern w:val="0"/>
          <w:lang w:val="en-US"/>
          <w14:ligatures w14:val="none"/>
        </w:rPr>
        <w:t xml:space="preserve">. [online] ResearchGate. Available at: </w:t>
      </w:r>
      <w:hyperlink r:id="rId15" w:history="1">
        <w:r w:rsidR="007A280D" w:rsidRPr="003B25F3">
          <w:rPr>
            <w:rStyle w:val="Hyperlink"/>
            <w:rFonts w:ascii="Times New Roman" w:eastAsia="Times New Roman" w:hAnsi="Times New Roman" w:cs="Times New Roman"/>
            <w:kern w:val="0"/>
            <w:lang w:val="en-US"/>
            <w14:ligatures w14:val="none"/>
          </w:rPr>
          <w:t>https://www.researchgate.net/publication/319367788_SWOT_ANALYSIS_A_THEORETICAL_REVIEW</w:t>
        </w:r>
      </w:hyperlink>
      <w:r w:rsidR="007A280D">
        <w:rPr>
          <w:rFonts w:ascii="Times New Roman" w:eastAsia="Times New Roman" w:hAnsi="Times New Roman" w:cs="Times New Roman"/>
          <w:kern w:val="0"/>
          <w:lang w:val="en-US"/>
          <w14:ligatures w14:val="none"/>
        </w:rPr>
        <w:t xml:space="preserve"> [Accessed 17 Oct.2024].</w:t>
      </w:r>
    </w:p>
    <w:p w14:paraId="7E217424" w14:textId="46A89864" w:rsidR="008A11C2" w:rsidRDefault="008A11C2" w:rsidP="00ED46BE">
      <w:pPr>
        <w:spacing w:after="0" w:line="480" w:lineRule="auto"/>
        <w:ind w:left="720" w:hanging="720"/>
        <w:contextualSpacing/>
        <w:rPr>
          <w:rFonts w:ascii="Times New Roman" w:eastAsia="Times New Roman" w:hAnsi="Times New Roman" w:cs="Times New Roman"/>
          <w:kern w:val="0"/>
          <w:lang w:val="en-US"/>
          <w14:ligatures w14:val="none"/>
        </w:rPr>
      </w:pPr>
      <w:bookmarkStart w:id="5" w:name="_Hlk181637492"/>
      <w:r>
        <w:rPr>
          <w:rFonts w:ascii="Times New Roman" w:eastAsia="Times New Roman" w:hAnsi="Times New Roman" w:cs="Times New Roman"/>
          <w:kern w:val="0"/>
          <w14:ligatures w14:val="none"/>
        </w:rPr>
        <w:t xml:space="preserve">Hill, T. </w:t>
      </w:r>
      <w:r w:rsidRPr="008A11C2">
        <w:rPr>
          <w:rFonts w:ascii="Times New Roman" w:eastAsia="Times New Roman" w:hAnsi="Times New Roman" w:cs="Times New Roman"/>
          <w:kern w:val="0"/>
          <w14:ligatures w14:val="none"/>
        </w:rPr>
        <w:t xml:space="preserve">and </w:t>
      </w:r>
      <w:r>
        <w:rPr>
          <w:rFonts w:ascii="Times New Roman" w:eastAsia="Times New Roman" w:hAnsi="Times New Roman" w:cs="Times New Roman"/>
          <w:kern w:val="0"/>
          <w14:ligatures w14:val="none"/>
        </w:rPr>
        <w:t>Westbrook, R</w:t>
      </w:r>
      <w:r w:rsidRPr="008A11C2">
        <w:rPr>
          <w:rFonts w:ascii="Times New Roman" w:eastAsia="Times New Roman" w:hAnsi="Times New Roman" w:cs="Times New Roman"/>
          <w:kern w:val="0"/>
          <w14:ligatures w14:val="none"/>
        </w:rPr>
        <w:t>. (1997). </w:t>
      </w:r>
      <w:bookmarkEnd w:id="5"/>
      <w:r w:rsidRPr="008A11C2">
        <w:rPr>
          <w:rFonts w:ascii="Times New Roman" w:eastAsia="Times New Roman" w:hAnsi="Times New Roman" w:cs="Times New Roman"/>
          <w:i/>
          <w:iCs/>
          <w:kern w:val="0"/>
          <w14:ligatures w14:val="none"/>
        </w:rPr>
        <w:t>swot analysis it's time for a product recall</w:t>
      </w:r>
      <w:r w:rsidRPr="008A11C2">
        <w:rPr>
          <w:rFonts w:ascii="Times New Roman" w:eastAsia="Times New Roman" w:hAnsi="Times New Roman" w:cs="Times New Roman"/>
          <w:kern w:val="0"/>
          <w14:ligatures w14:val="none"/>
        </w:rPr>
        <w:t>. [Online]. sciencedirect.com. Last Updated: 1997. Available at: https://www.sciencedirect.com/science/article/abs/pii/S0024630196000957 [Accessed 31 OCTOBER 2024].</w:t>
      </w:r>
    </w:p>
    <w:p w14:paraId="5969DE51" w14:textId="16D99D51" w:rsidR="00ED46BE" w:rsidRPr="00ED46BE" w:rsidRDefault="00ED46BE" w:rsidP="00ED46BE">
      <w:pPr>
        <w:spacing w:after="0" w:line="480" w:lineRule="auto"/>
        <w:contextualSpacing/>
        <w:rPr>
          <w:rFonts w:ascii="Times New Roman" w:eastAsia="Times New Roman" w:hAnsi="Times New Roman" w:cs="Times New Roman"/>
          <w:kern w:val="0"/>
          <w:lang w:val="en-US"/>
          <w14:ligatures w14:val="none"/>
        </w:rPr>
      </w:pPr>
      <w:r w:rsidRPr="00ED46BE">
        <w:rPr>
          <w:rFonts w:ascii="Times New Roman" w:eastAsia="Times New Roman" w:hAnsi="Times New Roman" w:cs="Times New Roman"/>
          <w:kern w:val="0"/>
          <w:lang w:val="en-US"/>
          <w14:ligatures w14:val="none"/>
        </w:rPr>
        <w:t xml:space="preserve">Kumar, S.C.R., and Praveena, K.B. (2023). SWOT Analysis. </w:t>
      </w:r>
      <w:r w:rsidRPr="00ED46BE">
        <w:rPr>
          <w:rFonts w:ascii="Times New Roman" w:eastAsia="Times New Roman" w:hAnsi="Times New Roman" w:cs="Times New Roman"/>
          <w:i/>
          <w:iCs/>
          <w:kern w:val="0"/>
          <w:lang w:val="en-US"/>
          <w14:ligatures w14:val="none"/>
        </w:rPr>
        <w:t>International journal of advanced research</w:t>
      </w:r>
      <w:r w:rsidRPr="00ED46BE">
        <w:rPr>
          <w:rFonts w:ascii="Times New Roman" w:eastAsia="Times New Roman" w:hAnsi="Times New Roman" w:cs="Times New Roman"/>
          <w:kern w:val="0"/>
          <w:lang w:val="en-US"/>
          <w14:ligatures w14:val="none"/>
        </w:rPr>
        <w:t>, 11(09), pp. 744–748. doi:https://doi.org/10.21474/ijar01/17584.</w:t>
      </w:r>
    </w:p>
    <w:p w14:paraId="0BFFC703" w14:textId="041A59C7" w:rsidR="00ED46BE" w:rsidRPr="00ED46BE" w:rsidRDefault="00ED46BE" w:rsidP="00ED46BE">
      <w:pPr>
        <w:spacing w:after="0" w:line="480" w:lineRule="auto"/>
        <w:contextualSpacing/>
        <w:rPr>
          <w:rFonts w:ascii="Times New Roman" w:eastAsia="Times New Roman" w:hAnsi="Times New Roman" w:cs="Times New Roman"/>
          <w:kern w:val="0"/>
          <w:lang w:val="en-US"/>
          <w14:ligatures w14:val="none"/>
        </w:rPr>
      </w:pPr>
      <w:r w:rsidRPr="00ED46BE">
        <w:rPr>
          <w:rFonts w:ascii="Times New Roman" w:eastAsia="Times New Roman" w:hAnsi="Times New Roman" w:cs="Times New Roman"/>
          <w:kern w:val="0"/>
          <w:lang w:val="en-US"/>
          <w14:ligatures w14:val="none"/>
        </w:rPr>
        <w:t xml:space="preserve">Phadermrod, B., Crowder, R.M., and Wills, G.B. (2019). Importance-Performance Analysis Based SWOT Analysis. </w:t>
      </w:r>
      <w:r w:rsidRPr="00ED46BE">
        <w:rPr>
          <w:rFonts w:ascii="Times New Roman" w:eastAsia="Times New Roman" w:hAnsi="Times New Roman" w:cs="Times New Roman"/>
          <w:i/>
          <w:iCs/>
          <w:kern w:val="0"/>
          <w:lang w:val="en-US"/>
          <w14:ligatures w14:val="none"/>
        </w:rPr>
        <w:t>International Journal of Information Management</w:t>
      </w:r>
      <w:r w:rsidRPr="00ED46BE">
        <w:rPr>
          <w:rFonts w:ascii="Times New Roman" w:eastAsia="Times New Roman" w:hAnsi="Times New Roman" w:cs="Times New Roman"/>
          <w:kern w:val="0"/>
          <w:lang w:val="en-US"/>
          <w14:ligatures w14:val="none"/>
        </w:rPr>
        <w:t xml:space="preserve">, [online] 44(C), pp. 194–203. Available at: </w:t>
      </w:r>
      <w:hyperlink r:id="rId16" w:history="1">
        <w:r w:rsidR="007A280D" w:rsidRPr="003B25F3">
          <w:rPr>
            <w:rStyle w:val="Hyperlink"/>
            <w:rFonts w:ascii="Times New Roman" w:eastAsia="Times New Roman" w:hAnsi="Times New Roman" w:cs="Times New Roman"/>
            <w:kern w:val="0"/>
            <w:lang w:val="en-US"/>
            <w14:ligatures w14:val="none"/>
          </w:rPr>
          <w:t>https://ideas.repec.org/a/eee/ininma/v44y2019icp194-203.html</w:t>
        </w:r>
      </w:hyperlink>
      <w:r w:rsidR="007A280D">
        <w:rPr>
          <w:rFonts w:ascii="Times New Roman" w:eastAsia="Times New Roman" w:hAnsi="Times New Roman" w:cs="Times New Roman"/>
          <w:kern w:val="0"/>
          <w:lang w:val="en-US"/>
          <w14:ligatures w14:val="none"/>
        </w:rPr>
        <w:t xml:space="preserve"> [Accessed 18 Oct. 2024].</w:t>
      </w:r>
    </w:p>
    <w:p w14:paraId="7F5FD4FF" w14:textId="77777777" w:rsidR="00ED46BE" w:rsidRPr="00ED46BE" w:rsidRDefault="00ED46BE" w:rsidP="00ED46BE">
      <w:pPr>
        <w:spacing w:after="0" w:line="480" w:lineRule="auto"/>
        <w:ind w:left="720" w:hanging="720"/>
        <w:contextualSpacing/>
        <w:rPr>
          <w:rFonts w:ascii="Times New Roman" w:eastAsia="Times New Roman" w:hAnsi="Times New Roman" w:cs="Times New Roman"/>
          <w:kern w:val="0"/>
          <w:lang w:val="en-US"/>
          <w14:ligatures w14:val="none"/>
        </w:rPr>
      </w:pPr>
      <w:r w:rsidRPr="00ED46BE">
        <w:rPr>
          <w:rFonts w:ascii="Times New Roman" w:eastAsia="Times New Roman" w:hAnsi="Times New Roman" w:cs="Times New Roman"/>
          <w:kern w:val="0"/>
          <w:lang w:val="en-US"/>
          <w14:ligatures w14:val="none"/>
        </w:rPr>
        <w:t xml:space="preserve">Puyt, R.W., Lie, F.B., and Wilderom, C.P.M. (2023). The Origins of SWOT Analysis. </w:t>
      </w:r>
      <w:r w:rsidRPr="00ED46BE">
        <w:rPr>
          <w:rFonts w:ascii="Times New Roman" w:eastAsia="Times New Roman" w:hAnsi="Times New Roman" w:cs="Times New Roman"/>
          <w:i/>
          <w:iCs/>
          <w:kern w:val="0"/>
          <w:lang w:val="en-US"/>
          <w14:ligatures w14:val="none"/>
        </w:rPr>
        <w:t>Long Range Planning</w:t>
      </w:r>
      <w:r w:rsidRPr="00ED46BE">
        <w:rPr>
          <w:rFonts w:ascii="Times New Roman" w:eastAsia="Times New Roman" w:hAnsi="Times New Roman" w:cs="Times New Roman"/>
          <w:kern w:val="0"/>
          <w:lang w:val="en-US"/>
          <w14:ligatures w14:val="none"/>
        </w:rPr>
        <w:t> [online] 56(3). doi:https://doi.org/10.1016/j.lrp.2023.102304.</w:t>
      </w:r>
    </w:p>
    <w:p w14:paraId="4DD43C99" w14:textId="77777777" w:rsidR="00ED46BE" w:rsidRDefault="00ED46BE" w:rsidP="00ED46BE">
      <w:pPr>
        <w:spacing w:after="0" w:line="480" w:lineRule="auto"/>
        <w:ind w:left="720" w:hanging="720"/>
        <w:contextualSpacing/>
        <w:rPr>
          <w:rFonts w:ascii="Times New Roman" w:eastAsia="Times New Roman" w:hAnsi="Times New Roman" w:cs="Times New Roman"/>
          <w:kern w:val="0"/>
          <w:lang w:val="en-US"/>
          <w14:ligatures w14:val="none"/>
        </w:rPr>
      </w:pPr>
      <w:r w:rsidRPr="00ED46BE">
        <w:rPr>
          <w:rFonts w:ascii="Times New Roman" w:eastAsia="Times New Roman" w:hAnsi="Times New Roman" w:cs="Times New Roman"/>
          <w:kern w:val="0"/>
          <w:lang w:val="en-US"/>
          <w14:ligatures w14:val="none"/>
        </w:rPr>
        <w:t xml:space="preserve">Taherdoost, H., and Madanchian, M. (2021). Determination of Business Strategies Using SWOT Analysis; Planning and Managing the Organisational Resources to Enhance Growth and Profitability. </w:t>
      </w:r>
      <w:r w:rsidRPr="00ED46BE">
        <w:rPr>
          <w:rFonts w:ascii="Times New Roman" w:eastAsia="Times New Roman" w:hAnsi="Times New Roman" w:cs="Times New Roman"/>
          <w:i/>
          <w:iCs/>
          <w:kern w:val="0"/>
          <w:lang w:val="en-US"/>
          <w14:ligatures w14:val="none"/>
        </w:rPr>
        <w:t>Macro Management &amp; Public Policies</w:t>
      </w:r>
      <w:r w:rsidRPr="00ED46BE">
        <w:rPr>
          <w:rFonts w:ascii="Times New Roman" w:eastAsia="Times New Roman" w:hAnsi="Times New Roman" w:cs="Times New Roman"/>
          <w:kern w:val="0"/>
          <w:lang w:val="en-US"/>
          <w14:ligatures w14:val="none"/>
        </w:rPr>
        <w:t>, [online] 3(1). doi:https://doi.org/10.30564/mmpp.v3i1.2748.</w:t>
      </w:r>
    </w:p>
    <w:p w14:paraId="7303CFE1" w14:textId="00339A5F" w:rsidR="00ED46BE" w:rsidRPr="00ED46BE" w:rsidRDefault="00ED46BE" w:rsidP="00ED46BE">
      <w:pPr>
        <w:spacing w:after="0" w:line="480" w:lineRule="auto"/>
        <w:ind w:left="720" w:hanging="720"/>
        <w:contextualSpacing/>
        <w:rPr>
          <w:rFonts w:ascii="Times New Roman" w:eastAsia="Times New Roman" w:hAnsi="Times New Roman" w:cs="Times New Roman"/>
          <w:kern w:val="0"/>
          <w:lang w:val="en-US"/>
          <w14:ligatures w14:val="none"/>
        </w:rPr>
      </w:pPr>
      <w:r w:rsidRPr="00ED46BE">
        <w:rPr>
          <w:rFonts w:ascii="Times New Roman" w:eastAsia="Times New Roman" w:hAnsi="Times New Roman" w:cs="Times New Roman"/>
          <w:kern w:val="0"/>
          <w:lang w:val="en-US"/>
          <w14:ligatures w14:val="none"/>
        </w:rPr>
        <w:t xml:space="preserve">Teoli, D., An, J., and Sanvictores, T. (2023). </w:t>
      </w:r>
      <w:r w:rsidRPr="00ED46BE">
        <w:rPr>
          <w:rFonts w:ascii="Times New Roman" w:eastAsia="Times New Roman" w:hAnsi="Times New Roman" w:cs="Times New Roman"/>
          <w:i/>
          <w:iCs/>
          <w:kern w:val="0"/>
          <w:lang w:val="en-US"/>
          <w14:ligatures w14:val="none"/>
        </w:rPr>
        <w:t>SWOT Analysis</w:t>
      </w:r>
      <w:r w:rsidRPr="00ED46BE">
        <w:rPr>
          <w:rFonts w:ascii="Times New Roman" w:eastAsia="Times New Roman" w:hAnsi="Times New Roman" w:cs="Times New Roman"/>
          <w:kern w:val="0"/>
          <w:lang w:val="en-US"/>
          <w14:ligatures w14:val="none"/>
        </w:rPr>
        <w:t xml:space="preserve">. [online] National Library of Medicine. Available at </w:t>
      </w:r>
      <w:hyperlink r:id="rId17" w:history="1">
        <w:r w:rsidR="007A280D" w:rsidRPr="003B25F3">
          <w:rPr>
            <w:rStyle w:val="Hyperlink"/>
            <w:rFonts w:ascii="Times New Roman" w:eastAsia="Times New Roman" w:hAnsi="Times New Roman" w:cs="Times New Roman"/>
            <w:kern w:val="0"/>
            <w:lang w:val="en-US"/>
            <w14:ligatures w14:val="none"/>
          </w:rPr>
          <w:t>https://www.ncbi.nlm.nih.gov/books/NBK537302/</w:t>
        </w:r>
      </w:hyperlink>
      <w:r w:rsidR="007A280D">
        <w:rPr>
          <w:rFonts w:ascii="Times New Roman" w:eastAsia="Times New Roman" w:hAnsi="Times New Roman" w:cs="Times New Roman"/>
          <w:kern w:val="0"/>
          <w:lang w:val="en-US"/>
          <w14:ligatures w14:val="none"/>
        </w:rPr>
        <w:t xml:space="preserve"> [Accessed 20 Oct. 2024].</w:t>
      </w:r>
    </w:p>
    <w:p w14:paraId="49107DC2" w14:textId="77777777" w:rsidR="00ED46BE" w:rsidRPr="00ED46BE" w:rsidRDefault="00ED46BE" w:rsidP="00ED46BE">
      <w:pPr>
        <w:spacing w:after="0" w:line="480" w:lineRule="auto"/>
        <w:ind w:left="720" w:hanging="720"/>
        <w:contextualSpacing/>
        <w:rPr>
          <w:rFonts w:ascii="Times New Roman" w:eastAsia="Times New Roman" w:hAnsi="Times New Roman" w:cs="Times New Roman"/>
          <w:kern w:val="0"/>
          <w:lang w:val="en-US"/>
          <w14:ligatures w14:val="none"/>
        </w:rPr>
      </w:pPr>
    </w:p>
    <w:p w14:paraId="3A0320E1" w14:textId="09C7C7A3" w:rsidR="00ED46BE" w:rsidRPr="00ED46BE" w:rsidRDefault="00ED46BE">
      <w:pPr>
        <w:rPr>
          <w:rFonts w:ascii="Arial" w:hAnsi="Arial" w:cs="Arial"/>
        </w:rPr>
      </w:pPr>
    </w:p>
    <w:sectPr w:rsidR="00ED46BE" w:rsidRPr="00ED46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42A736" w14:textId="77777777" w:rsidR="0003237C" w:rsidRDefault="0003237C" w:rsidP="00695F27">
      <w:pPr>
        <w:spacing w:after="0" w:line="240" w:lineRule="auto"/>
      </w:pPr>
      <w:r>
        <w:separator/>
      </w:r>
    </w:p>
  </w:endnote>
  <w:endnote w:type="continuationSeparator" w:id="0">
    <w:p w14:paraId="4A927E9F" w14:textId="77777777" w:rsidR="0003237C" w:rsidRDefault="0003237C" w:rsidP="00695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0EEE49" w14:textId="77777777" w:rsidR="00695F27" w:rsidRDefault="00695F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134A27" w14:textId="77777777" w:rsidR="00695F27" w:rsidRDefault="00695F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F3A3CF" w14:textId="77777777" w:rsidR="00695F27" w:rsidRDefault="00695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D0E5C0" w14:textId="77777777" w:rsidR="0003237C" w:rsidRDefault="0003237C" w:rsidP="00695F27">
      <w:pPr>
        <w:spacing w:after="0" w:line="240" w:lineRule="auto"/>
      </w:pPr>
      <w:r>
        <w:separator/>
      </w:r>
    </w:p>
  </w:footnote>
  <w:footnote w:type="continuationSeparator" w:id="0">
    <w:p w14:paraId="7C8D1517" w14:textId="77777777" w:rsidR="0003237C" w:rsidRDefault="0003237C" w:rsidP="00695F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B16521" w14:textId="77777777" w:rsidR="00695F27" w:rsidRDefault="00695F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00B550" w14:textId="77777777" w:rsidR="00695F27" w:rsidRDefault="00695F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81141D" w14:textId="77777777" w:rsidR="00695F27" w:rsidRDefault="00695F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EC5"/>
    <w:rsid w:val="0003237C"/>
    <w:rsid w:val="000D34FC"/>
    <w:rsid w:val="0020653A"/>
    <w:rsid w:val="00283A2A"/>
    <w:rsid w:val="002D05BA"/>
    <w:rsid w:val="002F7707"/>
    <w:rsid w:val="003F68AD"/>
    <w:rsid w:val="00453D14"/>
    <w:rsid w:val="004D20C3"/>
    <w:rsid w:val="00523E0D"/>
    <w:rsid w:val="005F566E"/>
    <w:rsid w:val="006059B0"/>
    <w:rsid w:val="00695F27"/>
    <w:rsid w:val="006C51BF"/>
    <w:rsid w:val="007149FE"/>
    <w:rsid w:val="007A280D"/>
    <w:rsid w:val="00897668"/>
    <w:rsid w:val="008A11C2"/>
    <w:rsid w:val="008C0EC5"/>
    <w:rsid w:val="00A45342"/>
    <w:rsid w:val="00AA39A0"/>
    <w:rsid w:val="00AB3BA9"/>
    <w:rsid w:val="00B222D0"/>
    <w:rsid w:val="00C4159D"/>
    <w:rsid w:val="00CD298D"/>
    <w:rsid w:val="00CF5E5D"/>
    <w:rsid w:val="00D32164"/>
    <w:rsid w:val="00ED46BE"/>
    <w:rsid w:val="00F54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1059E"/>
  <w15:chartTrackingRefBased/>
  <w15:docId w15:val="{56EF7487-651A-4BD0-8790-2F865E984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E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E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E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E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E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E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E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E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E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E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E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E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E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E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E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E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E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EC5"/>
    <w:rPr>
      <w:rFonts w:eastAsiaTheme="majorEastAsia" w:cstheme="majorBidi"/>
      <w:color w:val="272727" w:themeColor="text1" w:themeTint="D8"/>
    </w:rPr>
  </w:style>
  <w:style w:type="paragraph" w:styleId="Title">
    <w:name w:val="Title"/>
    <w:basedOn w:val="Normal"/>
    <w:next w:val="Normal"/>
    <w:link w:val="TitleChar"/>
    <w:uiPriority w:val="10"/>
    <w:qFormat/>
    <w:rsid w:val="008C0E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E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E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E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EC5"/>
    <w:pPr>
      <w:spacing w:before="160"/>
      <w:jc w:val="center"/>
    </w:pPr>
    <w:rPr>
      <w:i/>
      <w:iCs/>
      <w:color w:val="404040" w:themeColor="text1" w:themeTint="BF"/>
    </w:rPr>
  </w:style>
  <w:style w:type="character" w:customStyle="1" w:styleId="QuoteChar">
    <w:name w:val="Quote Char"/>
    <w:basedOn w:val="DefaultParagraphFont"/>
    <w:link w:val="Quote"/>
    <w:uiPriority w:val="29"/>
    <w:rsid w:val="008C0EC5"/>
    <w:rPr>
      <w:i/>
      <w:iCs/>
      <w:color w:val="404040" w:themeColor="text1" w:themeTint="BF"/>
    </w:rPr>
  </w:style>
  <w:style w:type="paragraph" w:styleId="ListParagraph">
    <w:name w:val="List Paragraph"/>
    <w:basedOn w:val="Normal"/>
    <w:uiPriority w:val="34"/>
    <w:qFormat/>
    <w:rsid w:val="008C0EC5"/>
    <w:pPr>
      <w:ind w:left="720"/>
      <w:contextualSpacing/>
    </w:pPr>
  </w:style>
  <w:style w:type="character" w:styleId="IntenseEmphasis">
    <w:name w:val="Intense Emphasis"/>
    <w:basedOn w:val="DefaultParagraphFont"/>
    <w:uiPriority w:val="21"/>
    <w:qFormat/>
    <w:rsid w:val="008C0EC5"/>
    <w:rPr>
      <w:i/>
      <w:iCs/>
      <w:color w:val="0F4761" w:themeColor="accent1" w:themeShade="BF"/>
    </w:rPr>
  </w:style>
  <w:style w:type="paragraph" w:styleId="IntenseQuote">
    <w:name w:val="Intense Quote"/>
    <w:basedOn w:val="Normal"/>
    <w:next w:val="Normal"/>
    <w:link w:val="IntenseQuoteChar"/>
    <w:uiPriority w:val="30"/>
    <w:qFormat/>
    <w:rsid w:val="008C0E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EC5"/>
    <w:rPr>
      <w:i/>
      <w:iCs/>
      <w:color w:val="0F4761" w:themeColor="accent1" w:themeShade="BF"/>
    </w:rPr>
  </w:style>
  <w:style w:type="character" w:styleId="IntenseReference">
    <w:name w:val="Intense Reference"/>
    <w:basedOn w:val="DefaultParagraphFont"/>
    <w:uiPriority w:val="32"/>
    <w:qFormat/>
    <w:rsid w:val="008C0EC5"/>
    <w:rPr>
      <w:b/>
      <w:bCs/>
      <w:smallCaps/>
      <w:color w:val="0F4761" w:themeColor="accent1" w:themeShade="BF"/>
      <w:spacing w:val="5"/>
    </w:rPr>
  </w:style>
  <w:style w:type="character" w:styleId="Hyperlink">
    <w:name w:val="Hyperlink"/>
    <w:basedOn w:val="DefaultParagraphFont"/>
    <w:uiPriority w:val="99"/>
    <w:unhideWhenUsed/>
    <w:rsid w:val="00ED46BE"/>
    <w:rPr>
      <w:color w:val="467886" w:themeColor="hyperlink"/>
      <w:u w:val="single"/>
    </w:rPr>
  </w:style>
  <w:style w:type="character" w:styleId="UnresolvedMention">
    <w:name w:val="Unresolved Mention"/>
    <w:basedOn w:val="DefaultParagraphFont"/>
    <w:uiPriority w:val="99"/>
    <w:semiHidden/>
    <w:unhideWhenUsed/>
    <w:rsid w:val="00ED46BE"/>
    <w:rPr>
      <w:color w:val="605E5C"/>
      <w:shd w:val="clear" w:color="auto" w:fill="E1DFDD"/>
    </w:rPr>
  </w:style>
  <w:style w:type="paragraph" w:styleId="Header">
    <w:name w:val="header"/>
    <w:basedOn w:val="Normal"/>
    <w:link w:val="HeaderChar"/>
    <w:uiPriority w:val="99"/>
    <w:unhideWhenUsed/>
    <w:rsid w:val="00695F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F27"/>
  </w:style>
  <w:style w:type="paragraph" w:styleId="Footer">
    <w:name w:val="footer"/>
    <w:basedOn w:val="Normal"/>
    <w:link w:val="FooterChar"/>
    <w:uiPriority w:val="99"/>
    <w:unhideWhenUsed/>
    <w:rsid w:val="00695F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F27"/>
  </w:style>
  <w:style w:type="paragraph" w:styleId="NoSpacing">
    <w:name w:val="No Spacing"/>
    <w:uiPriority w:val="1"/>
    <w:qFormat/>
    <w:rsid w:val="00A45342"/>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37000">
      <w:bodyDiv w:val="1"/>
      <w:marLeft w:val="0"/>
      <w:marRight w:val="0"/>
      <w:marTop w:val="0"/>
      <w:marBottom w:val="0"/>
      <w:divBdr>
        <w:top w:val="none" w:sz="0" w:space="0" w:color="auto"/>
        <w:left w:val="none" w:sz="0" w:space="0" w:color="auto"/>
        <w:bottom w:val="none" w:sz="0" w:space="0" w:color="auto"/>
        <w:right w:val="none" w:sz="0" w:space="0" w:color="auto"/>
      </w:divBdr>
    </w:div>
    <w:div w:id="1044989035">
      <w:bodyDiv w:val="1"/>
      <w:marLeft w:val="0"/>
      <w:marRight w:val="0"/>
      <w:marTop w:val="0"/>
      <w:marBottom w:val="0"/>
      <w:divBdr>
        <w:top w:val="none" w:sz="0" w:space="0" w:color="auto"/>
        <w:left w:val="none" w:sz="0" w:space="0" w:color="auto"/>
        <w:bottom w:val="none" w:sz="0" w:space="0" w:color="auto"/>
        <w:right w:val="none" w:sz="0" w:space="0" w:color="auto"/>
      </w:divBdr>
    </w:div>
    <w:div w:id="1482966227">
      <w:bodyDiv w:val="1"/>
      <w:marLeft w:val="0"/>
      <w:marRight w:val="0"/>
      <w:marTop w:val="0"/>
      <w:marBottom w:val="0"/>
      <w:divBdr>
        <w:top w:val="none" w:sz="0" w:space="0" w:color="auto"/>
        <w:left w:val="none" w:sz="0" w:space="0" w:color="auto"/>
        <w:bottom w:val="none" w:sz="0" w:space="0" w:color="auto"/>
        <w:right w:val="none" w:sz="0" w:space="0" w:color="auto"/>
      </w:divBdr>
    </w:div>
    <w:div w:id="1516766708">
      <w:bodyDiv w:val="1"/>
      <w:marLeft w:val="0"/>
      <w:marRight w:val="0"/>
      <w:marTop w:val="0"/>
      <w:marBottom w:val="0"/>
      <w:divBdr>
        <w:top w:val="none" w:sz="0" w:space="0" w:color="auto"/>
        <w:left w:val="none" w:sz="0" w:space="0" w:color="auto"/>
        <w:bottom w:val="none" w:sz="0" w:space="0" w:color="auto"/>
        <w:right w:val="none" w:sz="0" w:space="0" w:color="auto"/>
      </w:divBdr>
    </w:div>
    <w:div w:id="1616406725">
      <w:bodyDiv w:val="1"/>
      <w:marLeft w:val="0"/>
      <w:marRight w:val="0"/>
      <w:marTop w:val="0"/>
      <w:marBottom w:val="0"/>
      <w:divBdr>
        <w:top w:val="none" w:sz="0" w:space="0" w:color="auto"/>
        <w:left w:val="none" w:sz="0" w:space="0" w:color="auto"/>
        <w:bottom w:val="none" w:sz="0" w:space="0" w:color="auto"/>
        <w:right w:val="none" w:sz="0" w:space="0" w:color="auto"/>
      </w:divBdr>
    </w:div>
    <w:div w:id="1724451060">
      <w:bodyDiv w:val="1"/>
      <w:marLeft w:val="0"/>
      <w:marRight w:val="0"/>
      <w:marTop w:val="0"/>
      <w:marBottom w:val="0"/>
      <w:divBdr>
        <w:top w:val="none" w:sz="0" w:space="0" w:color="auto"/>
        <w:left w:val="none" w:sz="0" w:space="0" w:color="auto"/>
        <w:bottom w:val="none" w:sz="0" w:space="0" w:color="auto"/>
        <w:right w:val="none" w:sz="0" w:space="0" w:color="auto"/>
      </w:divBdr>
    </w:div>
    <w:div w:id="201726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17" Type="http://schemas.openxmlformats.org/officeDocument/2006/relationships/hyperlink" Target="https://www.ncbi.nlm.nih.gov/books/NBK537302/" TargetMode="External"/><Relationship Id="rId2" Type="http://schemas.openxmlformats.org/officeDocument/2006/relationships/styles" Target="styles.xml"/><Relationship Id="rId16" Type="http://schemas.openxmlformats.org/officeDocument/2006/relationships/hyperlink" Target="https://ideas.repec.org/a/eee/ininma/v44y2019icp194-203.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earchgate.net/publication/319367788_SWOT_ANALYSIS_A_THEORETICAL_REVIEW" TargetMode="Externa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9020</TotalTime>
  <Pages>5</Pages>
  <Words>1063</Words>
  <Characters>6065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Swot Analysis Introduction</dc:subject>
  <dc:creator>Constantin Tanasa</dc:creator>
  <cp:keywords/>
  <dc:description/>
  <cp:lastModifiedBy>Constantin Tanasa</cp:lastModifiedBy>
  <cp:revision>8</cp:revision>
  <dcterms:created xsi:type="dcterms:W3CDTF">2024-10-28T07:13:00Z</dcterms:created>
  <dcterms:modified xsi:type="dcterms:W3CDTF">2024-11-04T18:33:00Z</dcterms:modified>
  <cp:category>Problem Solving and Innovation</cp:category>
</cp:coreProperties>
</file>