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CE34FD6" w14:textId="77777777" w:rsidR="00490BC8" w:rsidRPr="00CD2546" w:rsidRDefault="00490BC8" w:rsidP="00490BC8">
      <w:pPr>
        <w:pStyle w:val="NormalWeb"/>
        <w:spacing w:before="0" w:beforeAutospacing="0" w:after="242" w:afterAutospacing="0"/>
        <w:jc w:val="center"/>
        <w:rPr>
          <w:rFonts w:ascii="Arial" w:hAnsi="Arial" w:cs="Arial"/>
          <w:b/>
          <w:bCs/>
          <w:sz w:val="56"/>
          <w:szCs w:val="56"/>
        </w:rPr>
      </w:pPr>
      <w:bookmarkStart w:id="0" w:name="_Hlk200575358"/>
      <w:bookmarkEnd w:id="0"/>
    </w:p>
    <w:p w14:paraId="7DB9B473" w14:textId="77777777" w:rsidR="00490BC8" w:rsidRPr="00CD2546" w:rsidRDefault="00490BC8" w:rsidP="00490BC8">
      <w:pPr>
        <w:pStyle w:val="NormalWeb"/>
        <w:spacing w:before="0" w:beforeAutospacing="0" w:after="242" w:afterAutospacing="0"/>
        <w:jc w:val="center"/>
        <w:rPr>
          <w:rFonts w:ascii="Arial" w:hAnsi="Arial" w:cs="Arial"/>
          <w:b/>
          <w:bCs/>
          <w:sz w:val="56"/>
          <w:szCs w:val="56"/>
        </w:rPr>
      </w:pPr>
    </w:p>
    <w:p w14:paraId="144EFA25" w14:textId="584C8ED2" w:rsidR="00490BC8" w:rsidRPr="00CD2546" w:rsidRDefault="00490BC8" w:rsidP="00490BC8">
      <w:pPr>
        <w:pStyle w:val="NormalWeb"/>
        <w:spacing w:before="0" w:beforeAutospacing="0" w:after="242" w:afterAutospacing="0"/>
        <w:jc w:val="center"/>
        <w:rPr>
          <w:rFonts w:ascii="Arial" w:hAnsi="Arial" w:cs="Arial"/>
          <w:sz w:val="56"/>
          <w:szCs w:val="56"/>
        </w:rPr>
      </w:pPr>
      <w:proofErr w:type="spellStart"/>
      <w:r w:rsidRPr="00CD2546">
        <w:rPr>
          <w:rFonts w:ascii="Arial" w:hAnsi="Arial" w:cs="Arial"/>
          <w:b/>
          <w:bCs/>
          <w:sz w:val="56"/>
          <w:szCs w:val="56"/>
        </w:rPr>
        <w:t>Gŵyl</w:t>
      </w:r>
      <w:proofErr w:type="spellEnd"/>
      <w:r w:rsidRPr="00CD2546">
        <w:rPr>
          <w:rFonts w:ascii="Arial" w:hAnsi="Arial" w:cs="Arial"/>
          <w:b/>
          <w:bCs/>
          <w:sz w:val="56"/>
          <w:szCs w:val="56"/>
        </w:rPr>
        <w:t xml:space="preserve"> y </w:t>
      </w:r>
      <w:proofErr w:type="spellStart"/>
      <w:r w:rsidRPr="00CD2546">
        <w:rPr>
          <w:rFonts w:ascii="Arial" w:hAnsi="Arial" w:cs="Arial"/>
          <w:b/>
          <w:bCs/>
          <w:sz w:val="56"/>
          <w:szCs w:val="56"/>
        </w:rPr>
        <w:t>Fro</w:t>
      </w:r>
      <w:proofErr w:type="spellEnd"/>
      <w:r w:rsidRPr="00CD2546">
        <w:rPr>
          <w:rFonts w:ascii="Arial" w:hAnsi="Arial" w:cs="Arial"/>
          <w:b/>
          <w:bCs/>
          <w:sz w:val="56"/>
          <w:szCs w:val="56"/>
        </w:rPr>
        <w:t xml:space="preserve"> – Festival of the Heartland: Event Strategic Planning and Delivery</w:t>
      </w:r>
    </w:p>
    <w:p w14:paraId="34DF1EB4" w14:textId="77777777" w:rsidR="00490BC8" w:rsidRPr="00CD2546" w:rsidRDefault="00490BC8" w:rsidP="00490BC8">
      <w:pPr>
        <w:pStyle w:val="NormalWeb"/>
        <w:spacing w:before="0" w:beforeAutospacing="0" w:after="180" w:afterAutospacing="0"/>
        <w:rPr>
          <w:rFonts w:ascii="Arial" w:hAnsi="Arial" w:cs="Arial"/>
          <w:sz w:val="22"/>
          <w:szCs w:val="22"/>
        </w:rPr>
      </w:pPr>
    </w:p>
    <w:p w14:paraId="6EA9C13F" w14:textId="77777777" w:rsidR="00490BC8" w:rsidRPr="00CD2546" w:rsidRDefault="00490BC8" w:rsidP="00490BC8">
      <w:pPr>
        <w:pStyle w:val="NormalWeb"/>
        <w:spacing w:before="0" w:beforeAutospacing="0" w:after="180" w:afterAutospacing="0"/>
        <w:rPr>
          <w:rFonts w:ascii="Arial" w:hAnsi="Arial" w:cs="Arial"/>
          <w:sz w:val="22"/>
          <w:szCs w:val="22"/>
        </w:rPr>
      </w:pPr>
    </w:p>
    <w:p w14:paraId="75D288D9" w14:textId="77777777" w:rsidR="00490BC8" w:rsidRPr="00CD2546" w:rsidRDefault="00490BC8" w:rsidP="00490BC8">
      <w:pPr>
        <w:pStyle w:val="NormalWeb"/>
        <w:spacing w:before="0" w:beforeAutospacing="0" w:after="180" w:afterAutospacing="0"/>
        <w:rPr>
          <w:rFonts w:ascii="Arial" w:hAnsi="Arial" w:cs="Arial"/>
          <w:sz w:val="22"/>
          <w:szCs w:val="22"/>
        </w:rPr>
      </w:pPr>
    </w:p>
    <w:p w14:paraId="232A398A" w14:textId="77777777" w:rsidR="00490BC8" w:rsidRPr="00CD2546" w:rsidRDefault="00490BC8" w:rsidP="00490BC8">
      <w:pPr>
        <w:pStyle w:val="NormalWeb"/>
        <w:spacing w:before="0" w:beforeAutospacing="0" w:after="180" w:afterAutospacing="0"/>
        <w:rPr>
          <w:rFonts w:ascii="Arial" w:hAnsi="Arial" w:cs="Arial"/>
          <w:sz w:val="22"/>
          <w:szCs w:val="22"/>
        </w:rPr>
      </w:pPr>
    </w:p>
    <w:p w14:paraId="3F3B92EA" w14:textId="77777777" w:rsidR="00490BC8" w:rsidRPr="00CD2546" w:rsidRDefault="00490BC8" w:rsidP="00490BC8">
      <w:pPr>
        <w:pStyle w:val="NormalWeb"/>
        <w:spacing w:before="0" w:beforeAutospacing="0" w:after="180" w:afterAutospacing="0"/>
        <w:rPr>
          <w:rFonts w:ascii="Arial" w:hAnsi="Arial" w:cs="Arial"/>
          <w:sz w:val="22"/>
          <w:szCs w:val="22"/>
        </w:rPr>
      </w:pPr>
    </w:p>
    <w:p w14:paraId="26AA5CF7" w14:textId="77777777" w:rsidR="00490BC8" w:rsidRPr="00CD2546" w:rsidRDefault="00490BC8" w:rsidP="00490BC8">
      <w:pPr>
        <w:pStyle w:val="NormalWeb"/>
        <w:spacing w:before="0" w:beforeAutospacing="0" w:after="180" w:afterAutospacing="0"/>
        <w:rPr>
          <w:rFonts w:ascii="Arial" w:hAnsi="Arial" w:cs="Arial"/>
          <w:sz w:val="22"/>
          <w:szCs w:val="22"/>
        </w:rPr>
      </w:pPr>
    </w:p>
    <w:p w14:paraId="232A77DC" w14:textId="77777777" w:rsidR="00490BC8" w:rsidRPr="00CD2546" w:rsidRDefault="00490BC8" w:rsidP="00490BC8">
      <w:pPr>
        <w:pStyle w:val="NormalWeb"/>
        <w:spacing w:before="0" w:beforeAutospacing="0" w:after="180" w:afterAutospacing="0"/>
        <w:rPr>
          <w:rFonts w:ascii="Arial" w:hAnsi="Arial" w:cs="Arial"/>
          <w:sz w:val="22"/>
          <w:szCs w:val="22"/>
        </w:rPr>
      </w:pPr>
    </w:p>
    <w:p w14:paraId="02DA16A0" w14:textId="77777777" w:rsidR="00490BC8" w:rsidRPr="00CD2546" w:rsidRDefault="00490BC8" w:rsidP="00CD2546">
      <w:pPr>
        <w:pStyle w:val="NormalWeb"/>
        <w:spacing w:before="0" w:beforeAutospacing="0" w:after="180" w:afterAutospacing="0" w:line="360" w:lineRule="auto"/>
        <w:rPr>
          <w:rFonts w:ascii="Arial" w:hAnsi="Arial" w:cs="Arial"/>
          <w:sz w:val="22"/>
          <w:szCs w:val="22"/>
        </w:rPr>
      </w:pPr>
    </w:p>
    <w:p w14:paraId="125347FC" w14:textId="77777777" w:rsidR="00490BC8" w:rsidRPr="00CD2546" w:rsidRDefault="00490BC8" w:rsidP="00CD2546">
      <w:pPr>
        <w:pStyle w:val="NormalWeb"/>
        <w:spacing w:before="0" w:beforeAutospacing="0" w:after="180" w:afterAutospacing="0" w:line="360" w:lineRule="auto"/>
        <w:rPr>
          <w:rFonts w:ascii="Arial" w:hAnsi="Arial" w:cs="Arial"/>
          <w:sz w:val="22"/>
          <w:szCs w:val="22"/>
        </w:rPr>
      </w:pPr>
    </w:p>
    <w:p w14:paraId="540ADCA8" w14:textId="77777777" w:rsidR="00490BC8" w:rsidRPr="00CD2546" w:rsidRDefault="00490BC8" w:rsidP="00CD2546">
      <w:pPr>
        <w:pStyle w:val="NormalWeb"/>
        <w:spacing w:before="0" w:beforeAutospacing="0" w:after="180" w:afterAutospacing="0" w:line="360" w:lineRule="auto"/>
        <w:rPr>
          <w:rFonts w:ascii="Arial" w:hAnsi="Arial" w:cs="Arial"/>
          <w:sz w:val="22"/>
          <w:szCs w:val="22"/>
        </w:rPr>
      </w:pPr>
    </w:p>
    <w:p w14:paraId="45269081" w14:textId="77777777" w:rsidR="00490BC8" w:rsidRPr="00CD2546" w:rsidRDefault="00490BC8" w:rsidP="00CD2546">
      <w:pPr>
        <w:pStyle w:val="NormalWeb"/>
        <w:spacing w:before="0" w:beforeAutospacing="0" w:after="180" w:afterAutospacing="0" w:line="360" w:lineRule="auto"/>
        <w:rPr>
          <w:rFonts w:ascii="Arial" w:hAnsi="Arial" w:cs="Arial"/>
          <w:sz w:val="22"/>
          <w:szCs w:val="22"/>
        </w:rPr>
      </w:pPr>
    </w:p>
    <w:p w14:paraId="7231FAD1" w14:textId="77777777" w:rsidR="00490BC8" w:rsidRPr="00CD2546" w:rsidRDefault="00490BC8" w:rsidP="00CD2546">
      <w:pPr>
        <w:pStyle w:val="NormalWeb"/>
        <w:spacing w:before="0" w:beforeAutospacing="0" w:after="180" w:afterAutospacing="0" w:line="360" w:lineRule="auto"/>
        <w:rPr>
          <w:rFonts w:ascii="Arial" w:hAnsi="Arial" w:cs="Arial"/>
          <w:sz w:val="22"/>
          <w:szCs w:val="22"/>
        </w:rPr>
      </w:pPr>
    </w:p>
    <w:p w14:paraId="3890D49F" w14:textId="77777777" w:rsidR="00490BC8" w:rsidRDefault="00490BC8" w:rsidP="00CD2546">
      <w:pPr>
        <w:pStyle w:val="NormalWeb"/>
        <w:spacing w:before="0" w:beforeAutospacing="0" w:after="180" w:afterAutospacing="0" w:line="360" w:lineRule="auto"/>
        <w:rPr>
          <w:rFonts w:ascii="Arial" w:hAnsi="Arial" w:cs="Arial"/>
          <w:sz w:val="22"/>
          <w:szCs w:val="22"/>
        </w:rPr>
      </w:pPr>
    </w:p>
    <w:p w14:paraId="71122C76" w14:textId="77777777" w:rsidR="00CD2546" w:rsidRPr="00CD2546" w:rsidRDefault="00CD2546" w:rsidP="00CD2546">
      <w:pPr>
        <w:pStyle w:val="NormalWeb"/>
        <w:spacing w:before="0" w:beforeAutospacing="0" w:after="180" w:afterAutospacing="0" w:line="360" w:lineRule="auto"/>
        <w:rPr>
          <w:rFonts w:ascii="Arial" w:hAnsi="Arial" w:cs="Arial"/>
          <w:sz w:val="22"/>
          <w:szCs w:val="22"/>
        </w:rPr>
      </w:pPr>
    </w:p>
    <w:p w14:paraId="01677046" w14:textId="236F2301" w:rsidR="00490BC8" w:rsidRPr="00FF1F55" w:rsidRDefault="00490BC8" w:rsidP="00CD2546">
      <w:pPr>
        <w:pStyle w:val="NormalWeb"/>
        <w:spacing w:before="0" w:beforeAutospacing="0" w:after="180" w:afterAutospacing="0" w:line="360" w:lineRule="auto"/>
        <w:jc w:val="right"/>
        <w:rPr>
          <w:rFonts w:ascii="Arial" w:hAnsi="Arial" w:cs="Arial"/>
          <w:color w:val="000000" w:themeColor="text1"/>
          <w:sz w:val="22"/>
          <w:szCs w:val="22"/>
        </w:rPr>
      </w:pPr>
      <w:r w:rsidRPr="00CD2546">
        <w:rPr>
          <w:rFonts w:ascii="Arial" w:hAnsi="Arial" w:cs="Arial"/>
          <w:sz w:val="22"/>
          <w:szCs w:val="22"/>
        </w:rPr>
        <w:t xml:space="preserve">Student Name and Number: </w:t>
      </w:r>
      <w:proofErr w:type="spellStart"/>
      <w:r w:rsidR="00FF1F55">
        <w:rPr>
          <w:rFonts w:ascii="Arial" w:hAnsi="Arial" w:cs="Arial"/>
          <w:sz w:val="22"/>
          <w:szCs w:val="22"/>
        </w:rPr>
        <w:t>Ioana</w:t>
      </w:r>
      <w:proofErr w:type="spellEnd"/>
      <w:r w:rsidR="00FF1F55">
        <w:rPr>
          <w:rFonts w:ascii="Arial" w:hAnsi="Arial" w:cs="Arial"/>
          <w:sz w:val="22"/>
          <w:szCs w:val="22"/>
        </w:rPr>
        <w:t xml:space="preserve"> </w:t>
      </w:r>
      <w:proofErr w:type="spellStart"/>
      <w:r w:rsidR="00FF1F55">
        <w:rPr>
          <w:rFonts w:ascii="Arial" w:hAnsi="Arial" w:cs="Arial"/>
          <w:sz w:val="22"/>
          <w:szCs w:val="22"/>
        </w:rPr>
        <w:t>Bucura</w:t>
      </w:r>
      <w:proofErr w:type="spellEnd"/>
      <w:r w:rsidR="00FF1F55">
        <w:rPr>
          <w:rFonts w:ascii="Arial" w:hAnsi="Arial" w:cs="Arial"/>
          <w:sz w:val="22"/>
          <w:szCs w:val="22"/>
        </w:rPr>
        <w:t xml:space="preserve"> 2246646</w:t>
      </w:r>
    </w:p>
    <w:p w14:paraId="35FE36DB" w14:textId="32AD8246" w:rsidR="000867E2" w:rsidRPr="00CD2546" w:rsidRDefault="000867E2" w:rsidP="00CD2546">
      <w:pPr>
        <w:pStyle w:val="NormalWeb"/>
        <w:spacing w:before="0" w:beforeAutospacing="0" w:after="180" w:afterAutospacing="0" w:line="360" w:lineRule="auto"/>
        <w:jc w:val="right"/>
        <w:rPr>
          <w:rFonts w:ascii="Arial" w:hAnsi="Arial" w:cs="Arial"/>
          <w:sz w:val="22"/>
          <w:szCs w:val="22"/>
        </w:rPr>
      </w:pPr>
      <w:r w:rsidRPr="00CD2546">
        <w:rPr>
          <w:rFonts w:ascii="Arial" w:hAnsi="Arial" w:cs="Arial"/>
          <w:sz w:val="22"/>
          <w:szCs w:val="22"/>
        </w:rPr>
        <w:t>Assignment: Planning and Delivering an International Meeting/Event</w:t>
      </w:r>
    </w:p>
    <w:p w14:paraId="1F0B1B1C" w14:textId="2A14DE91" w:rsidR="000867E2" w:rsidRPr="00CD2546" w:rsidRDefault="00490BC8" w:rsidP="00CD2546">
      <w:pPr>
        <w:pStyle w:val="NormalWeb"/>
        <w:spacing w:before="0" w:beforeAutospacing="0" w:after="180" w:afterAutospacing="0" w:line="360" w:lineRule="auto"/>
        <w:jc w:val="right"/>
        <w:rPr>
          <w:rFonts w:ascii="Arial" w:hAnsi="Arial" w:cs="Arial"/>
          <w:sz w:val="22"/>
          <w:szCs w:val="22"/>
        </w:rPr>
      </w:pPr>
      <w:r w:rsidRPr="00CD2546">
        <w:rPr>
          <w:rFonts w:ascii="Arial" w:hAnsi="Arial" w:cs="Arial"/>
          <w:sz w:val="22"/>
          <w:szCs w:val="22"/>
        </w:rPr>
        <w:t>Module: International Meetings Management BMIH6007</w:t>
      </w:r>
    </w:p>
    <w:p w14:paraId="70858EE5" w14:textId="5C0FDD1D" w:rsidR="0096245D" w:rsidRPr="00CD2546" w:rsidRDefault="00490BC8" w:rsidP="00CD2546">
      <w:pPr>
        <w:pStyle w:val="NormalWeb"/>
        <w:spacing w:before="0" w:beforeAutospacing="0" w:after="180" w:afterAutospacing="0" w:line="360" w:lineRule="auto"/>
        <w:jc w:val="right"/>
        <w:rPr>
          <w:rFonts w:ascii="Arial" w:hAnsi="Arial" w:cs="Arial"/>
          <w:sz w:val="22"/>
          <w:szCs w:val="22"/>
        </w:rPr>
      </w:pPr>
      <w:r w:rsidRPr="00CD2546">
        <w:rPr>
          <w:rFonts w:ascii="Arial" w:hAnsi="Arial" w:cs="Arial"/>
          <w:sz w:val="22"/>
          <w:szCs w:val="22"/>
        </w:rPr>
        <w:t>Lecturer</w:t>
      </w:r>
      <w:r w:rsidR="000867E2" w:rsidRPr="00CD2546">
        <w:rPr>
          <w:rFonts w:ascii="Arial" w:hAnsi="Arial" w:cs="Arial"/>
          <w:sz w:val="22"/>
          <w:szCs w:val="22"/>
        </w:rPr>
        <w:t xml:space="preserve"> Name</w:t>
      </w:r>
      <w:r w:rsidRPr="00CD2546">
        <w:rPr>
          <w:rFonts w:ascii="Arial" w:hAnsi="Arial" w:cs="Arial"/>
          <w:sz w:val="22"/>
          <w:szCs w:val="22"/>
        </w:rPr>
        <w:t>:</w:t>
      </w:r>
      <w:r w:rsidRPr="00CD2546">
        <w:rPr>
          <w:rFonts w:ascii="Arial" w:hAnsi="Arial" w:cs="Arial"/>
          <w:color w:val="FF0000"/>
          <w:sz w:val="22"/>
          <w:szCs w:val="22"/>
        </w:rPr>
        <w:t xml:space="preserve"> </w:t>
      </w:r>
      <w:r w:rsidR="00FF1F55">
        <w:rPr>
          <w:rFonts w:ascii="Arial" w:hAnsi="Arial" w:cs="Arial"/>
          <w:color w:val="000000" w:themeColor="text1"/>
          <w:sz w:val="22"/>
          <w:szCs w:val="22"/>
        </w:rPr>
        <w:t>Kathryn Roberts</w:t>
      </w:r>
      <w:r w:rsidR="006D1908" w:rsidRPr="00CD2546">
        <w:rPr>
          <w:rFonts w:ascii="Arial" w:hAnsi="Arial" w:cs="Arial"/>
          <w:sz w:val="22"/>
          <w:szCs w:val="22"/>
        </w:rPr>
        <w:br w:type="page"/>
      </w:r>
    </w:p>
    <w:p w14:paraId="4EC7CA8C" w14:textId="77777777" w:rsidR="0096245D" w:rsidRPr="00CD2546" w:rsidRDefault="006D1908" w:rsidP="00CD2546">
      <w:pPr>
        <w:jc w:val="center"/>
        <w:rPr>
          <w:rFonts w:ascii="Arial" w:hAnsi="Arial" w:cs="Arial"/>
          <w:b/>
          <w:sz w:val="22"/>
          <w:szCs w:val="22"/>
        </w:rPr>
      </w:pPr>
      <w:r w:rsidRPr="00CD2546">
        <w:rPr>
          <w:rFonts w:ascii="Arial" w:hAnsi="Arial" w:cs="Arial"/>
          <w:b/>
          <w:sz w:val="22"/>
          <w:szCs w:val="22"/>
        </w:rPr>
        <w:lastRenderedPageBreak/>
        <w:t>Table of Contents</w:t>
      </w:r>
    </w:p>
    <w:p w14:paraId="29A22587" w14:textId="77777777" w:rsidR="000867E2" w:rsidRPr="00E018CD" w:rsidRDefault="000867E2" w:rsidP="00E018CD">
      <w:pPr>
        <w:pStyle w:val="TOC1"/>
        <w:tabs>
          <w:tab w:val="right" w:pos="9350"/>
        </w:tabs>
        <w:rPr>
          <w:rStyle w:val="Hyperlink"/>
          <w:noProof/>
        </w:rPr>
      </w:pPr>
    </w:p>
    <w:sdt>
      <w:sdtPr>
        <w:rPr>
          <w:rStyle w:val="Hyperlink"/>
          <w:noProof/>
        </w:rPr>
        <w:id w:val="1170494435"/>
        <w:docPartObj>
          <w:docPartGallery w:val="Table of Contents"/>
          <w:docPartUnique/>
        </w:docPartObj>
      </w:sdtPr>
      <w:sdtEndPr>
        <w:rPr>
          <w:rStyle w:val="DefaultParagraphFont"/>
          <w:rFonts w:ascii="Arial" w:hAnsi="Arial" w:cs="Arial"/>
          <w:noProof w:val="0"/>
          <w:color w:val="auto"/>
          <w:sz w:val="22"/>
          <w:szCs w:val="22"/>
          <w:u w:val="none"/>
        </w:rPr>
      </w:sdtEndPr>
      <w:sdtContent>
        <w:p w14:paraId="49669325" w14:textId="36CF9C90" w:rsidR="00E018CD" w:rsidRPr="00E018CD" w:rsidRDefault="006D1908">
          <w:pPr>
            <w:pStyle w:val="TOC1"/>
            <w:tabs>
              <w:tab w:val="right" w:pos="9350"/>
            </w:tabs>
            <w:rPr>
              <w:rStyle w:val="Hyperlink"/>
              <w:rFonts w:ascii="Arial" w:hAnsi="Arial" w:cs="Arial"/>
            </w:rPr>
          </w:pPr>
          <w:r w:rsidRPr="00E018CD">
            <w:rPr>
              <w:rStyle w:val="Hyperlink"/>
              <w:noProof/>
            </w:rPr>
            <w:fldChar w:fldCharType="begin"/>
          </w:r>
          <w:r w:rsidRPr="00E018CD">
            <w:rPr>
              <w:rStyle w:val="Hyperlink"/>
              <w:noProof/>
            </w:rPr>
            <w:instrText xml:space="preserve"> TOC \h \u \z \t "Heading 1,1,Heading 2,2,Heading 3,3,Heading 4,4,Heading 5,5,Heading 6,6,"</w:instrText>
          </w:r>
          <w:r w:rsidRPr="00E018CD">
            <w:rPr>
              <w:rStyle w:val="Hyperlink"/>
              <w:noProof/>
            </w:rPr>
            <w:fldChar w:fldCharType="separate"/>
          </w:r>
          <w:hyperlink w:anchor="_Toc200633412" w:history="1">
            <w:r w:rsidR="00E018CD" w:rsidRPr="001366BD">
              <w:rPr>
                <w:rStyle w:val="Hyperlink"/>
                <w:rFonts w:ascii="Arial" w:hAnsi="Arial" w:cs="Arial"/>
                <w:noProof/>
              </w:rPr>
              <w:t>1. Introduction</w:t>
            </w:r>
            <w:r w:rsidR="00E018CD" w:rsidRPr="00E018CD">
              <w:rPr>
                <w:rStyle w:val="Hyperlink"/>
                <w:rFonts w:ascii="Arial" w:hAnsi="Arial" w:cs="Arial"/>
                <w:webHidden/>
              </w:rPr>
              <w:tab/>
            </w:r>
            <w:r w:rsidR="00E018CD" w:rsidRPr="00E018CD">
              <w:rPr>
                <w:rStyle w:val="Hyperlink"/>
                <w:rFonts w:ascii="Arial" w:hAnsi="Arial" w:cs="Arial"/>
                <w:webHidden/>
              </w:rPr>
              <w:fldChar w:fldCharType="begin"/>
            </w:r>
            <w:r w:rsidR="00E018CD" w:rsidRPr="00E018CD">
              <w:rPr>
                <w:rStyle w:val="Hyperlink"/>
                <w:rFonts w:ascii="Arial" w:hAnsi="Arial" w:cs="Arial"/>
                <w:webHidden/>
              </w:rPr>
              <w:instrText xml:space="preserve"> PAGEREF _Toc200633412 \h </w:instrText>
            </w:r>
            <w:r w:rsidR="00E018CD" w:rsidRPr="00E018CD">
              <w:rPr>
                <w:rStyle w:val="Hyperlink"/>
                <w:rFonts w:ascii="Arial" w:hAnsi="Arial" w:cs="Arial"/>
                <w:webHidden/>
              </w:rPr>
            </w:r>
            <w:r w:rsidR="00E018CD" w:rsidRPr="00E018CD">
              <w:rPr>
                <w:rStyle w:val="Hyperlink"/>
                <w:rFonts w:ascii="Arial" w:hAnsi="Arial" w:cs="Arial"/>
                <w:webHidden/>
              </w:rPr>
              <w:fldChar w:fldCharType="separate"/>
            </w:r>
            <w:r w:rsidR="00E018CD" w:rsidRPr="00E018CD">
              <w:rPr>
                <w:rStyle w:val="Hyperlink"/>
                <w:rFonts w:ascii="Arial" w:hAnsi="Arial" w:cs="Arial"/>
                <w:webHidden/>
              </w:rPr>
              <w:t>3</w:t>
            </w:r>
            <w:r w:rsidR="00E018CD" w:rsidRPr="00E018CD">
              <w:rPr>
                <w:rStyle w:val="Hyperlink"/>
                <w:rFonts w:ascii="Arial" w:hAnsi="Arial" w:cs="Arial"/>
                <w:webHidden/>
              </w:rPr>
              <w:fldChar w:fldCharType="end"/>
            </w:r>
          </w:hyperlink>
        </w:p>
        <w:p w14:paraId="7F27D977" w14:textId="43CE9618" w:rsidR="00E018CD" w:rsidRPr="00E018CD" w:rsidRDefault="009478DA">
          <w:pPr>
            <w:pStyle w:val="TOC1"/>
            <w:tabs>
              <w:tab w:val="right" w:pos="9350"/>
            </w:tabs>
            <w:rPr>
              <w:rStyle w:val="Hyperlink"/>
              <w:rFonts w:ascii="Arial" w:hAnsi="Arial" w:cs="Arial"/>
            </w:rPr>
          </w:pPr>
          <w:hyperlink w:anchor="_Toc200633413" w:history="1">
            <w:r w:rsidR="00E018CD" w:rsidRPr="001366BD">
              <w:rPr>
                <w:rStyle w:val="Hyperlink"/>
                <w:rFonts w:ascii="Arial" w:hAnsi="Arial" w:cs="Arial"/>
                <w:noProof/>
              </w:rPr>
              <w:t>2. The Event Cycle</w:t>
            </w:r>
            <w:r w:rsidR="00E018CD" w:rsidRPr="00E018CD">
              <w:rPr>
                <w:rStyle w:val="Hyperlink"/>
                <w:rFonts w:ascii="Arial" w:hAnsi="Arial" w:cs="Arial"/>
                <w:webHidden/>
              </w:rPr>
              <w:tab/>
            </w:r>
            <w:r w:rsidR="00E018CD" w:rsidRPr="00E018CD">
              <w:rPr>
                <w:rStyle w:val="Hyperlink"/>
                <w:rFonts w:ascii="Arial" w:hAnsi="Arial" w:cs="Arial"/>
                <w:webHidden/>
              </w:rPr>
              <w:fldChar w:fldCharType="begin"/>
            </w:r>
            <w:r w:rsidR="00E018CD" w:rsidRPr="00E018CD">
              <w:rPr>
                <w:rStyle w:val="Hyperlink"/>
                <w:rFonts w:ascii="Arial" w:hAnsi="Arial" w:cs="Arial"/>
                <w:webHidden/>
              </w:rPr>
              <w:instrText xml:space="preserve"> PAGEREF _Toc200633413 \h </w:instrText>
            </w:r>
            <w:r w:rsidR="00E018CD" w:rsidRPr="00E018CD">
              <w:rPr>
                <w:rStyle w:val="Hyperlink"/>
                <w:rFonts w:ascii="Arial" w:hAnsi="Arial" w:cs="Arial"/>
                <w:webHidden/>
              </w:rPr>
            </w:r>
            <w:r w:rsidR="00E018CD" w:rsidRPr="00E018CD">
              <w:rPr>
                <w:rStyle w:val="Hyperlink"/>
                <w:rFonts w:ascii="Arial" w:hAnsi="Arial" w:cs="Arial"/>
                <w:webHidden/>
              </w:rPr>
              <w:fldChar w:fldCharType="separate"/>
            </w:r>
            <w:r w:rsidR="00E018CD" w:rsidRPr="00E018CD">
              <w:rPr>
                <w:rStyle w:val="Hyperlink"/>
                <w:rFonts w:ascii="Arial" w:hAnsi="Arial" w:cs="Arial"/>
                <w:webHidden/>
              </w:rPr>
              <w:t>3</w:t>
            </w:r>
            <w:r w:rsidR="00E018CD" w:rsidRPr="00E018CD">
              <w:rPr>
                <w:rStyle w:val="Hyperlink"/>
                <w:rFonts w:ascii="Arial" w:hAnsi="Arial" w:cs="Arial"/>
                <w:webHidden/>
              </w:rPr>
              <w:fldChar w:fldCharType="end"/>
            </w:r>
          </w:hyperlink>
        </w:p>
        <w:p w14:paraId="36CEA111" w14:textId="0BCB9D34" w:rsidR="00E018CD" w:rsidRPr="00E018CD" w:rsidRDefault="009478DA">
          <w:pPr>
            <w:pStyle w:val="TOC1"/>
            <w:tabs>
              <w:tab w:val="right" w:pos="9350"/>
            </w:tabs>
            <w:rPr>
              <w:rStyle w:val="Hyperlink"/>
              <w:rFonts w:ascii="Arial" w:hAnsi="Arial" w:cs="Arial"/>
            </w:rPr>
          </w:pPr>
          <w:hyperlink w:anchor="_Toc200633414" w:history="1">
            <w:r w:rsidR="00E018CD" w:rsidRPr="001366BD">
              <w:rPr>
                <w:rStyle w:val="Hyperlink"/>
                <w:rFonts w:ascii="Arial" w:hAnsi="Arial" w:cs="Arial"/>
                <w:noProof/>
              </w:rPr>
              <w:t>3. Event Concept</w:t>
            </w:r>
            <w:r w:rsidR="00E018CD" w:rsidRPr="00E018CD">
              <w:rPr>
                <w:rStyle w:val="Hyperlink"/>
                <w:rFonts w:ascii="Arial" w:hAnsi="Arial" w:cs="Arial"/>
                <w:webHidden/>
              </w:rPr>
              <w:tab/>
            </w:r>
            <w:r w:rsidR="00E018CD" w:rsidRPr="00E018CD">
              <w:rPr>
                <w:rStyle w:val="Hyperlink"/>
                <w:rFonts w:ascii="Arial" w:hAnsi="Arial" w:cs="Arial"/>
                <w:webHidden/>
              </w:rPr>
              <w:fldChar w:fldCharType="begin"/>
            </w:r>
            <w:r w:rsidR="00E018CD" w:rsidRPr="00E018CD">
              <w:rPr>
                <w:rStyle w:val="Hyperlink"/>
                <w:rFonts w:ascii="Arial" w:hAnsi="Arial" w:cs="Arial"/>
                <w:webHidden/>
              </w:rPr>
              <w:instrText xml:space="preserve"> PAGEREF _Toc200633414 \h </w:instrText>
            </w:r>
            <w:r w:rsidR="00E018CD" w:rsidRPr="00E018CD">
              <w:rPr>
                <w:rStyle w:val="Hyperlink"/>
                <w:rFonts w:ascii="Arial" w:hAnsi="Arial" w:cs="Arial"/>
                <w:webHidden/>
              </w:rPr>
            </w:r>
            <w:r w:rsidR="00E018CD" w:rsidRPr="00E018CD">
              <w:rPr>
                <w:rStyle w:val="Hyperlink"/>
                <w:rFonts w:ascii="Arial" w:hAnsi="Arial" w:cs="Arial"/>
                <w:webHidden/>
              </w:rPr>
              <w:fldChar w:fldCharType="separate"/>
            </w:r>
            <w:r w:rsidR="00E018CD" w:rsidRPr="00E018CD">
              <w:rPr>
                <w:rStyle w:val="Hyperlink"/>
                <w:rFonts w:ascii="Arial" w:hAnsi="Arial" w:cs="Arial"/>
                <w:webHidden/>
              </w:rPr>
              <w:t>4</w:t>
            </w:r>
            <w:r w:rsidR="00E018CD" w:rsidRPr="00E018CD">
              <w:rPr>
                <w:rStyle w:val="Hyperlink"/>
                <w:rFonts w:ascii="Arial" w:hAnsi="Arial" w:cs="Arial"/>
                <w:webHidden/>
              </w:rPr>
              <w:fldChar w:fldCharType="end"/>
            </w:r>
          </w:hyperlink>
        </w:p>
        <w:p w14:paraId="3005E650" w14:textId="3691C11B" w:rsidR="00E018CD" w:rsidRPr="00E018CD" w:rsidRDefault="009478DA">
          <w:pPr>
            <w:pStyle w:val="TOC1"/>
            <w:tabs>
              <w:tab w:val="right" w:pos="9350"/>
            </w:tabs>
            <w:rPr>
              <w:rStyle w:val="Hyperlink"/>
              <w:rFonts w:ascii="Arial" w:hAnsi="Arial" w:cs="Arial"/>
            </w:rPr>
          </w:pPr>
          <w:hyperlink w:anchor="_Toc200633415" w:history="1">
            <w:r w:rsidR="00E018CD" w:rsidRPr="001366BD">
              <w:rPr>
                <w:rStyle w:val="Hyperlink"/>
                <w:rFonts w:ascii="Arial" w:hAnsi="Arial" w:cs="Arial"/>
                <w:noProof/>
              </w:rPr>
              <w:t>4. Aim and Objectives of the Event</w:t>
            </w:r>
            <w:r w:rsidR="00E018CD" w:rsidRPr="00E018CD">
              <w:rPr>
                <w:rStyle w:val="Hyperlink"/>
                <w:rFonts w:ascii="Arial" w:hAnsi="Arial" w:cs="Arial"/>
                <w:webHidden/>
              </w:rPr>
              <w:tab/>
            </w:r>
            <w:r w:rsidR="00E018CD" w:rsidRPr="00E018CD">
              <w:rPr>
                <w:rStyle w:val="Hyperlink"/>
                <w:rFonts w:ascii="Arial" w:hAnsi="Arial" w:cs="Arial"/>
                <w:webHidden/>
              </w:rPr>
              <w:fldChar w:fldCharType="begin"/>
            </w:r>
            <w:r w:rsidR="00E018CD" w:rsidRPr="00E018CD">
              <w:rPr>
                <w:rStyle w:val="Hyperlink"/>
                <w:rFonts w:ascii="Arial" w:hAnsi="Arial" w:cs="Arial"/>
                <w:webHidden/>
              </w:rPr>
              <w:instrText xml:space="preserve"> PAGEREF _Toc200633415 \h </w:instrText>
            </w:r>
            <w:r w:rsidR="00E018CD" w:rsidRPr="00E018CD">
              <w:rPr>
                <w:rStyle w:val="Hyperlink"/>
                <w:rFonts w:ascii="Arial" w:hAnsi="Arial" w:cs="Arial"/>
                <w:webHidden/>
              </w:rPr>
            </w:r>
            <w:r w:rsidR="00E018CD" w:rsidRPr="00E018CD">
              <w:rPr>
                <w:rStyle w:val="Hyperlink"/>
                <w:rFonts w:ascii="Arial" w:hAnsi="Arial" w:cs="Arial"/>
                <w:webHidden/>
              </w:rPr>
              <w:fldChar w:fldCharType="separate"/>
            </w:r>
            <w:r w:rsidR="00E018CD" w:rsidRPr="00E018CD">
              <w:rPr>
                <w:rStyle w:val="Hyperlink"/>
                <w:rFonts w:ascii="Arial" w:hAnsi="Arial" w:cs="Arial"/>
                <w:webHidden/>
              </w:rPr>
              <w:t>5</w:t>
            </w:r>
            <w:r w:rsidR="00E018CD" w:rsidRPr="00E018CD">
              <w:rPr>
                <w:rStyle w:val="Hyperlink"/>
                <w:rFonts w:ascii="Arial" w:hAnsi="Arial" w:cs="Arial"/>
                <w:webHidden/>
              </w:rPr>
              <w:fldChar w:fldCharType="end"/>
            </w:r>
          </w:hyperlink>
        </w:p>
        <w:p w14:paraId="6D615C6F" w14:textId="61043C37" w:rsidR="00E018CD" w:rsidRPr="00E018CD" w:rsidRDefault="009478DA">
          <w:pPr>
            <w:pStyle w:val="TOC1"/>
            <w:tabs>
              <w:tab w:val="right" w:pos="9350"/>
            </w:tabs>
            <w:rPr>
              <w:rStyle w:val="Hyperlink"/>
              <w:rFonts w:ascii="Arial" w:hAnsi="Arial" w:cs="Arial"/>
            </w:rPr>
          </w:pPr>
          <w:hyperlink w:anchor="_Toc200633416" w:history="1">
            <w:r w:rsidR="00E018CD" w:rsidRPr="001366BD">
              <w:rPr>
                <w:rStyle w:val="Hyperlink"/>
                <w:rFonts w:ascii="Arial" w:hAnsi="Arial" w:cs="Arial"/>
                <w:noProof/>
              </w:rPr>
              <w:t>5. Event Management</w:t>
            </w:r>
            <w:r w:rsidR="00E018CD" w:rsidRPr="00E018CD">
              <w:rPr>
                <w:rStyle w:val="Hyperlink"/>
                <w:rFonts w:ascii="Arial" w:hAnsi="Arial" w:cs="Arial"/>
                <w:webHidden/>
              </w:rPr>
              <w:tab/>
            </w:r>
            <w:r w:rsidR="00E018CD" w:rsidRPr="00E018CD">
              <w:rPr>
                <w:rStyle w:val="Hyperlink"/>
                <w:rFonts w:ascii="Arial" w:hAnsi="Arial" w:cs="Arial"/>
                <w:webHidden/>
              </w:rPr>
              <w:fldChar w:fldCharType="begin"/>
            </w:r>
            <w:r w:rsidR="00E018CD" w:rsidRPr="00E018CD">
              <w:rPr>
                <w:rStyle w:val="Hyperlink"/>
                <w:rFonts w:ascii="Arial" w:hAnsi="Arial" w:cs="Arial"/>
                <w:webHidden/>
              </w:rPr>
              <w:instrText xml:space="preserve"> PAGEREF _Toc200633416 \h </w:instrText>
            </w:r>
            <w:r w:rsidR="00E018CD" w:rsidRPr="00E018CD">
              <w:rPr>
                <w:rStyle w:val="Hyperlink"/>
                <w:rFonts w:ascii="Arial" w:hAnsi="Arial" w:cs="Arial"/>
                <w:webHidden/>
              </w:rPr>
            </w:r>
            <w:r w:rsidR="00E018CD" w:rsidRPr="00E018CD">
              <w:rPr>
                <w:rStyle w:val="Hyperlink"/>
                <w:rFonts w:ascii="Arial" w:hAnsi="Arial" w:cs="Arial"/>
                <w:webHidden/>
              </w:rPr>
              <w:fldChar w:fldCharType="separate"/>
            </w:r>
            <w:r w:rsidR="00E018CD" w:rsidRPr="00E018CD">
              <w:rPr>
                <w:rStyle w:val="Hyperlink"/>
                <w:rFonts w:ascii="Arial" w:hAnsi="Arial" w:cs="Arial"/>
                <w:webHidden/>
              </w:rPr>
              <w:t>6</w:t>
            </w:r>
            <w:r w:rsidR="00E018CD" w:rsidRPr="00E018CD">
              <w:rPr>
                <w:rStyle w:val="Hyperlink"/>
                <w:rFonts w:ascii="Arial" w:hAnsi="Arial" w:cs="Arial"/>
                <w:webHidden/>
              </w:rPr>
              <w:fldChar w:fldCharType="end"/>
            </w:r>
          </w:hyperlink>
        </w:p>
        <w:p w14:paraId="4B23F234" w14:textId="24321D36" w:rsidR="00E018CD" w:rsidRPr="00E018CD" w:rsidRDefault="009478DA">
          <w:pPr>
            <w:pStyle w:val="TOC1"/>
            <w:tabs>
              <w:tab w:val="right" w:pos="9350"/>
            </w:tabs>
            <w:rPr>
              <w:rStyle w:val="Hyperlink"/>
              <w:rFonts w:ascii="Arial" w:hAnsi="Arial" w:cs="Arial"/>
            </w:rPr>
          </w:pPr>
          <w:hyperlink w:anchor="_Toc200633417" w:history="1">
            <w:r w:rsidR="00E018CD" w:rsidRPr="001366BD">
              <w:rPr>
                <w:rStyle w:val="Hyperlink"/>
                <w:rFonts w:ascii="Arial" w:hAnsi="Arial" w:cs="Arial"/>
                <w:noProof/>
              </w:rPr>
              <w:t>6. Event Budget</w:t>
            </w:r>
            <w:r w:rsidR="00E018CD" w:rsidRPr="00E018CD">
              <w:rPr>
                <w:rStyle w:val="Hyperlink"/>
                <w:rFonts w:ascii="Arial" w:hAnsi="Arial" w:cs="Arial"/>
                <w:webHidden/>
              </w:rPr>
              <w:tab/>
            </w:r>
            <w:r w:rsidR="00E018CD" w:rsidRPr="00E018CD">
              <w:rPr>
                <w:rStyle w:val="Hyperlink"/>
                <w:rFonts w:ascii="Arial" w:hAnsi="Arial" w:cs="Arial"/>
                <w:webHidden/>
              </w:rPr>
              <w:fldChar w:fldCharType="begin"/>
            </w:r>
            <w:r w:rsidR="00E018CD" w:rsidRPr="00E018CD">
              <w:rPr>
                <w:rStyle w:val="Hyperlink"/>
                <w:rFonts w:ascii="Arial" w:hAnsi="Arial" w:cs="Arial"/>
                <w:webHidden/>
              </w:rPr>
              <w:instrText xml:space="preserve"> PAGEREF _Toc200633417 \h </w:instrText>
            </w:r>
            <w:r w:rsidR="00E018CD" w:rsidRPr="00E018CD">
              <w:rPr>
                <w:rStyle w:val="Hyperlink"/>
                <w:rFonts w:ascii="Arial" w:hAnsi="Arial" w:cs="Arial"/>
                <w:webHidden/>
              </w:rPr>
            </w:r>
            <w:r w:rsidR="00E018CD" w:rsidRPr="00E018CD">
              <w:rPr>
                <w:rStyle w:val="Hyperlink"/>
                <w:rFonts w:ascii="Arial" w:hAnsi="Arial" w:cs="Arial"/>
                <w:webHidden/>
              </w:rPr>
              <w:fldChar w:fldCharType="separate"/>
            </w:r>
            <w:r w:rsidR="00E018CD" w:rsidRPr="00E018CD">
              <w:rPr>
                <w:rStyle w:val="Hyperlink"/>
                <w:rFonts w:ascii="Arial" w:hAnsi="Arial" w:cs="Arial"/>
                <w:webHidden/>
              </w:rPr>
              <w:t>9</w:t>
            </w:r>
            <w:r w:rsidR="00E018CD" w:rsidRPr="00E018CD">
              <w:rPr>
                <w:rStyle w:val="Hyperlink"/>
                <w:rFonts w:ascii="Arial" w:hAnsi="Arial" w:cs="Arial"/>
                <w:webHidden/>
              </w:rPr>
              <w:fldChar w:fldCharType="end"/>
            </w:r>
          </w:hyperlink>
        </w:p>
        <w:p w14:paraId="3D0F93AD" w14:textId="1A89B475" w:rsidR="00E018CD" w:rsidRPr="00E018CD" w:rsidRDefault="009478DA">
          <w:pPr>
            <w:pStyle w:val="TOC1"/>
            <w:tabs>
              <w:tab w:val="right" w:pos="9350"/>
            </w:tabs>
            <w:rPr>
              <w:rStyle w:val="Hyperlink"/>
              <w:rFonts w:ascii="Arial" w:hAnsi="Arial" w:cs="Arial"/>
            </w:rPr>
          </w:pPr>
          <w:hyperlink w:anchor="_Toc200633418" w:history="1">
            <w:r w:rsidR="00E018CD" w:rsidRPr="001366BD">
              <w:rPr>
                <w:rStyle w:val="Hyperlink"/>
                <w:rFonts w:ascii="Arial" w:hAnsi="Arial" w:cs="Arial"/>
                <w:noProof/>
              </w:rPr>
              <w:t>7. Industry Trends / Issues / Impacts</w:t>
            </w:r>
            <w:r w:rsidR="00E018CD" w:rsidRPr="00E018CD">
              <w:rPr>
                <w:rStyle w:val="Hyperlink"/>
                <w:rFonts w:ascii="Arial" w:hAnsi="Arial" w:cs="Arial"/>
                <w:webHidden/>
              </w:rPr>
              <w:tab/>
            </w:r>
            <w:r w:rsidR="00E018CD" w:rsidRPr="00E018CD">
              <w:rPr>
                <w:rStyle w:val="Hyperlink"/>
                <w:rFonts w:ascii="Arial" w:hAnsi="Arial" w:cs="Arial"/>
                <w:webHidden/>
              </w:rPr>
              <w:fldChar w:fldCharType="begin"/>
            </w:r>
            <w:r w:rsidR="00E018CD" w:rsidRPr="00E018CD">
              <w:rPr>
                <w:rStyle w:val="Hyperlink"/>
                <w:rFonts w:ascii="Arial" w:hAnsi="Arial" w:cs="Arial"/>
                <w:webHidden/>
              </w:rPr>
              <w:instrText xml:space="preserve"> PAGEREF _Toc200633418 \h </w:instrText>
            </w:r>
            <w:r w:rsidR="00E018CD" w:rsidRPr="00E018CD">
              <w:rPr>
                <w:rStyle w:val="Hyperlink"/>
                <w:rFonts w:ascii="Arial" w:hAnsi="Arial" w:cs="Arial"/>
                <w:webHidden/>
              </w:rPr>
            </w:r>
            <w:r w:rsidR="00E018CD" w:rsidRPr="00E018CD">
              <w:rPr>
                <w:rStyle w:val="Hyperlink"/>
                <w:rFonts w:ascii="Arial" w:hAnsi="Arial" w:cs="Arial"/>
                <w:webHidden/>
              </w:rPr>
              <w:fldChar w:fldCharType="separate"/>
            </w:r>
            <w:r w:rsidR="00E018CD" w:rsidRPr="00E018CD">
              <w:rPr>
                <w:rStyle w:val="Hyperlink"/>
                <w:rFonts w:ascii="Arial" w:hAnsi="Arial" w:cs="Arial"/>
                <w:webHidden/>
              </w:rPr>
              <w:t>10</w:t>
            </w:r>
            <w:r w:rsidR="00E018CD" w:rsidRPr="00E018CD">
              <w:rPr>
                <w:rStyle w:val="Hyperlink"/>
                <w:rFonts w:ascii="Arial" w:hAnsi="Arial" w:cs="Arial"/>
                <w:webHidden/>
              </w:rPr>
              <w:fldChar w:fldCharType="end"/>
            </w:r>
          </w:hyperlink>
        </w:p>
        <w:p w14:paraId="19A12513" w14:textId="3D28FAE9" w:rsidR="00E018CD" w:rsidRPr="00E018CD" w:rsidRDefault="009478DA">
          <w:pPr>
            <w:pStyle w:val="TOC1"/>
            <w:tabs>
              <w:tab w:val="right" w:pos="9350"/>
            </w:tabs>
            <w:rPr>
              <w:rStyle w:val="Hyperlink"/>
              <w:rFonts w:ascii="Arial" w:hAnsi="Arial" w:cs="Arial"/>
            </w:rPr>
          </w:pPr>
          <w:hyperlink w:anchor="_Toc200633419" w:history="1">
            <w:r w:rsidR="00E018CD" w:rsidRPr="001366BD">
              <w:rPr>
                <w:rStyle w:val="Hyperlink"/>
                <w:rFonts w:ascii="Arial" w:hAnsi="Arial" w:cs="Arial"/>
                <w:noProof/>
              </w:rPr>
              <w:t>8. Situational and Cultural Considerations</w:t>
            </w:r>
            <w:r w:rsidR="00E018CD" w:rsidRPr="00E018CD">
              <w:rPr>
                <w:rStyle w:val="Hyperlink"/>
                <w:rFonts w:ascii="Arial" w:hAnsi="Arial" w:cs="Arial"/>
                <w:webHidden/>
              </w:rPr>
              <w:tab/>
            </w:r>
            <w:r w:rsidR="00E018CD" w:rsidRPr="00E018CD">
              <w:rPr>
                <w:rStyle w:val="Hyperlink"/>
                <w:rFonts w:ascii="Arial" w:hAnsi="Arial" w:cs="Arial"/>
                <w:webHidden/>
              </w:rPr>
              <w:fldChar w:fldCharType="begin"/>
            </w:r>
            <w:r w:rsidR="00E018CD" w:rsidRPr="00E018CD">
              <w:rPr>
                <w:rStyle w:val="Hyperlink"/>
                <w:rFonts w:ascii="Arial" w:hAnsi="Arial" w:cs="Arial"/>
                <w:webHidden/>
              </w:rPr>
              <w:instrText xml:space="preserve"> PAGEREF _Toc200633419 \h </w:instrText>
            </w:r>
            <w:r w:rsidR="00E018CD" w:rsidRPr="00E018CD">
              <w:rPr>
                <w:rStyle w:val="Hyperlink"/>
                <w:rFonts w:ascii="Arial" w:hAnsi="Arial" w:cs="Arial"/>
                <w:webHidden/>
              </w:rPr>
            </w:r>
            <w:r w:rsidR="00E018CD" w:rsidRPr="00E018CD">
              <w:rPr>
                <w:rStyle w:val="Hyperlink"/>
                <w:rFonts w:ascii="Arial" w:hAnsi="Arial" w:cs="Arial"/>
                <w:webHidden/>
              </w:rPr>
              <w:fldChar w:fldCharType="separate"/>
            </w:r>
            <w:r w:rsidR="00E018CD" w:rsidRPr="00E018CD">
              <w:rPr>
                <w:rStyle w:val="Hyperlink"/>
                <w:rFonts w:ascii="Arial" w:hAnsi="Arial" w:cs="Arial"/>
                <w:webHidden/>
              </w:rPr>
              <w:t>12</w:t>
            </w:r>
            <w:r w:rsidR="00E018CD" w:rsidRPr="00E018CD">
              <w:rPr>
                <w:rStyle w:val="Hyperlink"/>
                <w:rFonts w:ascii="Arial" w:hAnsi="Arial" w:cs="Arial"/>
                <w:webHidden/>
              </w:rPr>
              <w:fldChar w:fldCharType="end"/>
            </w:r>
          </w:hyperlink>
        </w:p>
        <w:p w14:paraId="5617F97B" w14:textId="5B7B854F" w:rsidR="00E018CD" w:rsidRPr="00E018CD" w:rsidRDefault="009478DA">
          <w:pPr>
            <w:pStyle w:val="TOC1"/>
            <w:tabs>
              <w:tab w:val="right" w:pos="9350"/>
            </w:tabs>
            <w:rPr>
              <w:rStyle w:val="Hyperlink"/>
              <w:rFonts w:ascii="Arial" w:hAnsi="Arial" w:cs="Arial"/>
            </w:rPr>
          </w:pPr>
          <w:hyperlink w:anchor="_Toc200633420" w:history="1">
            <w:r w:rsidR="00E018CD" w:rsidRPr="001366BD">
              <w:rPr>
                <w:rStyle w:val="Hyperlink"/>
                <w:rFonts w:ascii="Arial" w:hAnsi="Arial" w:cs="Arial"/>
                <w:noProof/>
              </w:rPr>
              <w:t>9. Conclusion</w:t>
            </w:r>
            <w:r w:rsidR="00E018CD" w:rsidRPr="00E018CD">
              <w:rPr>
                <w:rStyle w:val="Hyperlink"/>
                <w:rFonts w:ascii="Arial" w:hAnsi="Arial" w:cs="Arial"/>
                <w:webHidden/>
              </w:rPr>
              <w:tab/>
            </w:r>
            <w:r w:rsidR="00E018CD" w:rsidRPr="00E018CD">
              <w:rPr>
                <w:rStyle w:val="Hyperlink"/>
                <w:rFonts w:ascii="Arial" w:hAnsi="Arial" w:cs="Arial"/>
                <w:webHidden/>
              </w:rPr>
              <w:fldChar w:fldCharType="begin"/>
            </w:r>
            <w:r w:rsidR="00E018CD" w:rsidRPr="00E018CD">
              <w:rPr>
                <w:rStyle w:val="Hyperlink"/>
                <w:rFonts w:ascii="Arial" w:hAnsi="Arial" w:cs="Arial"/>
                <w:webHidden/>
              </w:rPr>
              <w:instrText xml:space="preserve"> PAGEREF _Toc200633420 \h </w:instrText>
            </w:r>
            <w:r w:rsidR="00E018CD" w:rsidRPr="00E018CD">
              <w:rPr>
                <w:rStyle w:val="Hyperlink"/>
                <w:rFonts w:ascii="Arial" w:hAnsi="Arial" w:cs="Arial"/>
                <w:webHidden/>
              </w:rPr>
            </w:r>
            <w:r w:rsidR="00E018CD" w:rsidRPr="00E018CD">
              <w:rPr>
                <w:rStyle w:val="Hyperlink"/>
                <w:rFonts w:ascii="Arial" w:hAnsi="Arial" w:cs="Arial"/>
                <w:webHidden/>
              </w:rPr>
              <w:fldChar w:fldCharType="separate"/>
            </w:r>
            <w:r w:rsidR="00E018CD" w:rsidRPr="00E018CD">
              <w:rPr>
                <w:rStyle w:val="Hyperlink"/>
                <w:rFonts w:ascii="Arial" w:hAnsi="Arial" w:cs="Arial"/>
                <w:webHidden/>
              </w:rPr>
              <w:t>14</w:t>
            </w:r>
            <w:r w:rsidR="00E018CD" w:rsidRPr="00E018CD">
              <w:rPr>
                <w:rStyle w:val="Hyperlink"/>
                <w:rFonts w:ascii="Arial" w:hAnsi="Arial" w:cs="Arial"/>
                <w:webHidden/>
              </w:rPr>
              <w:fldChar w:fldCharType="end"/>
            </w:r>
          </w:hyperlink>
        </w:p>
        <w:p w14:paraId="70CACAA2" w14:textId="5DBC18EC" w:rsidR="00E018CD" w:rsidRPr="00E018CD" w:rsidRDefault="009478DA">
          <w:pPr>
            <w:pStyle w:val="TOC1"/>
            <w:tabs>
              <w:tab w:val="right" w:pos="9350"/>
            </w:tabs>
            <w:rPr>
              <w:rStyle w:val="Hyperlink"/>
              <w:rFonts w:ascii="Arial" w:hAnsi="Arial" w:cs="Arial"/>
            </w:rPr>
          </w:pPr>
          <w:hyperlink w:anchor="_Toc200633421" w:history="1">
            <w:r w:rsidR="00E018CD" w:rsidRPr="001366BD">
              <w:rPr>
                <w:rStyle w:val="Hyperlink"/>
                <w:rFonts w:ascii="Arial" w:hAnsi="Arial" w:cs="Arial"/>
                <w:noProof/>
              </w:rPr>
              <w:t>10. References</w:t>
            </w:r>
            <w:r w:rsidR="00E018CD" w:rsidRPr="00E018CD">
              <w:rPr>
                <w:rStyle w:val="Hyperlink"/>
                <w:rFonts w:ascii="Arial" w:hAnsi="Arial" w:cs="Arial"/>
                <w:webHidden/>
              </w:rPr>
              <w:tab/>
            </w:r>
            <w:r w:rsidR="00E018CD" w:rsidRPr="00E018CD">
              <w:rPr>
                <w:rStyle w:val="Hyperlink"/>
                <w:rFonts w:ascii="Arial" w:hAnsi="Arial" w:cs="Arial"/>
                <w:webHidden/>
              </w:rPr>
              <w:fldChar w:fldCharType="begin"/>
            </w:r>
            <w:r w:rsidR="00E018CD" w:rsidRPr="00E018CD">
              <w:rPr>
                <w:rStyle w:val="Hyperlink"/>
                <w:rFonts w:ascii="Arial" w:hAnsi="Arial" w:cs="Arial"/>
                <w:webHidden/>
              </w:rPr>
              <w:instrText xml:space="preserve"> PAGEREF _Toc200633421 \h </w:instrText>
            </w:r>
            <w:r w:rsidR="00E018CD" w:rsidRPr="00E018CD">
              <w:rPr>
                <w:rStyle w:val="Hyperlink"/>
                <w:rFonts w:ascii="Arial" w:hAnsi="Arial" w:cs="Arial"/>
                <w:webHidden/>
              </w:rPr>
            </w:r>
            <w:r w:rsidR="00E018CD" w:rsidRPr="00E018CD">
              <w:rPr>
                <w:rStyle w:val="Hyperlink"/>
                <w:rFonts w:ascii="Arial" w:hAnsi="Arial" w:cs="Arial"/>
                <w:webHidden/>
              </w:rPr>
              <w:fldChar w:fldCharType="separate"/>
            </w:r>
            <w:r w:rsidR="00E018CD" w:rsidRPr="00E018CD">
              <w:rPr>
                <w:rStyle w:val="Hyperlink"/>
                <w:rFonts w:ascii="Arial" w:hAnsi="Arial" w:cs="Arial"/>
                <w:webHidden/>
              </w:rPr>
              <w:t>15</w:t>
            </w:r>
            <w:r w:rsidR="00E018CD" w:rsidRPr="00E018CD">
              <w:rPr>
                <w:rStyle w:val="Hyperlink"/>
                <w:rFonts w:ascii="Arial" w:hAnsi="Arial" w:cs="Arial"/>
                <w:webHidden/>
              </w:rPr>
              <w:fldChar w:fldCharType="end"/>
            </w:r>
          </w:hyperlink>
        </w:p>
        <w:p w14:paraId="14637181" w14:textId="2ECC98B9" w:rsidR="0096245D" w:rsidRPr="00CD2546" w:rsidRDefault="006D1908" w:rsidP="00E018CD">
          <w:pPr>
            <w:pStyle w:val="TOC1"/>
            <w:tabs>
              <w:tab w:val="right" w:pos="9350"/>
            </w:tabs>
            <w:rPr>
              <w:rFonts w:ascii="Arial" w:hAnsi="Arial" w:cs="Arial"/>
              <w:sz w:val="22"/>
              <w:szCs w:val="22"/>
            </w:rPr>
          </w:pPr>
          <w:r w:rsidRPr="00E018CD">
            <w:rPr>
              <w:rStyle w:val="Hyperlink"/>
              <w:noProof/>
            </w:rPr>
            <w:fldChar w:fldCharType="end"/>
          </w:r>
        </w:p>
      </w:sdtContent>
    </w:sdt>
    <w:p w14:paraId="4606199C" w14:textId="77777777" w:rsidR="0096245D" w:rsidRPr="00CD2546" w:rsidRDefault="006D1908" w:rsidP="00CD2546">
      <w:pPr>
        <w:jc w:val="center"/>
        <w:rPr>
          <w:rFonts w:ascii="Arial" w:hAnsi="Arial" w:cs="Arial"/>
          <w:b/>
          <w:sz w:val="22"/>
          <w:szCs w:val="22"/>
        </w:rPr>
      </w:pPr>
      <w:r w:rsidRPr="00CD2546">
        <w:rPr>
          <w:rFonts w:ascii="Arial" w:hAnsi="Arial" w:cs="Arial"/>
          <w:sz w:val="22"/>
          <w:szCs w:val="22"/>
        </w:rPr>
        <w:br w:type="page"/>
      </w:r>
    </w:p>
    <w:p w14:paraId="287E3FA9" w14:textId="56FE9175" w:rsidR="006B2B06" w:rsidRPr="00683723" w:rsidRDefault="006D1908" w:rsidP="00683723">
      <w:pPr>
        <w:pStyle w:val="Heading1"/>
        <w:rPr>
          <w:rFonts w:ascii="Arial" w:hAnsi="Arial" w:cs="Arial"/>
          <w:sz w:val="22"/>
          <w:szCs w:val="22"/>
        </w:rPr>
      </w:pPr>
      <w:bookmarkStart w:id="1" w:name="_Toc200633412"/>
      <w:r w:rsidRPr="00683723">
        <w:rPr>
          <w:rFonts w:ascii="Arial" w:hAnsi="Arial" w:cs="Arial"/>
          <w:sz w:val="22"/>
          <w:szCs w:val="22"/>
        </w:rPr>
        <w:lastRenderedPageBreak/>
        <w:t>1. Introduction</w:t>
      </w:r>
      <w:bookmarkEnd w:id="1"/>
      <w:r w:rsidRPr="00683723">
        <w:rPr>
          <w:rFonts w:ascii="Arial" w:hAnsi="Arial" w:cs="Arial"/>
          <w:sz w:val="22"/>
          <w:szCs w:val="22"/>
        </w:rPr>
        <w:t xml:space="preserve"> </w:t>
      </w:r>
    </w:p>
    <w:p w14:paraId="45118CAC" w14:textId="1CC199D6" w:rsidR="00531E62" w:rsidRDefault="00531E62"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 xml:space="preserve">Year of </w:t>
      </w:r>
      <w:proofErr w:type="spellStart"/>
      <w:r w:rsidRPr="00683723">
        <w:rPr>
          <w:rFonts w:ascii="Arial" w:hAnsi="Arial" w:cs="Arial"/>
          <w:sz w:val="22"/>
          <w:szCs w:val="22"/>
        </w:rPr>
        <w:t>Croeso</w:t>
      </w:r>
      <w:proofErr w:type="spellEnd"/>
      <w:r w:rsidRPr="00683723">
        <w:rPr>
          <w:rFonts w:ascii="Arial" w:hAnsi="Arial" w:cs="Arial"/>
          <w:sz w:val="22"/>
          <w:szCs w:val="22"/>
        </w:rPr>
        <w:t xml:space="preserve"> 2025 was launched in January 2025 by Visit Wales as a flagship tourism marketing campaign focused on offering a warm Welsh welcome. It is a nationwide celebration of Welsh identity, hospitality, and culture, inviting international and domestic visitors to experience the best of Wales. The one-day cultural festival “</w:t>
      </w:r>
      <w:proofErr w:type="spellStart"/>
      <w:r w:rsidRPr="00683723">
        <w:rPr>
          <w:rFonts w:ascii="Arial" w:hAnsi="Arial" w:cs="Arial"/>
          <w:sz w:val="22"/>
          <w:szCs w:val="22"/>
        </w:rPr>
        <w:t>Gŵyl</w:t>
      </w:r>
      <w:proofErr w:type="spellEnd"/>
      <w:r w:rsidRPr="00683723">
        <w:rPr>
          <w:rFonts w:ascii="Arial" w:hAnsi="Arial" w:cs="Arial"/>
          <w:sz w:val="22"/>
          <w:szCs w:val="22"/>
        </w:rPr>
        <w:t xml:space="preserve"> y </w:t>
      </w:r>
      <w:proofErr w:type="spellStart"/>
      <w:r w:rsidRPr="00683723">
        <w:rPr>
          <w:rFonts w:ascii="Arial" w:hAnsi="Arial" w:cs="Arial"/>
          <w:sz w:val="22"/>
          <w:szCs w:val="22"/>
        </w:rPr>
        <w:t>Fro</w:t>
      </w:r>
      <w:proofErr w:type="spellEnd"/>
      <w:r w:rsidRPr="00683723">
        <w:rPr>
          <w:rFonts w:ascii="Arial" w:hAnsi="Arial" w:cs="Arial"/>
          <w:sz w:val="22"/>
          <w:szCs w:val="22"/>
        </w:rPr>
        <w:t>” (Welsh for “Festival of the Vale/Region”) has been designed to support this campaign by highlighting pride in Wales’s unique culture and arts, boosting tourism, and bringing economic benefits to the region. The event is positioned as an opportunity to improve Wales’s global image and celebrate its heritage (</w:t>
      </w:r>
      <w:proofErr w:type="spellStart"/>
      <w:r w:rsidRPr="00683723">
        <w:rPr>
          <w:rFonts w:ascii="Arial" w:hAnsi="Arial" w:cs="Arial"/>
          <w:sz w:val="22"/>
          <w:szCs w:val="22"/>
        </w:rPr>
        <w:t>Gov.Wales</w:t>
      </w:r>
      <w:proofErr w:type="spellEnd"/>
      <w:r w:rsidRPr="00683723">
        <w:rPr>
          <w:rFonts w:ascii="Arial" w:hAnsi="Arial" w:cs="Arial"/>
          <w:sz w:val="22"/>
          <w:szCs w:val="22"/>
        </w:rPr>
        <w:t>, 2025).</w:t>
      </w:r>
    </w:p>
    <w:p w14:paraId="6774AC65" w14:textId="77777777" w:rsidR="00A05A27" w:rsidRPr="00683723" w:rsidRDefault="00A05A27" w:rsidP="00683723">
      <w:pPr>
        <w:pStyle w:val="NormalWeb"/>
        <w:spacing w:before="0" w:beforeAutospacing="0" w:after="180" w:afterAutospacing="0" w:line="360" w:lineRule="auto"/>
        <w:rPr>
          <w:rFonts w:ascii="Arial" w:hAnsi="Arial" w:cs="Arial"/>
          <w:sz w:val="22"/>
          <w:szCs w:val="22"/>
        </w:rPr>
      </w:pPr>
    </w:p>
    <w:p w14:paraId="599F2FD2" w14:textId="47700B17" w:rsidR="00531E62" w:rsidRPr="00683723" w:rsidRDefault="00537ECD"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Th</w:t>
      </w:r>
      <w:r w:rsidR="00531E62" w:rsidRPr="00683723">
        <w:rPr>
          <w:rFonts w:ascii="Arial" w:hAnsi="Arial" w:cs="Arial"/>
          <w:sz w:val="22"/>
          <w:szCs w:val="22"/>
        </w:rPr>
        <w:t>e festival will take place on the shores of Bala Lake in Snowdonia</w:t>
      </w:r>
      <w:r w:rsidR="00857957">
        <w:rPr>
          <w:rFonts w:ascii="Arial" w:hAnsi="Arial" w:cs="Arial"/>
          <w:sz w:val="22"/>
          <w:szCs w:val="22"/>
        </w:rPr>
        <w:t>,</w:t>
      </w:r>
      <w:r w:rsidR="00531E62" w:rsidRPr="00683723">
        <w:rPr>
          <w:rFonts w:ascii="Arial" w:hAnsi="Arial" w:cs="Arial"/>
          <w:sz w:val="22"/>
          <w:szCs w:val="22"/>
        </w:rPr>
        <w:t xml:space="preserve"> a scenic, Welsh-speaking area that allows visitors to immerse themselves in Wales’s landscape and culture. This authentic venue choice is intended to enhance the overall visitor experience (Thomas et al., 2017</w:t>
      </w:r>
      <w:r w:rsidR="00254E68">
        <w:rPr>
          <w:rFonts w:ascii="Arial" w:hAnsi="Arial" w:cs="Arial"/>
          <w:sz w:val="22"/>
          <w:szCs w:val="22"/>
        </w:rPr>
        <w:t>;</w:t>
      </w:r>
      <w:r w:rsidR="00F62467">
        <w:rPr>
          <w:rFonts w:ascii="Arial" w:hAnsi="Arial" w:cs="Arial"/>
          <w:sz w:val="22"/>
          <w:szCs w:val="22"/>
        </w:rPr>
        <w:t xml:space="preserve"> Yen, 2023</w:t>
      </w:r>
      <w:r w:rsidR="00531E62" w:rsidRPr="00683723">
        <w:rPr>
          <w:rFonts w:ascii="Arial" w:hAnsi="Arial" w:cs="Arial"/>
          <w:sz w:val="22"/>
          <w:szCs w:val="22"/>
        </w:rPr>
        <w:t>).</w:t>
      </w:r>
    </w:p>
    <w:p w14:paraId="20E96D26" w14:textId="77777777" w:rsidR="00537ECD" w:rsidRPr="00683723" w:rsidRDefault="00537ECD" w:rsidP="00683723">
      <w:pPr>
        <w:pStyle w:val="NormalWeb"/>
        <w:spacing w:before="0" w:beforeAutospacing="0" w:after="180" w:afterAutospacing="0" w:line="360" w:lineRule="auto"/>
        <w:rPr>
          <w:rFonts w:ascii="Arial" w:hAnsi="Arial" w:cs="Arial"/>
          <w:sz w:val="22"/>
          <w:szCs w:val="22"/>
        </w:rPr>
      </w:pPr>
    </w:p>
    <w:p w14:paraId="3C2033DE" w14:textId="1741F6CA" w:rsidR="0096245D" w:rsidRPr="00683723" w:rsidRDefault="006D1908" w:rsidP="00683723">
      <w:pPr>
        <w:pStyle w:val="Heading1"/>
        <w:rPr>
          <w:rFonts w:ascii="Arial" w:hAnsi="Arial" w:cs="Arial"/>
          <w:sz w:val="22"/>
          <w:szCs w:val="22"/>
        </w:rPr>
      </w:pPr>
      <w:bookmarkStart w:id="2" w:name="_Toc200633413"/>
      <w:r w:rsidRPr="00683723">
        <w:rPr>
          <w:rFonts w:ascii="Arial" w:hAnsi="Arial" w:cs="Arial"/>
          <w:sz w:val="22"/>
          <w:szCs w:val="22"/>
        </w:rPr>
        <w:t>2. The Event Cycle</w:t>
      </w:r>
      <w:bookmarkEnd w:id="2"/>
      <w:r w:rsidRPr="00683723">
        <w:rPr>
          <w:rFonts w:ascii="Arial" w:hAnsi="Arial" w:cs="Arial"/>
          <w:sz w:val="22"/>
          <w:szCs w:val="22"/>
        </w:rPr>
        <w:t xml:space="preserve"> </w:t>
      </w:r>
    </w:p>
    <w:p w14:paraId="46AB3AC5" w14:textId="5EDEC24C" w:rsidR="00A12712" w:rsidRPr="00683723" w:rsidRDefault="00A12712"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The Event Cycle is a systematic process for managing an event from the initial idea through to delivery and post-event evaluation</w:t>
      </w:r>
      <w:r w:rsidR="002F674A">
        <w:rPr>
          <w:rFonts w:ascii="Arial" w:hAnsi="Arial" w:cs="Arial"/>
          <w:sz w:val="22"/>
          <w:szCs w:val="22"/>
        </w:rPr>
        <w:t xml:space="preserve"> (</w:t>
      </w:r>
      <w:proofErr w:type="spellStart"/>
      <w:r w:rsidR="002F674A">
        <w:rPr>
          <w:rFonts w:ascii="Arial" w:hAnsi="Arial" w:cs="Arial"/>
          <w:sz w:val="22"/>
          <w:szCs w:val="22"/>
        </w:rPr>
        <w:t>Manuylenko</w:t>
      </w:r>
      <w:proofErr w:type="spellEnd"/>
      <w:r w:rsidR="002F674A">
        <w:rPr>
          <w:rFonts w:ascii="Arial" w:hAnsi="Arial" w:cs="Arial"/>
          <w:sz w:val="22"/>
          <w:szCs w:val="22"/>
        </w:rPr>
        <w:t xml:space="preserve"> and </w:t>
      </w:r>
      <w:proofErr w:type="spellStart"/>
      <w:r w:rsidR="002F674A">
        <w:rPr>
          <w:rFonts w:ascii="Arial" w:hAnsi="Arial" w:cs="Arial"/>
          <w:sz w:val="22"/>
          <w:szCs w:val="22"/>
        </w:rPr>
        <w:t>Shebzukhova</w:t>
      </w:r>
      <w:proofErr w:type="spellEnd"/>
      <w:r w:rsidR="002F674A">
        <w:rPr>
          <w:rFonts w:ascii="Arial" w:hAnsi="Arial" w:cs="Arial"/>
          <w:sz w:val="22"/>
          <w:szCs w:val="22"/>
        </w:rPr>
        <w:t>, 2021)</w:t>
      </w:r>
      <w:r w:rsidRPr="00683723">
        <w:rPr>
          <w:rFonts w:ascii="Arial" w:hAnsi="Arial" w:cs="Arial"/>
          <w:sz w:val="22"/>
          <w:szCs w:val="22"/>
        </w:rPr>
        <w:t xml:space="preserve">. It provides a strategic framework to ensure nothing is overlooked and improvements are made at each stage (Bowdin et al., 2023). For </w:t>
      </w:r>
      <w:proofErr w:type="spellStart"/>
      <w:r w:rsidRPr="00683723">
        <w:rPr>
          <w:rFonts w:ascii="Arial" w:hAnsi="Arial" w:cs="Arial"/>
          <w:sz w:val="22"/>
          <w:szCs w:val="22"/>
        </w:rPr>
        <w:t>Gŵyl</w:t>
      </w:r>
      <w:proofErr w:type="spellEnd"/>
      <w:r w:rsidRPr="00683723">
        <w:rPr>
          <w:rFonts w:ascii="Arial" w:hAnsi="Arial" w:cs="Arial"/>
          <w:sz w:val="22"/>
          <w:szCs w:val="22"/>
        </w:rPr>
        <w:t xml:space="preserve"> y </w:t>
      </w:r>
      <w:proofErr w:type="spellStart"/>
      <w:r w:rsidRPr="00683723">
        <w:rPr>
          <w:rFonts w:ascii="Arial" w:hAnsi="Arial" w:cs="Arial"/>
          <w:sz w:val="22"/>
          <w:szCs w:val="22"/>
        </w:rPr>
        <w:t>Fro</w:t>
      </w:r>
      <w:proofErr w:type="spellEnd"/>
      <w:r w:rsidRPr="00683723">
        <w:rPr>
          <w:rFonts w:ascii="Arial" w:hAnsi="Arial" w:cs="Arial"/>
          <w:sz w:val="22"/>
          <w:szCs w:val="22"/>
        </w:rPr>
        <w:t>, the key stages are:</w:t>
      </w:r>
    </w:p>
    <w:p w14:paraId="2932B7EA" w14:textId="77777777" w:rsidR="00A12712" w:rsidRPr="00683723" w:rsidRDefault="00A12712" w:rsidP="00683723">
      <w:pPr>
        <w:pStyle w:val="NormalWeb"/>
        <w:spacing w:before="0" w:beforeAutospacing="0" w:after="180" w:afterAutospacing="0" w:line="360" w:lineRule="auto"/>
        <w:rPr>
          <w:rFonts w:ascii="Arial" w:hAnsi="Arial" w:cs="Arial"/>
          <w:sz w:val="22"/>
          <w:szCs w:val="22"/>
        </w:rPr>
      </w:pPr>
    </w:p>
    <w:p w14:paraId="19C65E82" w14:textId="6C296277" w:rsidR="00A12712" w:rsidRPr="00683723" w:rsidRDefault="00A12712" w:rsidP="00956323">
      <w:pPr>
        <w:pStyle w:val="NormalWeb"/>
        <w:numPr>
          <w:ilvl w:val="0"/>
          <w:numId w:val="6"/>
        </w:numPr>
        <w:spacing w:before="0" w:beforeAutospacing="0" w:after="180" w:afterAutospacing="0" w:line="360" w:lineRule="auto"/>
        <w:rPr>
          <w:rFonts w:ascii="Arial" w:hAnsi="Arial" w:cs="Arial"/>
          <w:sz w:val="22"/>
          <w:szCs w:val="22"/>
        </w:rPr>
      </w:pPr>
      <w:r w:rsidRPr="00683723">
        <w:rPr>
          <w:rFonts w:ascii="Arial" w:hAnsi="Arial" w:cs="Arial"/>
          <w:sz w:val="22"/>
          <w:szCs w:val="22"/>
        </w:rPr>
        <w:t xml:space="preserve">Stage 1: Concept Development – The one-day Welsh cultural festival was aligned with Visit Wales’s 2025 Year of </w:t>
      </w:r>
      <w:proofErr w:type="spellStart"/>
      <w:r w:rsidRPr="00683723">
        <w:rPr>
          <w:rFonts w:ascii="Arial" w:hAnsi="Arial" w:cs="Arial"/>
          <w:sz w:val="22"/>
          <w:szCs w:val="22"/>
        </w:rPr>
        <w:t>Croeso</w:t>
      </w:r>
      <w:proofErr w:type="spellEnd"/>
      <w:r w:rsidRPr="00683723">
        <w:rPr>
          <w:rFonts w:ascii="Arial" w:hAnsi="Arial" w:cs="Arial"/>
          <w:sz w:val="22"/>
          <w:szCs w:val="22"/>
        </w:rPr>
        <w:t xml:space="preserve"> campaign to give it a unique cultural theme and purpose (</w:t>
      </w:r>
      <w:proofErr w:type="spellStart"/>
      <w:r w:rsidRPr="00683723">
        <w:rPr>
          <w:rFonts w:ascii="Arial" w:hAnsi="Arial" w:cs="Arial"/>
          <w:sz w:val="22"/>
          <w:szCs w:val="22"/>
        </w:rPr>
        <w:t>Gov.Wales</w:t>
      </w:r>
      <w:proofErr w:type="spellEnd"/>
      <w:r w:rsidRPr="00683723">
        <w:rPr>
          <w:rFonts w:ascii="Arial" w:hAnsi="Arial" w:cs="Arial"/>
          <w:sz w:val="22"/>
          <w:szCs w:val="22"/>
        </w:rPr>
        <w:t>, 2025</w:t>
      </w:r>
      <w:r w:rsidR="003D7D60">
        <w:rPr>
          <w:rFonts w:ascii="Arial" w:hAnsi="Arial" w:cs="Arial"/>
          <w:sz w:val="22"/>
          <w:szCs w:val="22"/>
        </w:rPr>
        <w:t>; Visit Wales, 2025</w:t>
      </w:r>
      <w:r w:rsidRPr="00683723">
        <w:rPr>
          <w:rFonts w:ascii="Arial" w:hAnsi="Arial" w:cs="Arial"/>
          <w:sz w:val="22"/>
          <w:szCs w:val="22"/>
        </w:rPr>
        <w:t>).</w:t>
      </w:r>
    </w:p>
    <w:p w14:paraId="6A24542D" w14:textId="02EFB705" w:rsidR="00A12712" w:rsidRPr="00683723" w:rsidRDefault="00A12712" w:rsidP="00956323">
      <w:pPr>
        <w:pStyle w:val="NormalWeb"/>
        <w:numPr>
          <w:ilvl w:val="0"/>
          <w:numId w:val="6"/>
        </w:numPr>
        <w:spacing w:before="0" w:beforeAutospacing="0" w:after="180" w:afterAutospacing="0" w:line="360" w:lineRule="auto"/>
        <w:rPr>
          <w:rFonts w:ascii="Arial" w:hAnsi="Arial" w:cs="Arial"/>
          <w:sz w:val="22"/>
          <w:szCs w:val="22"/>
        </w:rPr>
      </w:pPr>
      <w:r w:rsidRPr="00683723">
        <w:rPr>
          <w:rFonts w:ascii="Arial" w:hAnsi="Arial" w:cs="Arial"/>
          <w:sz w:val="22"/>
          <w:szCs w:val="22"/>
        </w:rPr>
        <w:t>Stage 2: Planning – Detailed planning commenced by securing the venue, obtaining permits, drafting the budget, organi</w:t>
      </w:r>
      <w:r w:rsidR="00E018CD">
        <w:rPr>
          <w:rFonts w:ascii="Arial" w:hAnsi="Arial" w:cs="Arial"/>
          <w:sz w:val="22"/>
          <w:szCs w:val="22"/>
        </w:rPr>
        <w:t>s</w:t>
      </w:r>
      <w:r w:rsidRPr="00683723">
        <w:rPr>
          <w:rFonts w:ascii="Arial" w:hAnsi="Arial" w:cs="Arial"/>
          <w:sz w:val="22"/>
          <w:szCs w:val="22"/>
        </w:rPr>
        <w:t>ing resources, and preparing contingency plans to manage risks (Haupt, 2021).</w:t>
      </w:r>
    </w:p>
    <w:p w14:paraId="0EBE2FF9" w14:textId="3CACA3F6" w:rsidR="00A12712" w:rsidRPr="00683723" w:rsidRDefault="00A12712" w:rsidP="00956323">
      <w:pPr>
        <w:pStyle w:val="NormalWeb"/>
        <w:numPr>
          <w:ilvl w:val="0"/>
          <w:numId w:val="6"/>
        </w:numPr>
        <w:spacing w:before="0" w:beforeAutospacing="0" w:after="180" w:afterAutospacing="0" w:line="360" w:lineRule="auto"/>
        <w:rPr>
          <w:rFonts w:ascii="Arial" w:hAnsi="Arial" w:cs="Arial"/>
          <w:sz w:val="22"/>
          <w:szCs w:val="22"/>
        </w:rPr>
      </w:pPr>
      <w:r w:rsidRPr="00683723">
        <w:rPr>
          <w:rFonts w:ascii="Arial" w:hAnsi="Arial" w:cs="Arial"/>
          <w:sz w:val="22"/>
          <w:szCs w:val="22"/>
        </w:rPr>
        <w:t>Stage 3: Marketing – The event is promoted via digital and traditional channels to attract a broad audience (Kumar, 2021), emphasi</w:t>
      </w:r>
      <w:r w:rsidR="00E018CD">
        <w:rPr>
          <w:rFonts w:ascii="Arial" w:hAnsi="Arial" w:cs="Arial"/>
          <w:sz w:val="22"/>
          <w:szCs w:val="22"/>
        </w:rPr>
        <w:t>s</w:t>
      </w:r>
      <w:r w:rsidRPr="00683723">
        <w:rPr>
          <w:rFonts w:ascii="Arial" w:hAnsi="Arial" w:cs="Arial"/>
          <w:sz w:val="22"/>
          <w:szCs w:val="22"/>
        </w:rPr>
        <w:t>ing its authentic Welsh experience.</w:t>
      </w:r>
    </w:p>
    <w:p w14:paraId="31430CF8" w14:textId="77777777" w:rsidR="00A12712" w:rsidRPr="00683723" w:rsidRDefault="00A12712" w:rsidP="00164061">
      <w:pPr>
        <w:pStyle w:val="NormalWeb"/>
        <w:numPr>
          <w:ilvl w:val="0"/>
          <w:numId w:val="6"/>
        </w:numPr>
        <w:spacing w:before="0" w:beforeAutospacing="0" w:after="180" w:afterAutospacing="0" w:line="360" w:lineRule="auto"/>
        <w:rPr>
          <w:rFonts w:ascii="Arial" w:hAnsi="Arial" w:cs="Arial"/>
          <w:sz w:val="22"/>
          <w:szCs w:val="22"/>
        </w:rPr>
      </w:pPr>
      <w:r w:rsidRPr="00683723">
        <w:rPr>
          <w:rFonts w:ascii="Arial" w:hAnsi="Arial" w:cs="Arial"/>
          <w:sz w:val="22"/>
          <w:szCs w:val="22"/>
        </w:rPr>
        <w:lastRenderedPageBreak/>
        <w:t>Stage 4: Delivery – On the event day, the planned programme of Welsh cultural performances, food and craft stalls, and interactive workshops is executed. Staff and volunteers manage attendee flow and safety, coordinating responses to any on-site issues (</w:t>
      </w:r>
      <w:proofErr w:type="spellStart"/>
      <w:r w:rsidRPr="00683723">
        <w:rPr>
          <w:rFonts w:ascii="Arial" w:hAnsi="Arial" w:cs="Arial"/>
          <w:sz w:val="22"/>
          <w:szCs w:val="22"/>
        </w:rPr>
        <w:t>Struniawski</w:t>
      </w:r>
      <w:proofErr w:type="spellEnd"/>
      <w:r w:rsidRPr="00683723">
        <w:rPr>
          <w:rFonts w:ascii="Arial" w:hAnsi="Arial" w:cs="Arial"/>
          <w:sz w:val="22"/>
          <w:szCs w:val="22"/>
        </w:rPr>
        <w:t>, 2024).</w:t>
      </w:r>
    </w:p>
    <w:p w14:paraId="745551B2" w14:textId="77777777" w:rsidR="00A12712" w:rsidRPr="00683723" w:rsidRDefault="00A12712" w:rsidP="00164061">
      <w:pPr>
        <w:pStyle w:val="NormalWeb"/>
        <w:numPr>
          <w:ilvl w:val="0"/>
          <w:numId w:val="6"/>
        </w:numPr>
        <w:spacing w:before="0" w:beforeAutospacing="0" w:after="180" w:afterAutospacing="0" w:line="360" w:lineRule="auto"/>
        <w:rPr>
          <w:rFonts w:ascii="Arial" w:hAnsi="Arial" w:cs="Arial"/>
          <w:sz w:val="22"/>
          <w:szCs w:val="22"/>
        </w:rPr>
      </w:pPr>
      <w:r w:rsidRPr="00683723">
        <w:rPr>
          <w:rFonts w:ascii="Arial" w:hAnsi="Arial" w:cs="Arial"/>
          <w:sz w:val="22"/>
          <w:szCs w:val="22"/>
        </w:rPr>
        <w:t>Stage 5: Evaluation – Post-event, feedback is collected to assess whether objectives were met and to identify improvements (</w:t>
      </w:r>
      <w:proofErr w:type="spellStart"/>
      <w:r w:rsidRPr="00683723">
        <w:rPr>
          <w:rFonts w:ascii="Arial" w:hAnsi="Arial" w:cs="Arial"/>
          <w:sz w:val="22"/>
          <w:szCs w:val="22"/>
        </w:rPr>
        <w:t>Manuylenko</w:t>
      </w:r>
      <w:proofErr w:type="spellEnd"/>
      <w:r w:rsidRPr="00683723">
        <w:rPr>
          <w:rFonts w:ascii="Arial" w:hAnsi="Arial" w:cs="Arial"/>
          <w:sz w:val="22"/>
          <w:szCs w:val="22"/>
        </w:rPr>
        <w:t xml:space="preserve"> and </w:t>
      </w:r>
      <w:proofErr w:type="spellStart"/>
      <w:r w:rsidRPr="00683723">
        <w:rPr>
          <w:rFonts w:ascii="Arial" w:hAnsi="Arial" w:cs="Arial"/>
          <w:sz w:val="22"/>
          <w:szCs w:val="22"/>
        </w:rPr>
        <w:t>Shebzukhova</w:t>
      </w:r>
      <w:proofErr w:type="spellEnd"/>
      <w:r w:rsidRPr="00683723">
        <w:rPr>
          <w:rFonts w:ascii="Arial" w:hAnsi="Arial" w:cs="Arial"/>
          <w:sz w:val="22"/>
          <w:szCs w:val="22"/>
        </w:rPr>
        <w:t>, 2021).</w:t>
      </w:r>
    </w:p>
    <w:p w14:paraId="074675BF" w14:textId="77777777" w:rsidR="000173AA" w:rsidRPr="00683723" w:rsidRDefault="000173AA" w:rsidP="00683723">
      <w:pPr>
        <w:pStyle w:val="NormalWeb"/>
        <w:spacing w:before="0" w:beforeAutospacing="0" w:after="180" w:afterAutospacing="0" w:line="360" w:lineRule="auto"/>
        <w:rPr>
          <w:rFonts w:ascii="Arial" w:hAnsi="Arial" w:cs="Arial"/>
          <w:sz w:val="22"/>
          <w:szCs w:val="22"/>
        </w:rPr>
      </w:pPr>
    </w:p>
    <w:p w14:paraId="4E65435F" w14:textId="77777777" w:rsidR="0096245D" w:rsidRPr="00683723" w:rsidRDefault="006D1908" w:rsidP="00683723">
      <w:pPr>
        <w:pStyle w:val="Heading1"/>
        <w:rPr>
          <w:rFonts w:ascii="Arial" w:hAnsi="Arial" w:cs="Arial"/>
          <w:sz w:val="22"/>
          <w:szCs w:val="22"/>
        </w:rPr>
      </w:pPr>
      <w:bookmarkStart w:id="3" w:name="_Toc200633414"/>
      <w:r w:rsidRPr="00683723">
        <w:rPr>
          <w:rFonts w:ascii="Arial" w:hAnsi="Arial" w:cs="Arial"/>
          <w:sz w:val="22"/>
          <w:szCs w:val="22"/>
        </w:rPr>
        <w:t>3. Event Concept</w:t>
      </w:r>
      <w:bookmarkEnd w:id="3"/>
      <w:r w:rsidRPr="00683723">
        <w:rPr>
          <w:rFonts w:ascii="Arial" w:hAnsi="Arial" w:cs="Arial"/>
          <w:sz w:val="22"/>
          <w:szCs w:val="22"/>
        </w:rPr>
        <w:t xml:space="preserve"> </w:t>
      </w:r>
    </w:p>
    <w:p w14:paraId="7C326BF1" w14:textId="65781EBE" w:rsidR="00BE15A6" w:rsidRPr="00683723" w:rsidRDefault="00BE15A6"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 xml:space="preserve">The concept of </w:t>
      </w:r>
      <w:proofErr w:type="spellStart"/>
      <w:r w:rsidRPr="00683723">
        <w:rPr>
          <w:rFonts w:ascii="Arial" w:hAnsi="Arial" w:cs="Arial"/>
          <w:sz w:val="22"/>
          <w:szCs w:val="22"/>
        </w:rPr>
        <w:t>Gŵyl</w:t>
      </w:r>
      <w:proofErr w:type="spellEnd"/>
      <w:r w:rsidRPr="00683723">
        <w:rPr>
          <w:rFonts w:ascii="Arial" w:hAnsi="Arial" w:cs="Arial"/>
          <w:sz w:val="22"/>
          <w:szCs w:val="22"/>
        </w:rPr>
        <w:t xml:space="preserve"> y </w:t>
      </w:r>
      <w:proofErr w:type="spellStart"/>
      <w:r w:rsidRPr="00683723">
        <w:rPr>
          <w:rFonts w:ascii="Arial" w:hAnsi="Arial" w:cs="Arial"/>
          <w:sz w:val="22"/>
          <w:szCs w:val="22"/>
        </w:rPr>
        <w:t>Fro</w:t>
      </w:r>
      <w:proofErr w:type="spellEnd"/>
      <w:r w:rsidRPr="00683723">
        <w:rPr>
          <w:rFonts w:ascii="Arial" w:hAnsi="Arial" w:cs="Arial"/>
          <w:sz w:val="22"/>
          <w:szCs w:val="22"/>
        </w:rPr>
        <w:t xml:space="preserve"> is rooted in creating a memorable experience rather than just staging an event. According to the Experience Economy theory, staging unique experiences adds value beyond a standard service</w:t>
      </w:r>
      <w:r w:rsidR="004A14FC">
        <w:rPr>
          <w:rFonts w:ascii="Arial" w:hAnsi="Arial" w:cs="Arial"/>
          <w:sz w:val="22"/>
          <w:szCs w:val="22"/>
        </w:rPr>
        <w:t xml:space="preserve"> and has been linked to tourism sustainability frameworks</w:t>
      </w:r>
      <w:r w:rsidRPr="00683723">
        <w:rPr>
          <w:rFonts w:ascii="Arial" w:hAnsi="Arial" w:cs="Arial"/>
          <w:sz w:val="22"/>
          <w:szCs w:val="22"/>
        </w:rPr>
        <w:t xml:space="preserve"> (Chang, 2018</w:t>
      </w:r>
      <w:r w:rsidR="004A14FC">
        <w:rPr>
          <w:rFonts w:ascii="Arial" w:hAnsi="Arial" w:cs="Arial"/>
          <w:sz w:val="22"/>
          <w:szCs w:val="22"/>
        </w:rPr>
        <w:t xml:space="preserve">; </w:t>
      </w:r>
      <w:proofErr w:type="spellStart"/>
      <w:r w:rsidR="004A14FC">
        <w:rPr>
          <w:rFonts w:ascii="Arial" w:hAnsi="Arial" w:cs="Arial"/>
          <w:sz w:val="22"/>
          <w:szCs w:val="22"/>
        </w:rPr>
        <w:t>Aransyah</w:t>
      </w:r>
      <w:proofErr w:type="spellEnd"/>
      <w:r w:rsidR="004A14FC">
        <w:rPr>
          <w:rFonts w:ascii="Arial" w:hAnsi="Arial" w:cs="Arial"/>
          <w:sz w:val="22"/>
          <w:szCs w:val="22"/>
        </w:rPr>
        <w:t>, 2025</w:t>
      </w:r>
      <w:r w:rsidRPr="00683723">
        <w:rPr>
          <w:rFonts w:ascii="Arial" w:hAnsi="Arial" w:cs="Arial"/>
          <w:sz w:val="22"/>
          <w:szCs w:val="22"/>
        </w:rPr>
        <w:t>). In this case, the festival offers an immersive Welsh cultural experience that visitors will find authentic and unforgettable. By engaging multiple senses (music, language, food, scenery), the event aims to create lasting memories that set Wales apart as a destination (Chang, 2018). This focus on experiences is an economic opportunity that can make Wales more attractive as a tourist destination.</w:t>
      </w:r>
    </w:p>
    <w:p w14:paraId="2EFAFF86" w14:textId="77777777" w:rsidR="00BE15A6" w:rsidRPr="00683723" w:rsidRDefault="00BE15A6" w:rsidP="00683723">
      <w:pPr>
        <w:pStyle w:val="NormalWeb"/>
        <w:spacing w:before="0" w:beforeAutospacing="0" w:after="180" w:afterAutospacing="0" w:line="360" w:lineRule="auto"/>
        <w:rPr>
          <w:rFonts w:ascii="Arial" w:hAnsi="Arial" w:cs="Arial"/>
          <w:sz w:val="22"/>
          <w:szCs w:val="22"/>
        </w:rPr>
      </w:pPr>
    </w:p>
    <w:p w14:paraId="3563E4ED" w14:textId="60926753" w:rsidR="00BE15A6" w:rsidRPr="00683723" w:rsidRDefault="00BE15A6"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In practical terms, the event concept translates into a full-day programme showcasing “the heart of Welsh culture.” The schedule includes live music and dance performances, storytelling sessions, craft workshops, and local cuisine tastings</w:t>
      </w:r>
      <w:r w:rsidR="00B950AA">
        <w:rPr>
          <w:rFonts w:ascii="Arial" w:hAnsi="Arial" w:cs="Arial"/>
          <w:sz w:val="22"/>
          <w:szCs w:val="22"/>
        </w:rPr>
        <w:t xml:space="preserve"> (Figure 1)</w:t>
      </w:r>
      <w:r w:rsidRPr="00683723">
        <w:rPr>
          <w:rFonts w:ascii="Arial" w:hAnsi="Arial" w:cs="Arial"/>
          <w:sz w:val="22"/>
          <w:szCs w:val="22"/>
        </w:rPr>
        <w:t>. The festival’s title “Festival of the Heartland” reinforces its focus on local identity and pride (Thomas et al., 2017). By presenting authentic, visitor</w:t>
      </w:r>
      <w:r w:rsidR="005F2483">
        <w:rPr>
          <w:rFonts w:ascii="Arial" w:hAnsi="Arial" w:cs="Arial"/>
          <w:sz w:val="22"/>
          <w:szCs w:val="22"/>
        </w:rPr>
        <w:t xml:space="preserve"> </w:t>
      </w:r>
      <w:r w:rsidRPr="00683723">
        <w:rPr>
          <w:rFonts w:ascii="Arial" w:hAnsi="Arial" w:cs="Arial"/>
          <w:sz w:val="22"/>
          <w:szCs w:val="22"/>
        </w:rPr>
        <w:t>focused interactions, the concept ensures that each guest feels a personal connection to Welsh culture.</w:t>
      </w:r>
    </w:p>
    <w:p w14:paraId="5EBC21F3" w14:textId="77777777" w:rsidR="000D448E" w:rsidRPr="00683723" w:rsidRDefault="000D448E" w:rsidP="00683723">
      <w:pPr>
        <w:jc w:val="left"/>
        <w:rPr>
          <w:rFonts w:ascii="Arial" w:hAnsi="Arial" w:cs="Arial"/>
          <w:sz w:val="22"/>
          <w:szCs w:val="22"/>
        </w:rPr>
      </w:pPr>
    </w:p>
    <w:p w14:paraId="087EED69" w14:textId="17EA14C8" w:rsidR="000D448E" w:rsidRPr="00683723" w:rsidRDefault="000173AA" w:rsidP="00683723">
      <w:pPr>
        <w:jc w:val="left"/>
        <w:rPr>
          <w:rFonts w:ascii="Arial" w:hAnsi="Arial" w:cs="Arial"/>
          <w:sz w:val="22"/>
          <w:szCs w:val="22"/>
        </w:rPr>
      </w:pPr>
      <w:r w:rsidRPr="00683723">
        <w:rPr>
          <w:rFonts w:ascii="Arial" w:hAnsi="Arial" w:cs="Arial"/>
          <w:noProof/>
          <w:sz w:val="22"/>
          <w:szCs w:val="22"/>
        </w:rPr>
        <w:lastRenderedPageBreak/>
        <w:drawing>
          <wp:inline distT="114300" distB="114300" distL="114300" distR="114300" wp14:anchorId="1AF47F8C" wp14:editId="441C976D">
            <wp:extent cx="5057775" cy="3752850"/>
            <wp:effectExtent l="0" t="0" r="9525" b="0"/>
            <wp:docPr id="5" name="image4.png" descr="A collage of several images&#10;&#10;AI-generated content may be incorrect."/>
            <wp:cNvGraphicFramePr/>
            <a:graphic xmlns:a="http://schemas.openxmlformats.org/drawingml/2006/main">
              <a:graphicData uri="http://schemas.openxmlformats.org/drawingml/2006/picture">
                <pic:pic xmlns:pic="http://schemas.openxmlformats.org/drawingml/2006/picture">
                  <pic:nvPicPr>
                    <pic:cNvPr id="5" name="image4.png" descr="A collage of several images&#10;&#10;AI-generated content may be incorrect."/>
                    <pic:cNvPicPr/>
                  </pic:nvPicPr>
                  <pic:blipFill>
                    <a:blip r:embed="rId7">
                      <a:extLst>
                        <a:ext uri="{BEBA8EAE-BF5A-486C-A8C5-ECC9F3942E4B}">
                          <a14:imgProps xmlns:a14="http://schemas.microsoft.com/office/drawing/2010/main">
                            <a14:imgLayer r:embed="rId8">
                              <a14:imgEffect>
                                <a14:backgroundRemoval t="3046" b="99239" l="2637" r="99623">
                                  <a14:foregroundMark x1="40866" y1="11168" x2="40866" y2="11168"/>
                                  <a14:foregroundMark x1="27307" y1="10406" x2="27307" y2="10406"/>
                                  <a14:foregroundMark x1="23540" y1="9645" x2="23540" y2="9645"/>
                                  <a14:foregroundMark x1="24859" y1="15990" x2="24859" y2="15990"/>
                                  <a14:foregroundMark x1="23164" y1="18528" x2="23164" y2="18528"/>
                                  <a14:foregroundMark x1="22222" y1="4315" x2="22222" y2="4315"/>
                                  <a14:foregroundMark x1="81544" y1="12437" x2="81544" y2="12437"/>
                                  <a14:foregroundMark x1="65913" y1="13959" x2="80791" y2="13959"/>
                                  <a14:foregroundMark x1="80791" y1="13959" x2="90207" y2="13959"/>
                                  <a14:foregroundMark x1="57062" y1="8883" x2="91902" y2="9645"/>
                                  <a14:foregroundMark x1="62335" y1="23096" x2="87382" y2="23350"/>
                                  <a14:foregroundMark x1="87382" y1="23350" x2="98682" y2="21066"/>
                                  <a14:foregroundMark x1="64972" y1="78173" x2="96234" y2="75127"/>
                                  <a14:foregroundMark x1="57250" y1="84010" x2="86629" y2="85279"/>
                                  <a14:foregroundMark x1="86629" y1="85279" x2="99058" y2="83249"/>
                                  <a14:foregroundMark x1="99058" y1="83249" x2="99058" y2="83249"/>
                                  <a14:foregroundMark x1="57250" y1="72843" x2="88136" y2="69289"/>
                                  <a14:foregroundMark x1="88136" y1="69289" x2="99623" y2="69289"/>
                                  <a14:foregroundMark x1="63842" y1="86294" x2="82863" y2="86294"/>
                                  <a14:foregroundMark x1="82863" y1="86294" x2="98682" y2="85533"/>
                                  <a14:foregroundMark x1="58945" y1="73604" x2="94539" y2="70812"/>
                                  <a14:foregroundMark x1="56685" y1="74365" x2="56497" y2="86548"/>
                                  <a14:foregroundMark x1="58380" y1="88832" x2="95669" y2="88071"/>
                                  <a14:foregroundMark x1="95669" y1="88071" x2="65537" y2="91117"/>
                                  <a14:foregroundMark x1="65537" y1="91117" x2="54614" y2="89086"/>
                                  <a14:foregroundMark x1="54614" y1="89086" x2="78719" y2="86294"/>
                                  <a14:foregroundMark x1="78719" y1="86294" x2="99058" y2="86548"/>
                                  <a14:foregroundMark x1="44256" y1="76142" x2="38230" y2="86041"/>
                                  <a14:foregroundMark x1="38230" y1="86041" x2="46139" y2="95178"/>
                                  <a14:foregroundMark x1="46139" y1="95178" x2="53296" y2="74112"/>
                                  <a14:foregroundMark x1="53296" y1="74112" x2="41808" y2="79188"/>
                                  <a14:foregroundMark x1="41808" y1="79188" x2="41243" y2="82487"/>
                                  <a14:foregroundMark x1="41431" y1="47462" x2="33710" y2="68528"/>
                                  <a14:foregroundMark x1="33710" y1="68528" x2="50471" y2="63198"/>
                                  <a14:foregroundMark x1="50471" y1="63198" x2="46893" y2="32487"/>
                                  <a14:foregroundMark x1="46893" y1="32487" x2="33522" y2="42893"/>
                                  <a14:foregroundMark x1="33522" y1="42893" x2="33145" y2="61168"/>
                                  <a14:foregroundMark x1="42373" y1="5330" x2="36911" y2="26396"/>
                                  <a14:foregroundMark x1="36911" y1="26396" x2="48964" y2="37056"/>
                                  <a14:foregroundMark x1="48964" y1="37056" x2="55179" y2="18020"/>
                                  <a14:foregroundMark x1="55179" y1="18020" x2="47646" y2="8122"/>
                                  <a14:foregroundMark x1="47646" y1="8122" x2="38418" y2="17259"/>
                                  <a14:foregroundMark x1="38418" y1="17259" x2="37100" y2="21066"/>
                                  <a14:foregroundMark x1="33522" y1="26142" x2="32203" y2="38832"/>
                                  <a14:foregroundMark x1="22976" y1="2284" x2="34087" y2="2030"/>
                                  <a14:foregroundMark x1="34087" y1="2030" x2="45009" y2="3046"/>
                                  <a14:foregroundMark x1="45009" y1="3046" x2="57439" y2="11675"/>
                                  <a14:foregroundMark x1="57439" y1="11675" x2="47646" y2="20305"/>
                                  <a14:foregroundMark x1="47646" y1="20305" x2="26365" y2="15228"/>
                                  <a14:foregroundMark x1="26365" y1="15228" x2="24294" y2="13452"/>
                                  <a14:foregroundMark x1="56309" y1="29949" x2="44256" y2="34010"/>
                                  <a14:foregroundMark x1="44256" y1="34010" x2="50282" y2="49492"/>
                                  <a14:foregroundMark x1="50282" y1="49492" x2="61959" y2="24365"/>
                                  <a14:foregroundMark x1="61959" y1="24365" x2="58945" y2="18782"/>
                                  <a14:foregroundMark x1="55179" y1="66751" x2="37665" y2="74619"/>
                                  <a14:foregroundMark x1="37665" y1="74619" x2="53107" y2="84772"/>
                                  <a14:foregroundMark x1="53107" y1="84772" x2="55556" y2="67005"/>
                                  <a14:foregroundMark x1="55556" y1="67005" x2="52731" y2="63452"/>
                                  <a14:foregroundMark x1="39736" y1="91371" x2="50282" y2="99239"/>
                                  <a14:foregroundMark x1="50282" y1="99239" x2="54802" y2="89340"/>
                                  <a14:foregroundMark x1="33145" y1="46447" x2="2072" y2="45685"/>
                                  <a14:foregroundMark x1="2072" y1="45685" x2="2637" y2="65482"/>
                                  <a14:foregroundMark x1="2637" y1="65482" x2="13936" y2="74619"/>
                                  <a14:foregroundMark x1="13936" y1="74619" x2="34275" y2="71066"/>
                                  <a14:foregroundMark x1="34275" y1="71066" x2="38418" y2="57107"/>
                                  <a14:foregroundMark x1="38418" y1="57107" x2="36535" y2="46954"/>
                                  <a14:foregroundMark x1="32580" y1="71066" x2="12429" y2="74112"/>
                                  <a14:foregroundMark x1="12429" y1="74112" x2="6215" y2="84264"/>
                                  <a14:foregroundMark x1="6215" y1="84264" x2="8663" y2="97970"/>
                                  <a14:foregroundMark x1="8663" y1="97970" x2="18832" y2="96447"/>
                                  <a14:foregroundMark x1="18832" y1="96447" x2="26177" y2="82995"/>
                                  <a14:foregroundMark x1="26177" y1="82995" x2="32392" y2="83249"/>
                                  <a14:foregroundMark x1="78908" y1="90609" x2="89831" y2="90355"/>
                                  <a14:foregroundMark x1="89831" y1="90355" x2="99623" y2="90863"/>
                                  <a14:foregroundMark x1="80038" y1="89594" x2="91337" y2="89594"/>
                                </a14:backgroundRemoval>
                              </a14:imgEffect>
                            </a14:imgLayer>
                          </a14:imgProps>
                        </a:ext>
                      </a:extLst>
                    </a:blip>
                    <a:stretch>
                      <a:fillRect/>
                    </a:stretch>
                  </pic:blipFill>
                  <pic:spPr>
                    <a:xfrm>
                      <a:off x="0" y="0"/>
                      <a:ext cx="5057775" cy="3752850"/>
                    </a:xfrm>
                    <a:prstGeom prst="rect">
                      <a:avLst/>
                    </a:prstGeom>
                  </pic:spPr>
                </pic:pic>
              </a:graphicData>
            </a:graphic>
          </wp:inline>
        </w:drawing>
      </w:r>
    </w:p>
    <w:p w14:paraId="4910A621" w14:textId="4587B6F6" w:rsidR="0096245D" w:rsidRPr="00683723" w:rsidRDefault="0096245D" w:rsidP="00683723">
      <w:pPr>
        <w:jc w:val="left"/>
        <w:rPr>
          <w:rFonts w:ascii="Arial" w:hAnsi="Arial" w:cs="Arial"/>
          <w:sz w:val="22"/>
          <w:szCs w:val="22"/>
        </w:rPr>
      </w:pPr>
    </w:p>
    <w:p w14:paraId="1EC22871" w14:textId="77777777" w:rsidR="0096245D" w:rsidRPr="00683723" w:rsidRDefault="006D1908" w:rsidP="00683723">
      <w:pPr>
        <w:jc w:val="center"/>
        <w:rPr>
          <w:rFonts w:ascii="Arial" w:hAnsi="Arial" w:cs="Arial"/>
          <w:b/>
          <w:sz w:val="22"/>
          <w:szCs w:val="22"/>
        </w:rPr>
      </w:pPr>
      <w:r w:rsidRPr="00683723">
        <w:rPr>
          <w:rFonts w:ascii="Arial" w:hAnsi="Arial" w:cs="Arial"/>
          <w:b/>
          <w:sz w:val="22"/>
          <w:szCs w:val="22"/>
        </w:rPr>
        <w:t>Figure 1: Event Concept (Full Itinerary)</w:t>
      </w:r>
    </w:p>
    <w:p w14:paraId="19963279" w14:textId="77777777" w:rsidR="0096245D" w:rsidRDefault="006D1908" w:rsidP="00683723">
      <w:pPr>
        <w:jc w:val="center"/>
        <w:rPr>
          <w:rFonts w:ascii="Arial" w:hAnsi="Arial" w:cs="Arial"/>
          <w:sz w:val="22"/>
          <w:szCs w:val="22"/>
        </w:rPr>
      </w:pPr>
      <w:r w:rsidRPr="00683723">
        <w:rPr>
          <w:rFonts w:ascii="Arial" w:hAnsi="Arial" w:cs="Arial"/>
          <w:sz w:val="22"/>
          <w:szCs w:val="22"/>
        </w:rPr>
        <w:t>(Source: Researcher)</w:t>
      </w:r>
      <w:bookmarkStart w:id="4" w:name="_GoBack"/>
      <w:bookmarkEnd w:id="4"/>
    </w:p>
    <w:p w14:paraId="6780F0DE" w14:textId="77777777" w:rsidR="00B950AA" w:rsidRPr="00683723" w:rsidRDefault="00B950AA" w:rsidP="00683723">
      <w:pPr>
        <w:jc w:val="center"/>
        <w:rPr>
          <w:rFonts w:ascii="Arial" w:hAnsi="Arial" w:cs="Arial"/>
          <w:sz w:val="22"/>
          <w:szCs w:val="22"/>
        </w:rPr>
      </w:pPr>
    </w:p>
    <w:p w14:paraId="51027448" w14:textId="77777777" w:rsidR="0096245D" w:rsidRPr="00683723" w:rsidRDefault="006D1908" w:rsidP="00683723">
      <w:pPr>
        <w:pStyle w:val="Heading1"/>
        <w:rPr>
          <w:rFonts w:ascii="Arial" w:hAnsi="Arial" w:cs="Arial"/>
          <w:sz w:val="22"/>
          <w:szCs w:val="22"/>
        </w:rPr>
      </w:pPr>
      <w:bookmarkStart w:id="5" w:name="_Toc200633415"/>
      <w:r w:rsidRPr="00683723">
        <w:rPr>
          <w:rFonts w:ascii="Arial" w:hAnsi="Arial" w:cs="Arial"/>
          <w:sz w:val="22"/>
          <w:szCs w:val="22"/>
        </w:rPr>
        <w:t>4. Aim and Objectives of the Event</w:t>
      </w:r>
      <w:bookmarkEnd w:id="5"/>
      <w:r w:rsidRPr="00683723">
        <w:rPr>
          <w:rFonts w:ascii="Arial" w:hAnsi="Arial" w:cs="Arial"/>
          <w:sz w:val="22"/>
          <w:szCs w:val="22"/>
        </w:rPr>
        <w:t xml:space="preserve"> </w:t>
      </w:r>
    </w:p>
    <w:p w14:paraId="49C844ED" w14:textId="2F292D58" w:rsidR="008103AC" w:rsidRPr="00683723" w:rsidRDefault="008103AC"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 xml:space="preserve">The overarching aim of </w:t>
      </w:r>
      <w:proofErr w:type="spellStart"/>
      <w:r w:rsidRPr="00683723">
        <w:rPr>
          <w:rFonts w:ascii="Arial" w:hAnsi="Arial" w:cs="Arial"/>
          <w:sz w:val="22"/>
          <w:szCs w:val="22"/>
        </w:rPr>
        <w:t>Gŵyl</w:t>
      </w:r>
      <w:proofErr w:type="spellEnd"/>
      <w:r w:rsidRPr="00683723">
        <w:rPr>
          <w:rFonts w:ascii="Arial" w:hAnsi="Arial" w:cs="Arial"/>
          <w:sz w:val="22"/>
          <w:szCs w:val="22"/>
        </w:rPr>
        <w:t xml:space="preserve"> y </w:t>
      </w:r>
      <w:proofErr w:type="spellStart"/>
      <w:r w:rsidRPr="00683723">
        <w:rPr>
          <w:rFonts w:ascii="Arial" w:hAnsi="Arial" w:cs="Arial"/>
          <w:sz w:val="22"/>
          <w:szCs w:val="22"/>
        </w:rPr>
        <w:t>Fro</w:t>
      </w:r>
      <w:proofErr w:type="spellEnd"/>
      <w:r w:rsidRPr="00683723">
        <w:rPr>
          <w:rFonts w:ascii="Arial" w:hAnsi="Arial" w:cs="Arial"/>
          <w:sz w:val="22"/>
          <w:szCs w:val="22"/>
        </w:rPr>
        <w:t xml:space="preserve"> is to establish and promote Wales’s identity as a cultural tourism destination by celebrating the festival as “the heart of Welsh culture.” Through authentic, interactive experiences, the event seeks to enhance visitors’ perceptions of Wales and showcase the nation’s cultural treasures on a global stage (Chang, 2018).</w:t>
      </w:r>
    </w:p>
    <w:p w14:paraId="29AFED33" w14:textId="77777777" w:rsidR="008103AC" w:rsidRPr="00683723" w:rsidRDefault="008103AC" w:rsidP="00683723">
      <w:pPr>
        <w:pStyle w:val="NormalWeb"/>
        <w:spacing w:before="0" w:beforeAutospacing="0" w:after="180" w:afterAutospacing="0" w:line="360" w:lineRule="auto"/>
        <w:rPr>
          <w:rFonts w:ascii="Arial" w:hAnsi="Arial" w:cs="Arial"/>
          <w:sz w:val="22"/>
          <w:szCs w:val="22"/>
        </w:rPr>
      </w:pPr>
    </w:p>
    <w:p w14:paraId="30F5F3D9" w14:textId="0A570593" w:rsidR="008103AC" w:rsidRPr="00683723" w:rsidRDefault="008103AC"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From this aim, several key objectives are defined for the festival</w:t>
      </w:r>
      <w:r w:rsidR="000F4C4F">
        <w:rPr>
          <w:rFonts w:ascii="Arial" w:hAnsi="Arial" w:cs="Arial"/>
          <w:sz w:val="22"/>
          <w:szCs w:val="22"/>
        </w:rPr>
        <w:t xml:space="preserve"> (Figure 2)</w:t>
      </w:r>
      <w:r w:rsidRPr="00683723">
        <w:rPr>
          <w:rFonts w:ascii="Arial" w:hAnsi="Arial" w:cs="Arial"/>
          <w:sz w:val="22"/>
          <w:szCs w:val="22"/>
        </w:rPr>
        <w:t>:</w:t>
      </w:r>
    </w:p>
    <w:p w14:paraId="66989B8E" w14:textId="77777777" w:rsidR="008103AC" w:rsidRPr="00683723" w:rsidRDefault="008103AC" w:rsidP="00683723">
      <w:pPr>
        <w:pStyle w:val="NormalWeb"/>
        <w:numPr>
          <w:ilvl w:val="0"/>
          <w:numId w:val="5"/>
        </w:numPr>
        <w:spacing w:before="0" w:beforeAutospacing="0" w:after="180" w:afterAutospacing="0" w:line="360" w:lineRule="auto"/>
        <w:rPr>
          <w:rFonts w:ascii="Arial" w:hAnsi="Arial" w:cs="Arial"/>
          <w:sz w:val="22"/>
          <w:szCs w:val="22"/>
        </w:rPr>
      </w:pPr>
      <w:r w:rsidRPr="00683723">
        <w:rPr>
          <w:rFonts w:ascii="Arial" w:hAnsi="Arial" w:cs="Arial"/>
          <w:sz w:val="22"/>
          <w:szCs w:val="22"/>
        </w:rPr>
        <w:t>Increase visitor attendance: Attract a high number of domestic and international visitors to Bala for the event.</w:t>
      </w:r>
    </w:p>
    <w:p w14:paraId="07947A9E" w14:textId="77777777" w:rsidR="008103AC" w:rsidRPr="00683723" w:rsidRDefault="008103AC" w:rsidP="00683723">
      <w:pPr>
        <w:pStyle w:val="NormalWeb"/>
        <w:numPr>
          <w:ilvl w:val="0"/>
          <w:numId w:val="5"/>
        </w:numPr>
        <w:spacing w:before="0" w:beforeAutospacing="0" w:after="180" w:afterAutospacing="0" w:line="360" w:lineRule="auto"/>
        <w:rPr>
          <w:rFonts w:ascii="Arial" w:hAnsi="Arial" w:cs="Arial"/>
          <w:sz w:val="22"/>
          <w:szCs w:val="22"/>
        </w:rPr>
      </w:pPr>
      <w:r w:rsidRPr="00683723">
        <w:rPr>
          <w:rFonts w:ascii="Arial" w:hAnsi="Arial" w:cs="Arial"/>
          <w:sz w:val="22"/>
          <w:szCs w:val="22"/>
        </w:rPr>
        <w:lastRenderedPageBreak/>
        <w:t>Achieve positive attendee satisfaction: Ensure that guests have an enjoyable experience, reflected in positive feedback and high satisfaction levels (Gallarza and Gil Saura, 2020).</w:t>
      </w:r>
    </w:p>
    <w:p w14:paraId="6630C5AE" w14:textId="77777777" w:rsidR="008103AC" w:rsidRPr="00683723" w:rsidRDefault="008103AC" w:rsidP="00683723">
      <w:pPr>
        <w:pStyle w:val="NormalWeb"/>
        <w:numPr>
          <w:ilvl w:val="0"/>
          <w:numId w:val="5"/>
        </w:numPr>
        <w:spacing w:before="0" w:beforeAutospacing="0" w:after="180" w:afterAutospacing="0" w:line="360" w:lineRule="auto"/>
        <w:rPr>
          <w:rFonts w:ascii="Arial" w:hAnsi="Arial" w:cs="Arial"/>
          <w:sz w:val="22"/>
          <w:szCs w:val="22"/>
        </w:rPr>
      </w:pPr>
      <w:r w:rsidRPr="00683723">
        <w:rPr>
          <w:rFonts w:ascii="Arial" w:hAnsi="Arial" w:cs="Arial"/>
          <w:sz w:val="22"/>
          <w:szCs w:val="22"/>
        </w:rPr>
        <w:t>Generate economic benefits: Boost the local economy and achieve a financial surplus for the event.</w:t>
      </w:r>
    </w:p>
    <w:p w14:paraId="129CB37E" w14:textId="77777777" w:rsidR="00423862" w:rsidRPr="00683723" w:rsidRDefault="00423862" w:rsidP="00683723">
      <w:pPr>
        <w:pStyle w:val="NormalWeb"/>
        <w:spacing w:before="0" w:beforeAutospacing="0" w:after="180" w:afterAutospacing="0" w:line="360" w:lineRule="auto"/>
        <w:rPr>
          <w:rFonts w:ascii="Arial" w:hAnsi="Arial" w:cs="Arial"/>
          <w:sz w:val="22"/>
          <w:szCs w:val="22"/>
        </w:rPr>
      </w:pPr>
    </w:p>
    <w:p w14:paraId="650754E0" w14:textId="77777777" w:rsidR="0096245D" w:rsidRPr="00683723" w:rsidRDefault="006D1908" w:rsidP="00683723">
      <w:pPr>
        <w:jc w:val="center"/>
        <w:rPr>
          <w:rFonts w:ascii="Arial" w:hAnsi="Arial" w:cs="Arial"/>
          <w:sz w:val="22"/>
          <w:szCs w:val="22"/>
        </w:rPr>
      </w:pPr>
      <w:r w:rsidRPr="00683723">
        <w:rPr>
          <w:rFonts w:ascii="Arial" w:hAnsi="Arial" w:cs="Arial"/>
          <w:noProof/>
          <w:sz w:val="22"/>
          <w:szCs w:val="22"/>
        </w:rPr>
        <w:drawing>
          <wp:inline distT="114300" distB="114300" distL="114300" distR="114300" wp14:anchorId="3D30D62E" wp14:editId="6E926F0D">
            <wp:extent cx="5943600" cy="3022600"/>
            <wp:effectExtent l="0" t="0" r="0" b="635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9">
                      <a:extLst>
                        <a:ext uri="{BEBA8EAE-BF5A-486C-A8C5-ECC9F3942E4B}">
                          <a14:imgProps xmlns:a14="http://schemas.microsoft.com/office/drawing/2010/main">
                            <a14:imgLayer r:embed="rId10">
                              <a14:imgEffect>
                                <a14:backgroundRemoval t="2725" b="99728" l="2905" r="99447">
                                  <a14:foregroundMark x1="53527" y1="8174" x2="50484" y2="5722"/>
                                  <a14:foregroundMark x1="84924" y1="6267" x2="82849" y2="6267"/>
                                  <a14:foregroundMark x1="87828" y1="4905" x2="80636" y2="9264"/>
                                  <a14:foregroundMark x1="93223" y1="17439" x2="92946" y2="31063"/>
                                  <a14:foregroundMark x1="95574" y1="36512" x2="80498" y2="36785"/>
                                  <a14:foregroundMark x1="80498" y1="36785" x2="90733" y2="45777"/>
                                  <a14:foregroundMark x1="90733" y1="45777" x2="95851" y2="38420"/>
                                  <a14:foregroundMark x1="97925" y1="68665" x2="98064" y2="77657"/>
                                  <a14:foregroundMark x1="88935" y1="88011" x2="80083" y2="90191"/>
                                  <a14:foregroundMark x1="80083" y1="90191" x2="91701" y2="97003"/>
                                  <a14:foregroundMark x1="91701" y1="97003" x2="85892" y2="87193"/>
                                  <a14:foregroundMark x1="16736" y1="4905" x2="19364" y2="6267"/>
                                  <a14:foregroundMark x1="21162" y1="20981" x2="10235" y2="25068"/>
                                  <a14:foregroundMark x1="10235" y1="25068" x2="20055" y2="30245"/>
                                  <a14:foregroundMark x1="20055" y1="30245" x2="21853" y2="20163"/>
                                  <a14:foregroundMark x1="14661" y1="22343" x2="7054" y2="37602"/>
                                  <a14:foregroundMark x1="7054" y1="37602" x2="11618" y2="65940"/>
                                  <a14:foregroundMark x1="11618" y1="65940" x2="3734" y2="72752"/>
                                  <a14:foregroundMark x1="3734" y1="72752" x2="6916" y2="56403"/>
                                  <a14:foregroundMark x1="6916" y1="56403" x2="15076" y2="52861"/>
                                  <a14:foregroundMark x1="15076" y1="52861" x2="24620" y2="53951"/>
                                  <a14:foregroundMark x1="24620" y1="53951" x2="28631" y2="72480"/>
                                  <a14:foregroundMark x1="28631" y1="72480" x2="17012" y2="96458"/>
                                  <a14:foregroundMark x1="17012" y1="96458" x2="8575" y2="92643"/>
                                  <a14:foregroundMark x1="8575" y1="92643" x2="5533" y2="74932"/>
                                  <a14:foregroundMark x1="5533" y1="74932" x2="17427" y2="53678"/>
                                  <a14:foregroundMark x1="17427" y1="53678" x2="25173" y2="46322"/>
                                  <a14:foregroundMark x1="25173" y1="46322" x2="23651" y2="27793"/>
                                  <a14:foregroundMark x1="23651" y1="27793" x2="14661" y2="19619"/>
                                  <a14:foregroundMark x1="14661" y1="19619" x2="9405" y2="31063"/>
                                  <a14:foregroundMark x1="6086" y1="34605" x2="6224" y2="55041"/>
                                  <a14:foregroundMark x1="6224" y1="55041" x2="2905" y2="73569"/>
                                  <a14:foregroundMark x1="2905" y1="73569" x2="5947" y2="78474"/>
                                  <a14:foregroundMark x1="17012" y1="6540" x2="16321" y2="6267"/>
                                  <a14:foregroundMark x1="15906" y1="3815" x2="15906" y2="2997"/>
                                  <a14:foregroundMark x1="53527" y1="6812" x2="45367" y2="6540"/>
                                  <a14:foregroundMark x1="45367" y1="6540" x2="55187" y2="11172"/>
                                  <a14:foregroundMark x1="55187" y1="11172" x2="50346" y2="3542"/>
                                  <a14:foregroundMark x1="53804" y1="19346" x2="44813" y2="23706"/>
                                  <a14:foregroundMark x1="44813" y1="23706" x2="40387" y2="64578"/>
                                  <a14:foregroundMark x1="40387" y1="64578" x2="43983" y2="82016"/>
                                  <a14:foregroundMark x1="43983" y1="82016" x2="52144" y2="96730"/>
                                  <a14:foregroundMark x1="52144" y1="96730" x2="58921" y2="84196"/>
                                  <a14:foregroundMark x1="58921" y1="84196" x2="63071" y2="70027"/>
                                  <a14:foregroundMark x1="63071" y1="70027" x2="59336" y2="30518"/>
                                  <a14:foregroundMark x1="59336" y1="30518" x2="51591" y2="17984"/>
                                  <a14:foregroundMark x1="51591" y1="17984" x2="50484" y2="17984"/>
                                  <a14:foregroundMark x1="90733" y1="17984" x2="77040" y2="18529"/>
                                  <a14:foregroundMark x1="77040" y1="18529" x2="74827" y2="70300"/>
                                  <a14:foregroundMark x1="74827" y1="70300" x2="78562" y2="87466"/>
                                  <a14:foregroundMark x1="78562" y1="87466" x2="91840" y2="94278"/>
                                  <a14:foregroundMark x1="91840" y1="94278" x2="96680" y2="72480"/>
                                  <a14:foregroundMark x1="96680" y1="72480" x2="96404" y2="53406"/>
                                  <a14:foregroundMark x1="96404" y1="53406" x2="95436" y2="49864"/>
                                  <a14:foregroundMark x1="25035" y1="83106" x2="20885" y2="98093"/>
                                  <a14:foregroundMark x1="20885" y1="98093" x2="9129" y2="98093"/>
                                  <a14:foregroundMark x1="94191" y1="82834" x2="93914" y2="98638"/>
                                  <a14:foregroundMark x1="99447" y1="66757" x2="99170" y2="80654"/>
                                  <a14:foregroundMark x1="97372" y1="50954" x2="97925" y2="64850"/>
                                  <a14:foregroundMark x1="96819" y1="34332" x2="96680" y2="46322"/>
                                  <a14:foregroundMark x1="99308" y1="66213" x2="99170" y2="80381"/>
                                  <a14:foregroundMark x1="44260" y1="98638" x2="55463" y2="95640"/>
                                  <a14:foregroundMark x1="55463" y1="95640" x2="52144" y2="99728"/>
                                  <a14:foregroundMark x1="54219" y1="98365" x2="59613" y2="98638"/>
                                </a14:backgroundRemoval>
                              </a14:imgEffect>
                            </a14:imgLayer>
                          </a14:imgProps>
                        </a:ext>
                      </a:extLst>
                    </a:blip>
                    <a:stretch>
                      <a:fillRect/>
                    </a:stretch>
                  </pic:blipFill>
                  <pic:spPr>
                    <a:xfrm>
                      <a:off x="0" y="0"/>
                      <a:ext cx="5943600" cy="3022600"/>
                    </a:xfrm>
                    <a:prstGeom prst="rect">
                      <a:avLst/>
                    </a:prstGeom>
                  </pic:spPr>
                </pic:pic>
              </a:graphicData>
            </a:graphic>
          </wp:inline>
        </w:drawing>
      </w:r>
    </w:p>
    <w:p w14:paraId="5434E578" w14:textId="77777777" w:rsidR="00423862" w:rsidRPr="00683723" w:rsidRDefault="006D1908" w:rsidP="00683723">
      <w:pPr>
        <w:jc w:val="center"/>
        <w:rPr>
          <w:rFonts w:ascii="Arial" w:hAnsi="Arial" w:cs="Arial"/>
          <w:b/>
          <w:sz w:val="22"/>
          <w:szCs w:val="22"/>
        </w:rPr>
      </w:pPr>
      <w:r w:rsidRPr="00683723">
        <w:rPr>
          <w:rFonts w:ascii="Arial" w:hAnsi="Arial" w:cs="Arial"/>
          <w:b/>
          <w:sz w:val="22"/>
          <w:szCs w:val="22"/>
        </w:rPr>
        <w:t xml:space="preserve">Figure 2: SMART Plans for Objectives </w:t>
      </w:r>
    </w:p>
    <w:p w14:paraId="4AEE70BB" w14:textId="37BC772E" w:rsidR="0096245D" w:rsidRPr="00683723" w:rsidRDefault="006D1908" w:rsidP="00683723">
      <w:pPr>
        <w:jc w:val="center"/>
        <w:rPr>
          <w:rFonts w:ascii="Arial" w:hAnsi="Arial" w:cs="Arial"/>
          <w:b/>
          <w:sz w:val="22"/>
          <w:szCs w:val="22"/>
        </w:rPr>
      </w:pPr>
      <w:r w:rsidRPr="00683723">
        <w:rPr>
          <w:rFonts w:ascii="Arial" w:hAnsi="Arial" w:cs="Arial"/>
          <w:sz w:val="22"/>
          <w:szCs w:val="22"/>
        </w:rPr>
        <w:t>(Source: Researcher)</w:t>
      </w:r>
    </w:p>
    <w:p w14:paraId="3867A3DB" w14:textId="77777777" w:rsidR="0096245D" w:rsidRPr="00683723" w:rsidRDefault="006D1908" w:rsidP="00683723">
      <w:pPr>
        <w:pStyle w:val="Heading1"/>
        <w:rPr>
          <w:rFonts w:ascii="Arial" w:hAnsi="Arial" w:cs="Arial"/>
          <w:sz w:val="22"/>
          <w:szCs w:val="22"/>
        </w:rPr>
      </w:pPr>
      <w:bookmarkStart w:id="6" w:name="_Toc200633416"/>
      <w:r w:rsidRPr="00683723">
        <w:rPr>
          <w:rFonts w:ascii="Arial" w:hAnsi="Arial" w:cs="Arial"/>
          <w:sz w:val="22"/>
          <w:szCs w:val="22"/>
        </w:rPr>
        <w:t>5. Event Management</w:t>
      </w:r>
      <w:bookmarkEnd w:id="6"/>
      <w:r w:rsidRPr="00683723">
        <w:rPr>
          <w:rFonts w:ascii="Arial" w:hAnsi="Arial" w:cs="Arial"/>
          <w:sz w:val="22"/>
          <w:szCs w:val="22"/>
        </w:rPr>
        <w:t xml:space="preserve"> </w:t>
      </w:r>
    </w:p>
    <w:p w14:paraId="5480A919" w14:textId="63131606" w:rsidR="001E287C" w:rsidRPr="00683723" w:rsidRDefault="001E287C" w:rsidP="00274C1B">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 xml:space="preserve">Effective event management for </w:t>
      </w:r>
      <w:proofErr w:type="spellStart"/>
      <w:r w:rsidRPr="00683723">
        <w:rPr>
          <w:rFonts w:ascii="Arial" w:hAnsi="Arial" w:cs="Arial"/>
          <w:sz w:val="22"/>
          <w:szCs w:val="22"/>
        </w:rPr>
        <w:t>Gŵyl</w:t>
      </w:r>
      <w:proofErr w:type="spellEnd"/>
      <w:r w:rsidRPr="00683723">
        <w:rPr>
          <w:rFonts w:ascii="Arial" w:hAnsi="Arial" w:cs="Arial"/>
          <w:sz w:val="22"/>
          <w:szCs w:val="22"/>
        </w:rPr>
        <w:t xml:space="preserve"> y </w:t>
      </w:r>
      <w:proofErr w:type="spellStart"/>
      <w:r w:rsidRPr="00683723">
        <w:rPr>
          <w:rFonts w:ascii="Arial" w:hAnsi="Arial" w:cs="Arial"/>
          <w:sz w:val="22"/>
          <w:szCs w:val="22"/>
        </w:rPr>
        <w:t>Fro</w:t>
      </w:r>
      <w:proofErr w:type="spellEnd"/>
      <w:r w:rsidRPr="00683723">
        <w:rPr>
          <w:rFonts w:ascii="Arial" w:hAnsi="Arial" w:cs="Arial"/>
          <w:sz w:val="22"/>
          <w:szCs w:val="22"/>
        </w:rPr>
        <w:t xml:space="preserve"> requires close attention to operational details, stakeholder engagement, and cultural sensitivity. On the operational side, the Bala Lake venue was chosen for its cultural significance and scenic value, enhancing authenticity. Permissions were obtained and services like waste management, first aid, and security arranged. Stakeholder engagement is also critical: following stakeholder theory, the team considers all parties affected by the event</w:t>
      </w:r>
      <w:r w:rsidR="004A208F">
        <w:rPr>
          <w:rFonts w:ascii="Arial" w:hAnsi="Arial" w:cs="Arial"/>
          <w:sz w:val="22"/>
          <w:szCs w:val="22"/>
        </w:rPr>
        <w:t>,</w:t>
      </w:r>
      <w:r w:rsidRPr="00683723">
        <w:rPr>
          <w:rFonts w:ascii="Arial" w:hAnsi="Arial" w:cs="Arial"/>
          <w:sz w:val="22"/>
          <w:szCs w:val="22"/>
        </w:rPr>
        <w:t xml:space="preserve"> guests, staff, community, sponsors</w:t>
      </w:r>
      <w:r w:rsidR="004A208F">
        <w:rPr>
          <w:rFonts w:ascii="Arial" w:hAnsi="Arial" w:cs="Arial"/>
          <w:sz w:val="22"/>
          <w:szCs w:val="22"/>
        </w:rPr>
        <w:t>,</w:t>
      </w:r>
      <w:r w:rsidR="00A61F7D">
        <w:rPr>
          <w:rFonts w:ascii="Arial" w:hAnsi="Arial" w:cs="Arial"/>
          <w:sz w:val="22"/>
          <w:szCs w:val="22"/>
        </w:rPr>
        <w:t xml:space="preserve"> </w:t>
      </w:r>
      <w:r w:rsidRPr="00683723">
        <w:rPr>
          <w:rFonts w:ascii="Arial" w:hAnsi="Arial" w:cs="Arial"/>
          <w:sz w:val="22"/>
          <w:szCs w:val="22"/>
        </w:rPr>
        <w:t>and seeks to meet their needs (Mahajan et al., 2023), valuing local community input and volunteers and recogni</w:t>
      </w:r>
      <w:r w:rsidR="00A61F7D">
        <w:rPr>
          <w:rFonts w:ascii="Arial" w:hAnsi="Arial" w:cs="Arial"/>
          <w:sz w:val="22"/>
          <w:szCs w:val="22"/>
        </w:rPr>
        <w:t>s</w:t>
      </w:r>
      <w:r w:rsidRPr="00683723">
        <w:rPr>
          <w:rFonts w:ascii="Arial" w:hAnsi="Arial" w:cs="Arial"/>
          <w:sz w:val="22"/>
          <w:szCs w:val="22"/>
        </w:rPr>
        <w:t>ing sponsor contributions.</w:t>
      </w:r>
    </w:p>
    <w:p w14:paraId="66E3FEF8" w14:textId="77777777" w:rsidR="001E287C" w:rsidRPr="00683723" w:rsidRDefault="001E287C" w:rsidP="00683723">
      <w:pPr>
        <w:pStyle w:val="NormalWeb"/>
        <w:spacing w:before="0" w:beforeAutospacing="0" w:after="180" w:afterAutospacing="0" w:line="360" w:lineRule="auto"/>
        <w:rPr>
          <w:rFonts w:ascii="Arial" w:hAnsi="Arial" w:cs="Arial"/>
          <w:sz w:val="22"/>
          <w:szCs w:val="22"/>
        </w:rPr>
      </w:pPr>
    </w:p>
    <w:p w14:paraId="53B95698" w14:textId="77777777" w:rsidR="001E287C" w:rsidRPr="00683723" w:rsidRDefault="001E287C" w:rsidP="00683723">
      <w:pPr>
        <w:pStyle w:val="NormalWeb"/>
        <w:spacing w:before="0" w:beforeAutospacing="0" w:after="180" w:afterAutospacing="0" w:line="360" w:lineRule="auto"/>
        <w:rPr>
          <w:rFonts w:ascii="Arial" w:hAnsi="Arial" w:cs="Arial"/>
          <w:sz w:val="22"/>
          <w:szCs w:val="22"/>
        </w:rPr>
      </w:pPr>
    </w:p>
    <w:p w14:paraId="083BF1A5" w14:textId="77777777" w:rsidR="001E287C" w:rsidRPr="00683723" w:rsidRDefault="001E287C"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Cultural competence among the event staff is essential given the international scope. Applying Hofstede’s cultural dimensions theory, the management team will include bilingual staff and volunteers who understand Welsh culture and language, as well as the needs of international visitors (</w:t>
      </w:r>
      <w:proofErr w:type="spellStart"/>
      <w:r w:rsidRPr="00683723">
        <w:rPr>
          <w:rFonts w:ascii="Arial" w:hAnsi="Arial" w:cs="Arial"/>
          <w:sz w:val="22"/>
          <w:szCs w:val="22"/>
        </w:rPr>
        <w:t>Żemojtel-Piotrowska</w:t>
      </w:r>
      <w:proofErr w:type="spellEnd"/>
      <w:r w:rsidRPr="00683723">
        <w:rPr>
          <w:rFonts w:ascii="Arial" w:hAnsi="Arial" w:cs="Arial"/>
          <w:sz w:val="22"/>
          <w:szCs w:val="22"/>
        </w:rPr>
        <w:t xml:space="preserve"> and Piotrowski, 2023). This approach aligns with the festival’s inclusive ethos, helping overseas guests feel the Welsh </w:t>
      </w:r>
      <w:proofErr w:type="spellStart"/>
      <w:r w:rsidRPr="00683723">
        <w:rPr>
          <w:rFonts w:ascii="Arial" w:hAnsi="Arial" w:cs="Arial"/>
          <w:sz w:val="22"/>
          <w:szCs w:val="22"/>
        </w:rPr>
        <w:t>croeso</w:t>
      </w:r>
      <w:proofErr w:type="spellEnd"/>
      <w:r w:rsidRPr="00683723">
        <w:rPr>
          <w:rFonts w:ascii="Arial" w:hAnsi="Arial" w:cs="Arial"/>
          <w:sz w:val="22"/>
          <w:szCs w:val="22"/>
        </w:rPr>
        <w:t xml:space="preserve"> (welcome) in their own language. Inclusivity measures also involve providing accessible facilities (e.g. ramps, accessible toilets, signage in both Welsh and English) so that people of all backgrounds and abilities can enjoy the event.</w:t>
      </w:r>
    </w:p>
    <w:p w14:paraId="7EB1F40B" w14:textId="77777777" w:rsidR="001E287C" w:rsidRPr="00683723" w:rsidRDefault="001E287C" w:rsidP="00683723">
      <w:pPr>
        <w:pStyle w:val="NormalWeb"/>
        <w:spacing w:before="0" w:beforeAutospacing="0" w:after="180" w:afterAutospacing="0" w:line="360" w:lineRule="auto"/>
        <w:rPr>
          <w:rFonts w:ascii="Arial" w:hAnsi="Arial" w:cs="Arial"/>
          <w:sz w:val="22"/>
          <w:szCs w:val="22"/>
        </w:rPr>
      </w:pPr>
    </w:p>
    <w:p w14:paraId="0BEC578A" w14:textId="77777777" w:rsidR="001E287C" w:rsidRPr="00683723" w:rsidRDefault="001E287C"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The team also used project management tools like Gantt charts to schedule tasks and assign responsibilities (Wadhwa, 2024), with regular checklists and meetings to ensure key milestones (e.g. booking performers, confirming suppliers) were met on time (Bowdin et al., 2023).</w:t>
      </w:r>
    </w:p>
    <w:p w14:paraId="04E70142" w14:textId="77777777" w:rsidR="001E287C" w:rsidRPr="00683723" w:rsidRDefault="001E287C" w:rsidP="00683723">
      <w:pPr>
        <w:pStyle w:val="NormalWeb"/>
        <w:spacing w:before="0" w:beforeAutospacing="0" w:after="180" w:afterAutospacing="0" w:line="360" w:lineRule="auto"/>
        <w:rPr>
          <w:rFonts w:ascii="Arial" w:hAnsi="Arial" w:cs="Arial"/>
          <w:sz w:val="22"/>
          <w:szCs w:val="22"/>
        </w:rPr>
      </w:pPr>
    </w:p>
    <w:p w14:paraId="2D27F654" w14:textId="0E90C2B4" w:rsidR="001E287C" w:rsidRPr="00683723" w:rsidRDefault="001E287C"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Resource procurement for the event emphasi</w:t>
      </w:r>
      <w:r w:rsidR="00E018CD">
        <w:rPr>
          <w:rFonts w:ascii="Arial" w:hAnsi="Arial" w:cs="Arial"/>
          <w:sz w:val="22"/>
          <w:szCs w:val="22"/>
        </w:rPr>
        <w:t>s</w:t>
      </w:r>
      <w:r w:rsidRPr="00683723">
        <w:rPr>
          <w:rFonts w:ascii="Arial" w:hAnsi="Arial" w:cs="Arial"/>
          <w:sz w:val="22"/>
          <w:szCs w:val="22"/>
        </w:rPr>
        <w:t xml:space="preserve">es local partnerships and sustainability. Local caterers and food vendors will operate stalls, adding authentic regional </w:t>
      </w:r>
      <w:r w:rsidR="00A61F7D" w:rsidRPr="00683723">
        <w:rPr>
          <w:rFonts w:ascii="Arial" w:hAnsi="Arial" w:cs="Arial"/>
          <w:sz w:val="22"/>
          <w:szCs w:val="22"/>
        </w:rPr>
        <w:t>flavour</w:t>
      </w:r>
      <w:r w:rsidRPr="00683723">
        <w:rPr>
          <w:rFonts w:ascii="Arial" w:hAnsi="Arial" w:cs="Arial"/>
          <w:sz w:val="22"/>
          <w:szCs w:val="22"/>
        </w:rPr>
        <w:t xml:space="preserve"> while supporting the local economy. Equipment and supplies (tents, stage, sound systems) are being sourced through local companies where possible. A ticketing platform will handle registrations, and an event mobile app or social media page will be used to engage guests with updates and feedback.</w:t>
      </w:r>
    </w:p>
    <w:p w14:paraId="7121B494" w14:textId="77777777" w:rsidR="001E287C" w:rsidRPr="00683723" w:rsidRDefault="001E287C" w:rsidP="00683723">
      <w:pPr>
        <w:pStyle w:val="NormalWeb"/>
        <w:spacing w:before="0" w:beforeAutospacing="0" w:after="180" w:afterAutospacing="0" w:line="360" w:lineRule="auto"/>
        <w:rPr>
          <w:rFonts w:ascii="Arial" w:hAnsi="Arial" w:cs="Arial"/>
          <w:sz w:val="22"/>
          <w:szCs w:val="22"/>
        </w:rPr>
      </w:pPr>
    </w:p>
    <w:p w14:paraId="35197738" w14:textId="4FDC1AF9" w:rsidR="001E287C" w:rsidRPr="00683723" w:rsidRDefault="001E287C"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 xml:space="preserve">Sustainability principles are integrated into management decisions in line with the triple bottom line approach (Nogueira et al., 2023). This means implementing fair </w:t>
      </w:r>
      <w:r w:rsidR="00A61F7D" w:rsidRPr="00683723">
        <w:rPr>
          <w:rFonts w:ascii="Arial" w:hAnsi="Arial" w:cs="Arial"/>
          <w:sz w:val="22"/>
          <w:szCs w:val="22"/>
        </w:rPr>
        <w:t>labour</w:t>
      </w:r>
      <w:r w:rsidRPr="00683723">
        <w:rPr>
          <w:rFonts w:ascii="Arial" w:hAnsi="Arial" w:cs="Arial"/>
          <w:sz w:val="22"/>
          <w:szCs w:val="22"/>
        </w:rPr>
        <w:t xml:space="preserve"> practices and volunteer appreciation (people), minimi</w:t>
      </w:r>
      <w:r w:rsidR="007D097E">
        <w:rPr>
          <w:rFonts w:ascii="Arial" w:hAnsi="Arial" w:cs="Arial"/>
          <w:sz w:val="22"/>
          <w:szCs w:val="22"/>
        </w:rPr>
        <w:t>s</w:t>
      </w:r>
      <w:r w:rsidRPr="00683723">
        <w:rPr>
          <w:rFonts w:ascii="Arial" w:hAnsi="Arial" w:cs="Arial"/>
          <w:sz w:val="22"/>
          <w:szCs w:val="22"/>
        </w:rPr>
        <w:t>ing environmental impact (planet), and aiming for financial viability (profit). For example, the team will reduce waste (encouraging reusable bottles, recycling) and provide a shuttle bus from the nearest train station to reduce car usage. These initiatives demonstrate responsible resource management alongside the event’s economic aims (</w:t>
      </w:r>
      <w:proofErr w:type="spellStart"/>
      <w:r w:rsidRPr="00683723">
        <w:rPr>
          <w:rFonts w:ascii="Arial" w:hAnsi="Arial" w:cs="Arial"/>
          <w:sz w:val="22"/>
          <w:szCs w:val="22"/>
        </w:rPr>
        <w:t>Aransyah</w:t>
      </w:r>
      <w:proofErr w:type="spellEnd"/>
      <w:r w:rsidRPr="00683723">
        <w:rPr>
          <w:rFonts w:ascii="Arial" w:hAnsi="Arial" w:cs="Arial"/>
          <w:sz w:val="22"/>
          <w:szCs w:val="22"/>
        </w:rPr>
        <w:t xml:space="preserve"> et al., 2025).</w:t>
      </w:r>
    </w:p>
    <w:p w14:paraId="2CFF7716" w14:textId="77777777" w:rsidR="001E287C" w:rsidRPr="00683723" w:rsidRDefault="001E287C" w:rsidP="00683723">
      <w:pPr>
        <w:pStyle w:val="NormalWeb"/>
        <w:spacing w:before="0" w:beforeAutospacing="0" w:after="180" w:afterAutospacing="0" w:line="360" w:lineRule="auto"/>
        <w:rPr>
          <w:rFonts w:ascii="Arial" w:hAnsi="Arial" w:cs="Arial"/>
          <w:sz w:val="22"/>
          <w:szCs w:val="22"/>
        </w:rPr>
      </w:pPr>
    </w:p>
    <w:p w14:paraId="5F88555E" w14:textId="1D4C609A" w:rsidR="001E287C" w:rsidRPr="00683723" w:rsidRDefault="001E287C"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lastRenderedPageBreak/>
        <w:t xml:space="preserve">Another aspect of management is marketing the event, guided by the 4Ps marketing mix (Product, Price, Place, Promotion) (Kumar, 2021). </w:t>
      </w:r>
      <w:proofErr w:type="spellStart"/>
      <w:r w:rsidRPr="00683723">
        <w:rPr>
          <w:rFonts w:ascii="Arial" w:hAnsi="Arial" w:cs="Arial"/>
          <w:sz w:val="22"/>
          <w:szCs w:val="22"/>
        </w:rPr>
        <w:t>Gŵyl</w:t>
      </w:r>
      <w:proofErr w:type="spellEnd"/>
      <w:r w:rsidRPr="00683723">
        <w:rPr>
          <w:rFonts w:ascii="Arial" w:hAnsi="Arial" w:cs="Arial"/>
          <w:sz w:val="22"/>
          <w:szCs w:val="22"/>
        </w:rPr>
        <w:t xml:space="preserve"> y </w:t>
      </w:r>
      <w:proofErr w:type="spellStart"/>
      <w:r w:rsidRPr="00683723">
        <w:rPr>
          <w:rFonts w:ascii="Arial" w:hAnsi="Arial" w:cs="Arial"/>
          <w:sz w:val="22"/>
          <w:szCs w:val="22"/>
        </w:rPr>
        <w:t>Fro’s</w:t>
      </w:r>
      <w:proofErr w:type="spellEnd"/>
      <w:r w:rsidRPr="00683723">
        <w:rPr>
          <w:rFonts w:ascii="Arial" w:hAnsi="Arial" w:cs="Arial"/>
          <w:sz w:val="22"/>
          <w:szCs w:val="22"/>
        </w:rPr>
        <w:t xml:space="preserve"> marketing strategy aligns each “P” with its goals: the product is the unique cultural experience, the price is kept low to encourage attendance, the place is the distinctive Bala Lake setting, and promotion leverages the Year of </w:t>
      </w:r>
      <w:proofErr w:type="spellStart"/>
      <w:r w:rsidRPr="00683723">
        <w:rPr>
          <w:rFonts w:ascii="Arial" w:hAnsi="Arial" w:cs="Arial"/>
          <w:sz w:val="22"/>
          <w:szCs w:val="22"/>
        </w:rPr>
        <w:t>Croeso</w:t>
      </w:r>
      <w:proofErr w:type="spellEnd"/>
      <w:r w:rsidRPr="00683723">
        <w:rPr>
          <w:rFonts w:ascii="Arial" w:hAnsi="Arial" w:cs="Arial"/>
          <w:sz w:val="22"/>
          <w:szCs w:val="22"/>
        </w:rPr>
        <w:t xml:space="preserve"> branding with multi-channel outreach (</w:t>
      </w:r>
      <w:proofErr w:type="spellStart"/>
      <w:r w:rsidRPr="00683723">
        <w:rPr>
          <w:rFonts w:ascii="Arial" w:hAnsi="Arial" w:cs="Arial"/>
          <w:sz w:val="22"/>
          <w:szCs w:val="22"/>
        </w:rPr>
        <w:t>Štreimikienė</w:t>
      </w:r>
      <w:proofErr w:type="spellEnd"/>
      <w:r w:rsidRPr="00683723">
        <w:rPr>
          <w:rFonts w:ascii="Arial" w:hAnsi="Arial" w:cs="Arial"/>
          <w:sz w:val="22"/>
          <w:szCs w:val="22"/>
        </w:rPr>
        <w:t xml:space="preserve"> and Ahmed, 2021)</w:t>
      </w:r>
      <w:r w:rsidR="00AC7EDA">
        <w:rPr>
          <w:rFonts w:ascii="Arial" w:hAnsi="Arial" w:cs="Arial"/>
          <w:sz w:val="22"/>
          <w:szCs w:val="22"/>
        </w:rPr>
        <w:t xml:space="preserve"> (Figure 3)</w:t>
      </w:r>
      <w:r w:rsidRPr="00683723">
        <w:rPr>
          <w:rFonts w:ascii="Arial" w:hAnsi="Arial" w:cs="Arial"/>
          <w:sz w:val="22"/>
          <w:szCs w:val="22"/>
        </w:rPr>
        <w:t>. Aligning the marketing mix with the event’s objectives helps the organi</w:t>
      </w:r>
      <w:r w:rsidR="00ED167E">
        <w:rPr>
          <w:rFonts w:ascii="Arial" w:hAnsi="Arial" w:cs="Arial"/>
          <w:sz w:val="22"/>
          <w:szCs w:val="22"/>
        </w:rPr>
        <w:t>s</w:t>
      </w:r>
      <w:r w:rsidRPr="00683723">
        <w:rPr>
          <w:rFonts w:ascii="Arial" w:hAnsi="Arial" w:cs="Arial"/>
          <w:sz w:val="22"/>
          <w:szCs w:val="22"/>
        </w:rPr>
        <w:t>ers reach the target audience and deliver the promised experience.</w:t>
      </w:r>
    </w:p>
    <w:p w14:paraId="0C3FD0D7" w14:textId="77777777" w:rsidR="001E287C" w:rsidRPr="00683723" w:rsidRDefault="001E287C" w:rsidP="00683723">
      <w:pPr>
        <w:pStyle w:val="NormalWeb"/>
        <w:spacing w:before="0" w:beforeAutospacing="0" w:after="180" w:afterAutospacing="0" w:line="360" w:lineRule="auto"/>
        <w:rPr>
          <w:rFonts w:ascii="Arial" w:hAnsi="Arial" w:cs="Arial"/>
          <w:sz w:val="22"/>
          <w:szCs w:val="22"/>
        </w:rPr>
      </w:pPr>
    </w:p>
    <w:p w14:paraId="073B8BD8" w14:textId="38B3FAD2" w:rsidR="001E287C" w:rsidRDefault="001E287C"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 xml:space="preserve">On the day of the festival, dozens of staff and volunteers will handle operations (parking, admissions, stage management, information). A safety officer will liaise with emergency services while the security team controls the crowd. Training and briefings ensure the team can calmly handle incidents like lost children, medical needs, or unruly </w:t>
      </w:r>
      <w:r w:rsidR="00AC7EDA" w:rsidRPr="00683723">
        <w:rPr>
          <w:rFonts w:ascii="Arial" w:hAnsi="Arial" w:cs="Arial"/>
          <w:sz w:val="22"/>
          <w:szCs w:val="22"/>
        </w:rPr>
        <w:t>behaviour</w:t>
      </w:r>
      <w:r w:rsidRPr="00683723">
        <w:rPr>
          <w:rFonts w:ascii="Arial" w:hAnsi="Arial" w:cs="Arial"/>
          <w:sz w:val="22"/>
          <w:szCs w:val="22"/>
        </w:rPr>
        <w:t xml:space="preserve"> (</w:t>
      </w:r>
      <w:proofErr w:type="spellStart"/>
      <w:r w:rsidRPr="00683723">
        <w:rPr>
          <w:rFonts w:ascii="Arial" w:hAnsi="Arial" w:cs="Arial"/>
          <w:sz w:val="22"/>
          <w:szCs w:val="22"/>
        </w:rPr>
        <w:t>Struniawski</w:t>
      </w:r>
      <w:proofErr w:type="spellEnd"/>
      <w:r w:rsidRPr="00683723">
        <w:rPr>
          <w:rFonts w:ascii="Arial" w:hAnsi="Arial" w:cs="Arial"/>
          <w:sz w:val="22"/>
          <w:szCs w:val="22"/>
        </w:rPr>
        <w:t>, 2024).</w:t>
      </w:r>
    </w:p>
    <w:p w14:paraId="767E5715" w14:textId="77777777" w:rsidR="00AC7EDA" w:rsidRPr="00683723" w:rsidRDefault="00AC7EDA" w:rsidP="00683723">
      <w:pPr>
        <w:pStyle w:val="NormalWeb"/>
        <w:spacing w:before="0" w:beforeAutospacing="0" w:after="180" w:afterAutospacing="0" w:line="360" w:lineRule="auto"/>
        <w:rPr>
          <w:rFonts w:ascii="Arial" w:hAnsi="Arial" w:cs="Arial"/>
          <w:sz w:val="22"/>
          <w:szCs w:val="22"/>
        </w:rPr>
      </w:pPr>
    </w:p>
    <w:p w14:paraId="5AB9EC20" w14:textId="77777777" w:rsidR="0096245D" w:rsidRPr="00683723" w:rsidRDefault="006D1908" w:rsidP="00683723">
      <w:pPr>
        <w:jc w:val="center"/>
        <w:rPr>
          <w:rFonts w:ascii="Arial" w:hAnsi="Arial" w:cs="Arial"/>
          <w:sz w:val="22"/>
          <w:szCs w:val="22"/>
        </w:rPr>
      </w:pPr>
      <w:r w:rsidRPr="00683723">
        <w:rPr>
          <w:rFonts w:ascii="Arial" w:hAnsi="Arial" w:cs="Arial"/>
          <w:noProof/>
          <w:sz w:val="22"/>
          <w:szCs w:val="22"/>
        </w:rPr>
        <w:drawing>
          <wp:inline distT="114300" distB="114300" distL="114300" distR="114300" wp14:anchorId="20683AF6" wp14:editId="59AAAE4E">
            <wp:extent cx="3371850" cy="264795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1"/>
                    <a:stretch>
                      <a:fillRect/>
                    </a:stretch>
                  </pic:blipFill>
                  <pic:spPr>
                    <a:xfrm>
                      <a:off x="0" y="0"/>
                      <a:ext cx="3371850" cy="2647950"/>
                    </a:xfrm>
                    <a:prstGeom prst="rect">
                      <a:avLst/>
                    </a:prstGeom>
                  </pic:spPr>
                </pic:pic>
              </a:graphicData>
            </a:graphic>
          </wp:inline>
        </w:drawing>
      </w:r>
    </w:p>
    <w:p w14:paraId="29A46C2E" w14:textId="77777777" w:rsidR="0096245D" w:rsidRPr="00683723" w:rsidRDefault="006D1908" w:rsidP="00683723">
      <w:pPr>
        <w:jc w:val="center"/>
        <w:rPr>
          <w:rFonts w:ascii="Arial" w:hAnsi="Arial" w:cs="Arial"/>
          <w:b/>
          <w:sz w:val="22"/>
          <w:szCs w:val="22"/>
        </w:rPr>
      </w:pPr>
      <w:r w:rsidRPr="00683723">
        <w:rPr>
          <w:rFonts w:ascii="Arial" w:hAnsi="Arial" w:cs="Arial"/>
          <w:b/>
          <w:sz w:val="22"/>
          <w:szCs w:val="22"/>
        </w:rPr>
        <w:t>Figure 3: Marketing management through 4Ps marketing mix</w:t>
      </w:r>
    </w:p>
    <w:p w14:paraId="23D6F169" w14:textId="77777777" w:rsidR="0096245D" w:rsidRPr="00683723" w:rsidRDefault="006D1908" w:rsidP="00683723">
      <w:pPr>
        <w:jc w:val="center"/>
        <w:rPr>
          <w:rFonts w:ascii="Arial" w:hAnsi="Arial" w:cs="Arial"/>
          <w:sz w:val="22"/>
          <w:szCs w:val="22"/>
        </w:rPr>
      </w:pPr>
      <w:r w:rsidRPr="00683723">
        <w:rPr>
          <w:rFonts w:ascii="Arial" w:hAnsi="Arial" w:cs="Arial"/>
          <w:sz w:val="22"/>
          <w:szCs w:val="22"/>
        </w:rPr>
        <w:t>(Source: Researcher)</w:t>
      </w:r>
    </w:p>
    <w:p w14:paraId="0AB44CE6" w14:textId="77777777" w:rsidR="000D448E" w:rsidRPr="00683723" w:rsidRDefault="000D448E" w:rsidP="00683723">
      <w:pPr>
        <w:jc w:val="center"/>
        <w:rPr>
          <w:rFonts w:ascii="Arial" w:hAnsi="Arial" w:cs="Arial"/>
          <w:sz w:val="22"/>
          <w:szCs w:val="22"/>
        </w:rPr>
      </w:pPr>
    </w:p>
    <w:p w14:paraId="3238BB59" w14:textId="77777777" w:rsidR="000D448E" w:rsidRPr="00683723" w:rsidRDefault="000D448E" w:rsidP="00683723">
      <w:pPr>
        <w:jc w:val="center"/>
        <w:rPr>
          <w:rFonts w:ascii="Arial" w:hAnsi="Arial" w:cs="Arial"/>
          <w:sz w:val="22"/>
          <w:szCs w:val="22"/>
        </w:rPr>
      </w:pPr>
    </w:p>
    <w:p w14:paraId="07F814AD" w14:textId="77777777" w:rsidR="0096245D" w:rsidRPr="00683723" w:rsidRDefault="006D1908" w:rsidP="00683723">
      <w:pPr>
        <w:pStyle w:val="Heading1"/>
        <w:rPr>
          <w:rFonts w:ascii="Arial" w:hAnsi="Arial" w:cs="Arial"/>
          <w:sz w:val="22"/>
          <w:szCs w:val="22"/>
        </w:rPr>
      </w:pPr>
      <w:bookmarkStart w:id="7" w:name="_Toc200633417"/>
      <w:r w:rsidRPr="00683723">
        <w:rPr>
          <w:rFonts w:ascii="Arial" w:hAnsi="Arial" w:cs="Arial"/>
          <w:sz w:val="22"/>
          <w:szCs w:val="22"/>
        </w:rPr>
        <w:lastRenderedPageBreak/>
        <w:t>6. Event Budget</w:t>
      </w:r>
      <w:bookmarkEnd w:id="7"/>
      <w:r w:rsidRPr="00683723">
        <w:rPr>
          <w:rFonts w:ascii="Arial" w:hAnsi="Arial" w:cs="Arial"/>
          <w:sz w:val="22"/>
          <w:szCs w:val="22"/>
        </w:rPr>
        <w:t xml:space="preserve"> </w:t>
      </w:r>
    </w:p>
    <w:p w14:paraId="3A855806" w14:textId="56DB6320" w:rsidR="008914AD" w:rsidRDefault="008914AD" w:rsidP="00683723">
      <w:pPr>
        <w:rPr>
          <w:rFonts w:ascii="Arial" w:eastAsiaTheme="minorHAnsi" w:hAnsi="Arial" w:cs="Arial"/>
          <w:sz w:val="22"/>
          <w:szCs w:val="22"/>
          <w:lang w:val="en-GB" w:eastAsia="en-GB"/>
        </w:rPr>
      </w:pPr>
      <w:r w:rsidRPr="00683723">
        <w:rPr>
          <w:rFonts w:ascii="Arial" w:eastAsiaTheme="minorHAnsi" w:hAnsi="Arial" w:cs="Arial"/>
          <w:sz w:val="22"/>
          <w:szCs w:val="22"/>
          <w:lang w:val="en-GB" w:eastAsia="en-GB"/>
        </w:rPr>
        <w:t>Financial planning for the festival was informed by the initial feasibility study and aims to balance accessibility with sustainability. Projected income for Gŵyl y Fro is about £20,600. Major funding will come from grants (including support from Visit Wales’s Event Wales program) contributing around £10,000 (Visit Wales, 2025), and local sponsorships (£5,000), with additional revenue from vendor stall fees (£3,000) and other small streams (merchandise, raffles). The event will be free to attend with a suggested £2 voluntary donation per attendee (about £1,600 if 800 people contribute) to help offset costs (</w:t>
      </w:r>
      <w:proofErr w:type="spellStart"/>
      <w:r w:rsidRPr="00683723">
        <w:rPr>
          <w:rFonts w:ascii="Arial" w:eastAsiaTheme="minorHAnsi" w:hAnsi="Arial" w:cs="Arial"/>
          <w:sz w:val="22"/>
          <w:szCs w:val="22"/>
          <w:lang w:val="en-GB" w:eastAsia="en-GB"/>
        </w:rPr>
        <w:t>Damiasih</w:t>
      </w:r>
      <w:proofErr w:type="spellEnd"/>
      <w:r w:rsidRPr="00683723">
        <w:rPr>
          <w:rFonts w:ascii="Arial" w:eastAsiaTheme="minorHAnsi" w:hAnsi="Arial" w:cs="Arial"/>
          <w:sz w:val="22"/>
          <w:szCs w:val="22"/>
          <w:lang w:val="en-GB" w:eastAsia="en-GB"/>
        </w:rPr>
        <w:t>, 2024).</w:t>
      </w:r>
    </w:p>
    <w:p w14:paraId="0E7F76EC" w14:textId="77777777" w:rsidR="00AC7EDA" w:rsidRPr="00683723" w:rsidRDefault="00AC7EDA" w:rsidP="00683723">
      <w:pPr>
        <w:rPr>
          <w:rFonts w:ascii="Arial" w:eastAsiaTheme="minorHAnsi" w:hAnsi="Arial" w:cs="Arial"/>
          <w:sz w:val="22"/>
          <w:szCs w:val="22"/>
          <w:lang w:val="en-GB" w:eastAsia="en-GB"/>
        </w:rPr>
      </w:pPr>
    </w:p>
    <w:p w14:paraId="533DE7EB" w14:textId="0151CF2B" w:rsidR="0096245D" w:rsidRPr="00683723" w:rsidRDefault="006D1908" w:rsidP="00683723">
      <w:pPr>
        <w:rPr>
          <w:rFonts w:ascii="Arial" w:hAnsi="Arial" w:cs="Arial"/>
          <w:sz w:val="22"/>
          <w:szCs w:val="22"/>
        </w:rPr>
      </w:pPr>
      <w:r w:rsidRPr="00683723">
        <w:rPr>
          <w:rFonts w:ascii="Arial" w:hAnsi="Arial" w:cs="Arial"/>
          <w:b/>
          <w:iCs/>
          <w:sz w:val="22"/>
          <w:szCs w:val="22"/>
        </w:rPr>
        <w:t>Table 1:</w:t>
      </w:r>
      <w:r w:rsidRPr="00683723">
        <w:rPr>
          <w:rFonts w:ascii="Arial" w:hAnsi="Arial" w:cs="Arial"/>
          <w:b/>
          <w:i/>
          <w:sz w:val="22"/>
          <w:szCs w:val="22"/>
        </w:rPr>
        <w:t xml:space="preserve"> </w:t>
      </w:r>
      <w:r w:rsidR="00EF405B" w:rsidRPr="00683723">
        <w:rPr>
          <w:rFonts w:ascii="Arial" w:hAnsi="Arial" w:cs="Arial"/>
          <w:sz w:val="22"/>
          <w:szCs w:val="22"/>
        </w:rPr>
        <w:t>Projected Income Sources and Estimates</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6245D" w:rsidRPr="00683723" w14:paraId="037B92F5" w14:textId="77777777">
        <w:tc>
          <w:tcPr>
            <w:tcW w:w="4680" w:type="dxa"/>
            <w:shd w:val="clear" w:color="auto" w:fill="auto"/>
            <w:tcMar>
              <w:top w:w="100" w:type="dxa"/>
              <w:left w:w="100" w:type="dxa"/>
              <w:bottom w:w="100" w:type="dxa"/>
              <w:right w:w="100" w:type="dxa"/>
            </w:tcMar>
          </w:tcPr>
          <w:p w14:paraId="08F70F9F" w14:textId="77777777" w:rsidR="0096245D" w:rsidRPr="00683723" w:rsidRDefault="006D1908" w:rsidP="00683723">
            <w:pPr>
              <w:widowControl w:val="0"/>
              <w:pBdr>
                <w:top w:val="nil"/>
                <w:left w:val="nil"/>
                <w:bottom w:val="nil"/>
                <w:right w:val="nil"/>
                <w:between w:val="nil"/>
              </w:pBdr>
              <w:spacing w:after="0"/>
              <w:jc w:val="center"/>
              <w:rPr>
                <w:rFonts w:ascii="Arial" w:hAnsi="Arial" w:cs="Arial"/>
                <w:b/>
                <w:sz w:val="22"/>
                <w:szCs w:val="22"/>
              </w:rPr>
            </w:pPr>
            <w:r w:rsidRPr="00683723">
              <w:rPr>
                <w:rFonts w:ascii="Arial" w:hAnsi="Arial" w:cs="Arial"/>
                <w:b/>
                <w:sz w:val="22"/>
                <w:szCs w:val="22"/>
              </w:rPr>
              <w:t>Income sources</w:t>
            </w:r>
          </w:p>
        </w:tc>
        <w:tc>
          <w:tcPr>
            <w:tcW w:w="4680" w:type="dxa"/>
            <w:shd w:val="clear" w:color="auto" w:fill="auto"/>
            <w:tcMar>
              <w:top w:w="100" w:type="dxa"/>
              <w:left w:w="100" w:type="dxa"/>
              <w:bottom w:w="100" w:type="dxa"/>
              <w:right w:w="100" w:type="dxa"/>
            </w:tcMar>
          </w:tcPr>
          <w:p w14:paraId="091EF3CC" w14:textId="77777777" w:rsidR="0096245D" w:rsidRPr="00683723" w:rsidRDefault="006D1908" w:rsidP="00683723">
            <w:pPr>
              <w:widowControl w:val="0"/>
              <w:pBdr>
                <w:top w:val="nil"/>
                <w:left w:val="nil"/>
                <w:bottom w:val="nil"/>
                <w:right w:val="nil"/>
                <w:between w:val="nil"/>
              </w:pBdr>
              <w:spacing w:after="0"/>
              <w:jc w:val="center"/>
              <w:rPr>
                <w:rFonts w:ascii="Arial" w:hAnsi="Arial" w:cs="Arial"/>
                <w:b/>
                <w:sz w:val="22"/>
                <w:szCs w:val="22"/>
              </w:rPr>
            </w:pPr>
            <w:r w:rsidRPr="00683723">
              <w:rPr>
                <w:rFonts w:ascii="Arial" w:hAnsi="Arial" w:cs="Arial"/>
                <w:b/>
                <w:sz w:val="22"/>
                <w:szCs w:val="22"/>
              </w:rPr>
              <w:t>Income (£) (Approx)</w:t>
            </w:r>
          </w:p>
        </w:tc>
      </w:tr>
      <w:tr w:rsidR="0096245D" w:rsidRPr="00683723" w14:paraId="6D64CBC3" w14:textId="77777777">
        <w:tc>
          <w:tcPr>
            <w:tcW w:w="4680" w:type="dxa"/>
            <w:shd w:val="clear" w:color="auto" w:fill="auto"/>
            <w:tcMar>
              <w:top w:w="100" w:type="dxa"/>
              <w:left w:w="100" w:type="dxa"/>
              <w:bottom w:w="100" w:type="dxa"/>
              <w:right w:w="100" w:type="dxa"/>
            </w:tcMar>
          </w:tcPr>
          <w:p w14:paraId="36C17D2C" w14:textId="1F3163A3"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Grants</w:t>
            </w:r>
            <w:r w:rsidR="00EF405B" w:rsidRPr="00683723">
              <w:rPr>
                <w:rFonts w:ascii="Arial" w:hAnsi="Arial" w:cs="Arial"/>
                <w:sz w:val="22"/>
                <w:szCs w:val="22"/>
              </w:rPr>
              <w:t xml:space="preserve"> (e.g. Event Wales funding)</w:t>
            </w:r>
          </w:p>
        </w:tc>
        <w:tc>
          <w:tcPr>
            <w:tcW w:w="4680" w:type="dxa"/>
            <w:shd w:val="clear" w:color="auto" w:fill="auto"/>
            <w:tcMar>
              <w:top w:w="100" w:type="dxa"/>
              <w:left w:w="100" w:type="dxa"/>
              <w:bottom w:w="100" w:type="dxa"/>
              <w:right w:w="100" w:type="dxa"/>
            </w:tcMar>
          </w:tcPr>
          <w:p w14:paraId="37EBD55B" w14:textId="77777777"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10,000</w:t>
            </w:r>
          </w:p>
        </w:tc>
      </w:tr>
      <w:tr w:rsidR="0096245D" w:rsidRPr="00683723" w14:paraId="54EF7006" w14:textId="77777777">
        <w:tc>
          <w:tcPr>
            <w:tcW w:w="4680" w:type="dxa"/>
            <w:shd w:val="clear" w:color="auto" w:fill="auto"/>
            <w:tcMar>
              <w:top w:w="100" w:type="dxa"/>
              <w:left w:w="100" w:type="dxa"/>
              <w:bottom w:w="100" w:type="dxa"/>
              <w:right w:w="100" w:type="dxa"/>
            </w:tcMar>
          </w:tcPr>
          <w:p w14:paraId="4EE9F186" w14:textId="77777777"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Sponsorships</w:t>
            </w:r>
          </w:p>
        </w:tc>
        <w:tc>
          <w:tcPr>
            <w:tcW w:w="4680" w:type="dxa"/>
            <w:shd w:val="clear" w:color="auto" w:fill="auto"/>
            <w:tcMar>
              <w:top w:w="100" w:type="dxa"/>
              <w:left w:w="100" w:type="dxa"/>
              <w:bottom w:w="100" w:type="dxa"/>
              <w:right w:w="100" w:type="dxa"/>
            </w:tcMar>
          </w:tcPr>
          <w:p w14:paraId="7FE37AEA" w14:textId="77777777"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5,000</w:t>
            </w:r>
          </w:p>
        </w:tc>
      </w:tr>
      <w:tr w:rsidR="00EF405B" w:rsidRPr="00683723" w14:paraId="077D76A6" w14:textId="77777777">
        <w:tc>
          <w:tcPr>
            <w:tcW w:w="4680" w:type="dxa"/>
            <w:shd w:val="clear" w:color="auto" w:fill="auto"/>
            <w:tcMar>
              <w:top w:w="100" w:type="dxa"/>
              <w:left w:w="100" w:type="dxa"/>
              <w:bottom w:w="100" w:type="dxa"/>
              <w:right w:w="100" w:type="dxa"/>
            </w:tcMar>
          </w:tcPr>
          <w:p w14:paraId="2F4C142B" w14:textId="004560D7" w:rsidR="00EF405B" w:rsidRPr="00683723" w:rsidRDefault="00EF405B"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 xml:space="preserve">Ticket donations </w:t>
            </w:r>
          </w:p>
        </w:tc>
        <w:tc>
          <w:tcPr>
            <w:tcW w:w="4680" w:type="dxa"/>
            <w:shd w:val="clear" w:color="auto" w:fill="auto"/>
            <w:tcMar>
              <w:top w:w="100" w:type="dxa"/>
              <w:left w:w="100" w:type="dxa"/>
              <w:bottom w:w="100" w:type="dxa"/>
              <w:right w:w="100" w:type="dxa"/>
            </w:tcMar>
          </w:tcPr>
          <w:p w14:paraId="14AE8DAA" w14:textId="237178F1" w:rsidR="00EF405B" w:rsidRPr="00683723" w:rsidRDefault="00EF405B"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1,600</w:t>
            </w:r>
          </w:p>
        </w:tc>
      </w:tr>
      <w:tr w:rsidR="0096245D" w:rsidRPr="00683723" w14:paraId="172895CD" w14:textId="77777777">
        <w:tc>
          <w:tcPr>
            <w:tcW w:w="4680" w:type="dxa"/>
            <w:shd w:val="clear" w:color="auto" w:fill="auto"/>
            <w:tcMar>
              <w:top w:w="100" w:type="dxa"/>
              <w:left w:w="100" w:type="dxa"/>
              <w:bottom w:w="100" w:type="dxa"/>
              <w:right w:w="100" w:type="dxa"/>
            </w:tcMar>
          </w:tcPr>
          <w:p w14:paraId="4E778FE7" w14:textId="77777777"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Vendor charge</w:t>
            </w:r>
          </w:p>
        </w:tc>
        <w:tc>
          <w:tcPr>
            <w:tcW w:w="4680" w:type="dxa"/>
            <w:shd w:val="clear" w:color="auto" w:fill="auto"/>
            <w:tcMar>
              <w:top w:w="100" w:type="dxa"/>
              <w:left w:w="100" w:type="dxa"/>
              <w:bottom w:w="100" w:type="dxa"/>
              <w:right w:w="100" w:type="dxa"/>
            </w:tcMar>
          </w:tcPr>
          <w:p w14:paraId="5BD861B0" w14:textId="5EE347AB" w:rsidR="0096245D" w:rsidRPr="00683723" w:rsidRDefault="00EF405B"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3,</w:t>
            </w:r>
            <w:r w:rsidR="006D1908" w:rsidRPr="00683723">
              <w:rPr>
                <w:rFonts w:ascii="Arial" w:hAnsi="Arial" w:cs="Arial"/>
                <w:sz w:val="22"/>
                <w:szCs w:val="22"/>
              </w:rPr>
              <w:t>000</w:t>
            </w:r>
          </w:p>
        </w:tc>
      </w:tr>
      <w:tr w:rsidR="00EF405B" w:rsidRPr="00683723" w14:paraId="6E003EE9" w14:textId="77777777">
        <w:tc>
          <w:tcPr>
            <w:tcW w:w="4680" w:type="dxa"/>
            <w:shd w:val="clear" w:color="auto" w:fill="auto"/>
            <w:tcMar>
              <w:top w:w="100" w:type="dxa"/>
              <w:left w:w="100" w:type="dxa"/>
              <w:bottom w:w="100" w:type="dxa"/>
              <w:right w:w="100" w:type="dxa"/>
            </w:tcMar>
          </w:tcPr>
          <w:p w14:paraId="5FAFAE99" w14:textId="48FE88AF" w:rsidR="00EF405B" w:rsidRPr="00683723" w:rsidRDefault="00EF405B"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Other income (e.g. merchandise)</w:t>
            </w:r>
          </w:p>
        </w:tc>
        <w:tc>
          <w:tcPr>
            <w:tcW w:w="4680" w:type="dxa"/>
            <w:shd w:val="clear" w:color="auto" w:fill="auto"/>
            <w:tcMar>
              <w:top w:w="100" w:type="dxa"/>
              <w:left w:w="100" w:type="dxa"/>
              <w:bottom w:w="100" w:type="dxa"/>
              <w:right w:w="100" w:type="dxa"/>
            </w:tcMar>
          </w:tcPr>
          <w:p w14:paraId="71CA03CA" w14:textId="355DECE7" w:rsidR="00EF405B" w:rsidRPr="00683723" w:rsidRDefault="00EF405B"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1,000</w:t>
            </w:r>
          </w:p>
        </w:tc>
      </w:tr>
      <w:tr w:rsidR="0096245D" w:rsidRPr="00683723" w14:paraId="7631B96E" w14:textId="77777777">
        <w:tc>
          <w:tcPr>
            <w:tcW w:w="4680" w:type="dxa"/>
            <w:shd w:val="clear" w:color="auto" w:fill="auto"/>
            <w:tcMar>
              <w:top w:w="100" w:type="dxa"/>
              <w:left w:w="100" w:type="dxa"/>
              <w:bottom w:w="100" w:type="dxa"/>
              <w:right w:w="100" w:type="dxa"/>
            </w:tcMar>
          </w:tcPr>
          <w:p w14:paraId="0B078C6D" w14:textId="77777777"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Total</w:t>
            </w:r>
          </w:p>
        </w:tc>
        <w:tc>
          <w:tcPr>
            <w:tcW w:w="4680" w:type="dxa"/>
            <w:shd w:val="clear" w:color="auto" w:fill="auto"/>
            <w:tcMar>
              <w:top w:w="100" w:type="dxa"/>
              <w:left w:w="100" w:type="dxa"/>
              <w:bottom w:w="100" w:type="dxa"/>
              <w:right w:w="100" w:type="dxa"/>
            </w:tcMar>
          </w:tcPr>
          <w:p w14:paraId="3BA2F8DB" w14:textId="739D7BEC" w:rsidR="0096245D" w:rsidRPr="00683723" w:rsidRDefault="00EF405B"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20</w:t>
            </w:r>
            <w:r w:rsidR="006D1908" w:rsidRPr="00683723">
              <w:rPr>
                <w:rFonts w:ascii="Arial" w:hAnsi="Arial" w:cs="Arial"/>
                <w:sz w:val="22"/>
                <w:szCs w:val="22"/>
              </w:rPr>
              <w:t>,</w:t>
            </w:r>
            <w:r w:rsidRPr="00683723">
              <w:rPr>
                <w:rFonts w:ascii="Arial" w:hAnsi="Arial" w:cs="Arial"/>
                <w:sz w:val="22"/>
                <w:szCs w:val="22"/>
              </w:rPr>
              <w:t>6</w:t>
            </w:r>
            <w:r w:rsidR="006D1908" w:rsidRPr="00683723">
              <w:rPr>
                <w:rFonts w:ascii="Arial" w:hAnsi="Arial" w:cs="Arial"/>
                <w:sz w:val="22"/>
                <w:szCs w:val="22"/>
              </w:rPr>
              <w:t>00</w:t>
            </w:r>
          </w:p>
        </w:tc>
      </w:tr>
    </w:tbl>
    <w:p w14:paraId="16B8FEF9" w14:textId="77777777" w:rsidR="006176BC" w:rsidRPr="00683723" w:rsidRDefault="006176BC" w:rsidP="00683723">
      <w:pPr>
        <w:pStyle w:val="NormalWeb"/>
        <w:spacing w:before="0" w:beforeAutospacing="0" w:after="180" w:afterAutospacing="0" w:line="360" w:lineRule="auto"/>
        <w:rPr>
          <w:rFonts w:ascii="Arial" w:hAnsi="Arial" w:cs="Arial"/>
          <w:sz w:val="22"/>
          <w:szCs w:val="22"/>
        </w:rPr>
      </w:pPr>
    </w:p>
    <w:p w14:paraId="4ABE0E2E" w14:textId="77777777" w:rsidR="008914AD" w:rsidRPr="00683723" w:rsidRDefault="008914AD" w:rsidP="00683723">
      <w:pPr>
        <w:pStyle w:val="NormalWeb"/>
        <w:spacing w:before="0" w:beforeAutospacing="0" w:after="180" w:afterAutospacing="0" w:line="360" w:lineRule="auto"/>
        <w:rPr>
          <w:rFonts w:ascii="Arial" w:hAnsi="Arial" w:cs="Arial"/>
          <w:sz w:val="22"/>
          <w:szCs w:val="22"/>
        </w:rPr>
      </w:pPr>
    </w:p>
    <w:p w14:paraId="243CF192" w14:textId="53CFFA9D" w:rsidR="0096245D" w:rsidRPr="00683723" w:rsidRDefault="006D1908"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b/>
          <w:iCs/>
          <w:sz w:val="22"/>
          <w:szCs w:val="22"/>
        </w:rPr>
        <w:t>Table 2:</w:t>
      </w:r>
      <w:r w:rsidRPr="00683723">
        <w:rPr>
          <w:rFonts w:ascii="Arial" w:hAnsi="Arial" w:cs="Arial"/>
          <w:b/>
          <w:i/>
          <w:sz w:val="22"/>
          <w:szCs w:val="22"/>
        </w:rPr>
        <w:t xml:space="preserve"> </w:t>
      </w:r>
      <w:r w:rsidR="00EF405B" w:rsidRPr="00683723">
        <w:rPr>
          <w:rFonts w:ascii="Arial" w:hAnsi="Arial" w:cs="Arial"/>
          <w:sz w:val="22"/>
          <w:szCs w:val="22"/>
        </w:rPr>
        <w:t>Projected Expenditure Breakdown</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6245D" w:rsidRPr="00683723" w14:paraId="0995503D" w14:textId="77777777">
        <w:tc>
          <w:tcPr>
            <w:tcW w:w="4680" w:type="dxa"/>
            <w:shd w:val="clear" w:color="auto" w:fill="auto"/>
            <w:tcMar>
              <w:top w:w="100" w:type="dxa"/>
              <w:left w:w="100" w:type="dxa"/>
              <w:bottom w:w="100" w:type="dxa"/>
              <w:right w:w="100" w:type="dxa"/>
            </w:tcMar>
          </w:tcPr>
          <w:p w14:paraId="510C44A8" w14:textId="77777777" w:rsidR="0096245D" w:rsidRPr="00683723" w:rsidRDefault="006D1908" w:rsidP="00683723">
            <w:pPr>
              <w:widowControl w:val="0"/>
              <w:pBdr>
                <w:top w:val="nil"/>
                <w:left w:val="nil"/>
                <w:bottom w:val="nil"/>
                <w:right w:val="nil"/>
                <w:between w:val="nil"/>
              </w:pBdr>
              <w:spacing w:after="0"/>
              <w:jc w:val="center"/>
              <w:rPr>
                <w:rFonts w:ascii="Arial" w:hAnsi="Arial" w:cs="Arial"/>
                <w:b/>
                <w:sz w:val="22"/>
                <w:szCs w:val="22"/>
              </w:rPr>
            </w:pPr>
            <w:r w:rsidRPr="00683723">
              <w:rPr>
                <w:rFonts w:ascii="Arial" w:hAnsi="Arial" w:cs="Arial"/>
                <w:b/>
                <w:sz w:val="22"/>
                <w:szCs w:val="22"/>
              </w:rPr>
              <w:t>Expenditure sources</w:t>
            </w:r>
          </w:p>
        </w:tc>
        <w:tc>
          <w:tcPr>
            <w:tcW w:w="4680" w:type="dxa"/>
            <w:shd w:val="clear" w:color="auto" w:fill="auto"/>
            <w:tcMar>
              <w:top w:w="100" w:type="dxa"/>
              <w:left w:w="100" w:type="dxa"/>
              <w:bottom w:w="100" w:type="dxa"/>
              <w:right w:w="100" w:type="dxa"/>
            </w:tcMar>
          </w:tcPr>
          <w:p w14:paraId="5EB2B9F8" w14:textId="77777777" w:rsidR="0096245D" w:rsidRPr="00683723" w:rsidRDefault="006D1908" w:rsidP="00683723">
            <w:pPr>
              <w:widowControl w:val="0"/>
              <w:pBdr>
                <w:top w:val="nil"/>
                <w:left w:val="nil"/>
                <w:bottom w:val="nil"/>
                <w:right w:val="nil"/>
                <w:between w:val="nil"/>
              </w:pBdr>
              <w:spacing w:after="0"/>
              <w:jc w:val="center"/>
              <w:rPr>
                <w:rFonts w:ascii="Arial" w:hAnsi="Arial" w:cs="Arial"/>
                <w:b/>
                <w:sz w:val="22"/>
                <w:szCs w:val="22"/>
              </w:rPr>
            </w:pPr>
            <w:r w:rsidRPr="00683723">
              <w:rPr>
                <w:rFonts w:ascii="Arial" w:hAnsi="Arial" w:cs="Arial"/>
                <w:b/>
                <w:sz w:val="22"/>
                <w:szCs w:val="22"/>
              </w:rPr>
              <w:t>Cost (£) (Approx)</w:t>
            </w:r>
          </w:p>
        </w:tc>
      </w:tr>
      <w:tr w:rsidR="0096245D" w:rsidRPr="00683723" w14:paraId="3D447F54" w14:textId="77777777">
        <w:tc>
          <w:tcPr>
            <w:tcW w:w="4680" w:type="dxa"/>
            <w:shd w:val="clear" w:color="auto" w:fill="auto"/>
            <w:tcMar>
              <w:top w:w="100" w:type="dxa"/>
              <w:left w:w="100" w:type="dxa"/>
              <w:bottom w:w="100" w:type="dxa"/>
              <w:right w:w="100" w:type="dxa"/>
            </w:tcMar>
          </w:tcPr>
          <w:p w14:paraId="4033F247" w14:textId="4FF9BE6D"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 xml:space="preserve">Venue </w:t>
            </w:r>
            <w:r w:rsidR="00401FC4" w:rsidRPr="00683723">
              <w:rPr>
                <w:rFonts w:ascii="Arial" w:hAnsi="Arial" w:cs="Arial"/>
                <w:sz w:val="22"/>
                <w:szCs w:val="22"/>
              </w:rPr>
              <w:t>and site facilities</w:t>
            </w:r>
          </w:p>
        </w:tc>
        <w:tc>
          <w:tcPr>
            <w:tcW w:w="4680" w:type="dxa"/>
            <w:shd w:val="clear" w:color="auto" w:fill="auto"/>
            <w:tcMar>
              <w:top w:w="100" w:type="dxa"/>
              <w:left w:w="100" w:type="dxa"/>
              <w:bottom w:w="100" w:type="dxa"/>
              <w:right w:w="100" w:type="dxa"/>
            </w:tcMar>
          </w:tcPr>
          <w:p w14:paraId="23E25786" w14:textId="3B0B3D01"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3</w:t>
            </w:r>
            <w:r w:rsidR="00401FC4" w:rsidRPr="00683723">
              <w:rPr>
                <w:rFonts w:ascii="Arial" w:hAnsi="Arial" w:cs="Arial"/>
                <w:sz w:val="22"/>
                <w:szCs w:val="22"/>
              </w:rPr>
              <w:t>,</w:t>
            </w:r>
            <w:r w:rsidRPr="00683723">
              <w:rPr>
                <w:rFonts w:ascii="Arial" w:hAnsi="Arial" w:cs="Arial"/>
                <w:sz w:val="22"/>
                <w:szCs w:val="22"/>
              </w:rPr>
              <w:t>000</w:t>
            </w:r>
          </w:p>
        </w:tc>
      </w:tr>
      <w:tr w:rsidR="0096245D" w:rsidRPr="00683723" w14:paraId="6808379F" w14:textId="77777777">
        <w:tc>
          <w:tcPr>
            <w:tcW w:w="4680" w:type="dxa"/>
            <w:shd w:val="clear" w:color="auto" w:fill="auto"/>
            <w:tcMar>
              <w:top w:w="100" w:type="dxa"/>
              <w:left w:w="100" w:type="dxa"/>
              <w:bottom w:w="100" w:type="dxa"/>
              <w:right w:w="100" w:type="dxa"/>
            </w:tcMar>
          </w:tcPr>
          <w:p w14:paraId="07D59695" w14:textId="77777777"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Equipment sourcing</w:t>
            </w:r>
          </w:p>
        </w:tc>
        <w:tc>
          <w:tcPr>
            <w:tcW w:w="4680" w:type="dxa"/>
            <w:shd w:val="clear" w:color="auto" w:fill="auto"/>
            <w:tcMar>
              <w:top w:w="100" w:type="dxa"/>
              <w:left w:w="100" w:type="dxa"/>
              <w:bottom w:w="100" w:type="dxa"/>
              <w:right w:w="100" w:type="dxa"/>
            </w:tcMar>
          </w:tcPr>
          <w:p w14:paraId="27FE762C" w14:textId="39302E4C"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5</w:t>
            </w:r>
            <w:r w:rsidR="00401FC4" w:rsidRPr="00683723">
              <w:rPr>
                <w:rFonts w:ascii="Arial" w:hAnsi="Arial" w:cs="Arial"/>
                <w:sz w:val="22"/>
                <w:szCs w:val="22"/>
              </w:rPr>
              <w:t>,</w:t>
            </w:r>
            <w:r w:rsidRPr="00683723">
              <w:rPr>
                <w:rFonts w:ascii="Arial" w:hAnsi="Arial" w:cs="Arial"/>
                <w:sz w:val="22"/>
                <w:szCs w:val="22"/>
              </w:rPr>
              <w:t>000</w:t>
            </w:r>
          </w:p>
        </w:tc>
      </w:tr>
      <w:tr w:rsidR="0096245D" w:rsidRPr="00683723" w14:paraId="6253713A" w14:textId="77777777">
        <w:tc>
          <w:tcPr>
            <w:tcW w:w="4680" w:type="dxa"/>
            <w:shd w:val="clear" w:color="auto" w:fill="auto"/>
            <w:tcMar>
              <w:top w:w="100" w:type="dxa"/>
              <w:left w:w="100" w:type="dxa"/>
              <w:bottom w:w="100" w:type="dxa"/>
              <w:right w:w="100" w:type="dxa"/>
            </w:tcMar>
          </w:tcPr>
          <w:p w14:paraId="1E4AAD19" w14:textId="77777777"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Marketing expenses</w:t>
            </w:r>
          </w:p>
        </w:tc>
        <w:tc>
          <w:tcPr>
            <w:tcW w:w="4680" w:type="dxa"/>
            <w:shd w:val="clear" w:color="auto" w:fill="auto"/>
            <w:tcMar>
              <w:top w:w="100" w:type="dxa"/>
              <w:left w:w="100" w:type="dxa"/>
              <w:bottom w:w="100" w:type="dxa"/>
              <w:right w:w="100" w:type="dxa"/>
            </w:tcMar>
          </w:tcPr>
          <w:p w14:paraId="31DF65DC" w14:textId="086CF8C6"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1</w:t>
            </w:r>
            <w:r w:rsidR="00401FC4" w:rsidRPr="00683723">
              <w:rPr>
                <w:rFonts w:ascii="Arial" w:hAnsi="Arial" w:cs="Arial"/>
                <w:sz w:val="22"/>
                <w:szCs w:val="22"/>
              </w:rPr>
              <w:t>,</w:t>
            </w:r>
            <w:r w:rsidRPr="00683723">
              <w:rPr>
                <w:rFonts w:ascii="Arial" w:hAnsi="Arial" w:cs="Arial"/>
                <w:sz w:val="22"/>
                <w:szCs w:val="22"/>
              </w:rPr>
              <w:t>500</w:t>
            </w:r>
          </w:p>
        </w:tc>
      </w:tr>
      <w:tr w:rsidR="0096245D" w:rsidRPr="00683723" w14:paraId="66EED1F6" w14:textId="77777777">
        <w:tc>
          <w:tcPr>
            <w:tcW w:w="4680" w:type="dxa"/>
            <w:shd w:val="clear" w:color="auto" w:fill="auto"/>
            <w:tcMar>
              <w:top w:w="100" w:type="dxa"/>
              <w:left w:w="100" w:type="dxa"/>
              <w:bottom w:w="100" w:type="dxa"/>
              <w:right w:w="100" w:type="dxa"/>
            </w:tcMar>
          </w:tcPr>
          <w:p w14:paraId="362BA2C6" w14:textId="16C72DCC" w:rsidR="0096245D" w:rsidRPr="00683723" w:rsidRDefault="00401FC4"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lastRenderedPageBreak/>
              <w:t>Operations</w:t>
            </w:r>
          </w:p>
        </w:tc>
        <w:tc>
          <w:tcPr>
            <w:tcW w:w="4680" w:type="dxa"/>
            <w:shd w:val="clear" w:color="auto" w:fill="auto"/>
            <w:tcMar>
              <w:top w:w="100" w:type="dxa"/>
              <w:left w:w="100" w:type="dxa"/>
              <w:bottom w:w="100" w:type="dxa"/>
              <w:right w:w="100" w:type="dxa"/>
            </w:tcMar>
          </w:tcPr>
          <w:p w14:paraId="43106490" w14:textId="11CD9C10" w:rsidR="0096245D" w:rsidRPr="00683723" w:rsidRDefault="00401FC4"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4,0</w:t>
            </w:r>
            <w:r w:rsidR="006D1908" w:rsidRPr="00683723">
              <w:rPr>
                <w:rFonts w:ascii="Arial" w:hAnsi="Arial" w:cs="Arial"/>
                <w:sz w:val="22"/>
                <w:szCs w:val="22"/>
              </w:rPr>
              <w:t>00</w:t>
            </w:r>
          </w:p>
        </w:tc>
      </w:tr>
      <w:tr w:rsidR="0096245D" w:rsidRPr="00683723" w14:paraId="72909925" w14:textId="77777777">
        <w:tc>
          <w:tcPr>
            <w:tcW w:w="4680" w:type="dxa"/>
            <w:shd w:val="clear" w:color="auto" w:fill="auto"/>
            <w:tcMar>
              <w:top w:w="100" w:type="dxa"/>
              <w:left w:w="100" w:type="dxa"/>
              <w:bottom w:w="100" w:type="dxa"/>
              <w:right w:w="100" w:type="dxa"/>
            </w:tcMar>
          </w:tcPr>
          <w:p w14:paraId="72F9A88D" w14:textId="77777777"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Entertainment</w:t>
            </w:r>
          </w:p>
        </w:tc>
        <w:tc>
          <w:tcPr>
            <w:tcW w:w="4680" w:type="dxa"/>
            <w:shd w:val="clear" w:color="auto" w:fill="auto"/>
            <w:tcMar>
              <w:top w:w="100" w:type="dxa"/>
              <w:left w:w="100" w:type="dxa"/>
              <w:bottom w:w="100" w:type="dxa"/>
              <w:right w:w="100" w:type="dxa"/>
            </w:tcMar>
          </w:tcPr>
          <w:p w14:paraId="6EC40F6C" w14:textId="57906B44"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2</w:t>
            </w:r>
            <w:r w:rsidR="00401FC4" w:rsidRPr="00683723">
              <w:rPr>
                <w:rFonts w:ascii="Arial" w:hAnsi="Arial" w:cs="Arial"/>
                <w:sz w:val="22"/>
                <w:szCs w:val="22"/>
              </w:rPr>
              <w:t>,</w:t>
            </w:r>
            <w:r w:rsidRPr="00683723">
              <w:rPr>
                <w:rFonts w:ascii="Arial" w:hAnsi="Arial" w:cs="Arial"/>
                <w:sz w:val="22"/>
                <w:szCs w:val="22"/>
              </w:rPr>
              <w:t>000</w:t>
            </w:r>
          </w:p>
        </w:tc>
      </w:tr>
      <w:tr w:rsidR="0096245D" w:rsidRPr="00683723" w14:paraId="098A5869" w14:textId="77777777">
        <w:tc>
          <w:tcPr>
            <w:tcW w:w="4680" w:type="dxa"/>
            <w:shd w:val="clear" w:color="auto" w:fill="auto"/>
            <w:tcMar>
              <w:top w:w="100" w:type="dxa"/>
              <w:left w:w="100" w:type="dxa"/>
              <w:bottom w:w="100" w:type="dxa"/>
              <w:right w:w="100" w:type="dxa"/>
            </w:tcMar>
          </w:tcPr>
          <w:p w14:paraId="30500479" w14:textId="5B3DA98C"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 xml:space="preserve">Miscellaneous </w:t>
            </w:r>
            <w:r w:rsidR="00401FC4" w:rsidRPr="00683723">
              <w:rPr>
                <w:rFonts w:ascii="Arial" w:hAnsi="Arial" w:cs="Arial"/>
                <w:sz w:val="22"/>
                <w:szCs w:val="22"/>
              </w:rPr>
              <w:t>and Contingency</w:t>
            </w:r>
          </w:p>
        </w:tc>
        <w:tc>
          <w:tcPr>
            <w:tcW w:w="4680" w:type="dxa"/>
            <w:shd w:val="clear" w:color="auto" w:fill="auto"/>
            <w:tcMar>
              <w:top w:w="100" w:type="dxa"/>
              <w:left w:w="100" w:type="dxa"/>
              <w:bottom w:w="100" w:type="dxa"/>
              <w:right w:w="100" w:type="dxa"/>
            </w:tcMar>
          </w:tcPr>
          <w:p w14:paraId="08C85C52" w14:textId="760510C2" w:rsidR="0096245D" w:rsidRPr="00683723" w:rsidRDefault="00401FC4"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2,5</w:t>
            </w:r>
            <w:r w:rsidR="006D1908" w:rsidRPr="00683723">
              <w:rPr>
                <w:rFonts w:ascii="Arial" w:hAnsi="Arial" w:cs="Arial"/>
                <w:sz w:val="22"/>
                <w:szCs w:val="22"/>
              </w:rPr>
              <w:t>00</w:t>
            </w:r>
          </w:p>
        </w:tc>
      </w:tr>
      <w:tr w:rsidR="0096245D" w:rsidRPr="00683723" w14:paraId="3517EC4F" w14:textId="77777777">
        <w:tc>
          <w:tcPr>
            <w:tcW w:w="4680" w:type="dxa"/>
            <w:shd w:val="clear" w:color="auto" w:fill="auto"/>
            <w:tcMar>
              <w:top w:w="100" w:type="dxa"/>
              <w:left w:w="100" w:type="dxa"/>
              <w:bottom w:w="100" w:type="dxa"/>
              <w:right w:w="100" w:type="dxa"/>
            </w:tcMar>
          </w:tcPr>
          <w:p w14:paraId="1B6E647A" w14:textId="77777777" w:rsidR="0096245D" w:rsidRPr="00683723" w:rsidRDefault="006D1908"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Total</w:t>
            </w:r>
          </w:p>
        </w:tc>
        <w:tc>
          <w:tcPr>
            <w:tcW w:w="4680" w:type="dxa"/>
            <w:shd w:val="clear" w:color="auto" w:fill="auto"/>
            <w:tcMar>
              <w:top w:w="100" w:type="dxa"/>
              <w:left w:w="100" w:type="dxa"/>
              <w:bottom w:w="100" w:type="dxa"/>
              <w:right w:w="100" w:type="dxa"/>
            </w:tcMar>
          </w:tcPr>
          <w:p w14:paraId="751155DD" w14:textId="61FA88A3" w:rsidR="0096245D" w:rsidRPr="00683723" w:rsidRDefault="00401FC4" w:rsidP="00683723">
            <w:pPr>
              <w:widowControl w:val="0"/>
              <w:pBdr>
                <w:top w:val="nil"/>
                <w:left w:val="nil"/>
                <w:bottom w:val="nil"/>
                <w:right w:val="nil"/>
                <w:between w:val="nil"/>
              </w:pBdr>
              <w:spacing w:after="0"/>
              <w:jc w:val="left"/>
              <w:rPr>
                <w:rFonts w:ascii="Arial" w:hAnsi="Arial" w:cs="Arial"/>
                <w:sz w:val="22"/>
                <w:szCs w:val="22"/>
              </w:rPr>
            </w:pPr>
            <w:r w:rsidRPr="00683723">
              <w:rPr>
                <w:rFonts w:ascii="Arial" w:hAnsi="Arial" w:cs="Arial"/>
                <w:sz w:val="22"/>
                <w:szCs w:val="22"/>
              </w:rPr>
              <w:t>18,0</w:t>
            </w:r>
            <w:r w:rsidR="006D1908" w:rsidRPr="00683723">
              <w:rPr>
                <w:rFonts w:ascii="Arial" w:hAnsi="Arial" w:cs="Arial"/>
                <w:sz w:val="22"/>
                <w:szCs w:val="22"/>
              </w:rPr>
              <w:t>00</w:t>
            </w:r>
          </w:p>
        </w:tc>
      </w:tr>
    </w:tbl>
    <w:p w14:paraId="71D15143" w14:textId="77777777" w:rsidR="0096245D" w:rsidRPr="00683723" w:rsidRDefault="0096245D" w:rsidP="00683723">
      <w:pPr>
        <w:rPr>
          <w:rFonts w:ascii="Arial" w:hAnsi="Arial" w:cs="Arial"/>
          <w:sz w:val="22"/>
          <w:szCs w:val="22"/>
        </w:rPr>
      </w:pPr>
    </w:p>
    <w:p w14:paraId="68C306DC" w14:textId="7897AA86" w:rsidR="009123CF" w:rsidRPr="00683723" w:rsidRDefault="009123CF"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Projected expenditure is approximately £18,000. Key expenses include venue/site facilities, equipment, operations, marketing, and entertainment, with a contingency fund of about £2,500 (around 14% of the budget) for unforeseen costs. These expenses are kept reasonable by using local suppliers and an open</w:t>
      </w:r>
      <w:r w:rsidR="005F2483">
        <w:rPr>
          <w:rFonts w:ascii="Arial" w:hAnsi="Arial" w:cs="Arial"/>
          <w:sz w:val="22"/>
          <w:szCs w:val="22"/>
        </w:rPr>
        <w:t xml:space="preserve"> </w:t>
      </w:r>
      <w:r w:rsidRPr="00683723">
        <w:rPr>
          <w:rFonts w:ascii="Arial" w:hAnsi="Arial" w:cs="Arial"/>
          <w:sz w:val="22"/>
          <w:szCs w:val="22"/>
        </w:rPr>
        <w:t>air venue (minimi</w:t>
      </w:r>
      <w:r w:rsidR="00FF60D9">
        <w:rPr>
          <w:rFonts w:ascii="Arial" w:hAnsi="Arial" w:cs="Arial"/>
          <w:sz w:val="22"/>
          <w:szCs w:val="22"/>
        </w:rPr>
        <w:t>s</w:t>
      </w:r>
      <w:r w:rsidRPr="00683723">
        <w:rPr>
          <w:rFonts w:ascii="Arial" w:hAnsi="Arial" w:cs="Arial"/>
          <w:sz w:val="22"/>
          <w:szCs w:val="22"/>
        </w:rPr>
        <w:t>ing infrastructure needs), leveraging free digital marketing channels, and relying on volunteers for many roles.</w:t>
      </w:r>
    </w:p>
    <w:p w14:paraId="1CEB07A1" w14:textId="77777777" w:rsidR="009123CF" w:rsidRPr="00683723" w:rsidRDefault="009123CF" w:rsidP="00683723">
      <w:pPr>
        <w:pStyle w:val="NormalWeb"/>
        <w:spacing w:before="0" w:beforeAutospacing="0" w:after="180" w:afterAutospacing="0" w:line="360" w:lineRule="auto"/>
        <w:rPr>
          <w:rFonts w:ascii="Arial" w:hAnsi="Arial" w:cs="Arial"/>
          <w:sz w:val="22"/>
          <w:szCs w:val="22"/>
        </w:rPr>
      </w:pPr>
    </w:p>
    <w:p w14:paraId="7F907FEE" w14:textId="5E035F5D" w:rsidR="009123CF" w:rsidRPr="00683723" w:rsidRDefault="009123CF"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With income around £20.6</w:t>
      </w:r>
      <w:r w:rsidR="00FF60D9">
        <w:rPr>
          <w:rFonts w:ascii="Arial" w:hAnsi="Arial" w:cs="Arial"/>
          <w:sz w:val="22"/>
          <w:szCs w:val="22"/>
        </w:rPr>
        <w:t>00</w:t>
      </w:r>
      <w:r w:rsidRPr="00683723">
        <w:rPr>
          <w:rFonts w:ascii="Arial" w:hAnsi="Arial" w:cs="Arial"/>
          <w:sz w:val="22"/>
          <w:szCs w:val="22"/>
        </w:rPr>
        <w:t xml:space="preserve"> and costs around £18</w:t>
      </w:r>
      <w:r w:rsidR="00FF60D9">
        <w:rPr>
          <w:rFonts w:ascii="Arial" w:hAnsi="Arial" w:cs="Arial"/>
          <w:sz w:val="22"/>
          <w:szCs w:val="22"/>
        </w:rPr>
        <w:t>,000</w:t>
      </w:r>
      <w:r w:rsidRPr="00683723">
        <w:rPr>
          <w:rFonts w:ascii="Arial" w:hAnsi="Arial" w:cs="Arial"/>
          <w:sz w:val="22"/>
          <w:szCs w:val="22"/>
        </w:rPr>
        <w:t>, the event is expected to break even or achieve a small surplus. Any surplus can be reinvested into future events or local community projects, aligning with the festival’s community</w:t>
      </w:r>
      <w:r w:rsidR="005F2483">
        <w:rPr>
          <w:rFonts w:ascii="Arial" w:hAnsi="Arial" w:cs="Arial"/>
          <w:sz w:val="22"/>
          <w:szCs w:val="22"/>
        </w:rPr>
        <w:t xml:space="preserve"> </w:t>
      </w:r>
      <w:r w:rsidRPr="00683723">
        <w:rPr>
          <w:rFonts w:ascii="Arial" w:hAnsi="Arial" w:cs="Arial"/>
          <w:sz w:val="22"/>
          <w:szCs w:val="22"/>
        </w:rPr>
        <w:t>oriented mission. Importantly, this financial plan achieves the objective of generating economic benefits without relying on high ticket prices, thereby keeping the festival accessible to all.</w:t>
      </w:r>
    </w:p>
    <w:p w14:paraId="6588C27F" w14:textId="77777777" w:rsidR="009123CF" w:rsidRPr="00683723" w:rsidRDefault="009123CF" w:rsidP="00683723">
      <w:pPr>
        <w:pStyle w:val="NormalWeb"/>
        <w:spacing w:before="0" w:beforeAutospacing="0" w:after="180" w:afterAutospacing="0" w:line="360" w:lineRule="auto"/>
        <w:rPr>
          <w:rFonts w:ascii="Arial" w:hAnsi="Arial" w:cs="Arial"/>
          <w:sz w:val="22"/>
          <w:szCs w:val="22"/>
        </w:rPr>
      </w:pPr>
    </w:p>
    <w:p w14:paraId="4A9A77D9" w14:textId="4B49C2B9" w:rsidR="009123CF" w:rsidRPr="00683723" w:rsidRDefault="009123CF"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To manage finances, the organi</w:t>
      </w:r>
      <w:r w:rsidR="00ED167E">
        <w:rPr>
          <w:rFonts w:ascii="Arial" w:hAnsi="Arial" w:cs="Arial"/>
          <w:sz w:val="22"/>
          <w:szCs w:val="22"/>
        </w:rPr>
        <w:t>s</w:t>
      </w:r>
      <w:r w:rsidRPr="00683723">
        <w:rPr>
          <w:rFonts w:ascii="Arial" w:hAnsi="Arial" w:cs="Arial"/>
          <w:sz w:val="22"/>
          <w:szCs w:val="22"/>
        </w:rPr>
        <w:t>ing team will implement sound budgeting and control practices. Expenses will be closely tracked against the budget to avoid overspending (</w:t>
      </w:r>
      <w:proofErr w:type="spellStart"/>
      <w:r w:rsidRPr="00683723">
        <w:rPr>
          <w:rFonts w:ascii="Arial" w:hAnsi="Arial" w:cs="Arial"/>
          <w:sz w:val="22"/>
          <w:szCs w:val="22"/>
        </w:rPr>
        <w:t>Manuylenko</w:t>
      </w:r>
      <w:proofErr w:type="spellEnd"/>
      <w:r w:rsidRPr="00683723">
        <w:rPr>
          <w:rFonts w:ascii="Arial" w:hAnsi="Arial" w:cs="Arial"/>
          <w:sz w:val="22"/>
          <w:szCs w:val="22"/>
        </w:rPr>
        <w:t xml:space="preserve"> and </w:t>
      </w:r>
      <w:proofErr w:type="spellStart"/>
      <w:r w:rsidRPr="00683723">
        <w:rPr>
          <w:rFonts w:ascii="Arial" w:hAnsi="Arial" w:cs="Arial"/>
          <w:sz w:val="22"/>
          <w:szCs w:val="22"/>
        </w:rPr>
        <w:t>Shebzukhova</w:t>
      </w:r>
      <w:proofErr w:type="spellEnd"/>
      <w:r w:rsidRPr="00683723">
        <w:rPr>
          <w:rFonts w:ascii="Arial" w:hAnsi="Arial" w:cs="Arial"/>
          <w:sz w:val="22"/>
          <w:szCs w:val="22"/>
        </w:rPr>
        <w:t>, 2021), and a post-event financial report will compare projected figures to actual outcomes to identify areas for improvement or additional revenue in the future (Kaya and Kaya, 2023).</w:t>
      </w:r>
    </w:p>
    <w:p w14:paraId="0538ECEB" w14:textId="77777777" w:rsidR="009123CF" w:rsidRPr="00683723" w:rsidRDefault="009123CF" w:rsidP="00683723">
      <w:pPr>
        <w:pStyle w:val="Heading1"/>
        <w:rPr>
          <w:rFonts w:ascii="Arial" w:hAnsi="Arial" w:cs="Arial"/>
          <w:sz w:val="22"/>
          <w:szCs w:val="22"/>
        </w:rPr>
      </w:pPr>
    </w:p>
    <w:p w14:paraId="6951E03A" w14:textId="208E1143" w:rsidR="0096245D" w:rsidRPr="00683723" w:rsidRDefault="006D1908" w:rsidP="00683723">
      <w:pPr>
        <w:pStyle w:val="Heading1"/>
        <w:rPr>
          <w:rFonts w:ascii="Arial" w:hAnsi="Arial" w:cs="Arial"/>
          <w:sz w:val="22"/>
          <w:szCs w:val="22"/>
        </w:rPr>
      </w:pPr>
      <w:bookmarkStart w:id="8" w:name="_Toc200633418"/>
      <w:r w:rsidRPr="00683723">
        <w:rPr>
          <w:rFonts w:ascii="Arial" w:hAnsi="Arial" w:cs="Arial"/>
          <w:sz w:val="22"/>
          <w:szCs w:val="22"/>
        </w:rPr>
        <w:t>7. Industry Trends / Issues / Impacts</w:t>
      </w:r>
      <w:bookmarkEnd w:id="8"/>
      <w:r w:rsidRPr="00683723">
        <w:rPr>
          <w:rFonts w:ascii="Arial" w:hAnsi="Arial" w:cs="Arial"/>
          <w:sz w:val="22"/>
          <w:szCs w:val="22"/>
        </w:rPr>
        <w:t xml:space="preserve"> </w:t>
      </w:r>
    </w:p>
    <w:p w14:paraId="0D585E06" w14:textId="77777777" w:rsidR="00FD0271" w:rsidRDefault="00D76B15" w:rsidP="00FD0271">
      <w:pPr>
        <w:rPr>
          <w:rFonts w:ascii="Arial" w:eastAsiaTheme="minorHAnsi" w:hAnsi="Arial" w:cs="Arial"/>
          <w:sz w:val="22"/>
          <w:szCs w:val="22"/>
          <w:lang w:val="en-GB" w:eastAsia="en-GB"/>
        </w:rPr>
      </w:pPr>
      <w:r w:rsidRPr="00D76B15">
        <w:rPr>
          <w:rFonts w:ascii="Arial" w:eastAsiaTheme="minorHAnsi" w:hAnsi="Arial" w:cs="Arial"/>
          <w:sz w:val="22"/>
          <w:szCs w:val="22"/>
          <w:lang w:val="en-GB" w:eastAsia="en-GB"/>
        </w:rPr>
        <w:t xml:space="preserve">Sustainability is a dominant trend in the tourism and events industry. By 2024, nearly 80% of global travellers considered sustainable practices important when selecting destinations (Statista, 2025). In response, events like Gŵyl y Fro must integrate environmental and social responsibility to meet visitor expectations and policy goals (Hinton, 2024; Arbolino et al., 2021). </w:t>
      </w:r>
    </w:p>
    <w:p w14:paraId="13963529" w14:textId="513B1DEE" w:rsidR="00D76B15" w:rsidRPr="00FD0271" w:rsidRDefault="00D76B15" w:rsidP="00FD0271">
      <w:pPr>
        <w:rPr>
          <w:rFonts w:ascii="Arial" w:eastAsiaTheme="minorHAnsi" w:hAnsi="Arial" w:cs="Arial"/>
          <w:sz w:val="22"/>
          <w:szCs w:val="22"/>
          <w:lang w:val="en-GB" w:eastAsia="en-GB"/>
        </w:rPr>
      </w:pPr>
      <w:r w:rsidRPr="00D76B15">
        <w:rPr>
          <w:rFonts w:ascii="Arial" w:hAnsi="Arial" w:cs="Arial"/>
          <w:sz w:val="22"/>
          <w:szCs w:val="22"/>
        </w:rPr>
        <w:lastRenderedPageBreak/>
        <w:t>The festival addresses this by reducing single</w:t>
      </w:r>
      <w:r w:rsidR="00692BAC">
        <w:rPr>
          <w:rFonts w:ascii="Arial" w:hAnsi="Arial" w:cs="Arial"/>
          <w:sz w:val="22"/>
          <w:szCs w:val="22"/>
        </w:rPr>
        <w:t xml:space="preserve"> </w:t>
      </w:r>
      <w:r w:rsidRPr="00D76B15">
        <w:rPr>
          <w:rFonts w:ascii="Arial" w:hAnsi="Arial" w:cs="Arial"/>
          <w:sz w:val="22"/>
          <w:szCs w:val="22"/>
        </w:rPr>
        <w:t>use plastics, using biofuel-powered generators, and encouraging shuttle bus use over car travel. These measures reflect triple bottom line thinking</w:t>
      </w:r>
      <w:r w:rsidR="00427110">
        <w:rPr>
          <w:rFonts w:ascii="Arial" w:hAnsi="Arial" w:cs="Arial"/>
          <w:sz w:val="22"/>
          <w:szCs w:val="22"/>
        </w:rPr>
        <w:t xml:space="preserve">, </w:t>
      </w:r>
      <w:r w:rsidRPr="00D76B15">
        <w:rPr>
          <w:rFonts w:ascii="Arial" w:hAnsi="Arial" w:cs="Arial"/>
          <w:sz w:val="22"/>
          <w:szCs w:val="22"/>
        </w:rPr>
        <w:t>balancing environmental care, economic viability, and community engagement (Nogueira et al., 2023; Aransyah et al., 2025).</w:t>
      </w:r>
    </w:p>
    <w:p w14:paraId="0482261D" w14:textId="77777777" w:rsidR="00D76B15" w:rsidRPr="00D76B15" w:rsidRDefault="00D76B15" w:rsidP="00D76B15">
      <w:pPr>
        <w:pStyle w:val="NormalWeb"/>
        <w:spacing w:before="0" w:beforeAutospacing="0" w:after="180" w:afterAutospacing="0" w:line="360" w:lineRule="auto"/>
        <w:rPr>
          <w:rFonts w:ascii="Arial" w:hAnsi="Arial" w:cs="Arial"/>
          <w:sz w:val="22"/>
          <w:szCs w:val="22"/>
        </w:rPr>
      </w:pPr>
    </w:p>
    <w:p w14:paraId="0FFCCD34" w14:textId="77777777" w:rsidR="00D76B15" w:rsidRPr="00D76B15" w:rsidRDefault="00D76B15" w:rsidP="00D76B15">
      <w:pPr>
        <w:pStyle w:val="NormalWeb"/>
        <w:spacing w:before="0" w:beforeAutospacing="0" w:after="180" w:afterAutospacing="0" w:line="360" w:lineRule="auto"/>
        <w:rPr>
          <w:rFonts w:ascii="Arial" w:hAnsi="Arial" w:cs="Arial"/>
          <w:sz w:val="22"/>
          <w:szCs w:val="22"/>
        </w:rPr>
      </w:pPr>
      <w:r w:rsidRPr="00D76B15">
        <w:rPr>
          <w:rFonts w:ascii="Arial" w:hAnsi="Arial" w:cs="Arial"/>
          <w:sz w:val="22"/>
          <w:szCs w:val="22"/>
        </w:rPr>
        <w:t>Risks remain, including volunteer shortages, technical failures, and low attendance. To mitigate these, contingency plans involve backup staff from local groups, spare equipment, and programme flexibility (Haupt, 2021; Kaya and Kaya, 2023).</w:t>
      </w:r>
    </w:p>
    <w:p w14:paraId="7058ECE0" w14:textId="77777777" w:rsidR="00D76B15" w:rsidRPr="00D76B15" w:rsidRDefault="00D76B15" w:rsidP="00D76B15">
      <w:pPr>
        <w:pStyle w:val="NormalWeb"/>
        <w:spacing w:before="0" w:beforeAutospacing="0" w:after="180" w:afterAutospacing="0" w:line="360" w:lineRule="auto"/>
        <w:rPr>
          <w:rFonts w:ascii="Arial" w:hAnsi="Arial" w:cs="Arial"/>
          <w:sz w:val="22"/>
          <w:szCs w:val="22"/>
        </w:rPr>
      </w:pPr>
    </w:p>
    <w:p w14:paraId="1E8434EE" w14:textId="72651833" w:rsidR="00D76B15" w:rsidRPr="00D76B15" w:rsidRDefault="00D76B15" w:rsidP="00D76B15">
      <w:pPr>
        <w:pStyle w:val="NormalWeb"/>
        <w:spacing w:before="0" w:beforeAutospacing="0" w:after="180" w:afterAutospacing="0" w:line="360" w:lineRule="auto"/>
        <w:rPr>
          <w:rFonts w:ascii="Arial" w:hAnsi="Arial" w:cs="Arial"/>
          <w:sz w:val="22"/>
          <w:szCs w:val="22"/>
        </w:rPr>
      </w:pPr>
      <w:r w:rsidRPr="00D76B15">
        <w:rPr>
          <w:rFonts w:ascii="Arial" w:hAnsi="Arial" w:cs="Arial"/>
          <w:sz w:val="22"/>
          <w:szCs w:val="22"/>
        </w:rPr>
        <w:t xml:space="preserve">Additionally, </w:t>
      </w:r>
      <w:proofErr w:type="spellStart"/>
      <w:r w:rsidRPr="00D76B15">
        <w:rPr>
          <w:rFonts w:ascii="Arial" w:hAnsi="Arial" w:cs="Arial"/>
          <w:sz w:val="22"/>
          <w:szCs w:val="22"/>
        </w:rPr>
        <w:t>Gŵyl</w:t>
      </w:r>
      <w:proofErr w:type="spellEnd"/>
      <w:r w:rsidRPr="00D76B15">
        <w:rPr>
          <w:rFonts w:ascii="Arial" w:hAnsi="Arial" w:cs="Arial"/>
          <w:sz w:val="22"/>
          <w:szCs w:val="22"/>
        </w:rPr>
        <w:t xml:space="preserve"> y </w:t>
      </w:r>
      <w:proofErr w:type="spellStart"/>
      <w:r w:rsidRPr="00D76B15">
        <w:rPr>
          <w:rFonts w:ascii="Arial" w:hAnsi="Arial" w:cs="Arial"/>
          <w:sz w:val="22"/>
          <w:szCs w:val="22"/>
        </w:rPr>
        <w:t>Fro</w:t>
      </w:r>
      <w:proofErr w:type="spellEnd"/>
      <w:r w:rsidRPr="00D76B15">
        <w:rPr>
          <w:rFonts w:ascii="Arial" w:hAnsi="Arial" w:cs="Arial"/>
          <w:sz w:val="22"/>
          <w:szCs w:val="22"/>
        </w:rPr>
        <w:t xml:space="preserve"> fosters cultural sustainability by ensuring inclusivity through bilingual signage, accessible facilities, and community-led performances</w:t>
      </w:r>
      <w:r w:rsidR="00427110">
        <w:rPr>
          <w:rFonts w:ascii="Arial" w:hAnsi="Arial" w:cs="Arial"/>
          <w:sz w:val="22"/>
          <w:szCs w:val="22"/>
        </w:rPr>
        <w:t xml:space="preserve"> (Figure 4)</w:t>
      </w:r>
      <w:r w:rsidRPr="00D76B15">
        <w:rPr>
          <w:rFonts w:ascii="Arial" w:hAnsi="Arial" w:cs="Arial"/>
          <w:sz w:val="22"/>
          <w:szCs w:val="22"/>
        </w:rPr>
        <w:t>. These actions promote a meaningful, responsible experience aligned with ethical and strategic tourism standards (Yen, 2023; Gallarza and Gil Saura, 2020).</w:t>
      </w:r>
    </w:p>
    <w:p w14:paraId="01A09C77" w14:textId="7DE91F68" w:rsidR="00176F38" w:rsidRPr="00683723" w:rsidRDefault="00FD0271" w:rsidP="00FD0271">
      <w:pPr>
        <w:pStyle w:val="NormalWeb"/>
        <w:spacing w:before="0" w:beforeAutospacing="0" w:after="180" w:afterAutospacing="0" w:line="360" w:lineRule="auto"/>
        <w:rPr>
          <w:rFonts w:ascii="Arial" w:hAnsi="Arial" w:cs="Arial"/>
          <w:sz w:val="22"/>
          <w:szCs w:val="22"/>
        </w:rPr>
      </w:pPr>
      <w:r w:rsidRPr="00683723">
        <w:rPr>
          <w:rFonts w:ascii="Arial" w:hAnsi="Arial" w:cs="Arial"/>
          <w:noProof/>
          <w:sz w:val="22"/>
          <w:szCs w:val="22"/>
        </w:rPr>
        <w:drawing>
          <wp:anchor distT="0" distB="0" distL="114300" distR="114300" simplePos="0" relativeHeight="251658240" behindDoc="0" locked="0" layoutInCell="1" allowOverlap="1" wp14:anchorId="7366CC65" wp14:editId="069C42D2">
            <wp:simplePos x="0" y="0"/>
            <wp:positionH relativeFrom="column">
              <wp:posOffset>592282</wp:posOffset>
            </wp:positionH>
            <wp:positionV relativeFrom="paragraph">
              <wp:posOffset>3175</wp:posOffset>
            </wp:positionV>
            <wp:extent cx="4506306" cy="3372466"/>
            <wp:effectExtent l="0" t="0" r="8890" b="0"/>
            <wp:wrapSquare wrapText="bothSides"/>
            <wp:docPr id="1" name="image2.png" descr="A graph of a travel service&#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2.png" descr="A graph of a travel servic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506306" cy="3372466"/>
                    </a:xfrm>
                    <a:prstGeom prst="rect">
                      <a:avLst/>
                    </a:prstGeom>
                  </pic:spPr>
                </pic:pic>
              </a:graphicData>
            </a:graphic>
          </wp:anchor>
        </w:drawing>
      </w:r>
    </w:p>
    <w:p w14:paraId="58E9383D" w14:textId="5C302508" w:rsidR="0096245D" w:rsidRPr="00683723" w:rsidRDefault="0096245D" w:rsidP="00683723">
      <w:pPr>
        <w:jc w:val="center"/>
        <w:rPr>
          <w:rFonts w:ascii="Arial" w:hAnsi="Arial" w:cs="Arial"/>
          <w:sz w:val="22"/>
          <w:szCs w:val="22"/>
        </w:rPr>
      </w:pPr>
    </w:p>
    <w:p w14:paraId="56EFE01F" w14:textId="77777777" w:rsidR="00FD0271" w:rsidRDefault="00FD0271" w:rsidP="00683723">
      <w:pPr>
        <w:jc w:val="center"/>
        <w:rPr>
          <w:rFonts w:ascii="Arial" w:hAnsi="Arial" w:cs="Arial"/>
          <w:b/>
          <w:sz w:val="22"/>
          <w:szCs w:val="22"/>
        </w:rPr>
      </w:pPr>
    </w:p>
    <w:p w14:paraId="03B4DD5B" w14:textId="77777777" w:rsidR="00FD0271" w:rsidRDefault="00FD0271" w:rsidP="00683723">
      <w:pPr>
        <w:jc w:val="center"/>
        <w:rPr>
          <w:rFonts w:ascii="Arial" w:hAnsi="Arial" w:cs="Arial"/>
          <w:b/>
          <w:sz w:val="22"/>
          <w:szCs w:val="22"/>
        </w:rPr>
      </w:pPr>
    </w:p>
    <w:p w14:paraId="2DC1120A" w14:textId="77777777" w:rsidR="00FD0271" w:rsidRDefault="00FD0271" w:rsidP="00683723">
      <w:pPr>
        <w:jc w:val="center"/>
        <w:rPr>
          <w:rFonts w:ascii="Arial" w:hAnsi="Arial" w:cs="Arial"/>
          <w:b/>
          <w:sz w:val="22"/>
          <w:szCs w:val="22"/>
        </w:rPr>
      </w:pPr>
    </w:p>
    <w:p w14:paraId="75020F69" w14:textId="77777777" w:rsidR="00FD0271" w:rsidRDefault="00FD0271" w:rsidP="00683723">
      <w:pPr>
        <w:jc w:val="center"/>
        <w:rPr>
          <w:rFonts w:ascii="Arial" w:hAnsi="Arial" w:cs="Arial"/>
          <w:b/>
          <w:sz w:val="22"/>
          <w:szCs w:val="22"/>
        </w:rPr>
      </w:pPr>
    </w:p>
    <w:p w14:paraId="4CEC9D76" w14:textId="77777777" w:rsidR="00FD0271" w:rsidRDefault="00FD0271" w:rsidP="00683723">
      <w:pPr>
        <w:jc w:val="center"/>
        <w:rPr>
          <w:rFonts w:ascii="Arial" w:hAnsi="Arial" w:cs="Arial"/>
          <w:b/>
          <w:sz w:val="22"/>
          <w:szCs w:val="22"/>
        </w:rPr>
      </w:pPr>
    </w:p>
    <w:p w14:paraId="364D9C5C" w14:textId="77777777" w:rsidR="00FD0271" w:rsidRDefault="00FD0271" w:rsidP="00683723">
      <w:pPr>
        <w:jc w:val="center"/>
        <w:rPr>
          <w:rFonts w:ascii="Arial" w:hAnsi="Arial" w:cs="Arial"/>
          <w:b/>
          <w:sz w:val="22"/>
          <w:szCs w:val="22"/>
        </w:rPr>
      </w:pPr>
    </w:p>
    <w:p w14:paraId="36DE7F61" w14:textId="77777777" w:rsidR="00FD0271" w:rsidRDefault="00FD0271" w:rsidP="00683723">
      <w:pPr>
        <w:jc w:val="center"/>
        <w:rPr>
          <w:rFonts w:ascii="Arial" w:hAnsi="Arial" w:cs="Arial"/>
          <w:b/>
          <w:sz w:val="22"/>
          <w:szCs w:val="22"/>
        </w:rPr>
      </w:pPr>
    </w:p>
    <w:p w14:paraId="1F1AF414" w14:textId="77777777" w:rsidR="00FD0271" w:rsidRDefault="00FD0271" w:rsidP="00683723">
      <w:pPr>
        <w:jc w:val="center"/>
        <w:rPr>
          <w:rFonts w:ascii="Arial" w:hAnsi="Arial" w:cs="Arial"/>
          <w:b/>
          <w:sz w:val="22"/>
          <w:szCs w:val="22"/>
        </w:rPr>
      </w:pPr>
    </w:p>
    <w:p w14:paraId="061F509C" w14:textId="10C98C60" w:rsidR="0096245D" w:rsidRPr="00683723" w:rsidRDefault="006D1908" w:rsidP="00683723">
      <w:pPr>
        <w:jc w:val="center"/>
        <w:rPr>
          <w:rFonts w:ascii="Arial" w:hAnsi="Arial" w:cs="Arial"/>
          <w:b/>
          <w:sz w:val="22"/>
          <w:szCs w:val="22"/>
        </w:rPr>
      </w:pPr>
      <w:r w:rsidRPr="00683723">
        <w:rPr>
          <w:rFonts w:ascii="Arial" w:hAnsi="Arial" w:cs="Arial"/>
          <w:b/>
          <w:sz w:val="22"/>
          <w:szCs w:val="22"/>
        </w:rPr>
        <w:t>Figure 4: Tourism and event sustainability responsibilities of different stakeholders</w:t>
      </w:r>
    </w:p>
    <w:p w14:paraId="77DFCF41" w14:textId="587E2067" w:rsidR="00427110" w:rsidRPr="00683723" w:rsidRDefault="006D1908" w:rsidP="00427110">
      <w:pPr>
        <w:jc w:val="center"/>
        <w:rPr>
          <w:rFonts w:ascii="Arial" w:hAnsi="Arial" w:cs="Arial"/>
          <w:sz w:val="22"/>
          <w:szCs w:val="22"/>
        </w:rPr>
      </w:pPr>
      <w:r w:rsidRPr="00683723">
        <w:rPr>
          <w:rFonts w:ascii="Arial" w:hAnsi="Arial" w:cs="Arial"/>
          <w:sz w:val="22"/>
          <w:szCs w:val="22"/>
        </w:rPr>
        <w:t>(Source: Hinton, 2024)</w:t>
      </w:r>
    </w:p>
    <w:p w14:paraId="1E49D214" w14:textId="77777777" w:rsidR="0096245D" w:rsidRPr="00683723" w:rsidRDefault="006D1908" w:rsidP="00683723">
      <w:pPr>
        <w:pStyle w:val="Heading1"/>
        <w:rPr>
          <w:rFonts w:ascii="Arial" w:hAnsi="Arial" w:cs="Arial"/>
          <w:sz w:val="22"/>
          <w:szCs w:val="22"/>
        </w:rPr>
      </w:pPr>
      <w:bookmarkStart w:id="9" w:name="_Toc200633419"/>
      <w:r w:rsidRPr="00683723">
        <w:rPr>
          <w:rFonts w:ascii="Arial" w:hAnsi="Arial" w:cs="Arial"/>
          <w:sz w:val="22"/>
          <w:szCs w:val="22"/>
        </w:rPr>
        <w:lastRenderedPageBreak/>
        <w:t>8. Situational and Cultural Considerations</w:t>
      </w:r>
      <w:bookmarkEnd w:id="9"/>
      <w:r w:rsidRPr="00683723">
        <w:rPr>
          <w:rFonts w:ascii="Arial" w:hAnsi="Arial" w:cs="Arial"/>
          <w:sz w:val="22"/>
          <w:szCs w:val="22"/>
        </w:rPr>
        <w:t xml:space="preserve"> </w:t>
      </w:r>
    </w:p>
    <w:p w14:paraId="7D51353C" w14:textId="09518CDE" w:rsidR="00D05D5D" w:rsidRPr="00683723" w:rsidRDefault="00D05D5D"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 xml:space="preserve">The success of </w:t>
      </w:r>
      <w:proofErr w:type="spellStart"/>
      <w:r w:rsidRPr="00683723">
        <w:rPr>
          <w:rFonts w:ascii="Arial" w:hAnsi="Arial" w:cs="Arial"/>
          <w:sz w:val="22"/>
          <w:szCs w:val="22"/>
        </w:rPr>
        <w:t>Gŵyl</w:t>
      </w:r>
      <w:proofErr w:type="spellEnd"/>
      <w:r w:rsidRPr="00683723">
        <w:rPr>
          <w:rFonts w:ascii="Arial" w:hAnsi="Arial" w:cs="Arial"/>
          <w:sz w:val="22"/>
          <w:szCs w:val="22"/>
        </w:rPr>
        <w:t xml:space="preserve"> y </w:t>
      </w:r>
      <w:proofErr w:type="spellStart"/>
      <w:r w:rsidRPr="00683723">
        <w:rPr>
          <w:rFonts w:ascii="Arial" w:hAnsi="Arial" w:cs="Arial"/>
          <w:sz w:val="22"/>
          <w:szCs w:val="22"/>
        </w:rPr>
        <w:t>Fro</w:t>
      </w:r>
      <w:proofErr w:type="spellEnd"/>
      <w:r w:rsidRPr="00683723">
        <w:rPr>
          <w:rFonts w:ascii="Arial" w:hAnsi="Arial" w:cs="Arial"/>
          <w:sz w:val="22"/>
          <w:szCs w:val="22"/>
        </w:rPr>
        <w:t xml:space="preserve"> depends on understanding the situational context and cultural considerations surrounding the event.</w:t>
      </w:r>
    </w:p>
    <w:p w14:paraId="46B2A467" w14:textId="77777777" w:rsidR="00D05D5D" w:rsidRPr="00683723" w:rsidRDefault="00D05D5D" w:rsidP="00683723">
      <w:pPr>
        <w:pStyle w:val="NormalWeb"/>
        <w:spacing w:before="0" w:beforeAutospacing="0" w:after="180" w:afterAutospacing="0" w:line="360" w:lineRule="auto"/>
        <w:rPr>
          <w:rFonts w:ascii="Arial" w:hAnsi="Arial" w:cs="Arial"/>
          <w:sz w:val="22"/>
          <w:szCs w:val="22"/>
        </w:rPr>
      </w:pPr>
    </w:p>
    <w:p w14:paraId="2F7436FC" w14:textId="6065797E" w:rsidR="00D05D5D" w:rsidRPr="00683723" w:rsidRDefault="00D05D5D"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 xml:space="preserve">From a situational perspective, market research indicates </w:t>
      </w:r>
      <w:r w:rsidR="00EF4550" w:rsidRPr="00683723">
        <w:rPr>
          <w:rFonts w:ascii="Arial" w:hAnsi="Arial" w:cs="Arial"/>
          <w:sz w:val="22"/>
          <w:szCs w:val="22"/>
        </w:rPr>
        <w:t>favourable</w:t>
      </w:r>
      <w:r w:rsidRPr="00683723">
        <w:rPr>
          <w:rFonts w:ascii="Arial" w:hAnsi="Arial" w:cs="Arial"/>
          <w:sz w:val="22"/>
          <w:szCs w:val="22"/>
        </w:rPr>
        <w:t xml:space="preserve"> conditions for a cultural festival in Wales. The UK’s heritage tourism market is projected to grow significantly in the coming years (Grand View Research, 2025), indicating rising interest in authentic cultural experiences</w:t>
      </w:r>
      <w:r w:rsidR="00EF4550">
        <w:rPr>
          <w:rFonts w:ascii="Arial" w:hAnsi="Arial" w:cs="Arial"/>
          <w:sz w:val="22"/>
          <w:szCs w:val="22"/>
        </w:rPr>
        <w:t>,</w:t>
      </w:r>
      <w:r w:rsidRPr="00683723">
        <w:rPr>
          <w:rFonts w:ascii="Arial" w:hAnsi="Arial" w:cs="Arial"/>
          <w:sz w:val="22"/>
          <w:szCs w:val="22"/>
        </w:rPr>
        <w:t xml:space="preserve"> a trend that bodes well for </w:t>
      </w:r>
      <w:proofErr w:type="spellStart"/>
      <w:r w:rsidRPr="00683723">
        <w:rPr>
          <w:rFonts w:ascii="Arial" w:hAnsi="Arial" w:cs="Arial"/>
          <w:sz w:val="22"/>
          <w:szCs w:val="22"/>
        </w:rPr>
        <w:t>Gŵyl</w:t>
      </w:r>
      <w:proofErr w:type="spellEnd"/>
      <w:r w:rsidRPr="00683723">
        <w:rPr>
          <w:rFonts w:ascii="Arial" w:hAnsi="Arial" w:cs="Arial"/>
          <w:sz w:val="22"/>
          <w:szCs w:val="22"/>
        </w:rPr>
        <w:t xml:space="preserve"> y </w:t>
      </w:r>
      <w:proofErr w:type="spellStart"/>
      <w:r w:rsidRPr="00683723">
        <w:rPr>
          <w:rFonts w:ascii="Arial" w:hAnsi="Arial" w:cs="Arial"/>
          <w:sz w:val="22"/>
          <w:szCs w:val="22"/>
        </w:rPr>
        <w:t>Fro</w:t>
      </w:r>
      <w:proofErr w:type="spellEnd"/>
      <w:r w:rsidRPr="00683723">
        <w:rPr>
          <w:rFonts w:ascii="Arial" w:hAnsi="Arial" w:cs="Arial"/>
          <w:sz w:val="22"/>
          <w:szCs w:val="22"/>
        </w:rPr>
        <w:t xml:space="preserve">. Additionally, government support for the tourism sector (GOV.UK, 2021), along with Wales’s Year of </w:t>
      </w:r>
      <w:proofErr w:type="spellStart"/>
      <w:r w:rsidRPr="00683723">
        <w:rPr>
          <w:rFonts w:ascii="Arial" w:hAnsi="Arial" w:cs="Arial"/>
          <w:sz w:val="22"/>
          <w:szCs w:val="22"/>
        </w:rPr>
        <w:t>Croeso</w:t>
      </w:r>
      <w:proofErr w:type="spellEnd"/>
      <w:r w:rsidRPr="00683723">
        <w:rPr>
          <w:rFonts w:ascii="Arial" w:hAnsi="Arial" w:cs="Arial"/>
          <w:sz w:val="22"/>
          <w:szCs w:val="22"/>
        </w:rPr>
        <w:t xml:space="preserve"> initiative, have created a positive environment for launching this festival.</w:t>
      </w:r>
    </w:p>
    <w:p w14:paraId="61A15741" w14:textId="77777777" w:rsidR="00627941" w:rsidRPr="00683723" w:rsidRDefault="00627941" w:rsidP="00683723">
      <w:pPr>
        <w:pStyle w:val="NormalWeb"/>
        <w:spacing w:before="0" w:beforeAutospacing="0" w:after="180" w:afterAutospacing="0" w:line="360" w:lineRule="auto"/>
        <w:rPr>
          <w:rFonts w:ascii="Arial" w:hAnsi="Arial" w:cs="Arial"/>
          <w:sz w:val="22"/>
          <w:szCs w:val="22"/>
        </w:rPr>
      </w:pPr>
    </w:p>
    <w:p w14:paraId="3C7F1D38" w14:textId="77777777" w:rsidR="0096245D" w:rsidRPr="00683723" w:rsidRDefault="006D1908" w:rsidP="00683723">
      <w:pPr>
        <w:jc w:val="center"/>
        <w:rPr>
          <w:rFonts w:ascii="Arial" w:hAnsi="Arial" w:cs="Arial"/>
          <w:sz w:val="22"/>
          <w:szCs w:val="22"/>
        </w:rPr>
      </w:pPr>
      <w:r w:rsidRPr="00683723">
        <w:rPr>
          <w:rFonts w:ascii="Arial" w:hAnsi="Arial" w:cs="Arial"/>
          <w:noProof/>
          <w:sz w:val="22"/>
          <w:szCs w:val="22"/>
        </w:rPr>
        <w:drawing>
          <wp:inline distT="114300" distB="114300" distL="114300" distR="114300" wp14:anchorId="365F18D8" wp14:editId="7948E07F">
            <wp:extent cx="5943600" cy="34036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3"/>
                    <a:stretch>
                      <a:fillRect/>
                    </a:stretch>
                  </pic:blipFill>
                  <pic:spPr>
                    <a:xfrm>
                      <a:off x="0" y="0"/>
                      <a:ext cx="5943600" cy="3403600"/>
                    </a:xfrm>
                    <a:prstGeom prst="rect">
                      <a:avLst/>
                    </a:prstGeom>
                  </pic:spPr>
                </pic:pic>
              </a:graphicData>
            </a:graphic>
          </wp:inline>
        </w:drawing>
      </w:r>
    </w:p>
    <w:p w14:paraId="7390C083" w14:textId="77777777" w:rsidR="0096245D" w:rsidRPr="00683723" w:rsidRDefault="006D1908" w:rsidP="00683723">
      <w:pPr>
        <w:jc w:val="center"/>
        <w:rPr>
          <w:rFonts w:ascii="Arial" w:hAnsi="Arial" w:cs="Arial"/>
          <w:b/>
          <w:sz w:val="22"/>
          <w:szCs w:val="22"/>
        </w:rPr>
      </w:pPr>
      <w:r w:rsidRPr="00683723">
        <w:rPr>
          <w:rFonts w:ascii="Arial" w:hAnsi="Arial" w:cs="Arial"/>
          <w:b/>
          <w:sz w:val="22"/>
          <w:szCs w:val="22"/>
        </w:rPr>
        <w:t>Figure 5: Heritage tourism market growth forecast</w:t>
      </w:r>
    </w:p>
    <w:p w14:paraId="13365342" w14:textId="77777777" w:rsidR="0096245D" w:rsidRPr="00683723" w:rsidRDefault="006D1908" w:rsidP="00683723">
      <w:pPr>
        <w:jc w:val="center"/>
        <w:rPr>
          <w:rFonts w:ascii="Arial" w:hAnsi="Arial" w:cs="Arial"/>
          <w:sz w:val="22"/>
          <w:szCs w:val="22"/>
        </w:rPr>
      </w:pPr>
      <w:r w:rsidRPr="00683723">
        <w:rPr>
          <w:rFonts w:ascii="Arial" w:hAnsi="Arial" w:cs="Arial"/>
          <w:sz w:val="22"/>
          <w:szCs w:val="22"/>
        </w:rPr>
        <w:t>(Source: Grand View Research, 2025)</w:t>
      </w:r>
    </w:p>
    <w:p w14:paraId="7CAAC688" w14:textId="77777777" w:rsidR="00627941" w:rsidRPr="00683723" w:rsidRDefault="00627941" w:rsidP="00683723">
      <w:pPr>
        <w:pStyle w:val="NormalWeb"/>
        <w:spacing w:before="0" w:beforeAutospacing="0" w:after="180" w:afterAutospacing="0" w:line="360" w:lineRule="auto"/>
        <w:rPr>
          <w:rFonts w:ascii="Arial" w:hAnsi="Arial" w:cs="Arial"/>
          <w:sz w:val="22"/>
          <w:szCs w:val="22"/>
        </w:rPr>
      </w:pPr>
    </w:p>
    <w:p w14:paraId="3B6A8DFC" w14:textId="77777777" w:rsidR="00653A7D" w:rsidRPr="00683723" w:rsidRDefault="00653A7D"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lastRenderedPageBreak/>
        <w:t xml:space="preserve">Cultural considerations are at the heart of the event. </w:t>
      </w:r>
      <w:proofErr w:type="spellStart"/>
      <w:r w:rsidRPr="00683723">
        <w:rPr>
          <w:rFonts w:ascii="Arial" w:hAnsi="Arial" w:cs="Arial"/>
          <w:sz w:val="22"/>
          <w:szCs w:val="22"/>
        </w:rPr>
        <w:t>Gŵyl</w:t>
      </w:r>
      <w:proofErr w:type="spellEnd"/>
      <w:r w:rsidRPr="00683723">
        <w:rPr>
          <w:rFonts w:ascii="Arial" w:hAnsi="Arial" w:cs="Arial"/>
          <w:sz w:val="22"/>
          <w:szCs w:val="22"/>
        </w:rPr>
        <w:t xml:space="preserve"> y </w:t>
      </w:r>
      <w:proofErr w:type="spellStart"/>
      <w:r w:rsidRPr="00683723">
        <w:rPr>
          <w:rFonts w:ascii="Arial" w:hAnsi="Arial" w:cs="Arial"/>
          <w:sz w:val="22"/>
          <w:szCs w:val="22"/>
        </w:rPr>
        <w:t>Fro</w:t>
      </w:r>
      <w:proofErr w:type="spellEnd"/>
      <w:r w:rsidRPr="00683723">
        <w:rPr>
          <w:rFonts w:ascii="Arial" w:hAnsi="Arial" w:cs="Arial"/>
          <w:sz w:val="22"/>
          <w:szCs w:val="22"/>
        </w:rPr>
        <w:t xml:space="preserve"> is designed to showcase Wales’s unique language, traditions, cuisine, and artistic heritage, extending a warm Welsh welcome to all (Yen, 2023). A key cultural goal is inclusivity: the festival is open to people of all backgrounds (“everyone is welcome”), and bilingual signage and program materials (in Welsh and English) will be used to eliminate language barriers (</w:t>
      </w:r>
      <w:proofErr w:type="spellStart"/>
      <w:r w:rsidRPr="00683723">
        <w:rPr>
          <w:rFonts w:ascii="Arial" w:hAnsi="Arial" w:cs="Arial"/>
          <w:sz w:val="22"/>
          <w:szCs w:val="22"/>
        </w:rPr>
        <w:t>Żemojtel-Piotrowska</w:t>
      </w:r>
      <w:proofErr w:type="spellEnd"/>
      <w:r w:rsidRPr="00683723">
        <w:rPr>
          <w:rFonts w:ascii="Arial" w:hAnsi="Arial" w:cs="Arial"/>
          <w:sz w:val="22"/>
          <w:szCs w:val="22"/>
        </w:rPr>
        <w:t xml:space="preserve"> and Piotrowski, 2023).</w:t>
      </w:r>
    </w:p>
    <w:p w14:paraId="01D5CB3A" w14:textId="77777777" w:rsidR="00653A7D" w:rsidRPr="00683723" w:rsidRDefault="00653A7D" w:rsidP="00683723">
      <w:pPr>
        <w:pStyle w:val="NormalWeb"/>
        <w:spacing w:before="0" w:beforeAutospacing="0" w:after="180" w:afterAutospacing="0" w:line="360" w:lineRule="auto"/>
        <w:rPr>
          <w:rFonts w:ascii="Arial" w:hAnsi="Arial" w:cs="Arial"/>
          <w:sz w:val="22"/>
          <w:szCs w:val="22"/>
        </w:rPr>
      </w:pPr>
    </w:p>
    <w:p w14:paraId="01E218E9" w14:textId="4FD51F1B" w:rsidR="00653A7D" w:rsidRPr="00683723" w:rsidRDefault="00653A7D"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Engaging the local community of Bala is both culturally respectful and strategic. Local organi</w:t>
      </w:r>
      <w:r w:rsidR="00ED167E">
        <w:rPr>
          <w:rFonts w:ascii="Arial" w:hAnsi="Arial" w:cs="Arial"/>
          <w:sz w:val="22"/>
          <w:szCs w:val="22"/>
        </w:rPr>
        <w:t>s</w:t>
      </w:r>
      <w:r w:rsidRPr="00683723">
        <w:rPr>
          <w:rFonts w:ascii="Arial" w:hAnsi="Arial" w:cs="Arial"/>
          <w:sz w:val="22"/>
          <w:szCs w:val="22"/>
        </w:rPr>
        <w:t>ations (schools, youth groups, cultural societies) are involved, grounding the festival in the community and ensuring authentic content. These collaborations foster local ownership and give visitors a chance to interact with residents and learn about Welsh culture, enhancing the sense of place.</w:t>
      </w:r>
    </w:p>
    <w:p w14:paraId="59E255E6" w14:textId="77777777" w:rsidR="00653A7D" w:rsidRPr="00683723" w:rsidRDefault="00653A7D" w:rsidP="00683723">
      <w:pPr>
        <w:pStyle w:val="NormalWeb"/>
        <w:spacing w:before="0" w:beforeAutospacing="0" w:after="180" w:afterAutospacing="0" w:line="360" w:lineRule="auto"/>
        <w:rPr>
          <w:rFonts w:ascii="Arial" w:hAnsi="Arial" w:cs="Arial"/>
          <w:sz w:val="22"/>
          <w:szCs w:val="22"/>
        </w:rPr>
      </w:pPr>
    </w:p>
    <w:p w14:paraId="29A6DE7F" w14:textId="77777777" w:rsidR="00EF4550" w:rsidRDefault="00653A7D"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A brief SWOT analysis highlights the event’s internal strengths and weaknesses and the external opportunities and threats</w:t>
      </w:r>
      <w:r w:rsidR="00EF4550">
        <w:rPr>
          <w:rFonts w:ascii="Arial" w:hAnsi="Arial" w:cs="Arial"/>
          <w:sz w:val="22"/>
          <w:szCs w:val="22"/>
        </w:rPr>
        <w:t xml:space="preserve"> (Figure 5)</w:t>
      </w:r>
      <w:r w:rsidRPr="00683723">
        <w:rPr>
          <w:rFonts w:ascii="Arial" w:hAnsi="Arial" w:cs="Arial"/>
          <w:sz w:val="22"/>
          <w:szCs w:val="22"/>
        </w:rPr>
        <w:t xml:space="preserve">. </w:t>
      </w:r>
    </w:p>
    <w:p w14:paraId="475AAE16" w14:textId="77777777" w:rsidR="00EF4550" w:rsidRDefault="00653A7D" w:rsidP="00EF4550">
      <w:pPr>
        <w:pStyle w:val="NormalWeb"/>
        <w:numPr>
          <w:ilvl w:val="0"/>
          <w:numId w:val="7"/>
        </w:numPr>
        <w:spacing w:before="0" w:beforeAutospacing="0" w:after="180" w:afterAutospacing="0" w:line="360" w:lineRule="auto"/>
        <w:rPr>
          <w:rFonts w:ascii="Arial" w:hAnsi="Arial" w:cs="Arial"/>
          <w:sz w:val="22"/>
          <w:szCs w:val="22"/>
        </w:rPr>
      </w:pPr>
      <w:r w:rsidRPr="00683723">
        <w:rPr>
          <w:rFonts w:ascii="Arial" w:hAnsi="Arial" w:cs="Arial"/>
          <w:sz w:val="22"/>
          <w:szCs w:val="22"/>
        </w:rPr>
        <w:t xml:space="preserve">Strengths: unique cultural theme aligned with a national campaign; local community support; scenic location. </w:t>
      </w:r>
    </w:p>
    <w:p w14:paraId="209E0723" w14:textId="77777777" w:rsidR="00EF4550" w:rsidRDefault="00653A7D" w:rsidP="00EF4550">
      <w:pPr>
        <w:pStyle w:val="NormalWeb"/>
        <w:numPr>
          <w:ilvl w:val="0"/>
          <w:numId w:val="7"/>
        </w:numPr>
        <w:spacing w:before="0" w:beforeAutospacing="0" w:after="180" w:afterAutospacing="0" w:line="360" w:lineRule="auto"/>
        <w:rPr>
          <w:rFonts w:ascii="Arial" w:hAnsi="Arial" w:cs="Arial"/>
          <w:sz w:val="22"/>
          <w:szCs w:val="22"/>
        </w:rPr>
      </w:pPr>
      <w:r w:rsidRPr="00683723">
        <w:rPr>
          <w:rFonts w:ascii="Arial" w:hAnsi="Arial" w:cs="Arial"/>
          <w:sz w:val="22"/>
          <w:szCs w:val="22"/>
        </w:rPr>
        <w:t xml:space="preserve">Weaknesses: a new, untested event; limited initial funding; no established reputation yet. </w:t>
      </w:r>
    </w:p>
    <w:p w14:paraId="1FF95678" w14:textId="77777777" w:rsidR="00EF4550" w:rsidRDefault="00653A7D" w:rsidP="00EF4550">
      <w:pPr>
        <w:pStyle w:val="NormalWeb"/>
        <w:numPr>
          <w:ilvl w:val="0"/>
          <w:numId w:val="7"/>
        </w:numPr>
        <w:spacing w:before="0" w:beforeAutospacing="0" w:after="180" w:afterAutospacing="0" w:line="360" w:lineRule="auto"/>
        <w:rPr>
          <w:rFonts w:ascii="Arial" w:hAnsi="Arial" w:cs="Arial"/>
          <w:sz w:val="22"/>
          <w:szCs w:val="22"/>
        </w:rPr>
      </w:pPr>
      <w:r w:rsidRPr="00683723">
        <w:rPr>
          <w:rFonts w:ascii="Arial" w:hAnsi="Arial" w:cs="Arial"/>
          <w:sz w:val="22"/>
          <w:szCs w:val="22"/>
        </w:rPr>
        <w:t xml:space="preserve">Opportunities: growing interest in cultural tourism; the Year of </w:t>
      </w:r>
      <w:proofErr w:type="spellStart"/>
      <w:r w:rsidRPr="00683723">
        <w:rPr>
          <w:rFonts w:ascii="Arial" w:hAnsi="Arial" w:cs="Arial"/>
          <w:sz w:val="22"/>
          <w:szCs w:val="22"/>
        </w:rPr>
        <w:t>Croeso</w:t>
      </w:r>
      <w:proofErr w:type="spellEnd"/>
      <w:r w:rsidRPr="00683723">
        <w:rPr>
          <w:rFonts w:ascii="Arial" w:hAnsi="Arial" w:cs="Arial"/>
          <w:sz w:val="22"/>
          <w:szCs w:val="22"/>
        </w:rPr>
        <w:t xml:space="preserve"> promotion provides a ready market; potential to become an annual event if 2025 is successful. </w:t>
      </w:r>
    </w:p>
    <w:p w14:paraId="5B062C52" w14:textId="69849FF5" w:rsidR="00653A7D" w:rsidRPr="00683723" w:rsidRDefault="00653A7D" w:rsidP="00EF4550">
      <w:pPr>
        <w:pStyle w:val="NormalWeb"/>
        <w:numPr>
          <w:ilvl w:val="0"/>
          <w:numId w:val="7"/>
        </w:numPr>
        <w:spacing w:before="0" w:beforeAutospacing="0" w:after="180" w:afterAutospacing="0" w:line="360" w:lineRule="auto"/>
        <w:rPr>
          <w:rFonts w:ascii="Arial" w:hAnsi="Arial" w:cs="Arial"/>
          <w:sz w:val="22"/>
          <w:szCs w:val="22"/>
        </w:rPr>
      </w:pPr>
      <w:r w:rsidRPr="00683723">
        <w:rPr>
          <w:rFonts w:ascii="Arial" w:hAnsi="Arial" w:cs="Arial"/>
          <w:sz w:val="22"/>
          <w:szCs w:val="22"/>
        </w:rPr>
        <w:t>Threats: competition from other summer events in Wales; unpredictable weather or lingering travel concerns that could affect attendance.</w:t>
      </w:r>
    </w:p>
    <w:p w14:paraId="0833C0C1" w14:textId="77777777" w:rsidR="00627941" w:rsidRPr="00683723" w:rsidRDefault="00627941" w:rsidP="00683723">
      <w:pPr>
        <w:pStyle w:val="NormalWeb"/>
        <w:spacing w:before="0" w:beforeAutospacing="0" w:after="180" w:afterAutospacing="0" w:line="360" w:lineRule="auto"/>
        <w:ind w:left="720"/>
        <w:rPr>
          <w:rFonts w:ascii="Arial" w:hAnsi="Arial" w:cs="Arial"/>
          <w:sz w:val="22"/>
          <w:szCs w:val="22"/>
        </w:rPr>
      </w:pPr>
    </w:p>
    <w:p w14:paraId="0A04CF23" w14:textId="77777777" w:rsidR="00627941" w:rsidRPr="00683723" w:rsidRDefault="00627941" w:rsidP="00683723">
      <w:pPr>
        <w:pStyle w:val="NormalWeb"/>
        <w:spacing w:before="0" w:beforeAutospacing="0" w:after="180" w:afterAutospacing="0" w:line="360" w:lineRule="auto"/>
        <w:ind w:left="720"/>
        <w:rPr>
          <w:rFonts w:ascii="Arial" w:hAnsi="Arial" w:cs="Arial"/>
          <w:sz w:val="22"/>
          <w:szCs w:val="22"/>
        </w:rPr>
      </w:pPr>
    </w:p>
    <w:p w14:paraId="3F665F1F" w14:textId="46CF307E" w:rsidR="0096245D" w:rsidRPr="00683723" w:rsidRDefault="00653A7D" w:rsidP="00E018CD">
      <w:pPr>
        <w:pStyle w:val="NormalWeb"/>
        <w:spacing w:before="0" w:beforeAutospacing="0" w:after="180" w:afterAutospacing="0" w:line="360" w:lineRule="auto"/>
        <w:ind w:left="720"/>
        <w:rPr>
          <w:rFonts w:ascii="Arial" w:hAnsi="Arial" w:cs="Arial"/>
          <w:sz w:val="22"/>
          <w:szCs w:val="22"/>
        </w:rPr>
      </w:pPr>
      <w:r w:rsidRPr="00683723">
        <w:rPr>
          <w:rFonts w:ascii="Arial" w:hAnsi="Arial" w:cs="Arial"/>
          <w:noProof/>
          <w:sz w:val="22"/>
          <w:szCs w:val="22"/>
        </w:rPr>
        <w:lastRenderedPageBreak/>
        <w:drawing>
          <wp:inline distT="114300" distB="114300" distL="114300" distR="114300" wp14:anchorId="172EA18B" wp14:editId="3D39FE0B">
            <wp:extent cx="5153025" cy="2876550"/>
            <wp:effectExtent l="0" t="0" r="9525" b="0"/>
            <wp:docPr id="2" name="image3.png" descr="A diagram of different colored squares&#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3.png" descr="A diagram of different colored squares&#10;&#10;AI-generated content may be incorrect."/>
                    <pic:cNvPicPr/>
                  </pic:nvPicPr>
                  <pic:blipFill>
                    <a:blip r:embed="rId14">
                      <a:extLst>
                        <a:ext uri="{BEBA8EAE-BF5A-486C-A8C5-ECC9F3942E4B}">
                          <a14:imgProps xmlns:a14="http://schemas.microsoft.com/office/drawing/2010/main">
                            <a14:imgLayer r:embed="rId15">
                              <a14:imgEffect>
                                <a14:backgroundRemoval t="4636" b="99338" l="1664" r="97043">
                                  <a14:foregroundMark x1="38078" y1="3642" x2="31423" y2="19868"/>
                                  <a14:foregroundMark x1="31423" y1="19868" x2="43993" y2="18212"/>
                                  <a14:foregroundMark x1="43993" y1="18212" x2="37893" y2="4636"/>
                                  <a14:foregroundMark x1="63401" y1="6291" x2="61553" y2="23179"/>
                                  <a14:foregroundMark x1="61553" y1="23179" x2="64140" y2="6954"/>
                                  <a14:foregroundMark x1="63031" y1="17550" x2="70795" y2="17219"/>
                                  <a14:foregroundMark x1="88540" y1="5629" x2="90758" y2="23510"/>
                                  <a14:foregroundMark x1="90758" y1="23510" x2="87985" y2="6954"/>
                                  <a14:foregroundMark x1="87985" y1="6954" x2="87985" y2="6954"/>
                                  <a14:foregroundMark x1="95194" y1="13245" x2="95194" y2="16556"/>
                                  <a14:foregroundMark x1="12569" y1="4636" x2="8688" y2="22517"/>
                                  <a14:foregroundMark x1="8688" y1="22517" x2="17930" y2="20530"/>
                                  <a14:foregroundMark x1="17930" y1="20530" x2="11645" y2="6291"/>
                                  <a14:foregroundMark x1="3697" y1="16556" x2="6654" y2="18543"/>
                                  <a14:foregroundMark x1="20333" y1="36093" x2="7763" y2="35430"/>
                                  <a14:foregroundMark x1="7763" y1="35430" x2="1294" y2="47682"/>
                                  <a14:foregroundMark x1="1294" y1="47682" x2="3327" y2="71854"/>
                                  <a14:foregroundMark x1="3327" y1="71854" x2="11091" y2="93377"/>
                                  <a14:foregroundMark x1="11091" y1="93377" x2="18854" y2="71523"/>
                                  <a14:foregroundMark x1="18854" y1="71523" x2="19039" y2="45364"/>
                                  <a14:foregroundMark x1="19039" y1="45364" x2="7209" y2="80464"/>
                                  <a14:foregroundMark x1="7209" y1="80464" x2="15896" y2="96358"/>
                                  <a14:foregroundMark x1="15896" y1="96358" x2="18484" y2="96026"/>
                                  <a14:foregroundMark x1="2218" y1="75828" x2="3697" y2="92715"/>
                                  <a14:foregroundMark x1="3697" y1="92715" x2="14972" y2="99338"/>
                                  <a14:foregroundMark x1="1848" y1="66556" x2="2033" y2="79139"/>
                                  <a14:foregroundMark x1="69501" y1="33444" x2="53974" y2="37748"/>
                                  <a14:foregroundMark x1="53974" y1="37748" x2="51941" y2="75166"/>
                                  <a14:foregroundMark x1="51941" y1="75166" x2="56377" y2="91060"/>
                                  <a14:foregroundMark x1="56377" y1="91060" x2="69501" y2="95695"/>
                                  <a14:foregroundMark x1="69501" y1="95695" x2="70610" y2="40397"/>
                                  <a14:foregroundMark x1="92237" y1="39735" x2="82625" y2="67550"/>
                                  <a14:foregroundMark x1="82625" y1="67550" x2="84473" y2="92715"/>
                                  <a14:foregroundMark x1="84473" y1="92715" x2="97043" y2="67881"/>
                                  <a14:foregroundMark x1="97043" y1="67881" x2="94085" y2="42715"/>
                                  <a14:foregroundMark x1="94085" y1="42715" x2="87800" y2="38742"/>
                                  <a14:foregroundMark x1="27542" y1="99007" x2="41774" y2="99007"/>
                                  <a14:foregroundMark x1="41774" y1="99007" x2="46026" y2="99007"/>
                                </a14:backgroundRemoval>
                              </a14:imgEffect>
                            </a14:imgLayer>
                          </a14:imgProps>
                        </a:ext>
                      </a:extLst>
                    </a:blip>
                    <a:stretch>
                      <a:fillRect/>
                    </a:stretch>
                  </pic:blipFill>
                  <pic:spPr>
                    <a:xfrm>
                      <a:off x="0" y="0"/>
                      <a:ext cx="5153025" cy="2876550"/>
                    </a:xfrm>
                    <a:prstGeom prst="rect">
                      <a:avLst/>
                    </a:prstGeom>
                  </pic:spPr>
                </pic:pic>
              </a:graphicData>
            </a:graphic>
          </wp:inline>
        </w:drawing>
      </w:r>
    </w:p>
    <w:p w14:paraId="555BED1F" w14:textId="77777777" w:rsidR="0096245D" w:rsidRPr="00683723" w:rsidRDefault="006D1908" w:rsidP="00683723">
      <w:pPr>
        <w:jc w:val="center"/>
        <w:rPr>
          <w:rFonts w:ascii="Arial" w:hAnsi="Arial" w:cs="Arial"/>
          <w:b/>
          <w:sz w:val="22"/>
          <w:szCs w:val="22"/>
        </w:rPr>
      </w:pPr>
      <w:r w:rsidRPr="00683723">
        <w:rPr>
          <w:rFonts w:ascii="Arial" w:hAnsi="Arial" w:cs="Arial"/>
          <w:b/>
          <w:sz w:val="22"/>
          <w:szCs w:val="22"/>
        </w:rPr>
        <w:t>Figure 5: SWOT analysis</w:t>
      </w:r>
    </w:p>
    <w:p w14:paraId="42A49554" w14:textId="77777777" w:rsidR="0096245D" w:rsidRPr="00683723" w:rsidRDefault="006D1908" w:rsidP="00683723">
      <w:pPr>
        <w:jc w:val="center"/>
        <w:rPr>
          <w:rFonts w:ascii="Arial" w:hAnsi="Arial" w:cs="Arial"/>
          <w:sz w:val="22"/>
          <w:szCs w:val="22"/>
        </w:rPr>
      </w:pPr>
      <w:r w:rsidRPr="00683723">
        <w:rPr>
          <w:rFonts w:ascii="Arial" w:hAnsi="Arial" w:cs="Arial"/>
          <w:sz w:val="22"/>
          <w:szCs w:val="22"/>
        </w:rPr>
        <w:t>(Source: Researcher)</w:t>
      </w:r>
    </w:p>
    <w:p w14:paraId="5D4653A4" w14:textId="77777777" w:rsidR="00EF4550" w:rsidRDefault="00EF4550" w:rsidP="00683723">
      <w:pPr>
        <w:pStyle w:val="NormalWeb"/>
        <w:spacing w:before="0" w:beforeAutospacing="0" w:after="180" w:afterAutospacing="0" w:line="360" w:lineRule="auto"/>
        <w:rPr>
          <w:rFonts w:ascii="Arial" w:hAnsi="Arial" w:cs="Arial"/>
          <w:sz w:val="22"/>
          <w:szCs w:val="22"/>
        </w:rPr>
      </w:pPr>
      <w:bookmarkStart w:id="10" w:name="_48mnk899h0hy" w:colFirst="0" w:colLast="0"/>
      <w:bookmarkEnd w:id="10"/>
    </w:p>
    <w:p w14:paraId="0E7D73C8" w14:textId="1A28D259" w:rsidR="00401FC4" w:rsidRPr="00683723" w:rsidRDefault="00653A7D" w:rsidP="00683723">
      <w:pPr>
        <w:pStyle w:val="NormalWeb"/>
        <w:spacing w:before="0" w:beforeAutospacing="0" w:after="180" w:afterAutospacing="0" w:line="360" w:lineRule="auto"/>
        <w:rPr>
          <w:rFonts w:ascii="Arial" w:hAnsi="Arial" w:cs="Arial"/>
          <w:sz w:val="22"/>
          <w:szCs w:val="22"/>
        </w:rPr>
      </w:pPr>
      <w:r w:rsidRPr="00683723">
        <w:rPr>
          <w:rFonts w:ascii="Arial" w:hAnsi="Arial" w:cs="Arial"/>
          <w:sz w:val="22"/>
          <w:szCs w:val="22"/>
        </w:rPr>
        <w:t>Understanding these factors allows the team to maximi</w:t>
      </w:r>
      <w:r w:rsidR="00ED167E">
        <w:rPr>
          <w:rFonts w:ascii="Arial" w:hAnsi="Arial" w:cs="Arial"/>
          <w:sz w:val="22"/>
          <w:szCs w:val="22"/>
        </w:rPr>
        <w:t>s</w:t>
      </w:r>
      <w:r w:rsidRPr="00683723">
        <w:rPr>
          <w:rFonts w:ascii="Arial" w:hAnsi="Arial" w:cs="Arial"/>
          <w:sz w:val="22"/>
          <w:szCs w:val="22"/>
        </w:rPr>
        <w:t>e strengths while addressing weaknesses and threats. By being mindful of the situational and cultural context, the planning is more robust and culturally appropriate, increasing the likelihood of a positive reception.</w:t>
      </w:r>
    </w:p>
    <w:p w14:paraId="3AE76254" w14:textId="77777777" w:rsidR="00CD2546" w:rsidRPr="00683723" w:rsidRDefault="00CD2546" w:rsidP="00683723">
      <w:pPr>
        <w:pStyle w:val="NormalWeb"/>
        <w:spacing w:before="0" w:beforeAutospacing="0" w:after="180" w:afterAutospacing="0" w:line="360" w:lineRule="auto"/>
        <w:rPr>
          <w:rFonts w:ascii="Arial" w:hAnsi="Arial" w:cs="Arial"/>
          <w:sz w:val="22"/>
          <w:szCs w:val="22"/>
        </w:rPr>
      </w:pPr>
    </w:p>
    <w:p w14:paraId="13EF1E86" w14:textId="381284D5" w:rsidR="00401FC4" w:rsidRPr="00683723" w:rsidRDefault="00401FC4" w:rsidP="00683723">
      <w:pPr>
        <w:pStyle w:val="Heading1"/>
        <w:rPr>
          <w:rFonts w:ascii="Arial" w:hAnsi="Arial" w:cs="Arial"/>
          <w:sz w:val="22"/>
          <w:szCs w:val="22"/>
        </w:rPr>
      </w:pPr>
      <w:bookmarkStart w:id="11" w:name="_Toc200633420"/>
      <w:r w:rsidRPr="00683723">
        <w:rPr>
          <w:rFonts w:ascii="Arial" w:hAnsi="Arial" w:cs="Arial"/>
          <w:sz w:val="22"/>
          <w:szCs w:val="22"/>
        </w:rPr>
        <w:t>9. Conclusion</w:t>
      </w:r>
      <w:bookmarkEnd w:id="11"/>
    </w:p>
    <w:p w14:paraId="51E414CD" w14:textId="4EA661E5" w:rsidR="005C0825" w:rsidRPr="005C0825" w:rsidRDefault="005C0825" w:rsidP="005C0825">
      <w:pPr>
        <w:pStyle w:val="NormalWeb"/>
        <w:spacing w:before="0" w:beforeAutospacing="0" w:after="180" w:afterAutospacing="0" w:line="360" w:lineRule="auto"/>
        <w:rPr>
          <w:rFonts w:ascii="Arial" w:hAnsi="Arial" w:cs="Arial"/>
          <w:sz w:val="22"/>
          <w:szCs w:val="22"/>
        </w:rPr>
      </w:pPr>
      <w:r w:rsidRPr="005C0825">
        <w:rPr>
          <w:rFonts w:ascii="Arial" w:hAnsi="Arial" w:cs="Arial"/>
          <w:sz w:val="22"/>
          <w:szCs w:val="22"/>
        </w:rPr>
        <w:t xml:space="preserve">The </w:t>
      </w:r>
      <w:proofErr w:type="spellStart"/>
      <w:r w:rsidRPr="005C0825">
        <w:rPr>
          <w:rFonts w:ascii="Arial" w:hAnsi="Arial" w:cs="Arial"/>
          <w:sz w:val="22"/>
          <w:szCs w:val="22"/>
        </w:rPr>
        <w:t>Gŵyl</w:t>
      </w:r>
      <w:proofErr w:type="spellEnd"/>
      <w:r w:rsidRPr="005C0825">
        <w:rPr>
          <w:rFonts w:ascii="Arial" w:hAnsi="Arial" w:cs="Arial"/>
          <w:sz w:val="22"/>
          <w:szCs w:val="22"/>
        </w:rPr>
        <w:t xml:space="preserve"> y </w:t>
      </w:r>
      <w:proofErr w:type="spellStart"/>
      <w:r w:rsidRPr="005C0825">
        <w:rPr>
          <w:rFonts w:ascii="Arial" w:hAnsi="Arial" w:cs="Arial"/>
          <w:sz w:val="22"/>
          <w:szCs w:val="22"/>
        </w:rPr>
        <w:t>Fro</w:t>
      </w:r>
      <w:proofErr w:type="spellEnd"/>
      <w:r w:rsidRPr="005C0825">
        <w:rPr>
          <w:rFonts w:ascii="Arial" w:hAnsi="Arial" w:cs="Arial"/>
          <w:sz w:val="22"/>
          <w:szCs w:val="22"/>
        </w:rPr>
        <w:t xml:space="preserve"> event merges theory with practical planning to deliver an authentic cultural experience aligned with the Year of </w:t>
      </w:r>
      <w:proofErr w:type="spellStart"/>
      <w:r w:rsidRPr="005C0825">
        <w:rPr>
          <w:rFonts w:ascii="Arial" w:hAnsi="Arial" w:cs="Arial"/>
          <w:sz w:val="22"/>
          <w:szCs w:val="22"/>
        </w:rPr>
        <w:t>Croeso</w:t>
      </w:r>
      <w:proofErr w:type="spellEnd"/>
      <w:r w:rsidRPr="005C0825">
        <w:rPr>
          <w:rFonts w:ascii="Arial" w:hAnsi="Arial" w:cs="Arial"/>
          <w:sz w:val="22"/>
          <w:szCs w:val="22"/>
        </w:rPr>
        <w:t xml:space="preserve"> 2025. By applying the Event Cycle, Experience Economy, stakeholder theory, Hofstede’s dimensions, and triple bottom line, the festival ensures inclusivity, sustainability, and strong stakeholder engagement.</w:t>
      </w:r>
    </w:p>
    <w:p w14:paraId="35FED50A" w14:textId="77777777" w:rsidR="005C0825" w:rsidRPr="005C0825" w:rsidRDefault="005C0825" w:rsidP="005C0825">
      <w:pPr>
        <w:pStyle w:val="NormalWeb"/>
        <w:spacing w:before="0" w:beforeAutospacing="0" w:after="180" w:afterAutospacing="0" w:line="360" w:lineRule="auto"/>
        <w:rPr>
          <w:rFonts w:ascii="Arial" w:hAnsi="Arial" w:cs="Arial"/>
          <w:sz w:val="22"/>
          <w:szCs w:val="22"/>
        </w:rPr>
      </w:pPr>
    </w:p>
    <w:p w14:paraId="27973072" w14:textId="1E562405" w:rsidR="00401FC4" w:rsidRPr="00CD2546" w:rsidRDefault="005C0825" w:rsidP="00E018CD">
      <w:pPr>
        <w:pStyle w:val="NormalWeb"/>
        <w:spacing w:before="0" w:beforeAutospacing="0" w:after="180" w:afterAutospacing="0" w:line="360" w:lineRule="auto"/>
        <w:rPr>
          <w:rFonts w:ascii="Arial" w:hAnsi="Arial" w:cs="Arial"/>
          <w:sz w:val="22"/>
          <w:szCs w:val="22"/>
        </w:rPr>
      </w:pPr>
      <w:r w:rsidRPr="005C0825">
        <w:rPr>
          <w:rFonts w:ascii="Arial" w:hAnsi="Arial" w:cs="Arial"/>
          <w:sz w:val="22"/>
          <w:szCs w:val="22"/>
        </w:rPr>
        <w:t xml:space="preserve">The financial strategy balances accessibility with control, while SWOT analysis enhances preparedness. If executed effectively, </w:t>
      </w:r>
      <w:proofErr w:type="spellStart"/>
      <w:r w:rsidRPr="005C0825">
        <w:rPr>
          <w:rFonts w:ascii="Arial" w:hAnsi="Arial" w:cs="Arial"/>
          <w:sz w:val="22"/>
          <w:szCs w:val="22"/>
        </w:rPr>
        <w:t>Gŵyl</w:t>
      </w:r>
      <w:proofErr w:type="spellEnd"/>
      <w:r w:rsidRPr="005C0825">
        <w:rPr>
          <w:rFonts w:ascii="Arial" w:hAnsi="Arial" w:cs="Arial"/>
          <w:sz w:val="22"/>
          <w:szCs w:val="22"/>
        </w:rPr>
        <w:t xml:space="preserve"> y </w:t>
      </w:r>
      <w:proofErr w:type="spellStart"/>
      <w:r w:rsidRPr="005C0825">
        <w:rPr>
          <w:rFonts w:ascii="Arial" w:hAnsi="Arial" w:cs="Arial"/>
          <w:sz w:val="22"/>
          <w:szCs w:val="22"/>
        </w:rPr>
        <w:t>Fro</w:t>
      </w:r>
      <w:proofErr w:type="spellEnd"/>
      <w:r w:rsidRPr="005C0825">
        <w:rPr>
          <w:rFonts w:ascii="Arial" w:hAnsi="Arial" w:cs="Arial"/>
          <w:sz w:val="22"/>
          <w:szCs w:val="22"/>
        </w:rPr>
        <w:t xml:space="preserve"> will both celebrate Welsh identity and support Wales’s profile as a cultural tourism destination, with the potential to become a valued annual event rooted in local pride and national promotion</w:t>
      </w:r>
      <w:r w:rsidR="00E018CD">
        <w:rPr>
          <w:rFonts w:ascii="Arial" w:hAnsi="Arial" w:cs="Arial"/>
          <w:sz w:val="22"/>
          <w:szCs w:val="22"/>
        </w:rPr>
        <w:t xml:space="preserve">. </w:t>
      </w:r>
    </w:p>
    <w:p w14:paraId="3A93DD56" w14:textId="67A61185" w:rsidR="0096245D" w:rsidRPr="00CD2546" w:rsidRDefault="00401FC4" w:rsidP="00CD2546">
      <w:pPr>
        <w:pStyle w:val="Heading1"/>
        <w:rPr>
          <w:rFonts w:ascii="Arial" w:hAnsi="Arial" w:cs="Arial"/>
          <w:sz w:val="22"/>
          <w:szCs w:val="22"/>
        </w:rPr>
      </w:pPr>
      <w:bookmarkStart w:id="12" w:name="_Toc200633421"/>
      <w:r w:rsidRPr="00CD2546">
        <w:rPr>
          <w:rFonts w:ascii="Arial" w:hAnsi="Arial" w:cs="Arial"/>
          <w:sz w:val="22"/>
          <w:szCs w:val="22"/>
        </w:rPr>
        <w:lastRenderedPageBreak/>
        <w:t>10</w:t>
      </w:r>
      <w:r w:rsidR="006D1908" w:rsidRPr="00CD2546">
        <w:rPr>
          <w:rFonts w:ascii="Arial" w:hAnsi="Arial" w:cs="Arial"/>
          <w:sz w:val="22"/>
          <w:szCs w:val="22"/>
        </w:rPr>
        <w:t>. References</w:t>
      </w:r>
      <w:bookmarkEnd w:id="12"/>
    </w:p>
    <w:p w14:paraId="559EEC9B"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Aransyah, M.F., Hermanto, B., Muftiadi, A. and Oktadiana, H., 2025. Exploring sustainability-oriented innovations in tourism: insights from ecological modernization, diffusion of innovations, and the triple bottom line. </w:t>
      </w:r>
      <w:r w:rsidRPr="00CD2546">
        <w:rPr>
          <w:rFonts w:ascii="Arial" w:hAnsi="Arial" w:cs="Arial"/>
          <w:i/>
          <w:color w:val="222222"/>
          <w:sz w:val="22"/>
          <w:szCs w:val="22"/>
          <w:highlight w:val="white"/>
        </w:rPr>
        <w:t>Cogent Social Sciences</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11</w:t>
      </w:r>
      <w:r w:rsidRPr="00CD2546">
        <w:rPr>
          <w:rFonts w:ascii="Arial" w:hAnsi="Arial" w:cs="Arial"/>
          <w:color w:val="222222"/>
          <w:sz w:val="22"/>
          <w:szCs w:val="22"/>
          <w:highlight w:val="white"/>
        </w:rPr>
        <w:t xml:space="preserve">(1), p.2447396. </w:t>
      </w:r>
    </w:p>
    <w:p w14:paraId="4CE7D145"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Arbolino, R., Boffardi, R., De Simone, L. and Ioppolo, G., 2021. Multi-objective optimization technique: A novel approach in tourism sustainability planning. </w:t>
      </w:r>
      <w:r w:rsidRPr="00CD2546">
        <w:rPr>
          <w:rFonts w:ascii="Arial" w:hAnsi="Arial" w:cs="Arial"/>
          <w:i/>
          <w:color w:val="222222"/>
          <w:sz w:val="22"/>
          <w:szCs w:val="22"/>
          <w:highlight w:val="white"/>
        </w:rPr>
        <w:t>Journal of Environmental Management</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285</w:t>
      </w:r>
      <w:r w:rsidRPr="00CD2546">
        <w:rPr>
          <w:rFonts w:ascii="Arial" w:hAnsi="Arial" w:cs="Arial"/>
          <w:color w:val="222222"/>
          <w:sz w:val="22"/>
          <w:szCs w:val="22"/>
          <w:highlight w:val="white"/>
        </w:rPr>
        <w:t>, p.112016. https://doi.org/10.1016/j.jenvman.2021.112016</w:t>
      </w:r>
    </w:p>
    <w:p w14:paraId="74543189"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Bowdin, G.A., Allen, J., Harris, R., Jago, L., O'toole, W. and McDonnell, I., 2023. </w:t>
      </w:r>
      <w:r w:rsidRPr="00CD2546">
        <w:rPr>
          <w:rFonts w:ascii="Arial" w:hAnsi="Arial" w:cs="Arial"/>
          <w:i/>
          <w:color w:val="222222"/>
          <w:sz w:val="22"/>
          <w:szCs w:val="22"/>
          <w:highlight w:val="white"/>
        </w:rPr>
        <w:t>Events management</w:t>
      </w:r>
      <w:r w:rsidRPr="00CD2546">
        <w:rPr>
          <w:rFonts w:ascii="Arial" w:hAnsi="Arial" w:cs="Arial"/>
          <w:color w:val="222222"/>
          <w:sz w:val="22"/>
          <w:szCs w:val="22"/>
          <w:highlight w:val="white"/>
        </w:rPr>
        <w:t>. Routledge. https://www.taylorfrancis.com/books/mono/10.4324/9781003044963/events-management-glenn-bowdin-johnny-allen-rob-harris-leo-jago-william-toole-ian-mcdonnell</w:t>
      </w:r>
    </w:p>
    <w:p w14:paraId="5CFD3D11"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Chang, S., 2018. Experience economy in hospitality and tourism: Gain and loss values for service and experience. </w:t>
      </w:r>
      <w:r w:rsidRPr="00CD2546">
        <w:rPr>
          <w:rFonts w:ascii="Arial" w:hAnsi="Arial" w:cs="Arial"/>
          <w:i/>
          <w:color w:val="222222"/>
          <w:sz w:val="22"/>
          <w:szCs w:val="22"/>
          <w:highlight w:val="white"/>
        </w:rPr>
        <w:t>Tourism management</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64</w:t>
      </w:r>
      <w:r w:rsidRPr="00CD2546">
        <w:rPr>
          <w:rFonts w:ascii="Arial" w:hAnsi="Arial" w:cs="Arial"/>
          <w:color w:val="222222"/>
          <w:sz w:val="22"/>
          <w:szCs w:val="22"/>
          <w:highlight w:val="white"/>
        </w:rPr>
        <w:t xml:space="preserve">, pp.55-63. </w:t>
      </w:r>
      <w:hyperlink r:id="rId16">
        <w:r w:rsidRPr="00CD2546">
          <w:rPr>
            <w:rFonts w:ascii="Arial" w:hAnsi="Arial" w:cs="Arial"/>
            <w:color w:val="1155CC"/>
            <w:sz w:val="22"/>
            <w:szCs w:val="22"/>
            <w:highlight w:val="white"/>
            <w:u w:val="single"/>
          </w:rPr>
          <w:t>https://doi.org/10.1016/j.tourman.2017.08.004</w:t>
        </w:r>
      </w:hyperlink>
    </w:p>
    <w:p w14:paraId="7A1CAF61"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Damiasih, D., 2024. Interrelation Between Tourism Destination Financial Management and Tourist Experiences: Qualitative Approach to Literature. </w:t>
      </w:r>
      <w:r w:rsidRPr="00CD2546">
        <w:rPr>
          <w:rFonts w:ascii="Arial" w:hAnsi="Arial" w:cs="Arial"/>
          <w:i/>
          <w:color w:val="222222"/>
          <w:sz w:val="22"/>
          <w:szCs w:val="22"/>
          <w:highlight w:val="white"/>
        </w:rPr>
        <w:t>Atestasi: Jurnal Ilmiah Akuntansi</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7</w:t>
      </w:r>
      <w:r w:rsidRPr="00CD2546">
        <w:rPr>
          <w:rFonts w:ascii="Arial" w:hAnsi="Arial" w:cs="Arial"/>
          <w:color w:val="222222"/>
          <w:sz w:val="22"/>
          <w:szCs w:val="22"/>
          <w:highlight w:val="white"/>
        </w:rPr>
        <w:t>(2), pp.1214-1223. https://doi.org/10.57178/atestasi.v7i2.932</w:t>
      </w:r>
    </w:p>
    <w:p w14:paraId="39812642"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Gallarza, M.G. and Gil Saura, I., 2020. Consumer value in tourism: a perspective article. </w:t>
      </w:r>
      <w:r w:rsidRPr="00CD2546">
        <w:rPr>
          <w:rFonts w:ascii="Arial" w:hAnsi="Arial" w:cs="Arial"/>
          <w:i/>
          <w:color w:val="222222"/>
          <w:sz w:val="22"/>
          <w:szCs w:val="22"/>
          <w:highlight w:val="white"/>
        </w:rPr>
        <w:t>Tourism Review</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75</w:t>
      </w:r>
      <w:r w:rsidRPr="00CD2546">
        <w:rPr>
          <w:rFonts w:ascii="Arial" w:hAnsi="Arial" w:cs="Arial"/>
          <w:color w:val="222222"/>
          <w:sz w:val="22"/>
          <w:szCs w:val="22"/>
          <w:highlight w:val="white"/>
        </w:rPr>
        <w:t>(1), pp.41-44. https://www.emerald.com/insight/content/doi/10.1108/tr-06-2019-0227/full/html</w:t>
      </w:r>
    </w:p>
    <w:p w14:paraId="2AA57BEF" w14:textId="77777777" w:rsidR="0096245D" w:rsidRPr="00CD2546" w:rsidRDefault="009478DA" w:rsidP="00CD2546">
      <w:pPr>
        <w:rPr>
          <w:rFonts w:ascii="Arial" w:hAnsi="Arial" w:cs="Arial"/>
          <w:color w:val="222222"/>
          <w:sz w:val="22"/>
          <w:szCs w:val="22"/>
          <w:highlight w:val="white"/>
        </w:rPr>
      </w:pPr>
      <w:hyperlink r:id="rId17">
        <w:r w:rsidR="006D1908" w:rsidRPr="00CD2546">
          <w:rPr>
            <w:rFonts w:ascii="Arial" w:hAnsi="Arial" w:cs="Arial"/>
            <w:color w:val="1155CC"/>
            <w:sz w:val="22"/>
            <w:szCs w:val="22"/>
            <w:u w:val="single"/>
          </w:rPr>
          <w:t>GOV.UK</w:t>
        </w:r>
      </w:hyperlink>
      <w:r w:rsidR="006D1908" w:rsidRPr="00CD2546">
        <w:rPr>
          <w:rFonts w:ascii="Arial" w:hAnsi="Arial" w:cs="Arial"/>
          <w:sz w:val="22"/>
          <w:szCs w:val="22"/>
        </w:rPr>
        <w:t xml:space="preserve">, 2021. </w:t>
      </w:r>
      <w:r w:rsidR="006D1908" w:rsidRPr="00CD2546">
        <w:rPr>
          <w:rFonts w:ascii="Arial" w:hAnsi="Arial" w:cs="Arial"/>
          <w:i/>
          <w:sz w:val="22"/>
          <w:szCs w:val="22"/>
        </w:rPr>
        <w:t xml:space="preserve">The Tourism Recovery Plan. </w:t>
      </w:r>
      <w:r w:rsidR="006D1908" w:rsidRPr="00CD2546">
        <w:rPr>
          <w:rFonts w:ascii="Arial" w:hAnsi="Arial" w:cs="Arial"/>
          <w:sz w:val="22"/>
          <w:szCs w:val="22"/>
        </w:rPr>
        <w:t xml:space="preserve">Available at: </w:t>
      </w:r>
      <w:hyperlink r:id="rId18">
        <w:r w:rsidR="006D1908" w:rsidRPr="00CD2546">
          <w:rPr>
            <w:rFonts w:ascii="Arial" w:hAnsi="Arial" w:cs="Arial"/>
            <w:color w:val="1155CC"/>
            <w:sz w:val="22"/>
            <w:szCs w:val="22"/>
            <w:u w:val="single"/>
          </w:rPr>
          <w:t>https://assets.publishing.service.gov.uk/media/60c239a8e90e074397d8c8b0/Tourism_Recovery_Plan__Web_Accessible_.pdf</w:t>
        </w:r>
      </w:hyperlink>
      <w:r w:rsidR="006D1908" w:rsidRPr="00CD2546">
        <w:rPr>
          <w:rFonts w:ascii="Arial" w:hAnsi="Arial" w:cs="Arial"/>
          <w:sz w:val="22"/>
          <w:szCs w:val="22"/>
        </w:rPr>
        <w:t xml:space="preserve"> [Accessed 7 June 2025].</w:t>
      </w:r>
    </w:p>
    <w:p w14:paraId="29903E04" w14:textId="77777777" w:rsidR="0096245D" w:rsidRPr="00CD2546" w:rsidRDefault="006D1908" w:rsidP="00CD2546">
      <w:pPr>
        <w:rPr>
          <w:rFonts w:ascii="Arial" w:hAnsi="Arial" w:cs="Arial"/>
          <w:sz w:val="22"/>
          <w:szCs w:val="22"/>
        </w:rPr>
      </w:pPr>
      <w:r w:rsidRPr="00CD2546">
        <w:rPr>
          <w:rFonts w:ascii="Arial" w:hAnsi="Arial" w:cs="Arial"/>
          <w:sz w:val="22"/>
          <w:szCs w:val="22"/>
        </w:rPr>
        <w:t xml:space="preserve">Gov.Wales, 2025. </w:t>
      </w:r>
      <w:r w:rsidRPr="00CD2546">
        <w:rPr>
          <w:rFonts w:ascii="Arial" w:hAnsi="Arial" w:cs="Arial"/>
          <w:i/>
          <w:sz w:val="22"/>
          <w:szCs w:val="22"/>
        </w:rPr>
        <w:t>International Delivery Plan.</w:t>
      </w:r>
      <w:r w:rsidRPr="00CD2546">
        <w:rPr>
          <w:rFonts w:ascii="Arial" w:hAnsi="Arial" w:cs="Arial"/>
          <w:sz w:val="22"/>
          <w:szCs w:val="22"/>
        </w:rPr>
        <w:t xml:space="preserve"> Available at: </w:t>
      </w:r>
      <w:hyperlink r:id="rId19">
        <w:r w:rsidRPr="00CD2546">
          <w:rPr>
            <w:rFonts w:ascii="Arial" w:hAnsi="Arial" w:cs="Arial"/>
            <w:color w:val="1155CC"/>
            <w:sz w:val="22"/>
            <w:szCs w:val="22"/>
            <w:u w:val="single"/>
          </w:rPr>
          <w:t>https://www.gov.wales/sites/default/files/publications/2025-04/international-delivery-plan.pdf</w:t>
        </w:r>
      </w:hyperlink>
      <w:r w:rsidRPr="00CD2546">
        <w:rPr>
          <w:rFonts w:ascii="Arial" w:hAnsi="Arial" w:cs="Arial"/>
          <w:sz w:val="22"/>
          <w:szCs w:val="22"/>
        </w:rPr>
        <w:t xml:space="preserve"> [Accessed 7 June 2025].</w:t>
      </w:r>
    </w:p>
    <w:p w14:paraId="1DA7F027" w14:textId="77777777" w:rsidR="0096245D" w:rsidRPr="00CD2546" w:rsidRDefault="006D1908" w:rsidP="00CD2546">
      <w:pPr>
        <w:rPr>
          <w:rFonts w:ascii="Arial" w:hAnsi="Arial" w:cs="Arial"/>
          <w:sz w:val="22"/>
          <w:szCs w:val="22"/>
        </w:rPr>
      </w:pPr>
      <w:r w:rsidRPr="00CD2546">
        <w:rPr>
          <w:rFonts w:ascii="Arial" w:hAnsi="Arial" w:cs="Arial"/>
          <w:sz w:val="22"/>
          <w:szCs w:val="22"/>
        </w:rPr>
        <w:t xml:space="preserve">Gov.Wales, 2025. </w:t>
      </w:r>
      <w:r w:rsidRPr="00CD2546">
        <w:rPr>
          <w:rFonts w:ascii="Arial" w:hAnsi="Arial" w:cs="Arial"/>
          <w:i/>
          <w:sz w:val="22"/>
          <w:szCs w:val="22"/>
        </w:rPr>
        <w:t>Visit Wales invites world to feel the 'hwyl' in 2025</w:t>
      </w:r>
      <w:r w:rsidRPr="00CD2546">
        <w:rPr>
          <w:rFonts w:ascii="Arial" w:hAnsi="Arial" w:cs="Arial"/>
          <w:sz w:val="22"/>
          <w:szCs w:val="22"/>
        </w:rPr>
        <w:t xml:space="preserve">. Available at: </w:t>
      </w:r>
      <w:hyperlink r:id="rId20" w:anchor=":~:text=The%20'hwyl'%20concept%2C%20part%20of%20the%202025,collaboration%20with%20the%20creative%20industries%20in%20Wales">
        <w:r w:rsidRPr="00CD2546">
          <w:rPr>
            <w:rFonts w:ascii="Arial" w:hAnsi="Arial" w:cs="Arial"/>
            <w:color w:val="1155CC"/>
            <w:sz w:val="22"/>
            <w:szCs w:val="22"/>
            <w:u w:val="single"/>
          </w:rPr>
          <w:t>https://www.gov.wales/visit-wales-invites-world-feel-hwyl-</w:t>
        </w:r>
        <w:r w:rsidRPr="00CD2546">
          <w:rPr>
            <w:rFonts w:ascii="Arial" w:hAnsi="Arial" w:cs="Arial"/>
            <w:color w:val="1155CC"/>
            <w:sz w:val="22"/>
            <w:szCs w:val="22"/>
            <w:u w:val="single"/>
          </w:rPr>
          <w:lastRenderedPageBreak/>
          <w:t>2025#:~:text=The%20'hwyl'%20concept%2C%20part%20of%20the%202025,collaboration%20with%20the%20creative%20industries%20in%20Wales</w:t>
        </w:r>
      </w:hyperlink>
      <w:r w:rsidRPr="00CD2546">
        <w:rPr>
          <w:rFonts w:ascii="Arial" w:hAnsi="Arial" w:cs="Arial"/>
          <w:sz w:val="22"/>
          <w:szCs w:val="22"/>
        </w:rPr>
        <w:t xml:space="preserve"> [Accessed 7 June 2025].</w:t>
      </w:r>
    </w:p>
    <w:p w14:paraId="4EB4D3B2" w14:textId="4388C85B" w:rsidR="0096245D" w:rsidRPr="00CD2546" w:rsidRDefault="006D1908" w:rsidP="00CD2546">
      <w:pPr>
        <w:rPr>
          <w:rFonts w:ascii="Arial" w:hAnsi="Arial" w:cs="Arial"/>
          <w:sz w:val="22"/>
          <w:szCs w:val="22"/>
        </w:rPr>
      </w:pPr>
      <w:r w:rsidRPr="00CD2546">
        <w:rPr>
          <w:rFonts w:ascii="Arial" w:hAnsi="Arial" w:cs="Arial"/>
          <w:sz w:val="22"/>
          <w:szCs w:val="22"/>
        </w:rPr>
        <w:t xml:space="preserve">Grand View Research, 2025. </w:t>
      </w:r>
      <w:r w:rsidRPr="00CD2546">
        <w:rPr>
          <w:rFonts w:ascii="Arial" w:hAnsi="Arial" w:cs="Arial"/>
          <w:i/>
          <w:sz w:val="22"/>
          <w:szCs w:val="22"/>
        </w:rPr>
        <w:t xml:space="preserve">UK Heritage Tourism Market Size &amp; Outlook, 2024-2030. </w:t>
      </w:r>
      <w:r w:rsidRPr="00CD2546">
        <w:rPr>
          <w:rFonts w:ascii="Arial" w:hAnsi="Arial" w:cs="Arial"/>
          <w:sz w:val="22"/>
          <w:szCs w:val="22"/>
        </w:rPr>
        <w:t>Available at:</w:t>
      </w:r>
      <w:hyperlink r:id="rId21" w:anchor=":~:text=The%20UK%20heritage%20tourism%20market,revenue%20generating%20type%20in%202023" w:history="1">
        <w:r w:rsidRPr="00510FFF">
          <w:rPr>
            <w:rStyle w:val="Hyperlink"/>
            <w:rFonts w:ascii="Arial" w:hAnsi="Arial" w:cs="Arial"/>
            <w:sz w:val="22"/>
            <w:szCs w:val="22"/>
          </w:rPr>
          <w:t>https://www.grandviewresearch.com/horizon/outlook/heritage-tourism-market/uk#:~:text=The%20UK%20heritage%20tourism%20market,revenue%20generating%20type%20in%202023</w:t>
        </w:r>
      </w:hyperlink>
      <w:r w:rsidRPr="00CD2546">
        <w:rPr>
          <w:rFonts w:ascii="Arial" w:hAnsi="Arial" w:cs="Arial"/>
          <w:sz w:val="22"/>
          <w:szCs w:val="22"/>
        </w:rPr>
        <w:t>. [Accessed 7 June 2025].</w:t>
      </w:r>
    </w:p>
    <w:p w14:paraId="0A2A311A" w14:textId="77777777" w:rsidR="0096245D" w:rsidRPr="00CD2546" w:rsidRDefault="006D1908" w:rsidP="00CD2546">
      <w:pPr>
        <w:rPr>
          <w:rFonts w:ascii="Arial" w:hAnsi="Arial" w:cs="Arial"/>
          <w:sz w:val="22"/>
          <w:szCs w:val="22"/>
        </w:rPr>
      </w:pPr>
      <w:r w:rsidRPr="00CD2546">
        <w:rPr>
          <w:rFonts w:ascii="Arial" w:hAnsi="Arial" w:cs="Arial"/>
          <w:color w:val="222222"/>
          <w:sz w:val="22"/>
          <w:szCs w:val="22"/>
          <w:highlight w:val="white"/>
        </w:rPr>
        <w:t xml:space="preserve">Haupt, B., 2021. The use of crisis communication strategies in emergency management. </w:t>
      </w:r>
      <w:r w:rsidRPr="00CD2546">
        <w:rPr>
          <w:rFonts w:ascii="Arial" w:hAnsi="Arial" w:cs="Arial"/>
          <w:i/>
          <w:color w:val="222222"/>
          <w:sz w:val="22"/>
          <w:szCs w:val="22"/>
          <w:highlight w:val="white"/>
        </w:rPr>
        <w:t>Journal of Homeland Security and Emergency Management</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18</w:t>
      </w:r>
      <w:r w:rsidRPr="00CD2546">
        <w:rPr>
          <w:rFonts w:ascii="Arial" w:hAnsi="Arial" w:cs="Arial"/>
          <w:color w:val="222222"/>
          <w:sz w:val="22"/>
          <w:szCs w:val="22"/>
          <w:highlight w:val="white"/>
        </w:rPr>
        <w:t>(2), pp.125-150. https://www.degruyter.com/document/doi/10.1515/jhsem-2020-0039/html</w:t>
      </w:r>
    </w:p>
    <w:p w14:paraId="0FAA7955" w14:textId="77777777" w:rsidR="0096245D" w:rsidRPr="00CD2546" w:rsidRDefault="006D1908" w:rsidP="00CD2546">
      <w:pPr>
        <w:rPr>
          <w:rFonts w:ascii="Arial" w:hAnsi="Arial" w:cs="Arial"/>
          <w:sz w:val="22"/>
          <w:szCs w:val="22"/>
        </w:rPr>
      </w:pPr>
      <w:r w:rsidRPr="00CD2546">
        <w:rPr>
          <w:rFonts w:ascii="Arial" w:hAnsi="Arial" w:cs="Arial"/>
          <w:sz w:val="22"/>
          <w:szCs w:val="22"/>
        </w:rPr>
        <w:t xml:space="preserve">Hinton, T., 2024. </w:t>
      </w:r>
      <w:r w:rsidRPr="00CD2546">
        <w:rPr>
          <w:rFonts w:ascii="Arial" w:hAnsi="Arial" w:cs="Arial"/>
          <w:i/>
          <w:sz w:val="22"/>
          <w:szCs w:val="22"/>
        </w:rPr>
        <w:t xml:space="preserve">Sustainable Tourism: Collective Responsibility of Providers, Travelers, and Governments. </w:t>
      </w:r>
      <w:r w:rsidRPr="00CD2546">
        <w:rPr>
          <w:rFonts w:ascii="Arial" w:hAnsi="Arial" w:cs="Arial"/>
          <w:sz w:val="22"/>
          <w:szCs w:val="22"/>
        </w:rPr>
        <w:t xml:space="preserve">Available at: </w:t>
      </w:r>
      <w:hyperlink r:id="rId22">
        <w:r w:rsidRPr="00CD2546">
          <w:rPr>
            <w:rFonts w:ascii="Arial" w:hAnsi="Arial" w:cs="Arial"/>
            <w:color w:val="1155CC"/>
            <w:sz w:val="22"/>
            <w:szCs w:val="22"/>
            <w:u w:val="single"/>
          </w:rPr>
          <w:t>https://www.statista.com/chart/32241/collective-responsibility-of-sustainable-tourism/</w:t>
        </w:r>
      </w:hyperlink>
      <w:r w:rsidRPr="00CD2546">
        <w:rPr>
          <w:rFonts w:ascii="Arial" w:hAnsi="Arial" w:cs="Arial"/>
          <w:sz w:val="22"/>
          <w:szCs w:val="22"/>
        </w:rPr>
        <w:t xml:space="preserve"> [Accessed 7 June 2025].</w:t>
      </w:r>
    </w:p>
    <w:p w14:paraId="19FD5EEA" w14:textId="77777777" w:rsidR="0096245D" w:rsidRPr="00CD2546" w:rsidRDefault="006D1908" w:rsidP="00CD2546">
      <w:pPr>
        <w:rPr>
          <w:rFonts w:ascii="Arial" w:hAnsi="Arial" w:cs="Arial"/>
          <w:sz w:val="22"/>
          <w:szCs w:val="22"/>
        </w:rPr>
      </w:pPr>
      <w:r w:rsidRPr="00CD2546">
        <w:rPr>
          <w:rFonts w:ascii="Arial" w:hAnsi="Arial" w:cs="Arial"/>
          <w:color w:val="222222"/>
          <w:sz w:val="22"/>
          <w:szCs w:val="22"/>
          <w:highlight w:val="white"/>
        </w:rPr>
        <w:t xml:space="preserve">Kaya, E. and Kaya, M.C., 2023. The role of contingency theory for tourist destinations management. </w:t>
      </w:r>
      <w:r w:rsidRPr="00CD2546">
        <w:rPr>
          <w:rFonts w:ascii="Arial" w:hAnsi="Arial" w:cs="Arial"/>
          <w:i/>
          <w:color w:val="222222"/>
          <w:sz w:val="22"/>
          <w:szCs w:val="22"/>
          <w:highlight w:val="white"/>
        </w:rPr>
        <w:t>Tourist Destination</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1</w:t>
      </w:r>
      <w:r w:rsidRPr="00CD2546">
        <w:rPr>
          <w:rFonts w:ascii="Arial" w:hAnsi="Arial" w:cs="Arial"/>
          <w:color w:val="222222"/>
          <w:sz w:val="22"/>
          <w:szCs w:val="22"/>
          <w:highlight w:val="white"/>
        </w:rPr>
        <w:t>(1), pp.25-32. https://www.researchgate.net/profile/Muhammet-Kaya-23/publication/376168130_The_role_of_contingency_theory_for_tourist_destinations_management/links/656b441a3fa26f66f4479168/The-role-of-contingency-theory-for-tourist-destinations-management.pdf</w:t>
      </w:r>
    </w:p>
    <w:p w14:paraId="282EF0DB"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Kumar, P., 2021. Digital marketing in hospitality and tourism. </w:t>
      </w:r>
      <w:r w:rsidRPr="00CD2546">
        <w:rPr>
          <w:rFonts w:ascii="Arial" w:hAnsi="Arial" w:cs="Arial"/>
          <w:i/>
          <w:color w:val="222222"/>
          <w:sz w:val="22"/>
          <w:szCs w:val="22"/>
          <w:highlight w:val="white"/>
        </w:rPr>
        <w:t>University of South Florida (USF) M3 Publishing</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17</w:t>
      </w:r>
      <w:r w:rsidRPr="00CD2546">
        <w:rPr>
          <w:rFonts w:ascii="Arial" w:hAnsi="Arial" w:cs="Arial"/>
          <w:color w:val="222222"/>
          <w:sz w:val="22"/>
          <w:szCs w:val="22"/>
          <w:highlight w:val="white"/>
        </w:rPr>
        <w:t>(9781732127593), p.3. https://digitalcommons.usf.edu/m3publishing/vol17/iss9781732127593/3/</w:t>
      </w:r>
    </w:p>
    <w:p w14:paraId="2BDABDBA"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Mahajan, R., Lim, W.M., Sareen, M., Kumar, S. and Panwar, R., 2023. Stakeholder theory. </w:t>
      </w:r>
      <w:r w:rsidRPr="00CD2546">
        <w:rPr>
          <w:rFonts w:ascii="Arial" w:hAnsi="Arial" w:cs="Arial"/>
          <w:i/>
          <w:color w:val="222222"/>
          <w:sz w:val="22"/>
          <w:szCs w:val="22"/>
          <w:highlight w:val="white"/>
        </w:rPr>
        <w:t>Journal of Business Research</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166</w:t>
      </w:r>
      <w:r w:rsidRPr="00CD2546">
        <w:rPr>
          <w:rFonts w:ascii="Arial" w:hAnsi="Arial" w:cs="Arial"/>
          <w:color w:val="222222"/>
          <w:sz w:val="22"/>
          <w:szCs w:val="22"/>
          <w:highlight w:val="white"/>
        </w:rPr>
        <w:t xml:space="preserve">, p.114104. </w:t>
      </w:r>
      <w:hyperlink r:id="rId23">
        <w:r w:rsidRPr="00CD2546">
          <w:rPr>
            <w:rFonts w:ascii="Arial" w:hAnsi="Arial" w:cs="Arial"/>
            <w:color w:val="1155CC"/>
            <w:sz w:val="22"/>
            <w:szCs w:val="22"/>
            <w:highlight w:val="white"/>
            <w:u w:val="single"/>
          </w:rPr>
          <w:t>https://doi.org/10.1016/j.jbusres.2023.114104</w:t>
        </w:r>
      </w:hyperlink>
    </w:p>
    <w:p w14:paraId="01AD5CF2"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Manuylenko, V.V. and Shebzukhova, M.A., 2021. Theory for financial controlling in corporations in the modern environment. </w:t>
      </w:r>
      <w:r w:rsidRPr="00CD2546">
        <w:rPr>
          <w:rFonts w:ascii="Arial" w:hAnsi="Arial" w:cs="Arial"/>
          <w:i/>
          <w:color w:val="222222"/>
          <w:sz w:val="22"/>
          <w:szCs w:val="22"/>
          <w:highlight w:val="white"/>
        </w:rPr>
        <w:t>Universal Journal of Accounting and Finance</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9</w:t>
      </w:r>
      <w:r w:rsidRPr="00CD2546">
        <w:rPr>
          <w:rFonts w:ascii="Arial" w:hAnsi="Arial" w:cs="Arial"/>
          <w:color w:val="222222"/>
          <w:sz w:val="22"/>
          <w:szCs w:val="22"/>
          <w:highlight w:val="white"/>
        </w:rPr>
        <w:t>(4), pp.773-782. https://www.academia.edu/download/74353146/UJAF23_12224347.pdf</w:t>
      </w:r>
    </w:p>
    <w:p w14:paraId="72D35141"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Nogueira, E., Gomes, S. and Lopes, J.M., 2023. Triple bottom line, sustainability, and economic development: What binds them together? A bibliometric approach. </w:t>
      </w:r>
      <w:r w:rsidRPr="00CD2546">
        <w:rPr>
          <w:rFonts w:ascii="Arial" w:hAnsi="Arial" w:cs="Arial"/>
          <w:i/>
          <w:color w:val="222222"/>
          <w:sz w:val="22"/>
          <w:szCs w:val="22"/>
          <w:highlight w:val="white"/>
        </w:rPr>
        <w:t>Sustainability</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15</w:t>
      </w:r>
      <w:r w:rsidRPr="00CD2546">
        <w:rPr>
          <w:rFonts w:ascii="Arial" w:hAnsi="Arial" w:cs="Arial"/>
          <w:color w:val="222222"/>
          <w:sz w:val="22"/>
          <w:szCs w:val="22"/>
          <w:highlight w:val="white"/>
        </w:rPr>
        <w:t xml:space="preserve">(8), p.6706. </w:t>
      </w:r>
      <w:hyperlink r:id="rId24">
        <w:r w:rsidRPr="00CD2546">
          <w:rPr>
            <w:rFonts w:ascii="Arial" w:hAnsi="Arial" w:cs="Arial"/>
            <w:color w:val="1155CC"/>
            <w:sz w:val="22"/>
            <w:szCs w:val="22"/>
            <w:highlight w:val="white"/>
            <w:u w:val="single"/>
          </w:rPr>
          <w:t>https://doi.org/10.3390/su15086706</w:t>
        </w:r>
      </w:hyperlink>
    </w:p>
    <w:p w14:paraId="2FE1244D" w14:textId="77777777" w:rsidR="0096245D" w:rsidRPr="00CD2546" w:rsidRDefault="006D1908" w:rsidP="00CD2546">
      <w:pPr>
        <w:rPr>
          <w:rFonts w:ascii="Arial" w:hAnsi="Arial" w:cs="Arial"/>
          <w:sz w:val="22"/>
          <w:szCs w:val="22"/>
        </w:rPr>
      </w:pPr>
      <w:r w:rsidRPr="00CD2546">
        <w:rPr>
          <w:rFonts w:ascii="Arial" w:hAnsi="Arial" w:cs="Arial"/>
          <w:sz w:val="22"/>
          <w:szCs w:val="22"/>
        </w:rPr>
        <w:lastRenderedPageBreak/>
        <w:t xml:space="preserve">Statista, 2025. </w:t>
      </w:r>
      <w:r w:rsidRPr="00CD2546">
        <w:rPr>
          <w:rFonts w:ascii="Arial" w:hAnsi="Arial" w:cs="Arial"/>
          <w:i/>
          <w:sz w:val="22"/>
          <w:szCs w:val="22"/>
        </w:rPr>
        <w:t xml:space="preserve">Sustainable tourism in the United Kingdom - statistics &amp; facts. </w:t>
      </w:r>
      <w:r w:rsidRPr="00CD2546">
        <w:rPr>
          <w:rFonts w:ascii="Arial" w:hAnsi="Arial" w:cs="Arial"/>
          <w:sz w:val="22"/>
          <w:szCs w:val="22"/>
        </w:rPr>
        <w:t xml:space="preserve">Available at: </w:t>
      </w:r>
      <w:hyperlink r:id="rId25" w:anchor="topicOverview">
        <w:r w:rsidRPr="00CD2546">
          <w:rPr>
            <w:rFonts w:ascii="Arial" w:hAnsi="Arial" w:cs="Arial"/>
            <w:color w:val="1155CC"/>
            <w:sz w:val="22"/>
            <w:szCs w:val="22"/>
            <w:u w:val="single"/>
          </w:rPr>
          <w:t>https://www.statista.com/topics/13400/sustainable-tourism-in-the-united-kingdom/#topicOverview</w:t>
        </w:r>
      </w:hyperlink>
      <w:r w:rsidRPr="00CD2546">
        <w:rPr>
          <w:rFonts w:ascii="Arial" w:hAnsi="Arial" w:cs="Arial"/>
          <w:sz w:val="22"/>
          <w:szCs w:val="22"/>
        </w:rPr>
        <w:t xml:space="preserve"> [Accessed 7 June 2025].</w:t>
      </w:r>
    </w:p>
    <w:p w14:paraId="6B3A67ED" w14:textId="77777777" w:rsidR="0096245D" w:rsidRPr="00CD2546" w:rsidRDefault="006D1908" w:rsidP="00CD2546">
      <w:pPr>
        <w:rPr>
          <w:rFonts w:ascii="Arial" w:hAnsi="Arial" w:cs="Arial"/>
          <w:sz w:val="22"/>
          <w:szCs w:val="22"/>
        </w:rPr>
      </w:pPr>
      <w:r w:rsidRPr="00CD2546">
        <w:rPr>
          <w:rFonts w:ascii="Arial" w:hAnsi="Arial" w:cs="Arial"/>
          <w:sz w:val="22"/>
          <w:szCs w:val="22"/>
        </w:rPr>
        <w:t xml:space="preserve">Statista, 2025. </w:t>
      </w:r>
      <w:r w:rsidRPr="00CD2546">
        <w:rPr>
          <w:rFonts w:ascii="Arial" w:hAnsi="Arial" w:cs="Arial"/>
          <w:i/>
          <w:sz w:val="22"/>
          <w:szCs w:val="22"/>
        </w:rPr>
        <w:t xml:space="preserve">Sustainable tourism worldwide - statistics &amp; facts. </w:t>
      </w:r>
      <w:r w:rsidRPr="00CD2546">
        <w:rPr>
          <w:rFonts w:ascii="Arial" w:hAnsi="Arial" w:cs="Arial"/>
          <w:sz w:val="22"/>
          <w:szCs w:val="22"/>
        </w:rPr>
        <w:t xml:space="preserve">Available at: </w:t>
      </w:r>
      <w:hyperlink r:id="rId26" w:anchor="topicOverview">
        <w:r w:rsidRPr="00CD2546">
          <w:rPr>
            <w:rFonts w:ascii="Arial" w:hAnsi="Arial" w:cs="Arial"/>
            <w:color w:val="1155CC"/>
            <w:sz w:val="22"/>
            <w:szCs w:val="22"/>
            <w:u w:val="single"/>
          </w:rPr>
          <w:t>https://www.statista.com/topics/1916/green-tourism/#topicOverview</w:t>
        </w:r>
      </w:hyperlink>
      <w:r w:rsidRPr="00CD2546">
        <w:rPr>
          <w:rFonts w:ascii="Arial" w:hAnsi="Arial" w:cs="Arial"/>
          <w:sz w:val="22"/>
          <w:szCs w:val="22"/>
        </w:rPr>
        <w:t xml:space="preserve"> [Accessed 7 June 2025].</w:t>
      </w:r>
    </w:p>
    <w:p w14:paraId="3AB1D3A7" w14:textId="77777777" w:rsidR="0096245D" w:rsidRPr="00CD2546" w:rsidRDefault="006D1908" w:rsidP="00CD2546">
      <w:pPr>
        <w:rPr>
          <w:rFonts w:ascii="Arial" w:hAnsi="Arial" w:cs="Arial"/>
          <w:sz w:val="22"/>
          <w:szCs w:val="22"/>
        </w:rPr>
      </w:pPr>
      <w:r w:rsidRPr="00CD2546">
        <w:rPr>
          <w:rFonts w:ascii="Arial" w:hAnsi="Arial" w:cs="Arial"/>
          <w:color w:val="222222"/>
          <w:sz w:val="22"/>
          <w:szCs w:val="22"/>
          <w:highlight w:val="white"/>
        </w:rPr>
        <w:t xml:space="preserve">Štreimikienė, D. and Ahmed, R.R., 2021. Corporate social responsibility and brand management: Evidence from Carroll’s pyramid and triple bottom line approaches. </w:t>
      </w:r>
      <w:r w:rsidRPr="00CD2546">
        <w:rPr>
          <w:rFonts w:ascii="Arial" w:hAnsi="Arial" w:cs="Arial"/>
          <w:i/>
          <w:color w:val="222222"/>
          <w:sz w:val="22"/>
          <w:szCs w:val="22"/>
          <w:highlight w:val="white"/>
        </w:rPr>
        <w:t>Technological and Economic Development of Economy</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27</w:t>
      </w:r>
      <w:r w:rsidRPr="00CD2546">
        <w:rPr>
          <w:rFonts w:ascii="Arial" w:hAnsi="Arial" w:cs="Arial"/>
          <w:color w:val="222222"/>
          <w:sz w:val="22"/>
          <w:szCs w:val="22"/>
          <w:highlight w:val="white"/>
        </w:rPr>
        <w:t>(4), pp.852-875. https://journals.vilniustech.lt/index.php/TEDE/article/view/14520</w:t>
      </w:r>
    </w:p>
    <w:p w14:paraId="53117E84"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Struniawski, J., 2024. CROWD MANAGEMENT DURING MASS EVENTS. </w:t>
      </w:r>
      <w:r w:rsidRPr="00CD2546">
        <w:rPr>
          <w:rFonts w:ascii="Arial" w:hAnsi="Arial" w:cs="Arial"/>
          <w:i/>
          <w:color w:val="222222"/>
          <w:sz w:val="22"/>
          <w:szCs w:val="22"/>
          <w:highlight w:val="white"/>
        </w:rPr>
        <w:t>Zeszyty Naukowe</w:t>
      </w:r>
      <w:r w:rsidRPr="00CD2546">
        <w:rPr>
          <w:rFonts w:ascii="Arial" w:hAnsi="Arial" w:cs="Arial"/>
          <w:color w:val="222222"/>
          <w:sz w:val="22"/>
          <w:szCs w:val="22"/>
          <w:highlight w:val="white"/>
        </w:rPr>
        <w:t>, (89), p.2. https://publisherspanel.com/api/files/view/2427630.pdf</w:t>
      </w:r>
    </w:p>
    <w:p w14:paraId="612F676A"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Thomas, B., Thomas, S. and Powell, L. (2017). THE DEVELOPMENT OF KEY CHARACTERISTICS OF WELSH ISLAND CULTURAL IDENTITY AND SUSTAINABLE TOURISM IN WALES. </w:t>
      </w:r>
      <w:r w:rsidRPr="00CD2546">
        <w:rPr>
          <w:rFonts w:ascii="Arial" w:hAnsi="Arial" w:cs="Arial"/>
          <w:i/>
          <w:color w:val="222222"/>
          <w:sz w:val="22"/>
          <w:szCs w:val="22"/>
          <w:highlight w:val="white"/>
        </w:rPr>
        <w:t>Scientific Culture</w:t>
      </w:r>
      <w:r w:rsidRPr="00CD2546">
        <w:rPr>
          <w:rFonts w:ascii="Arial" w:hAnsi="Arial" w:cs="Arial"/>
          <w:color w:val="222222"/>
          <w:sz w:val="22"/>
          <w:szCs w:val="22"/>
          <w:highlight w:val="white"/>
        </w:rPr>
        <w:t xml:space="preserve">, </w:t>
      </w:r>
      <w:r w:rsidRPr="00CD2546">
        <w:rPr>
          <w:rFonts w:ascii="Arial" w:hAnsi="Arial" w:cs="Arial"/>
          <w:i/>
          <w:color w:val="222222"/>
          <w:sz w:val="22"/>
          <w:szCs w:val="22"/>
          <w:highlight w:val="white"/>
        </w:rPr>
        <w:t>3</w:t>
      </w:r>
      <w:r w:rsidRPr="00CD2546">
        <w:rPr>
          <w:rFonts w:ascii="Arial" w:hAnsi="Arial" w:cs="Arial"/>
          <w:color w:val="222222"/>
          <w:sz w:val="22"/>
          <w:szCs w:val="22"/>
          <w:highlight w:val="white"/>
        </w:rPr>
        <w:t xml:space="preserve">(1). </w:t>
      </w:r>
      <w:hyperlink r:id="rId27">
        <w:r w:rsidRPr="00CD2546">
          <w:rPr>
            <w:rFonts w:ascii="Arial" w:hAnsi="Arial" w:cs="Arial"/>
            <w:color w:val="1155CC"/>
            <w:sz w:val="22"/>
            <w:szCs w:val="22"/>
            <w:highlight w:val="white"/>
            <w:u w:val="single"/>
          </w:rPr>
          <w:t>https://www.researchgate.net/profile/Brychan-Thomas/publication/330565005.pdf</w:t>
        </w:r>
      </w:hyperlink>
    </w:p>
    <w:p w14:paraId="729F4910"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Visit Wales, 2025. </w:t>
      </w:r>
      <w:r w:rsidRPr="00CD2546">
        <w:rPr>
          <w:rFonts w:ascii="Arial" w:hAnsi="Arial" w:cs="Arial"/>
          <w:i/>
          <w:color w:val="222222"/>
          <w:sz w:val="22"/>
          <w:szCs w:val="22"/>
          <w:highlight w:val="white"/>
        </w:rPr>
        <w:t>Funding support for culture and sport events in Wales.</w:t>
      </w:r>
      <w:r w:rsidRPr="00CD2546">
        <w:rPr>
          <w:rFonts w:ascii="Arial" w:hAnsi="Arial" w:cs="Arial"/>
          <w:color w:val="222222"/>
          <w:sz w:val="22"/>
          <w:szCs w:val="22"/>
          <w:highlight w:val="white"/>
        </w:rPr>
        <w:t xml:space="preserve"> Available at: </w:t>
      </w:r>
      <w:hyperlink r:id="rId28">
        <w:r w:rsidRPr="00CD2546">
          <w:rPr>
            <w:rFonts w:ascii="Arial" w:hAnsi="Arial" w:cs="Arial"/>
            <w:color w:val="1155CC"/>
            <w:sz w:val="22"/>
            <w:szCs w:val="22"/>
            <w:highlight w:val="white"/>
            <w:u w:val="single"/>
          </w:rPr>
          <w:t>https://industry.visitwales.com/funding-support-culture-and-sports-events-wales</w:t>
        </w:r>
      </w:hyperlink>
      <w:r w:rsidRPr="00CD2546">
        <w:rPr>
          <w:rFonts w:ascii="Arial" w:hAnsi="Arial" w:cs="Arial"/>
          <w:color w:val="222222"/>
          <w:sz w:val="22"/>
          <w:szCs w:val="22"/>
          <w:highlight w:val="white"/>
        </w:rPr>
        <w:t xml:space="preserve"> [Accessed 7 June 2025].</w:t>
      </w:r>
    </w:p>
    <w:p w14:paraId="63C2D8CE" w14:textId="77777777" w:rsidR="0096245D" w:rsidRPr="00CD2546" w:rsidRDefault="006D1908" w:rsidP="00CD2546">
      <w:pPr>
        <w:rPr>
          <w:rFonts w:ascii="Arial" w:hAnsi="Arial" w:cs="Arial"/>
          <w:sz w:val="22"/>
          <w:szCs w:val="22"/>
        </w:rPr>
      </w:pPr>
      <w:r w:rsidRPr="00CD2546">
        <w:rPr>
          <w:rFonts w:ascii="Arial" w:hAnsi="Arial" w:cs="Arial"/>
          <w:sz w:val="22"/>
          <w:szCs w:val="22"/>
        </w:rPr>
        <w:t xml:space="preserve">Visit Wales, 2025. </w:t>
      </w:r>
      <w:r w:rsidRPr="00CD2546">
        <w:rPr>
          <w:rFonts w:ascii="Arial" w:hAnsi="Arial" w:cs="Arial"/>
          <w:i/>
          <w:sz w:val="22"/>
          <w:szCs w:val="22"/>
        </w:rPr>
        <w:t>2025: Year of Croeso.</w:t>
      </w:r>
      <w:r w:rsidRPr="00CD2546">
        <w:rPr>
          <w:rFonts w:ascii="Arial" w:hAnsi="Arial" w:cs="Arial"/>
          <w:sz w:val="22"/>
          <w:szCs w:val="22"/>
        </w:rPr>
        <w:t xml:space="preserve"> Available at: </w:t>
      </w:r>
      <w:hyperlink r:id="rId29">
        <w:r w:rsidRPr="00CD2546">
          <w:rPr>
            <w:rFonts w:ascii="Arial" w:hAnsi="Arial" w:cs="Arial"/>
            <w:color w:val="1155CC"/>
            <w:sz w:val="22"/>
            <w:szCs w:val="22"/>
            <w:u w:val="single"/>
          </w:rPr>
          <w:t>https://industry.visitwales.com/get-involved/visit-wales-themed-year-campaigns/year-croeso</w:t>
        </w:r>
      </w:hyperlink>
      <w:r w:rsidRPr="00CD2546">
        <w:rPr>
          <w:rFonts w:ascii="Arial" w:hAnsi="Arial" w:cs="Arial"/>
          <w:sz w:val="22"/>
          <w:szCs w:val="22"/>
        </w:rPr>
        <w:t xml:space="preserve"> [Accessed 7 June 2025].</w:t>
      </w:r>
    </w:p>
    <w:p w14:paraId="4504498D"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Wadhwa, K., 2024. The Role of Gantt Chart in the Project Management. </w:t>
      </w:r>
      <w:hyperlink r:id="rId30">
        <w:r w:rsidRPr="00CD2546">
          <w:rPr>
            <w:rFonts w:ascii="Arial" w:hAnsi="Arial" w:cs="Arial"/>
            <w:color w:val="1155CC"/>
            <w:sz w:val="22"/>
            <w:szCs w:val="22"/>
            <w:highlight w:val="white"/>
            <w:u w:val="single"/>
          </w:rPr>
          <w:t>https://www.theseus.fi/handle/10024/865913</w:t>
        </w:r>
      </w:hyperlink>
    </w:p>
    <w:p w14:paraId="50868395" w14:textId="77777777" w:rsidR="0096245D" w:rsidRPr="00CD2546" w:rsidRDefault="006D1908" w:rsidP="00CD2546">
      <w:pPr>
        <w:rPr>
          <w:rFonts w:ascii="Arial" w:hAnsi="Arial" w:cs="Arial"/>
          <w:color w:val="222222"/>
          <w:sz w:val="22"/>
          <w:szCs w:val="22"/>
          <w:highlight w:val="white"/>
        </w:rPr>
      </w:pPr>
      <w:r w:rsidRPr="00CD2546">
        <w:rPr>
          <w:rFonts w:ascii="Arial" w:hAnsi="Arial" w:cs="Arial"/>
          <w:color w:val="222222"/>
          <w:sz w:val="22"/>
          <w:szCs w:val="22"/>
          <w:highlight w:val="white"/>
        </w:rPr>
        <w:t xml:space="preserve">Yen, D., 2023. </w:t>
      </w:r>
      <w:r w:rsidRPr="00CD2546">
        <w:rPr>
          <w:rFonts w:ascii="Arial" w:hAnsi="Arial" w:cs="Arial"/>
          <w:i/>
          <w:color w:val="222222"/>
          <w:sz w:val="22"/>
          <w:szCs w:val="22"/>
          <w:highlight w:val="white"/>
        </w:rPr>
        <w:t>Leveraging folklore and fantasy to promote small destinations: the case of Visit Wales Journal of Policy Research in Tourism, Leisure and Events, 2023</w:t>
      </w:r>
      <w:r w:rsidRPr="00CD2546">
        <w:rPr>
          <w:rFonts w:ascii="Arial" w:hAnsi="Arial" w:cs="Arial"/>
          <w:color w:val="222222"/>
          <w:sz w:val="22"/>
          <w:szCs w:val="22"/>
          <w:highlight w:val="white"/>
        </w:rPr>
        <w:t xml:space="preserve"> (Doctoral dissertation, Leeds Beckett University). https://www.researchgate.net/profile/Nigel-Morgan-2/publication/374228809_Leveraging_folklore_and_fantasy_to_promote_small_destinations_the_case_of_Visit_Wales/links/651466b9cce2460b6c3928f7/Leveraging-folklore-and-fantasy-to-promote-small-destinations-the-case-of-Visit-Wales.pdf</w:t>
      </w:r>
    </w:p>
    <w:p w14:paraId="5372D168" w14:textId="77777777" w:rsidR="0096245D" w:rsidRPr="00CD2546" w:rsidRDefault="006D1908" w:rsidP="00CD2546">
      <w:pPr>
        <w:rPr>
          <w:rFonts w:ascii="Arial" w:hAnsi="Arial" w:cs="Arial"/>
          <w:sz w:val="22"/>
          <w:szCs w:val="22"/>
        </w:rPr>
      </w:pPr>
      <w:r w:rsidRPr="00CD2546">
        <w:rPr>
          <w:rFonts w:ascii="Arial" w:hAnsi="Arial" w:cs="Arial"/>
          <w:color w:val="222222"/>
          <w:sz w:val="22"/>
          <w:szCs w:val="22"/>
          <w:highlight w:val="white"/>
        </w:rPr>
        <w:lastRenderedPageBreak/>
        <w:t xml:space="preserve">Żemojtel-Piotrowska, M. and Piotrowski, J., 2023. Hofstede’s cultural dimensions theory. In </w:t>
      </w:r>
      <w:r w:rsidRPr="00CD2546">
        <w:rPr>
          <w:rFonts w:ascii="Arial" w:hAnsi="Arial" w:cs="Arial"/>
          <w:i/>
          <w:color w:val="222222"/>
          <w:sz w:val="22"/>
          <w:szCs w:val="22"/>
          <w:highlight w:val="white"/>
        </w:rPr>
        <w:t>Encyclopedia of sexual psychology and behavior</w:t>
      </w:r>
      <w:r w:rsidRPr="00CD2546">
        <w:rPr>
          <w:rFonts w:ascii="Arial" w:hAnsi="Arial" w:cs="Arial"/>
          <w:color w:val="222222"/>
          <w:sz w:val="22"/>
          <w:szCs w:val="22"/>
          <w:highlight w:val="white"/>
        </w:rPr>
        <w:t xml:space="preserve"> (pp. 1-4). Cham: Springer International Publishing. https://doi.org/10.1007/978-3-031-08956-5_1124-1.pdf</w:t>
      </w:r>
    </w:p>
    <w:sectPr w:rsidR="0096245D" w:rsidRPr="00CD2546">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C81A3F" w14:textId="77777777" w:rsidR="009478DA" w:rsidRDefault="009478DA">
      <w:pPr>
        <w:spacing w:after="0" w:line="240" w:lineRule="auto"/>
      </w:pPr>
      <w:r>
        <w:separator/>
      </w:r>
    </w:p>
  </w:endnote>
  <w:endnote w:type="continuationSeparator" w:id="0">
    <w:p w14:paraId="2E1399B2" w14:textId="77777777" w:rsidR="009478DA" w:rsidRDefault="00947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Calibri"/>
    <w:panose1 w:val="020B06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E7E62" w14:textId="77777777" w:rsidR="00FF1F55" w:rsidRDefault="00FF1F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C66D7" w14:textId="77777777" w:rsidR="0096245D" w:rsidRDefault="006D1908">
    <w:pPr>
      <w:jc w:val="right"/>
      <w:rPr>
        <w:sz w:val="20"/>
        <w:szCs w:val="20"/>
      </w:rPr>
    </w:pPr>
    <w:r>
      <w:rPr>
        <w:sz w:val="20"/>
        <w:szCs w:val="20"/>
      </w:rPr>
      <w:fldChar w:fldCharType="begin"/>
    </w:r>
    <w:r>
      <w:rPr>
        <w:sz w:val="20"/>
        <w:szCs w:val="20"/>
      </w:rPr>
      <w:instrText>PAGE</w:instrText>
    </w:r>
    <w:r>
      <w:rPr>
        <w:sz w:val="20"/>
        <w:szCs w:val="20"/>
      </w:rPr>
      <w:fldChar w:fldCharType="separate"/>
    </w:r>
    <w:r w:rsidR="006B2B06">
      <w:rPr>
        <w:noProof/>
        <w:sz w:val="20"/>
        <w:szCs w:val="20"/>
      </w:rPr>
      <w:t>2</w:t>
    </w:r>
    <w:r>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0D985" w14:textId="77777777" w:rsidR="0096245D" w:rsidRDefault="009624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A387C0" w14:textId="77777777" w:rsidR="009478DA" w:rsidRDefault="009478DA">
      <w:pPr>
        <w:spacing w:after="0" w:line="240" w:lineRule="auto"/>
      </w:pPr>
      <w:r>
        <w:separator/>
      </w:r>
    </w:p>
  </w:footnote>
  <w:footnote w:type="continuationSeparator" w:id="0">
    <w:p w14:paraId="37D07AE2" w14:textId="77777777" w:rsidR="009478DA" w:rsidRDefault="00947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7ABC8" w14:textId="77777777" w:rsidR="00FF1F55" w:rsidRDefault="00FF1F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69658" w14:textId="77777777" w:rsidR="00FF1F55" w:rsidRDefault="00FF1F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A98F89" w14:textId="77777777" w:rsidR="0096245D" w:rsidRDefault="0096245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125CE"/>
    <w:multiLevelType w:val="hybridMultilevel"/>
    <w:tmpl w:val="B25A9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D557D"/>
    <w:multiLevelType w:val="hybridMultilevel"/>
    <w:tmpl w:val="6B94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F5155A"/>
    <w:multiLevelType w:val="hybridMultilevel"/>
    <w:tmpl w:val="00000000"/>
    <w:lvl w:ilvl="0" w:tplc="9912DE64">
      <w:start w:val="1"/>
      <w:numFmt w:val="bullet"/>
      <w:lvlText w:val="●"/>
      <w:lvlJc w:val="left"/>
      <w:pPr>
        <w:ind w:left="720" w:hanging="360"/>
      </w:pPr>
      <w:rPr>
        <w:u w:val="none"/>
      </w:rPr>
    </w:lvl>
    <w:lvl w:ilvl="1" w:tplc="3E2CB1E8">
      <w:start w:val="1"/>
      <w:numFmt w:val="bullet"/>
      <w:lvlText w:val="○"/>
      <w:lvlJc w:val="left"/>
      <w:pPr>
        <w:ind w:left="1440" w:hanging="360"/>
      </w:pPr>
      <w:rPr>
        <w:u w:val="none"/>
      </w:rPr>
    </w:lvl>
    <w:lvl w:ilvl="2" w:tplc="C35084B0">
      <w:start w:val="1"/>
      <w:numFmt w:val="bullet"/>
      <w:lvlText w:val="■"/>
      <w:lvlJc w:val="left"/>
      <w:pPr>
        <w:ind w:left="2160" w:hanging="360"/>
      </w:pPr>
      <w:rPr>
        <w:u w:val="none"/>
      </w:rPr>
    </w:lvl>
    <w:lvl w:ilvl="3" w:tplc="EB4C768E">
      <w:start w:val="1"/>
      <w:numFmt w:val="bullet"/>
      <w:lvlText w:val="●"/>
      <w:lvlJc w:val="left"/>
      <w:pPr>
        <w:ind w:left="2880" w:hanging="360"/>
      </w:pPr>
      <w:rPr>
        <w:u w:val="none"/>
      </w:rPr>
    </w:lvl>
    <w:lvl w:ilvl="4" w:tplc="815E83FE">
      <w:start w:val="1"/>
      <w:numFmt w:val="bullet"/>
      <w:lvlText w:val="○"/>
      <w:lvlJc w:val="left"/>
      <w:pPr>
        <w:ind w:left="3600" w:hanging="360"/>
      </w:pPr>
      <w:rPr>
        <w:u w:val="none"/>
      </w:rPr>
    </w:lvl>
    <w:lvl w:ilvl="5" w:tplc="44A4B59E">
      <w:start w:val="1"/>
      <w:numFmt w:val="bullet"/>
      <w:lvlText w:val="■"/>
      <w:lvlJc w:val="left"/>
      <w:pPr>
        <w:ind w:left="4320" w:hanging="360"/>
      </w:pPr>
      <w:rPr>
        <w:u w:val="none"/>
      </w:rPr>
    </w:lvl>
    <w:lvl w:ilvl="6" w:tplc="FC98DFFA">
      <w:start w:val="1"/>
      <w:numFmt w:val="bullet"/>
      <w:lvlText w:val="●"/>
      <w:lvlJc w:val="left"/>
      <w:pPr>
        <w:ind w:left="5040" w:hanging="360"/>
      </w:pPr>
      <w:rPr>
        <w:u w:val="none"/>
      </w:rPr>
    </w:lvl>
    <w:lvl w:ilvl="7" w:tplc="0390FD80">
      <w:start w:val="1"/>
      <w:numFmt w:val="bullet"/>
      <w:lvlText w:val="○"/>
      <w:lvlJc w:val="left"/>
      <w:pPr>
        <w:ind w:left="5760" w:hanging="360"/>
      </w:pPr>
      <w:rPr>
        <w:u w:val="none"/>
      </w:rPr>
    </w:lvl>
    <w:lvl w:ilvl="8" w:tplc="E5242C20">
      <w:start w:val="1"/>
      <w:numFmt w:val="bullet"/>
      <w:lvlText w:val="■"/>
      <w:lvlJc w:val="left"/>
      <w:pPr>
        <w:ind w:left="6480" w:hanging="360"/>
      </w:pPr>
      <w:rPr>
        <w:u w:val="none"/>
      </w:rPr>
    </w:lvl>
  </w:abstractNum>
  <w:abstractNum w:abstractNumId="3" w15:restartNumberingAfterBreak="0">
    <w:nsid w:val="25E86655"/>
    <w:multiLevelType w:val="hybridMultilevel"/>
    <w:tmpl w:val="2D16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1F5A10"/>
    <w:multiLevelType w:val="hybridMultilevel"/>
    <w:tmpl w:val="D728A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D40EA2"/>
    <w:multiLevelType w:val="hybridMultilevel"/>
    <w:tmpl w:val="8DDA9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0850CC"/>
    <w:multiLevelType w:val="hybridMultilevel"/>
    <w:tmpl w:val="886C3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45D"/>
    <w:rsid w:val="000173AA"/>
    <w:rsid w:val="000867E2"/>
    <w:rsid w:val="000D448E"/>
    <w:rsid w:val="000F4C4F"/>
    <w:rsid w:val="00164061"/>
    <w:rsid w:val="00173830"/>
    <w:rsid w:val="00176F38"/>
    <w:rsid w:val="0017748F"/>
    <w:rsid w:val="00194772"/>
    <w:rsid w:val="001E287C"/>
    <w:rsid w:val="00201000"/>
    <w:rsid w:val="002275FC"/>
    <w:rsid w:val="00254E68"/>
    <w:rsid w:val="00274C1B"/>
    <w:rsid w:val="002F674A"/>
    <w:rsid w:val="00327210"/>
    <w:rsid w:val="003D6FF2"/>
    <w:rsid w:val="003D7D60"/>
    <w:rsid w:val="00401FC4"/>
    <w:rsid w:val="00402CFC"/>
    <w:rsid w:val="00423862"/>
    <w:rsid w:val="00427110"/>
    <w:rsid w:val="00470662"/>
    <w:rsid w:val="00490BC8"/>
    <w:rsid w:val="004A14FC"/>
    <w:rsid w:val="004A208F"/>
    <w:rsid w:val="004B72EC"/>
    <w:rsid w:val="004C7D10"/>
    <w:rsid w:val="004E23D6"/>
    <w:rsid w:val="00531E62"/>
    <w:rsid w:val="00537ECD"/>
    <w:rsid w:val="00564B97"/>
    <w:rsid w:val="005C0825"/>
    <w:rsid w:val="005F2483"/>
    <w:rsid w:val="006176BC"/>
    <w:rsid w:val="00627941"/>
    <w:rsid w:val="006450DA"/>
    <w:rsid w:val="00653A7D"/>
    <w:rsid w:val="00683723"/>
    <w:rsid w:val="00692BAC"/>
    <w:rsid w:val="006B2B06"/>
    <w:rsid w:val="006D1908"/>
    <w:rsid w:val="007039C0"/>
    <w:rsid w:val="00745655"/>
    <w:rsid w:val="00754447"/>
    <w:rsid w:val="007D097E"/>
    <w:rsid w:val="008103AC"/>
    <w:rsid w:val="00826C7B"/>
    <w:rsid w:val="00857957"/>
    <w:rsid w:val="008914AD"/>
    <w:rsid w:val="009123CF"/>
    <w:rsid w:val="009478DA"/>
    <w:rsid w:val="00956323"/>
    <w:rsid w:val="0096245D"/>
    <w:rsid w:val="009F7C97"/>
    <w:rsid w:val="00A05A27"/>
    <w:rsid w:val="00A12712"/>
    <w:rsid w:val="00A61F7D"/>
    <w:rsid w:val="00AC7EDA"/>
    <w:rsid w:val="00B107AD"/>
    <w:rsid w:val="00B76BD4"/>
    <w:rsid w:val="00B950AA"/>
    <w:rsid w:val="00BB6627"/>
    <w:rsid w:val="00BE15A6"/>
    <w:rsid w:val="00C74272"/>
    <w:rsid w:val="00CD2546"/>
    <w:rsid w:val="00CD352C"/>
    <w:rsid w:val="00D05D5D"/>
    <w:rsid w:val="00D76B15"/>
    <w:rsid w:val="00E018CD"/>
    <w:rsid w:val="00ED167E"/>
    <w:rsid w:val="00EF405B"/>
    <w:rsid w:val="00EF4550"/>
    <w:rsid w:val="00F62467"/>
    <w:rsid w:val="00FD0271"/>
    <w:rsid w:val="00FF1F55"/>
    <w:rsid w:val="00FF6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1C2DF"/>
  <w15:docId w15:val="{43AA3970-2D43-4EFD-924F-3F9226D64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6B2B06"/>
    <w:pPr>
      <w:spacing w:before="100" w:beforeAutospacing="1" w:after="100" w:afterAutospacing="1" w:line="240" w:lineRule="auto"/>
      <w:jc w:val="left"/>
    </w:pPr>
    <w:rPr>
      <w:rFonts w:ascii="Aptos" w:eastAsiaTheme="minorHAnsi" w:hAnsi="Aptos" w:cs="Aptos"/>
      <w:lang w:val="en-GB" w:eastAsia="en-GB"/>
    </w:rPr>
  </w:style>
  <w:style w:type="paragraph" w:styleId="TOC1">
    <w:name w:val="toc 1"/>
    <w:basedOn w:val="Normal"/>
    <w:next w:val="Normal"/>
    <w:autoRedefine/>
    <w:uiPriority w:val="39"/>
    <w:unhideWhenUsed/>
    <w:rsid w:val="00402CFC"/>
    <w:pPr>
      <w:spacing w:after="100"/>
    </w:pPr>
  </w:style>
  <w:style w:type="character" w:styleId="Hyperlink">
    <w:name w:val="Hyperlink"/>
    <w:basedOn w:val="DefaultParagraphFont"/>
    <w:uiPriority w:val="99"/>
    <w:unhideWhenUsed/>
    <w:rsid w:val="00402CFC"/>
    <w:rPr>
      <w:color w:val="0000FF" w:themeColor="hyperlink"/>
      <w:u w:val="single"/>
    </w:rPr>
  </w:style>
  <w:style w:type="character" w:styleId="UnresolvedMention">
    <w:name w:val="Unresolved Mention"/>
    <w:basedOn w:val="DefaultParagraphFont"/>
    <w:uiPriority w:val="99"/>
    <w:semiHidden/>
    <w:unhideWhenUsed/>
    <w:rsid w:val="006D1908"/>
    <w:rPr>
      <w:color w:val="605E5C"/>
      <w:shd w:val="clear" w:color="auto" w:fill="E1DFDD"/>
    </w:rPr>
  </w:style>
  <w:style w:type="paragraph" w:styleId="Header">
    <w:name w:val="header"/>
    <w:basedOn w:val="Normal"/>
    <w:link w:val="HeaderChar"/>
    <w:uiPriority w:val="99"/>
    <w:unhideWhenUsed/>
    <w:rsid w:val="00FF1F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1F55"/>
  </w:style>
  <w:style w:type="paragraph" w:styleId="Footer">
    <w:name w:val="footer"/>
    <w:basedOn w:val="Normal"/>
    <w:link w:val="FooterChar"/>
    <w:uiPriority w:val="99"/>
    <w:unhideWhenUsed/>
    <w:rsid w:val="00FF1F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1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935048">
      <w:bodyDiv w:val="1"/>
      <w:marLeft w:val="0"/>
      <w:marRight w:val="0"/>
      <w:marTop w:val="0"/>
      <w:marBottom w:val="0"/>
      <w:divBdr>
        <w:top w:val="none" w:sz="0" w:space="0" w:color="auto"/>
        <w:left w:val="none" w:sz="0" w:space="0" w:color="auto"/>
        <w:bottom w:val="none" w:sz="0" w:space="0" w:color="auto"/>
        <w:right w:val="none" w:sz="0" w:space="0" w:color="auto"/>
      </w:divBdr>
    </w:div>
    <w:div w:id="654408748">
      <w:bodyDiv w:val="1"/>
      <w:marLeft w:val="0"/>
      <w:marRight w:val="0"/>
      <w:marTop w:val="0"/>
      <w:marBottom w:val="0"/>
      <w:divBdr>
        <w:top w:val="none" w:sz="0" w:space="0" w:color="auto"/>
        <w:left w:val="none" w:sz="0" w:space="0" w:color="auto"/>
        <w:bottom w:val="none" w:sz="0" w:space="0" w:color="auto"/>
        <w:right w:val="none" w:sz="0" w:space="0" w:color="auto"/>
      </w:divBdr>
    </w:div>
    <w:div w:id="1058280407">
      <w:bodyDiv w:val="1"/>
      <w:marLeft w:val="0"/>
      <w:marRight w:val="0"/>
      <w:marTop w:val="0"/>
      <w:marBottom w:val="0"/>
      <w:divBdr>
        <w:top w:val="none" w:sz="0" w:space="0" w:color="auto"/>
        <w:left w:val="none" w:sz="0" w:space="0" w:color="auto"/>
        <w:bottom w:val="none" w:sz="0" w:space="0" w:color="auto"/>
        <w:right w:val="none" w:sz="0" w:space="0" w:color="auto"/>
      </w:divBdr>
    </w:div>
    <w:div w:id="1210069594">
      <w:bodyDiv w:val="1"/>
      <w:marLeft w:val="0"/>
      <w:marRight w:val="0"/>
      <w:marTop w:val="0"/>
      <w:marBottom w:val="0"/>
      <w:divBdr>
        <w:top w:val="none" w:sz="0" w:space="0" w:color="auto"/>
        <w:left w:val="none" w:sz="0" w:space="0" w:color="auto"/>
        <w:bottom w:val="none" w:sz="0" w:space="0" w:color="auto"/>
        <w:right w:val="none" w:sz="0" w:space="0" w:color="auto"/>
      </w:divBdr>
    </w:div>
    <w:div w:id="1372028111">
      <w:bodyDiv w:val="1"/>
      <w:marLeft w:val="0"/>
      <w:marRight w:val="0"/>
      <w:marTop w:val="0"/>
      <w:marBottom w:val="0"/>
      <w:divBdr>
        <w:top w:val="none" w:sz="0" w:space="0" w:color="auto"/>
        <w:left w:val="none" w:sz="0" w:space="0" w:color="auto"/>
        <w:bottom w:val="none" w:sz="0" w:space="0" w:color="auto"/>
        <w:right w:val="none" w:sz="0" w:space="0" w:color="auto"/>
      </w:divBdr>
    </w:div>
    <w:div w:id="1411730277">
      <w:bodyDiv w:val="1"/>
      <w:marLeft w:val="0"/>
      <w:marRight w:val="0"/>
      <w:marTop w:val="0"/>
      <w:marBottom w:val="0"/>
      <w:divBdr>
        <w:top w:val="none" w:sz="0" w:space="0" w:color="auto"/>
        <w:left w:val="none" w:sz="0" w:space="0" w:color="auto"/>
        <w:bottom w:val="none" w:sz="0" w:space="0" w:color="auto"/>
        <w:right w:val="none" w:sz="0" w:space="0" w:color="auto"/>
      </w:divBdr>
    </w:div>
    <w:div w:id="1499881697">
      <w:bodyDiv w:val="1"/>
      <w:marLeft w:val="0"/>
      <w:marRight w:val="0"/>
      <w:marTop w:val="0"/>
      <w:marBottom w:val="0"/>
      <w:divBdr>
        <w:top w:val="none" w:sz="0" w:space="0" w:color="auto"/>
        <w:left w:val="none" w:sz="0" w:space="0" w:color="auto"/>
        <w:bottom w:val="none" w:sz="0" w:space="0" w:color="auto"/>
        <w:right w:val="none" w:sz="0" w:space="0" w:color="auto"/>
      </w:divBdr>
    </w:div>
    <w:div w:id="1634557971">
      <w:bodyDiv w:val="1"/>
      <w:marLeft w:val="0"/>
      <w:marRight w:val="0"/>
      <w:marTop w:val="0"/>
      <w:marBottom w:val="0"/>
      <w:divBdr>
        <w:top w:val="none" w:sz="0" w:space="0" w:color="auto"/>
        <w:left w:val="none" w:sz="0" w:space="0" w:color="auto"/>
        <w:bottom w:val="none" w:sz="0" w:space="0" w:color="auto"/>
        <w:right w:val="none" w:sz="0" w:space="0" w:color="auto"/>
      </w:divBdr>
    </w:div>
    <w:div w:id="1671566473">
      <w:bodyDiv w:val="1"/>
      <w:marLeft w:val="0"/>
      <w:marRight w:val="0"/>
      <w:marTop w:val="0"/>
      <w:marBottom w:val="0"/>
      <w:divBdr>
        <w:top w:val="none" w:sz="0" w:space="0" w:color="auto"/>
        <w:left w:val="none" w:sz="0" w:space="0" w:color="auto"/>
        <w:bottom w:val="none" w:sz="0" w:space="0" w:color="auto"/>
        <w:right w:val="none" w:sz="0" w:space="0" w:color="auto"/>
      </w:divBdr>
    </w:div>
    <w:div w:id="1775855313">
      <w:bodyDiv w:val="1"/>
      <w:marLeft w:val="0"/>
      <w:marRight w:val="0"/>
      <w:marTop w:val="0"/>
      <w:marBottom w:val="0"/>
      <w:divBdr>
        <w:top w:val="none" w:sz="0" w:space="0" w:color="auto"/>
        <w:left w:val="none" w:sz="0" w:space="0" w:color="auto"/>
        <w:bottom w:val="none" w:sz="0" w:space="0" w:color="auto"/>
        <w:right w:val="none" w:sz="0" w:space="0" w:color="auto"/>
      </w:divBdr>
    </w:div>
    <w:div w:id="1878735165">
      <w:bodyDiv w:val="1"/>
      <w:marLeft w:val="0"/>
      <w:marRight w:val="0"/>
      <w:marTop w:val="0"/>
      <w:marBottom w:val="0"/>
      <w:divBdr>
        <w:top w:val="none" w:sz="0" w:space="0" w:color="auto"/>
        <w:left w:val="none" w:sz="0" w:space="0" w:color="auto"/>
        <w:bottom w:val="none" w:sz="0" w:space="0" w:color="auto"/>
        <w:right w:val="none" w:sz="0" w:space="0" w:color="auto"/>
      </w:divBdr>
    </w:div>
    <w:div w:id="1884440695">
      <w:bodyDiv w:val="1"/>
      <w:marLeft w:val="0"/>
      <w:marRight w:val="0"/>
      <w:marTop w:val="0"/>
      <w:marBottom w:val="0"/>
      <w:divBdr>
        <w:top w:val="none" w:sz="0" w:space="0" w:color="auto"/>
        <w:left w:val="none" w:sz="0" w:space="0" w:color="auto"/>
        <w:bottom w:val="none" w:sz="0" w:space="0" w:color="auto"/>
        <w:right w:val="none" w:sz="0" w:space="0" w:color="auto"/>
      </w:divBdr>
    </w:div>
    <w:div w:id="1916282106">
      <w:bodyDiv w:val="1"/>
      <w:marLeft w:val="0"/>
      <w:marRight w:val="0"/>
      <w:marTop w:val="0"/>
      <w:marBottom w:val="0"/>
      <w:divBdr>
        <w:top w:val="none" w:sz="0" w:space="0" w:color="auto"/>
        <w:left w:val="none" w:sz="0" w:space="0" w:color="auto"/>
        <w:bottom w:val="none" w:sz="0" w:space="0" w:color="auto"/>
        <w:right w:val="none" w:sz="0" w:space="0" w:color="auto"/>
      </w:divBdr>
    </w:div>
    <w:div w:id="20176144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assets.publishing.service.gov.uk/media/60c239a8e90e074397d8c8b0/Tourism_Recovery_Plan__Web_Accessible_.pdf" TargetMode="External"/><Relationship Id="rId26" Type="http://schemas.openxmlformats.org/officeDocument/2006/relationships/hyperlink" Target="https://www.statista.com/topics/1916/green-tourism/" TargetMode="External"/><Relationship Id="rId21" Type="http://schemas.openxmlformats.org/officeDocument/2006/relationships/hyperlink" Target="https://www.grandviewresearch.com/horizon/outlook/heritage-tourism-market/uk"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gov.uk" TargetMode="External"/><Relationship Id="rId25" Type="http://schemas.openxmlformats.org/officeDocument/2006/relationships/hyperlink" Target="https://www.statista.com/topics/13400/sustainable-tourism-in-the-united-kingdom/"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16/j.tourman.2017.08.004" TargetMode="External"/><Relationship Id="rId20" Type="http://schemas.openxmlformats.org/officeDocument/2006/relationships/hyperlink" Target="https://www.gov.wales/visit-wales-invites-world-feel-hwyl-2025" TargetMode="External"/><Relationship Id="rId29" Type="http://schemas.openxmlformats.org/officeDocument/2006/relationships/hyperlink" Target="https://industry.visitwales.com/get-involved/visit-wales-themed-year-campaigns/year-croes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doi.org/10.3390/su15086706"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microsoft.com/office/2007/relationships/hdphoto" Target="media/hdphoto3.wdp"/><Relationship Id="rId23" Type="http://schemas.openxmlformats.org/officeDocument/2006/relationships/hyperlink" Target="https://doi.org/10.1016/j.jbusres.2023.114104" TargetMode="External"/><Relationship Id="rId28" Type="http://schemas.openxmlformats.org/officeDocument/2006/relationships/hyperlink" Target="https://industry.visitwales.com/funding-support-culture-and-sports-events-wales" TargetMode="External"/><Relationship Id="rId36" Type="http://schemas.openxmlformats.org/officeDocument/2006/relationships/footer" Target="footer3.xml"/><Relationship Id="rId10" Type="http://schemas.microsoft.com/office/2007/relationships/hdphoto" Target="media/hdphoto2.wdp"/><Relationship Id="rId19" Type="http://schemas.openxmlformats.org/officeDocument/2006/relationships/hyperlink" Target="https://www.gov.wales/sites/default/files/publications/2025-04/international-delivery-plan.pdf"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statista.com/chart/32241/collective-responsibility-of-sustainable-tourism/" TargetMode="External"/><Relationship Id="rId27" Type="http://schemas.openxmlformats.org/officeDocument/2006/relationships/hyperlink" Target="https://www.researchgate.net/profile/Brychan-Thomas/publication/330565005.pdf" TargetMode="External"/><Relationship Id="rId30" Type="http://schemas.openxmlformats.org/officeDocument/2006/relationships/hyperlink" Target="https://www.theseus.fi/handle/10024/865913" TargetMode="External"/><Relationship Id="rId35" Type="http://schemas.openxmlformats.org/officeDocument/2006/relationships/header" Target="header3.xml"/><Relationship Id="rId8" Type="http://schemas.microsoft.com/office/2007/relationships/hdphoto" Target="media/hdphoto1.wdp"/><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3683</Words>
  <Characters>20997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Bucura</dc:creator>
  <cp:lastModifiedBy>Microsoft Office User</cp:lastModifiedBy>
  <cp:revision>2</cp:revision>
  <dcterms:created xsi:type="dcterms:W3CDTF">2025-06-13T10:30:00Z</dcterms:created>
  <dcterms:modified xsi:type="dcterms:W3CDTF">2025-06-13T10:30:00Z</dcterms:modified>
</cp:coreProperties>
</file>