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6656C" w14:textId="1AF89703" w:rsidR="00E53292" w:rsidRPr="00C50619" w:rsidRDefault="00E53292" w:rsidP="005609A0">
      <w:pPr>
        <w:spacing w:line="360" w:lineRule="auto"/>
        <w:jc w:val="center"/>
        <w:rPr>
          <w:rFonts w:ascii="Arial" w:hAnsi="Arial" w:cs="Arial"/>
          <w:lang w:val="en-GB"/>
        </w:rPr>
      </w:pPr>
      <w:r w:rsidRPr="00C50619">
        <w:rPr>
          <w:rFonts w:ascii="Arial" w:hAnsi="Arial" w:cs="Arial"/>
          <w:noProof/>
          <w:lang w:val="en-GB" w:eastAsia="en-GB"/>
        </w:rPr>
        <w:drawing>
          <wp:inline distT="0" distB="0" distL="0" distR="0" wp14:anchorId="4F7109EB" wp14:editId="0C0445DB">
            <wp:extent cx="3520440" cy="1463040"/>
            <wp:effectExtent l="0" t="0" r="3810" b="3810"/>
            <wp:docPr id="541582256"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0440" cy="1463040"/>
                    </a:xfrm>
                    <a:prstGeom prst="rect">
                      <a:avLst/>
                    </a:prstGeom>
                    <a:noFill/>
                    <a:ln>
                      <a:noFill/>
                    </a:ln>
                  </pic:spPr>
                </pic:pic>
              </a:graphicData>
            </a:graphic>
          </wp:inline>
        </w:drawing>
      </w:r>
    </w:p>
    <w:p w14:paraId="2ABDAD0A" w14:textId="77777777" w:rsidR="00E53292" w:rsidRPr="00C50619" w:rsidRDefault="00E53292" w:rsidP="005609A0">
      <w:pPr>
        <w:spacing w:line="360" w:lineRule="auto"/>
        <w:jc w:val="center"/>
        <w:rPr>
          <w:rFonts w:ascii="Arial" w:hAnsi="Arial" w:cs="Arial"/>
          <w:b/>
          <w:sz w:val="28"/>
          <w:lang w:val="en-GB"/>
        </w:rPr>
      </w:pPr>
      <w:r w:rsidRPr="00C50619">
        <w:rPr>
          <w:rFonts w:ascii="Arial" w:hAnsi="Arial" w:cs="Arial"/>
          <w:b/>
          <w:sz w:val="28"/>
          <w:lang w:val="en-GB"/>
        </w:rPr>
        <w:t>Master of Business Administration</w:t>
      </w:r>
    </w:p>
    <w:p w14:paraId="49A41314" w14:textId="77777777" w:rsidR="00E53292" w:rsidRPr="00C50619" w:rsidRDefault="00E53292" w:rsidP="00513E41">
      <w:pPr>
        <w:spacing w:line="360" w:lineRule="auto"/>
        <w:jc w:val="both"/>
        <w:rPr>
          <w:rFonts w:ascii="Arial" w:hAnsi="Arial" w:cs="Arial"/>
          <w:b/>
          <w:bCs/>
          <w:sz w:val="28"/>
          <w:lang w:val="en-GB"/>
        </w:rPr>
      </w:pPr>
    </w:p>
    <w:p w14:paraId="367CB3D1" w14:textId="77777777"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Module:</w:t>
      </w:r>
      <w:r w:rsidRPr="00C50619">
        <w:rPr>
          <w:rFonts w:ascii="Arial" w:hAnsi="Arial" w:cs="Arial"/>
          <w:sz w:val="28"/>
          <w:lang w:val="en-GB"/>
        </w:rPr>
        <w:t xml:space="preserve"> Financial Management</w:t>
      </w:r>
    </w:p>
    <w:p w14:paraId="690B32B0" w14:textId="2FB585CC"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Module code:</w:t>
      </w:r>
      <w:r w:rsidRPr="00C50619">
        <w:rPr>
          <w:rFonts w:ascii="Arial" w:hAnsi="Arial" w:cs="Arial"/>
          <w:sz w:val="28"/>
          <w:lang w:val="en-GB"/>
        </w:rPr>
        <w:t xml:space="preserve"> LCMB7002</w:t>
      </w:r>
    </w:p>
    <w:p w14:paraId="6DA47B00" w14:textId="77777777"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Assessment title:</w:t>
      </w:r>
      <w:r w:rsidRPr="00C50619">
        <w:rPr>
          <w:rFonts w:ascii="Arial" w:hAnsi="Arial" w:cs="Arial"/>
          <w:sz w:val="28"/>
          <w:lang w:val="en-GB"/>
        </w:rPr>
        <w:t xml:space="preserve"> Financial Performance and Management</w:t>
      </w:r>
    </w:p>
    <w:p w14:paraId="5A0FB2DF" w14:textId="451FA4FD"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Report title</w:t>
      </w:r>
      <w:r w:rsidRPr="00C50619">
        <w:rPr>
          <w:rFonts w:ascii="Arial" w:hAnsi="Arial" w:cs="Arial"/>
          <w:sz w:val="28"/>
          <w:lang w:val="en-GB"/>
        </w:rPr>
        <w:t>: Strategic CFO Challenge: Financial Performance Analysis and Financial Strategy of BYD</w:t>
      </w:r>
    </w:p>
    <w:p w14:paraId="274E093A" w14:textId="77777777" w:rsidR="00E53292" w:rsidRPr="00C50619" w:rsidRDefault="00E53292" w:rsidP="005609A0">
      <w:pPr>
        <w:spacing w:line="360" w:lineRule="auto"/>
        <w:jc w:val="center"/>
        <w:rPr>
          <w:rFonts w:ascii="Arial" w:hAnsi="Arial" w:cs="Arial"/>
          <w:sz w:val="28"/>
          <w:lang w:val="en-GB"/>
        </w:rPr>
      </w:pPr>
    </w:p>
    <w:p w14:paraId="77C4C557" w14:textId="1826B816"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Lecturer Name:</w:t>
      </w:r>
      <w:r w:rsidR="00F3386D">
        <w:rPr>
          <w:rFonts w:ascii="Arial" w:hAnsi="Arial" w:cs="Arial"/>
          <w:b/>
          <w:bCs/>
          <w:sz w:val="28"/>
          <w:lang w:val="en-GB"/>
        </w:rPr>
        <w:t xml:space="preserve"> </w:t>
      </w:r>
      <w:r w:rsidR="00F3386D" w:rsidRPr="00F3386D">
        <w:rPr>
          <w:rFonts w:ascii="Arial" w:hAnsi="Arial" w:cs="Arial"/>
          <w:sz w:val="28"/>
          <w:lang w:val="en-GB"/>
        </w:rPr>
        <w:t>Dr</w:t>
      </w:r>
      <w:r w:rsidRPr="00C50619">
        <w:rPr>
          <w:rFonts w:ascii="Arial" w:hAnsi="Arial" w:cs="Arial"/>
          <w:sz w:val="28"/>
          <w:lang w:val="en-GB"/>
        </w:rPr>
        <w:t xml:space="preserve"> </w:t>
      </w:r>
      <w:proofErr w:type="spellStart"/>
      <w:r w:rsidR="005609A0" w:rsidRPr="00C50619">
        <w:rPr>
          <w:rFonts w:ascii="Arial" w:hAnsi="Arial" w:cs="Arial"/>
          <w:sz w:val="28"/>
          <w:lang w:val="en-GB"/>
        </w:rPr>
        <w:t>Shengfeng</w:t>
      </w:r>
      <w:proofErr w:type="spellEnd"/>
      <w:r w:rsidR="005609A0" w:rsidRPr="00C50619">
        <w:rPr>
          <w:rFonts w:ascii="Arial" w:hAnsi="Arial" w:cs="Arial"/>
          <w:sz w:val="28"/>
          <w:lang w:val="en-GB"/>
        </w:rPr>
        <w:t xml:space="preserve"> Mei</w:t>
      </w:r>
    </w:p>
    <w:p w14:paraId="52D3A18D" w14:textId="1C7E777F" w:rsidR="00E53292" w:rsidRPr="00C50619" w:rsidRDefault="00E53292" w:rsidP="005609A0">
      <w:pPr>
        <w:spacing w:line="360" w:lineRule="auto"/>
        <w:jc w:val="center"/>
        <w:rPr>
          <w:rFonts w:ascii="Arial" w:hAnsi="Arial" w:cs="Arial"/>
          <w:b/>
          <w:bCs/>
          <w:sz w:val="28"/>
          <w:lang w:val="en-GB"/>
        </w:rPr>
      </w:pPr>
      <w:r w:rsidRPr="00C50619">
        <w:rPr>
          <w:rFonts w:ascii="Arial" w:hAnsi="Arial" w:cs="Arial"/>
          <w:b/>
          <w:bCs/>
          <w:sz w:val="28"/>
          <w:lang w:val="en-GB"/>
        </w:rPr>
        <w:t>Student Name:</w:t>
      </w:r>
      <w:r w:rsidRPr="00C50619">
        <w:rPr>
          <w:rFonts w:ascii="Arial" w:hAnsi="Arial" w:cs="Arial"/>
          <w:sz w:val="28"/>
          <w:lang w:val="en-GB"/>
        </w:rPr>
        <w:t xml:space="preserve"> </w:t>
      </w:r>
      <w:r w:rsidR="005609A0" w:rsidRPr="00C50619">
        <w:rPr>
          <w:rFonts w:ascii="Arial" w:hAnsi="Arial" w:cs="Arial"/>
          <w:sz w:val="28"/>
          <w:lang w:val="en-GB"/>
        </w:rPr>
        <w:t>Shariara Mahmud Rafat</w:t>
      </w:r>
    </w:p>
    <w:p w14:paraId="1BE97D4F" w14:textId="5A203DE1" w:rsidR="00E53292" w:rsidRPr="00C50619" w:rsidRDefault="00E53292" w:rsidP="005609A0">
      <w:pPr>
        <w:spacing w:line="360" w:lineRule="auto"/>
        <w:jc w:val="center"/>
        <w:rPr>
          <w:rFonts w:ascii="Arial" w:hAnsi="Arial" w:cs="Arial"/>
          <w:b/>
          <w:bCs/>
          <w:sz w:val="28"/>
          <w:lang w:val="en-GB"/>
        </w:rPr>
      </w:pPr>
      <w:r w:rsidRPr="00C50619">
        <w:rPr>
          <w:rFonts w:ascii="Arial" w:hAnsi="Arial" w:cs="Arial"/>
          <w:b/>
          <w:bCs/>
          <w:sz w:val="28"/>
          <w:lang w:val="en-GB"/>
        </w:rPr>
        <w:t>Student ID:</w:t>
      </w:r>
      <w:r w:rsidR="001A19A9" w:rsidRPr="00C50619">
        <w:rPr>
          <w:lang w:val="en-GB"/>
        </w:rPr>
        <w:t xml:space="preserve"> </w:t>
      </w:r>
      <w:r w:rsidR="001A19A9" w:rsidRPr="00C50619">
        <w:rPr>
          <w:rFonts w:ascii="Arial" w:hAnsi="Arial" w:cs="Arial"/>
          <w:b/>
          <w:bCs/>
          <w:sz w:val="28"/>
          <w:lang w:val="en-GB"/>
        </w:rPr>
        <w:t>2521546</w:t>
      </w:r>
    </w:p>
    <w:p w14:paraId="6779066E" w14:textId="43E627EB"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 xml:space="preserve">Word count: </w:t>
      </w:r>
      <w:r w:rsidR="005609A0" w:rsidRPr="00C50619">
        <w:rPr>
          <w:rFonts w:ascii="Arial" w:hAnsi="Arial" w:cs="Arial"/>
          <w:b/>
          <w:bCs/>
          <w:sz w:val="28"/>
          <w:lang w:val="en-GB"/>
        </w:rPr>
        <w:t>5369</w:t>
      </w:r>
    </w:p>
    <w:p w14:paraId="28F895C9" w14:textId="77777777" w:rsidR="00E53292" w:rsidRPr="00C50619" w:rsidRDefault="00E53292" w:rsidP="005609A0">
      <w:pPr>
        <w:spacing w:line="360" w:lineRule="auto"/>
        <w:jc w:val="center"/>
        <w:rPr>
          <w:rFonts w:ascii="Arial" w:hAnsi="Arial" w:cs="Arial"/>
          <w:b/>
          <w:bCs/>
          <w:sz w:val="28"/>
          <w:lang w:val="en-GB"/>
        </w:rPr>
      </w:pPr>
    </w:p>
    <w:p w14:paraId="6397021B" w14:textId="6C8A3AD7" w:rsidR="00C97DE5" w:rsidRPr="00C50619" w:rsidRDefault="00E53292" w:rsidP="005609A0">
      <w:pPr>
        <w:spacing w:line="360" w:lineRule="auto"/>
        <w:jc w:val="center"/>
        <w:rPr>
          <w:rFonts w:ascii="Arial" w:hAnsi="Arial" w:cs="Arial"/>
          <w:b/>
          <w:bCs/>
          <w:sz w:val="28"/>
          <w:lang w:val="en-GB"/>
        </w:rPr>
      </w:pPr>
      <w:r w:rsidRPr="00C50619">
        <w:rPr>
          <w:rFonts w:ascii="Arial" w:hAnsi="Arial" w:cs="Arial"/>
          <w:b/>
          <w:bCs/>
          <w:sz w:val="28"/>
          <w:lang w:val="en-GB"/>
        </w:rPr>
        <w:t>Submission date:</w:t>
      </w:r>
      <w:r w:rsidRPr="00C50619">
        <w:rPr>
          <w:rFonts w:ascii="Arial" w:hAnsi="Arial" w:cs="Arial"/>
          <w:sz w:val="28"/>
          <w:lang w:val="en-GB"/>
        </w:rPr>
        <w:t xml:space="preserve"> </w:t>
      </w:r>
      <w:r w:rsidRPr="00C50619">
        <w:rPr>
          <w:rFonts w:ascii="Arial" w:hAnsi="Arial" w:cs="Arial"/>
          <w:b/>
          <w:bCs/>
          <w:sz w:val="28"/>
          <w:lang w:val="en-GB"/>
        </w:rPr>
        <w:t>24th April 2026</w:t>
      </w:r>
    </w:p>
    <w:p w14:paraId="0E00339C" w14:textId="77777777" w:rsidR="00C97DE5" w:rsidRPr="00C50619" w:rsidRDefault="00C97DE5" w:rsidP="005609A0">
      <w:pPr>
        <w:spacing w:line="360" w:lineRule="auto"/>
        <w:jc w:val="center"/>
        <w:rPr>
          <w:rFonts w:ascii="Arial" w:hAnsi="Arial" w:cs="Arial"/>
          <w:b/>
          <w:bCs/>
          <w:lang w:val="en-GB"/>
        </w:rPr>
      </w:pPr>
      <w:r w:rsidRPr="00C50619">
        <w:rPr>
          <w:rFonts w:ascii="Arial" w:hAnsi="Arial" w:cs="Arial"/>
          <w:b/>
          <w:bCs/>
          <w:lang w:val="en-GB"/>
        </w:rPr>
        <w:br w:type="page"/>
      </w:r>
    </w:p>
    <w:sdt>
      <w:sdtPr>
        <w:rPr>
          <w:rFonts w:ascii="Arial" w:eastAsiaTheme="minorHAnsi" w:hAnsi="Arial" w:cs="Arial"/>
          <w:b/>
          <w:color w:val="auto"/>
          <w:kern w:val="2"/>
          <w:sz w:val="24"/>
          <w:szCs w:val="24"/>
          <w:lang w:val="en-GB"/>
          <w14:ligatures w14:val="standardContextual"/>
        </w:rPr>
        <w:id w:val="334654017"/>
        <w:docPartObj>
          <w:docPartGallery w:val="Table of Contents"/>
          <w:docPartUnique/>
        </w:docPartObj>
      </w:sdtPr>
      <w:sdtEndPr>
        <w:rPr>
          <w:bCs/>
          <w:noProof/>
        </w:rPr>
      </w:sdtEndPr>
      <w:sdtContent>
        <w:p w14:paraId="62E0EB90" w14:textId="6C78F6A8" w:rsidR="00C97DE5" w:rsidRPr="00C50619" w:rsidRDefault="00C97DE5" w:rsidP="00513E41">
          <w:pPr>
            <w:pStyle w:val="TOCHeading"/>
            <w:spacing w:line="360" w:lineRule="auto"/>
            <w:jc w:val="center"/>
            <w:rPr>
              <w:rFonts w:ascii="Arial" w:hAnsi="Arial" w:cs="Arial"/>
              <w:b/>
              <w:sz w:val="28"/>
              <w:szCs w:val="24"/>
              <w:lang w:val="en-GB"/>
            </w:rPr>
          </w:pPr>
          <w:r w:rsidRPr="00C50619">
            <w:rPr>
              <w:rFonts w:ascii="Arial" w:hAnsi="Arial" w:cs="Arial"/>
              <w:b/>
              <w:sz w:val="28"/>
              <w:szCs w:val="24"/>
              <w:lang w:val="en-GB"/>
            </w:rPr>
            <w:t>Table of Contents</w:t>
          </w:r>
        </w:p>
        <w:p w14:paraId="061688B7" w14:textId="77777777" w:rsidR="005609A0" w:rsidRPr="00C50619" w:rsidRDefault="00C97DE5">
          <w:pPr>
            <w:pStyle w:val="TOC1"/>
            <w:tabs>
              <w:tab w:val="right" w:leader="dot" w:pos="9350"/>
            </w:tabs>
            <w:rPr>
              <w:rFonts w:ascii="Arial" w:eastAsiaTheme="minorEastAsia" w:hAnsi="Arial" w:cs="Arial"/>
              <w:noProof/>
              <w:kern w:val="0"/>
              <w:sz w:val="22"/>
              <w:szCs w:val="22"/>
              <w:lang w:val="en-GB" w:eastAsia="en-GB"/>
              <w14:ligatures w14:val="none"/>
            </w:rPr>
          </w:pPr>
          <w:r w:rsidRPr="00C50619">
            <w:rPr>
              <w:rFonts w:ascii="Arial" w:hAnsi="Arial" w:cs="Arial"/>
              <w:lang w:val="en-GB"/>
            </w:rPr>
            <w:fldChar w:fldCharType="begin"/>
          </w:r>
          <w:r w:rsidRPr="00C50619">
            <w:rPr>
              <w:rFonts w:ascii="Arial" w:hAnsi="Arial" w:cs="Arial"/>
              <w:lang w:val="en-GB"/>
            </w:rPr>
            <w:instrText xml:space="preserve"> TOC \o "1-3" \h \z \u </w:instrText>
          </w:r>
          <w:r w:rsidRPr="00C50619">
            <w:rPr>
              <w:rFonts w:ascii="Arial" w:hAnsi="Arial" w:cs="Arial"/>
              <w:lang w:val="en-GB"/>
            </w:rPr>
            <w:fldChar w:fldCharType="separate"/>
          </w:r>
          <w:hyperlink w:anchor="_Toc227770609" w:history="1">
            <w:r w:rsidR="005609A0" w:rsidRPr="00C50619">
              <w:rPr>
                <w:rStyle w:val="Hyperlink"/>
                <w:rFonts w:ascii="Arial" w:hAnsi="Arial" w:cs="Arial"/>
                <w:noProof/>
                <w:lang w:val="en-GB"/>
              </w:rPr>
              <w:t>1. Introduction</w:t>
            </w:r>
            <w:r w:rsidR="005609A0" w:rsidRPr="00C50619">
              <w:rPr>
                <w:rFonts w:ascii="Arial" w:hAnsi="Arial" w:cs="Arial"/>
                <w:noProof/>
                <w:webHidden/>
                <w:lang w:val="en-GB"/>
              </w:rPr>
              <w:tab/>
            </w:r>
            <w:r w:rsidR="005609A0" w:rsidRPr="00C50619">
              <w:rPr>
                <w:rFonts w:ascii="Arial" w:hAnsi="Arial" w:cs="Arial"/>
                <w:noProof/>
                <w:webHidden/>
                <w:lang w:val="en-GB"/>
              </w:rPr>
              <w:fldChar w:fldCharType="begin"/>
            </w:r>
            <w:r w:rsidR="005609A0" w:rsidRPr="00C50619">
              <w:rPr>
                <w:rFonts w:ascii="Arial" w:hAnsi="Arial" w:cs="Arial"/>
                <w:noProof/>
                <w:webHidden/>
                <w:lang w:val="en-GB"/>
              </w:rPr>
              <w:instrText xml:space="preserve"> PAGEREF _Toc227770609 \h </w:instrText>
            </w:r>
            <w:r w:rsidR="005609A0" w:rsidRPr="00C50619">
              <w:rPr>
                <w:rFonts w:ascii="Arial" w:hAnsi="Arial" w:cs="Arial"/>
                <w:noProof/>
                <w:webHidden/>
                <w:lang w:val="en-GB"/>
              </w:rPr>
            </w:r>
            <w:r w:rsidR="005609A0" w:rsidRPr="00C50619">
              <w:rPr>
                <w:rFonts w:ascii="Arial" w:hAnsi="Arial" w:cs="Arial"/>
                <w:noProof/>
                <w:webHidden/>
                <w:lang w:val="en-GB"/>
              </w:rPr>
              <w:fldChar w:fldCharType="separate"/>
            </w:r>
            <w:r w:rsidR="001A19A9" w:rsidRPr="00C50619">
              <w:rPr>
                <w:rFonts w:ascii="Arial" w:hAnsi="Arial" w:cs="Arial"/>
                <w:noProof/>
                <w:webHidden/>
                <w:lang w:val="en-GB"/>
              </w:rPr>
              <w:t>4</w:t>
            </w:r>
            <w:r w:rsidR="005609A0" w:rsidRPr="00C50619">
              <w:rPr>
                <w:rFonts w:ascii="Arial" w:hAnsi="Arial" w:cs="Arial"/>
                <w:noProof/>
                <w:webHidden/>
                <w:lang w:val="en-GB"/>
              </w:rPr>
              <w:fldChar w:fldCharType="end"/>
            </w:r>
          </w:hyperlink>
        </w:p>
        <w:p w14:paraId="298780EA" w14:textId="77777777"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10" w:history="1">
            <w:r w:rsidRPr="00C50619">
              <w:rPr>
                <w:rStyle w:val="Hyperlink"/>
                <w:rFonts w:ascii="Arial" w:hAnsi="Arial" w:cs="Arial"/>
                <w:noProof/>
                <w:lang w:val="en-GB"/>
              </w:rPr>
              <w:t>2. Financial Health Check</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_Toc227770610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5</w:t>
            </w:r>
            <w:r w:rsidRPr="00C50619">
              <w:rPr>
                <w:rFonts w:ascii="Arial" w:hAnsi="Arial" w:cs="Arial"/>
                <w:noProof/>
                <w:webHidden/>
                <w:lang w:val="en-GB"/>
              </w:rPr>
              <w:fldChar w:fldCharType="end"/>
            </w:r>
          </w:hyperlink>
        </w:p>
        <w:p w14:paraId="4E695FD5"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1" w:history="1">
            <w:r w:rsidRPr="00C50619">
              <w:rPr>
                <w:rStyle w:val="Hyperlink"/>
                <w:rFonts w:ascii="Arial" w:hAnsi="Arial" w:cs="Arial"/>
                <w:noProof/>
                <w:lang w:val="en-GB"/>
              </w:rPr>
              <w:t>2.1 Profitability Ratios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_Toc227770611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5</w:t>
            </w:r>
            <w:r w:rsidRPr="00C50619">
              <w:rPr>
                <w:rFonts w:ascii="Arial" w:hAnsi="Arial" w:cs="Arial"/>
                <w:noProof/>
                <w:webHidden/>
                <w:lang w:val="en-GB"/>
              </w:rPr>
              <w:fldChar w:fldCharType="end"/>
            </w:r>
          </w:hyperlink>
        </w:p>
        <w:p w14:paraId="3B8E4B84"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2" w:history="1">
            <w:r w:rsidRPr="00C50619">
              <w:rPr>
                <w:rStyle w:val="Hyperlink"/>
                <w:rFonts w:ascii="Arial" w:hAnsi="Arial" w:cs="Arial"/>
                <w:noProof/>
                <w:lang w:val="en-GB"/>
              </w:rPr>
              <w:t>2.2 Liquidity Ratios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_Toc227770612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5</w:t>
            </w:r>
            <w:r w:rsidRPr="00C50619">
              <w:rPr>
                <w:rFonts w:ascii="Arial" w:hAnsi="Arial" w:cs="Arial"/>
                <w:noProof/>
                <w:webHidden/>
                <w:lang w:val="en-GB"/>
              </w:rPr>
              <w:fldChar w:fldCharType="end"/>
            </w:r>
          </w:hyperlink>
        </w:p>
        <w:p w14:paraId="5CF3D853"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3" w:history="1">
            <w:r w:rsidRPr="00C50619">
              <w:rPr>
                <w:rStyle w:val="Hyperlink"/>
                <w:rFonts w:ascii="Arial" w:hAnsi="Arial" w:cs="Arial"/>
                <w:noProof/>
                <w:lang w:val="en-GB"/>
              </w:rPr>
              <w:t>2.3 Efficiency / Activity Ratios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_Toc227770613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6</w:t>
            </w:r>
            <w:r w:rsidRPr="00C50619">
              <w:rPr>
                <w:rFonts w:ascii="Arial" w:hAnsi="Arial" w:cs="Arial"/>
                <w:noProof/>
                <w:webHidden/>
                <w:lang w:val="en-GB"/>
              </w:rPr>
              <w:fldChar w:fldCharType="end"/>
            </w:r>
          </w:hyperlink>
        </w:p>
        <w:p w14:paraId="11BECC09"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4" w:history="1">
            <w:r w:rsidRPr="00C50619">
              <w:rPr>
                <w:rStyle w:val="Hyperlink"/>
                <w:rFonts w:ascii="Arial" w:hAnsi="Arial" w:cs="Arial"/>
                <w:noProof/>
                <w:lang w:val="en-GB"/>
              </w:rPr>
              <w:t>2.4 Gearing / Leverage Ratios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_Toc227770614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6</w:t>
            </w:r>
            <w:r w:rsidRPr="00C50619">
              <w:rPr>
                <w:rFonts w:ascii="Arial" w:hAnsi="Arial" w:cs="Arial"/>
                <w:noProof/>
                <w:webHidden/>
                <w:lang w:val="en-GB"/>
              </w:rPr>
              <w:fldChar w:fldCharType="end"/>
            </w:r>
          </w:hyperlink>
        </w:p>
        <w:p w14:paraId="5FA62D9D"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5" w:history="1">
            <w:r w:rsidRPr="00C50619">
              <w:rPr>
                <w:rStyle w:val="Hyperlink"/>
                <w:rFonts w:ascii="Arial" w:hAnsi="Arial" w:cs="Arial"/>
                <w:noProof/>
                <w:lang w:val="en-GB"/>
              </w:rPr>
              <w:t>2.5 Investment / Market Ratios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_Toc227770615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7</w:t>
            </w:r>
            <w:r w:rsidRPr="00C50619">
              <w:rPr>
                <w:rFonts w:ascii="Arial" w:hAnsi="Arial" w:cs="Arial"/>
                <w:noProof/>
                <w:webHidden/>
                <w:lang w:val="en-GB"/>
              </w:rPr>
              <w:fldChar w:fldCharType="end"/>
            </w:r>
          </w:hyperlink>
        </w:p>
        <w:p w14:paraId="0530D0A8"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6" w:history="1">
            <w:r w:rsidRPr="00C50619">
              <w:rPr>
                <w:rStyle w:val="Hyperlink"/>
                <w:rFonts w:ascii="Arial" w:hAnsi="Arial" w:cs="Arial"/>
                <w:noProof/>
                <w:lang w:val="en-GB"/>
              </w:rPr>
              <w:t>2.6 Cash Flow Analysis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_Toc227770616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7</w:t>
            </w:r>
            <w:r w:rsidRPr="00C50619">
              <w:rPr>
                <w:rFonts w:ascii="Arial" w:hAnsi="Arial" w:cs="Arial"/>
                <w:noProof/>
                <w:webHidden/>
                <w:lang w:val="en-GB"/>
              </w:rPr>
              <w:fldChar w:fldCharType="end"/>
            </w:r>
          </w:hyperlink>
        </w:p>
        <w:p w14:paraId="3CC170BB"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7" w:history="1">
            <w:r w:rsidRPr="00C50619">
              <w:rPr>
                <w:rStyle w:val="Hyperlink"/>
                <w:rFonts w:ascii="Arial" w:hAnsi="Arial" w:cs="Arial"/>
                <w:noProof/>
                <w:lang w:val="en-GB"/>
              </w:rPr>
              <w:t>2.7 Recognising trends, strengths and threats.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_Toc227770617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8</w:t>
            </w:r>
            <w:r w:rsidRPr="00C50619">
              <w:rPr>
                <w:rFonts w:ascii="Arial" w:hAnsi="Arial" w:cs="Arial"/>
                <w:noProof/>
                <w:webHidden/>
                <w:lang w:val="en-GB"/>
              </w:rPr>
              <w:fldChar w:fldCharType="end"/>
            </w:r>
          </w:hyperlink>
        </w:p>
        <w:p w14:paraId="640E9C82" w14:textId="77777777"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18" w:history="1">
            <w:r w:rsidRPr="00C50619">
              <w:rPr>
                <w:rStyle w:val="Hyperlink"/>
                <w:rFonts w:ascii="Arial" w:hAnsi="Arial" w:cs="Arial"/>
                <w:noProof/>
                <w:lang w:val="en-GB"/>
              </w:rPr>
              <w:t>3. Working Capital Management Analysis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_Toc227770618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9</w:t>
            </w:r>
            <w:r w:rsidRPr="00C50619">
              <w:rPr>
                <w:rFonts w:ascii="Arial" w:hAnsi="Arial" w:cs="Arial"/>
                <w:noProof/>
                <w:webHidden/>
                <w:lang w:val="en-GB"/>
              </w:rPr>
              <w:fldChar w:fldCharType="end"/>
            </w:r>
          </w:hyperlink>
        </w:p>
        <w:p w14:paraId="1F971A9E"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9" w:history="1">
            <w:r w:rsidRPr="00C50619">
              <w:rPr>
                <w:rStyle w:val="Hyperlink"/>
                <w:rFonts w:ascii="Arial" w:hAnsi="Arial" w:cs="Arial"/>
                <w:noProof/>
                <w:lang w:val="en-GB"/>
              </w:rPr>
              <w:t>3.1 Cash Operating Cycle</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_Toc227770619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9</w:t>
            </w:r>
            <w:r w:rsidRPr="00C50619">
              <w:rPr>
                <w:rFonts w:ascii="Arial" w:hAnsi="Arial" w:cs="Arial"/>
                <w:noProof/>
                <w:webHidden/>
                <w:lang w:val="en-GB"/>
              </w:rPr>
              <w:fldChar w:fldCharType="end"/>
            </w:r>
          </w:hyperlink>
        </w:p>
        <w:p w14:paraId="02E4EEC0"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0" w:history="1">
            <w:r w:rsidRPr="00C50619">
              <w:rPr>
                <w:rStyle w:val="Hyperlink"/>
                <w:rFonts w:ascii="Arial" w:hAnsi="Arial" w:cs="Arial"/>
                <w:noProof/>
                <w:lang w:val="en-GB"/>
              </w:rPr>
              <w:t>3.2 Efficiency of Working Capital Management</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_Toc227770620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10</w:t>
            </w:r>
            <w:r w:rsidRPr="00C50619">
              <w:rPr>
                <w:rFonts w:ascii="Arial" w:hAnsi="Arial" w:cs="Arial"/>
                <w:noProof/>
                <w:webHidden/>
                <w:lang w:val="en-GB"/>
              </w:rPr>
              <w:fldChar w:fldCharType="end"/>
            </w:r>
          </w:hyperlink>
        </w:p>
        <w:p w14:paraId="23A7FCF1"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1" w:history="1">
            <w:r w:rsidRPr="00C50619">
              <w:rPr>
                <w:rStyle w:val="Hyperlink"/>
                <w:rFonts w:ascii="Arial" w:hAnsi="Arial" w:cs="Arial"/>
                <w:noProof/>
                <w:lang w:val="en-GB"/>
              </w:rPr>
              <w:t>3.3 Recommendations for Improvement</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_Toc227770621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10</w:t>
            </w:r>
            <w:r w:rsidRPr="00C50619">
              <w:rPr>
                <w:rFonts w:ascii="Arial" w:hAnsi="Arial" w:cs="Arial"/>
                <w:noProof/>
                <w:webHidden/>
                <w:lang w:val="en-GB"/>
              </w:rPr>
              <w:fldChar w:fldCharType="end"/>
            </w:r>
          </w:hyperlink>
        </w:p>
        <w:p w14:paraId="7E9F5E13"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2" w:history="1">
            <w:r w:rsidRPr="00C50619">
              <w:rPr>
                <w:rStyle w:val="Hyperlink"/>
                <w:rFonts w:ascii="Arial" w:hAnsi="Arial" w:cs="Arial"/>
                <w:noProof/>
                <w:lang w:val="en-GB"/>
              </w:rPr>
              <w:t>3.4 Comparison of Financing Options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_Toc227770622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11</w:t>
            </w:r>
            <w:r w:rsidRPr="00C50619">
              <w:rPr>
                <w:rFonts w:ascii="Arial" w:hAnsi="Arial" w:cs="Arial"/>
                <w:noProof/>
                <w:webHidden/>
                <w:lang w:val="en-GB"/>
              </w:rPr>
              <w:fldChar w:fldCharType="end"/>
            </w:r>
          </w:hyperlink>
        </w:p>
        <w:p w14:paraId="42E8FC68" w14:textId="77777777"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23" w:history="1">
            <w:r w:rsidRPr="00C50619">
              <w:rPr>
                <w:rStyle w:val="Hyperlink"/>
                <w:rFonts w:ascii="Arial" w:hAnsi="Arial" w:cs="Arial"/>
                <w:noProof/>
                <w:lang w:val="en-GB"/>
              </w:rPr>
              <w:t>4. Strategic Financial Restructuring Plan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_Toc227770623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12</w:t>
            </w:r>
            <w:r w:rsidRPr="00C50619">
              <w:rPr>
                <w:rFonts w:ascii="Arial" w:hAnsi="Arial" w:cs="Arial"/>
                <w:noProof/>
                <w:webHidden/>
                <w:lang w:val="en-GB"/>
              </w:rPr>
              <w:fldChar w:fldCharType="end"/>
            </w:r>
          </w:hyperlink>
        </w:p>
        <w:p w14:paraId="7F280535"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4" w:history="1">
            <w:r w:rsidRPr="00C50619">
              <w:rPr>
                <w:rStyle w:val="Hyperlink"/>
                <w:rFonts w:ascii="Arial" w:hAnsi="Arial" w:cs="Arial"/>
                <w:noProof/>
                <w:lang w:val="en-GB"/>
              </w:rPr>
              <w:t>4.1 Recommended Financial Restructuring Options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_Toc227770624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12</w:t>
            </w:r>
            <w:r w:rsidRPr="00C50619">
              <w:rPr>
                <w:rFonts w:ascii="Arial" w:hAnsi="Arial" w:cs="Arial"/>
                <w:noProof/>
                <w:webHidden/>
                <w:lang w:val="en-GB"/>
              </w:rPr>
              <w:fldChar w:fldCharType="end"/>
            </w:r>
          </w:hyperlink>
        </w:p>
        <w:p w14:paraId="3D5CC3E1"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5" w:history="1">
            <w:r w:rsidRPr="00C50619">
              <w:rPr>
                <w:rStyle w:val="Hyperlink"/>
                <w:rFonts w:ascii="Arial" w:hAnsi="Arial" w:cs="Arial"/>
                <w:noProof/>
                <w:lang w:val="en-GB"/>
              </w:rPr>
              <w:t>4.2 Impact Analysis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_Toc227770625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13</w:t>
            </w:r>
            <w:r w:rsidRPr="00C50619">
              <w:rPr>
                <w:rFonts w:ascii="Arial" w:hAnsi="Arial" w:cs="Arial"/>
                <w:noProof/>
                <w:webHidden/>
                <w:lang w:val="en-GB"/>
              </w:rPr>
              <w:fldChar w:fldCharType="end"/>
            </w:r>
          </w:hyperlink>
        </w:p>
        <w:p w14:paraId="2AD371B8"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6" w:history="1">
            <w:r w:rsidRPr="00C50619">
              <w:rPr>
                <w:rStyle w:val="Hyperlink"/>
                <w:rFonts w:ascii="Arial" w:hAnsi="Arial" w:cs="Arial"/>
                <w:noProof/>
                <w:lang w:val="en-GB"/>
              </w:rPr>
              <w:t>4.3 International and Ethical Considerations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_Toc227770626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14</w:t>
            </w:r>
            <w:r w:rsidRPr="00C50619">
              <w:rPr>
                <w:rFonts w:ascii="Arial" w:hAnsi="Arial" w:cs="Arial"/>
                <w:noProof/>
                <w:webHidden/>
                <w:lang w:val="en-GB"/>
              </w:rPr>
              <w:fldChar w:fldCharType="end"/>
            </w:r>
          </w:hyperlink>
        </w:p>
        <w:p w14:paraId="0CBE77AA" w14:textId="77777777"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27" w:history="1">
            <w:r w:rsidRPr="00C50619">
              <w:rPr>
                <w:rStyle w:val="Hyperlink"/>
                <w:rFonts w:ascii="Arial" w:hAnsi="Arial" w:cs="Arial"/>
                <w:noProof/>
                <w:lang w:val="en-GB"/>
              </w:rPr>
              <w:t>5. Investment Appraisal and Capital Budgeting for BYD</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_Toc227770627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16</w:t>
            </w:r>
            <w:r w:rsidRPr="00C50619">
              <w:rPr>
                <w:rFonts w:ascii="Arial" w:hAnsi="Arial" w:cs="Arial"/>
                <w:noProof/>
                <w:webHidden/>
                <w:lang w:val="en-GB"/>
              </w:rPr>
              <w:fldChar w:fldCharType="end"/>
            </w:r>
          </w:hyperlink>
        </w:p>
        <w:p w14:paraId="020163BE"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8" w:history="1">
            <w:r w:rsidRPr="00C50619">
              <w:rPr>
                <w:rStyle w:val="Hyperlink"/>
                <w:rFonts w:ascii="Arial" w:hAnsi="Arial" w:cs="Arial"/>
                <w:noProof/>
                <w:lang w:val="en-GB"/>
              </w:rPr>
              <w:t>5.1 Overview of Projects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_Toc227770628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16</w:t>
            </w:r>
            <w:r w:rsidRPr="00C50619">
              <w:rPr>
                <w:rFonts w:ascii="Arial" w:hAnsi="Arial" w:cs="Arial"/>
                <w:noProof/>
                <w:webHidden/>
                <w:lang w:val="en-GB"/>
              </w:rPr>
              <w:fldChar w:fldCharType="end"/>
            </w:r>
          </w:hyperlink>
        </w:p>
        <w:p w14:paraId="0A5C1F3B"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9" w:history="1">
            <w:r w:rsidRPr="00C50619">
              <w:rPr>
                <w:rStyle w:val="Hyperlink"/>
                <w:rFonts w:ascii="Arial" w:hAnsi="Arial" w:cs="Arial"/>
                <w:noProof/>
                <w:lang w:val="en-GB"/>
              </w:rPr>
              <w:t>5.2 Payback Period (PBP)</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_Toc227770629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16</w:t>
            </w:r>
            <w:r w:rsidRPr="00C50619">
              <w:rPr>
                <w:rFonts w:ascii="Arial" w:hAnsi="Arial" w:cs="Arial"/>
                <w:noProof/>
                <w:webHidden/>
                <w:lang w:val="en-GB"/>
              </w:rPr>
              <w:fldChar w:fldCharType="end"/>
            </w:r>
          </w:hyperlink>
        </w:p>
        <w:p w14:paraId="0B26DE8D"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0" w:history="1">
            <w:r w:rsidRPr="00C50619">
              <w:rPr>
                <w:rStyle w:val="Hyperlink"/>
                <w:rFonts w:ascii="Arial" w:hAnsi="Arial" w:cs="Arial"/>
                <w:noProof/>
                <w:lang w:val="en-GB"/>
              </w:rPr>
              <w:t>5.3 Accounting Rate of Return (ARR)</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_Toc227770630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17</w:t>
            </w:r>
            <w:r w:rsidRPr="00C50619">
              <w:rPr>
                <w:rFonts w:ascii="Arial" w:hAnsi="Arial" w:cs="Arial"/>
                <w:noProof/>
                <w:webHidden/>
                <w:lang w:val="en-GB"/>
              </w:rPr>
              <w:fldChar w:fldCharType="end"/>
            </w:r>
          </w:hyperlink>
        </w:p>
        <w:p w14:paraId="6D346F99"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1" w:history="1">
            <w:r w:rsidRPr="00C50619">
              <w:rPr>
                <w:rStyle w:val="Hyperlink"/>
                <w:rFonts w:ascii="Arial" w:hAnsi="Arial" w:cs="Arial"/>
                <w:noProof/>
                <w:lang w:val="en-GB"/>
              </w:rPr>
              <w:t>5.4 Net Present Value (NPV)</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_Toc227770631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17</w:t>
            </w:r>
            <w:r w:rsidRPr="00C50619">
              <w:rPr>
                <w:rFonts w:ascii="Arial" w:hAnsi="Arial" w:cs="Arial"/>
                <w:noProof/>
                <w:webHidden/>
                <w:lang w:val="en-GB"/>
              </w:rPr>
              <w:fldChar w:fldCharType="end"/>
            </w:r>
          </w:hyperlink>
        </w:p>
        <w:p w14:paraId="0FAA2DDC"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2" w:history="1">
            <w:r w:rsidRPr="00C50619">
              <w:rPr>
                <w:rStyle w:val="Hyperlink"/>
                <w:rFonts w:ascii="Arial" w:hAnsi="Arial" w:cs="Arial"/>
                <w:noProof/>
                <w:lang w:val="en-GB"/>
              </w:rPr>
              <w:t>5.5 Internal Rate of Return (IRR)</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_Toc227770632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18</w:t>
            </w:r>
            <w:r w:rsidRPr="00C50619">
              <w:rPr>
                <w:rFonts w:ascii="Arial" w:hAnsi="Arial" w:cs="Arial"/>
                <w:noProof/>
                <w:webHidden/>
                <w:lang w:val="en-GB"/>
              </w:rPr>
              <w:fldChar w:fldCharType="end"/>
            </w:r>
          </w:hyperlink>
        </w:p>
        <w:p w14:paraId="0EAE054D"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3" w:history="1">
            <w:r w:rsidRPr="00C50619">
              <w:rPr>
                <w:rStyle w:val="Hyperlink"/>
                <w:rFonts w:ascii="Arial" w:hAnsi="Arial" w:cs="Arial"/>
                <w:noProof/>
                <w:lang w:val="en-GB"/>
              </w:rPr>
              <w:t>5.6 Profitability Index (PI)</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_Toc227770633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18</w:t>
            </w:r>
            <w:r w:rsidRPr="00C50619">
              <w:rPr>
                <w:rFonts w:ascii="Arial" w:hAnsi="Arial" w:cs="Arial"/>
                <w:noProof/>
                <w:webHidden/>
                <w:lang w:val="en-GB"/>
              </w:rPr>
              <w:fldChar w:fldCharType="end"/>
            </w:r>
          </w:hyperlink>
        </w:p>
        <w:p w14:paraId="450E0D2D"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4" w:history="1">
            <w:r w:rsidRPr="00C50619">
              <w:rPr>
                <w:rStyle w:val="Hyperlink"/>
                <w:rFonts w:ascii="Arial" w:hAnsi="Arial" w:cs="Arial"/>
                <w:noProof/>
                <w:lang w:val="en-GB"/>
              </w:rPr>
              <w:t>5.7 Comparative Evaluation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_Toc227770634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18</w:t>
            </w:r>
            <w:r w:rsidRPr="00C50619">
              <w:rPr>
                <w:rFonts w:ascii="Arial" w:hAnsi="Arial" w:cs="Arial"/>
                <w:noProof/>
                <w:webHidden/>
                <w:lang w:val="en-GB"/>
              </w:rPr>
              <w:fldChar w:fldCharType="end"/>
            </w:r>
          </w:hyperlink>
        </w:p>
        <w:p w14:paraId="471C45A6"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5" w:history="1">
            <w:r w:rsidRPr="00C50619">
              <w:rPr>
                <w:rStyle w:val="Hyperlink"/>
                <w:rFonts w:ascii="Arial" w:hAnsi="Arial" w:cs="Arial"/>
                <w:noProof/>
                <w:lang w:val="en-GB"/>
              </w:rPr>
              <w:t>5.8 Link to BYD’s Financial Performance</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_Toc227770635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19</w:t>
            </w:r>
            <w:r w:rsidRPr="00C50619">
              <w:rPr>
                <w:rFonts w:ascii="Arial" w:hAnsi="Arial" w:cs="Arial"/>
                <w:noProof/>
                <w:webHidden/>
                <w:lang w:val="en-GB"/>
              </w:rPr>
              <w:fldChar w:fldCharType="end"/>
            </w:r>
          </w:hyperlink>
        </w:p>
        <w:p w14:paraId="22A8C407"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6" w:history="1">
            <w:r w:rsidRPr="00C50619">
              <w:rPr>
                <w:rStyle w:val="Hyperlink"/>
                <w:rFonts w:ascii="Arial" w:hAnsi="Arial" w:cs="Arial"/>
                <w:noProof/>
                <w:lang w:val="en-GB"/>
              </w:rPr>
              <w:t>5.9 Non-Financial Considerations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_Toc227770636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19</w:t>
            </w:r>
            <w:r w:rsidRPr="00C50619">
              <w:rPr>
                <w:rFonts w:ascii="Arial" w:hAnsi="Arial" w:cs="Arial"/>
                <w:noProof/>
                <w:webHidden/>
                <w:lang w:val="en-GB"/>
              </w:rPr>
              <w:fldChar w:fldCharType="end"/>
            </w:r>
          </w:hyperlink>
        </w:p>
        <w:p w14:paraId="3F750866"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7" w:history="1">
            <w:r w:rsidRPr="00C50619">
              <w:rPr>
                <w:rStyle w:val="Hyperlink"/>
                <w:rFonts w:ascii="Arial" w:hAnsi="Arial" w:cs="Arial"/>
                <w:noProof/>
                <w:lang w:val="en-GB"/>
              </w:rPr>
              <w:t>5.10 Capital Rationing Decision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_Toc227770637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20</w:t>
            </w:r>
            <w:r w:rsidRPr="00C50619">
              <w:rPr>
                <w:rFonts w:ascii="Arial" w:hAnsi="Arial" w:cs="Arial"/>
                <w:noProof/>
                <w:webHidden/>
                <w:lang w:val="en-GB"/>
              </w:rPr>
              <w:fldChar w:fldCharType="end"/>
            </w:r>
          </w:hyperlink>
        </w:p>
        <w:p w14:paraId="07D01251"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8" w:history="1">
            <w:r w:rsidRPr="00C50619">
              <w:rPr>
                <w:rStyle w:val="Hyperlink"/>
                <w:rFonts w:ascii="Arial" w:hAnsi="Arial" w:cs="Arial"/>
                <w:noProof/>
                <w:lang w:val="en-GB"/>
              </w:rPr>
              <w:t>5.11 Final Recommendation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_Toc227770638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20</w:t>
            </w:r>
            <w:r w:rsidRPr="00C50619">
              <w:rPr>
                <w:rFonts w:ascii="Arial" w:hAnsi="Arial" w:cs="Arial"/>
                <w:noProof/>
                <w:webHidden/>
                <w:lang w:val="en-GB"/>
              </w:rPr>
              <w:fldChar w:fldCharType="end"/>
            </w:r>
          </w:hyperlink>
        </w:p>
        <w:p w14:paraId="545B580F" w14:textId="77777777"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39" w:history="1">
            <w:r w:rsidRPr="00C50619">
              <w:rPr>
                <w:rStyle w:val="Hyperlink"/>
                <w:rFonts w:ascii="Arial" w:hAnsi="Arial" w:cs="Arial"/>
                <w:noProof/>
                <w:lang w:val="en-GB"/>
              </w:rPr>
              <w:t>6. Conclusion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_Toc227770639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21</w:t>
            </w:r>
            <w:r w:rsidRPr="00C50619">
              <w:rPr>
                <w:rFonts w:ascii="Arial" w:hAnsi="Arial" w:cs="Arial"/>
                <w:noProof/>
                <w:webHidden/>
                <w:lang w:val="en-GB"/>
              </w:rPr>
              <w:fldChar w:fldCharType="end"/>
            </w:r>
          </w:hyperlink>
        </w:p>
        <w:p w14:paraId="4F4E1EDA" w14:textId="77777777"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40" w:history="1">
            <w:r w:rsidRPr="00C50619">
              <w:rPr>
                <w:rStyle w:val="Hyperlink"/>
                <w:rFonts w:ascii="Arial" w:hAnsi="Arial" w:cs="Arial"/>
                <w:noProof/>
                <w:lang w:val="en-GB"/>
              </w:rPr>
              <w:t>7. References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_Toc227770640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22</w:t>
            </w:r>
            <w:r w:rsidRPr="00C50619">
              <w:rPr>
                <w:rFonts w:ascii="Arial" w:hAnsi="Arial" w:cs="Arial"/>
                <w:noProof/>
                <w:webHidden/>
                <w:lang w:val="en-GB"/>
              </w:rPr>
              <w:fldChar w:fldCharType="end"/>
            </w:r>
          </w:hyperlink>
        </w:p>
        <w:p w14:paraId="03025E27" w14:textId="77777777"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41" w:history="1">
            <w:r w:rsidRPr="00C50619">
              <w:rPr>
                <w:rStyle w:val="Hyperlink"/>
                <w:rFonts w:ascii="Arial" w:hAnsi="Arial" w:cs="Arial"/>
                <w:noProof/>
                <w:lang w:val="en-GB"/>
              </w:rPr>
              <w:t>8. Appendices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_Toc227770641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26</w:t>
            </w:r>
            <w:r w:rsidRPr="00C50619">
              <w:rPr>
                <w:rFonts w:ascii="Arial" w:hAnsi="Arial" w:cs="Arial"/>
                <w:noProof/>
                <w:webHidden/>
                <w:lang w:val="en-GB"/>
              </w:rPr>
              <w:fldChar w:fldCharType="end"/>
            </w:r>
          </w:hyperlink>
        </w:p>
        <w:p w14:paraId="0CE2A030"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42" w:history="1">
            <w:r w:rsidRPr="00C50619">
              <w:rPr>
                <w:rStyle w:val="Hyperlink"/>
                <w:rFonts w:ascii="Arial" w:hAnsi="Arial" w:cs="Arial"/>
                <w:noProof/>
                <w:lang w:val="en-GB"/>
              </w:rPr>
              <w:t>Appendix 1: Ratio tables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_Toc227770642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26</w:t>
            </w:r>
            <w:r w:rsidRPr="00C50619">
              <w:rPr>
                <w:rFonts w:ascii="Arial" w:hAnsi="Arial" w:cs="Arial"/>
                <w:noProof/>
                <w:webHidden/>
                <w:lang w:val="en-GB"/>
              </w:rPr>
              <w:fldChar w:fldCharType="end"/>
            </w:r>
          </w:hyperlink>
        </w:p>
        <w:p w14:paraId="6D2816BF"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43" w:history="1">
            <w:r w:rsidRPr="00C50619">
              <w:rPr>
                <w:rStyle w:val="Hyperlink"/>
                <w:rFonts w:ascii="Arial" w:hAnsi="Arial" w:cs="Arial"/>
                <w:noProof/>
                <w:lang w:val="en-GB"/>
              </w:rPr>
              <w:t>Appendix 2: Graphs and trend charts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_Toc227770643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29</w:t>
            </w:r>
            <w:r w:rsidRPr="00C50619">
              <w:rPr>
                <w:rFonts w:ascii="Arial" w:hAnsi="Arial" w:cs="Arial"/>
                <w:noProof/>
                <w:webHidden/>
                <w:lang w:val="en-GB"/>
              </w:rPr>
              <w:fldChar w:fldCharType="end"/>
            </w:r>
          </w:hyperlink>
        </w:p>
        <w:p w14:paraId="35FD8EE5"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44" w:history="1">
            <w:r w:rsidRPr="00C50619">
              <w:rPr>
                <w:rStyle w:val="Hyperlink"/>
                <w:rFonts w:ascii="Arial" w:hAnsi="Arial" w:cs="Arial"/>
                <w:noProof/>
                <w:lang w:val="en-GB"/>
              </w:rPr>
              <w:t>Appendix 3: Working Capital calculation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_Toc227770644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31</w:t>
            </w:r>
            <w:r w:rsidRPr="00C50619">
              <w:rPr>
                <w:rFonts w:ascii="Arial" w:hAnsi="Arial" w:cs="Arial"/>
                <w:noProof/>
                <w:webHidden/>
                <w:lang w:val="en-GB"/>
              </w:rPr>
              <w:fldChar w:fldCharType="end"/>
            </w:r>
          </w:hyperlink>
        </w:p>
        <w:p w14:paraId="5B5FB8F0"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45" w:history="1">
            <w:r w:rsidRPr="00C50619">
              <w:rPr>
                <w:rStyle w:val="Hyperlink"/>
                <w:rFonts w:ascii="Arial" w:hAnsi="Arial" w:cs="Arial"/>
                <w:noProof/>
                <w:lang w:val="en-GB"/>
              </w:rPr>
              <w:t>Appendix 4: Investment appraisal workings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_Toc227770645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33</w:t>
            </w:r>
            <w:r w:rsidRPr="00C50619">
              <w:rPr>
                <w:rFonts w:ascii="Arial" w:hAnsi="Arial" w:cs="Arial"/>
                <w:noProof/>
                <w:webHidden/>
                <w:lang w:val="en-GB"/>
              </w:rPr>
              <w:fldChar w:fldCharType="end"/>
            </w:r>
          </w:hyperlink>
        </w:p>
        <w:p w14:paraId="0246AF8D" w14:textId="77777777"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46" w:history="1">
            <w:r w:rsidRPr="00C50619">
              <w:rPr>
                <w:rStyle w:val="Hyperlink"/>
                <w:rFonts w:ascii="Arial" w:hAnsi="Arial" w:cs="Arial"/>
                <w:noProof/>
                <w:lang w:val="en-GB"/>
              </w:rPr>
              <w:t>Appendix 5: Annual report data extracts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_Toc227770646 \h </w:instrText>
            </w:r>
            <w:r w:rsidRPr="00C50619">
              <w:rPr>
                <w:rFonts w:ascii="Arial" w:hAnsi="Arial" w:cs="Arial"/>
                <w:noProof/>
                <w:webHidden/>
                <w:lang w:val="en-GB"/>
              </w:rPr>
            </w:r>
            <w:r w:rsidRPr="00C50619">
              <w:rPr>
                <w:rFonts w:ascii="Arial" w:hAnsi="Arial" w:cs="Arial"/>
                <w:noProof/>
                <w:webHidden/>
                <w:lang w:val="en-GB"/>
              </w:rPr>
              <w:fldChar w:fldCharType="separate"/>
            </w:r>
            <w:r w:rsidR="001A19A9" w:rsidRPr="00C50619">
              <w:rPr>
                <w:rFonts w:ascii="Arial" w:hAnsi="Arial" w:cs="Arial"/>
                <w:noProof/>
                <w:webHidden/>
                <w:lang w:val="en-GB"/>
              </w:rPr>
              <w:t>37</w:t>
            </w:r>
            <w:r w:rsidRPr="00C50619">
              <w:rPr>
                <w:rFonts w:ascii="Arial" w:hAnsi="Arial" w:cs="Arial"/>
                <w:noProof/>
                <w:webHidden/>
                <w:lang w:val="en-GB"/>
              </w:rPr>
              <w:fldChar w:fldCharType="end"/>
            </w:r>
          </w:hyperlink>
        </w:p>
        <w:p w14:paraId="69B9EF0E" w14:textId="30BB808B" w:rsidR="00C97DE5" w:rsidRPr="00C50619" w:rsidRDefault="00C97DE5" w:rsidP="00513E41">
          <w:pPr>
            <w:spacing w:line="360" w:lineRule="auto"/>
            <w:rPr>
              <w:rFonts w:ascii="Arial" w:hAnsi="Arial" w:cs="Arial"/>
              <w:lang w:val="en-GB"/>
            </w:rPr>
          </w:pPr>
          <w:r w:rsidRPr="00C50619">
            <w:rPr>
              <w:rFonts w:ascii="Arial" w:hAnsi="Arial" w:cs="Arial"/>
              <w:bCs/>
              <w:noProof/>
              <w:lang w:val="en-GB"/>
            </w:rPr>
            <w:fldChar w:fldCharType="end"/>
          </w:r>
        </w:p>
      </w:sdtContent>
    </w:sdt>
    <w:p w14:paraId="28D41DDC" w14:textId="77777777" w:rsidR="00E53292" w:rsidRPr="00C50619" w:rsidRDefault="00E53292" w:rsidP="00513E41">
      <w:pPr>
        <w:spacing w:line="360" w:lineRule="auto"/>
        <w:jc w:val="both"/>
        <w:rPr>
          <w:rFonts w:ascii="Arial" w:hAnsi="Arial" w:cs="Arial"/>
          <w:b/>
          <w:bCs/>
          <w:lang w:val="en-GB"/>
        </w:rPr>
      </w:pPr>
    </w:p>
    <w:p w14:paraId="1B7B107C" w14:textId="4A1A7E5B" w:rsidR="00C17005" w:rsidRPr="00C50619" w:rsidRDefault="00E53292" w:rsidP="00513E41">
      <w:pPr>
        <w:spacing w:line="360" w:lineRule="auto"/>
        <w:jc w:val="both"/>
        <w:rPr>
          <w:rFonts w:ascii="Arial" w:hAnsi="Arial" w:cs="Arial"/>
          <w:b/>
          <w:bCs/>
          <w:lang w:val="en-GB"/>
        </w:rPr>
      </w:pPr>
      <w:r w:rsidRPr="00C50619">
        <w:rPr>
          <w:rFonts w:ascii="Arial" w:hAnsi="Arial" w:cs="Arial"/>
          <w:b/>
          <w:bCs/>
          <w:lang w:val="en-GB"/>
        </w:rPr>
        <w:br w:type="page"/>
      </w:r>
    </w:p>
    <w:p w14:paraId="736B6069" w14:textId="5A7B6AF2" w:rsidR="00C17005" w:rsidRPr="00C50619" w:rsidRDefault="00C17005" w:rsidP="00513E41">
      <w:pPr>
        <w:pStyle w:val="Heading1"/>
        <w:spacing w:line="360" w:lineRule="auto"/>
        <w:jc w:val="both"/>
        <w:rPr>
          <w:rFonts w:cs="Arial"/>
          <w:b w:val="0"/>
          <w:sz w:val="24"/>
          <w:szCs w:val="24"/>
          <w:lang w:val="en-GB"/>
        </w:rPr>
      </w:pPr>
      <w:bookmarkStart w:id="0" w:name="_Toc227770609"/>
      <w:r w:rsidRPr="00C50619">
        <w:rPr>
          <w:rFonts w:cs="Arial"/>
          <w:sz w:val="24"/>
          <w:szCs w:val="24"/>
          <w:lang w:val="en-GB"/>
        </w:rPr>
        <w:lastRenderedPageBreak/>
        <w:t>1. Introduction</w:t>
      </w:r>
      <w:bookmarkEnd w:id="0"/>
      <w:r w:rsidRPr="00C50619">
        <w:rPr>
          <w:rFonts w:cs="Arial"/>
          <w:sz w:val="24"/>
          <w:szCs w:val="24"/>
          <w:lang w:val="en-GB"/>
        </w:rPr>
        <w:t xml:space="preserve"> </w:t>
      </w:r>
    </w:p>
    <w:p w14:paraId="0C538793" w14:textId="5C4A7533" w:rsidR="00A53604"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As Chief Financial Officer (CFO) of an electric vehicle (EV) manufacturer, the position would entail managing financial performance and the </w:t>
      </w:r>
      <w:r w:rsidR="00A53604" w:rsidRPr="00C50619">
        <w:rPr>
          <w:rFonts w:ascii="Arial" w:hAnsi="Arial" w:cs="Arial"/>
          <w:lang w:val="en-GB"/>
        </w:rPr>
        <w:t>company's</w:t>
      </w:r>
      <w:r w:rsidRPr="00C50619">
        <w:rPr>
          <w:rFonts w:ascii="Arial" w:hAnsi="Arial" w:cs="Arial"/>
          <w:lang w:val="en-GB"/>
        </w:rPr>
        <w:t xml:space="preserve"> strategy. The CFO has a role of ensuring that financial resources are well used, risks are controlled and long-term financial stability </w:t>
      </w:r>
      <w:r w:rsidR="00A53604" w:rsidRPr="00C50619">
        <w:rPr>
          <w:rFonts w:ascii="Arial" w:hAnsi="Arial" w:cs="Arial"/>
          <w:lang w:val="en-GB"/>
        </w:rPr>
        <w:t>is realised</w:t>
      </w:r>
      <w:r w:rsidRPr="00C50619">
        <w:rPr>
          <w:rFonts w:ascii="Arial" w:hAnsi="Arial" w:cs="Arial"/>
          <w:lang w:val="en-GB"/>
        </w:rPr>
        <w:t xml:space="preserve">. This job demands a deep knowledge of financial indicators, the capability of evaluating and controlling investments, and the aptitude to guide the </w:t>
      </w:r>
      <w:r w:rsidR="00A53604" w:rsidRPr="00C50619">
        <w:rPr>
          <w:rFonts w:ascii="Arial" w:hAnsi="Arial" w:cs="Arial"/>
          <w:lang w:val="en-GB"/>
        </w:rPr>
        <w:t>organisation</w:t>
      </w:r>
      <w:r w:rsidRPr="00C50619">
        <w:rPr>
          <w:rFonts w:ascii="Arial" w:hAnsi="Arial" w:cs="Arial"/>
          <w:lang w:val="en-GB"/>
        </w:rPr>
        <w:t xml:space="preserve"> amidst growth, restructuring, or economic hardships</w:t>
      </w:r>
      <w:r w:rsidR="002219AD" w:rsidRPr="00C50619">
        <w:rPr>
          <w:rFonts w:ascii="Arial" w:hAnsi="Arial" w:cs="Arial"/>
          <w:lang w:val="en-GB"/>
        </w:rPr>
        <w:t xml:space="preserve"> (</w:t>
      </w:r>
      <w:proofErr w:type="spellStart"/>
      <w:r w:rsidR="002219AD" w:rsidRPr="00C50619">
        <w:rPr>
          <w:rFonts w:ascii="Arial" w:hAnsi="Arial" w:cs="Arial"/>
          <w:lang w:val="en-GB"/>
        </w:rPr>
        <w:t>Moridu</w:t>
      </w:r>
      <w:proofErr w:type="spellEnd"/>
      <w:r w:rsidR="002219AD" w:rsidRPr="00C50619">
        <w:rPr>
          <w:rFonts w:ascii="Arial" w:hAnsi="Arial" w:cs="Arial"/>
          <w:lang w:val="en-GB"/>
        </w:rPr>
        <w:t xml:space="preserve"> and Abidin, 2023)</w:t>
      </w:r>
      <w:r w:rsidRPr="00C50619">
        <w:rPr>
          <w:rFonts w:ascii="Arial" w:hAnsi="Arial" w:cs="Arial"/>
          <w:lang w:val="en-GB"/>
        </w:rPr>
        <w:t>.</w:t>
      </w:r>
    </w:p>
    <w:p w14:paraId="231DA08F" w14:textId="775600A4" w:rsidR="004837DF" w:rsidRPr="00C50619" w:rsidRDefault="00A53604" w:rsidP="00513E41">
      <w:pPr>
        <w:spacing w:line="360" w:lineRule="auto"/>
        <w:jc w:val="both"/>
        <w:rPr>
          <w:rFonts w:ascii="Arial" w:hAnsi="Arial" w:cs="Arial"/>
          <w:lang w:val="en-GB"/>
        </w:rPr>
      </w:pPr>
      <w:r w:rsidRPr="00C50619">
        <w:rPr>
          <w:rFonts w:ascii="Arial" w:hAnsi="Arial" w:cs="Arial"/>
          <w:lang w:val="en-GB"/>
        </w:rPr>
        <w:t xml:space="preserve">The report uses </w:t>
      </w:r>
      <w:r w:rsidR="004837DF" w:rsidRPr="00C50619">
        <w:rPr>
          <w:rFonts w:ascii="Arial" w:hAnsi="Arial" w:cs="Arial"/>
          <w:lang w:val="en-GB"/>
        </w:rPr>
        <w:t>BYD (Build Your Dreams)</w:t>
      </w:r>
      <w:r w:rsidRPr="00C50619">
        <w:rPr>
          <w:rFonts w:ascii="Arial" w:hAnsi="Arial" w:cs="Arial"/>
          <w:lang w:val="en-GB"/>
        </w:rPr>
        <w:t xml:space="preserve"> as </w:t>
      </w:r>
      <w:r w:rsidR="004837DF" w:rsidRPr="00C50619">
        <w:rPr>
          <w:rFonts w:ascii="Arial" w:hAnsi="Arial" w:cs="Arial"/>
          <w:lang w:val="en-GB"/>
        </w:rPr>
        <w:t>a prominent Chinese electric car and solar power system company. BYD has evolved to become one of the biggest EV manufacturers in the world with a broad line of energy storage products and EVs</w:t>
      </w:r>
      <w:r w:rsidR="002219AD" w:rsidRPr="00C50619">
        <w:rPr>
          <w:rFonts w:ascii="Arial" w:hAnsi="Arial" w:cs="Arial"/>
          <w:lang w:val="en-GB"/>
        </w:rPr>
        <w:t xml:space="preserve"> (</w:t>
      </w:r>
      <w:r w:rsidR="005609A0" w:rsidRPr="00C50619">
        <w:rPr>
          <w:rFonts w:ascii="Arial" w:hAnsi="Arial" w:cs="Arial"/>
          <w:lang w:val="en-GB"/>
        </w:rPr>
        <w:t>BYD, 2025</w:t>
      </w:r>
      <w:r w:rsidR="002219AD" w:rsidRPr="00C50619">
        <w:rPr>
          <w:rFonts w:ascii="Arial" w:hAnsi="Arial" w:cs="Arial"/>
          <w:lang w:val="en-GB"/>
        </w:rPr>
        <w:t>)</w:t>
      </w:r>
      <w:r w:rsidR="004837DF" w:rsidRPr="00C50619">
        <w:rPr>
          <w:rFonts w:ascii="Arial" w:hAnsi="Arial" w:cs="Arial"/>
          <w:lang w:val="en-GB"/>
        </w:rPr>
        <w:t xml:space="preserve">. BYD has emerged as a leading electric mobility company in terms of sustainability and technological innovativeness. This </w:t>
      </w:r>
      <w:r w:rsidRPr="00C50619">
        <w:rPr>
          <w:rFonts w:ascii="Arial" w:hAnsi="Arial" w:cs="Arial"/>
          <w:lang w:val="en-GB"/>
        </w:rPr>
        <w:t xml:space="preserve">report aims </w:t>
      </w:r>
      <w:r w:rsidR="004837DF" w:rsidRPr="00C50619">
        <w:rPr>
          <w:rFonts w:ascii="Arial" w:hAnsi="Arial" w:cs="Arial"/>
          <w:lang w:val="en-GB"/>
        </w:rPr>
        <w:t xml:space="preserve">to compare the financial performance of BYD over the last five years using a comprehensive ratio analysis, outline the important financial challenges and opportunities faced by the company and suggest an effective financial strategy </w:t>
      </w:r>
      <w:r w:rsidRPr="00C50619">
        <w:rPr>
          <w:rFonts w:ascii="Arial" w:hAnsi="Arial" w:cs="Arial"/>
          <w:lang w:val="en-GB"/>
        </w:rPr>
        <w:t>for</w:t>
      </w:r>
      <w:r w:rsidR="004837DF" w:rsidRPr="00C50619">
        <w:rPr>
          <w:rFonts w:ascii="Arial" w:hAnsi="Arial" w:cs="Arial"/>
          <w:lang w:val="en-GB"/>
        </w:rPr>
        <w:t xml:space="preserve"> the company. The </w:t>
      </w:r>
      <w:r w:rsidRPr="00C50619">
        <w:rPr>
          <w:rFonts w:ascii="Arial" w:hAnsi="Arial" w:cs="Arial"/>
          <w:lang w:val="en-GB"/>
        </w:rPr>
        <w:t>report</w:t>
      </w:r>
      <w:r w:rsidR="004837DF" w:rsidRPr="00C50619">
        <w:rPr>
          <w:rFonts w:ascii="Arial" w:hAnsi="Arial" w:cs="Arial"/>
          <w:lang w:val="en-GB"/>
        </w:rPr>
        <w:t xml:space="preserve"> will also </w:t>
      </w:r>
      <w:r w:rsidRPr="00C50619">
        <w:rPr>
          <w:rFonts w:ascii="Arial" w:hAnsi="Arial" w:cs="Arial"/>
          <w:lang w:val="en-GB"/>
        </w:rPr>
        <w:t>analyse</w:t>
      </w:r>
      <w:r w:rsidR="004837DF" w:rsidRPr="00C50619">
        <w:rPr>
          <w:rFonts w:ascii="Arial" w:hAnsi="Arial" w:cs="Arial"/>
          <w:lang w:val="en-GB"/>
        </w:rPr>
        <w:t xml:space="preserve"> the possible investment opportunities, </w:t>
      </w:r>
      <w:r w:rsidRPr="00C50619">
        <w:rPr>
          <w:rFonts w:ascii="Arial" w:hAnsi="Arial" w:cs="Arial"/>
          <w:lang w:val="en-GB"/>
        </w:rPr>
        <w:t>analysing</w:t>
      </w:r>
      <w:r w:rsidR="004837DF" w:rsidRPr="00C50619">
        <w:rPr>
          <w:rFonts w:ascii="Arial" w:hAnsi="Arial" w:cs="Arial"/>
          <w:lang w:val="en-GB"/>
        </w:rPr>
        <w:t xml:space="preserve"> their feasibility and compatibility with the long-term strategic objectives of BYD. The result will be practical insights into how to better position BYD financially and to grow in the future</w:t>
      </w:r>
    </w:p>
    <w:p w14:paraId="41CFE122" w14:textId="77777777" w:rsidR="00555BF5" w:rsidRPr="00C50619" w:rsidRDefault="00400C98" w:rsidP="00400C98">
      <w:pPr>
        <w:spacing w:line="360" w:lineRule="auto"/>
        <w:jc w:val="center"/>
        <w:rPr>
          <w:rFonts w:ascii="Arial" w:hAnsi="Arial" w:cs="Arial"/>
          <w:lang w:val="en-GB"/>
        </w:rPr>
      </w:pPr>
      <w:r w:rsidRPr="00C50619">
        <w:rPr>
          <w:noProof/>
          <w:lang w:val="en-GB" w:eastAsia="en-GB"/>
        </w:rPr>
        <w:drawing>
          <wp:inline distT="0" distB="0" distL="0" distR="0" wp14:anchorId="3A264AE9" wp14:editId="5F548D81">
            <wp:extent cx="3025140" cy="1701336"/>
            <wp:effectExtent l="0" t="0" r="3810" b="0"/>
            <wp:docPr id="2" name="Picture 2" descr="BYD Logo and Car Symbol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YD Logo and Car Symbol Mean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29466" cy="1703769"/>
                    </a:xfrm>
                    <a:prstGeom prst="rect">
                      <a:avLst/>
                    </a:prstGeom>
                    <a:noFill/>
                    <a:ln>
                      <a:noFill/>
                    </a:ln>
                  </pic:spPr>
                </pic:pic>
              </a:graphicData>
            </a:graphic>
          </wp:inline>
        </w:drawing>
      </w:r>
    </w:p>
    <w:p w14:paraId="1FE23094" w14:textId="5355EFE9" w:rsidR="00555BF5" w:rsidRPr="00C50619" w:rsidRDefault="00555BF5" w:rsidP="00400C98">
      <w:pPr>
        <w:spacing w:line="360" w:lineRule="auto"/>
        <w:jc w:val="center"/>
        <w:rPr>
          <w:rFonts w:ascii="Arial" w:hAnsi="Arial" w:cs="Arial"/>
          <w:i/>
          <w:lang w:val="en-GB"/>
        </w:rPr>
      </w:pPr>
      <w:r w:rsidRPr="00C50619">
        <w:rPr>
          <w:rFonts w:ascii="Arial" w:hAnsi="Arial" w:cs="Arial"/>
          <w:i/>
          <w:lang w:val="en-GB"/>
        </w:rPr>
        <w:t>Figure 1: BYD (BYD,</w:t>
      </w:r>
      <w:r w:rsidR="005609A0" w:rsidRPr="00C50619">
        <w:rPr>
          <w:rFonts w:ascii="Arial" w:hAnsi="Arial" w:cs="Arial"/>
          <w:i/>
          <w:lang w:val="en-GB"/>
        </w:rPr>
        <w:t xml:space="preserve"> </w:t>
      </w:r>
      <w:r w:rsidRPr="00C50619">
        <w:rPr>
          <w:rFonts w:ascii="Arial" w:hAnsi="Arial" w:cs="Arial"/>
          <w:i/>
          <w:lang w:val="en-GB"/>
        </w:rPr>
        <w:t>2025)</w:t>
      </w:r>
    </w:p>
    <w:p w14:paraId="6B045CB1" w14:textId="49C57E55" w:rsidR="004837DF" w:rsidRPr="00C50619" w:rsidRDefault="004837DF" w:rsidP="00400C98">
      <w:pPr>
        <w:spacing w:line="360" w:lineRule="auto"/>
        <w:jc w:val="center"/>
        <w:rPr>
          <w:rFonts w:ascii="Arial" w:hAnsi="Arial" w:cs="Arial"/>
          <w:lang w:val="en-GB"/>
        </w:rPr>
      </w:pPr>
      <w:r w:rsidRPr="00C50619">
        <w:rPr>
          <w:rFonts w:ascii="Arial" w:hAnsi="Arial" w:cs="Arial"/>
          <w:lang w:val="en-GB"/>
        </w:rPr>
        <w:br w:type="page"/>
      </w:r>
    </w:p>
    <w:p w14:paraId="1AFE6ADE" w14:textId="77777777" w:rsidR="004837DF" w:rsidRPr="00C50619" w:rsidRDefault="004837DF" w:rsidP="00513E41">
      <w:pPr>
        <w:pStyle w:val="Heading1"/>
        <w:spacing w:line="360" w:lineRule="auto"/>
        <w:jc w:val="both"/>
        <w:rPr>
          <w:rFonts w:cs="Arial"/>
          <w:sz w:val="24"/>
          <w:szCs w:val="24"/>
          <w:lang w:val="en-GB"/>
        </w:rPr>
      </w:pPr>
      <w:bookmarkStart w:id="1" w:name="_Toc227770610"/>
      <w:r w:rsidRPr="00C50619">
        <w:rPr>
          <w:rFonts w:cs="Arial"/>
          <w:sz w:val="24"/>
          <w:szCs w:val="24"/>
          <w:lang w:val="en-GB"/>
        </w:rPr>
        <w:lastRenderedPageBreak/>
        <w:t>2. Financial Health Check</w:t>
      </w:r>
      <w:bookmarkEnd w:id="1"/>
    </w:p>
    <w:p w14:paraId="2D567F85" w14:textId="77777777" w:rsidR="004837DF" w:rsidRPr="00C50619" w:rsidRDefault="004837DF" w:rsidP="00513E41">
      <w:pPr>
        <w:pStyle w:val="Heading2"/>
        <w:spacing w:line="360" w:lineRule="auto"/>
        <w:jc w:val="both"/>
        <w:rPr>
          <w:rFonts w:cs="Arial"/>
          <w:szCs w:val="24"/>
          <w:lang w:val="en-GB"/>
        </w:rPr>
      </w:pPr>
      <w:bookmarkStart w:id="2" w:name="_Toc227770611"/>
      <w:r w:rsidRPr="00C50619">
        <w:rPr>
          <w:rFonts w:cs="Arial"/>
          <w:szCs w:val="24"/>
          <w:lang w:val="en-GB"/>
        </w:rPr>
        <w:t>2.1 Profitability Ratios</w:t>
      </w:r>
      <w:bookmarkEnd w:id="2"/>
    </w:p>
    <w:p w14:paraId="6D37A8A3" w14:textId="23DEF8B6" w:rsidR="002219AD" w:rsidRPr="00C50619" w:rsidRDefault="002219AD" w:rsidP="00513E41">
      <w:pPr>
        <w:spacing w:line="360" w:lineRule="auto"/>
        <w:rPr>
          <w:rFonts w:ascii="Arial" w:hAnsi="Arial" w:cs="Arial"/>
          <w:lang w:val="en-GB"/>
        </w:rPr>
      </w:pPr>
      <w:r w:rsidRPr="00C50619">
        <w:rPr>
          <w:rFonts w:ascii="Arial" w:hAnsi="Arial" w:cs="Arial"/>
          <w:lang w:val="en-GB"/>
        </w:rPr>
        <w:t xml:space="preserve">Ratio Calculations: </w:t>
      </w:r>
      <w:hyperlink w:anchor="_Appendix_1:_Ratio" w:history="1">
        <w:r w:rsidRPr="00C50619">
          <w:rPr>
            <w:rStyle w:val="Hyperlink"/>
            <w:rFonts w:ascii="Arial" w:hAnsi="Arial" w:cs="Arial"/>
            <w:lang w:val="en-GB"/>
          </w:rPr>
          <w:t>Appendix 1</w:t>
        </w:r>
      </w:hyperlink>
    </w:p>
    <w:p w14:paraId="6A66E5FC" w14:textId="6DE1BDB6"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Profitability ratios are significant </w:t>
      </w:r>
      <w:r w:rsidR="00A53604" w:rsidRPr="00C50619">
        <w:rPr>
          <w:rFonts w:ascii="Arial" w:hAnsi="Arial" w:cs="Arial"/>
          <w:lang w:val="en-GB"/>
        </w:rPr>
        <w:t>measurements</w:t>
      </w:r>
      <w:r w:rsidRPr="00C50619">
        <w:rPr>
          <w:rFonts w:ascii="Arial" w:hAnsi="Arial" w:cs="Arial"/>
          <w:lang w:val="en-GB"/>
        </w:rPr>
        <w:t xml:space="preserve"> of the profitability of BYD in relation to its revenue, assets and equity. These ratios </w:t>
      </w:r>
      <w:r w:rsidR="009320A7" w:rsidRPr="00C50619">
        <w:rPr>
          <w:rFonts w:ascii="Arial" w:hAnsi="Arial" w:cs="Arial"/>
          <w:lang w:val="en-GB"/>
        </w:rPr>
        <w:t>form</w:t>
      </w:r>
      <w:r w:rsidRPr="00C50619">
        <w:rPr>
          <w:rFonts w:ascii="Arial" w:hAnsi="Arial" w:cs="Arial"/>
          <w:lang w:val="en-GB"/>
        </w:rPr>
        <w:t xml:space="preserve"> important signals of financial well-being and efficiency of the company. The gross profit margin of BYD was on a constant rise during the years between 2020 and 2024 and grew by 17.8% (2020) to 19.4% (2024). The gross profit margin shows the efficiency of the company with regard to its production costs, although it was quite fluctuating</w:t>
      </w:r>
      <w:r w:rsidR="00A53604" w:rsidRPr="00C50619">
        <w:rPr>
          <w:rFonts w:ascii="Arial" w:hAnsi="Arial" w:cs="Arial"/>
          <w:lang w:val="en-GB"/>
        </w:rPr>
        <w:t xml:space="preserve"> </w:t>
      </w:r>
      <w:r w:rsidRPr="00C50619">
        <w:rPr>
          <w:rFonts w:ascii="Arial" w:hAnsi="Arial" w:cs="Arial"/>
          <w:lang w:val="en-GB"/>
        </w:rPr>
        <w:t xml:space="preserve">in 2021. The operating profit margin of BYD also improved with a 2.4% in 2020 and a 6.5% in 2024 due to improved cost management and efficiency in its operations. Moreover, net profit margin is now 5.4 </w:t>
      </w:r>
      <w:r w:rsidR="00A53604" w:rsidRPr="00C50619">
        <w:rPr>
          <w:rFonts w:ascii="Arial" w:hAnsi="Arial" w:cs="Arial"/>
          <w:lang w:val="en-GB"/>
        </w:rPr>
        <w:t>%</w:t>
      </w:r>
      <w:r w:rsidRPr="00C50619">
        <w:rPr>
          <w:rFonts w:ascii="Arial" w:hAnsi="Arial" w:cs="Arial"/>
          <w:lang w:val="en-GB"/>
        </w:rPr>
        <w:t xml:space="preserve"> compared to 2.4 </w:t>
      </w:r>
      <w:r w:rsidR="00A53604" w:rsidRPr="00C50619">
        <w:rPr>
          <w:rFonts w:ascii="Arial" w:hAnsi="Arial" w:cs="Arial"/>
          <w:lang w:val="en-GB"/>
        </w:rPr>
        <w:t>%</w:t>
      </w:r>
      <w:r w:rsidRPr="00C50619">
        <w:rPr>
          <w:rFonts w:ascii="Arial" w:hAnsi="Arial" w:cs="Arial"/>
          <w:lang w:val="en-GB"/>
        </w:rPr>
        <w:t xml:space="preserve"> (2020), which indicates that BYD has been in a position to make a higher </w:t>
      </w:r>
      <w:r w:rsidR="00A53604" w:rsidRPr="00C50619">
        <w:rPr>
          <w:rFonts w:ascii="Arial" w:hAnsi="Arial" w:cs="Arial"/>
          <w:lang w:val="en-GB"/>
        </w:rPr>
        <w:t>%</w:t>
      </w:r>
      <w:r w:rsidRPr="00C50619">
        <w:rPr>
          <w:rFonts w:ascii="Arial" w:hAnsi="Arial" w:cs="Arial"/>
          <w:lang w:val="en-GB"/>
        </w:rPr>
        <w:t>age out of its revenue. Additionally, the return on equity (ROE) has increased markedly</w:t>
      </w:r>
      <w:r w:rsidR="00A53604" w:rsidRPr="00C50619">
        <w:rPr>
          <w:rFonts w:ascii="Arial" w:hAnsi="Arial" w:cs="Arial"/>
          <w:lang w:val="en-GB"/>
        </w:rPr>
        <w:t xml:space="preserve"> </w:t>
      </w:r>
      <w:r w:rsidRPr="00C50619">
        <w:rPr>
          <w:rFonts w:ascii="Arial" w:hAnsi="Arial" w:cs="Arial"/>
          <w:lang w:val="en-GB"/>
        </w:rPr>
        <w:t xml:space="preserve">with the figures standing at 15.2% (2020) to 26.0% (2024), indicating that BYD has been able to create value </w:t>
      </w:r>
      <w:r w:rsidR="00A53604" w:rsidRPr="00C50619">
        <w:rPr>
          <w:rFonts w:ascii="Arial" w:hAnsi="Arial" w:cs="Arial"/>
          <w:lang w:val="en-GB"/>
        </w:rPr>
        <w:t>for</w:t>
      </w:r>
      <w:r w:rsidRPr="00C50619">
        <w:rPr>
          <w:rFonts w:ascii="Arial" w:hAnsi="Arial" w:cs="Arial"/>
          <w:lang w:val="en-GB"/>
        </w:rPr>
        <w:t xml:space="preserve"> its shareholders. Finally, the return on assets (ROA) increased to 5.8% (2024) compared to 3.6% (2020) which means that it better </w:t>
      </w:r>
      <w:r w:rsidR="00A53604" w:rsidRPr="00C50619">
        <w:rPr>
          <w:rFonts w:ascii="Arial" w:hAnsi="Arial" w:cs="Arial"/>
          <w:lang w:val="en-GB"/>
        </w:rPr>
        <w:t>utilised</w:t>
      </w:r>
      <w:r w:rsidRPr="00C50619">
        <w:rPr>
          <w:rFonts w:ascii="Arial" w:hAnsi="Arial" w:cs="Arial"/>
          <w:lang w:val="en-GB"/>
        </w:rPr>
        <w:t xml:space="preserve"> its assets and increased its efficiency in profit generation</w:t>
      </w:r>
      <w:r w:rsidR="002219AD" w:rsidRPr="00C50619">
        <w:rPr>
          <w:rFonts w:ascii="Arial" w:hAnsi="Arial" w:cs="Arial"/>
          <w:lang w:val="en-GB"/>
        </w:rPr>
        <w:t xml:space="preserve"> (Agbo and ODO,  2024)</w:t>
      </w:r>
      <w:r w:rsidRPr="00C50619">
        <w:rPr>
          <w:rFonts w:ascii="Arial" w:hAnsi="Arial" w:cs="Arial"/>
          <w:lang w:val="en-GB"/>
        </w:rPr>
        <w:t>.</w:t>
      </w:r>
    </w:p>
    <w:p w14:paraId="0891D821" w14:textId="77777777" w:rsidR="004837DF" w:rsidRPr="00C50619" w:rsidRDefault="004837DF" w:rsidP="00513E41">
      <w:pPr>
        <w:pStyle w:val="Heading2"/>
        <w:spacing w:line="360" w:lineRule="auto"/>
        <w:rPr>
          <w:rFonts w:cs="Arial"/>
          <w:szCs w:val="24"/>
          <w:lang w:val="en-GB"/>
        </w:rPr>
      </w:pPr>
      <w:bookmarkStart w:id="3" w:name="_Toc227770612"/>
      <w:r w:rsidRPr="00C50619">
        <w:rPr>
          <w:rFonts w:cs="Arial"/>
          <w:szCs w:val="24"/>
          <w:lang w:val="en-GB"/>
        </w:rPr>
        <w:t>2.2 Liquidity Ratios</w:t>
      </w:r>
      <w:bookmarkEnd w:id="3"/>
    </w:p>
    <w:p w14:paraId="5E1D2CD3" w14:textId="7C11B467"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Liquidity ratios assess the ability of BYD to </w:t>
      </w:r>
      <w:r w:rsidR="00A53604" w:rsidRPr="00C50619">
        <w:rPr>
          <w:rFonts w:ascii="Arial" w:hAnsi="Arial" w:cs="Arial"/>
          <w:lang w:val="en-GB"/>
        </w:rPr>
        <w:t>fulfil</w:t>
      </w:r>
      <w:r w:rsidRPr="00C50619">
        <w:rPr>
          <w:rFonts w:ascii="Arial" w:hAnsi="Arial" w:cs="Arial"/>
          <w:lang w:val="en-GB"/>
        </w:rPr>
        <w:t xml:space="preserve"> its </w:t>
      </w:r>
      <w:r w:rsidR="00A53604" w:rsidRPr="00C50619">
        <w:rPr>
          <w:rFonts w:ascii="Arial" w:hAnsi="Arial" w:cs="Arial"/>
          <w:lang w:val="en-GB"/>
        </w:rPr>
        <w:t>short-term</w:t>
      </w:r>
      <w:r w:rsidRPr="00C50619">
        <w:rPr>
          <w:rFonts w:ascii="Arial" w:hAnsi="Arial" w:cs="Arial"/>
          <w:lang w:val="en-GB"/>
        </w:rPr>
        <w:t xml:space="preserve"> liabilities using its current assets and they are crucial in evaluating the financial capabilities of the company. The current ratio has been decreasing, as it dropped to 0.72 (2024) </w:t>
      </w:r>
      <w:r w:rsidR="00A53604" w:rsidRPr="00C50619">
        <w:rPr>
          <w:rFonts w:ascii="Arial" w:hAnsi="Arial" w:cs="Arial"/>
          <w:lang w:val="en-GB"/>
        </w:rPr>
        <w:t>from</w:t>
      </w:r>
      <w:r w:rsidRPr="00C50619">
        <w:rPr>
          <w:rFonts w:ascii="Arial" w:hAnsi="Arial" w:cs="Arial"/>
          <w:lang w:val="en-GB"/>
        </w:rPr>
        <w:t xml:space="preserve"> 1.05 (2020), which is alarming because it indicates that </w:t>
      </w:r>
      <w:r w:rsidR="00A53604" w:rsidRPr="00C50619">
        <w:rPr>
          <w:rFonts w:ascii="Arial" w:hAnsi="Arial" w:cs="Arial"/>
          <w:lang w:val="en-GB"/>
        </w:rPr>
        <w:t>fewer</w:t>
      </w:r>
      <w:r w:rsidRPr="00C50619">
        <w:rPr>
          <w:rFonts w:ascii="Arial" w:hAnsi="Arial" w:cs="Arial"/>
          <w:lang w:val="en-GB"/>
        </w:rPr>
        <w:t xml:space="preserve"> current assets are available to cover short-term liabilities. On the same note, the quick ratio decreased to 0.49 (2024) compared to 0.75 (2020), indicating still less liquidity, since this ratio does not include inventories, but only the most liquid assets. BYD's cash ratio also remained low but showed improvement from 0.13 (2020) to 0.24 (2023) before falling back to 0.21 (2024). This shows that BYD continues to struggle with ensuring adequate cash reserves</w:t>
      </w:r>
      <w:r w:rsidR="00A53604" w:rsidRPr="00C50619">
        <w:rPr>
          <w:rFonts w:ascii="Arial" w:hAnsi="Arial" w:cs="Arial"/>
          <w:lang w:val="en-GB"/>
        </w:rPr>
        <w:t>, although there is an increase in the available cash to meet current liabilities</w:t>
      </w:r>
      <w:r w:rsidRPr="00C50619">
        <w:rPr>
          <w:rFonts w:ascii="Arial" w:hAnsi="Arial" w:cs="Arial"/>
          <w:lang w:val="en-GB"/>
        </w:rPr>
        <w:t>. Moreover, the working capital has been negative during the majority of the years with the maximum amount standing at -138.6 billion RMB (2024)</w:t>
      </w:r>
      <w:r w:rsidR="00A53604" w:rsidRPr="00C50619">
        <w:rPr>
          <w:rFonts w:ascii="Arial" w:hAnsi="Arial" w:cs="Arial"/>
          <w:lang w:val="en-GB"/>
        </w:rPr>
        <w:t xml:space="preserve">. This </w:t>
      </w:r>
      <w:r w:rsidRPr="00C50619">
        <w:rPr>
          <w:rFonts w:ascii="Arial" w:hAnsi="Arial" w:cs="Arial"/>
          <w:lang w:val="en-GB"/>
        </w:rPr>
        <w:t xml:space="preserve">additionally </w:t>
      </w:r>
      <w:r w:rsidR="00A53604" w:rsidRPr="00C50619">
        <w:rPr>
          <w:rFonts w:ascii="Arial" w:hAnsi="Arial" w:cs="Arial"/>
          <w:lang w:val="en-GB"/>
        </w:rPr>
        <w:t>emphasises</w:t>
      </w:r>
      <w:r w:rsidRPr="00C50619">
        <w:rPr>
          <w:rFonts w:ascii="Arial" w:hAnsi="Arial" w:cs="Arial"/>
          <w:lang w:val="en-GB"/>
        </w:rPr>
        <w:t xml:space="preserve"> the liquidity </w:t>
      </w:r>
      <w:r w:rsidRPr="00C50619">
        <w:rPr>
          <w:rFonts w:ascii="Arial" w:hAnsi="Arial" w:cs="Arial"/>
          <w:lang w:val="en-GB"/>
        </w:rPr>
        <w:lastRenderedPageBreak/>
        <w:t xml:space="preserve">problems of the company and the dependence on external funds to </w:t>
      </w:r>
      <w:r w:rsidR="00A53604" w:rsidRPr="00C50619">
        <w:rPr>
          <w:rFonts w:ascii="Arial" w:hAnsi="Arial" w:cs="Arial"/>
          <w:lang w:val="en-GB"/>
        </w:rPr>
        <w:t>fulfil</w:t>
      </w:r>
      <w:r w:rsidRPr="00C50619">
        <w:rPr>
          <w:rFonts w:ascii="Arial" w:hAnsi="Arial" w:cs="Arial"/>
          <w:lang w:val="en-GB"/>
        </w:rPr>
        <w:t xml:space="preserve"> its short-term liabilities</w:t>
      </w:r>
      <w:r w:rsidR="002219AD" w:rsidRPr="00C50619">
        <w:rPr>
          <w:rFonts w:ascii="Arial" w:hAnsi="Arial" w:cs="Arial"/>
          <w:lang w:val="en-GB"/>
        </w:rPr>
        <w:t xml:space="preserve"> (</w:t>
      </w:r>
      <w:proofErr w:type="spellStart"/>
      <w:r w:rsidR="002219AD" w:rsidRPr="00C50619">
        <w:rPr>
          <w:rFonts w:ascii="Arial" w:hAnsi="Arial" w:cs="Arial"/>
          <w:lang w:val="en-GB"/>
        </w:rPr>
        <w:t>Kathiarayan</w:t>
      </w:r>
      <w:proofErr w:type="spellEnd"/>
      <w:r w:rsidR="002219AD" w:rsidRPr="00C50619">
        <w:rPr>
          <w:rFonts w:ascii="Arial" w:hAnsi="Arial" w:cs="Arial"/>
          <w:lang w:val="en-GB"/>
        </w:rPr>
        <w:t xml:space="preserve"> and Affandi, 2024)</w:t>
      </w:r>
      <w:r w:rsidRPr="00C50619">
        <w:rPr>
          <w:rFonts w:ascii="Arial" w:hAnsi="Arial" w:cs="Arial"/>
          <w:lang w:val="en-GB"/>
        </w:rPr>
        <w:t>.</w:t>
      </w:r>
    </w:p>
    <w:p w14:paraId="204D7565" w14:textId="77777777" w:rsidR="004837DF" w:rsidRPr="00C50619" w:rsidRDefault="004837DF" w:rsidP="00513E41">
      <w:pPr>
        <w:pStyle w:val="Heading2"/>
        <w:spacing w:line="360" w:lineRule="auto"/>
        <w:rPr>
          <w:rFonts w:cs="Arial"/>
          <w:szCs w:val="24"/>
          <w:lang w:val="en-GB"/>
        </w:rPr>
      </w:pPr>
      <w:bookmarkStart w:id="4" w:name="_Toc227770613"/>
      <w:r w:rsidRPr="00C50619">
        <w:rPr>
          <w:rFonts w:cs="Arial"/>
          <w:szCs w:val="24"/>
          <w:lang w:val="en-GB"/>
        </w:rPr>
        <w:t>2.3 Efficiency / Activity Ratios</w:t>
      </w:r>
      <w:bookmarkEnd w:id="4"/>
    </w:p>
    <w:p w14:paraId="569D55E4" w14:textId="127FC9A6"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Efficiency ratios evaluate the effectiveness of BYD in using its assets and liabilities to bring </w:t>
      </w:r>
      <w:r w:rsidR="00A53604" w:rsidRPr="00C50619">
        <w:rPr>
          <w:rFonts w:ascii="Arial" w:hAnsi="Arial" w:cs="Arial"/>
          <w:lang w:val="en-GB"/>
        </w:rPr>
        <w:t xml:space="preserve">in </w:t>
      </w:r>
      <w:r w:rsidRPr="00C50619">
        <w:rPr>
          <w:rFonts w:ascii="Arial" w:hAnsi="Arial" w:cs="Arial"/>
          <w:lang w:val="en-GB"/>
        </w:rPr>
        <w:t xml:space="preserve">sales and </w:t>
      </w:r>
      <w:r w:rsidR="00A53604" w:rsidRPr="00C50619">
        <w:rPr>
          <w:rFonts w:ascii="Arial" w:hAnsi="Arial" w:cs="Arial"/>
          <w:lang w:val="en-GB"/>
        </w:rPr>
        <w:t>maximise</w:t>
      </w:r>
      <w:r w:rsidRPr="00C50619">
        <w:rPr>
          <w:rFonts w:ascii="Arial" w:hAnsi="Arial" w:cs="Arial"/>
          <w:lang w:val="en-GB"/>
        </w:rPr>
        <w:t xml:space="preserve"> profits. The inventory turnover ratio was not increased significantly, but it was slightly higher in 2020 than in 2024, 8.04 times to 6.15 times</w:t>
      </w:r>
      <w:r w:rsidR="00A53604" w:rsidRPr="00C50619">
        <w:rPr>
          <w:rFonts w:ascii="Arial" w:hAnsi="Arial" w:cs="Arial"/>
          <w:lang w:val="en-GB"/>
        </w:rPr>
        <w:t xml:space="preserve"> </w:t>
      </w:r>
      <w:r w:rsidRPr="00C50619">
        <w:rPr>
          <w:rFonts w:ascii="Arial" w:hAnsi="Arial" w:cs="Arial"/>
          <w:lang w:val="en-GB"/>
        </w:rPr>
        <w:t xml:space="preserve">indicating that the company has a good management system to transform inventory into sales. The turnover of receivables also increased greatly with 10.10 times (2020) to 12.52 times (2024), </w:t>
      </w:r>
      <w:r w:rsidR="00A53604" w:rsidRPr="00C50619">
        <w:rPr>
          <w:rFonts w:ascii="Arial" w:hAnsi="Arial" w:cs="Arial"/>
          <w:lang w:val="en-GB"/>
        </w:rPr>
        <w:t xml:space="preserve">indicating </w:t>
      </w:r>
      <w:r w:rsidRPr="00C50619">
        <w:rPr>
          <w:rFonts w:ascii="Arial" w:hAnsi="Arial" w:cs="Arial"/>
          <w:lang w:val="en-GB"/>
        </w:rPr>
        <w:t>BYD is becoming more effective in collecting its money due. This is an improvement that will decrease the time value of money kept in receivables, which will have a positive influence on cash flow</w:t>
      </w:r>
      <w:r w:rsidR="002219AD" w:rsidRPr="00C50619">
        <w:rPr>
          <w:rFonts w:ascii="Arial" w:hAnsi="Arial" w:cs="Arial"/>
          <w:lang w:val="en-GB"/>
        </w:rPr>
        <w:t xml:space="preserve"> (Barnabas and Oloyede, 2024)</w:t>
      </w:r>
      <w:r w:rsidRPr="00C50619">
        <w:rPr>
          <w:rFonts w:ascii="Arial" w:hAnsi="Arial" w:cs="Arial"/>
          <w:lang w:val="en-GB"/>
        </w:rPr>
        <w:t xml:space="preserve">. Conversely, the payables turnover ratio decreased to 2.87 times (2024) as compared to 5.07 times (2020), which means that BYD is paying its suppliers </w:t>
      </w:r>
      <w:r w:rsidR="00A53604" w:rsidRPr="00C50619">
        <w:rPr>
          <w:rFonts w:ascii="Arial" w:hAnsi="Arial" w:cs="Arial"/>
          <w:lang w:val="en-GB"/>
        </w:rPr>
        <w:t>more slowly</w:t>
      </w:r>
      <w:r w:rsidRPr="00C50619">
        <w:rPr>
          <w:rFonts w:ascii="Arial" w:hAnsi="Arial" w:cs="Arial"/>
          <w:lang w:val="en-GB"/>
        </w:rPr>
        <w:t xml:space="preserve">. Such a shift could signify the alteration of supplier relations of BYD or its practice of holding up payments to enhance liquidity. Cash conversion cycle has changed to become negative (9.6 days (2020) to -38.6 days (2024)) which means that BYD is effectively </w:t>
      </w:r>
      <w:r w:rsidR="00A53604" w:rsidRPr="00C50619">
        <w:rPr>
          <w:rFonts w:ascii="Arial" w:hAnsi="Arial" w:cs="Arial"/>
          <w:lang w:val="en-GB"/>
        </w:rPr>
        <w:t>utilising</w:t>
      </w:r>
      <w:r w:rsidRPr="00C50619">
        <w:rPr>
          <w:rFonts w:ascii="Arial" w:hAnsi="Arial" w:cs="Arial"/>
          <w:lang w:val="en-GB"/>
        </w:rPr>
        <w:t xml:space="preserve"> its working capital since it is turning inventory and receivables into cash faster than the time it is required to settle its liabilities</w:t>
      </w:r>
      <w:r w:rsidR="002219AD" w:rsidRPr="00C50619">
        <w:rPr>
          <w:rFonts w:ascii="Arial" w:hAnsi="Arial" w:cs="Arial"/>
          <w:lang w:val="en-GB"/>
        </w:rPr>
        <w:t xml:space="preserve"> (Wang and Wang, 2025)</w:t>
      </w:r>
      <w:r w:rsidRPr="00C50619">
        <w:rPr>
          <w:rFonts w:ascii="Arial" w:hAnsi="Arial" w:cs="Arial"/>
          <w:lang w:val="en-GB"/>
        </w:rPr>
        <w:t>.</w:t>
      </w:r>
    </w:p>
    <w:p w14:paraId="6CF5007D" w14:textId="77777777" w:rsidR="004837DF" w:rsidRPr="00C50619" w:rsidRDefault="004837DF" w:rsidP="00513E41">
      <w:pPr>
        <w:pStyle w:val="Heading2"/>
        <w:spacing w:line="360" w:lineRule="auto"/>
        <w:rPr>
          <w:rFonts w:cs="Arial"/>
          <w:szCs w:val="24"/>
          <w:lang w:val="en-GB"/>
        </w:rPr>
      </w:pPr>
      <w:bookmarkStart w:id="5" w:name="_Toc227770614"/>
      <w:r w:rsidRPr="00C50619">
        <w:rPr>
          <w:rFonts w:cs="Arial"/>
          <w:szCs w:val="24"/>
          <w:lang w:val="en-GB"/>
        </w:rPr>
        <w:t>2.4 Gearing / Leverage Ratios</w:t>
      </w:r>
      <w:bookmarkEnd w:id="5"/>
    </w:p>
    <w:p w14:paraId="0E20B47F" w14:textId="3D3BA703" w:rsidR="004837DF" w:rsidRPr="00C50619" w:rsidRDefault="004837DF" w:rsidP="00513E41">
      <w:pPr>
        <w:spacing w:line="360" w:lineRule="auto"/>
        <w:jc w:val="both"/>
        <w:rPr>
          <w:rFonts w:ascii="Arial" w:hAnsi="Arial" w:cs="Arial"/>
          <w:lang w:val="en-GB"/>
        </w:rPr>
      </w:pPr>
      <w:r w:rsidRPr="00C50619">
        <w:rPr>
          <w:rFonts w:ascii="Arial" w:hAnsi="Arial" w:cs="Arial"/>
          <w:lang w:val="en-GB"/>
        </w:rPr>
        <w:t>The gearing ratios are used to indicate how BYD uses debt to fund its operations. Debt-to-equity ratio rose tremendously by 2.15 (2020) to 3.19 (2024), which is another indicator of increased dependency on debt to finance its activities. This increasing leverage is a risk that might arise, especially when the company experiences declines in cash flow or profit</w:t>
      </w:r>
      <w:r w:rsidR="002219AD" w:rsidRPr="00C50619">
        <w:rPr>
          <w:rFonts w:ascii="Arial" w:hAnsi="Arial" w:cs="Arial"/>
          <w:lang w:val="en-GB"/>
        </w:rPr>
        <w:t xml:space="preserve"> (Odhiambo et al., 2025)</w:t>
      </w:r>
      <w:r w:rsidRPr="00C50619">
        <w:rPr>
          <w:rFonts w:ascii="Arial" w:hAnsi="Arial" w:cs="Arial"/>
          <w:lang w:val="en-GB"/>
        </w:rPr>
        <w:t xml:space="preserve">. The interest coverage ratio increased significantly, as it was at -24.27 (2023) and now at 41.85 (2024), </w:t>
      </w:r>
      <w:r w:rsidR="00A53604" w:rsidRPr="00C50619">
        <w:rPr>
          <w:rFonts w:ascii="Arial" w:hAnsi="Arial" w:cs="Arial"/>
          <w:lang w:val="en-GB"/>
        </w:rPr>
        <w:t xml:space="preserve">indicating </w:t>
      </w:r>
      <w:r w:rsidRPr="00C50619">
        <w:rPr>
          <w:rFonts w:ascii="Arial" w:hAnsi="Arial" w:cs="Arial"/>
          <w:lang w:val="en-GB"/>
        </w:rPr>
        <w:t xml:space="preserve">BYD has become more financially strong as it has become able to cover the interest payments using earnings before interest and taxes (EBIT). This is a major advancement in the coverage of interest, and indicates a lower interest responsibility. In addition, net debt decreased by 20.1 billion RMB (2020) to -82.4 billion RMB (2024), meaning that BYD </w:t>
      </w:r>
      <w:r w:rsidRPr="00C50619">
        <w:rPr>
          <w:rFonts w:ascii="Arial" w:hAnsi="Arial" w:cs="Arial"/>
          <w:lang w:val="en-GB"/>
        </w:rPr>
        <w:lastRenderedPageBreak/>
        <w:t>has greatly decreased its net borrowing position, which might give it financial flexibility to grow in future.</w:t>
      </w:r>
    </w:p>
    <w:p w14:paraId="17B933FF" w14:textId="77777777" w:rsidR="004837DF" w:rsidRPr="00C50619" w:rsidRDefault="004837DF" w:rsidP="00513E41">
      <w:pPr>
        <w:pStyle w:val="Heading2"/>
        <w:spacing w:line="360" w:lineRule="auto"/>
        <w:rPr>
          <w:rFonts w:cs="Arial"/>
          <w:szCs w:val="24"/>
          <w:lang w:val="en-GB"/>
        </w:rPr>
      </w:pPr>
      <w:bookmarkStart w:id="6" w:name="_Toc227770615"/>
      <w:r w:rsidRPr="00C50619">
        <w:rPr>
          <w:rFonts w:cs="Arial"/>
          <w:szCs w:val="24"/>
          <w:lang w:val="en-GB"/>
        </w:rPr>
        <w:t>2.5 Investment / Market Ratios</w:t>
      </w:r>
      <w:bookmarkEnd w:id="6"/>
    </w:p>
    <w:p w14:paraId="370C7888" w14:textId="4624A7AB"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The investment ratios can give details on the performance of BYD in the market and its prospects in yielding returns to its investors. The revenue per share ratio experienced a huge growth, 52.72 RMB (2020) to 266.94 RMB (2024), with the revenue increasing significantly and an increase in profitability per share. Such an increase in revenue per share implies that BYD can expand its operations and grow its market share, which is beneficial to the shareholders and can promote a </w:t>
      </w:r>
      <w:r w:rsidR="00A53604" w:rsidRPr="00C50619">
        <w:rPr>
          <w:rFonts w:ascii="Arial" w:hAnsi="Arial" w:cs="Arial"/>
          <w:lang w:val="en-GB"/>
        </w:rPr>
        <w:t>favourable</w:t>
      </w:r>
      <w:r w:rsidRPr="00C50619">
        <w:rPr>
          <w:rFonts w:ascii="Arial" w:hAnsi="Arial" w:cs="Arial"/>
          <w:lang w:val="en-GB"/>
        </w:rPr>
        <w:t xml:space="preserve"> market view. The data did not directly give the other investment ratios such as the price-to-earnings (P/E) ratio</w:t>
      </w:r>
      <w:r w:rsidR="00A53604" w:rsidRPr="00C50619">
        <w:rPr>
          <w:rFonts w:ascii="Arial" w:hAnsi="Arial" w:cs="Arial"/>
          <w:lang w:val="en-GB"/>
        </w:rPr>
        <w:t>. B</w:t>
      </w:r>
      <w:r w:rsidRPr="00C50619">
        <w:rPr>
          <w:rFonts w:ascii="Arial" w:hAnsi="Arial" w:cs="Arial"/>
          <w:lang w:val="en-GB"/>
        </w:rPr>
        <w:t>ut the growth in the revenue per share indicates that the BYD stock might be gaining value, and the company might be in a positive light to investors in the market</w:t>
      </w:r>
      <w:r w:rsidR="002219AD" w:rsidRPr="00C50619">
        <w:rPr>
          <w:rFonts w:ascii="Arial" w:hAnsi="Arial" w:cs="Arial"/>
          <w:lang w:val="en-GB"/>
        </w:rPr>
        <w:t xml:space="preserve"> (Lib, 2024)</w:t>
      </w:r>
      <w:r w:rsidRPr="00C50619">
        <w:rPr>
          <w:rFonts w:ascii="Arial" w:hAnsi="Arial" w:cs="Arial"/>
          <w:lang w:val="en-GB"/>
        </w:rPr>
        <w:t>.</w:t>
      </w:r>
    </w:p>
    <w:p w14:paraId="7478CA67" w14:textId="77777777" w:rsidR="004837DF" w:rsidRPr="00C50619" w:rsidRDefault="004837DF" w:rsidP="00513E41">
      <w:pPr>
        <w:pStyle w:val="Heading2"/>
        <w:spacing w:line="360" w:lineRule="auto"/>
        <w:rPr>
          <w:rFonts w:cs="Arial"/>
          <w:szCs w:val="24"/>
          <w:lang w:val="en-GB"/>
        </w:rPr>
      </w:pPr>
      <w:bookmarkStart w:id="7" w:name="_Toc227770616"/>
      <w:r w:rsidRPr="00C50619">
        <w:rPr>
          <w:rFonts w:cs="Arial"/>
          <w:szCs w:val="24"/>
          <w:lang w:val="en-GB"/>
        </w:rPr>
        <w:t>2.6 Cash Flow Analysis</w:t>
      </w:r>
      <w:bookmarkEnd w:id="7"/>
    </w:p>
    <w:p w14:paraId="58F9B8D1" w14:textId="6684612C"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Cash flow ratios evaluate the capacity of BYD to create cash and utilize them in capital expenditures. The operating cash flow to net profit </w:t>
      </w:r>
      <w:r w:rsidR="00A53604" w:rsidRPr="00C50619">
        <w:rPr>
          <w:rFonts w:ascii="Arial" w:hAnsi="Arial" w:cs="Arial"/>
          <w:lang w:val="en-GB"/>
        </w:rPr>
        <w:t>percent</w:t>
      </w:r>
      <w:r w:rsidRPr="00C50619">
        <w:rPr>
          <w:rFonts w:ascii="Arial" w:hAnsi="Arial" w:cs="Arial"/>
          <w:lang w:val="en-GB"/>
        </w:rPr>
        <w:t xml:space="preserve">age reflected a decrease in the operating cash flow to net profit ratio between 16.50 (2021) and 3.21 (2024), which means that the company has reduced the operating cash flow to net profit ratio. This decrease can indicate </w:t>
      </w:r>
      <w:r w:rsidR="00A53604" w:rsidRPr="00C50619">
        <w:rPr>
          <w:rFonts w:ascii="Arial" w:hAnsi="Arial" w:cs="Arial"/>
          <w:lang w:val="en-GB"/>
        </w:rPr>
        <w:t xml:space="preserve">that </w:t>
      </w:r>
      <w:r w:rsidRPr="00C50619">
        <w:rPr>
          <w:rFonts w:ascii="Arial" w:hAnsi="Arial" w:cs="Arial"/>
          <w:lang w:val="en-GB"/>
        </w:rPr>
        <w:t>the profitability of BYD is losing its liquidity or it is experiencing some difficulties with turning earnings into cash</w:t>
      </w:r>
      <w:r w:rsidR="002219AD" w:rsidRPr="00C50619">
        <w:rPr>
          <w:rFonts w:ascii="Arial" w:hAnsi="Arial" w:cs="Arial"/>
          <w:lang w:val="en-GB"/>
        </w:rPr>
        <w:t xml:space="preserve"> (Zhuo, 2024)</w:t>
      </w:r>
      <w:r w:rsidRPr="00C50619">
        <w:rPr>
          <w:rFonts w:ascii="Arial" w:hAnsi="Arial" w:cs="Arial"/>
          <w:lang w:val="en-GB"/>
        </w:rPr>
        <w:t xml:space="preserve">. The operating cash flow to revenue ratio also fell to 17.2% (2024) as compared to 30.3% (2021), which indicates a decline in </w:t>
      </w:r>
      <w:r w:rsidR="00A53604" w:rsidRPr="00C50619">
        <w:rPr>
          <w:rFonts w:ascii="Arial" w:hAnsi="Arial" w:cs="Arial"/>
          <w:lang w:val="en-GB"/>
        </w:rPr>
        <w:t xml:space="preserve">the </w:t>
      </w:r>
      <w:r w:rsidRPr="00C50619">
        <w:rPr>
          <w:rFonts w:ascii="Arial" w:hAnsi="Arial" w:cs="Arial"/>
          <w:lang w:val="en-GB"/>
        </w:rPr>
        <w:t>efficiency of cash generation as compared to revenue. Moreover, the ratio of capital expenditure (Capex) to revenue was at its highest at 23.0% (2022), as the level of capital expenditure on infrastructure and growth was high</w:t>
      </w:r>
      <w:r w:rsidR="00A53604" w:rsidRPr="00C50619">
        <w:rPr>
          <w:rFonts w:ascii="Arial" w:hAnsi="Arial" w:cs="Arial"/>
          <w:lang w:val="en-GB"/>
        </w:rPr>
        <w:t>. But</w:t>
      </w:r>
      <w:r w:rsidRPr="00C50619">
        <w:rPr>
          <w:rFonts w:ascii="Arial" w:hAnsi="Arial" w:cs="Arial"/>
          <w:lang w:val="en-GB"/>
        </w:rPr>
        <w:t xml:space="preserve"> </w:t>
      </w:r>
      <w:r w:rsidR="00A53604" w:rsidRPr="00C50619">
        <w:rPr>
          <w:rFonts w:ascii="Arial" w:hAnsi="Arial" w:cs="Arial"/>
          <w:lang w:val="en-GB"/>
        </w:rPr>
        <w:t xml:space="preserve">it </w:t>
      </w:r>
      <w:r w:rsidRPr="00C50619">
        <w:rPr>
          <w:rFonts w:ascii="Arial" w:hAnsi="Arial" w:cs="Arial"/>
          <w:lang w:val="en-GB"/>
        </w:rPr>
        <w:t xml:space="preserve">has dropped to 12.5% (2024), which means that capital expenditure is not increasing at the same rate as revenue. The free cash flow has been rather volatile, reaching its highest point of 47.6 billion RMB (2023) and </w:t>
      </w:r>
      <w:r w:rsidR="00A53604" w:rsidRPr="00C50619">
        <w:rPr>
          <w:rFonts w:ascii="Arial" w:hAnsi="Arial" w:cs="Arial"/>
          <w:lang w:val="en-GB"/>
        </w:rPr>
        <w:t>its</w:t>
      </w:r>
      <w:r w:rsidRPr="00C50619">
        <w:rPr>
          <w:rFonts w:ascii="Arial" w:hAnsi="Arial" w:cs="Arial"/>
          <w:lang w:val="en-GB"/>
        </w:rPr>
        <w:t xml:space="preserve"> lowest of 36.1 billion RMB (2024). Free cash flow margin was also lower in 2024 compared to 25.7% in 2020 at 4.6% indicating the decreased capacity to produce free cash flow as compared to revenue.</w:t>
      </w:r>
    </w:p>
    <w:p w14:paraId="7F341D3D" w14:textId="54D23E55" w:rsidR="004837DF" w:rsidRPr="00C50619" w:rsidRDefault="004837DF" w:rsidP="00513E41">
      <w:pPr>
        <w:pStyle w:val="Heading2"/>
        <w:spacing w:line="360" w:lineRule="auto"/>
        <w:rPr>
          <w:rFonts w:cs="Arial"/>
          <w:szCs w:val="24"/>
          <w:lang w:val="en-GB"/>
        </w:rPr>
      </w:pPr>
      <w:bookmarkStart w:id="8" w:name="_Toc227770617"/>
      <w:r w:rsidRPr="00C50619">
        <w:rPr>
          <w:rFonts w:cs="Arial"/>
          <w:szCs w:val="24"/>
          <w:lang w:val="en-GB"/>
        </w:rPr>
        <w:lastRenderedPageBreak/>
        <w:t xml:space="preserve">2.7 </w:t>
      </w:r>
      <w:r w:rsidR="00A53604" w:rsidRPr="00C50619">
        <w:rPr>
          <w:rFonts w:cs="Arial"/>
          <w:szCs w:val="24"/>
          <w:lang w:val="en-GB"/>
        </w:rPr>
        <w:t>Recognising</w:t>
      </w:r>
      <w:r w:rsidRPr="00C50619">
        <w:rPr>
          <w:rFonts w:cs="Arial"/>
          <w:szCs w:val="24"/>
          <w:lang w:val="en-GB"/>
        </w:rPr>
        <w:t xml:space="preserve"> trends, strengths and </w:t>
      </w:r>
      <w:r w:rsidR="00A53604" w:rsidRPr="00C50619">
        <w:rPr>
          <w:rFonts w:cs="Arial"/>
          <w:szCs w:val="24"/>
          <w:lang w:val="en-GB"/>
        </w:rPr>
        <w:t>threats.</w:t>
      </w:r>
      <w:bookmarkEnd w:id="8"/>
      <w:r w:rsidRPr="00C50619">
        <w:rPr>
          <w:rFonts w:cs="Arial"/>
          <w:szCs w:val="24"/>
          <w:lang w:val="en-GB"/>
        </w:rPr>
        <w:t xml:space="preserve"> </w:t>
      </w:r>
    </w:p>
    <w:p w14:paraId="0D529BE8" w14:textId="77777777" w:rsidR="004837DF" w:rsidRPr="00C50619" w:rsidRDefault="004837DF" w:rsidP="00513E41">
      <w:pPr>
        <w:spacing w:line="360" w:lineRule="auto"/>
        <w:jc w:val="both"/>
        <w:rPr>
          <w:rFonts w:ascii="Arial" w:hAnsi="Arial" w:cs="Arial"/>
          <w:b/>
          <w:bCs/>
          <w:lang w:val="en-GB"/>
        </w:rPr>
      </w:pPr>
      <w:r w:rsidRPr="00C50619">
        <w:rPr>
          <w:rFonts w:ascii="Arial" w:hAnsi="Arial" w:cs="Arial"/>
          <w:b/>
          <w:bCs/>
          <w:lang w:val="en-GB"/>
        </w:rPr>
        <w:t>Profitability Trends</w:t>
      </w:r>
    </w:p>
    <w:p w14:paraId="3533D8BE" w14:textId="6BAC9158"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BYD has been improving its profitability in the past five years. Better profit generation was evident by the increase </w:t>
      </w:r>
      <w:r w:rsidR="00A53604" w:rsidRPr="00C50619">
        <w:rPr>
          <w:rFonts w:ascii="Arial" w:hAnsi="Arial" w:cs="Arial"/>
          <w:lang w:val="en-GB"/>
        </w:rPr>
        <w:t>in</w:t>
      </w:r>
      <w:r w:rsidRPr="00C50619">
        <w:rPr>
          <w:rFonts w:ascii="Arial" w:hAnsi="Arial" w:cs="Arial"/>
          <w:lang w:val="en-GB"/>
        </w:rPr>
        <w:t xml:space="preserve"> the net profit margin which rose to 5.4% (2024) compared to 2.4% (2020). Return on equity (ROE) increased significantly </w:t>
      </w:r>
      <w:r w:rsidR="00A53604" w:rsidRPr="00C50619">
        <w:rPr>
          <w:rFonts w:ascii="Arial" w:hAnsi="Arial" w:cs="Arial"/>
          <w:lang w:val="en-GB"/>
        </w:rPr>
        <w:t xml:space="preserve">from </w:t>
      </w:r>
      <w:r w:rsidRPr="00C50619">
        <w:rPr>
          <w:rFonts w:ascii="Arial" w:hAnsi="Arial" w:cs="Arial"/>
          <w:lang w:val="en-GB"/>
        </w:rPr>
        <w:t xml:space="preserve">15.2 (2020) to 26.0 (2024), which means an effective </w:t>
      </w:r>
      <w:r w:rsidR="00A53604" w:rsidRPr="00C50619">
        <w:rPr>
          <w:rFonts w:ascii="Arial" w:hAnsi="Arial" w:cs="Arial"/>
          <w:lang w:val="en-GB"/>
        </w:rPr>
        <w:t>utilisation</w:t>
      </w:r>
      <w:r w:rsidRPr="00C50619">
        <w:rPr>
          <w:rFonts w:ascii="Arial" w:hAnsi="Arial" w:cs="Arial"/>
          <w:lang w:val="en-GB"/>
        </w:rPr>
        <w:t xml:space="preserve"> of the </w:t>
      </w:r>
      <w:r w:rsidR="00A53604" w:rsidRPr="00C50619">
        <w:rPr>
          <w:rFonts w:ascii="Arial" w:hAnsi="Arial" w:cs="Arial"/>
          <w:lang w:val="en-GB"/>
        </w:rPr>
        <w:t>shareholders'</w:t>
      </w:r>
      <w:r w:rsidRPr="00C50619">
        <w:rPr>
          <w:rFonts w:ascii="Arial" w:hAnsi="Arial" w:cs="Arial"/>
          <w:lang w:val="en-GB"/>
        </w:rPr>
        <w:t xml:space="preserve"> equity. Nevertheless, the gross profit margin varied between 13.0% (2021) and 20.2% (2023), indicating difficulties in managing production expenses in the context of competing in the market</w:t>
      </w:r>
      <w:r w:rsidR="002219AD" w:rsidRPr="00C50619">
        <w:rPr>
          <w:rFonts w:ascii="Arial" w:hAnsi="Arial" w:cs="Arial"/>
          <w:lang w:val="en-GB"/>
        </w:rPr>
        <w:t xml:space="preserve"> (Lai et al., 2023)</w:t>
      </w:r>
      <w:r w:rsidRPr="00C50619">
        <w:rPr>
          <w:rFonts w:ascii="Arial" w:hAnsi="Arial" w:cs="Arial"/>
          <w:lang w:val="en-GB"/>
        </w:rPr>
        <w:t>.</w:t>
      </w:r>
    </w:p>
    <w:p w14:paraId="210EB31D" w14:textId="77777777" w:rsidR="004837DF" w:rsidRPr="00C50619" w:rsidRDefault="004837DF" w:rsidP="00513E41">
      <w:pPr>
        <w:spacing w:line="360" w:lineRule="auto"/>
        <w:jc w:val="both"/>
        <w:rPr>
          <w:rFonts w:ascii="Arial" w:hAnsi="Arial" w:cs="Arial"/>
          <w:b/>
          <w:bCs/>
          <w:lang w:val="en-GB"/>
        </w:rPr>
      </w:pPr>
      <w:r w:rsidRPr="00C50619">
        <w:rPr>
          <w:rFonts w:ascii="Arial" w:hAnsi="Arial" w:cs="Arial"/>
          <w:b/>
          <w:bCs/>
          <w:lang w:val="en-GB"/>
        </w:rPr>
        <w:t>Liquidity Trends</w:t>
      </w:r>
    </w:p>
    <w:p w14:paraId="4BFA1AF4" w14:textId="26A9A713"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BYD has a poor liquidity status. The current ratio decreased to 0.72 (2024) as compared to 1.05 (2020) and the quick ratio decreased to 0.49 (2024) as compared to 0.75 (2020), which indicates challenges in fulfilling short-term liabilities. The company </w:t>
      </w:r>
      <w:r w:rsidR="00A53604" w:rsidRPr="00C50619">
        <w:rPr>
          <w:rFonts w:ascii="Arial" w:hAnsi="Arial" w:cs="Arial"/>
          <w:lang w:val="en-GB"/>
        </w:rPr>
        <w:t>has also</w:t>
      </w:r>
      <w:r w:rsidRPr="00C50619">
        <w:rPr>
          <w:rFonts w:ascii="Arial" w:hAnsi="Arial" w:cs="Arial"/>
          <w:lang w:val="en-GB"/>
        </w:rPr>
        <w:t xml:space="preserve"> been </w:t>
      </w:r>
      <w:r w:rsidR="00A53604" w:rsidRPr="00C50619">
        <w:rPr>
          <w:rFonts w:ascii="Arial" w:hAnsi="Arial" w:cs="Arial"/>
          <w:lang w:val="en-GB"/>
        </w:rPr>
        <w:t>operating with a negative</w:t>
      </w:r>
      <w:r w:rsidRPr="00C50619">
        <w:rPr>
          <w:rFonts w:ascii="Arial" w:hAnsi="Arial" w:cs="Arial"/>
          <w:lang w:val="en-GB"/>
        </w:rPr>
        <w:t xml:space="preserve"> working capital of -138.6 billion RMB (2024), indicating that it may face liquidity concerns and become dependent on external funding.</w:t>
      </w:r>
    </w:p>
    <w:p w14:paraId="54E8DE0D" w14:textId="77777777" w:rsidR="004837DF" w:rsidRPr="00C50619" w:rsidRDefault="004837DF" w:rsidP="00513E41">
      <w:pPr>
        <w:spacing w:line="360" w:lineRule="auto"/>
        <w:jc w:val="both"/>
        <w:rPr>
          <w:rFonts w:ascii="Arial" w:hAnsi="Arial" w:cs="Arial"/>
          <w:b/>
          <w:bCs/>
          <w:lang w:val="en-GB"/>
        </w:rPr>
      </w:pPr>
      <w:r w:rsidRPr="00C50619">
        <w:rPr>
          <w:rFonts w:ascii="Arial" w:hAnsi="Arial" w:cs="Arial"/>
          <w:b/>
          <w:bCs/>
          <w:lang w:val="en-GB"/>
        </w:rPr>
        <w:t>Efficiency Trends</w:t>
      </w:r>
    </w:p>
    <w:p w14:paraId="049B89A5" w14:textId="43920B11"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BYD has been on </w:t>
      </w:r>
      <w:r w:rsidR="00A53604" w:rsidRPr="00C50619">
        <w:rPr>
          <w:rFonts w:ascii="Arial" w:hAnsi="Arial" w:cs="Arial"/>
          <w:lang w:val="en-GB"/>
        </w:rPr>
        <w:t>an</w:t>
      </w:r>
      <w:r w:rsidRPr="00C50619">
        <w:rPr>
          <w:rFonts w:ascii="Arial" w:hAnsi="Arial" w:cs="Arial"/>
          <w:lang w:val="en-GB"/>
        </w:rPr>
        <w:t xml:space="preserve"> upward trend in working capital management. Better inventory management is evidenced by a rise in the inventory turnover ratio, which is 8.04 (2020) to 6.15 (2024). Equally, receivables turnover increased to 12.52 (2024) as compared to 10.10 (2020) which indicates improved cash collection. Nevertheless, the turnover of payables went down to 2.87 (2024) as compared to 5.07 (2020), implying that BYD is not paying suppliers on time which may prevent relationships with suppliers.</w:t>
      </w:r>
    </w:p>
    <w:p w14:paraId="5DFC2827" w14:textId="03AB0B65" w:rsidR="004837DF" w:rsidRPr="00C50619" w:rsidRDefault="004837DF" w:rsidP="00513E41">
      <w:pPr>
        <w:spacing w:line="360" w:lineRule="auto"/>
        <w:jc w:val="both"/>
        <w:rPr>
          <w:rFonts w:ascii="Arial" w:hAnsi="Arial" w:cs="Arial"/>
          <w:b/>
          <w:bCs/>
          <w:lang w:val="en-GB"/>
        </w:rPr>
      </w:pPr>
      <w:r w:rsidRPr="00C50619">
        <w:rPr>
          <w:rFonts w:ascii="Arial" w:hAnsi="Arial" w:cs="Arial"/>
          <w:b/>
          <w:bCs/>
          <w:lang w:val="en-GB"/>
        </w:rPr>
        <w:t xml:space="preserve">Financial Health Strengths and </w:t>
      </w:r>
      <w:proofErr w:type="spellStart"/>
      <w:r w:rsidRPr="00C50619">
        <w:rPr>
          <w:rFonts w:ascii="Arial" w:hAnsi="Arial" w:cs="Arial"/>
          <w:b/>
          <w:bCs/>
          <w:lang w:val="en-GB"/>
        </w:rPr>
        <w:t>Weaknesse</w:t>
      </w:r>
      <w:proofErr w:type="spellEnd"/>
    </w:p>
    <w:p w14:paraId="2D9D3643" w14:textId="77777777"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The strengths are the enhanced profitability (net profit margin and ROE), enhanced efficiency (inventory and receivables turnover), and decreased net debt, which enhance financial flexibility. The liquidity concerns are weak, as the liquidity ratios are decreasing </w:t>
      </w:r>
      <w:r w:rsidRPr="00C50619">
        <w:rPr>
          <w:rFonts w:ascii="Arial" w:hAnsi="Arial" w:cs="Arial"/>
          <w:lang w:val="en-GB"/>
        </w:rPr>
        <w:lastRenderedPageBreak/>
        <w:t>and the working capital is negative, and the dependence on debt is on the rise as demonstrated by the rising debt-to-equity ratio.</w:t>
      </w:r>
    </w:p>
    <w:p w14:paraId="033776DE" w14:textId="706AA64E" w:rsidR="004837DF" w:rsidRPr="00C50619" w:rsidRDefault="004837DF" w:rsidP="00513E41">
      <w:pPr>
        <w:spacing w:line="360" w:lineRule="auto"/>
        <w:jc w:val="both"/>
        <w:rPr>
          <w:rFonts w:ascii="Arial" w:hAnsi="Arial" w:cs="Arial"/>
          <w:b/>
          <w:bCs/>
          <w:lang w:val="en-GB"/>
        </w:rPr>
      </w:pPr>
      <w:r w:rsidRPr="00C50619">
        <w:rPr>
          <w:rFonts w:ascii="Arial" w:hAnsi="Arial" w:cs="Arial"/>
          <w:b/>
          <w:bCs/>
          <w:lang w:val="en-GB"/>
        </w:rPr>
        <w:t>Threats and challenges</w:t>
      </w:r>
    </w:p>
    <w:p w14:paraId="2E9B899B" w14:textId="27C83DCC"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The external threats are: stiff competition within the EV market and the economic environment like variations in prices of raw materials and changes in regulation. Internal issues revolve around cost management and cash flow management which are still a major concern in the </w:t>
      </w:r>
      <w:r w:rsidR="009320A7" w:rsidRPr="00C50619">
        <w:rPr>
          <w:rFonts w:ascii="Arial" w:hAnsi="Arial" w:cs="Arial"/>
          <w:lang w:val="en-GB"/>
        </w:rPr>
        <w:t>long-term</w:t>
      </w:r>
      <w:r w:rsidRPr="00C50619">
        <w:rPr>
          <w:rFonts w:ascii="Arial" w:hAnsi="Arial" w:cs="Arial"/>
          <w:lang w:val="en-GB"/>
        </w:rPr>
        <w:t xml:space="preserve"> stability of BYD</w:t>
      </w:r>
      <w:r w:rsidR="00513E41" w:rsidRPr="00C50619">
        <w:rPr>
          <w:rFonts w:ascii="Arial" w:hAnsi="Arial" w:cs="Arial"/>
          <w:lang w:val="en-GB"/>
        </w:rPr>
        <w:t xml:space="preserve"> (Wang and Wang, 2025)</w:t>
      </w:r>
      <w:r w:rsidRPr="00C50619">
        <w:rPr>
          <w:rFonts w:ascii="Arial" w:hAnsi="Arial" w:cs="Arial"/>
          <w:lang w:val="en-GB"/>
        </w:rPr>
        <w:t>.</w:t>
      </w:r>
    </w:p>
    <w:p w14:paraId="78FD6D88" w14:textId="2164F25B" w:rsidR="00BC4D01" w:rsidRPr="00C50619" w:rsidRDefault="00BC4D01" w:rsidP="00513E41">
      <w:pPr>
        <w:pStyle w:val="Heading1"/>
        <w:spacing w:line="360" w:lineRule="auto"/>
        <w:rPr>
          <w:rFonts w:cs="Arial"/>
          <w:sz w:val="24"/>
          <w:szCs w:val="24"/>
          <w:lang w:val="en-GB"/>
        </w:rPr>
      </w:pPr>
      <w:bookmarkStart w:id="9" w:name="_Toc227770618"/>
      <w:r w:rsidRPr="00C50619">
        <w:rPr>
          <w:rFonts w:cs="Arial"/>
          <w:sz w:val="24"/>
          <w:szCs w:val="24"/>
          <w:lang w:val="en-GB"/>
        </w:rPr>
        <w:t>3. Working Capital Management Analysis</w:t>
      </w:r>
      <w:bookmarkEnd w:id="9"/>
    </w:p>
    <w:p w14:paraId="60BCBD03" w14:textId="7023242E" w:rsidR="009320A7" w:rsidRPr="00C50619" w:rsidRDefault="00C52345" w:rsidP="00513E41">
      <w:pPr>
        <w:pStyle w:val="Heading2"/>
        <w:spacing w:line="360" w:lineRule="auto"/>
        <w:rPr>
          <w:rFonts w:cs="Arial"/>
          <w:szCs w:val="24"/>
          <w:lang w:val="en-GB"/>
        </w:rPr>
      </w:pPr>
      <w:bookmarkStart w:id="10" w:name="_Toc227770619"/>
      <w:r w:rsidRPr="00C50619">
        <w:rPr>
          <w:rFonts w:cs="Arial"/>
          <w:szCs w:val="24"/>
          <w:lang w:val="en-GB"/>
        </w:rPr>
        <w:t xml:space="preserve">3.1 </w:t>
      </w:r>
      <w:r w:rsidR="009320A7" w:rsidRPr="00C50619">
        <w:rPr>
          <w:rFonts w:cs="Arial"/>
          <w:szCs w:val="24"/>
          <w:lang w:val="en-GB"/>
        </w:rPr>
        <w:t>Cash Operating Cycle</w:t>
      </w:r>
      <w:bookmarkEnd w:id="10"/>
    </w:p>
    <w:p w14:paraId="1D28B195" w14:textId="1B3237FE" w:rsidR="00513E41"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One of the key measures of working capital efficiency of BYD is the Cash Operating Cycle (COC). COC is calculated as a result of the inventory days (DIO), receivables days (DSO), and payables days (DPO). The firm has achieved a lot in terms of streamlining its working capital in the last five years. The inventory days of BYD also increased to 67.7 days (2024) as compared to 90.8 days (2020), demonstrating the improved management of stock. A reduced DIO implies the stock is being sold at a quicker rate leaving cash available to carry out other activities. On the same note, the company enhanced its days receivables which decreased to 29.3 days (2024) as compared to 72.3 days (2020). This indicates that BYD is now more effective in acquiring payments </w:t>
      </w:r>
      <w:r w:rsidR="003A037A" w:rsidRPr="00C50619">
        <w:rPr>
          <w:rFonts w:ascii="Arial" w:hAnsi="Arial" w:cs="Arial"/>
          <w:lang w:val="en-GB"/>
        </w:rPr>
        <w:t>from</w:t>
      </w:r>
      <w:r w:rsidRPr="00C50619">
        <w:rPr>
          <w:rFonts w:ascii="Arial" w:hAnsi="Arial" w:cs="Arial"/>
          <w:lang w:val="en-GB"/>
        </w:rPr>
        <w:t xml:space="preserve"> its customers and increasing liquidity by cutting the time required to have capital tied in receivables</w:t>
      </w:r>
      <w:r w:rsidR="00513E41" w:rsidRPr="00C50619">
        <w:rPr>
          <w:rFonts w:ascii="Arial" w:hAnsi="Arial" w:cs="Arial"/>
          <w:lang w:val="en-GB"/>
        </w:rPr>
        <w:t xml:space="preserve"> (Meng, 2025)</w:t>
      </w:r>
      <w:r w:rsidRPr="00C50619">
        <w:rPr>
          <w:rFonts w:ascii="Arial" w:hAnsi="Arial" w:cs="Arial"/>
          <w:lang w:val="en-GB"/>
        </w:rPr>
        <w:t>.</w:t>
      </w:r>
    </w:p>
    <w:p w14:paraId="185125C5" w14:textId="63471373" w:rsidR="009320A7"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 Conversely, the payables days were high though it was marginally lower when compared with the figures of 144.0 days (2020) to 140.9 days (2024). Although the long DPO can assist in maintaining the cash flow, it might put a strain on the relationship with suppliers</w:t>
      </w:r>
      <w:r w:rsidR="003A037A" w:rsidRPr="00C50619">
        <w:rPr>
          <w:rFonts w:ascii="Arial" w:hAnsi="Arial" w:cs="Arial"/>
          <w:lang w:val="en-GB"/>
        </w:rPr>
        <w:t xml:space="preserve">. </w:t>
      </w:r>
      <w:r w:rsidRPr="00C50619">
        <w:rPr>
          <w:rFonts w:ascii="Arial" w:hAnsi="Arial" w:cs="Arial"/>
          <w:lang w:val="en-GB"/>
        </w:rPr>
        <w:t xml:space="preserve"> </w:t>
      </w:r>
      <w:r w:rsidR="003A037A" w:rsidRPr="00C50619">
        <w:rPr>
          <w:rFonts w:ascii="Arial" w:hAnsi="Arial" w:cs="Arial"/>
          <w:lang w:val="en-GB"/>
        </w:rPr>
        <w:t>Therefore</w:t>
      </w:r>
      <w:r w:rsidRPr="00C50619">
        <w:rPr>
          <w:rFonts w:ascii="Arial" w:hAnsi="Arial" w:cs="Arial"/>
          <w:lang w:val="en-GB"/>
        </w:rPr>
        <w:t xml:space="preserve">, </w:t>
      </w:r>
      <w:r w:rsidR="003A037A" w:rsidRPr="00C50619">
        <w:rPr>
          <w:rFonts w:ascii="Arial" w:hAnsi="Arial" w:cs="Arial"/>
          <w:lang w:val="en-GB"/>
        </w:rPr>
        <w:t>BYD must maintain</w:t>
      </w:r>
      <w:r w:rsidRPr="00C50619">
        <w:rPr>
          <w:rFonts w:ascii="Arial" w:hAnsi="Arial" w:cs="Arial"/>
          <w:lang w:val="en-GB"/>
        </w:rPr>
        <w:t xml:space="preserve"> this balance. The total cash conversion cycle has increased by a great margin of 19.1 days to -44.0 days (2020 and 2024). A negative cycle means that BYD is efficiently turning its inventory and receivables into cash faster than it owes to suppliers, which improves liquidity and flexibility in operations</w:t>
      </w:r>
      <w:r w:rsidR="00513E41" w:rsidRPr="00C50619">
        <w:rPr>
          <w:rFonts w:ascii="Arial" w:hAnsi="Arial" w:cs="Arial"/>
          <w:lang w:val="en-GB"/>
        </w:rPr>
        <w:t xml:space="preserve"> (Chu et al., 2025)</w:t>
      </w:r>
      <w:r w:rsidRPr="00C50619">
        <w:rPr>
          <w:rFonts w:ascii="Arial" w:hAnsi="Arial" w:cs="Arial"/>
          <w:lang w:val="en-GB"/>
        </w:rPr>
        <w:t>.</w:t>
      </w:r>
    </w:p>
    <w:p w14:paraId="72CB4F57" w14:textId="6D4A3496" w:rsidR="00BC4D01" w:rsidRPr="00C50619" w:rsidRDefault="00C52345" w:rsidP="00513E41">
      <w:pPr>
        <w:pStyle w:val="Heading2"/>
        <w:spacing w:line="360" w:lineRule="auto"/>
        <w:rPr>
          <w:rFonts w:cs="Arial"/>
          <w:szCs w:val="24"/>
          <w:lang w:val="en-GB"/>
        </w:rPr>
      </w:pPr>
      <w:bookmarkStart w:id="11" w:name="_Toc227770620"/>
      <w:r w:rsidRPr="00C50619">
        <w:rPr>
          <w:rFonts w:cs="Arial"/>
          <w:szCs w:val="24"/>
          <w:lang w:val="en-GB"/>
        </w:rPr>
        <w:lastRenderedPageBreak/>
        <w:t xml:space="preserve">3.2 </w:t>
      </w:r>
      <w:r w:rsidR="00BC4D01" w:rsidRPr="00C50619">
        <w:rPr>
          <w:rFonts w:cs="Arial"/>
          <w:szCs w:val="24"/>
          <w:lang w:val="en-GB"/>
        </w:rPr>
        <w:t>Efficiency of Working Capital Management</w:t>
      </w:r>
      <w:bookmarkEnd w:id="11"/>
    </w:p>
    <w:p w14:paraId="6943F323" w14:textId="43582E6B" w:rsidR="009320A7"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BYD has demonstrated significant working capital management improvement. The company has concentrated </w:t>
      </w:r>
      <w:r w:rsidR="003A037A" w:rsidRPr="00C50619">
        <w:rPr>
          <w:rFonts w:ascii="Arial" w:hAnsi="Arial" w:cs="Arial"/>
          <w:lang w:val="en-GB"/>
        </w:rPr>
        <w:t>on</w:t>
      </w:r>
      <w:r w:rsidRPr="00C50619">
        <w:rPr>
          <w:rFonts w:ascii="Arial" w:hAnsi="Arial" w:cs="Arial"/>
          <w:lang w:val="en-GB"/>
        </w:rPr>
        <w:t xml:space="preserve"> ensuring that there is better management of inventory and in ensuring that there is better receivables collection</w:t>
      </w:r>
      <w:r w:rsidR="003A037A" w:rsidRPr="00C50619">
        <w:rPr>
          <w:rFonts w:ascii="Arial" w:hAnsi="Arial" w:cs="Arial"/>
          <w:lang w:val="en-GB"/>
        </w:rPr>
        <w:t>. Hence</w:t>
      </w:r>
      <w:r w:rsidRPr="00C50619">
        <w:rPr>
          <w:rFonts w:ascii="Arial" w:hAnsi="Arial" w:cs="Arial"/>
          <w:lang w:val="en-GB"/>
        </w:rPr>
        <w:t>, the cash conversion cycle is negative, which is a sign of better overall efficiency. The decrease in inventory days and receivables days is an indication that BYD has simplified its processes the working capital may be converted to cash faster</w:t>
      </w:r>
      <w:r w:rsidR="00513E41" w:rsidRPr="00C50619">
        <w:rPr>
          <w:rFonts w:ascii="Arial" w:hAnsi="Arial" w:cs="Arial"/>
          <w:lang w:val="en-GB"/>
        </w:rPr>
        <w:t xml:space="preserve"> (Lin, 2023)</w:t>
      </w:r>
      <w:r w:rsidRPr="00C50619">
        <w:rPr>
          <w:rFonts w:ascii="Arial" w:hAnsi="Arial" w:cs="Arial"/>
          <w:lang w:val="en-GB"/>
        </w:rPr>
        <w:t xml:space="preserve">. Nevertheless, the relatively high payables days are concerning as the company might be </w:t>
      </w:r>
      <w:proofErr w:type="spellStart"/>
      <w:r w:rsidRPr="00C50619">
        <w:rPr>
          <w:rFonts w:ascii="Arial" w:hAnsi="Arial" w:cs="Arial"/>
          <w:lang w:val="en-GB"/>
        </w:rPr>
        <w:t>overrelying</w:t>
      </w:r>
      <w:proofErr w:type="spellEnd"/>
      <w:r w:rsidRPr="00C50619">
        <w:rPr>
          <w:rFonts w:ascii="Arial" w:hAnsi="Arial" w:cs="Arial"/>
          <w:lang w:val="en-GB"/>
        </w:rPr>
        <w:t xml:space="preserve"> on delayed payments to the suppliers</w:t>
      </w:r>
      <w:r w:rsidR="003A037A" w:rsidRPr="00C50619">
        <w:rPr>
          <w:rFonts w:ascii="Arial" w:hAnsi="Arial" w:cs="Arial"/>
          <w:lang w:val="en-GB"/>
        </w:rPr>
        <w:t>. This</w:t>
      </w:r>
      <w:r w:rsidRPr="00C50619">
        <w:rPr>
          <w:rFonts w:ascii="Arial" w:hAnsi="Arial" w:cs="Arial"/>
          <w:lang w:val="en-GB"/>
        </w:rPr>
        <w:t xml:space="preserve"> will negatively impact supplier relations and influence further bargaining to get better conditions in the future. Although the negative cash conversion cycle is firmly positive, the balance of payables should be handled with care by BYD as it may not be willing to take the long-term risks of developing poor supplier relationships. In general, the management of working capital at BYD seems to be efficient, but the payables should be paid more attention to in order to make sure that the company does not have bad relations with its suppliers and </w:t>
      </w:r>
      <w:r w:rsidR="003A037A" w:rsidRPr="00C50619">
        <w:rPr>
          <w:rFonts w:ascii="Arial" w:hAnsi="Arial" w:cs="Arial"/>
          <w:lang w:val="en-GB"/>
        </w:rPr>
        <w:t>optimises</w:t>
      </w:r>
      <w:r w:rsidRPr="00C50619">
        <w:rPr>
          <w:rFonts w:ascii="Arial" w:hAnsi="Arial" w:cs="Arial"/>
          <w:lang w:val="en-GB"/>
        </w:rPr>
        <w:t xml:space="preserve"> its liquidity.</w:t>
      </w:r>
    </w:p>
    <w:p w14:paraId="0F591C31" w14:textId="7FEB23EF" w:rsidR="00BC4D01" w:rsidRPr="00C50619" w:rsidRDefault="00C52345" w:rsidP="00513E41">
      <w:pPr>
        <w:pStyle w:val="Heading2"/>
        <w:spacing w:line="360" w:lineRule="auto"/>
        <w:rPr>
          <w:rFonts w:cs="Arial"/>
          <w:szCs w:val="24"/>
          <w:lang w:val="en-GB"/>
        </w:rPr>
      </w:pPr>
      <w:bookmarkStart w:id="12" w:name="_Toc227770621"/>
      <w:r w:rsidRPr="00C50619">
        <w:rPr>
          <w:rFonts w:cs="Arial"/>
          <w:szCs w:val="24"/>
          <w:lang w:val="en-GB"/>
        </w:rPr>
        <w:t xml:space="preserve">3.3 </w:t>
      </w:r>
      <w:r w:rsidR="00BC4D01" w:rsidRPr="00C50619">
        <w:rPr>
          <w:rFonts w:cs="Arial"/>
          <w:szCs w:val="24"/>
          <w:lang w:val="en-GB"/>
        </w:rPr>
        <w:t>Recommendations for Improvement</w:t>
      </w:r>
      <w:bookmarkEnd w:id="12"/>
    </w:p>
    <w:p w14:paraId="3C162BAC" w14:textId="77777777" w:rsidR="009320A7" w:rsidRPr="00C50619" w:rsidRDefault="009320A7" w:rsidP="00513E41">
      <w:pPr>
        <w:spacing w:line="360" w:lineRule="auto"/>
        <w:jc w:val="both"/>
        <w:rPr>
          <w:rFonts w:ascii="Arial" w:hAnsi="Arial" w:cs="Arial"/>
          <w:lang w:val="en-GB"/>
        </w:rPr>
      </w:pPr>
      <w:r w:rsidRPr="00C50619">
        <w:rPr>
          <w:rFonts w:ascii="Arial" w:hAnsi="Arial" w:cs="Arial"/>
          <w:lang w:val="en-GB"/>
        </w:rPr>
        <w:t>BYD can use the following strategies to further enhance liquidity and reduce its operating cycle:</w:t>
      </w:r>
    </w:p>
    <w:p w14:paraId="39964192" w14:textId="491B6DBD" w:rsidR="009320A7" w:rsidRPr="00C50619" w:rsidRDefault="009320A7" w:rsidP="00513E41">
      <w:pPr>
        <w:spacing w:line="360" w:lineRule="auto"/>
        <w:jc w:val="both"/>
        <w:rPr>
          <w:rFonts w:ascii="Arial" w:hAnsi="Arial" w:cs="Arial"/>
          <w:lang w:val="en-GB"/>
        </w:rPr>
      </w:pPr>
      <w:r w:rsidRPr="00C50619">
        <w:rPr>
          <w:rFonts w:ascii="Arial" w:hAnsi="Arial" w:cs="Arial"/>
          <w:b/>
          <w:bCs/>
          <w:lang w:val="en-GB"/>
        </w:rPr>
        <w:t>Inventory Management</w:t>
      </w:r>
      <w:r w:rsidRPr="00C50619">
        <w:rPr>
          <w:rFonts w:ascii="Arial" w:hAnsi="Arial" w:cs="Arial"/>
          <w:lang w:val="en-GB"/>
        </w:rPr>
        <w:t>: BYD can improve its inventory management by implementing just-in-time (JIT) inventory systems or applying superior methods of demand forecasting</w:t>
      </w:r>
      <w:r w:rsidR="00513E41" w:rsidRPr="00C50619">
        <w:rPr>
          <w:rFonts w:ascii="Arial" w:hAnsi="Arial" w:cs="Arial"/>
          <w:lang w:val="en-GB"/>
        </w:rPr>
        <w:t xml:space="preserve"> (Khalil et al., 2025)</w:t>
      </w:r>
      <w:r w:rsidRPr="00C50619">
        <w:rPr>
          <w:rFonts w:ascii="Arial" w:hAnsi="Arial" w:cs="Arial"/>
          <w:lang w:val="en-GB"/>
        </w:rPr>
        <w:t xml:space="preserve">. This would facilitate the </w:t>
      </w:r>
      <w:r w:rsidR="003A037A" w:rsidRPr="00C50619">
        <w:rPr>
          <w:rFonts w:ascii="Arial" w:hAnsi="Arial" w:cs="Arial"/>
          <w:lang w:val="en-GB"/>
        </w:rPr>
        <w:t>minimisation</w:t>
      </w:r>
      <w:r w:rsidRPr="00C50619">
        <w:rPr>
          <w:rFonts w:ascii="Arial" w:hAnsi="Arial" w:cs="Arial"/>
          <w:lang w:val="en-GB"/>
        </w:rPr>
        <w:t xml:space="preserve"> of inventory days, as there would be an </w:t>
      </w:r>
      <w:r w:rsidR="003A037A" w:rsidRPr="00C50619">
        <w:rPr>
          <w:rFonts w:ascii="Arial" w:hAnsi="Arial" w:cs="Arial"/>
          <w:lang w:val="en-GB"/>
        </w:rPr>
        <w:t>optimisation</w:t>
      </w:r>
      <w:r w:rsidRPr="00C50619">
        <w:rPr>
          <w:rFonts w:ascii="Arial" w:hAnsi="Arial" w:cs="Arial"/>
          <w:lang w:val="en-GB"/>
        </w:rPr>
        <w:t xml:space="preserve"> of the inventory to meet the demand without too much overstocking. Increasing inventory turnover will release cash that can be </w:t>
      </w:r>
      <w:r w:rsidR="003A037A" w:rsidRPr="00C50619">
        <w:rPr>
          <w:rFonts w:ascii="Arial" w:hAnsi="Arial" w:cs="Arial"/>
          <w:lang w:val="en-GB"/>
        </w:rPr>
        <w:t>utilised</w:t>
      </w:r>
      <w:r w:rsidRPr="00C50619">
        <w:rPr>
          <w:rFonts w:ascii="Arial" w:hAnsi="Arial" w:cs="Arial"/>
          <w:lang w:val="en-GB"/>
        </w:rPr>
        <w:t xml:space="preserve"> in other </w:t>
      </w:r>
      <w:r w:rsidR="003A037A" w:rsidRPr="00C50619">
        <w:rPr>
          <w:rFonts w:ascii="Arial" w:hAnsi="Arial" w:cs="Arial"/>
          <w:lang w:val="en-GB"/>
        </w:rPr>
        <w:t>operational</w:t>
      </w:r>
      <w:r w:rsidRPr="00C50619">
        <w:rPr>
          <w:rFonts w:ascii="Arial" w:hAnsi="Arial" w:cs="Arial"/>
          <w:lang w:val="en-GB"/>
        </w:rPr>
        <w:t xml:space="preserve"> requirements. </w:t>
      </w:r>
    </w:p>
    <w:p w14:paraId="545E60F2" w14:textId="36980743" w:rsidR="009320A7" w:rsidRPr="00C50619" w:rsidRDefault="009320A7" w:rsidP="00513E41">
      <w:pPr>
        <w:spacing w:line="360" w:lineRule="auto"/>
        <w:jc w:val="both"/>
        <w:rPr>
          <w:rFonts w:ascii="Arial" w:hAnsi="Arial" w:cs="Arial"/>
          <w:lang w:val="en-GB"/>
        </w:rPr>
      </w:pPr>
      <w:r w:rsidRPr="00C50619">
        <w:rPr>
          <w:rFonts w:ascii="Arial" w:hAnsi="Arial" w:cs="Arial"/>
          <w:b/>
          <w:bCs/>
          <w:lang w:val="en-GB"/>
        </w:rPr>
        <w:t>Receivables Management:</w:t>
      </w:r>
      <w:r w:rsidRPr="00C50619">
        <w:rPr>
          <w:rFonts w:ascii="Arial" w:hAnsi="Arial" w:cs="Arial"/>
          <w:lang w:val="en-GB"/>
        </w:rPr>
        <w:t xml:space="preserve"> BYD needs to think about providing early payment discounts so that it can minimise DSO. Also, increased restrictions in credit policies and more rigorous credit risk analyses can be used to reduce the risk of late payments, further enhancing cash flows. </w:t>
      </w:r>
    </w:p>
    <w:p w14:paraId="43B9F4C3" w14:textId="3822EC11" w:rsidR="009320A7" w:rsidRPr="00C50619" w:rsidRDefault="009320A7" w:rsidP="00513E41">
      <w:pPr>
        <w:spacing w:line="360" w:lineRule="auto"/>
        <w:jc w:val="both"/>
        <w:rPr>
          <w:rFonts w:ascii="Arial" w:hAnsi="Arial" w:cs="Arial"/>
          <w:lang w:val="en-GB"/>
        </w:rPr>
      </w:pPr>
      <w:r w:rsidRPr="00C50619">
        <w:rPr>
          <w:rFonts w:ascii="Arial" w:hAnsi="Arial" w:cs="Arial"/>
          <w:b/>
          <w:bCs/>
          <w:lang w:val="en-GB"/>
        </w:rPr>
        <w:lastRenderedPageBreak/>
        <w:t>Supplier Negotiations</w:t>
      </w:r>
      <w:r w:rsidRPr="00C50619">
        <w:rPr>
          <w:rFonts w:ascii="Arial" w:hAnsi="Arial" w:cs="Arial"/>
          <w:lang w:val="en-GB"/>
        </w:rPr>
        <w:t xml:space="preserve">: As the terms of the payables have been improved, BYD should work on the supplier terms to be more advantageous to the suppliers but ought not to </w:t>
      </w:r>
      <w:r w:rsidR="003A037A" w:rsidRPr="00C50619">
        <w:rPr>
          <w:rFonts w:ascii="Arial" w:hAnsi="Arial" w:cs="Arial"/>
          <w:lang w:val="en-GB"/>
        </w:rPr>
        <w:t>jeopardise</w:t>
      </w:r>
      <w:r w:rsidRPr="00C50619">
        <w:rPr>
          <w:rFonts w:ascii="Arial" w:hAnsi="Arial" w:cs="Arial"/>
          <w:lang w:val="en-GB"/>
        </w:rPr>
        <w:t xml:space="preserve"> supplier relations</w:t>
      </w:r>
      <w:r w:rsidR="00513E41" w:rsidRPr="00C50619">
        <w:rPr>
          <w:rFonts w:ascii="Arial" w:hAnsi="Arial" w:cs="Arial"/>
          <w:lang w:val="en-GB"/>
        </w:rPr>
        <w:t xml:space="preserve"> (Schwabe, 2020)</w:t>
      </w:r>
      <w:r w:rsidRPr="00C50619">
        <w:rPr>
          <w:rFonts w:ascii="Arial" w:hAnsi="Arial" w:cs="Arial"/>
          <w:lang w:val="en-GB"/>
        </w:rPr>
        <w:t xml:space="preserve">. A reduction in the DPO would go a long way towards enhancing cash flow without hurting the reputation of the company among suppliers. </w:t>
      </w:r>
    </w:p>
    <w:p w14:paraId="46144C8E" w14:textId="1D5B600A" w:rsidR="009320A7" w:rsidRPr="00C50619" w:rsidRDefault="009320A7" w:rsidP="00513E41">
      <w:pPr>
        <w:spacing w:line="360" w:lineRule="auto"/>
        <w:jc w:val="both"/>
        <w:rPr>
          <w:rFonts w:ascii="Arial" w:hAnsi="Arial" w:cs="Arial"/>
          <w:lang w:val="en-GB"/>
        </w:rPr>
      </w:pPr>
      <w:r w:rsidRPr="00C50619">
        <w:rPr>
          <w:rFonts w:ascii="Arial" w:hAnsi="Arial" w:cs="Arial"/>
          <w:b/>
          <w:bCs/>
          <w:lang w:val="en-GB"/>
        </w:rPr>
        <w:t>Cash Flow Optimisation:</w:t>
      </w:r>
      <w:r w:rsidRPr="00C50619">
        <w:rPr>
          <w:rFonts w:ascii="Arial" w:hAnsi="Arial" w:cs="Arial"/>
          <w:lang w:val="en-GB"/>
        </w:rPr>
        <w:t xml:space="preserve"> BYD has the potential to look into supply chain financing or factoring receivables as a way of enhancing cash flow. Through the sale of its receivables to third parties, BYD would have access to cash sooner without the need to go into further debt. Also, it will be possible to concentrate on operating efficiency and decrease unnecessary capital expenditures and enhance free cash flow.</w:t>
      </w:r>
    </w:p>
    <w:p w14:paraId="6CB57A50" w14:textId="11C28700" w:rsidR="00BC4D01" w:rsidRPr="00C50619" w:rsidRDefault="00C52345" w:rsidP="00513E41">
      <w:pPr>
        <w:pStyle w:val="Heading2"/>
        <w:spacing w:line="360" w:lineRule="auto"/>
        <w:rPr>
          <w:rFonts w:cs="Arial"/>
          <w:szCs w:val="24"/>
          <w:lang w:val="en-GB"/>
        </w:rPr>
      </w:pPr>
      <w:bookmarkStart w:id="13" w:name="_Toc227770622"/>
      <w:r w:rsidRPr="00C50619">
        <w:rPr>
          <w:rFonts w:cs="Arial"/>
          <w:szCs w:val="24"/>
          <w:lang w:val="en-GB"/>
        </w:rPr>
        <w:t xml:space="preserve">3.4 </w:t>
      </w:r>
      <w:r w:rsidR="00BC4D01" w:rsidRPr="00C50619">
        <w:rPr>
          <w:rFonts w:cs="Arial"/>
          <w:szCs w:val="24"/>
          <w:lang w:val="en-GB"/>
        </w:rPr>
        <w:t>Comparison of Financing Options</w:t>
      </w:r>
      <w:bookmarkEnd w:id="13"/>
    </w:p>
    <w:p w14:paraId="20ED8872" w14:textId="5EAD5B18" w:rsidR="009320A7"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BYD can use a number of different financing options to fund its working capital requirements, such as short-term funding and long-term funding. Lines of credit or trade credit are short-term financing options that can provide immediate liquidity and are usually quicker to obtain. They can also be less costly than the </w:t>
      </w:r>
      <w:r w:rsidR="003A037A" w:rsidRPr="00C50619">
        <w:rPr>
          <w:rFonts w:ascii="Arial" w:hAnsi="Arial" w:cs="Arial"/>
          <w:lang w:val="en-GB"/>
        </w:rPr>
        <w:t>long-term</w:t>
      </w:r>
      <w:r w:rsidRPr="00C50619">
        <w:rPr>
          <w:rFonts w:ascii="Arial" w:hAnsi="Arial" w:cs="Arial"/>
          <w:lang w:val="en-GB"/>
        </w:rPr>
        <w:t xml:space="preserve"> loans. </w:t>
      </w:r>
      <w:r w:rsidR="003A037A" w:rsidRPr="00C50619">
        <w:rPr>
          <w:rFonts w:ascii="Arial" w:hAnsi="Arial" w:cs="Arial"/>
          <w:lang w:val="en-GB"/>
        </w:rPr>
        <w:t>But</w:t>
      </w:r>
      <w:r w:rsidRPr="00C50619">
        <w:rPr>
          <w:rFonts w:ascii="Arial" w:hAnsi="Arial" w:cs="Arial"/>
          <w:lang w:val="en-GB"/>
        </w:rPr>
        <w:t>, excessive use of short-term debt may cause pressure on liquidity in case the company experiences slow sales or sudden cash outflow</w:t>
      </w:r>
      <w:r w:rsidR="00513E41" w:rsidRPr="00C50619">
        <w:rPr>
          <w:rFonts w:ascii="Arial" w:hAnsi="Arial" w:cs="Arial"/>
          <w:lang w:val="en-GB"/>
        </w:rPr>
        <w:t xml:space="preserve"> (Barnabas and Oloyede, 2024)</w:t>
      </w:r>
      <w:r w:rsidRPr="00C50619">
        <w:rPr>
          <w:rFonts w:ascii="Arial" w:hAnsi="Arial" w:cs="Arial"/>
          <w:lang w:val="en-GB"/>
        </w:rPr>
        <w:t>. Moreover, short-term capital needs renewal very often and it is not always convenient and can subject the company to interest rate risk.</w:t>
      </w:r>
    </w:p>
    <w:p w14:paraId="73B3ABC9" w14:textId="23003249" w:rsidR="009320A7"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Conversely, </w:t>
      </w:r>
      <w:r w:rsidR="003A037A" w:rsidRPr="00C50619">
        <w:rPr>
          <w:rFonts w:ascii="Arial" w:hAnsi="Arial" w:cs="Arial"/>
          <w:lang w:val="en-GB"/>
        </w:rPr>
        <w:t>long-term</w:t>
      </w:r>
      <w:r w:rsidRPr="00C50619">
        <w:rPr>
          <w:rFonts w:ascii="Arial" w:hAnsi="Arial" w:cs="Arial"/>
          <w:lang w:val="en-GB"/>
        </w:rPr>
        <w:t xml:space="preserve"> financing allows BYD additional time to pay back</w:t>
      </w:r>
      <w:r w:rsidR="003A037A" w:rsidRPr="00C50619">
        <w:rPr>
          <w:rFonts w:ascii="Arial" w:hAnsi="Arial" w:cs="Arial"/>
          <w:lang w:val="en-GB"/>
        </w:rPr>
        <w:t xml:space="preserve"> by</w:t>
      </w:r>
      <w:r w:rsidRPr="00C50619">
        <w:rPr>
          <w:rFonts w:ascii="Arial" w:hAnsi="Arial" w:cs="Arial"/>
          <w:lang w:val="en-GB"/>
        </w:rPr>
        <w:t xml:space="preserve"> lessening the cash flow impact in the short-term. Such financing is more predictable and stable, which can be beneficial to finance bigger capital projects and guarantee their long-term growth. </w:t>
      </w:r>
      <w:r w:rsidR="003A037A" w:rsidRPr="00C50619">
        <w:rPr>
          <w:rFonts w:ascii="Arial" w:hAnsi="Arial" w:cs="Arial"/>
          <w:lang w:val="en-GB"/>
        </w:rPr>
        <w:t>However</w:t>
      </w:r>
      <w:r w:rsidRPr="00C50619">
        <w:rPr>
          <w:rFonts w:ascii="Arial" w:hAnsi="Arial" w:cs="Arial"/>
          <w:lang w:val="en-GB"/>
        </w:rPr>
        <w:t>, it is associated with the increased interest rates and collateral</w:t>
      </w:r>
      <w:r w:rsidR="003A037A" w:rsidRPr="00C50619">
        <w:rPr>
          <w:rFonts w:ascii="Arial" w:hAnsi="Arial" w:cs="Arial"/>
          <w:lang w:val="en-GB"/>
        </w:rPr>
        <w:t xml:space="preserve">. </w:t>
      </w:r>
      <w:r w:rsidRPr="00C50619">
        <w:rPr>
          <w:rFonts w:ascii="Arial" w:hAnsi="Arial" w:cs="Arial"/>
          <w:lang w:val="en-GB"/>
        </w:rPr>
        <w:t xml:space="preserve"> </w:t>
      </w:r>
      <w:r w:rsidR="003A037A" w:rsidRPr="00C50619">
        <w:rPr>
          <w:rFonts w:ascii="Arial" w:hAnsi="Arial" w:cs="Arial"/>
          <w:lang w:val="en-GB"/>
        </w:rPr>
        <w:t>T</w:t>
      </w:r>
      <w:r w:rsidRPr="00C50619">
        <w:rPr>
          <w:rFonts w:ascii="Arial" w:hAnsi="Arial" w:cs="Arial"/>
          <w:lang w:val="en-GB"/>
        </w:rPr>
        <w:t>his may raise the financial risks of BYD. Besides, the growing part of long-term debt may put pressure on the debt-to-equity ratio of BYD, its financial leverage</w:t>
      </w:r>
      <w:r w:rsidR="003A037A" w:rsidRPr="00C50619">
        <w:rPr>
          <w:rFonts w:ascii="Arial" w:hAnsi="Arial" w:cs="Arial"/>
          <w:lang w:val="en-GB"/>
        </w:rPr>
        <w:t xml:space="preserve"> </w:t>
      </w:r>
      <w:r w:rsidRPr="00C50619">
        <w:rPr>
          <w:rFonts w:ascii="Arial" w:hAnsi="Arial" w:cs="Arial"/>
          <w:lang w:val="en-GB"/>
        </w:rPr>
        <w:t>and risk profile</w:t>
      </w:r>
      <w:r w:rsidR="00513E41" w:rsidRPr="00C50619">
        <w:rPr>
          <w:rFonts w:ascii="Arial" w:hAnsi="Arial" w:cs="Arial"/>
          <w:lang w:val="en-GB"/>
        </w:rPr>
        <w:t xml:space="preserve"> (Sun and Yang, 2025)</w:t>
      </w:r>
      <w:r w:rsidRPr="00C50619">
        <w:rPr>
          <w:rFonts w:ascii="Arial" w:hAnsi="Arial" w:cs="Arial"/>
          <w:lang w:val="en-GB"/>
        </w:rPr>
        <w:t>.</w:t>
      </w:r>
    </w:p>
    <w:p w14:paraId="5EAA367B" w14:textId="77777777" w:rsidR="00B60F4C" w:rsidRPr="00C50619" w:rsidRDefault="00B60F4C" w:rsidP="00513E41">
      <w:pPr>
        <w:spacing w:line="360" w:lineRule="auto"/>
        <w:jc w:val="both"/>
        <w:rPr>
          <w:rFonts w:ascii="Arial" w:hAnsi="Arial" w:cs="Arial"/>
          <w:lang w:val="en-GB"/>
        </w:rPr>
      </w:pPr>
    </w:p>
    <w:p w14:paraId="51974342" w14:textId="2A49FE76" w:rsidR="00B765FE" w:rsidRPr="00C50619" w:rsidRDefault="00B765FE" w:rsidP="00513E41">
      <w:pPr>
        <w:pStyle w:val="Heading1"/>
        <w:spacing w:line="360" w:lineRule="auto"/>
        <w:rPr>
          <w:rFonts w:cs="Arial"/>
          <w:sz w:val="24"/>
          <w:szCs w:val="24"/>
          <w:lang w:val="en-GB"/>
        </w:rPr>
      </w:pPr>
      <w:bookmarkStart w:id="14" w:name="_Toc227770623"/>
      <w:r w:rsidRPr="00C50619">
        <w:rPr>
          <w:rFonts w:cs="Arial"/>
          <w:sz w:val="24"/>
          <w:szCs w:val="24"/>
          <w:lang w:val="en-GB"/>
        </w:rPr>
        <w:lastRenderedPageBreak/>
        <w:t>4. Strategic Financial Restructuring Plan</w:t>
      </w:r>
      <w:bookmarkEnd w:id="14"/>
    </w:p>
    <w:p w14:paraId="7CBD9F2B" w14:textId="77777777" w:rsidR="003A037A"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BYD is one of the primary electric </w:t>
      </w:r>
      <w:proofErr w:type="gramStart"/>
      <w:r w:rsidRPr="00C50619">
        <w:rPr>
          <w:rFonts w:ascii="Arial" w:hAnsi="Arial" w:cs="Arial"/>
          <w:lang w:val="en-GB"/>
        </w:rPr>
        <w:t>vehicle</w:t>
      </w:r>
      <w:proofErr w:type="gramEnd"/>
      <w:r w:rsidRPr="00C50619">
        <w:rPr>
          <w:rFonts w:ascii="Arial" w:hAnsi="Arial" w:cs="Arial"/>
          <w:lang w:val="en-GB"/>
        </w:rPr>
        <w:t xml:space="preserve"> (EV) manufacturers that </w:t>
      </w:r>
      <w:r w:rsidR="003A037A" w:rsidRPr="00C50619">
        <w:rPr>
          <w:rFonts w:ascii="Arial" w:hAnsi="Arial" w:cs="Arial"/>
          <w:lang w:val="en-GB"/>
        </w:rPr>
        <w:t>is</w:t>
      </w:r>
      <w:r w:rsidRPr="00C50619">
        <w:rPr>
          <w:rFonts w:ascii="Arial" w:hAnsi="Arial" w:cs="Arial"/>
          <w:lang w:val="en-GB"/>
        </w:rPr>
        <w:t xml:space="preserve"> rapidly expanding </w:t>
      </w:r>
      <w:r w:rsidR="003A037A" w:rsidRPr="00C50619">
        <w:rPr>
          <w:rFonts w:ascii="Arial" w:hAnsi="Arial" w:cs="Arial"/>
          <w:lang w:val="en-GB"/>
        </w:rPr>
        <w:t>its</w:t>
      </w:r>
      <w:r w:rsidRPr="00C50619">
        <w:rPr>
          <w:rFonts w:ascii="Arial" w:hAnsi="Arial" w:cs="Arial"/>
          <w:lang w:val="en-GB"/>
        </w:rPr>
        <w:t xml:space="preserve"> market, encountering growing competition and financial challenges. The company needs to look into strategic financial restructuring in order to </w:t>
      </w:r>
      <w:r w:rsidR="003A037A" w:rsidRPr="00C50619">
        <w:rPr>
          <w:rFonts w:ascii="Arial" w:hAnsi="Arial" w:cs="Arial"/>
          <w:lang w:val="en-GB"/>
        </w:rPr>
        <w:t>maximise</w:t>
      </w:r>
      <w:r w:rsidRPr="00C50619">
        <w:rPr>
          <w:rFonts w:ascii="Arial" w:hAnsi="Arial" w:cs="Arial"/>
          <w:lang w:val="en-GB"/>
        </w:rPr>
        <w:t xml:space="preserve"> its resources and be able to sustain its growth. </w:t>
      </w:r>
    </w:p>
    <w:p w14:paraId="2DD9CB98" w14:textId="2116A4D1" w:rsidR="00B765FE" w:rsidRPr="00C50619" w:rsidRDefault="00B765FE" w:rsidP="00513E41">
      <w:pPr>
        <w:pStyle w:val="Heading2"/>
        <w:spacing w:line="360" w:lineRule="auto"/>
        <w:rPr>
          <w:rFonts w:cs="Arial"/>
          <w:szCs w:val="24"/>
          <w:lang w:val="en-GB"/>
        </w:rPr>
      </w:pPr>
      <w:bookmarkStart w:id="15" w:name="_Toc227770624"/>
      <w:r w:rsidRPr="00C50619">
        <w:rPr>
          <w:rFonts w:cs="Arial"/>
          <w:szCs w:val="24"/>
          <w:lang w:val="en-GB"/>
        </w:rPr>
        <w:t>4.1 Recommended Financial Restructuring Options</w:t>
      </w:r>
      <w:bookmarkEnd w:id="15"/>
    </w:p>
    <w:p w14:paraId="5E4FCB7E" w14:textId="5E8E8C70" w:rsidR="009320A7" w:rsidRPr="00C50619" w:rsidRDefault="009320A7" w:rsidP="00513E41">
      <w:pPr>
        <w:spacing w:line="360" w:lineRule="auto"/>
        <w:jc w:val="both"/>
        <w:rPr>
          <w:rFonts w:ascii="Arial" w:hAnsi="Arial" w:cs="Arial"/>
          <w:b/>
          <w:bCs/>
          <w:lang w:val="en-GB"/>
        </w:rPr>
      </w:pPr>
      <w:r w:rsidRPr="00C50619">
        <w:rPr>
          <w:rFonts w:ascii="Arial" w:hAnsi="Arial" w:cs="Arial"/>
          <w:b/>
          <w:bCs/>
          <w:lang w:val="en-GB"/>
        </w:rPr>
        <w:t xml:space="preserve"> Divestiture</w:t>
      </w:r>
    </w:p>
    <w:p w14:paraId="363E98F6" w14:textId="3825E5FD" w:rsidR="009320A7" w:rsidRPr="00C50619" w:rsidRDefault="00B60F4C" w:rsidP="00513E41">
      <w:pPr>
        <w:spacing w:line="360" w:lineRule="auto"/>
        <w:jc w:val="both"/>
        <w:rPr>
          <w:rFonts w:ascii="Arial" w:hAnsi="Arial" w:cs="Arial"/>
          <w:lang w:val="en-GB"/>
        </w:rPr>
      </w:pPr>
      <w:r w:rsidRPr="00C50619">
        <w:rPr>
          <w:rFonts w:ascii="Arial" w:hAnsi="Arial" w:cs="Arial"/>
          <w:lang w:val="en-GB"/>
        </w:rPr>
        <w:t>Raising capital and streamlining operations can be part of a divestiture or sale of non-core assets or business units. In the BYD, the sale of non-performing assets or a business unit would generate liquidity, improve its financial performance. Disposing the old manufacturing plants or non-profitable product lines that are not directly related to the core business of BYD to manufacture electric vehicle and renewable energy would help to reduce the debt. It would also free up resources to focus on strategic areas of growth which would ultimately support its mission of EV innovation and green energy. The process can simplify the processes and align the resources more e</w:t>
      </w:r>
      <w:r w:rsidR="00F82342" w:rsidRPr="00C50619">
        <w:rPr>
          <w:rFonts w:ascii="Arial" w:hAnsi="Arial" w:cs="Arial"/>
          <w:lang w:val="en-GB"/>
        </w:rPr>
        <w:t>fficiently (Cui and Zhang, 2025</w:t>
      </w:r>
      <w:r w:rsidRPr="00C50619">
        <w:rPr>
          <w:rFonts w:ascii="Arial" w:hAnsi="Arial" w:cs="Arial"/>
          <w:lang w:val="en-GB"/>
        </w:rPr>
        <w:t>). However, the assets sales should be considered attentively not to lose the long-term sources of revenues of a strategic nature.</w:t>
      </w:r>
    </w:p>
    <w:p w14:paraId="072D66CB" w14:textId="00F1A976" w:rsidR="00B60F4C" w:rsidRPr="00C50619" w:rsidRDefault="009320A7" w:rsidP="00B60F4C">
      <w:pPr>
        <w:spacing w:line="360" w:lineRule="auto"/>
        <w:jc w:val="both"/>
        <w:rPr>
          <w:rFonts w:ascii="Arial" w:hAnsi="Arial" w:cs="Arial"/>
          <w:b/>
          <w:bCs/>
          <w:lang w:val="en-GB"/>
        </w:rPr>
      </w:pPr>
      <w:r w:rsidRPr="00C50619">
        <w:rPr>
          <w:rFonts w:ascii="Arial" w:hAnsi="Arial" w:cs="Arial"/>
          <w:b/>
          <w:bCs/>
          <w:lang w:val="en-GB"/>
        </w:rPr>
        <w:t>Merger/Acquisition</w:t>
      </w:r>
    </w:p>
    <w:p w14:paraId="7B918883" w14:textId="6CD840FD" w:rsidR="00B60F4C" w:rsidRPr="00C50619" w:rsidRDefault="00B60F4C" w:rsidP="00B60F4C">
      <w:pPr>
        <w:spacing w:line="360" w:lineRule="auto"/>
        <w:jc w:val="both"/>
        <w:rPr>
          <w:rFonts w:ascii="Arial" w:hAnsi="Arial" w:cs="Arial"/>
          <w:lang w:val="en-GB"/>
        </w:rPr>
      </w:pPr>
      <w:r w:rsidRPr="00C50619">
        <w:rPr>
          <w:rFonts w:ascii="Arial" w:hAnsi="Arial" w:cs="Arial"/>
          <w:lang w:val="en-GB"/>
        </w:rPr>
        <w:t>A merger or acquisition of a company would substantially boost the market share and technology of BYD. A renewable energy merger or acquisition or an electric vehicle would be in a position to provide economies of scale, reduce expenses and stimulate growth. To illustrate this, an acquisition of a battery technology firm or a charging infrastructure firm would be a complement to the strength of BYD and diversify its products (Sun and Yang, 2025). This would help BYD to capture a bigger market share, improve its competitiveness and reduce its operational risks. However, the other crucial concern is the way to integrate organizational cultures, systems, and operations to be successful in the long run (Chen et al., 2023).</w:t>
      </w:r>
    </w:p>
    <w:p w14:paraId="42F8E7DF" w14:textId="77777777" w:rsidR="00B60F4C" w:rsidRPr="00C50619" w:rsidRDefault="00B60F4C" w:rsidP="00B60F4C">
      <w:pPr>
        <w:spacing w:line="360" w:lineRule="auto"/>
        <w:jc w:val="both"/>
        <w:rPr>
          <w:rFonts w:ascii="Arial" w:hAnsi="Arial" w:cs="Arial"/>
          <w:lang w:val="en-GB"/>
        </w:rPr>
      </w:pPr>
    </w:p>
    <w:p w14:paraId="58522AC9" w14:textId="7C5DBCCE" w:rsidR="009320A7" w:rsidRPr="00C50619" w:rsidRDefault="009320A7" w:rsidP="00513E41">
      <w:pPr>
        <w:spacing w:line="360" w:lineRule="auto"/>
        <w:jc w:val="both"/>
        <w:rPr>
          <w:rFonts w:ascii="Arial" w:hAnsi="Arial" w:cs="Arial"/>
          <w:b/>
          <w:bCs/>
          <w:lang w:val="en-GB"/>
        </w:rPr>
      </w:pPr>
      <w:r w:rsidRPr="00C50619">
        <w:rPr>
          <w:rFonts w:ascii="Arial" w:hAnsi="Arial" w:cs="Arial"/>
          <w:b/>
          <w:bCs/>
          <w:lang w:val="en-GB"/>
        </w:rPr>
        <w:lastRenderedPageBreak/>
        <w:t>Equity Injection</w:t>
      </w:r>
    </w:p>
    <w:p w14:paraId="4443416B" w14:textId="2DD65275" w:rsidR="009320A7" w:rsidRPr="00C50619" w:rsidRDefault="00B60F4C" w:rsidP="00513E41">
      <w:pPr>
        <w:spacing w:line="360" w:lineRule="auto"/>
        <w:jc w:val="both"/>
        <w:rPr>
          <w:rFonts w:ascii="Arial" w:hAnsi="Arial" w:cs="Arial"/>
          <w:lang w:val="en-GB"/>
        </w:rPr>
      </w:pPr>
      <w:r w:rsidRPr="00C50619">
        <w:rPr>
          <w:rFonts w:ascii="Arial" w:hAnsi="Arial" w:cs="Arial"/>
          <w:lang w:val="en-GB"/>
        </w:rPr>
        <w:t>The equity injection can provide the capital necessary to stabilize the balance sheet of BYD and reduce the amount of dependence on debt through the issuance of new shares or attracting the attention of institutional investors. The new capital would enable the company to invest in research and development, expand its production capacity and long term growth particularly in the already competitive EV market with BYD growing its debt-to-equity ratio and liquidit</w:t>
      </w:r>
      <w:r w:rsidR="00F82342" w:rsidRPr="00C50619">
        <w:rPr>
          <w:rFonts w:ascii="Arial" w:hAnsi="Arial" w:cs="Arial"/>
          <w:lang w:val="en-GB"/>
        </w:rPr>
        <w:t>y issues (Zhuo, 2024; Li,</w:t>
      </w:r>
      <w:r w:rsidRPr="00C50619">
        <w:rPr>
          <w:rFonts w:ascii="Arial" w:hAnsi="Arial" w:cs="Arial"/>
          <w:lang w:val="en-GB"/>
        </w:rPr>
        <w:t xml:space="preserve"> 2025). Though the issue of new shares may dilute the current shareholders, it will give BYD greater financial freedom, as it will be able to make strategic investments and grow without any significant financial risks.</w:t>
      </w:r>
    </w:p>
    <w:p w14:paraId="647D4DC1" w14:textId="3F01D488" w:rsidR="00B765FE" w:rsidRPr="00C50619" w:rsidRDefault="00B765FE" w:rsidP="00703710">
      <w:pPr>
        <w:pStyle w:val="Heading2"/>
        <w:spacing w:line="360" w:lineRule="auto"/>
        <w:jc w:val="both"/>
        <w:rPr>
          <w:rFonts w:cs="Arial"/>
          <w:szCs w:val="24"/>
          <w:lang w:val="en-GB"/>
        </w:rPr>
      </w:pPr>
      <w:bookmarkStart w:id="16" w:name="_Toc227770625"/>
      <w:r w:rsidRPr="00C50619">
        <w:rPr>
          <w:rFonts w:cs="Arial"/>
          <w:szCs w:val="24"/>
          <w:lang w:val="en-GB"/>
        </w:rPr>
        <w:t>4.2 Impact Analysis</w:t>
      </w:r>
      <w:bookmarkEnd w:id="16"/>
    </w:p>
    <w:p w14:paraId="361CDA87" w14:textId="73587B5F" w:rsidR="00B765FE" w:rsidRPr="00C50619" w:rsidRDefault="00B765FE" w:rsidP="00703710">
      <w:pPr>
        <w:spacing w:line="360" w:lineRule="auto"/>
        <w:jc w:val="both"/>
        <w:rPr>
          <w:rFonts w:ascii="Arial" w:hAnsi="Arial" w:cs="Arial"/>
          <w:b/>
          <w:bCs/>
          <w:lang w:val="en-GB"/>
        </w:rPr>
      </w:pPr>
      <w:r w:rsidRPr="00C50619">
        <w:rPr>
          <w:rFonts w:ascii="Arial" w:hAnsi="Arial" w:cs="Arial"/>
          <w:b/>
          <w:bCs/>
          <w:lang w:val="en-GB"/>
        </w:rPr>
        <w:t>Impact on Shareholder Value</w:t>
      </w:r>
    </w:p>
    <w:p w14:paraId="09FD7D7C" w14:textId="5D82DD83" w:rsidR="009320A7" w:rsidRPr="00C50619" w:rsidRDefault="00703710" w:rsidP="00703710">
      <w:pPr>
        <w:spacing w:line="360" w:lineRule="auto"/>
        <w:jc w:val="both"/>
        <w:rPr>
          <w:rFonts w:ascii="Arial" w:hAnsi="Arial" w:cs="Arial"/>
          <w:lang w:val="en-GB"/>
        </w:rPr>
      </w:pPr>
      <w:r w:rsidRPr="00C50619">
        <w:rPr>
          <w:rFonts w:ascii="Arial" w:hAnsi="Arial" w:cs="Arial"/>
          <w:lang w:val="en-GB"/>
        </w:rPr>
        <w:t>Shareholder value will be impacted differently by restructuring. Divestiture may result in higher short-term shareholder value as cash generated may be spent on debt payment or investment in lucrative sectors (Zhang and Liu, 2023). But it can also lead to loss of future earnings due to the assets divested which might affect growth in the long term (Guo, 2024). The merger and acquisition can lead to the development of a significant shareholder value due to the increase in the market share and cost synergies. Economies of scale can be achieved through efficient integration of the acquired company that enhances profitability. Nevertheless, stock dilution can be done in the process (Kim and Chang, 2025). Although equity injections have short-term dilution, they can generate long-term value by raising capital to grow and minimize debt dependency (Ahmed et al., 2024).</w:t>
      </w:r>
    </w:p>
    <w:p w14:paraId="4CA4D637" w14:textId="06039C1D" w:rsidR="00B765FE" w:rsidRPr="00C50619" w:rsidRDefault="00B765FE" w:rsidP="00703710">
      <w:pPr>
        <w:spacing w:line="360" w:lineRule="auto"/>
        <w:jc w:val="both"/>
        <w:rPr>
          <w:rFonts w:ascii="Arial" w:hAnsi="Arial" w:cs="Arial"/>
          <w:b/>
          <w:bCs/>
          <w:lang w:val="en-GB"/>
        </w:rPr>
      </w:pPr>
      <w:r w:rsidRPr="00C50619">
        <w:rPr>
          <w:rFonts w:ascii="Arial" w:hAnsi="Arial" w:cs="Arial"/>
          <w:b/>
          <w:bCs/>
          <w:lang w:val="en-GB"/>
        </w:rPr>
        <w:t>Impact on Debt Structure</w:t>
      </w:r>
    </w:p>
    <w:p w14:paraId="330CF5A4" w14:textId="39C19D08" w:rsidR="009320A7" w:rsidRPr="00C50619" w:rsidRDefault="00703710" w:rsidP="00703710">
      <w:pPr>
        <w:spacing w:line="360" w:lineRule="auto"/>
        <w:jc w:val="both"/>
        <w:rPr>
          <w:rFonts w:ascii="Arial" w:hAnsi="Arial" w:cs="Arial"/>
          <w:lang w:val="en-GB"/>
        </w:rPr>
      </w:pPr>
      <w:r w:rsidRPr="00C50619">
        <w:rPr>
          <w:rFonts w:ascii="Arial" w:hAnsi="Arial" w:cs="Arial"/>
          <w:lang w:val="en-GB"/>
        </w:rPr>
        <w:t>Reorganization plans will have a great impact on the debt of BYD. Divestiture may also help to raise finances to decrease debt, which would enhance the debt-to-equity ratio and decrease th</w:t>
      </w:r>
      <w:r w:rsidR="001A19A9" w:rsidRPr="00C50619">
        <w:rPr>
          <w:rFonts w:ascii="Arial" w:hAnsi="Arial" w:cs="Arial"/>
          <w:lang w:val="en-GB"/>
        </w:rPr>
        <w:t>e debt burden (Zhou et al., 2025</w:t>
      </w:r>
      <w:r w:rsidRPr="00C50619">
        <w:rPr>
          <w:rFonts w:ascii="Arial" w:hAnsi="Arial" w:cs="Arial"/>
          <w:lang w:val="en-GB"/>
        </w:rPr>
        <w:t xml:space="preserve">). Conversely, mergers or acquisitions can either raise or lower the debt, depending on the mode of financing (Dissanayake et al., 2024). In case it is debt-financed transaction, leverage will be higher increasing </w:t>
      </w:r>
      <w:r w:rsidRPr="00C50619">
        <w:rPr>
          <w:rFonts w:ascii="Arial" w:hAnsi="Arial" w:cs="Arial"/>
          <w:lang w:val="en-GB"/>
        </w:rPr>
        <w:lastRenderedPageBreak/>
        <w:t>financial risks. Nevertheless, the merger or acquisition has the potential to create cost synergies that can be used to deal with more debt in the long run. Equity injections decrease the reliance of BYD on debt, increasing financial flexibility and improving the debt-to-equity ratio (Jiang and Zhao, 2024)</w:t>
      </w:r>
      <w:r w:rsidR="009320A7" w:rsidRPr="00C50619">
        <w:rPr>
          <w:rFonts w:ascii="Arial" w:hAnsi="Arial" w:cs="Arial"/>
          <w:lang w:val="en-GB"/>
        </w:rPr>
        <w:t>.</w:t>
      </w:r>
    </w:p>
    <w:p w14:paraId="1E55F7B2" w14:textId="77E05A1C" w:rsidR="00B765FE" w:rsidRPr="00C50619" w:rsidRDefault="00B765FE" w:rsidP="00703710">
      <w:pPr>
        <w:spacing w:line="360" w:lineRule="auto"/>
        <w:jc w:val="both"/>
        <w:rPr>
          <w:rFonts w:ascii="Arial" w:hAnsi="Arial" w:cs="Arial"/>
          <w:b/>
          <w:bCs/>
          <w:lang w:val="en-GB"/>
        </w:rPr>
      </w:pPr>
      <w:r w:rsidRPr="00C50619">
        <w:rPr>
          <w:rFonts w:ascii="Arial" w:hAnsi="Arial" w:cs="Arial"/>
          <w:b/>
          <w:bCs/>
          <w:lang w:val="en-GB"/>
        </w:rPr>
        <w:t xml:space="preserve"> Impact on Operational Flexibility</w:t>
      </w:r>
    </w:p>
    <w:p w14:paraId="60A5D302" w14:textId="5D445191" w:rsidR="001F154A" w:rsidRPr="00C50619" w:rsidRDefault="00703710" w:rsidP="00703710">
      <w:pPr>
        <w:spacing w:line="360" w:lineRule="auto"/>
        <w:jc w:val="both"/>
        <w:rPr>
          <w:rFonts w:ascii="Arial" w:hAnsi="Arial" w:cs="Arial"/>
          <w:lang w:val="en-GB"/>
        </w:rPr>
      </w:pPr>
      <w:r w:rsidRPr="00C50619">
        <w:rPr>
          <w:rFonts w:ascii="Arial" w:hAnsi="Arial" w:cs="Arial"/>
          <w:lang w:val="en-GB"/>
        </w:rPr>
        <w:t>Divestitures are also easier to do business with and enable BYD to concentrate on the key business segments, such as the EV development and renewable energy (Wang and Li, 2025). This would enhance operational responsiveness, but there might be short-term difficulties due to loss of assets. The flexibility of operations through mergers or acquisitions can offer new technologies and market penetration. Nonetheless, short-term inefficiencies might arise due to integration challenges (Zhang et al., 2024). Equity injections will give capital, and BYD will be able to scale the operations, invest in technology and venture into new markets, which will enhance operational flexibility without debt burdens (Zhou, 2025).</w:t>
      </w:r>
    </w:p>
    <w:p w14:paraId="1DC1B720" w14:textId="7807DC92" w:rsidR="00B765FE" w:rsidRPr="00C50619" w:rsidRDefault="00B765FE" w:rsidP="00513E41">
      <w:pPr>
        <w:pStyle w:val="Heading2"/>
        <w:spacing w:line="360" w:lineRule="auto"/>
        <w:rPr>
          <w:rFonts w:cs="Arial"/>
          <w:szCs w:val="24"/>
          <w:lang w:val="en-GB"/>
        </w:rPr>
      </w:pPr>
      <w:bookmarkStart w:id="17" w:name="_Toc227770626"/>
      <w:r w:rsidRPr="00C50619">
        <w:rPr>
          <w:rFonts w:cs="Arial"/>
          <w:szCs w:val="24"/>
          <w:lang w:val="en-GB"/>
        </w:rPr>
        <w:t>4.3 International and Ethical Considerations</w:t>
      </w:r>
      <w:bookmarkEnd w:id="17"/>
    </w:p>
    <w:p w14:paraId="24D4279D" w14:textId="3A401464" w:rsidR="001F154A" w:rsidRPr="00C50619" w:rsidRDefault="001F154A" w:rsidP="00513E41">
      <w:pPr>
        <w:spacing w:line="360" w:lineRule="auto"/>
        <w:jc w:val="both"/>
        <w:rPr>
          <w:rFonts w:ascii="Arial" w:hAnsi="Arial" w:cs="Arial"/>
          <w:b/>
          <w:bCs/>
          <w:lang w:val="en-GB"/>
        </w:rPr>
      </w:pPr>
      <w:r w:rsidRPr="00C50619">
        <w:rPr>
          <w:rFonts w:ascii="Arial" w:hAnsi="Arial" w:cs="Arial"/>
          <w:b/>
          <w:bCs/>
          <w:lang w:val="en-GB"/>
        </w:rPr>
        <w:t>Tax Implications</w:t>
      </w:r>
    </w:p>
    <w:p w14:paraId="7A0074CB" w14:textId="303EB50C" w:rsidR="001F154A" w:rsidRPr="00C50619" w:rsidRDefault="00B341FC" w:rsidP="00513E41">
      <w:pPr>
        <w:spacing w:line="360" w:lineRule="auto"/>
        <w:jc w:val="both"/>
        <w:rPr>
          <w:rFonts w:ascii="Arial" w:hAnsi="Arial" w:cs="Arial"/>
          <w:lang w:val="en-GB"/>
        </w:rPr>
      </w:pPr>
      <w:r w:rsidRPr="00C50619">
        <w:rPr>
          <w:rFonts w:ascii="Arial" w:hAnsi="Arial" w:cs="Arial"/>
          <w:lang w:val="en-GB"/>
        </w:rPr>
        <w:t>All kinds of restructuring (divestitures, mergers, and equity injections) are taxed, and BYD should consider it. Divestitures are taxable in terms of capital gains depending on the price (sale price) of the asset (Jin and Wang, 2023). Transaction tax as stamp duty or revaluation tax can be imposed, depending on the jurisdiction, in case of mergers and acquisitions (Zhu and Li, 2024). The tax payments due on capital injection may be determined depending on the type of capital-raising strategy, e.g., the new shares issue or the institutional investors attraction (Kuo, 2023). BYD also needs to have tax consultants to ensure that the restructuring process is done in an efficient manner to minimize tax burden and benefits to shareholders.</w:t>
      </w:r>
    </w:p>
    <w:p w14:paraId="7E8D89E0" w14:textId="7D7DAF84" w:rsidR="001F154A" w:rsidRPr="00C50619" w:rsidRDefault="001F154A" w:rsidP="00513E41">
      <w:pPr>
        <w:spacing w:line="360" w:lineRule="auto"/>
        <w:jc w:val="both"/>
        <w:rPr>
          <w:rFonts w:ascii="Arial" w:hAnsi="Arial" w:cs="Arial"/>
          <w:b/>
          <w:bCs/>
          <w:lang w:val="en-GB"/>
        </w:rPr>
      </w:pPr>
      <w:r w:rsidRPr="00C50619">
        <w:rPr>
          <w:rFonts w:ascii="Arial" w:hAnsi="Arial" w:cs="Arial"/>
          <w:b/>
          <w:bCs/>
          <w:lang w:val="en-GB"/>
        </w:rPr>
        <w:t>Currency Risks</w:t>
      </w:r>
    </w:p>
    <w:p w14:paraId="16EF5994" w14:textId="2E581535" w:rsidR="001F154A" w:rsidRPr="00C50619" w:rsidRDefault="00703710" w:rsidP="00513E41">
      <w:pPr>
        <w:spacing w:line="360" w:lineRule="auto"/>
        <w:jc w:val="both"/>
        <w:rPr>
          <w:rFonts w:ascii="Arial" w:hAnsi="Arial" w:cs="Arial"/>
          <w:lang w:val="en-GB"/>
        </w:rPr>
      </w:pPr>
      <w:r w:rsidRPr="00C50619">
        <w:rPr>
          <w:rFonts w:ascii="Arial" w:hAnsi="Arial" w:cs="Arial"/>
          <w:lang w:val="en-GB"/>
        </w:rPr>
        <w:t xml:space="preserve">Due to the international character of BYD, the currency risks have to be considered, in both instances of acquiring companies abroad, or even entering new markets. The exchange rates can fluctuate, and the fluctuations might impact the worth of foreign </w:t>
      </w:r>
      <w:r w:rsidRPr="00C50619">
        <w:rPr>
          <w:rFonts w:ascii="Arial" w:hAnsi="Arial" w:cs="Arial"/>
          <w:lang w:val="en-GB"/>
        </w:rPr>
        <w:lastRenderedPageBreak/>
        <w:t>assets, as well as profitability of foreign operations (Xie and Zhang, 2025). BYD should consider the use of currency hedging or change its business model to reduce its exposure to currency fluctuations (Chen, 2024). This would help in protecting the profits and provide certain assurance as it traverses the global markets.</w:t>
      </w:r>
    </w:p>
    <w:p w14:paraId="774C3856" w14:textId="5D582E02" w:rsidR="001F154A" w:rsidRPr="00C50619" w:rsidRDefault="001F154A" w:rsidP="00513E41">
      <w:pPr>
        <w:spacing w:line="360" w:lineRule="auto"/>
        <w:jc w:val="both"/>
        <w:rPr>
          <w:rFonts w:ascii="Arial" w:hAnsi="Arial" w:cs="Arial"/>
          <w:b/>
          <w:bCs/>
          <w:lang w:val="en-GB"/>
        </w:rPr>
      </w:pPr>
      <w:r w:rsidRPr="00C50619">
        <w:rPr>
          <w:rFonts w:ascii="Arial" w:hAnsi="Arial" w:cs="Arial"/>
          <w:b/>
          <w:bCs/>
          <w:lang w:val="en-GB"/>
        </w:rPr>
        <w:t>Corporate Social Res</w:t>
      </w:r>
      <w:r w:rsidR="00555BF5" w:rsidRPr="00C50619">
        <w:rPr>
          <w:rFonts w:ascii="Arial" w:hAnsi="Arial" w:cs="Arial"/>
          <w:b/>
          <w:bCs/>
          <w:lang w:val="en-GB"/>
        </w:rPr>
        <w:t>ponsibility (CSR) and inflation</w:t>
      </w:r>
    </w:p>
    <w:p w14:paraId="421A3693" w14:textId="042EF9B1" w:rsidR="001F154A" w:rsidRPr="00C50619" w:rsidRDefault="00703710" w:rsidP="00513E41">
      <w:pPr>
        <w:spacing w:line="360" w:lineRule="auto"/>
        <w:jc w:val="both"/>
        <w:rPr>
          <w:rFonts w:ascii="Arial" w:hAnsi="Arial" w:cs="Arial"/>
          <w:b/>
          <w:bCs/>
          <w:lang w:val="en-GB"/>
        </w:rPr>
      </w:pPr>
      <w:r w:rsidRPr="00C50619">
        <w:rPr>
          <w:rFonts w:ascii="Arial" w:hAnsi="Arial" w:cs="Arial"/>
          <w:lang w:val="en-GB"/>
        </w:rPr>
        <w:t xml:space="preserve">The restructuring plans of BYD may also be threatened by inflation in regions with high inflation rates because it might increase the cost of raw materials, </w:t>
      </w:r>
      <w:proofErr w:type="spellStart"/>
      <w:r w:rsidRPr="00C50619">
        <w:rPr>
          <w:rFonts w:ascii="Arial" w:hAnsi="Arial" w:cs="Arial"/>
          <w:lang w:val="en-GB"/>
        </w:rPr>
        <w:t>labor</w:t>
      </w:r>
      <w:proofErr w:type="spellEnd"/>
      <w:r w:rsidRPr="00C50619">
        <w:rPr>
          <w:rFonts w:ascii="Arial" w:hAnsi="Arial" w:cs="Arial"/>
          <w:lang w:val="en-GB"/>
        </w:rPr>
        <w:t xml:space="preserve"> and other operating expenses (Gan and Yao, 2025). In its restructuring, BYD will have to take into account the inflationary factors. Besides, CSR is a priority of the company as well. Whether it divests, merges, or raises equity, BYD should ensure that its reorganization aligns with its goals of environmental sustainability, </w:t>
      </w:r>
      <w:proofErr w:type="spellStart"/>
      <w:r w:rsidRPr="00C50619">
        <w:rPr>
          <w:rFonts w:ascii="Arial" w:hAnsi="Arial" w:cs="Arial"/>
          <w:lang w:val="en-GB"/>
        </w:rPr>
        <w:t>labor</w:t>
      </w:r>
      <w:proofErr w:type="spellEnd"/>
      <w:r w:rsidRPr="00C50619">
        <w:rPr>
          <w:rFonts w:ascii="Arial" w:hAnsi="Arial" w:cs="Arial"/>
          <w:lang w:val="en-GB"/>
        </w:rPr>
        <w:t xml:space="preserve"> ethics, and the community well-being of the localities it serves. This will support its reputation and sustainable business practices as it </w:t>
      </w:r>
      <w:proofErr w:type="spellStart"/>
      <w:r w:rsidRPr="00C50619">
        <w:rPr>
          <w:rFonts w:ascii="Arial" w:hAnsi="Arial" w:cs="Arial"/>
          <w:lang w:val="en-GB"/>
        </w:rPr>
        <w:t>endeavors</w:t>
      </w:r>
      <w:proofErr w:type="spellEnd"/>
      <w:r w:rsidRPr="00C50619">
        <w:rPr>
          <w:rFonts w:ascii="Arial" w:hAnsi="Arial" w:cs="Arial"/>
          <w:lang w:val="en-GB"/>
        </w:rPr>
        <w:t xml:space="preserve"> to expand.</w:t>
      </w:r>
    </w:p>
    <w:p w14:paraId="02AC7EA5" w14:textId="5F303506" w:rsidR="001F154A" w:rsidRPr="00C50619" w:rsidRDefault="001F154A" w:rsidP="00513E41">
      <w:pPr>
        <w:spacing w:line="360" w:lineRule="auto"/>
        <w:jc w:val="both"/>
        <w:rPr>
          <w:rFonts w:ascii="Arial" w:hAnsi="Arial" w:cs="Arial"/>
          <w:b/>
          <w:bCs/>
          <w:lang w:val="en-GB"/>
        </w:rPr>
      </w:pPr>
      <w:r w:rsidRPr="00C50619">
        <w:rPr>
          <w:rFonts w:ascii="Arial" w:hAnsi="Arial" w:cs="Arial"/>
          <w:b/>
          <w:bCs/>
          <w:lang w:val="en-GB"/>
        </w:rPr>
        <w:t>International Goals</w:t>
      </w:r>
    </w:p>
    <w:p w14:paraId="33AB9D1E" w14:textId="0078BFDD" w:rsidR="001F154A" w:rsidRPr="00C50619" w:rsidRDefault="00703710" w:rsidP="00513E41">
      <w:pPr>
        <w:spacing w:line="360" w:lineRule="auto"/>
        <w:jc w:val="both"/>
        <w:rPr>
          <w:rFonts w:ascii="Arial" w:hAnsi="Arial" w:cs="Arial"/>
          <w:lang w:val="en-GB"/>
        </w:rPr>
      </w:pPr>
      <w:r w:rsidRPr="00C50619">
        <w:rPr>
          <w:rFonts w:ascii="Arial" w:hAnsi="Arial" w:cs="Arial"/>
          <w:lang w:val="en-GB"/>
        </w:rPr>
        <w:t>BYD restructuring efforts must be aligned with its long term international goals that it aims to become a leader in the global electric vehicle and renewable energy market. Any acquisitions or divestitures made should consider the market conditions and regulatory environment in different countries (Wang, 2025). In addition, BYD should ensure that the restructuring processes can be easily duplicated in other geographical locations without jeopardizing sustainability and moral issues. This will ensure that BYD is competitive and will be in a growth position in the long-term in a highly globalized and competitive environment.</w:t>
      </w:r>
    </w:p>
    <w:p w14:paraId="1AE9F632" w14:textId="77777777" w:rsidR="00555BF5" w:rsidRPr="00C50619" w:rsidRDefault="00555BF5" w:rsidP="00513E41">
      <w:pPr>
        <w:spacing w:line="360" w:lineRule="auto"/>
        <w:jc w:val="both"/>
        <w:rPr>
          <w:rFonts w:ascii="Arial" w:hAnsi="Arial" w:cs="Arial"/>
          <w:lang w:val="en-GB"/>
        </w:rPr>
      </w:pPr>
    </w:p>
    <w:p w14:paraId="568A3E54" w14:textId="77777777" w:rsidR="00555BF5" w:rsidRPr="00C50619" w:rsidRDefault="00555BF5" w:rsidP="00513E41">
      <w:pPr>
        <w:spacing w:line="360" w:lineRule="auto"/>
        <w:jc w:val="both"/>
        <w:rPr>
          <w:rFonts w:ascii="Arial" w:hAnsi="Arial" w:cs="Arial"/>
          <w:lang w:val="en-GB"/>
        </w:rPr>
      </w:pPr>
    </w:p>
    <w:p w14:paraId="57390E24" w14:textId="25A3A9B0" w:rsidR="009320A7" w:rsidRPr="00C50619" w:rsidRDefault="00C97DE5" w:rsidP="00513E41">
      <w:pPr>
        <w:pStyle w:val="Heading1"/>
        <w:spacing w:line="360" w:lineRule="auto"/>
        <w:rPr>
          <w:rFonts w:cs="Arial"/>
          <w:sz w:val="24"/>
          <w:szCs w:val="24"/>
          <w:lang w:val="en-GB"/>
        </w:rPr>
      </w:pPr>
      <w:bookmarkStart w:id="18" w:name="_Toc227770627"/>
      <w:r w:rsidRPr="00C50619">
        <w:rPr>
          <w:rFonts w:cs="Arial"/>
          <w:sz w:val="24"/>
          <w:szCs w:val="24"/>
          <w:lang w:val="en-GB"/>
        </w:rPr>
        <w:lastRenderedPageBreak/>
        <w:t>5</w:t>
      </w:r>
      <w:r w:rsidR="009320A7" w:rsidRPr="00C50619">
        <w:rPr>
          <w:rFonts w:cs="Arial"/>
          <w:sz w:val="24"/>
          <w:szCs w:val="24"/>
          <w:lang w:val="en-GB"/>
        </w:rPr>
        <w:t>. Investment Appraisal and Capital Budgeting for BYD</w:t>
      </w:r>
      <w:bookmarkEnd w:id="18"/>
    </w:p>
    <w:p w14:paraId="4278E157" w14:textId="3D7C4B25" w:rsidR="00217B47" w:rsidRPr="00C50619" w:rsidRDefault="00C97DE5" w:rsidP="00513E41">
      <w:pPr>
        <w:pStyle w:val="Heading2"/>
        <w:spacing w:line="360" w:lineRule="auto"/>
        <w:rPr>
          <w:rFonts w:cs="Arial"/>
          <w:szCs w:val="24"/>
          <w:lang w:val="en-GB"/>
        </w:rPr>
      </w:pPr>
      <w:bookmarkStart w:id="19" w:name="_Toc227770628"/>
      <w:r w:rsidRPr="00C50619">
        <w:rPr>
          <w:rFonts w:cs="Arial"/>
          <w:szCs w:val="24"/>
          <w:lang w:val="en-GB"/>
        </w:rPr>
        <w:t>5</w:t>
      </w:r>
      <w:r w:rsidR="00217B47" w:rsidRPr="00C50619">
        <w:rPr>
          <w:rFonts w:cs="Arial"/>
          <w:szCs w:val="24"/>
          <w:lang w:val="en-GB"/>
        </w:rPr>
        <w:t>.1 Overview of Projects</w:t>
      </w:r>
      <w:bookmarkEnd w:id="19"/>
    </w:p>
    <w:p w14:paraId="7C3CB93F" w14:textId="5E0287EE" w:rsidR="00217B47" w:rsidRPr="00C50619" w:rsidRDefault="00217B47" w:rsidP="00513E41">
      <w:pPr>
        <w:spacing w:line="360" w:lineRule="auto"/>
        <w:jc w:val="both"/>
        <w:rPr>
          <w:rFonts w:ascii="Arial" w:hAnsi="Arial" w:cs="Arial"/>
          <w:lang w:val="en-GB"/>
        </w:rPr>
      </w:pPr>
      <w:r w:rsidRPr="00C50619">
        <w:rPr>
          <w:rFonts w:ascii="Arial" w:hAnsi="Arial" w:cs="Arial"/>
          <w:lang w:val="en-GB"/>
        </w:rPr>
        <w:t xml:space="preserve">Every </w:t>
      </w:r>
      <w:r w:rsidR="003A037A" w:rsidRPr="00C50619">
        <w:rPr>
          <w:rFonts w:ascii="Arial" w:hAnsi="Arial" w:cs="Arial"/>
          <w:lang w:val="en-GB"/>
        </w:rPr>
        <w:t xml:space="preserve">one </w:t>
      </w:r>
      <w:r w:rsidRPr="00C50619">
        <w:rPr>
          <w:rFonts w:ascii="Arial" w:hAnsi="Arial" w:cs="Arial"/>
          <w:lang w:val="en-GB"/>
        </w:rPr>
        <w:t xml:space="preserve">of the proposed projects includes the initial investment of 50 million pounds, though the cash flows in the course of the five years are different, which has a great </w:t>
      </w:r>
      <w:r w:rsidR="003A037A" w:rsidRPr="00C50619">
        <w:rPr>
          <w:rFonts w:ascii="Arial" w:hAnsi="Arial" w:cs="Arial"/>
          <w:lang w:val="en-GB"/>
        </w:rPr>
        <w:t>influence</w:t>
      </w:r>
      <w:r w:rsidRPr="00C50619">
        <w:rPr>
          <w:rFonts w:ascii="Arial" w:hAnsi="Arial" w:cs="Arial"/>
          <w:lang w:val="en-GB"/>
        </w:rPr>
        <w:t xml:space="preserve"> on their risk profile and financial performance.</w:t>
      </w:r>
    </w:p>
    <w:p w14:paraId="409BA44B" w14:textId="77777777" w:rsidR="00217B47" w:rsidRPr="00C50619" w:rsidRDefault="00217B47" w:rsidP="00513E41">
      <w:pPr>
        <w:spacing w:line="360" w:lineRule="auto"/>
        <w:jc w:val="both"/>
        <w:rPr>
          <w:rFonts w:ascii="Arial" w:hAnsi="Arial" w:cs="Arial"/>
          <w:lang w:val="en-GB"/>
        </w:rPr>
      </w:pPr>
      <w:r w:rsidRPr="00C50619">
        <w:rPr>
          <w:rFonts w:ascii="Arial" w:hAnsi="Arial" w:cs="Arial"/>
          <w:lang w:val="en-GB"/>
        </w:rPr>
        <w:t xml:space="preserve">Project A: Cash inflows: Year 1 = £10 million, Year 2 = £12 million, Year 3 = £14 million, Year 4 = £10 million, Year 5 = £8 million. </w:t>
      </w:r>
    </w:p>
    <w:p w14:paraId="2DFA9535" w14:textId="77777777" w:rsidR="00217B47" w:rsidRPr="00C50619" w:rsidRDefault="00217B47"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B: 5 years of cash inflows of £11 million/year. </w:t>
      </w:r>
    </w:p>
    <w:p w14:paraId="013AE26E" w14:textId="77777777" w:rsidR="00217B47" w:rsidRPr="00C50619" w:rsidRDefault="00217B47"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C: This project will generate cash inflows of 5 million pounds in Year 1, 10 million pounds in Year 2, 20 million pounds in Year 3, 25 million pounds in Year 4 and 5 million pounds in Year 5. </w:t>
      </w:r>
    </w:p>
    <w:p w14:paraId="58EDC221" w14:textId="433FC763" w:rsidR="00217B47" w:rsidRPr="00C50619" w:rsidRDefault="00217B47" w:rsidP="00513E41">
      <w:pPr>
        <w:spacing w:line="360" w:lineRule="auto"/>
        <w:jc w:val="both"/>
        <w:rPr>
          <w:rFonts w:ascii="Arial" w:hAnsi="Arial" w:cs="Arial"/>
          <w:lang w:val="en-GB"/>
        </w:rPr>
      </w:pPr>
      <w:r w:rsidRPr="00C50619">
        <w:rPr>
          <w:rFonts w:ascii="Arial" w:hAnsi="Arial" w:cs="Arial"/>
          <w:lang w:val="en-GB"/>
        </w:rPr>
        <w:t xml:space="preserve">The differences in risk of each project can be seen in the cash flow patterns. Project A would have moderate returns and a certain degree of volatility, Project B would </w:t>
      </w:r>
      <w:r w:rsidR="003A037A" w:rsidRPr="00C50619">
        <w:rPr>
          <w:rFonts w:ascii="Arial" w:hAnsi="Arial" w:cs="Arial"/>
          <w:lang w:val="en-GB"/>
        </w:rPr>
        <w:t>have</w:t>
      </w:r>
      <w:r w:rsidRPr="00C50619">
        <w:rPr>
          <w:rFonts w:ascii="Arial" w:hAnsi="Arial" w:cs="Arial"/>
          <w:lang w:val="en-GB"/>
        </w:rPr>
        <w:t xml:space="preserve"> low returns but constant and predictable returns, and Project C would </w:t>
      </w:r>
      <w:r w:rsidR="003A037A" w:rsidRPr="00C50619">
        <w:rPr>
          <w:rFonts w:ascii="Arial" w:hAnsi="Arial" w:cs="Arial"/>
          <w:lang w:val="en-GB"/>
        </w:rPr>
        <w:t>have</w:t>
      </w:r>
      <w:r w:rsidRPr="00C50619">
        <w:rPr>
          <w:rFonts w:ascii="Arial" w:hAnsi="Arial" w:cs="Arial"/>
          <w:lang w:val="en-GB"/>
        </w:rPr>
        <w:t xml:space="preserve"> low returns but high returns in later years. This difference requires a thorough analysis in order to find the most suitable investment decision to make in BYD.</w:t>
      </w:r>
    </w:p>
    <w:p w14:paraId="59729A07" w14:textId="37BB1578" w:rsidR="002219AD" w:rsidRPr="00C50619" w:rsidRDefault="002219AD" w:rsidP="00513E41">
      <w:pPr>
        <w:spacing w:line="360" w:lineRule="auto"/>
        <w:jc w:val="both"/>
        <w:rPr>
          <w:rFonts w:ascii="Arial" w:hAnsi="Arial" w:cs="Arial"/>
          <w:lang w:val="en-GB"/>
        </w:rPr>
      </w:pPr>
      <w:r w:rsidRPr="00C50619">
        <w:rPr>
          <w:rFonts w:ascii="Arial" w:hAnsi="Arial" w:cs="Arial"/>
          <w:b/>
          <w:bCs/>
          <w:lang w:val="en-GB"/>
        </w:rPr>
        <w:t xml:space="preserve">Calculations: </w:t>
      </w:r>
      <w:r w:rsidRPr="00C50619">
        <w:rPr>
          <w:rFonts w:ascii="Arial" w:hAnsi="Arial" w:cs="Arial"/>
          <w:lang w:val="en-GB"/>
        </w:rPr>
        <w:t xml:space="preserve"> </w:t>
      </w:r>
      <w:hyperlink w:anchor="_Appendix_3:_Investment" w:history="1">
        <w:r w:rsidRPr="00C50619">
          <w:rPr>
            <w:rStyle w:val="Hyperlink"/>
            <w:rFonts w:ascii="Arial" w:hAnsi="Arial" w:cs="Arial"/>
            <w:lang w:val="en-GB"/>
          </w:rPr>
          <w:t>Appendix 3: Investment appraisal workings</w:t>
        </w:r>
      </w:hyperlink>
    </w:p>
    <w:p w14:paraId="67276494" w14:textId="2B77E74B" w:rsidR="00217B47" w:rsidRPr="00C50619" w:rsidRDefault="00C97DE5" w:rsidP="00513E41">
      <w:pPr>
        <w:pStyle w:val="Heading2"/>
        <w:spacing w:line="360" w:lineRule="auto"/>
        <w:rPr>
          <w:rFonts w:cs="Arial"/>
          <w:szCs w:val="24"/>
          <w:lang w:val="en-GB"/>
        </w:rPr>
      </w:pPr>
      <w:bookmarkStart w:id="20" w:name="_Toc227770629"/>
      <w:r w:rsidRPr="00C50619">
        <w:rPr>
          <w:rFonts w:cs="Arial"/>
          <w:szCs w:val="24"/>
          <w:lang w:val="en-GB"/>
        </w:rPr>
        <w:t>5</w:t>
      </w:r>
      <w:r w:rsidR="00217B47" w:rsidRPr="00C50619">
        <w:rPr>
          <w:rFonts w:cs="Arial"/>
          <w:szCs w:val="24"/>
          <w:lang w:val="en-GB"/>
        </w:rPr>
        <w:t>.2 Payback Period (PBP)</w:t>
      </w:r>
      <w:bookmarkEnd w:id="20"/>
    </w:p>
    <w:p w14:paraId="285603B3" w14:textId="77777777" w:rsidR="00217B47" w:rsidRPr="00C50619" w:rsidRDefault="00217B47">
      <w:pPr>
        <w:pStyle w:val="ListParagraph"/>
        <w:numPr>
          <w:ilvl w:val="0"/>
          <w:numId w:val="1"/>
        </w:numPr>
        <w:spacing w:line="360" w:lineRule="auto"/>
        <w:jc w:val="both"/>
        <w:rPr>
          <w:rFonts w:ascii="Arial" w:hAnsi="Arial" w:cs="Arial"/>
          <w:lang w:val="en-GB"/>
        </w:rPr>
      </w:pPr>
      <w:r w:rsidRPr="00C50619">
        <w:rPr>
          <w:rFonts w:ascii="Arial" w:hAnsi="Arial" w:cs="Arial"/>
          <w:lang w:val="en-GB"/>
        </w:rPr>
        <w:t xml:space="preserve">Project A: Payback period of 4 and 6 months. </w:t>
      </w:r>
    </w:p>
    <w:p w14:paraId="3919A198" w14:textId="5702FAA2" w:rsidR="00217B47" w:rsidRPr="00C50619" w:rsidRDefault="00217B47">
      <w:pPr>
        <w:pStyle w:val="ListParagraph"/>
        <w:numPr>
          <w:ilvl w:val="0"/>
          <w:numId w:val="1"/>
        </w:numPr>
        <w:spacing w:line="360" w:lineRule="auto"/>
        <w:jc w:val="both"/>
        <w:rPr>
          <w:rFonts w:ascii="Arial" w:hAnsi="Arial" w:cs="Arial"/>
          <w:lang w:val="en-GB"/>
        </w:rPr>
      </w:pPr>
      <w:r w:rsidRPr="00C50619">
        <w:rPr>
          <w:rFonts w:ascii="Arial" w:hAnsi="Arial" w:cs="Arial"/>
          <w:lang w:val="en-GB"/>
        </w:rPr>
        <w:t xml:space="preserve">Project B: 4 years and 7 months payback period. </w:t>
      </w:r>
    </w:p>
    <w:p w14:paraId="275908A1" w14:textId="77777777" w:rsidR="00217B47" w:rsidRPr="00C50619" w:rsidRDefault="00217B47">
      <w:pPr>
        <w:pStyle w:val="ListParagraph"/>
        <w:numPr>
          <w:ilvl w:val="0"/>
          <w:numId w:val="1"/>
        </w:numPr>
        <w:spacing w:line="360" w:lineRule="auto"/>
        <w:jc w:val="both"/>
        <w:rPr>
          <w:rFonts w:ascii="Arial" w:hAnsi="Arial" w:cs="Arial"/>
          <w:lang w:val="en-GB"/>
        </w:rPr>
      </w:pPr>
      <w:r w:rsidRPr="00C50619">
        <w:rPr>
          <w:rFonts w:ascii="Arial" w:hAnsi="Arial" w:cs="Arial"/>
          <w:lang w:val="en-GB"/>
        </w:rPr>
        <w:t xml:space="preserve">C: Project C: Payback period 3 years and 7 months (Best). </w:t>
      </w:r>
    </w:p>
    <w:p w14:paraId="731A3960" w14:textId="032048A3" w:rsidR="00217B47" w:rsidRPr="00C50619" w:rsidRDefault="00217B47" w:rsidP="00513E41">
      <w:pPr>
        <w:spacing w:line="360" w:lineRule="auto"/>
        <w:jc w:val="both"/>
        <w:rPr>
          <w:rFonts w:ascii="Arial" w:hAnsi="Arial" w:cs="Arial"/>
          <w:lang w:val="en-GB"/>
        </w:rPr>
      </w:pPr>
      <w:r w:rsidRPr="00C50619">
        <w:rPr>
          <w:rFonts w:ascii="Arial" w:hAnsi="Arial" w:cs="Arial"/>
          <w:lang w:val="en-GB"/>
        </w:rPr>
        <w:t>Project C has the shortest payback, i.e. payback period is the time at which initial investment is recovered. This is an advantage to BYD since it is able to recover the capital sooner and this is vital in a fast-changing market as in electric vehicles</w:t>
      </w:r>
      <w:r w:rsidR="00513E41" w:rsidRPr="00C50619">
        <w:rPr>
          <w:rFonts w:ascii="Arial" w:hAnsi="Arial" w:cs="Arial"/>
          <w:lang w:val="en-GB"/>
        </w:rPr>
        <w:t xml:space="preserve"> (Zhou, 2025). </w:t>
      </w:r>
      <w:r w:rsidRPr="00C50619">
        <w:rPr>
          <w:rFonts w:ascii="Arial" w:hAnsi="Arial" w:cs="Arial"/>
          <w:lang w:val="en-GB"/>
        </w:rPr>
        <w:t>. The capital recovery time in Project C is also quicker which gives BYD the flexibility to respond to technological and consumer changes.</w:t>
      </w:r>
      <w:r w:rsidR="00513E41" w:rsidRPr="00C50619">
        <w:rPr>
          <w:rFonts w:ascii="Arial" w:hAnsi="Arial" w:cs="Arial"/>
          <w:lang w:val="en-GB"/>
        </w:rPr>
        <w:t xml:space="preserve"> However,</w:t>
      </w:r>
      <w:r w:rsidRPr="00C50619">
        <w:rPr>
          <w:rFonts w:ascii="Arial" w:hAnsi="Arial" w:cs="Arial"/>
          <w:lang w:val="en-GB"/>
        </w:rPr>
        <w:t xml:space="preserve"> </w:t>
      </w:r>
      <w:r w:rsidR="00513E41" w:rsidRPr="00C50619">
        <w:rPr>
          <w:rFonts w:ascii="Arial" w:hAnsi="Arial" w:cs="Arial"/>
          <w:lang w:val="en-GB"/>
        </w:rPr>
        <w:t>it</w:t>
      </w:r>
      <w:r w:rsidRPr="00C50619">
        <w:rPr>
          <w:rFonts w:ascii="Arial" w:hAnsi="Arial" w:cs="Arial"/>
          <w:lang w:val="en-GB"/>
        </w:rPr>
        <w:t xml:space="preserve"> is worth noting</w:t>
      </w:r>
      <w:r w:rsidR="00513E41" w:rsidRPr="00C50619">
        <w:rPr>
          <w:rFonts w:ascii="Arial" w:hAnsi="Arial" w:cs="Arial"/>
          <w:lang w:val="en-GB"/>
        </w:rPr>
        <w:t xml:space="preserve"> </w:t>
      </w:r>
      <w:r w:rsidRPr="00C50619">
        <w:rPr>
          <w:rFonts w:ascii="Arial" w:hAnsi="Arial" w:cs="Arial"/>
          <w:lang w:val="en-GB"/>
        </w:rPr>
        <w:t>that, though the payback period is helpful in the provision of information on liquidity</w:t>
      </w:r>
      <w:r w:rsidR="00513E41" w:rsidRPr="00C50619">
        <w:rPr>
          <w:rFonts w:ascii="Arial" w:hAnsi="Arial" w:cs="Arial"/>
          <w:lang w:val="en-GB"/>
        </w:rPr>
        <w:t>.</w:t>
      </w:r>
      <w:r w:rsidRPr="00C50619">
        <w:rPr>
          <w:rFonts w:ascii="Arial" w:hAnsi="Arial" w:cs="Arial"/>
          <w:lang w:val="en-GB"/>
        </w:rPr>
        <w:t xml:space="preserve"> it </w:t>
      </w:r>
      <w:r w:rsidRPr="00C50619">
        <w:rPr>
          <w:rFonts w:ascii="Arial" w:hAnsi="Arial" w:cs="Arial"/>
          <w:lang w:val="en-GB"/>
        </w:rPr>
        <w:lastRenderedPageBreak/>
        <w:t>does not take into consideration the time value of money and should not be relied upon solely as a decision-making tool.</w:t>
      </w:r>
    </w:p>
    <w:p w14:paraId="271156BF" w14:textId="05545E65" w:rsidR="00217B47" w:rsidRPr="00C50619" w:rsidRDefault="00C97DE5" w:rsidP="00513E41">
      <w:pPr>
        <w:pStyle w:val="Heading2"/>
        <w:spacing w:line="360" w:lineRule="auto"/>
        <w:rPr>
          <w:rFonts w:cs="Arial"/>
          <w:szCs w:val="24"/>
          <w:lang w:val="en-GB"/>
        </w:rPr>
      </w:pPr>
      <w:bookmarkStart w:id="21" w:name="_Toc227770630"/>
      <w:r w:rsidRPr="00C50619">
        <w:rPr>
          <w:rFonts w:cs="Arial"/>
          <w:szCs w:val="24"/>
          <w:lang w:val="en-GB"/>
        </w:rPr>
        <w:t>5</w:t>
      </w:r>
      <w:r w:rsidR="00217B47" w:rsidRPr="00C50619">
        <w:rPr>
          <w:rFonts w:cs="Arial"/>
          <w:szCs w:val="24"/>
          <w:lang w:val="en-GB"/>
        </w:rPr>
        <w:t>.3 Accounting Rate of Return (ARR)</w:t>
      </w:r>
      <w:bookmarkEnd w:id="21"/>
    </w:p>
    <w:p w14:paraId="72B5E8E2" w14:textId="77777777" w:rsidR="00217B47" w:rsidRPr="00C50619" w:rsidRDefault="00217B47">
      <w:pPr>
        <w:pStyle w:val="ListParagraph"/>
        <w:numPr>
          <w:ilvl w:val="0"/>
          <w:numId w:val="2"/>
        </w:numPr>
        <w:spacing w:line="360" w:lineRule="auto"/>
        <w:jc w:val="both"/>
        <w:rPr>
          <w:rFonts w:ascii="Arial" w:hAnsi="Arial" w:cs="Arial"/>
          <w:lang w:val="en-GB"/>
        </w:rPr>
      </w:pPr>
      <w:r w:rsidRPr="00C50619">
        <w:rPr>
          <w:rFonts w:ascii="Arial" w:hAnsi="Arial" w:cs="Arial"/>
          <w:lang w:val="en-GB"/>
        </w:rPr>
        <w:t xml:space="preserve">Project A: ARR of 3.2%. </w:t>
      </w:r>
    </w:p>
    <w:p w14:paraId="5487D72B" w14:textId="77777777" w:rsidR="00217B47" w:rsidRPr="00C50619" w:rsidRDefault="00217B47">
      <w:pPr>
        <w:pStyle w:val="ListParagraph"/>
        <w:numPr>
          <w:ilvl w:val="0"/>
          <w:numId w:val="2"/>
        </w:numPr>
        <w:spacing w:line="360" w:lineRule="auto"/>
        <w:jc w:val="both"/>
        <w:rPr>
          <w:rFonts w:ascii="Arial" w:hAnsi="Arial" w:cs="Arial"/>
          <w:lang w:val="en-GB"/>
        </w:rPr>
      </w:pPr>
      <w:r w:rsidRPr="00C50619">
        <w:rPr>
          <w:rFonts w:ascii="Arial" w:hAnsi="Arial" w:cs="Arial"/>
          <w:lang w:val="en-GB"/>
        </w:rPr>
        <w:t xml:space="preserve">Project B: ARR of 4.0%. </w:t>
      </w:r>
    </w:p>
    <w:p w14:paraId="21C6B0DC" w14:textId="77495D29" w:rsidR="00217B47" w:rsidRPr="00C50619" w:rsidRDefault="00217B47">
      <w:pPr>
        <w:pStyle w:val="ListParagraph"/>
        <w:numPr>
          <w:ilvl w:val="0"/>
          <w:numId w:val="2"/>
        </w:numPr>
        <w:spacing w:line="360" w:lineRule="auto"/>
        <w:jc w:val="both"/>
        <w:rPr>
          <w:rFonts w:ascii="Arial" w:hAnsi="Arial" w:cs="Arial"/>
          <w:lang w:val="en-GB"/>
        </w:rPr>
      </w:pPr>
      <w:r w:rsidRPr="00C50619">
        <w:rPr>
          <w:rFonts w:ascii="Arial" w:hAnsi="Arial" w:cs="Arial"/>
          <w:lang w:val="en-GB"/>
        </w:rPr>
        <w:t xml:space="preserve">Project C: ARR of 12.0% (Best). </w:t>
      </w:r>
    </w:p>
    <w:p w14:paraId="6F480A78" w14:textId="4A7DA1C4" w:rsidR="00217B47" w:rsidRPr="00C50619" w:rsidRDefault="00217B47" w:rsidP="00513E41">
      <w:pPr>
        <w:spacing w:line="360" w:lineRule="auto"/>
        <w:jc w:val="both"/>
        <w:rPr>
          <w:rFonts w:ascii="Arial" w:hAnsi="Arial" w:cs="Arial"/>
          <w:lang w:val="en-GB"/>
        </w:rPr>
      </w:pPr>
      <w:r w:rsidRPr="00C50619">
        <w:rPr>
          <w:rFonts w:ascii="Arial" w:hAnsi="Arial" w:cs="Arial"/>
          <w:lang w:val="en-GB"/>
        </w:rPr>
        <w:t>Project C has the highest ARR which implies that it has the best payoff based on the average investment as compared to the other two projects. This is in line with the long-term profitability maximization goal of BYD. It is worth pointing out however that ARR does not take into account the timing of cash flows and this is vital in determining projects with returns over a period of years. Although Project C has a better ARR, it is prudent to consider it alongside other measures that consider cash flow timing and profitability.</w:t>
      </w:r>
    </w:p>
    <w:p w14:paraId="2CC98867" w14:textId="2E252B7D" w:rsidR="00B00C3B" w:rsidRPr="00C50619" w:rsidRDefault="00C97DE5" w:rsidP="00513E41">
      <w:pPr>
        <w:pStyle w:val="Heading2"/>
        <w:spacing w:line="360" w:lineRule="auto"/>
        <w:rPr>
          <w:rFonts w:cs="Arial"/>
          <w:szCs w:val="24"/>
          <w:lang w:val="en-GB"/>
        </w:rPr>
      </w:pPr>
      <w:bookmarkStart w:id="22" w:name="_Toc227770631"/>
      <w:r w:rsidRPr="00C50619">
        <w:rPr>
          <w:rFonts w:cs="Arial"/>
          <w:szCs w:val="24"/>
          <w:lang w:val="en-GB"/>
        </w:rPr>
        <w:t>5</w:t>
      </w:r>
      <w:r w:rsidR="00217B47" w:rsidRPr="00C50619">
        <w:rPr>
          <w:rFonts w:cs="Arial"/>
          <w:szCs w:val="24"/>
          <w:lang w:val="en-GB"/>
        </w:rPr>
        <w:t>.4 Net Present Value (NPV)</w:t>
      </w:r>
      <w:bookmarkEnd w:id="22"/>
    </w:p>
    <w:p w14:paraId="2238A227" w14:textId="7234D309"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A: NPV of </w:t>
      </w:r>
      <w:r w:rsidRPr="00C50619">
        <w:rPr>
          <w:rFonts w:ascii="Arial" w:eastAsia="Times New Roman" w:hAnsi="Arial" w:cs="Arial"/>
          <w:kern w:val="0"/>
          <w:lang w:val="en-GB"/>
          <w14:ligatures w14:val="none"/>
        </w:rPr>
        <w:t>-£8,675,823</w:t>
      </w:r>
      <w:r w:rsidRPr="00C50619">
        <w:rPr>
          <w:rFonts w:ascii="Arial" w:hAnsi="Arial" w:cs="Arial"/>
          <w:lang w:val="en-GB"/>
        </w:rPr>
        <w:t xml:space="preserve">. </w:t>
      </w:r>
    </w:p>
    <w:p w14:paraId="71B176BA" w14:textId="55F4B2E1"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B: NPV of </w:t>
      </w:r>
      <w:r w:rsidRPr="00C50619">
        <w:rPr>
          <w:rFonts w:ascii="Arial" w:eastAsia="Times New Roman" w:hAnsi="Arial" w:cs="Arial"/>
          <w:kern w:val="0"/>
          <w:lang w:val="en-GB"/>
          <w14:ligatures w14:val="none"/>
        </w:rPr>
        <w:t>-£8,301,346</w:t>
      </w:r>
    </w:p>
    <w:p w14:paraId="40249F21" w14:textId="39B6402F" w:rsidR="00B00C3B" w:rsidRPr="00C50619" w:rsidRDefault="00B00C3B" w:rsidP="00513E41">
      <w:pPr>
        <w:spacing w:after="0" w:line="360" w:lineRule="auto"/>
        <w:jc w:val="both"/>
        <w:rPr>
          <w:rFonts w:ascii="Arial" w:eastAsia="Times New Roman" w:hAnsi="Arial" w:cs="Arial"/>
          <w:kern w:val="0"/>
          <w:lang w:val="en-GB"/>
          <w14:ligatures w14:val="none"/>
        </w:rPr>
      </w:pPr>
      <w:r w:rsidRPr="00C50619">
        <w:rPr>
          <w:rFonts w:ascii="Arial" w:hAnsi="Arial" w:cs="Arial"/>
          <w:lang w:val="en-GB"/>
        </w:rPr>
        <w:t>•</w:t>
      </w:r>
      <w:r w:rsidRPr="00C50619">
        <w:rPr>
          <w:rFonts w:ascii="Arial" w:hAnsi="Arial" w:cs="Arial"/>
          <w:lang w:val="en-GB"/>
        </w:rPr>
        <w:tab/>
        <w:t xml:space="preserve">Project C: NPV of </w:t>
      </w:r>
      <w:r w:rsidRPr="00C50619">
        <w:rPr>
          <w:rFonts w:ascii="Arial" w:eastAsia="Times New Roman" w:hAnsi="Arial" w:cs="Arial"/>
          <w:kern w:val="0"/>
          <w:lang w:val="en-GB"/>
          <w14:ligatures w14:val="none"/>
        </w:rPr>
        <w:t>-£1,983,844 Best</w:t>
      </w:r>
    </w:p>
    <w:p w14:paraId="55D51EA8" w14:textId="77777777" w:rsidR="00B00C3B" w:rsidRPr="00C50619" w:rsidRDefault="00B00C3B" w:rsidP="00513E41">
      <w:pPr>
        <w:spacing w:after="0" w:line="360" w:lineRule="auto"/>
        <w:jc w:val="both"/>
        <w:rPr>
          <w:rFonts w:ascii="Arial" w:eastAsia="Times New Roman" w:hAnsi="Arial" w:cs="Arial"/>
          <w:kern w:val="0"/>
          <w:lang w:val="en-GB"/>
          <w14:ligatures w14:val="none"/>
        </w:rPr>
      </w:pPr>
    </w:p>
    <w:p w14:paraId="3FEF4493" w14:textId="1C1619B9" w:rsidR="00B00C3B" w:rsidRPr="00C50619" w:rsidRDefault="00B00C3B" w:rsidP="00513E41">
      <w:pPr>
        <w:spacing w:line="360" w:lineRule="auto"/>
        <w:jc w:val="both"/>
        <w:rPr>
          <w:rFonts w:ascii="Arial" w:hAnsi="Arial" w:cs="Arial"/>
          <w:lang w:val="en-GB"/>
        </w:rPr>
      </w:pPr>
      <w:r w:rsidRPr="00C50619">
        <w:rPr>
          <w:rFonts w:ascii="Arial" w:hAnsi="Arial" w:cs="Arial"/>
          <w:lang w:val="en-GB"/>
        </w:rPr>
        <w:t>Analysis: The three projects are negative at the 10% discount rate, but Project C has the small negative NPV which makes it the best choice. Although it does not result in a positive NPV, the break-even position of Project C implies that it will impose the minimal negative financial effects on BYD. NPV is a crucial measure since it indicates the real value that a project will bring to the company</w:t>
      </w:r>
      <w:r w:rsidR="00513E41" w:rsidRPr="00C50619">
        <w:rPr>
          <w:rFonts w:ascii="Arial" w:hAnsi="Arial" w:cs="Arial"/>
          <w:lang w:val="en-GB"/>
        </w:rPr>
        <w:t xml:space="preserve"> (Zhuo, 2024)</w:t>
      </w:r>
      <w:r w:rsidRPr="00C50619">
        <w:rPr>
          <w:rFonts w:ascii="Arial" w:hAnsi="Arial" w:cs="Arial"/>
          <w:lang w:val="en-GB"/>
        </w:rPr>
        <w:t>. Although the profitability level of Project C is not optimal, the fact that it breaks the even point qualifies it as the most viable project in this case, given the time value of money.</w:t>
      </w:r>
    </w:p>
    <w:p w14:paraId="48F07E67" w14:textId="6331743C" w:rsidR="00217B47" w:rsidRPr="00C50619" w:rsidRDefault="00C97DE5" w:rsidP="00513E41">
      <w:pPr>
        <w:pStyle w:val="Heading2"/>
        <w:spacing w:line="360" w:lineRule="auto"/>
        <w:rPr>
          <w:rFonts w:cs="Arial"/>
          <w:szCs w:val="24"/>
          <w:lang w:val="en-GB"/>
        </w:rPr>
      </w:pPr>
      <w:bookmarkStart w:id="23" w:name="_Toc227770632"/>
      <w:r w:rsidRPr="00C50619">
        <w:rPr>
          <w:rFonts w:cs="Arial"/>
          <w:szCs w:val="24"/>
          <w:lang w:val="en-GB"/>
        </w:rPr>
        <w:lastRenderedPageBreak/>
        <w:t>5</w:t>
      </w:r>
      <w:r w:rsidR="00217B47" w:rsidRPr="00C50619">
        <w:rPr>
          <w:rFonts w:cs="Arial"/>
          <w:szCs w:val="24"/>
          <w:lang w:val="en-GB"/>
        </w:rPr>
        <w:t>.5 Internal Rate of Return (IRR)</w:t>
      </w:r>
      <w:bookmarkEnd w:id="23"/>
    </w:p>
    <w:p w14:paraId="326BC972"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The discount rate that causes the NPV of a project to be equal to zero is called the Internal Rate of Return (IRR). An increased IRR means that it is more likely to be profitable.</w:t>
      </w:r>
    </w:p>
    <w:p w14:paraId="6C1BEB56"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A: IRR of 2.7%. </w:t>
      </w:r>
    </w:p>
    <w:p w14:paraId="062022AE"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B: IRR of 3.3%. </w:t>
      </w:r>
    </w:p>
    <w:p w14:paraId="19DF17FF"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C: IRR of 8.6% (Best). </w:t>
      </w:r>
    </w:p>
    <w:p w14:paraId="14FA5152" w14:textId="1EA8609D" w:rsidR="00B00C3B" w:rsidRPr="00C50619" w:rsidRDefault="00B00C3B" w:rsidP="00513E41">
      <w:pPr>
        <w:spacing w:line="360" w:lineRule="auto"/>
        <w:jc w:val="both"/>
        <w:rPr>
          <w:rFonts w:ascii="Arial" w:hAnsi="Arial" w:cs="Arial"/>
          <w:lang w:val="en-GB"/>
        </w:rPr>
      </w:pPr>
      <w:r w:rsidRPr="00C50619">
        <w:rPr>
          <w:rFonts w:ascii="Arial" w:hAnsi="Arial" w:cs="Arial"/>
          <w:lang w:val="en-GB"/>
        </w:rPr>
        <w:t>Analysis: Project C offers the most lucrative IRR, which means that it would yield the best return on investment. Even though all of the projects have IRRs that are less than the 10% required rate, Project C is the best in terms of its long-run profitability. This renders Project C the best choice in the long-term profitability, although it falls short of the ideal requirement of 10% IRR.</w:t>
      </w:r>
    </w:p>
    <w:p w14:paraId="633024CC" w14:textId="242B0336" w:rsidR="00217B47" w:rsidRPr="00C50619" w:rsidRDefault="00C97DE5" w:rsidP="00513E41">
      <w:pPr>
        <w:pStyle w:val="Heading2"/>
        <w:spacing w:line="360" w:lineRule="auto"/>
        <w:rPr>
          <w:rFonts w:cs="Arial"/>
          <w:szCs w:val="24"/>
          <w:lang w:val="en-GB"/>
        </w:rPr>
      </w:pPr>
      <w:bookmarkStart w:id="24" w:name="_Toc227770633"/>
      <w:r w:rsidRPr="00C50619">
        <w:rPr>
          <w:rFonts w:cs="Arial"/>
          <w:szCs w:val="24"/>
          <w:lang w:val="en-GB"/>
        </w:rPr>
        <w:t>5</w:t>
      </w:r>
      <w:r w:rsidR="00217B47" w:rsidRPr="00C50619">
        <w:rPr>
          <w:rFonts w:cs="Arial"/>
          <w:szCs w:val="24"/>
          <w:lang w:val="en-GB"/>
        </w:rPr>
        <w:t>.6 Profitability Index (PI)</w:t>
      </w:r>
      <w:bookmarkEnd w:id="24"/>
    </w:p>
    <w:p w14:paraId="252D9C4F"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The Profitability Index (PI) is a ratio of the present value of the future cash inflows to the initial investment. PI above 1 means that a project is likely to be value adding. PI lower than 1 indicates that the project will not break even with its initial investment.</w:t>
      </w:r>
    </w:p>
    <w:p w14:paraId="61D25B6A"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A: PI of 0.83x. </w:t>
      </w:r>
    </w:p>
    <w:p w14:paraId="5E09CDBE"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B: PI of 0.83x. </w:t>
      </w:r>
    </w:p>
    <w:p w14:paraId="3926E2DE"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C: PI of 0.96x (Best). </w:t>
      </w:r>
    </w:p>
    <w:p w14:paraId="5B8E0784" w14:textId="23DA2742" w:rsidR="00B00C3B" w:rsidRPr="00C50619" w:rsidRDefault="00B00C3B" w:rsidP="00513E41">
      <w:pPr>
        <w:spacing w:line="360" w:lineRule="auto"/>
        <w:jc w:val="both"/>
        <w:rPr>
          <w:rFonts w:ascii="Arial" w:hAnsi="Arial" w:cs="Arial"/>
          <w:lang w:val="en-GB"/>
        </w:rPr>
      </w:pPr>
      <w:r w:rsidRPr="00C50619">
        <w:rPr>
          <w:rFonts w:ascii="Arial" w:hAnsi="Arial" w:cs="Arial"/>
          <w:lang w:val="en-GB"/>
        </w:rPr>
        <w:t>Analysis: PI in all three projects is less than 1, which means that none of the projects will have sufficient cash flows to cover the initial investment. The PI of Project C is however, the greatest and thus it offers the greatest potential to produce future value out of the initial investment. Although none of the projects hits the breakeven of 1.0, Project C has the best probability of achieving long-term growth and profitability.</w:t>
      </w:r>
    </w:p>
    <w:p w14:paraId="43E8A486" w14:textId="6ED5E0B2" w:rsidR="00217B47" w:rsidRPr="00C50619" w:rsidRDefault="00C97DE5" w:rsidP="00513E41">
      <w:pPr>
        <w:pStyle w:val="Heading2"/>
        <w:spacing w:line="360" w:lineRule="auto"/>
        <w:rPr>
          <w:rFonts w:cs="Arial"/>
          <w:szCs w:val="24"/>
          <w:lang w:val="en-GB"/>
        </w:rPr>
      </w:pPr>
      <w:bookmarkStart w:id="25" w:name="_Toc227770634"/>
      <w:r w:rsidRPr="00C50619">
        <w:rPr>
          <w:rFonts w:cs="Arial"/>
          <w:szCs w:val="24"/>
          <w:lang w:val="en-GB"/>
        </w:rPr>
        <w:t>5</w:t>
      </w:r>
      <w:r w:rsidR="00217B47" w:rsidRPr="00C50619">
        <w:rPr>
          <w:rFonts w:cs="Arial"/>
          <w:szCs w:val="24"/>
          <w:lang w:val="en-GB"/>
        </w:rPr>
        <w:t>.7 Comparative Evaluation</w:t>
      </w:r>
      <w:bookmarkEnd w:id="25"/>
    </w:p>
    <w:p w14:paraId="1860E4F5"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 xml:space="preserve">Project C is the most desirable investment alternative according to all the important financial indicators. It is the one with the shortest payback period, the greatest IRR, the </w:t>
      </w:r>
      <w:r w:rsidRPr="00C50619">
        <w:rPr>
          <w:rFonts w:ascii="Arial" w:hAnsi="Arial" w:cs="Arial"/>
          <w:lang w:val="en-GB"/>
        </w:rPr>
        <w:lastRenderedPageBreak/>
        <w:t>least negative NPV and the greatest future growth potential. Even though all the projects have a negative NPV, Project C has the least harmful financial effect, and the appropriate mix of risk and reward. Project A and Project B with their greater negative NPVs are not as appealing in value creation.</w:t>
      </w:r>
    </w:p>
    <w:p w14:paraId="1ADF0D2B" w14:textId="583C467F" w:rsidR="00B00C3B" w:rsidRPr="00C50619" w:rsidRDefault="00B00C3B" w:rsidP="00513E41">
      <w:pPr>
        <w:spacing w:line="360" w:lineRule="auto"/>
        <w:jc w:val="both"/>
        <w:rPr>
          <w:rFonts w:ascii="Arial" w:hAnsi="Arial" w:cs="Arial"/>
          <w:lang w:val="en-GB"/>
        </w:rPr>
      </w:pPr>
      <w:r w:rsidRPr="00C50619">
        <w:rPr>
          <w:rFonts w:ascii="Arial" w:hAnsi="Arial" w:cs="Arial"/>
          <w:lang w:val="en-GB"/>
        </w:rPr>
        <w:t>Project C also fits in the long-term strategy of BYD to expand market share in the EV industry. It is the most feasible one to the company because of the negative NPV due to the higher payback and better returns in the long run.</w:t>
      </w:r>
    </w:p>
    <w:p w14:paraId="548CECB0" w14:textId="64A0DE1B" w:rsidR="00217B47" w:rsidRPr="00C50619" w:rsidRDefault="00C97DE5" w:rsidP="00513E41">
      <w:pPr>
        <w:pStyle w:val="Heading2"/>
        <w:spacing w:line="360" w:lineRule="auto"/>
        <w:rPr>
          <w:rFonts w:cs="Arial"/>
          <w:szCs w:val="24"/>
          <w:lang w:val="en-GB"/>
        </w:rPr>
      </w:pPr>
      <w:bookmarkStart w:id="26" w:name="_Toc227770635"/>
      <w:r w:rsidRPr="00C50619">
        <w:rPr>
          <w:rFonts w:cs="Arial"/>
          <w:szCs w:val="24"/>
          <w:lang w:val="en-GB"/>
        </w:rPr>
        <w:t>5</w:t>
      </w:r>
      <w:r w:rsidR="00217B47" w:rsidRPr="00C50619">
        <w:rPr>
          <w:rFonts w:cs="Arial"/>
          <w:szCs w:val="24"/>
          <w:lang w:val="en-GB"/>
        </w:rPr>
        <w:t>.8 Link to BYD’s Financial Performance</w:t>
      </w:r>
      <w:bookmarkEnd w:id="26"/>
    </w:p>
    <w:p w14:paraId="3375ACC0" w14:textId="2EF7C06F" w:rsidR="00B00C3B" w:rsidRPr="00C50619" w:rsidRDefault="00B00C3B" w:rsidP="00513E41">
      <w:pPr>
        <w:spacing w:line="360" w:lineRule="auto"/>
        <w:jc w:val="both"/>
        <w:rPr>
          <w:rFonts w:ascii="Arial" w:hAnsi="Arial" w:cs="Arial"/>
          <w:lang w:val="en-GB"/>
        </w:rPr>
      </w:pPr>
      <w:r w:rsidRPr="00C50619">
        <w:rPr>
          <w:rFonts w:ascii="Arial" w:hAnsi="Arial" w:cs="Arial"/>
          <w:lang w:val="en-GB"/>
        </w:rPr>
        <w:t>The financial status of BYD, characterized by liquidity issues and escalating debt, indicates that the company ought to focus on those projects that have quicker returns and are more profitable. Project C fits these requirements as it offers relatively rapid payback on the initial investment and good returns in the long run. Project C is the most appropriate in terms of risk-return balance as it enables BYD to maximize value whilst ensuring liquidity, considering the current financial conditions</w:t>
      </w:r>
      <w:r w:rsidR="00513E41" w:rsidRPr="00C50619">
        <w:rPr>
          <w:rFonts w:ascii="Arial" w:hAnsi="Arial" w:cs="Arial"/>
          <w:lang w:val="en-GB"/>
        </w:rPr>
        <w:t xml:space="preserve"> (Wang and Wang, 2025)</w:t>
      </w:r>
      <w:r w:rsidRPr="00C50619">
        <w:rPr>
          <w:rFonts w:ascii="Arial" w:hAnsi="Arial" w:cs="Arial"/>
          <w:lang w:val="en-GB"/>
        </w:rPr>
        <w:t>.</w:t>
      </w:r>
    </w:p>
    <w:p w14:paraId="4A6E743A" w14:textId="696D6785" w:rsidR="00217B47" w:rsidRPr="00C50619" w:rsidRDefault="00C97DE5" w:rsidP="00513E41">
      <w:pPr>
        <w:pStyle w:val="Heading2"/>
        <w:spacing w:line="360" w:lineRule="auto"/>
        <w:rPr>
          <w:rFonts w:cs="Arial"/>
          <w:szCs w:val="24"/>
          <w:lang w:val="en-GB"/>
        </w:rPr>
      </w:pPr>
      <w:bookmarkStart w:id="27" w:name="_Toc227770636"/>
      <w:r w:rsidRPr="00C50619">
        <w:rPr>
          <w:rFonts w:cs="Arial"/>
          <w:szCs w:val="24"/>
          <w:lang w:val="en-GB"/>
        </w:rPr>
        <w:t>5</w:t>
      </w:r>
      <w:r w:rsidR="00217B47" w:rsidRPr="00C50619">
        <w:rPr>
          <w:rFonts w:cs="Arial"/>
          <w:szCs w:val="24"/>
          <w:lang w:val="en-GB"/>
        </w:rPr>
        <w:t>.9 Non-Financial Considerations</w:t>
      </w:r>
      <w:bookmarkEnd w:id="27"/>
    </w:p>
    <w:p w14:paraId="6198E2DE"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Besides financial measures, there are non-financial factors that need to be taken into account when assessing these projects:</w:t>
      </w:r>
    </w:p>
    <w:p w14:paraId="2CC633F8" w14:textId="77777777" w:rsidR="00B00C3B" w:rsidRPr="00C50619" w:rsidRDefault="00B00C3B">
      <w:pPr>
        <w:pStyle w:val="ListParagraph"/>
        <w:numPr>
          <w:ilvl w:val="0"/>
          <w:numId w:val="3"/>
        </w:numPr>
        <w:spacing w:line="360" w:lineRule="auto"/>
        <w:jc w:val="both"/>
        <w:rPr>
          <w:rFonts w:ascii="Arial" w:hAnsi="Arial" w:cs="Arial"/>
          <w:lang w:val="en-GB"/>
        </w:rPr>
      </w:pPr>
      <w:r w:rsidRPr="00C50619">
        <w:rPr>
          <w:rFonts w:ascii="Arial" w:hAnsi="Arial" w:cs="Arial"/>
          <w:lang w:val="en-GB"/>
        </w:rPr>
        <w:t xml:space="preserve">Political Risk: Project C will be less susceptible to policy changes, as it has a shorter payback period, thus less vulnerability to political and regulatory risks. </w:t>
      </w:r>
    </w:p>
    <w:p w14:paraId="725D17E3" w14:textId="2CDFCAD1" w:rsidR="00B00C3B" w:rsidRPr="00C50619" w:rsidRDefault="00B00C3B">
      <w:pPr>
        <w:pStyle w:val="ListParagraph"/>
        <w:numPr>
          <w:ilvl w:val="0"/>
          <w:numId w:val="3"/>
        </w:numPr>
        <w:spacing w:line="360" w:lineRule="auto"/>
        <w:jc w:val="both"/>
        <w:rPr>
          <w:rFonts w:ascii="Arial" w:hAnsi="Arial" w:cs="Arial"/>
          <w:lang w:val="en-GB"/>
        </w:rPr>
      </w:pPr>
      <w:r w:rsidRPr="00C50619">
        <w:rPr>
          <w:rFonts w:ascii="Arial" w:hAnsi="Arial" w:cs="Arial"/>
          <w:lang w:val="en-GB"/>
        </w:rPr>
        <w:t>Market Risk: Project C has the highest returns in the long term, but it has a risk of uncertainty in demand. This risk can however be countered by its increased profitability</w:t>
      </w:r>
      <w:r w:rsidR="00513E41" w:rsidRPr="00C50619">
        <w:rPr>
          <w:rFonts w:ascii="Arial" w:hAnsi="Arial" w:cs="Arial"/>
          <w:lang w:val="en-GB"/>
        </w:rPr>
        <w:t xml:space="preserve"> (Zhuo, 2024)</w:t>
      </w:r>
      <w:r w:rsidRPr="00C50619">
        <w:rPr>
          <w:rFonts w:ascii="Arial" w:hAnsi="Arial" w:cs="Arial"/>
          <w:lang w:val="en-GB"/>
        </w:rPr>
        <w:t xml:space="preserve">. </w:t>
      </w:r>
    </w:p>
    <w:p w14:paraId="69A47BB2" w14:textId="77777777" w:rsidR="00B00C3B" w:rsidRPr="00C50619" w:rsidRDefault="00B00C3B">
      <w:pPr>
        <w:pStyle w:val="ListParagraph"/>
        <w:numPr>
          <w:ilvl w:val="0"/>
          <w:numId w:val="3"/>
        </w:numPr>
        <w:spacing w:line="360" w:lineRule="auto"/>
        <w:jc w:val="both"/>
        <w:rPr>
          <w:rFonts w:ascii="Arial" w:hAnsi="Arial" w:cs="Arial"/>
          <w:lang w:val="en-GB"/>
        </w:rPr>
      </w:pPr>
      <w:r w:rsidRPr="00C50619">
        <w:rPr>
          <w:rFonts w:ascii="Arial" w:hAnsi="Arial" w:cs="Arial"/>
          <w:lang w:val="en-GB"/>
        </w:rPr>
        <w:t xml:space="preserve">Technological Risk: The project C will be more flexible to technological change since the growing cash flows will enable BYD to invest in innovation. </w:t>
      </w:r>
    </w:p>
    <w:p w14:paraId="117D0B4D" w14:textId="35BE8942" w:rsidR="00B00C3B" w:rsidRPr="00C50619" w:rsidRDefault="00B00C3B">
      <w:pPr>
        <w:pStyle w:val="ListParagraph"/>
        <w:numPr>
          <w:ilvl w:val="0"/>
          <w:numId w:val="3"/>
        </w:numPr>
        <w:spacing w:line="360" w:lineRule="auto"/>
        <w:jc w:val="both"/>
        <w:rPr>
          <w:rFonts w:ascii="Arial" w:hAnsi="Arial" w:cs="Arial"/>
          <w:lang w:val="en-GB"/>
        </w:rPr>
      </w:pPr>
      <w:r w:rsidRPr="00C50619">
        <w:rPr>
          <w:rFonts w:ascii="Arial" w:hAnsi="Arial" w:cs="Arial"/>
          <w:lang w:val="en-GB"/>
        </w:rPr>
        <w:t xml:space="preserve">Sustainability: Project C is in line with the sustainability strategies of BYD, which contributes to its long-term development plans and brand value improvement. This compliments with the sustainability efforts, and would rank Project C as the most appealing in non-financial terms. </w:t>
      </w:r>
    </w:p>
    <w:p w14:paraId="78030ACD" w14:textId="396E2DC3" w:rsidR="00217B47" w:rsidRPr="00C50619" w:rsidRDefault="00C97DE5" w:rsidP="00513E41">
      <w:pPr>
        <w:pStyle w:val="Heading2"/>
        <w:spacing w:line="360" w:lineRule="auto"/>
        <w:rPr>
          <w:rFonts w:cs="Arial"/>
          <w:szCs w:val="24"/>
          <w:lang w:val="en-GB"/>
        </w:rPr>
      </w:pPr>
      <w:bookmarkStart w:id="28" w:name="_Toc227770637"/>
      <w:r w:rsidRPr="00C50619">
        <w:rPr>
          <w:rFonts w:cs="Arial"/>
          <w:szCs w:val="24"/>
          <w:lang w:val="en-GB"/>
        </w:rPr>
        <w:lastRenderedPageBreak/>
        <w:t>5</w:t>
      </w:r>
      <w:r w:rsidR="00217B47" w:rsidRPr="00C50619">
        <w:rPr>
          <w:rFonts w:cs="Arial"/>
          <w:szCs w:val="24"/>
          <w:lang w:val="en-GB"/>
        </w:rPr>
        <w:t>.10 Capital Rationing Decision</w:t>
      </w:r>
      <w:bookmarkEnd w:id="28"/>
    </w:p>
    <w:p w14:paraId="06446C7C"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BYD has a limited investment capacity of a £100 million, which means it can only invest in two projects. According to the analysis, the optimal choice of projects would be:</w:t>
      </w:r>
    </w:p>
    <w:p w14:paraId="0A0287E6" w14:textId="609120E9" w:rsidR="00B00C3B" w:rsidRPr="00C50619" w:rsidRDefault="00B00C3B">
      <w:pPr>
        <w:pStyle w:val="ListParagraph"/>
        <w:numPr>
          <w:ilvl w:val="0"/>
          <w:numId w:val="4"/>
        </w:numPr>
        <w:spacing w:line="360" w:lineRule="auto"/>
        <w:jc w:val="both"/>
        <w:rPr>
          <w:rFonts w:ascii="Arial" w:hAnsi="Arial" w:cs="Arial"/>
          <w:lang w:val="en-GB"/>
        </w:rPr>
      </w:pPr>
      <w:r w:rsidRPr="00C50619">
        <w:rPr>
          <w:rFonts w:ascii="Arial" w:hAnsi="Arial" w:cs="Arial"/>
          <w:lang w:val="en-GB"/>
        </w:rPr>
        <w:t xml:space="preserve">The most optimal project since it has the highest payback and quickest payback period is C. </w:t>
      </w:r>
    </w:p>
    <w:p w14:paraId="1E243489" w14:textId="498472AB" w:rsidR="00B00C3B" w:rsidRPr="00C50619" w:rsidRDefault="00B00C3B">
      <w:pPr>
        <w:pStyle w:val="ListParagraph"/>
        <w:numPr>
          <w:ilvl w:val="0"/>
          <w:numId w:val="4"/>
        </w:numPr>
        <w:spacing w:line="360" w:lineRule="auto"/>
        <w:jc w:val="both"/>
        <w:rPr>
          <w:rFonts w:ascii="Arial" w:hAnsi="Arial" w:cs="Arial"/>
          <w:lang w:val="en-GB"/>
        </w:rPr>
      </w:pPr>
      <w:r w:rsidRPr="00C50619">
        <w:rPr>
          <w:rFonts w:ascii="Arial" w:hAnsi="Arial" w:cs="Arial"/>
          <w:lang w:val="en-GB"/>
        </w:rPr>
        <w:t xml:space="preserve">Project B is more stable and predictable, providing a way to diversify the cash flow of BYD. </w:t>
      </w:r>
    </w:p>
    <w:p w14:paraId="6E00252A"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Projects C and B are the best mix of projects that can fit in the budget of £100 million and achieve a balance between growth and stability.</w:t>
      </w:r>
    </w:p>
    <w:p w14:paraId="169E9B58" w14:textId="3AAD5A2F" w:rsidR="00B00C3B" w:rsidRPr="00C50619" w:rsidRDefault="00C97DE5" w:rsidP="00513E41">
      <w:pPr>
        <w:pStyle w:val="Heading2"/>
        <w:spacing w:line="360" w:lineRule="auto"/>
        <w:rPr>
          <w:rFonts w:cs="Arial"/>
          <w:szCs w:val="24"/>
          <w:lang w:val="en-GB"/>
        </w:rPr>
      </w:pPr>
      <w:bookmarkStart w:id="29" w:name="_Toc227770638"/>
      <w:r w:rsidRPr="00C50619">
        <w:rPr>
          <w:rFonts w:cs="Arial"/>
          <w:szCs w:val="24"/>
          <w:lang w:val="en-GB"/>
        </w:rPr>
        <w:t>5</w:t>
      </w:r>
      <w:r w:rsidR="00B00C3B" w:rsidRPr="00C50619">
        <w:rPr>
          <w:rFonts w:cs="Arial"/>
          <w:szCs w:val="24"/>
          <w:lang w:val="en-GB"/>
        </w:rPr>
        <w:t>.11 Final Recommendation</w:t>
      </w:r>
      <w:bookmarkEnd w:id="29"/>
    </w:p>
    <w:p w14:paraId="1751168E" w14:textId="67D76726" w:rsidR="00217B47" w:rsidRPr="00C50619" w:rsidRDefault="00B00C3B" w:rsidP="00513E41">
      <w:pPr>
        <w:spacing w:line="360" w:lineRule="auto"/>
        <w:jc w:val="both"/>
        <w:rPr>
          <w:rFonts w:ascii="Arial" w:hAnsi="Arial" w:cs="Arial"/>
          <w:lang w:val="en-GB"/>
        </w:rPr>
      </w:pPr>
      <w:r w:rsidRPr="00C50619">
        <w:rPr>
          <w:rFonts w:ascii="Arial" w:hAnsi="Arial" w:cs="Arial"/>
          <w:lang w:val="en-GB"/>
        </w:rPr>
        <w:t xml:space="preserve">Project C is the most appropriate investment to BYD after careful consideration based on its financial performance such as the most </w:t>
      </w:r>
      <w:proofErr w:type="spellStart"/>
      <w:r w:rsidRPr="00C50619">
        <w:rPr>
          <w:rFonts w:ascii="Arial" w:hAnsi="Arial" w:cs="Arial"/>
          <w:lang w:val="en-GB"/>
        </w:rPr>
        <w:t>favorable</w:t>
      </w:r>
      <w:proofErr w:type="spellEnd"/>
      <w:r w:rsidRPr="00C50619">
        <w:rPr>
          <w:rFonts w:ascii="Arial" w:hAnsi="Arial" w:cs="Arial"/>
          <w:lang w:val="en-GB"/>
        </w:rPr>
        <w:t xml:space="preserve"> payback period, IRR and long-term profitability. The most suitable mix of investments to be made in BYD is Projects C and B when it comes to capital rationing</w:t>
      </w:r>
      <w:r w:rsidR="00513E41" w:rsidRPr="00C50619">
        <w:rPr>
          <w:rFonts w:ascii="Arial" w:hAnsi="Arial" w:cs="Arial"/>
          <w:lang w:val="en-GB"/>
        </w:rPr>
        <w:t xml:space="preserve"> (Zhou, 2025)</w:t>
      </w:r>
      <w:r w:rsidRPr="00C50619">
        <w:rPr>
          <w:rFonts w:ascii="Arial" w:hAnsi="Arial" w:cs="Arial"/>
          <w:lang w:val="en-GB"/>
        </w:rPr>
        <w:t>. This choice will maximize the value by not overstepping the £100 million investment limit. Although the NPVs of all the projects are negative, Project C is the most suitable financial project of BYD in the present market conditions.</w:t>
      </w:r>
    </w:p>
    <w:p w14:paraId="05F7669D" w14:textId="0A4A8F4D" w:rsidR="00B00C3B" w:rsidRPr="00C50619" w:rsidRDefault="003A037A" w:rsidP="00513E41">
      <w:pPr>
        <w:spacing w:line="360" w:lineRule="auto"/>
        <w:rPr>
          <w:rFonts w:ascii="Arial" w:hAnsi="Arial" w:cs="Arial"/>
          <w:lang w:val="en-GB"/>
        </w:rPr>
      </w:pPr>
      <w:r w:rsidRPr="00C50619">
        <w:rPr>
          <w:rFonts w:ascii="Arial" w:hAnsi="Arial" w:cs="Arial"/>
          <w:lang w:val="en-GB"/>
        </w:rPr>
        <w:br w:type="page"/>
      </w:r>
    </w:p>
    <w:p w14:paraId="74645651" w14:textId="531C526D" w:rsidR="00217B47" w:rsidRPr="00C50619" w:rsidRDefault="00C97DE5" w:rsidP="00513E41">
      <w:pPr>
        <w:pStyle w:val="Heading1"/>
        <w:spacing w:line="360" w:lineRule="auto"/>
        <w:rPr>
          <w:rFonts w:cs="Arial"/>
          <w:sz w:val="24"/>
          <w:szCs w:val="24"/>
          <w:lang w:val="en-GB"/>
        </w:rPr>
      </w:pPr>
      <w:bookmarkStart w:id="30" w:name="_Toc227770639"/>
      <w:r w:rsidRPr="00C50619">
        <w:rPr>
          <w:rFonts w:cs="Arial"/>
          <w:sz w:val="24"/>
          <w:szCs w:val="24"/>
          <w:lang w:val="en-GB"/>
        </w:rPr>
        <w:lastRenderedPageBreak/>
        <w:t xml:space="preserve">6. </w:t>
      </w:r>
      <w:r w:rsidR="00217B47" w:rsidRPr="00C50619">
        <w:rPr>
          <w:rFonts w:cs="Arial"/>
          <w:sz w:val="24"/>
          <w:szCs w:val="24"/>
          <w:lang w:val="en-GB"/>
        </w:rPr>
        <w:t>Conclusion</w:t>
      </w:r>
      <w:bookmarkEnd w:id="30"/>
    </w:p>
    <w:p w14:paraId="34557C32" w14:textId="7D96D64B" w:rsidR="00D63BE6" w:rsidRPr="00C50619" w:rsidRDefault="00400C98" w:rsidP="00513E41">
      <w:pPr>
        <w:spacing w:line="360" w:lineRule="auto"/>
        <w:jc w:val="both"/>
        <w:rPr>
          <w:rFonts w:ascii="Arial" w:hAnsi="Arial" w:cs="Arial"/>
          <w:lang w:val="en-GB"/>
        </w:rPr>
      </w:pPr>
      <w:r w:rsidRPr="00C50619">
        <w:rPr>
          <w:rFonts w:ascii="Arial" w:hAnsi="Arial" w:cs="Arial"/>
          <w:lang w:val="en-GB"/>
        </w:rPr>
        <w:t>In conclusion, BYD has its strong and weak aspects regarding the financial performance. The profitability ratio has been growing with an increment in profits and resource management. However, liquidity ratios are reducing and there must be a positive change in management of short-term obligations. Despite the fact that the efficiency ratios particularly inventory and receivables turnover are on the increase, the payables turnover of the company depicts that the company is stretching the supplier relations. Despite this growth in the debt dependence, BYD has expanded its interest coverage and net debt, thus enhancing financial flexibility. The most viable investment project is project C since it is good in payback period, IRR and profitability. Projects B and C are a combination of a balanced risk-reward mix, which is aligned to the strategic goals of BYD.</w:t>
      </w:r>
    </w:p>
    <w:p w14:paraId="526070A3" w14:textId="77777777" w:rsidR="00B765FE" w:rsidRPr="00C50619" w:rsidRDefault="00B765FE" w:rsidP="00513E41">
      <w:pPr>
        <w:spacing w:line="360" w:lineRule="auto"/>
        <w:jc w:val="both"/>
        <w:rPr>
          <w:rFonts w:ascii="Arial" w:hAnsi="Arial" w:cs="Arial"/>
          <w:lang w:val="en-GB"/>
        </w:rPr>
      </w:pPr>
      <w:r w:rsidRPr="00C50619">
        <w:rPr>
          <w:rFonts w:ascii="Arial" w:hAnsi="Arial" w:cs="Arial"/>
          <w:lang w:val="en-GB"/>
        </w:rPr>
        <w:br w:type="page"/>
      </w:r>
    </w:p>
    <w:p w14:paraId="1517953D" w14:textId="7F2D1CBB" w:rsidR="001A19A9" w:rsidRPr="00C50619" w:rsidRDefault="00400C98" w:rsidP="001A19A9">
      <w:pPr>
        <w:pStyle w:val="Heading1"/>
        <w:spacing w:line="360" w:lineRule="auto"/>
        <w:jc w:val="both"/>
        <w:rPr>
          <w:rFonts w:cs="Arial"/>
          <w:sz w:val="24"/>
          <w:szCs w:val="24"/>
          <w:lang w:val="en-GB"/>
        </w:rPr>
      </w:pPr>
      <w:bookmarkStart w:id="31" w:name="_Toc227770640"/>
      <w:r w:rsidRPr="00C50619">
        <w:rPr>
          <w:rFonts w:cs="Arial"/>
          <w:sz w:val="24"/>
          <w:szCs w:val="24"/>
          <w:lang w:val="en-GB"/>
        </w:rPr>
        <w:lastRenderedPageBreak/>
        <w:t xml:space="preserve">7. </w:t>
      </w:r>
      <w:r w:rsidR="00E25D90" w:rsidRPr="00C50619">
        <w:rPr>
          <w:rFonts w:cs="Arial"/>
          <w:sz w:val="24"/>
          <w:szCs w:val="24"/>
          <w:lang w:val="en-GB"/>
        </w:rPr>
        <w:t>References</w:t>
      </w:r>
      <w:bookmarkEnd w:id="31"/>
      <w:r w:rsidR="00E25D90" w:rsidRPr="00C50619">
        <w:rPr>
          <w:rFonts w:cs="Arial"/>
          <w:sz w:val="24"/>
          <w:szCs w:val="24"/>
          <w:lang w:val="en-GB"/>
        </w:rPr>
        <w:t xml:space="preserve"> </w:t>
      </w:r>
    </w:p>
    <w:p w14:paraId="44C51496"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Agbo, E.I. and ODO, J.O. (2024). KEY ACCOUNTING RATIOS AND THE SHARE PRICES OF LISTED COMMERCIAL BANKS IN NIGERIA (2010-2023). </w:t>
      </w:r>
      <w:r w:rsidRPr="00C50619">
        <w:rPr>
          <w:rFonts w:ascii="Arial" w:hAnsi="Arial" w:cs="Arial"/>
          <w:i/>
          <w:iCs/>
          <w:lang w:val="en-GB"/>
        </w:rPr>
        <w:t>Research Journal of Accounting and Finance (RJAF)</w:t>
      </w:r>
      <w:r w:rsidRPr="00C50619">
        <w:rPr>
          <w:rFonts w:ascii="Arial" w:hAnsi="Arial" w:cs="Arial"/>
          <w:lang w:val="en-GB"/>
        </w:rPr>
        <w:t>, </w:t>
      </w:r>
      <w:r w:rsidRPr="00C50619">
        <w:rPr>
          <w:rFonts w:ascii="Arial" w:hAnsi="Arial" w:cs="Arial"/>
          <w:i/>
          <w:iCs/>
          <w:lang w:val="en-GB"/>
        </w:rPr>
        <w:t>12</w:t>
      </w:r>
      <w:r w:rsidRPr="00C50619">
        <w:rPr>
          <w:rFonts w:ascii="Arial" w:hAnsi="Arial" w:cs="Arial"/>
          <w:lang w:val="en-GB"/>
        </w:rPr>
        <w:t>(3), pp.1-24.</w:t>
      </w:r>
    </w:p>
    <w:p w14:paraId="57B386A6"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Ahmed, F., Rahman, M.U., Rehman, H.M., Imran, M., Dunay, A. and Hossain, M.B., (2024). Corporate capital structure effects on corporate performance pursuing a strategy of innovation in manufacturing companies. </w:t>
      </w:r>
      <w:proofErr w:type="spellStart"/>
      <w:r w:rsidRPr="00C50619">
        <w:rPr>
          <w:rFonts w:ascii="Arial" w:hAnsi="Arial" w:cs="Arial"/>
          <w:i/>
          <w:iCs/>
          <w:lang w:val="en-GB"/>
        </w:rPr>
        <w:t>Heliyon</w:t>
      </w:r>
      <w:proofErr w:type="spellEnd"/>
      <w:r w:rsidRPr="00C50619">
        <w:rPr>
          <w:rFonts w:ascii="Arial" w:hAnsi="Arial" w:cs="Arial"/>
          <w:lang w:val="en-GB"/>
        </w:rPr>
        <w:t>, </w:t>
      </w:r>
      <w:r w:rsidRPr="00C50619">
        <w:rPr>
          <w:rFonts w:ascii="Arial" w:hAnsi="Arial" w:cs="Arial"/>
          <w:i/>
          <w:iCs/>
          <w:lang w:val="en-GB"/>
        </w:rPr>
        <w:t>10</w:t>
      </w:r>
      <w:r w:rsidRPr="00C50619">
        <w:rPr>
          <w:rFonts w:ascii="Arial" w:hAnsi="Arial" w:cs="Arial"/>
          <w:lang w:val="en-GB"/>
        </w:rPr>
        <w:t>(3).</w:t>
      </w:r>
    </w:p>
    <w:p w14:paraId="1D416513"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Barnabas, B. and Oloyede, J. (2024). Cash flow optimization: Strategies for enhancing short-term liquidity. </w:t>
      </w:r>
      <w:r w:rsidRPr="00C50619">
        <w:rPr>
          <w:rFonts w:ascii="Arial" w:hAnsi="Arial" w:cs="Arial"/>
          <w:i/>
          <w:iCs/>
          <w:lang w:val="en-GB"/>
        </w:rPr>
        <w:t>Available at SSRN 5004465</w:t>
      </w:r>
      <w:r w:rsidRPr="00C50619">
        <w:rPr>
          <w:rFonts w:ascii="Arial" w:hAnsi="Arial" w:cs="Arial"/>
          <w:lang w:val="en-GB"/>
        </w:rPr>
        <w:t>.</w:t>
      </w:r>
    </w:p>
    <w:p w14:paraId="70CF4A6A" w14:textId="377B5931" w:rsidR="001A19A9" w:rsidRPr="00C50619" w:rsidRDefault="001A19A9" w:rsidP="001A19A9">
      <w:pPr>
        <w:pStyle w:val="NormalWeb"/>
        <w:spacing w:before="0" w:beforeAutospacing="0" w:after="240" w:afterAutospacing="0" w:line="360" w:lineRule="auto"/>
        <w:jc w:val="both"/>
        <w:rPr>
          <w:rFonts w:ascii="Arial" w:hAnsi="Arial" w:cs="Arial"/>
        </w:rPr>
      </w:pPr>
      <w:r w:rsidRPr="00C50619">
        <w:rPr>
          <w:rFonts w:ascii="Arial" w:hAnsi="Arial" w:cs="Arial"/>
        </w:rPr>
        <w:t xml:space="preserve">BYD (2024). </w:t>
      </w:r>
      <w:r w:rsidRPr="00C50619">
        <w:rPr>
          <w:rFonts w:ascii="Arial" w:hAnsi="Arial" w:cs="Arial"/>
          <w:i/>
          <w:iCs/>
        </w:rPr>
        <w:t>BYD Logo</w:t>
      </w:r>
      <w:r w:rsidRPr="00C50619">
        <w:rPr>
          <w:rFonts w:ascii="Arial" w:hAnsi="Arial" w:cs="Arial"/>
        </w:rPr>
        <w:t>. [online] Car-brand-names.com. Available at: https://car-brand-names.com/byd-logo/ [Accessed 19 Apr. 2026].</w:t>
      </w:r>
    </w:p>
    <w:p w14:paraId="5B66AD68" w14:textId="751BD81B" w:rsidR="001A19A9" w:rsidRPr="00C50619" w:rsidRDefault="001A19A9" w:rsidP="001A19A9">
      <w:pPr>
        <w:pStyle w:val="NormalWeb"/>
        <w:spacing w:before="0" w:beforeAutospacing="0" w:after="240" w:afterAutospacing="0" w:line="360" w:lineRule="auto"/>
        <w:jc w:val="both"/>
        <w:rPr>
          <w:rFonts w:ascii="Arial" w:hAnsi="Arial" w:cs="Arial"/>
        </w:rPr>
      </w:pPr>
      <w:r w:rsidRPr="00C50619">
        <w:rPr>
          <w:rFonts w:ascii="Arial" w:hAnsi="Arial" w:cs="Arial"/>
        </w:rPr>
        <w:t xml:space="preserve">BYD (2025). </w:t>
      </w:r>
      <w:r w:rsidRPr="00C50619">
        <w:rPr>
          <w:rFonts w:ascii="Arial" w:hAnsi="Arial" w:cs="Arial"/>
          <w:i/>
          <w:iCs/>
        </w:rPr>
        <w:t>About BYD | BYD AUTO</w:t>
      </w:r>
      <w:r w:rsidRPr="00C50619">
        <w:rPr>
          <w:rFonts w:ascii="Arial" w:hAnsi="Arial" w:cs="Arial"/>
        </w:rPr>
        <w:t>. [online] BYD. Available at: https://www.byd.com/en/about-byd [Accessed 19 Apr. 2026].</w:t>
      </w:r>
    </w:p>
    <w:p w14:paraId="0D175403"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Chen, M., (2024). </w:t>
      </w:r>
      <w:r w:rsidRPr="00C50619">
        <w:rPr>
          <w:rFonts w:ascii="Arial" w:eastAsia="Times New Roman" w:hAnsi="Arial" w:cs="Arial"/>
          <w:i/>
          <w:iCs/>
          <w:lang w:val="en-GB" w:eastAsia="en-GB"/>
        </w:rPr>
        <w:t>Currency Risk Management in Cross-Border Mergers and Acquisitions</w:t>
      </w:r>
      <w:r w:rsidRPr="00C50619">
        <w:rPr>
          <w:rFonts w:ascii="Arial" w:eastAsia="Times New Roman" w:hAnsi="Arial" w:cs="Arial"/>
          <w:lang w:val="en-GB" w:eastAsia="en-GB"/>
        </w:rPr>
        <w:t xml:space="preserve">. International Journal of Finance, 11(3), pp.150-162. </w:t>
      </w:r>
    </w:p>
    <w:p w14:paraId="52FEB9C6"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Chu, Y., Zhang, A. and Yu, Q. (2025). Financial Risk Evaluation and Control in New Energy Vehicle Enterprises: A Case Study of BYD. In </w:t>
      </w:r>
      <w:r w:rsidRPr="00C50619">
        <w:rPr>
          <w:rFonts w:ascii="Arial" w:hAnsi="Arial" w:cs="Arial"/>
          <w:i/>
          <w:iCs/>
          <w:lang w:val="en-GB"/>
        </w:rPr>
        <w:t>Wuhan International Conference on E-business</w:t>
      </w:r>
      <w:r w:rsidRPr="00C50619">
        <w:rPr>
          <w:rFonts w:ascii="Arial" w:hAnsi="Arial" w:cs="Arial"/>
          <w:lang w:val="en-GB"/>
        </w:rPr>
        <w:t> (pp. 355-366). Cham: Springer Nature Switzerland.</w:t>
      </w:r>
    </w:p>
    <w:p w14:paraId="1129D419"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Cui, L. and Zhang, W. (2025). Research on financing efficiency of new energy vehicle enterprises: taking BYD as an example. In </w:t>
      </w:r>
      <w:r w:rsidRPr="00C50619">
        <w:rPr>
          <w:rFonts w:ascii="Arial" w:hAnsi="Arial" w:cs="Arial"/>
          <w:i/>
          <w:iCs/>
          <w:lang w:val="en-GB"/>
        </w:rPr>
        <w:t>International Conference on Sustainable Technology and Management (ICSTM 2025)</w:t>
      </w:r>
      <w:r w:rsidRPr="00C50619">
        <w:rPr>
          <w:rFonts w:ascii="Arial" w:hAnsi="Arial" w:cs="Arial"/>
          <w:lang w:val="en-GB"/>
        </w:rPr>
        <w:t> (Vol. 13988, pp. 321-331). SPIE.</w:t>
      </w:r>
    </w:p>
    <w:p w14:paraId="0CBA7D88"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Dissanayake, R., Wu, Y. and Zhang, H. (2024). The burden of national debt: evidence from mergers and acquisitions. </w:t>
      </w:r>
      <w:r w:rsidRPr="00C50619">
        <w:rPr>
          <w:rFonts w:ascii="Arial" w:hAnsi="Arial" w:cs="Arial"/>
          <w:i/>
          <w:iCs/>
          <w:lang w:val="en-GB"/>
        </w:rPr>
        <w:t>The Review of Corporate Finance Studies</w:t>
      </w:r>
      <w:r w:rsidRPr="00C50619">
        <w:rPr>
          <w:rFonts w:ascii="Arial" w:hAnsi="Arial" w:cs="Arial"/>
          <w:lang w:val="en-GB"/>
        </w:rPr>
        <w:t>, </w:t>
      </w:r>
      <w:r w:rsidRPr="00C50619">
        <w:rPr>
          <w:rFonts w:ascii="Arial" w:hAnsi="Arial" w:cs="Arial"/>
          <w:i/>
          <w:iCs/>
          <w:lang w:val="en-GB"/>
        </w:rPr>
        <w:t>13</w:t>
      </w:r>
      <w:r w:rsidRPr="00C50619">
        <w:rPr>
          <w:rFonts w:ascii="Arial" w:hAnsi="Arial" w:cs="Arial"/>
          <w:lang w:val="en-GB"/>
        </w:rPr>
        <w:t>(2), pp.583-624.</w:t>
      </w:r>
    </w:p>
    <w:p w14:paraId="696E7197" w14:textId="77777777" w:rsidR="001A19A9" w:rsidRPr="00C50619" w:rsidRDefault="001A19A9" w:rsidP="001A19A9">
      <w:pPr>
        <w:spacing w:line="360" w:lineRule="auto"/>
        <w:jc w:val="both"/>
        <w:rPr>
          <w:rFonts w:ascii="Arial" w:hAnsi="Arial" w:cs="Arial"/>
          <w:lang w:val="en-GB"/>
        </w:rPr>
      </w:pPr>
      <w:proofErr w:type="spellStart"/>
      <w:r w:rsidRPr="00C50619">
        <w:rPr>
          <w:rFonts w:ascii="Arial" w:hAnsi="Arial" w:cs="Arial"/>
          <w:lang w:val="en-GB"/>
        </w:rPr>
        <w:t>Dongting</w:t>
      </w:r>
      <w:proofErr w:type="spellEnd"/>
      <w:r w:rsidRPr="00C50619">
        <w:rPr>
          <w:rFonts w:ascii="Arial" w:hAnsi="Arial" w:cs="Arial"/>
          <w:lang w:val="en-GB"/>
        </w:rPr>
        <w:t>, L. (2022). </w:t>
      </w:r>
      <w:r w:rsidRPr="00C50619">
        <w:rPr>
          <w:rFonts w:ascii="Arial" w:hAnsi="Arial" w:cs="Arial"/>
          <w:i/>
          <w:iCs/>
          <w:lang w:val="en-GB"/>
        </w:rPr>
        <w:t>Equity research-BYD Company Limited</w:t>
      </w:r>
      <w:r w:rsidRPr="00C50619">
        <w:rPr>
          <w:rFonts w:ascii="Arial" w:hAnsi="Arial" w:cs="Arial"/>
          <w:lang w:val="en-GB"/>
        </w:rPr>
        <w:t xml:space="preserve"> (Master's thesis, </w:t>
      </w:r>
      <w:proofErr w:type="spellStart"/>
      <w:r w:rsidRPr="00C50619">
        <w:rPr>
          <w:rFonts w:ascii="Arial" w:hAnsi="Arial" w:cs="Arial"/>
          <w:lang w:val="en-GB"/>
        </w:rPr>
        <w:t>Universidade</w:t>
      </w:r>
      <w:proofErr w:type="spellEnd"/>
      <w:r w:rsidRPr="00C50619">
        <w:rPr>
          <w:rFonts w:ascii="Arial" w:hAnsi="Arial" w:cs="Arial"/>
          <w:lang w:val="en-GB"/>
        </w:rPr>
        <w:t xml:space="preserve"> de Lisboa (Portugal)).</w:t>
      </w:r>
    </w:p>
    <w:p w14:paraId="4D08ADFB"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lastRenderedPageBreak/>
        <w:t>Gan, L. and Yao, Y. (2025). A corpus-based critical discourse analysis of identity construction in CSR reports of China and USA new energy vehicle companies: A case of BYD and Tesla.</w:t>
      </w:r>
    </w:p>
    <w:p w14:paraId="61076740"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Guo, F., (2024). </w:t>
      </w:r>
      <w:r w:rsidRPr="00C50619">
        <w:rPr>
          <w:rFonts w:ascii="Arial" w:eastAsia="Times New Roman" w:hAnsi="Arial" w:cs="Arial"/>
          <w:i/>
          <w:iCs/>
          <w:lang w:val="en-GB" w:eastAsia="en-GB"/>
        </w:rPr>
        <w:t>The Long-Term Financial Implications of Asset Divestitures</w:t>
      </w:r>
      <w:r w:rsidRPr="00C50619">
        <w:rPr>
          <w:rFonts w:ascii="Arial" w:eastAsia="Times New Roman" w:hAnsi="Arial" w:cs="Arial"/>
          <w:lang w:val="en-GB" w:eastAsia="en-GB"/>
        </w:rPr>
        <w:t xml:space="preserve">. Journal of Financial Analysis, 22(2), pp.87-101. </w:t>
      </w:r>
    </w:p>
    <w:p w14:paraId="7410DFC2"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Jiang, W. and Zhao, Q., (2024). </w:t>
      </w:r>
      <w:r w:rsidRPr="00C50619">
        <w:rPr>
          <w:rFonts w:ascii="Arial" w:eastAsia="Times New Roman" w:hAnsi="Arial" w:cs="Arial"/>
          <w:i/>
          <w:iCs/>
          <w:lang w:val="en-GB" w:eastAsia="en-GB"/>
        </w:rPr>
        <w:t>Debt and Equity Financing in High-Tech Manufacturing</w:t>
      </w:r>
      <w:r w:rsidRPr="00C50619">
        <w:rPr>
          <w:rFonts w:ascii="Arial" w:eastAsia="Times New Roman" w:hAnsi="Arial" w:cs="Arial"/>
          <w:lang w:val="en-GB" w:eastAsia="en-GB"/>
        </w:rPr>
        <w:t xml:space="preserve">. Journal of Corporate Finance and Innovation, 12(1), pp.56-69. </w:t>
      </w:r>
    </w:p>
    <w:p w14:paraId="466509B1"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Jin, L. and Wang, Y., (2023). </w:t>
      </w:r>
      <w:r w:rsidRPr="00C50619">
        <w:rPr>
          <w:rFonts w:ascii="Arial" w:eastAsia="Times New Roman" w:hAnsi="Arial" w:cs="Arial"/>
          <w:i/>
          <w:iCs/>
          <w:lang w:val="en-GB" w:eastAsia="en-GB"/>
        </w:rPr>
        <w:t>Tax Implications of Corporate Restructuring in China</w:t>
      </w:r>
      <w:r w:rsidRPr="00C50619">
        <w:rPr>
          <w:rFonts w:ascii="Arial" w:eastAsia="Times New Roman" w:hAnsi="Arial" w:cs="Arial"/>
          <w:lang w:val="en-GB" w:eastAsia="en-GB"/>
        </w:rPr>
        <w:t xml:space="preserve">. Asian Business Review, 29(3), pp.78-92. </w:t>
      </w:r>
    </w:p>
    <w:p w14:paraId="2D319AA7" w14:textId="77777777" w:rsidR="001A19A9" w:rsidRPr="00C50619" w:rsidRDefault="001A19A9" w:rsidP="001A19A9">
      <w:pPr>
        <w:spacing w:line="360" w:lineRule="auto"/>
        <w:jc w:val="both"/>
        <w:rPr>
          <w:rFonts w:ascii="Arial" w:hAnsi="Arial" w:cs="Arial"/>
          <w:lang w:val="en-GB"/>
        </w:rPr>
      </w:pPr>
      <w:proofErr w:type="spellStart"/>
      <w:r w:rsidRPr="00C50619">
        <w:rPr>
          <w:rFonts w:ascii="Arial" w:hAnsi="Arial" w:cs="Arial"/>
          <w:lang w:val="en-GB"/>
        </w:rPr>
        <w:t>Kathiarayan</w:t>
      </w:r>
      <w:proofErr w:type="spellEnd"/>
      <w:r w:rsidRPr="00C50619">
        <w:rPr>
          <w:rFonts w:ascii="Arial" w:hAnsi="Arial" w:cs="Arial"/>
          <w:lang w:val="en-GB"/>
        </w:rPr>
        <w:t>, V. and Affandi, S.S. (2024). </w:t>
      </w:r>
      <w:r w:rsidRPr="00C50619">
        <w:rPr>
          <w:rFonts w:ascii="Arial" w:hAnsi="Arial" w:cs="Arial"/>
          <w:i/>
          <w:iCs/>
          <w:lang w:val="en-GB"/>
        </w:rPr>
        <w:t>Global Financial Analysis and Economic Sustainability</w:t>
      </w:r>
      <w:r w:rsidRPr="00C50619">
        <w:rPr>
          <w:rFonts w:ascii="Arial" w:hAnsi="Arial" w:cs="Arial"/>
          <w:lang w:val="en-GB"/>
        </w:rPr>
        <w:t>. Mahi Publication.</w:t>
      </w:r>
    </w:p>
    <w:p w14:paraId="6306B9DB"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Khalil, S., Zaman, K. and Iqbal, F. (2025). The Impact of Just-in-Time Inventory Systems on Supply Chain Efficiency. </w:t>
      </w:r>
      <w:r w:rsidRPr="00C50619">
        <w:rPr>
          <w:rFonts w:ascii="Arial" w:hAnsi="Arial" w:cs="Arial"/>
          <w:i/>
          <w:iCs/>
          <w:lang w:val="en-GB"/>
        </w:rPr>
        <w:t>Economic Trends and Business Review</w:t>
      </w:r>
      <w:r w:rsidRPr="00C50619">
        <w:rPr>
          <w:rFonts w:ascii="Arial" w:hAnsi="Arial" w:cs="Arial"/>
          <w:lang w:val="en-GB"/>
        </w:rPr>
        <w:t>, </w:t>
      </w:r>
      <w:r w:rsidRPr="00C50619">
        <w:rPr>
          <w:rFonts w:ascii="Arial" w:hAnsi="Arial" w:cs="Arial"/>
          <w:i/>
          <w:iCs/>
          <w:lang w:val="en-GB"/>
        </w:rPr>
        <w:t>3</w:t>
      </w:r>
      <w:r w:rsidRPr="00C50619">
        <w:rPr>
          <w:rFonts w:ascii="Arial" w:hAnsi="Arial" w:cs="Arial"/>
          <w:lang w:val="en-GB"/>
        </w:rPr>
        <w:t>(1), pp.1-16.</w:t>
      </w:r>
    </w:p>
    <w:p w14:paraId="1414E173"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Kim, H. and Chang, K., (2025). </w:t>
      </w:r>
      <w:r w:rsidRPr="00C50619">
        <w:rPr>
          <w:rFonts w:ascii="Arial" w:eastAsia="Times New Roman" w:hAnsi="Arial" w:cs="Arial"/>
          <w:i/>
          <w:iCs/>
          <w:lang w:val="en-GB" w:eastAsia="en-GB"/>
        </w:rPr>
        <w:t>Market Reactions to Stock Dilution in Mergers and Acquisitions</w:t>
      </w:r>
      <w:r w:rsidRPr="00C50619">
        <w:rPr>
          <w:rFonts w:ascii="Arial" w:eastAsia="Times New Roman" w:hAnsi="Arial" w:cs="Arial"/>
          <w:lang w:val="en-GB" w:eastAsia="en-GB"/>
        </w:rPr>
        <w:t xml:space="preserve">. Journal of Business Economics, 13(2), pp.130-145. </w:t>
      </w:r>
    </w:p>
    <w:p w14:paraId="0019B8EC"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Kuo, Y., (2023). </w:t>
      </w:r>
      <w:r w:rsidRPr="00C50619">
        <w:rPr>
          <w:rFonts w:ascii="Arial" w:eastAsia="Times New Roman" w:hAnsi="Arial" w:cs="Arial"/>
          <w:i/>
          <w:iCs/>
          <w:lang w:val="en-GB" w:eastAsia="en-GB"/>
        </w:rPr>
        <w:t>Tax Efficiency in Capital Injection Strategies</w:t>
      </w:r>
      <w:r w:rsidRPr="00C50619">
        <w:rPr>
          <w:rFonts w:ascii="Arial" w:eastAsia="Times New Roman" w:hAnsi="Arial" w:cs="Arial"/>
          <w:lang w:val="en-GB" w:eastAsia="en-GB"/>
        </w:rPr>
        <w:t xml:space="preserve">. Journal of Financial Strategy, 19(3), pp.210-225. </w:t>
      </w:r>
    </w:p>
    <w:p w14:paraId="75D7D56D"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Lai, Y., Li, D., Luo, Y. and Wu, G. (2023). Analysis of enterprise valuation and future development trends of BYD Company. </w:t>
      </w:r>
      <w:r w:rsidRPr="00C50619">
        <w:rPr>
          <w:rFonts w:ascii="Arial" w:hAnsi="Arial" w:cs="Arial"/>
          <w:i/>
          <w:iCs/>
          <w:lang w:val="en-GB"/>
        </w:rPr>
        <w:t>Journal Name</w:t>
      </w:r>
      <w:r w:rsidRPr="00C50619">
        <w:rPr>
          <w:rFonts w:ascii="Arial" w:hAnsi="Arial" w:cs="Arial"/>
          <w:lang w:val="en-GB"/>
        </w:rPr>
        <w:t>, </w:t>
      </w:r>
      <w:r w:rsidRPr="00C50619">
        <w:rPr>
          <w:rFonts w:ascii="Arial" w:hAnsi="Arial" w:cs="Arial"/>
          <w:i/>
          <w:iCs/>
          <w:lang w:val="en-GB"/>
        </w:rPr>
        <w:t>1</w:t>
      </w:r>
      <w:r w:rsidRPr="00C50619">
        <w:rPr>
          <w:rFonts w:ascii="Arial" w:hAnsi="Arial" w:cs="Arial"/>
          <w:lang w:val="en-GB"/>
        </w:rPr>
        <w:t>, pp.440-449.</w:t>
      </w:r>
    </w:p>
    <w:p w14:paraId="7423B06E"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Li, Y., (2025). </w:t>
      </w:r>
      <w:r w:rsidRPr="00C50619">
        <w:rPr>
          <w:rFonts w:ascii="Arial" w:eastAsia="Times New Roman" w:hAnsi="Arial" w:cs="Arial"/>
          <w:i/>
          <w:iCs/>
          <w:lang w:val="en-GB" w:eastAsia="en-GB"/>
        </w:rPr>
        <w:t>Institutional Investment and Strategic Growth in the Electric Vehicle Industry</w:t>
      </w:r>
      <w:r w:rsidRPr="00C50619">
        <w:rPr>
          <w:rFonts w:ascii="Arial" w:eastAsia="Times New Roman" w:hAnsi="Arial" w:cs="Arial"/>
          <w:lang w:val="en-GB" w:eastAsia="en-GB"/>
        </w:rPr>
        <w:t xml:space="preserve">. Journal of Green Technology and Innovation, 15(1), pp.34-49. </w:t>
      </w:r>
    </w:p>
    <w:p w14:paraId="183460C7"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Lib, Q.L.X. (2024). Analysis of Investment Value in China's New Energy Vehicle Industry-Taking BYD Company as an Example. </w:t>
      </w:r>
      <w:r w:rsidRPr="00C50619">
        <w:rPr>
          <w:rFonts w:ascii="Arial" w:hAnsi="Arial" w:cs="Arial"/>
          <w:i/>
          <w:iCs/>
          <w:lang w:val="en-GB"/>
        </w:rPr>
        <w:t>Journal of Advanced Academic Research and Studies</w:t>
      </w:r>
      <w:r w:rsidRPr="00C50619">
        <w:rPr>
          <w:rFonts w:ascii="Arial" w:hAnsi="Arial" w:cs="Arial"/>
          <w:lang w:val="en-GB"/>
        </w:rPr>
        <w:t>, </w:t>
      </w:r>
      <w:r w:rsidRPr="00C50619">
        <w:rPr>
          <w:rFonts w:ascii="Arial" w:hAnsi="Arial" w:cs="Arial"/>
          <w:i/>
          <w:iCs/>
          <w:lang w:val="en-GB"/>
        </w:rPr>
        <w:t>1</w:t>
      </w:r>
      <w:r w:rsidRPr="00C50619">
        <w:rPr>
          <w:rFonts w:ascii="Arial" w:hAnsi="Arial" w:cs="Arial"/>
          <w:lang w:val="en-GB"/>
        </w:rPr>
        <w:t>(4), pp.1-17.</w:t>
      </w:r>
    </w:p>
    <w:p w14:paraId="2C716CAA"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lastRenderedPageBreak/>
        <w:t>Lin, S. (2023). Financial Report Analysis of BYD Corporation. </w:t>
      </w:r>
      <w:r w:rsidRPr="00C50619">
        <w:rPr>
          <w:rFonts w:ascii="Arial" w:hAnsi="Arial" w:cs="Arial"/>
          <w:i/>
          <w:iCs/>
          <w:lang w:val="en-GB"/>
        </w:rPr>
        <w:t>Ratio (times)</w:t>
      </w:r>
      <w:r w:rsidRPr="00C50619">
        <w:rPr>
          <w:rFonts w:ascii="Arial" w:hAnsi="Arial" w:cs="Arial"/>
          <w:lang w:val="en-GB"/>
        </w:rPr>
        <w:t>, </w:t>
      </w:r>
      <w:r w:rsidRPr="00C50619">
        <w:rPr>
          <w:rFonts w:ascii="Arial" w:hAnsi="Arial" w:cs="Arial"/>
          <w:i/>
          <w:iCs/>
          <w:lang w:val="en-GB"/>
        </w:rPr>
        <w:t>2</w:t>
      </w:r>
      <w:r w:rsidRPr="00C50619">
        <w:rPr>
          <w:rFonts w:ascii="Arial" w:hAnsi="Arial" w:cs="Arial"/>
          <w:lang w:val="en-GB"/>
        </w:rPr>
        <w:t>(2.98), pp.3-71.</w:t>
      </w:r>
    </w:p>
    <w:p w14:paraId="16627C58"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Liu, H., (2024). </w:t>
      </w:r>
      <w:r w:rsidRPr="00C50619">
        <w:rPr>
          <w:rFonts w:ascii="Arial" w:eastAsia="Times New Roman" w:hAnsi="Arial" w:cs="Arial"/>
          <w:i/>
          <w:iCs/>
          <w:lang w:val="en-GB" w:eastAsia="en-GB"/>
        </w:rPr>
        <w:t>Sustainability Practices in Global Corporate Restructuring</w:t>
      </w:r>
      <w:r w:rsidRPr="00C50619">
        <w:rPr>
          <w:rFonts w:ascii="Arial" w:eastAsia="Times New Roman" w:hAnsi="Arial" w:cs="Arial"/>
          <w:lang w:val="en-GB" w:eastAsia="en-GB"/>
        </w:rPr>
        <w:t xml:space="preserve">. Journal of Global Business, 14(2), pp.128-145. </w:t>
      </w:r>
    </w:p>
    <w:p w14:paraId="5B48F37D"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Meng, J. (2025). A Brief Discussion on Accounts Receivable Management—Based on BYD Auto. </w:t>
      </w:r>
      <w:r w:rsidRPr="00C50619">
        <w:rPr>
          <w:rFonts w:ascii="Arial" w:hAnsi="Arial" w:cs="Arial"/>
          <w:i/>
          <w:iCs/>
          <w:lang w:val="en-GB"/>
        </w:rPr>
        <w:t>Journal of Business and Economic Research</w:t>
      </w:r>
      <w:r w:rsidRPr="00C50619">
        <w:rPr>
          <w:rFonts w:ascii="Arial" w:hAnsi="Arial" w:cs="Arial"/>
          <w:lang w:val="en-GB"/>
        </w:rPr>
        <w:t>, </w:t>
      </w:r>
      <w:r w:rsidRPr="00C50619">
        <w:rPr>
          <w:rFonts w:ascii="Arial" w:hAnsi="Arial" w:cs="Arial"/>
          <w:i/>
          <w:iCs/>
          <w:lang w:val="en-GB"/>
        </w:rPr>
        <w:t>1</w:t>
      </w:r>
      <w:r w:rsidRPr="00C50619">
        <w:rPr>
          <w:rFonts w:ascii="Arial" w:hAnsi="Arial" w:cs="Arial"/>
          <w:lang w:val="en-GB"/>
        </w:rPr>
        <w:t>(9).</w:t>
      </w:r>
    </w:p>
    <w:p w14:paraId="18B1F31B" w14:textId="77777777" w:rsidR="001A19A9" w:rsidRPr="00C50619" w:rsidRDefault="001A19A9" w:rsidP="001A19A9">
      <w:pPr>
        <w:spacing w:line="360" w:lineRule="auto"/>
        <w:jc w:val="both"/>
        <w:rPr>
          <w:rFonts w:ascii="Arial" w:hAnsi="Arial" w:cs="Arial"/>
          <w:lang w:val="en-GB"/>
        </w:rPr>
      </w:pPr>
      <w:proofErr w:type="spellStart"/>
      <w:r w:rsidRPr="00C50619">
        <w:rPr>
          <w:rFonts w:ascii="Arial" w:hAnsi="Arial" w:cs="Arial"/>
          <w:lang w:val="en-GB"/>
        </w:rPr>
        <w:t>Moridu</w:t>
      </w:r>
      <w:proofErr w:type="spellEnd"/>
      <w:r w:rsidRPr="00C50619">
        <w:rPr>
          <w:rFonts w:ascii="Arial" w:hAnsi="Arial" w:cs="Arial"/>
          <w:lang w:val="en-GB"/>
        </w:rPr>
        <w:t xml:space="preserve">, I. and Abidin, Z. (2023). Adapting financial management strategies amidst economic turmoil: a case study of </w:t>
      </w:r>
      <w:proofErr w:type="spellStart"/>
      <w:r w:rsidRPr="00C50619">
        <w:rPr>
          <w:rFonts w:ascii="Arial" w:hAnsi="Arial" w:cs="Arial"/>
          <w:lang w:val="en-GB"/>
        </w:rPr>
        <w:t>gama</w:t>
      </w:r>
      <w:proofErr w:type="spellEnd"/>
      <w:r w:rsidRPr="00C50619">
        <w:rPr>
          <w:rFonts w:ascii="Arial" w:hAnsi="Arial" w:cs="Arial"/>
          <w:lang w:val="en-GB"/>
        </w:rPr>
        <w:t xml:space="preserve"> corporate's liquidity and restructuring initiative. </w:t>
      </w:r>
      <w:r w:rsidRPr="00C50619">
        <w:rPr>
          <w:rFonts w:ascii="Arial" w:hAnsi="Arial" w:cs="Arial"/>
          <w:i/>
          <w:iCs/>
          <w:lang w:val="en-GB"/>
        </w:rPr>
        <w:t xml:space="preserve">The </w:t>
      </w:r>
      <w:proofErr w:type="spellStart"/>
      <w:r w:rsidRPr="00C50619">
        <w:rPr>
          <w:rFonts w:ascii="Arial" w:hAnsi="Arial" w:cs="Arial"/>
          <w:i/>
          <w:iCs/>
          <w:lang w:val="en-GB"/>
        </w:rPr>
        <w:t>Eastasouth</w:t>
      </w:r>
      <w:proofErr w:type="spellEnd"/>
      <w:r w:rsidRPr="00C50619">
        <w:rPr>
          <w:rFonts w:ascii="Arial" w:hAnsi="Arial" w:cs="Arial"/>
          <w:i/>
          <w:iCs/>
          <w:lang w:val="en-GB"/>
        </w:rPr>
        <w:t xml:space="preserve"> Management and Business</w:t>
      </w:r>
      <w:r w:rsidRPr="00C50619">
        <w:rPr>
          <w:rFonts w:ascii="Arial" w:hAnsi="Arial" w:cs="Arial"/>
          <w:lang w:val="en-GB"/>
        </w:rPr>
        <w:t>, </w:t>
      </w:r>
      <w:r w:rsidRPr="00C50619">
        <w:rPr>
          <w:rFonts w:ascii="Arial" w:hAnsi="Arial" w:cs="Arial"/>
          <w:i/>
          <w:iCs/>
          <w:lang w:val="en-GB"/>
        </w:rPr>
        <w:t>2</w:t>
      </w:r>
      <w:r w:rsidRPr="00C50619">
        <w:rPr>
          <w:rFonts w:ascii="Arial" w:hAnsi="Arial" w:cs="Arial"/>
          <w:lang w:val="en-GB"/>
        </w:rPr>
        <w:t>(01), pp.34-42.</w:t>
      </w:r>
    </w:p>
    <w:p w14:paraId="7DC80D79"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 xml:space="preserve">Odhiambo, J.D., </w:t>
      </w:r>
      <w:proofErr w:type="spellStart"/>
      <w:r w:rsidRPr="00C50619">
        <w:rPr>
          <w:rFonts w:ascii="Arial" w:hAnsi="Arial" w:cs="Arial"/>
          <w:lang w:val="en-GB"/>
        </w:rPr>
        <w:t>Murori</w:t>
      </w:r>
      <w:proofErr w:type="spellEnd"/>
      <w:r w:rsidRPr="00C50619">
        <w:rPr>
          <w:rFonts w:ascii="Arial" w:hAnsi="Arial" w:cs="Arial"/>
          <w:lang w:val="en-GB"/>
        </w:rPr>
        <w:t>, C.K. and Aringo, C.E. (2025). Financial leverage and firm performance: An empirical review and analysis. </w:t>
      </w:r>
      <w:r w:rsidRPr="00C50619">
        <w:rPr>
          <w:rFonts w:ascii="Arial" w:hAnsi="Arial" w:cs="Arial"/>
          <w:i/>
          <w:iCs/>
          <w:lang w:val="en-GB"/>
        </w:rPr>
        <w:t>East African Finance Journal</w:t>
      </w:r>
      <w:r w:rsidRPr="00C50619">
        <w:rPr>
          <w:rFonts w:ascii="Arial" w:hAnsi="Arial" w:cs="Arial"/>
          <w:lang w:val="en-GB"/>
        </w:rPr>
        <w:t>, </w:t>
      </w:r>
      <w:r w:rsidRPr="00C50619">
        <w:rPr>
          <w:rFonts w:ascii="Arial" w:hAnsi="Arial" w:cs="Arial"/>
          <w:i/>
          <w:iCs/>
          <w:lang w:val="en-GB"/>
        </w:rPr>
        <w:t>4</w:t>
      </w:r>
      <w:r w:rsidRPr="00C50619">
        <w:rPr>
          <w:rFonts w:ascii="Arial" w:hAnsi="Arial" w:cs="Arial"/>
          <w:lang w:val="en-GB"/>
        </w:rPr>
        <w:t>(1), pp.25-35.</w:t>
      </w:r>
    </w:p>
    <w:p w14:paraId="7EB9E3C6"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Schwabe, J. (2020). From “obligated embeddedness” to “obligated Chineseness”? Bargaining processes and evolution of international automotive firms in China's New Energy Vehicle sector. </w:t>
      </w:r>
      <w:r w:rsidRPr="00C50619">
        <w:rPr>
          <w:rFonts w:ascii="Arial" w:hAnsi="Arial" w:cs="Arial"/>
          <w:i/>
          <w:iCs/>
          <w:lang w:val="en-GB"/>
        </w:rPr>
        <w:t>Growth and Change</w:t>
      </w:r>
      <w:r w:rsidRPr="00C50619">
        <w:rPr>
          <w:rFonts w:ascii="Arial" w:hAnsi="Arial" w:cs="Arial"/>
          <w:lang w:val="en-GB"/>
        </w:rPr>
        <w:t>, </w:t>
      </w:r>
      <w:r w:rsidRPr="00C50619">
        <w:rPr>
          <w:rFonts w:ascii="Arial" w:hAnsi="Arial" w:cs="Arial"/>
          <w:i/>
          <w:iCs/>
          <w:lang w:val="en-GB"/>
        </w:rPr>
        <w:t>51</w:t>
      </w:r>
      <w:r w:rsidRPr="00C50619">
        <w:rPr>
          <w:rFonts w:ascii="Arial" w:hAnsi="Arial" w:cs="Arial"/>
          <w:lang w:val="en-GB"/>
        </w:rPr>
        <w:t>(3), pp.1102-1123.</w:t>
      </w:r>
    </w:p>
    <w:p w14:paraId="3C6416B2"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Sun, L. and Yang, Q. (2025). Strategic Synergy between Financial Leverage and Technological Innovation: Analysing BYD's Competitive Edge in the Global EV Market: A Mixed-Methods Study Integrating Porter's Five Forces Analysis with a Financial Strategy Matrix (2018--2024). </w:t>
      </w:r>
      <w:r w:rsidRPr="00C50619">
        <w:rPr>
          <w:rFonts w:ascii="Arial" w:hAnsi="Arial" w:cs="Arial"/>
          <w:i/>
          <w:iCs/>
          <w:lang w:val="en-GB"/>
        </w:rPr>
        <w:t>Financial Economics Research</w:t>
      </w:r>
      <w:r w:rsidRPr="00C50619">
        <w:rPr>
          <w:rFonts w:ascii="Arial" w:hAnsi="Arial" w:cs="Arial"/>
          <w:lang w:val="en-GB"/>
        </w:rPr>
        <w:t>, </w:t>
      </w:r>
      <w:r w:rsidRPr="00C50619">
        <w:rPr>
          <w:rFonts w:ascii="Arial" w:hAnsi="Arial" w:cs="Arial"/>
          <w:i/>
          <w:iCs/>
          <w:lang w:val="en-GB"/>
        </w:rPr>
        <w:t>2</w:t>
      </w:r>
      <w:r w:rsidRPr="00C50619">
        <w:rPr>
          <w:rFonts w:ascii="Arial" w:hAnsi="Arial" w:cs="Arial"/>
          <w:lang w:val="en-GB"/>
        </w:rPr>
        <w:t>(1), pp.57-66.</w:t>
      </w:r>
    </w:p>
    <w:p w14:paraId="66C77690"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Sun, X. and Yang, W., (2025). </w:t>
      </w:r>
      <w:r w:rsidRPr="00C50619">
        <w:rPr>
          <w:rFonts w:ascii="Arial" w:eastAsia="Times New Roman" w:hAnsi="Arial" w:cs="Arial"/>
          <w:i/>
          <w:iCs/>
          <w:lang w:val="en-GB" w:eastAsia="en-GB"/>
        </w:rPr>
        <w:t>Strategic Mergers and Acquisitions in the Green Energy Sector</w:t>
      </w:r>
      <w:r w:rsidRPr="00C50619">
        <w:rPr>
          <w:rFonts w:ascii="Arial" w:eastAsia="Times New Roman" w:hAnsi="Arial" w:cs="Arial"/>
          <w:lang w:val="en-GB" w:eastAsia="en-GB"/>
        </w:rPr>
        <w:t xml:space="preserve">. Global Business Review, 22(1), pp.74-89. </w:t>
      </w:r>
    </w:p>
    <w:p w14:paraId="0D1C7298"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Wang, J. and Wang, Y. (2025). A Study on Operating Capital Management Problems and Countermeasures of BYD Company Based on Channel Management. </w:t>
      </w:r>
      <w:r w:rsidRPr="00C50619">
        <w:rPr>
          <w:rFonts w:ascii="Arial" w:hAnsi="Arial" w:cs="Arial"/>
          <w:i/>
          <w:iCs/>
          <w:lang w:val="en-GB"/>
        </w:rPr>
        <w:t>The Development of Humanities and Social Sciences</w:t>
      </w:r>
      <w:r w:rsidRPr="00C50619">
        <w:rPr>
          <w:rFonts w:ascii="Arial" w:hAnsi="Arial" w:cs="Arial"/>
          <w:lang w:val="en-GB"/>
        </w:rPr>
        <w:t>, </w:t>
      </w:r>
      <w:r w:rsidRPr="00C50619">
        <w:rPr>
          <w:rFonts w:ascii="Arial" w:hAnsi="Arial" w:cs="Arial"/>
          <w:i/>
          <w:iCs/>
          <w:lang w:val="en-GB"/>
        </w:rPr>
        <w:t>1</w:t>
      </w:r>
      <w:r w:rsidRPr="00C50619">
        <w:rPr>
          <w:rFonts w:ascii="Arial" w:hAnsi="Arial" w:cs="Arial"/>
          <w:lang w:val="en-GB"/>
        </w:rPr>
        <w:t>(3), pp.1-14.</w:t>
      </w:r>
    </w:p>
    <w:p w14:paraId="1764E380"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Xie, L. and Zhang, T., (2025). </w:t>
      </w:r>
      <w:r w:rsidRPr="00C50619">
        <w:rPr>
          <w:rFonts w:ascii="Arial" w:eastAsia="Times New Roman" w:hAnsi="Arial" w:cs="Arial"/>
          <w:i/>
          <w:iCs/>
          <w:lang w:val="en-GB" w:eastAsia="en-GB"/>
        </w:rPr>
        <w:t>Mitigating Currency Risks in International Mergers and Acquisitions</w:t>
      </w:r>
      <w:r w:rsidRPr="00C50619">
        <w:rPr>
          <w:rFonts w:ascii="Arial" w:eastAsia="Times New Roman" w:hAnsi="Arial" w:cs="Arial"/>
          <w:lang w:val="en-GB" w:eastAsia="en-GB"/>
        </w:rPr>
        <w:t xml:space="preserve">. Global Finance Review, 26(1), pp.99-113. </w:t>
      </w:r>
    </w:p>
    <w:p w14:paraId="14785468"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lastRenderedPageBreak/>
        <w:t xml:space="preserve">Zhang, D. and Liu, Q., (2023). </w:t>
      </w:r>
      <w:r w:rsidRPr="00C50619">
        <w:rPr>
          <w:rFonts w:ascii="Arial" w:eastAsia="Times New Roman" w:hAnsi="Arial" w:cs="Arial"/>
          <w:i/>
          <w:iCs/>
          <w:lang w:val="en-GB" w:eastAsia="en-GB"/>
        </w:rPr>
        <w:t>Shareholder Value and Corporate Divestitures</w:t>
      </w:r>
      <w:r w:rsidRPr="00C50619">
        <w:rPr>
          <w:rFonts w:ascii="Arial" w:eastAsia="Times New Roman" w:hAnsi="Arial" w:cs="Arial"/>
          <w:lang w:val="en-GB" w:eastAsia="en-GB"/>
        </w:rPr>
        <w:t xml:space="preserve">. Journal of Financial Management, 19(4), pp.98-110. </w:t>
      </w:r>
    </w:p>
    <w:p w14:paraId="674AE861"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Zhou, Y. (2025). A Diagnosis of BYD’s innovation activities and recommendations for change. </w:t>
      </w:r>
      <w:r w:rsidRPr="00C50619">
        <w:rPr>
          <w:rFonts w:ascii="Arial" w:hAnsi="Arial" w:cs="Arial"/>
          <w:i/>
          <w:iCs/>
          <w:lang w:val="en-GB"/>
        </w:rPr>
        <w:t>Advances in Economics and Management Research</w:t>
      </w:r>
      <w:r w:rsidRPr="00C50619">
        <w:rPr>
          <w:rFonts w:ascii="Arial" w:hAnsi="Arial" w:cs="Arial"/>
          <w:lang w:val="en-GB"/>
        </w:rPr>
        <w:t>, </w:t>
      </w:r>
      <w:r w:rsidRPr="00C50619">
        <w:rPr>
          <w:rFonts w:ascii="Arial" w:hAnsi="Arial" w:cs="Arial"/>
          <w:i/>
          <w:iCs/>
          <w:lang w:val="en-GB"/>
        </w:rPr>
        <w:t>15</w:t>
      </w:r>
      <w:r w:rsidRPr="00C50619">
        <w:rPr>
          <w:rFonts w:ascii="Arial" w:hAnsi="Arial" w:cs="Arial"/>
          <w:lang w:val="en-GB"/>
        </w:rPr>
        <w:t>(1), pp.38-38.</w:t>
      </w:r>
    </w:p>
    <w:p w14:paraId="5CE70153" w14:textId="77777777" w:rsidR="001A19A9" w:rsidRPr="00C50619" w:rsidRDefault="001A19A9" w:rsidP="001A19A9">
      <w:pPr>
        <w:spacing w:line="360" w:lineRule="auto"/>
        <w:jc w:val="both"/>
        <w:rPr>
          <w:rFonts w:ascii="Arial" w:hAnsi="Arial" w:cs="Arial"/>
          <w:lang w:val="en-GB"/>
        </w:rPr>
      </w:pPr>
    </w:p>
    <w:p w14:paraId="252AAA97" w14:textId="77777777" w:rsidR="001A19A9" w:rsidRPr="00C50619" w:rsidRDefault="001A19A9" w:rsidP="001A19A9">
      <w:pPr>
        <w:spacing w:line="360" w:lineRule="auto"/>
        <w:jc w:val="both"/>
        <w:rPr>
          <w:rFonts w:ascii="Arial" w:hAnsi="Arial" w:cs="Arial"/>
          <w:lang w:val="en-GB"/>
        </w:rPr>
      </w:pPr>
    </w:p>
    <w:p w14:paraId="70DF29BC" w14:textId="77777777" w:rsidR="001A19A9" w:rsidRPr="00C50619" w:rsidRDefault="001A19A9" w:rsidP="001A19A9">
      <w:pPr>
        <w:spacing w:line="360" w:lineRule="auto"/>
        <w:jc w:val="both"/>
        <w:rPr>
          <w:rFonts w:ascii="Arial" w:hAnsi="Arial" w:cs="Arial"/>
          <w:lang w:val="en-GB"/>
        </w:rPr>
      </w:pPr>
    </w:p>
    <w:p w14:paraId="3C510B0E" w14:textId="77777777" w:rsidR="001A19A9" w:rsidRPr="00C50619" w:rsidRDefault="001A19A9" w:rsidP="001A19A9">
      <w:pPr>
        <w:spacing w:line="360" w:lineRule="auto"/>
        <w:jc w:val="both"/>
        <w:rPr>
          <w:rFonts w:ascii="Arial" w:hAnsi="Arial" w:cs="Arial"/>
          <w:lang w:val="en-GB"/>
        </w:rPr>
      </w:pPr>
    </w:p>
    <w:p w14:paraId="0C21F85F" w14:textId="77777777" w:rsidR="001A19A9" w:rsidRPr="00C50619" w:rsidRDefault="001A19A9" w:rsidP="001A19A9">
      <w:pPr>
        <w:spacing w:line="360" w:lineRule="auto"/>
        <w:jc w:val="both"/>
        <w:rPr>
          <w:rFonts w:ascii="Arial" w:hAnsi="Arial" w:cs="Arial"/>
          <w:lang w:val="en-GB"/>
        </w:rPr>
      </w:pPr>
    </w:p>
    <w:p w14:paraId="0E4217A7" w14:textId="77777777" w:rsidR="001A19A9" w:rsidRPr="00C50619" w:rsidRDefault="001A19A9" w:rsidP="001A19A9">
      <w:pPr>
        <w:spacing w:line="360" w:lineRule="auto"/>
        <w:jc w:val="both"/>
        <w:rPr>
          <w:rFonts w:ascii="Arial" w:hAnsi="Arial" w:cs="Arial"/>
          <w:lang w:val="en-GB"/>
        </w:rPr>
      </w:pPr>
    </w:p>
    <w:p w14:paraId="18920B8E" w14:textId="77777777" w:rsidR="001A19A9" w:rsidRPr="00C50619" w:rsidRDefault="001A19A9" w:rsidP="001A19A9">
      <w:pPr>
        <w:spacing w:line="360" w:lineRule="auto"/>
        <w:jc w:val="both"/>
        <w:rPr>
          <w:rFonts w:ascii="Arial" w:hAnsi="Arial" w:cs="Arial"/>
          <w:lang w:val="en-GB"/>
        </w:rPr>
      </w:pPr>
    </w:p>
    <w:p w14:paraId="35D20EAB" w14:textId="77777777" w:rsidR="001A19A9" w:rsidRPr="00C50619" w:rsidRDefault="001A19A9" w:rsidP="001A19A9">
      <w:pPr>
        <w:spacing w:line="360" w:lineRule="auto"/>
        <w:jc w:val="both"/>
        <w:rPr>
          <w:rFonts w:ascii="Arial" w:hAnsi="Arial" w:cs="Arial"/>
          <w:lang w:val="en-GB"/>
        </w:rPr>
      </w:pPr>
    </w:p>
    <w:p w14:paraId="568985EB" w14:textId="77777777" w:rsidR="001A19A9" w:rsidRPr="00C50619" w:rsidRDefault="001A19A9" w:rsidP="001A19A9">
      <w:pPr>
        <w:spacing w:line="360" w:lineRule="auto"/>
        <w:jc w:val="both"/>
        <w:rPr>
          <w:rFonts w:ascii="Arial" w:hAnsi="Arial" w:cs="Arial"/>
          <w:lang w:val="en-GB"/>
        </w:rPr>
      </w:pPr>
    </w:p>
    <w:p w14:paraId="74E3735E" w14:textId="77777777" w:rsidR="001A19A9" w:rsidRPr="00C50619" w:rsidRDefault="001A19A9" w:rsidP="001A19A9">
      <w:pPr>
        <w:spacing w:line="360" w:lineRule="auto"/>
        <w:jc w:val="both"/>
        <w:rPr>
          <w:rFonts w:ascii="Arial" w:hAnsi="Arial" w:cs="Arial"/>
          <w:lang w:val="en-GB"/>
        </w:rPr>
      </w:pPr>
    </w:p>
    <w:p w14:paraId="54CDC5AC" w14:textId="77777777" w:rsidR="001A19A9" w:rsidRPr="00C50619" w:rsidRDefault="001A19A9" w:rsidP="001A19A9">
      <w:pPr>
        <w:spacing w:line="360" w:lineRule="auto"/>
        <w:jc w:val="both"/>
        <w:rPr>
          <w:rFonts w:ascii="Arial" w:hAnsi="Arial" w:cs="Arial"/>
          <w:lang w:val="en-GB"/>
        </w:rPr>
      </w:pPr>
    </w:p>
    <w:p w14:paraId="7525404E" w14:textId="77777777" w:rsidR="001A19A9" w:rsidRPr="00C50619" w:rsidRDefault="001A19A9" w:rsidP="001A19A9">
      <w:pPr>
        <w:spacing w:line="360" w:lineRule="auto"/>
        <w:jc w:val="both"/>
        <w:rPr>
          <w:rFonts w:ascii="Arial" w:hAnsi="Arial" w:cs="Arial"/>
          <w:lang w:val="en-GB"/>
        </w:rPr>
      </w:pPr>
    </w:p>
    <w:p w14:paraId="3120F4F6" w14:textId="77777777" w:rsidR="001A19A9" w:rsidRPr="00C50619" w:rsidRDefault="001A19A9" w:rsidP="001A19A9">
      <w:pPr>
        <w:spacing w:line="360" w:lineRule="auto"/>
        <w:jc w:val="both"/>
        <w:rPr>
          <w:rFonts w:ascii="Arial" w:hAnsi="Arial" w:cs="Arial"/>
          <w:lang w:val="en-GB"/>
        </w:rPr>
      </w:pPr>
    </w:p>
    <w:p w14:paraId="5862482C" w14:textId="77777777" w:rsidR="001A19A9" w:rsidRPr="00C50619" w:rsidRDefault="001A19A9" w:rsidP="001A19A9">
      <w:pPr>
        <w:spacing w:line="360" w:lineRule="auto"/>
        <w:jc w:val="both"/>
        <w:rPr>
          <w:rFonts w:ascii="Arial" w:hAnsi="Arial" w:cs="Arial"/>
          <w:lang w:val="en-GB"/>
        </w:rPr>
      </w:pPr>
    </w:p>
    <w:p w14:paraId="4D77B2C6" w14:textId="77777777" w:rsidR="001A19A9" w:rsidRPr="00C50619" w:rsidRDefault="001A19A9" w:rsidP="001A19A9">
      <w:pPr>
        <w:spacing w:line="360" w:lineRule="auto"/>
        <w:jc w:val="both"/>
        <w:rPr>
          <w:rFonts w:ascii="Arial" w:hAnsi="Arial" w:cs="Arial"/>
          <w:lang w:val="en-GB"/>
        </w:rPr>
      </w:pPr>
    </w:p>
    <w:p w14:paraId="04123A43" w14:textId="77777777" w:rsidR="001A19A9" w:rsidRPr="00C50619" w:rsidRDefault="001A19A9" w:rsidP="001A19A9">
      <w:pPr>
        <w:spacing w:line="360" w:lineRule="auto"/>
        <w:jc w:val="both"/>
        <w:rPr>
          <w:rFonts w:ascii="Arial" w:hAnsi="Arial" w:cs="Arial"/>
          <w:lang w:val="en-GB"/>
        </w:rPr>
      </w:pPr>
    </w:p>
    <w:p w14:paraId="6CC437B7" w14:textId="4589A002" w:rsidR="00BC754A" w:rsidRPr="00C50619" w:rsidRDefault="00400C98" w:rsidP="00513E41">
      <w:pPr>
        <w:pStyle w:val="Heading1"/>
        <w:spacing w:line="360" w:lineRule="auto"/>
        <w:rPr>
          <w:rFonts w:cs="Arial"/>
          <w:sz w:val="24"/>
          <w:szCs w:val="24"/>
          <w:lang w:val="en-GB"/>
        </w:rPr>
      </w:pPr>
      <w:bookmarkStart w:id="32" w:name="_Toc227770641"/>
      <w:r w:rsidRPr="00C50619">
        <w:rPr>
          <w:rFonts w:cs="Arial"/>
          <w:sz w:val="24"/>
          <w:szCs w:val="24"/>
          <w:lang w:val="en-GB"/>
        </w:rPr>
        <w:lastRenderedPageBreak/>
        <w:t xml:space="preserve">8. </w:t>
      </w:r>
      <w:r w:rsidR="00BC754A" w:rsidRPr="00C50619">
        <w:rPr>
          <w:rFonts w:cs="Arial"/>
          <w:sz w:val="24"/>
          <w:szCs w:val="24"/>
          <w:lang w:val="en-GB"/>
        </w:rPr>
        <w:t>Appendices</w:t>
      </w:r>
      <w:bookmarkEnd w:id="32"/>
      <w:r w:rsidR="00BC754A" w:rsidRPr="00C50619">
        <w:rPr>
          <w:rFonts w:cs="Arial"/>
          <w:sz w:val="24"/>
          <w:szCs w:val="24"/>
          <w:lang w:val="en-GB"/>
        </w:rPr>
        <w:t xml:space="preserve"> </w:t>
      </w:r>
    </w:p>
    <w:p w14:paraId="3E9A6150" w14:textId="77777777" w:rsidR="00BC754A" w:rsidRPr="00C50619" w:rsidRDefault="00BC754A" w:rsidP="00513E41">
      <w:pPr>
        <w:pStyle w:val="Heading2"/>
        <w:spacing w:line="360" w:lineRule="auto"/>
        <w:rPr>
          <w:rFonts w:cs="Arial"/>
          <w:szCs w:val="24"/>
          <w:lang w:val="en-GB"/>
        </w:rPr>
      </w:pPr>
      <w:bookmarkStart w:id="33" w:name="_Appendix_1:_Ratio"/>
      <w:bookmarkStart w:id="34" w:name="_Toc227770642"/>
      <w:bookmarkEnd w:id="33"/>
      <w:r w:rsidRPr="00C50619">
        <w:rPr>
          <w:rFonts w:cs="Arial"/>
          <w:szCs w:val="24"/>
          <w:lang w:val="en-GB"/>
        </w:rPr>
        <w:t>Appendix 1: Ratio tables</w:t>
      </w:r>
      <w:bookmarkEnd w:id="34"/>
    </w:p>
    <w:tbl>
      <w:tblPr>
        <w:tblW w:w="8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0"/>
        <w:gridCol w:w="2978"/>
        <w:gridCol w:w="851"/>
        <w:gridCol w:w="851"/>
        <w:gridCol w:w="902"/>
        <w:gridCol w:w="902"/>
        <w:gridCol w:w="902"/>
      </w:tblGrid>
      <w:tr w:rsidR="004C379C" w:rsidRPr="00C50619" w14:paraId="7DC12C1C" w14:textId="77777777" w:rsidTr="00586ABB">
        <w:trPr>
          <w:trHeight w:val="449"/>
        </w:trPr>
        <w:tc>
          <w:tcPr>
            <w:tcW w:w="8922" w:type="dxa"/>
            <w:gridSpan w:val="7"/>
            <w:shd w:val="clear" w:color="404040" w:fill="1F3864"/>
            <w:noWrap/>
            <w:vAlign w:val="center"/>
            <w:hideMark/>
          </w:tcPr>
          <w:p w14:paraId="247A2A9A"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BYD Company Limited — Financial Ratio Analysis</w:t>
            </w:r>
          </w:p>
        </w:tc>
      </w:tr>
      <w:tr w:rsidR="004C379C" w:rsidRPr="00C50619" w14:paraId="2B473220" w14:textId="77777777" w:rsidTr="00586ABB">
        <w:trPr>
          <w:trHeight w:val="252"/>
        </w:trPr>
        <w:tc>
          <w:tcPr>
            <w:tcW w:w="8922" w:type="dxa"/>
            <w:gridSpan w:val="7"/>
            <w:noWrap/>
            <w:vAlign w:val="bottom"/>
            <w:hideMark/>
          </w:tcPr>
          <w:p w14:paraId="76C62A06" w14:textId="77777777" w:rsidR="004C379C" w:rsidRPr="00C50619" w:rsidRDefault="004C379C" w:rsidP="00513E41">
            <w:pPr>
              <w:spacing w:after="0" w:line="360" w:lineRule="auto"/>
              <w:jc w:val="both"/>
              <w:rPr>
                <w:rFonts w:ascii="Arial" w:eastAsia="Times New Roman" w:hAnsi="Arial" w:cs="Arial"/>
                <w:i/>
                <w:iCs/>
                <w:color w:val="404040"/>
                <w:kern w:val="0"/>
                <w:lang w:val="en-GB"/>
                <w14:ligatures w14:val="none"/>
              </w:rPr>
            </w:pPr>
            <w:r w:rsidRPr="00C50619">
              <w:rPr>
                <w:rFonts w:ascii="Arial" w:eastAsia="Times New Roman" w:hAnsi="Arial" w:cs="Arial"/>
                <w:i/>
                <w:iCs/>
                <w:color w:val="404040"/>
                <w:kern w:val="0"/>
                <w:lang w:val="en-GB"/>
                <w14:ligatures w14:val="none"/>
              </w:rPr>
              <w:t>Source: BYD Annual Reports 2020–2024  |  Formulas linked to source sheets</w:t>
            </w:r>
          </w:p>
        </w:tc>
      </w:tr>
      <w:tr w:rsidR="004C379C" w:rsidRPr="00C50619" w14:paraId="422C38B3" w14:textId="77777777" w:rsidTr="00586ABB">
        <w:trPr>
          <w:trHeight w:val="336"/>
        </w:trPr>
        <w:tc>
          <w:tcPr>
            <w:tcW w:w="2332" w:type="dxa"/>
            <w:shd w:val="clear" w:color="404040" w:fill="1F3864"/>
            <w:noWrap/>
            <w:vAlign w:val="center"/>
            <w:hideMark/>
          </w:tcPr>
          <w:p w14:paraId="655AB889"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Ratio / Metric</w:t>
            </w:r>
          </w:p>
        </w:tc>
        <w:tc>
          <w:tcPr>
            <w:tcW w:w="3176" w:type="dxa"/>
            <w:shd w:val="clear" w:color="404040" w:fill="1F3864"/>
            <w:noWrap/>
            <w:vAlign w:val="center"/>
            <w:hideMark/>
          </w:tcPr>
          <w:p w14:paraId="64664179"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Formula Definition</w:t>
            </w:r>
          </w:p>
        </w:tc>
        <w:tc>
          <w:tcPr>
            <w:tcW w:w="674" w:type="dxa"/>
            <w:shd w:val="clear" w:color="4A7EBB" w:fill="2E75B6"/>
            <w:noWrap/>
            <w:vAlign w:val="center"/>
            <w:hideMark/>
          </w:tcPr>
          <w:p w14:paraId="41EAB9C4"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2020</w:t>
            </w:r>
          </w:p>
        </w:tc>
        <w:tc>
          <w:tcPr>
            <w:tcW w:w="674" w:type="dxa"/>
            <w:shd w:val="clear" w:color="4A7EBB" w:fill="2E75B6"/>
            <w:noWrap/>
            <w:vAlign w:val="center"/>
            <w:hideMark/>
          </w:tcPr>
          <w:p w14:paraId="64E562E0"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2021</w:t>
            </w:r>
          </w:p>
        </w:tc>
        <w:tc>
          <w:tcPr>
            <w:tcW w:w="688" w:type="dxa"/>
            <w:shd w:val="clear" w:color="4A7EBB" w:fill="2E75B6"/>
            <w:noWrap/>
            <w:vAlign w:val="center"/>
            <w:hideMark/>
          </w:tcPr>
          <w:p w14:paraId="4F0F20F0"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2022</w:t>
            </w:r>
          </w:p>
        </w:tc>
        <w:tc>
          <w:tcPr>
            <w:tcW w:w="688" w:type="dxa"/>
            <w:shd w:val="clear" w:color="4A7EBB" w:fill="2E75B6"/>
            <w:noWrap/>
            <w:vAlign w:val="center"/>
            <w:hideMark/>
          </w:tcPr>
          <w:p w14:paraId="126F70CE"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2023</w:t>
            </w:r>
          </w:p>
        </w:tc>
        <w:tc>
          <w:tcPr>
            <w:tcW w:w="688" w:type="dxa"/>
            <w:shd w:val="clear" w:color="4A7EBB" w:fill="2E75B6"/>
            <w:noWrap/>
            <w:vAlign w:val="center"/>
            <w:hideMark/>
          </w:tcPr>
          <w:p w14:paraId="58474B9A"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2024</w:t>
            </w:r>
          </w:p>
        </w:tc>
      </w:tr>
      <w:tr w:rsidR="004C379C" w:rsidRPr="00C50619" w14:paraId="3C46E04E" w14:textId="77777777" w:rsidTr="00586ABB">
        <w:trPr>
          <w:trHeight w:val="294"/>
        </w:trPr>
        <w:tc>
          <w:tcPr>
            <w:tcW w:w="8922" w:type="dxa"/>
            <w:gridSpan w:val="7"/>
            <w:shd w:val="clear" w:color="404040" w:fill="1F3864"/>
            <w:noWrap/>
            <w:vAlign w:val="center"/>
            <w:hideMark/>
          </w:tcPr>
          <w:p w14:paraId="3587F821"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1. PROFITABILITY RATIOS</w:t>
            </w:r>
          </w:p>
        </w:tc>
      </w:tr>
      <w:tr w:rsidR="004C379C" w:rsidRPr="00C50619" w14:paraId="4CF1B8B0" w14:textId="77777777" w:rsidTr="00586ABB">
        <w:trPr>
          <w:trHeight w:val="280"/>
        </w:trPr>
        <w:tc>
          <w:tcPr>
            <w:tcW w:w="2332" w:type="dxa"/>
            <w:noWrap/>
            <w:vAlign w:val="center"/>
            <w:hideMark/>
          </w:tcPr>
          <w:p w14:paraId="0617F3C5"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Gross Profit Margin</w:t>
            </w:r>
          </w:p>
        </w:tc>
        <w:tc>
          <w:tcPr>
            <w:tcW w:w="3176" w:type="dxa"/>
            <w:noWrap/>
            <w:vAlign w:val="center"/>
            <w:hideMark/>
          </w:tcPr>
          <w:p w14:paraId="5FEF8177"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Gross Profit / Revenue</w:t>
            </w:r>
          </w:p>
        </w:tc>
        <w:tc>
          <w:tcPr>
            <w:tcW w:w="674" w:type="dxa"/>
            <w:noWrap/>
            <w:vAlign w:val="center"/>
            <w:hideMark/>
          </w:tcPr>
          <w:p w14:paraId="0246953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17.8%</w:t>
            </w:r>
          </w:p>
        </w:tc>
        <w:tc>
          <w:tcPr>
            <w:tcW w:w="674" w:type="dxa"/>
            <w:noWrap/>
            <w:vAlign w:val="center"/>
            <w:hideMark/>
          </w:tcPr>
          <w:p w14:paraId="68D7106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13.0%</w:t>
            </w:r>
          </w:p>
        </w:tc>
        <w:tc>
          <w:tcPr>
            <w:tcW w:w="688" w:type="dxa"/>
            <w:noWrap/>
            <w:vAlign w:val="center"/>
            <w:hideMark/>
          </w:tcPr>
          <w:p w14:paraId="1D9E47A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17.0%</w:t>
            </w:r>
          </w:p>
        </w:tc>
        <w:tc>
          <w:tcPr>
            <w:tcW w:w="688" w:type="dxa"/>
            <w:noWrap/>
            <w:vAlign w:val="center"/>
            <w:hideMark/>
          </w:tcPr>
          <w:p w14:paraId="5C3057B1"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20.2%</w:t>
            </w:r>
          </w:p>
        </w:tc>
        <w:tc>
          <w:tcPr>
            <w:tcW w:w="688" w:type="dxa"/>
            <w:noWrap/>
            <w:vAlign w:val="center"/>
            <w:hideMark/>
          </w:tcPr>
          <w:p w14:paraId="45A102B5"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19.4%</w:t>
            </w:r>
          </w:p>
        </w:tc>
      </w:tr>
      <w:tr w:rsidR="004C379C" w:rsidRPr="00C50619" w14:paraId="6123FB6A" w14:textId="77777777" w:rsidTr="00586ABB">
        <w:trPr>
          <w:trHeight w:val="280"/>
        </w:trPr>
        <w:tc>
          <w:tcPr>
            <w:tcW w:w="2332" w:type="dxa"/>
            <w:noWrap/>
            <w:vAlign w:val="center"/>
            <w:hideMark/>
          </w:tcPr>
          <w:p w14:paraId="7047171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Operating Profit Margin</w:t>
            </w:r>
          </w:p>
        </w:tc>
        <w:tc>
          <w:tcPr>
            <w:tcW w:w="3176" w:type="dxa"/>
            <w:noWrap/>
            <w:vAlign w:val="center"/>
            <w:hideMark/>
          </w:tcPr>
          <w:p w14:paraId="724DE7C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Operating Profit / Revenue</w:t>
            </w:r>
          </w:p>
        </w:tc>
        <w:tc>
          <w:tcPr>
            <w:tcW w:w="674" w:type="dxa"/>
            <w:noWrap/>
            <w:vAlign w:val="center"/>
            <w:hideMark/>
          </w:tcPr>
          <w:p w14:paraId="31C1CB6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2.4%</w:t>
            </w:r>
          </w:p>
        </w:tc>
        <w:tc>
          <w:tcPr>
            <w:tcW w:w="674" w:type="dxa"/>
            <w:noWrap/>
            <w:vAlign w:val="center"/>
            <w:hideMark/>
          </w:tcPr>
          <w:p w14:paraId="72A62AD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2.1%</w:t>
            </w:r>
          </w:p>
        </w:tc>
        <w:tc>
          <w:tcPr>
            <w:tcW w:w="688" w:type="dxa"/>
            <w:noWrap/>
            <w:vAlign w:val="center"/>
            <w:hideMark/>
          </w:tcPr>
          <w:p w14:paraId="6BC5E81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5.1%</w:t>
            </w:r>
          </w:p>
        </w:tc>
        <w:tc>
          <w:tcPr>
            <w:tcW w:w="688" w:type="dxa"/>
            <w:noWrap/>
            <w:vAlign w:val="center"/>
            <w:hideMark/>
          </w:tcPr>
          <w:p w14:paraId="2266D6B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6.3%</w:t>
            </w:r>
          </w:p>
        </w:tc>
        <w:tc>
          <w:tcPr>
            <w:tcW w:w="688" w:type="dxa"/>
            <w:noWrap/>
            <w:vAlign w:val="center"/>
            <w:hideMark/>
          </w:tcPr>
          <w:p w14:paraId="5E46E74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6.5%</w:t>
            </w:r>
          </w:p>
        </w:tc>
      </w:tr>
      <w:tr w:rsidR="004C379C" w:rsidRPr="00C50619" w14:paraId="47ABCA8D" w14:textId="77777777" w:rsidTr="00586ABB">
        <w:trPr>
          <w:trHeight w:val="280"/>
        </w:trPr>
        <w:tc>
          <w:tcPr>
            <w:tcW w:w="2332" w:type="dxa"/>
            <w:noWrap/>
            <w:vAlign w:val="center"/>
            <w:hideMark/>
          </w:tcPr>
          <w:p w14:paraId="3C71032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Net Profit Margin (Total)</w:t>
            </w:r>
          </w:p>
        </w:tc>
        <w:tc>
          <w:tcPr>
            <w:tcW w:w="3176" w:type="dxa"/>
            <w:noWrap/>
            <w:vAlign w:val="center"/>
            <w:hideMark/>
          </w:tcPr>
          <w:p w14:paraId="56939DE1"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Net Profit / Revenue</w:t>
            </w:r>
          </w:p>
        </w:tc>
        <w:tc>
          <w:tcPr>
            <w:tcW w:w="674" w:type="dxa"/>
            <w:noWrap/>
            <w:vAlign w:val="center"/>
            <w:hideMark/>
          </w:tcPr>
          <w:p w14:paraId="781C93F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2.4%</w:t>
            </w:r>
          </w:p>
        </w:tc>
        <w:tc>
          <w:tcPr>
            <w:tcW w:w="674" w:type="dxa"/>
            <w:noWrap/>
            <w:vAlign w:val="center"/>
            <w:hideMark/>
          </w:tcPr>
          <w:p w14:paraId="7B65FCD1"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1.8%</w:t>
            </w:r>
          </w:p>
        </w:tc>
        <w:tc>
          <w:tcPr>
            <w:tcW w:w="688" w:type="dxa"/>
            <w:noWrap/>
            <w:vAlign w:val="center"/>
            <w:hideMark/>
          </w:tcPr>
          <w:p w14:paraId="12A0C8D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4.2%</w:t>
            </w:r>
          </w:p>
        </w:tc>
        <w:tc>
          <w:tcPr>
            <w:tcW w:w="688" w:type="dxa"/>
            <w:noWrap/>
            <w:vAlign w:val="center"/>
            <w:hideMark/>
          </w:tcPr>
          <w:p w14:paraId="3D460E7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5.2%</w:t>
            </w:r>
          </w:p>
        </w:tc>
        <w:tc>
          <w:tcPr>
            <w:tcW w:w="688" w:type="dxa"/>
            <w:noWrap/>
            <w:vAlign w:val="center"/>
            <w:hideMark/>
          </w:tcPr>
          <w:p w14:paraId="43A5B8B5"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5.4%</w:t>
            </w:r>
          </w:p>
        </w:tc>
      </w:tr>
      <w:tr w:rsidR="004C379C" w:rsidRPr="00C50619" w14:paraId="4DAD7406" w14:textId="77777777" w:rsidTr="00586ABB">
        <w:trPr>
          <w:trHeight w:val="280"/>
        </w:trPr>
        <w:tc>
          <w:tcPr>
            <w:tcW w:w="2332" w:type="dxa"/>
            <w:noWrap/>
            <w:vAlign w:val="center"/>
            <w:hideMark/>
          </w:tcPr>
          <w:p w14:paraId="2486520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Net Profit Margin (Parent)</w:t>
            </w:r>
          </w:p>
        </w:tc>
        <w:tc>
          <w:tcPr>
            <w:tcW w:w="3176" w:type="dxa"/>
            <w:noWrap/>
            <w:vAlign w:val="center"/>
            <w:hideMark/>
          </w:tcPr>
          <w:p w14:paraId="5006737F"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Net Profit (Parent) / Revenue</w:t>
            </w:r>
          </w:p>
        </w:tc>
        <w:tc>
          <w:tcPr>
            <w:tcW w:w="674" w:type="dxa"/>
            <w:noWrap/>
            <w:vAlign w:val="center"/>
            <w:hideMark/>
          </w:tcPr>
          <w:p w14:paraId="2289A08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2.8%</w:t>
            </w:r>
          </w:p>
        </w:tc>
        <w:tc>
          <w:tcPr>
            <w:tcW w:w="674" w:type="dxa"/>
            <w:noWrap/>
            <w:vAlign w:val="center"/>
            <w:hideMark/>
          </w:tcPr>
          <w:p w14:paraId="14DF7F1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w:t>
            </w:r>
          </w:p>
        </w:tc>
        <w:tc>
          <w:tcPr>
            <w:tcW w:w="688" w:type="dxa"/>
            <w:noWrap/>
            <w:vAlign w:val="center"/>
            <w:hideMark/>
          </w:tcPr>
          <w:p w14:paraId="5D1C0D8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3.9%</w:t>
            </w:r>
          </w:p>
        </w:tc>
        <w:tc>
          <w:tcPr>
            <w:tcW w:w="688" w:type="dxa"/>
            <w:noWrap/>
            <w:vAlign w:val="center"/>
            <w:hideMark/>
          </w:tcPr>
          <w:p w14:paraId="183F719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w:t>
            </w:r>
          </w:p>
        </w:tc>
        <w:tc>
          <w:tcPr>
            <w:tcW w:w="688" w:type="dxa"/>
            <w:noWrap/>
            <w:vAlign w:val="center"/>
            <w:hideMark/>
          </w:tcPr>
          <w:p w14:paraId="54F4C81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5.2%</w:t>
            </w:r>
          </w:p>
        </w:tc>
      </w:tr>
      <w:tr w:rsidR="004C379C" w:rsidRPr="00C50619" w14:paraId="0452CAD7" w14:textId="77777777" w:rsidTr="00586ABB">
        <w:trPr>
          <w:trHeight w:val="280"/>
        </w:trPr>
        <w:tc>
          <w:tcPr>
            <w:tcW w:w="2332" w:type="dxa"/>
            <w:noWrap/>
            <w:vAlign w:val="center"/>
            <w:hideMark/>
          </w:tcPr>
          <w:p w14:paraId="1248D736"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Return on Equity (ROE)</w:t>
            </w:r>
          </w:p>
        </w:tc>
        <w:tc>
          <w:tcPr>
            <w:tcW w:w="3176" w:type="dxa"/>
            <w:noWrap/>
            <w:vAlign w:val="center"/>
            <w:hideMark/>
          </w:tcPr>
          <w:p w14:paraId="0F74DB9B"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 xml:space="preserve">Net Profit (Parent) / </w:t>
            </w:r>
            <w:proofErr w:type="spellStart"/>
            <w:r w:rsidRPr="00C50619">
              <w:rPr>
                <w:rFonts w:ascii="Arial" w:eastAsia="Times New Roman" w:hAnsi="Arial" w:cs="Arial"/>
                <w:i/>
                <w:iCs/>
                <w:color w:val="555555"/>
                <w:kern w:val="0"/>
                <w:lang w:val="en-GB"/>
                <w14:ligatures w14:val="none"/>
              </w:rPr>
              <w:t>Avg</w:t>
            </w:r>
            <w:proofErr w:type="spellEnd"/>
            <w:r w:rsidRPr="00C50619">
              <w:rPr>
                <w:rFonts w:ascii="Arial" w:eastAsia="Times New Roman" w:hAnsi="Arial" w:cs="Arial"/>
                <w:i/>
                <w:iCs/>
                <w:color w:val="555555"/>
                <w:kern w:val="0"/>
                <w:lang w:val="en-GB"/>
                <w14:ligatures w14:val="none"/>
              </w:rPr>
              <w:t xml:space="preserve"> Parent Equity</w:t>
            </w:r>
          </w:p>
        </w:tc>
        <w:tc>
          <w:tcPr>
            <w:tcW w:w="674" w:type="dxa"/>
            <w:noWrap/>
            <w:vAlign w:val="center"/>
            <w:hideMark/>
          </w:tcPr>
          <w:p w14:paraId="11198A8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15.2%</w:t>
            </w:r>
          </w:p>
        </w:tc>
        <w:tc>
          <w:tcPr>
            <w:tcW w:w="674" w:type="dxa"/>
            <w:noWrap/>
            <w:vAlign w:val="center"/>
            <w:hideMark/>
          </w:tcPr>
          <w:p w14:paraId="1BE3050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4.0%</w:t>
            </w:r>
          </w:p>
        </w:tc>
        <w:tc>
          <w:tcPr>
            <w:tcW w:w="688" w:type="dxa"/>
            <w:noWrap/>
            <w:vAlign w:val="center"/>
            <w:hideMark/>
          </w:tcPr>
          <w:p w14:paraId="6F449DA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16.0%</w:t>
            </w:r>
          </w:p>
        </w:tc>
        <w:tc>
          <w:tcPr>
            <w:tcW w:w="688" w:type="dxa"/>
            <w:noWrap/>
            <w:vAlign w:val="center"/>
            <w:hideMark/>
          </w:tcPr>
          <w:p w14:paraId="366208A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23.9%</w:t>
            </w:r>
          </w:p>
        </w:tc>
        <w:tc>
          <w:tcPr>
            <w:tcW w:w="688" w:type="dxa"/>
            <w:noWrap/>
            <w:vAlign w:val="center"/>
            <w:hideMark/>
          </w:tcPr>
          <w:p w14:paraId="69F20265"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26.0%</w:t>
            </w:r>
          </w:p>
        </w:tc>
      </w:tr>
      <w:tr w:rsidR="004C379C" w:rsidRPr="00C50619" w14:paraId="27B1932B" w14:textId="77777777" w:rsidTr="00586ABB">
        <w:trPr>
          <w:trHeight w:val="280"/>
        </w:trPr>
        <w:tc>
          <w:tcPr>
            <w:tcW w:w="2332" w:type="dxa"/>
            <w:noWrap/>
            <w:vAlign w:val="center"/>
            <w:hideMark/>
          </w:tcPr>
          <w:p w14:paraId="773C4E0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Return on Assets (ROA)</w:t>
            </w:r>
          </w:p>
        </w:tc>
        <w:tc>
          <w:tcPr>
            <w:tcW w:w="3176" w:type="dxa"/>
            <w:noWrap/>
            <w:vAlign w:val="center"/>
            <w:hideMark/>
          </w:tcPr>
          <w:p w14:paraId="5F8A5E06"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 xml:space="preserve">Net Profit / </w:t>
            </w:r>
            <w:proofErr w:type="spellStart"/>
            <w:r w:rsidRPr="00C50619">
              <w:rPr>
                <w:rFonts w:ascii="Arial" w:eastAsia="Times New Roman" w:hAnsi="Arial" w:cs="Arial"/>
                <w:i/>
                <w:iCs/>
                <w:color w:val="555555"/>
                <w:kern w:val="0"/>
                <w:lang w:val="en-GB"/>
                <w14:ligatures w14:val="none"/>
              </w:rPr>
              <w:t>Avg</w:t>
            </w:r>
            <w:proofErr w:type="spellEnd"/>
            <w:r w:rsidRPr="00C50619">
              <w:rPr>
                <w:rFonts w:ascii="Arial" w:eastAsia="Times New Roman" w:hAnsi="Arial" w:cs="Arial"/>
                <w:i/>
                <w:iCs/>
                <w:color w:val="555555"/>
                <w:kern w:val="0"/>
                <w:lang w:val="en-GB"/>
                <w14:ligatures w14:val="none"/>
              </w:rPr>
              <w:t xml:space="preserve"> Total Assets</w:t>
            </w:r>
          </w:p>
        </w:tc>
        <w:tc>
          <w:tcPr>
            <w:tcW w:w="674" w:type="dxa"/>
            <w:noWrap/>
            <w:vAlign w:val="center"/>
            <w:hideMark/>
          </w:tcPr>
          <w:p w14:paraId="5A45F33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3.6%</w:t>
            </w:r>
          </w:p>
        </w:tc>
        <w:tc>
          <w:tcPr>
            <w:tcW w:w="674" w:type="dxa"/>
            <w:noWrap/>
            <w:vAlign w:val="center"/>
            <w:hideMark/>
          </w:tcPr>
          <w:p w14:paraId="489008B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1.6%</w:t>
            </w:r>
          </w:p>
        </w:tc>
        <w:tc>
          <w:tcPr>
            <w:tcW w:w="688" w:type="dxa"/>
            <w:noWrap/>
            <w:vAlign w:val="center"/>
            <w:hideMark/>
          </w:tcPr>
          <w:p w14:paraId="58ABA48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4.6%</w:t>
            </w:r>
          </w:p>
        </w:tc>
        <w:tc>
          <w:tcPr>
            <w:tcW w:w="688" w:type="dxa"/>
            <w:noWrap/>
            <w:vAlign w:val="center"/>
            <w:hideMark/>
          </w:tcPr>
          <w:p w14:paraId="4BD4C56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5.5%</w:t>
            </w:r>
          </w:p>
        </w:tc>
        <w:tc>
          <w:tcPr>
            <w:tcW w:w="688" w:type="dxa"/>
            <w:noWrap/>
            <w:vAlign w:val="center"/>
            <w:hideMark/>
          </w:tcPr>
          <w:p w14:paraId="3CA52CB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5.8%</w:t>
            </w:r>
          </w:p>
        </w:tc>
      </w:tr>
      <w:tr w:rsidR="004C379C" w:rsidRPr="00C50619" w14:paraId="652B56E7" w14:textId="77777777" w:rsidTr="00586ABB">
        <w:trPr>
          <w:trHeight w:val="280"/>
        </w:trPr>
        <w:tc>
          <w:tcPr>
            <w:tcW w:w="2332" w:type="dxa"/>
            <w:noWrap/>
            <w:vAlign w:val="center"/>
            <w:hideMark/>
          </w:tcPr>
          <w:p w14:paraId="6267A9E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EBIT Margin</w:t>
            </w:r>
          </w:p>
        </w:tc>
        <w:tc>
          <w:tcPr>
            <w:tcW w:w="3176" w:type="dxa"/>
            <w:noWrap/>
            <w:vAlign w:val="center"/>
            <w:hideMark/>
          </w:tcPr>
          <w:p w14:paraId="3DEE794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(Net Profit + Tax + Finance Exp) / Revenue</w:t>
            </w:r>
          </w:p>
        </w:tc>
        <w:tc>
          <w:tcPr>
            <w:tcW w:w="674" w:type="dxa"/>
            <w:noWrap/>
            <w:vAlign w:val="center"/>
            <w:hideMark/>
          </w:tcPr>
          <w:p w14:paraId="00AFA1F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w:t>
            </w:r>
          </w:p>
        </w:tc>
        <w:tc>
          <w:tcPr>
            <w:tcW w:w="674" w:type="dxa"/>
            <w:noWrap/>
            <w:vAlign w:val="center"/>
            <w:hideMark/>
          </w:tcPr>
          <w:p w14:paraId="6CE630C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2.9%</w:t>
            </w:r>
          </w:p>
        </w:tc>
        <w:tc>
          <w:tcPr>
            <w:tcW w:w="688" w:type="dxa"/>
            <w:noWrap/>
            <w:vAlign w:val="center"/>
            <w:hideMark/>
          </w:tcPr>
          <w:p w14:paraId="55EA92F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4.6%</w:t>
            </w:r>
          </w:p>
        </w:tc>
        <w:tc>
          <w:tcPr>
            <w:tcW w:w="688" w:type="dxa"/>
            <w:noWrap/>
            <w:vAlign w:val="center"/>
            <w:hideMark/>
          </w:tcPr>
          <w:p w14:paraId="2315148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5.9%</w:t>
            </w:r>
          </w:p>
        </w:tc>
        <w:tc>
          <w:tcPr>
            <w:tcW w:w="688" w:type="dxa"/>
            <w:noWrap/>
            <w:vAlign w:val="center"/>
            <w:hideMark/>
          </w:tcPr>
          <w:p w14:paraId="7AC1501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6.5%</w:t>
            </w:r>
          </w:p>
        </w:tc>
      </w:tr>
      <w:tr w:rsidR="004C379C" w:rsidRPr="00C50619" w14:paraId="21CCC02A" w14:textId="77777777" w:rsidTr="00586ABB">
        <w:trPr>
          <w:trHeight w:val="294"/>
        </w:trPr>
        <w:tc>
          <w:tcPr>
            <w:tcW w:w="8922" w:type="dxa"/>
            <w:gridSpan w:val="7"/>
            <w:shd w:val="clear" w:color="404040" w:fill="1F3864"/>
            <w:noWrap/>
            <w:vAlign w:val="center"/>
            <w:hideMark/>
          </w:tcPr>
          <w:p w14:paraId="4AB1CB30"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 LIQUIDITY RATIOS</w:t>
            </w:r>
          </w:p>
        </w:tc>
      </w:tr>
      <w:tr w:rsidR="004C379C" w:rsidRPr="00C50619" w14:paraId="0D33B460" w14:textId="77777777" w:rsidTr="00586ABB">
        <w:trPr>
          <w:trHeight w:val="280"/>
        </w:trPr>
        <w:tc>
          <w:tcPr>
            <w:tcW w:w="2332" w:type="dxa"/>
            <w:noWrap/>
            <w:vAlign w:val="center"/>
            <w:hideMark/>
          </w:tcPr>
          <w:p w14:paraId="46F4C8E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Current Ratio</w:t>
            </w:r>
          </w:p>
        </w:tc>
        <w:tc>
          <w:tcPr>
            <w:tcW w:w="3176" w:type="dxa"/>
            <w:noWrap/>
            <w:vAlign w:val="center"/>
            <w:hideMark/>
          </w:tcPr>
          <w:p w14:paraId="37CCF262"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Total Current Assets / Total Current Liabilities</w:t>
            </w:r>
          </w:p>
        </w:tc>
        <w:tc>
          <w:tcPr>
            <w:tcW w:w="674" w:type="dxa"/>
            <w:noWrap/>
            <w:vAlign w:val="center"/>
            <w:hideMark/>
          </w:tcPr>
          <w:p w14:paraId="4C7B5B9D" w14:textId="09499D5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1.05</w:t>
            </w:r>
          </w:p>
        </w:tc>
        <w:tc>
          <w:tcPr>
            <w:tcW w:w="674" w:type="dxa"/>
            <w:noWrap/>
            <w:vAlign w:val="center"/>
            <w:hideMark/>
          </w:tcPr>
          <w:p w14:paraId="337670D9" w14:textId="3FDB191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0.91</w:t>
            </w:r>
          </w:p>
        </w:tc>
        <w:tc>
          <w:tcPr>
            <w:tcW w:w="688" w:type="dxa"/>
            <w:noWrap/>
            <w:vAlign w:val="center"/>
            <w:hideMark/>
          </w:tcPr>
          <w:p w14:paraId="61D4145D" w14:textId="2ADEC93E"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0.68</w:t>
            </w:r>
          </w:p>
        </w:tc>
        <w:tc>
          <w:tcPr>
            <w:tcW w:w="688" w:type="dxa"/>
            <w:noWrap/>
            <w:vAlign w:val="center"/>
            <w:hideMark/>
          </w:tcPr>
          <w:p w14:paraId="201E2454" w14:textId="586B63C1"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0.64</w:t>
            </w:r>
          </w:p>
        </w:tc>
        <w:tc>
          <w:tcPr>
            <w:tcW w:w="688" w:type="dxa"/>
            <w:noWrap/>
            <w:vAlign w:val="center"/>
            <w:hideMark/>
          </w:tcPr>
          <w:p w14:paraId="3F647D9D" w14:textId="32ED4855"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0.72</w:t>
            </w:r>
          </w:p>
        </w:tc>
      </w:tr>
      <w:tr w:rsidR="004C379C" w:rsidRPr="00C50619" w14:paraId="5AF2845D" w14:textId="77777777" w:rsidTr="00586ABB">
        <w:trPr>
          <w:trHeight w:val="280"/>
        </w:trPr>
        <w:tc>
          <w:tcPr>
            <w:tcW w:w="2332" w:type="dxa"/>
            <w:noWrap/>
            <w:vAlign w:val="center"/>
            <w:hideMark/>
          </w:tcPr>
          <w:p w14:paraId="139B6D2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Quick Ratio</w:t>
            </w:r>
          </w:p>
        </w:tc>
        <w:tc>
          <w:tcPr>
            <w:tcW w:w="3176" w:type="dxa"/>
            <w:noWrap/>
            <w:vAlign w:val="center"/>
            <w:hideMark/>
          </w:tcPr>
          <w:p w14:paraId="4CB7B721"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(Current Assets – Inventories) / Current Liabilities</w:t>
            </w:r>
          </w:p>
        </w:tc>
        <w:tc>
          <w:tcPr>
            <w:tcW w:w="674" w:type="dxa"/>
            <w:noWrap/>
            <w:vAlign w:val="center"/>
            <w:hideMark/>
          </w:tcPr>
          <w:p w14:paraId="3EF942C8" w14:textId="0759360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0.75</w:t>
            </w:r>
          </w:p>
        </w:tc>
        <w:tc>
          <w:tcPr>
            <w:tcW w:w="674" w:type="dxa"/>
            <w:noWrap/>
            <w:vAlign w:val="center"/>
            <w:hideMark/>
          </w:tcPr>
          <w:p w14:paraId="7B83CBAB" w14:textId="2020047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0.66</w:t>
            </w:r>
          </w:p>
        </w:tc>
        <w:tc>
          <w:tcPr>
            <w:tcW w:w="688" w:type="dxa"/>
            <w:noWrap/>
            <w:vAlign w:val="center"/>
            <w:hideMark/>
          </w:tcPr>
          <w:p w14:paraId="0A29573C" w14:textId="51E382D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0.44</w:t>
            </w:r>
          </w:p>
        </w:tc>
        <w:tc>
          <w:tcPr>
            <w:tcW w:w="688" w:type="dxa"/>
            <w:noWrap/>
            <w:vAlign w:val="center"/>
            <w:hideMark/>
          </w:tcPr>
          <w:p w14:paraId="6F0452DD" w14:textId="1DB55DFD"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0.45</w:t>
            </w:r>
          </w:p>
        </w:tc>
        <w:tc>
          <w:tcPr>
            <w:tcW w:w="688" w:type="dxa"/>
            <w:noWrap/>
            <w:vAlign w:val="center"/>
            <w:hideMark/>
          </w:tcPr>
          <w:p w14:paraId="13EBDFB9" w14:textId="53FCA0E5"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0.49</w:t>
            </w:r>
          </w:p>
        </w:tc>
      </w:tr>
      <w:tr w:rsidR="004C379C" w:rsidRPr="00C50619" w14:paraId="77BD7781" w14:textId="77777777" w:rsidTr="00586ABB">
        <w:trPr>
          <w:trHeight w:val="280"/>
        </w:trPr>
        <w:tc>
          <w:tcPr>
            <w:tcW w:w="2332" w:type="dxa"/>
            <w:noWrap/>
            <w:vAlign w:val="center"/>
            <w:hideMark/>
          </w:tcPr>
          <w:p w14:paraId="24CCBA8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Cash Ratio</w:t>
            </w:r>
          </w:p>
        </w:tc>
        <w:tc>
          <w:tcPr>
            <w:tcW w:w="3176" w:type="dxa"/>
            <w:noWrap/>
            <w:vAlign w:val="center"/>
            <w:hideMark/>
          </w:tcPr>
          <w:p w14:paraId="5D1D9A19"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Cash &amp; Equivalents / Current Liabilities</w:t>
            </w:r>
          </w:p>
        </w:tc>
        <w:tc>
          <w:tcPr>
            <w:tcW w:w="674" w:type="dxa"/>
            <w:noWrap/>
            <w:vAlign w:val="center"/>
            <w:hideMark/>
          </w:tcPr>
          <w:p w14:paraId="53AD99FB" w14:textId="15CC6ABE"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0.13</w:t>
            </w:r>
          </w:p>
        </w:tc>
        <w:tc>
          <w:tcPr>
            <w:tcW w:w="674" w:type="dxa"/>
            <w:noWrap/>
            <w:vAlign w:val="center"/>
            <w:hideMark/>
          </w:tcPr>
          <w:p w14:paraId="45F91769" w14:textId="047BA09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0.29</w:t>
            </w:r>
          </w:p>
        </w:tc>
        <w:tc>
          <w:tcPr>
            <w:tcW w:w="688" w:type="dxa"/>
            <w:noWrap/>
            <w:vAlign w:val="center"/>
            <w:hideMark/>
          </w:tcPr>
          <w:p w14:paraId="00040033" w14:textId="5E27C31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0.15</w:t>
            </w:r>
          </w:p>
        </w:tc>
        <w:tc>
          <w:tcPr>
            <w:tcW w:w="688" w:type="dxa"/>
            <w:noWrap/>
            <w:vAlign w:val="center"/>
            <w:hideMark/>
          </w:tcPr>
          <w:p w14:paraId="34884AF7" w14:textId="3674B29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0.24</w:t>
            </w:r>
          </w:p>
        </w:tc>
        <w:tc>
          <w:tcPr>
            <w:tcW w:w="688" w:type="dxa"/>
            <w:noWrap/>
            <w:vAlign w:val="center"/>
            <w:hideMark/>
          </w:tcPr>
          <w:p w14:paraId="6BB0C689" w14:textId="35F4CF4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0.21</w:t>
            </w:r>
          </w:p>
        </w:tc>
      </w:tr>
      <w:tr w:rsidR="004C379C" w:rsidRPr="00C50619" w14:paraId="165A0B7F" w14:textId="77777777" w:rsidTr="00586ABB">
        <w:trPr>
          <w:trHeight w:val="280"/>
        </w:trPr>
        <w:tc>
          <w:tcPr>
            <w:tcW w:w="2332" w:type="dxa"/>
            <w:noWrap/>
            <w:vAlign w:val="center"/>
            <w:hideMark/>
          </w:tcPr>
          <w:p w14:paraId="3A9E908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Working Capital (RMB Bn)</w:t>
            </w:r>
          </w:p>
        </w:tc>
        <w:tc>
          <w:tcPr>
            <w:tcW w:w="3176" w:type="dxa"/>
            <w:noWrap/>
            <w:vAlign w:val="center"/>
            <w:hideMark/>
          </w:tcPr>
          <w:p w14:paraId="701AED25"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Current Assets – Current Liabilities (÷1,000,000)</w:t>
            </w:r>
          </w:p>
        </w:tc>
        <w:tc>
          <w:tcPr>
            <w:tcW w:w="674" w:type="dxa"/>
            <w:noWrap/>
            <w:vAlign w:val="center"/>
            <w:hideMark/>
          </w:tcPr>
          <w:p w14:paraId="5408926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5.2</w:t>
            </w:r>
          </w:p>
        </w:tc>
        <w:tc>
          <w:tcPr>
            <w:tcW w:w="674" w:type="dxa"/>
            <w:noWrap/>
            <w:vAlign w:val="center"/>
            <w:hideMark/>
          </w:tcPr>
          <w:p w14:paraId="67E69F0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-14.9</w:t>
            </w:r>
          </w:p>
        </w:tc>
        <w:tc>
          <w:tcPr>
            <w:tcW w:w="688" w:type="dxa"/>
            <w:noWrap/>
            <w:vAlign w:val="center"/>
            <w:hideMark/>
          </w:tcPr>
          <w:p w14:paraId="15701FF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-108.1</w:t>
            </w:r>
          </w:p>
        </w:tc>
        <w:tc>
          <w:tcPr>
            <w:tcW w:w="688" w:type="dxa"/>
            <w:noWrap/>
            <w:vAlign w:val="center"/>
            <w:hideMark/>
          </w:tcPr>
          <w:p w14:paraId="0988398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-161.7</w:t>
            </w:r>
          </w:p>
        </w:tc>
        <w:tc>
          <w:tcPr>
            <w:tcW w:w="688" w:type="dxa"/>
            <w:noWrap/>
            <w:vAlign w:val="center"/>
            <w:hideMark/>
          </w:tcPr>
          <w:p w14:paraId="4A14ADB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-138.6</w:t>
            </w:r>
          </w:p>
        </w:tc>
      </w:tr>
      <w:tr w:rsidR="004C379C" w:rsidRPr="00C50619" w14:paraId="691375A0" w14:textId="77777777" w:rsidTr="00586ABB">
        <w:trPr>
          <w:trHeight w:val="294"/>
        </w:trPr>
        <w:tc>
          <w:tcPr>
            <w:tcW w:w="8922" w:type="dxa"/>
            <w:gridSpan w:val="7"/>
            <w:shd w:val="clear" w:color="404040" w:fill="1F3864"/>
            <w:noWrap/>
            <w:vAlign w:val="center"/>
            <w:hideMark/>
          </w:tcPr>
          <w:p w14:paraId="1777C6D4"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lastRenderedPageBreak/>
              <w:t>3. EFFICIENCY / ACTIVITY RATIOS</w:t>
            </w:r>
          </w:p>
        </w:tc>
      </w:tr>
      <w:tr w:rsidR="004C379C" w:rsidRPr="00C50619" w14:paraId="7ED3DCF9" w14:textId="77777777" w:rsidTr="00586ABB">
        <w:trPr>
          <w:trHeight w:val="280"/>
        </w:trPr>
        <w:tc>
          <w:tcPr>
            <w:tcW w:w="2332" w:type="dxa"/>
            <w:noWrap/>
            <w:vAlign w:val="center"/>
            <w:hideMark/>
          </w:tcPr>
          <w:p w14:paraId="2A94675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Inventory Turnover (times)</w:t>
            </w:r>
          </w:p>
        </w:tc>
        <w:tc>
          <w:tcPr>
            <w:tcW w:w="3176" w:type="dxa"/>
            <w:noWrap/>
            <w:vAlign w:val="center"/>
            <w:hideMark/>
          </w:tcPr>
          <w:p w14:paraId="1A4C99B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COGS / Average Inventories</w:t>
            </w:r>
          </w:p>
        </w:tc>
        <w:tc>
          <w:tcPr>
            <w:tcW w:w="674" w:type="dxa"/>
            <w:noWrap/>
            <w:vAlign w:val="center"/>
            <w:hideMark/>
          </w:tcPr>
          <w:p w14:paraId="07B1F506" w14:textId="0BC1CBDD"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8.04</w:t>
            </w:r>
          </w:p>
        </w:tc>
        <w:tc>
          <w:tcPr>
            <w:tcW w:w="674" w:type="dxa"/>
            <w:noWrap/>
            <w:vAlign w:val="center"/>
            <w:hideMark/>
          </w:tcPr>
          <w:p w14:paraId="51119E1A" w14:textId="24B69FA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5.03</w:t>
            </w:r>
          </w:p>
        </w:tc>
        <w:tc>
          <w:tcPr>
            <w:tcW w:w="688" w:type="dxa"/>
            <w:noWrap/>
            <w:vAlign w:val="center"/>
            <w:hideMark/>
          </w:tcPr>
          <w:p w14:paraId="2BEB2AC1" w14:textId="0D1860C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5.75</w:t>
            </w:r>
          </w:p>
        </w:tc>
        <w:tc>
          <w:tcPr>
            <w:tcW w:w="688" w:type="dxa"/>
            <w:noWrap/>
            <w:vAlign w:val="center"/>
            <w:hideMark/>
          </w:tcPr>
          <w:p w14:paraId="77D409BF" w14:textId="7B457D38"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5.76</w:t>
            </w:r>
          </w:p>
        </w:tc>
        <w:tc>
          <w:tcPr>
            <w:tcW w:w="688" w:type="dxa"/>
            <w:noWrap/>
            <w:vAlign w:val="center"/>
            <w:hideMark/>
          </w:tcPr>
          <w:p w14:paraId="1C86EA36" w14:textId="33E1BFC3"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6.15</w:t>
            </w:r>
          </w:p>
        </w:tc>
      </w:tr>
      <w:tr w:rsidR="004C379C" w:rsidRPr="00C50619" w14:paraId="3EBACDF8" w14:textId="77777777" w:rsidTr="00586ABB">
        <w:trPr>
          <w:trHeight w:val="280"/>
        </w:trPr>
        <w:tc>
          <w:tcPr>
            <w:tcW w:w="2332" w:type="dxa"/>
            <w:noWrap/>
            <w:vAlign w:val="center"/>
            <w:hideMark/>
          </w:tcPr>
          <w:p w14:paraId="20D147F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Inventory Days (DIO)</w:t>
            </w:r>
          </w:p>
        </w:tc>
        <w:tc>
          <w:tcPr>
            <w:tcW w:w="3176" w:type="dxa"/>
            <w:noWrap/>
            <w:vAlign w:val="center"/>
            <w:hideMark/>
          </w:tcPr>
          <w:p w14:paraId="17C2FDB1"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365 / Inventory Turnover</w:t>
            </w:r>
          </w:p>
        </w:tc>
        <w:tc>
          <w:tcPr>
            <w:tcW w:w="674" w:type="dxa"/>
            <w:noWrap/>
            <w:vAlign w:val="center"/>
            <w:hideMark/>
          </w:tcPr>
          <w:p w14:paraId="2E8B27C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45.4</w:t>
            </w:r>
          </w:p>
        </w:tc>
        <w:tc>
          <w:tcPr>
            <w:tcW w:w="674" w:type="dxa"/>
            <w:noWrap/>
            <w:vAlign w:val="center"/>
            <w:hideMark/>
          </w:tcPr>
          <w:p w14:paraId="2B82954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72.6</w:t>
            </w:r>
          </w:p>
        </w:tc>
        <w:tc>
          <w:tcPr>
            <w:tcW w:w="688" w:type="dxa"/>
            <w:noWrap/>
            <w:vAlign w:val="center"/>
            <w:hideMark/>
          </w:tcPr>
          <w:p w14:paraId="4BA67CC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63.5</w:t>
            </w:r>
          </w:p>
        </w:tc>
        <w:tc>
          <w:tcPr>
            <w:tcW w:w="688" w:type="dxa"/>
            <w:noWrap/>
            <w:vAlign w:val="center"/>
            <w:hideMark/>
          </w:tcPr>
          <w:p w14:paraId="4D0E5F1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63.3</w:t>
            </w:r>
          </w:p>
        </w:tc>
        <w:tc>
          <w:tcPr>
            <w:tcW w:w="688" w:type="dxa"/>
            <w:noWrap/>
            <w:vAlign w:val="center"/>
            <w:hideMark/>
          </w:tcPr>
          <w:p w14:paraId="3B6221E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59.4</w:t>
            </w:r>
          </w:p>
        </w:tc>
      </w:tr>
      <w:tr w:rsidR="004C379C" w:rsidRPr="00C50619" w14:paraId="3EA2E6B7" w14:textId="77777777" w:rsidTr="00586ABB">
        <w:trPr>
          <w:trHeight w:val="280"/>
        </w:trPr>
        <w:tc>
          <w:tcPr>
            <w:tcW w:w="2332" w:type="dxa"/>
            <w:noWrap/>
            <w:vAlign w:val="center"/>
            <w:hideMark/>
          </w:tcPr>
          <w:p w14:paraId="1F7C680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Receivables Turnover (times)</w:t>
            </w:r>
          </w:p>
        </w:tc>
        <w:tc>
          <w:tcPr>
            <w:tcW w:w="3176" w:type="dxa"/>
            <w:noWrap/>
            <w:vAlign w:val="center"/>
            <w:hideMark/>
          </w:tcPr>
          <w:p w14:paraId="02AFB295"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Revenue / Average Trade Receivables</w:t>
            </w:r>
          </w:p>
        </w:tc>
        <w:tc>
          <w:tcPr>
            <w:tcW w:w="674" w:type="dxa"/>
            <w:noWrap/>
            <w:vAlign w:val="center"/>
            <w:hideMark/>
          </w:tcPr>
          <w:p w14:paraId="2962B008" w14:textId="76865D66"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10.10</w:t>
            </w:r>
          </w:p>
        </w:tc>
        <w:tc>
          <w:tcPr>
            <w:tcW w:w="674" w:type="dxa"/>
            <w:noWrap/>
            <w:vAlign w:val="center"/>
            <w:hideMark/>
          </w:tcPr>
          <w:p w14:paraId="4A07FBB3" w14:textId="1BBA0FC9"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6.49</w:t>
            </w:r>
          </w:p>
        </w:tc>
        <w:tc>
          <w:tcPr>
            <w:tcW w:w="688" w:type="dxa"/>
            <w:noWrap/>
            <w:vAlign w:val="center"/>
            <w:hideMark/>
          </w:tcPr>
          <w:p w14:paraId="2F4FD5E0" w14:textId="4BFC6411"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11.30</w:t>
            </w:r>
          </w:p>
        </w:tc>
        <w:tc>
          <w:tcPr>
            <w:tcW w:w="688" w:type="dxa"/>
            <w:noWrap/>
            <w:vAlign w:val="center"/>
            <w:hideMark/>
          </w:tcPr>
          <w:p w14:paraId="24CCAFAB" w14:textId="2C97B60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11.96</w:t>
            </w:r>
          </w:p>
        </w:tc>
        <w:tc>
          <w:tcPr>
            <w:tcW w:w="688" w:type="dxa"/>
            <w:noWrap/>
            <w:vAlign w:val="center"/>
            <w:hideMark/>
          </w:tcPr>
          <w:p w14:paraId="5B7BFCED" w14:textId="532FA3F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12.52</w:t>
            </w:r>
          </w:p>
        </w:tc>
      </w:tr>
      <w:tr w:rsidR="004C379C" w:rsidRPr="00C50619" w14:paraId="1B58A26D" w14:textId="77777777" w:rsidTr="00586ABB">
        <w:trPr>
          <w:trHeight w:val="280"/>
        </w:trPr>
        <w:tc>
          <w:tcPr>
            <w:tcW w:w="2332" w:type="dxa"/>
            <w:noWrap/>
            <w:vAlign w:val="center"/>
            <w:hideMark/>
          </w:tcPr>
          <w:p w14:paraId="0A79D36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Receivables Days (DSO)</w:t>
            </w:r>
          </w:p>
        </w:tc>
        <w:tc>
          <w:tcPr>
            <w:tcW w:w="3176" w:type="dxa"/>
            <w:noWrap/>
            <w:vAlign w:val="center"/>
            <w:hideMark/>
          </w:tcPr>
          <w:p w14:paraId="7EB0A102"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365 / Receivables Turnover</w:t>
            </w:r>
          </w:p>
        </w:tc>
        <w:tc>
          <w:tcPr>
            <w:tcW w:w="674" w:type="dxa"/>
            <w:noWrap/>
            <w:vAlign w:val="center"/>
            <w:hideMark/>
          </w:tcPr>
          <w:p w14:paraId="591DD491"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36.1</w:t>
            </w:r>
          </w:p>
        </w:tc>
        <w:tc>
          <w:tcPr>
            <w:tcW w:w="674" w:type="dxa"/>
            <w:noWrap/>
            <w:vAlign w:val="center"/>
            <w:hideMark/>
          </w:tcPr>
          <w:p w14:paraId="6870AED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56.3</w:t>
            </w:r>
          </w:p>
        </w:tc>
        <w:tc>
          <w:tcPr>
            <w:tcW w:w="688" w:type="dxa"/>
            <w:noWrap/>
            <w:vAlign w:val="center"/>
            <w:hideMark/>
          </w:tcPr>
          <w:p w14:paraId="45F06B16"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32.3</w:t>
            </w:r>
          </w:p>
        </w:tc>
        <w:tc>
          <w:tcPr>
            <w:tcW w:w="688" w:type="dxa"/>
            <w:noWrap/>
            <w:vAlign w:val="center"/>
            <w:hideMark/>
          </w:tcPr>
          <w:p w14:paraId="334903E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30.5</w:t>
            </w:r>
          </w:p>
        </w:tc>
        <w:tc>
          <w:tcPr>
            <w:tcW w:w="688" w:type="dxa"/>
            <w:noWrap/>
            <w:vAlign w:val="center"/>
            <w:hideMark/>
          </w:tcPr>
          <w:p w14:paraId="1328B29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29.2</w:t>
            </w:r>
          </w:p>
        </w:tc>
      </w:tr>
      <w:tr w:rsidR="004C379C" w:rsidRPr="00C50619" w14:paraId="71CF0338" w14:textId="77777777" w:rsidTr="00586ABB">
        <w:trPr>
          <w:trHeight w:val="280"/>
        </w:trPr>
        <w:tc>
          <w:tcPr>
            <w:tcW w:w="2332" w:type="dxa"/>
            <w:noWrap/>
            <w:vAlign w:val="center"/>
            <w:hideMark/>
          </w:tcPr>
          <w:p w14:paraId="325BF95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Payables Turnover (times)</w:t>
            </w:r>
          </w:p>
        </w:tc>
        <w:tc>
          <w:tcPr>
            <w:tcW w:w="3176" w:type="dxa"/>
            <w:noWrap/>
            <w:vAlign w:val="center"/>
            <w:hideMark/>
          </w:tcPr>
          <w:p w14:paraId="0D78DB2B"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COGS / Average Trade Payables</w:t>
            </w:r>
          </w:p>
        </w:tc>
        <w:tc>
          <w:tcPr>
            <w:tcW w:w="674" w:type="dxa"/>
            <w:noWrap/>
            <w:vAlign w:val="center"/>
            <w:hideMark/>
          </w:tcPr>
          <w:p w14:paraId="707CB751" w14:textId="65B2A1C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5.07</w:t>
            </w:r>
          </w:p>
        </w:tc>
        <w:tc>
          <w:tcPr>
            <w:tcW w:w="674" w:type="dxa"/>
            <w:noWrap/>
            <w:vAlign w:val="center"/>
            <w:hideMark/>
          </w:tcPr>
          <w:p w14:paraId="7B918F31" w14:textId="10F662E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3.06</w:t>
            </w:r>
          </w:p>
        </w:tc>
        <w:tc>
          <w:tcPr>
            <w:tcW w:w="688" w:type="dxa"/>
            <w:noWrap/>
            <w:vAlign w:val="center"/>
            <w:hideMark/>
          </w:tcPr>
          <w:p w14:paraId="1A2F32E1" w14:textId="573E3168"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3.29</w:t>
            </w:r>
          </w:p>
        </w:tc>
        <w:tc>
          <w:tcPr>
            <w:tcW w:w="688" w:type="dxa"/>
            <w:noWrap/>
            <w:vAlign w:val="center"/>
            <w:hideMark/>
          </w:tcPr>
          <w:p w14:paraId="1FBFA0C1" w14:textId="07FA40A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2.87</w:t>
            </w:r>
          </w:p>
        </w:tc>
        <w:tc>
          <w:tcPr>
            <w:tcW w:w="688" w:type="dxa"/>
            <w:noWrap/>
            <w:vAlign w:val="center"/>
            <w:hideMark/>
          </w:tcPr>
          <w:p w14:paraId="1586DCBD" w14:textId="268FAA74"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2.87</w:t>
            </w:r>
          </w:p>
        </w:tc>
      </w:tr>
      <w:tr w:rsidR="004C379C" w:rsidRPr="00C50619" w14:paraId="318FBEA7" w14:textId="77777777" w:rsidTr="00586ABB">
        <w:trPr>
          <w:trHeight w:val="280"/>
        </w:trPr>
        <w:tc>
          <w:tcPr>
            <w:tcW w:w="2332" w:type="dxa"/>
            <w:noWrap/>
            <w:vAlign w:val="center"/>
            <w:hideMark/>
          </w:tcPr>
          <w:p w14:paraId="2DBB5CE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Payables Days (DPO)</w:t>
            </w:r>
          </w:p>
        </w:tc>
        <w:tc>
          <w:tcPr>
            <w:tcW w:w="3176" w:type="dxa"/>
            <w:noWrap/>
            <w:vAlign w:val="center"/>
            <w:hideMark/>
          </w:tcPr>
          <w:p w14:paraId="07E7D094"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365 / Payables Turnover</w:t>
            </w:r>
          </w:p>
        </w:tc>
        <w:tc>
          <w:tcPr>
            <w:tcW w:w="674" w:type="dxa"/>
            <w:noWrap/>
            <w:vAlign w:val="center"/>
            <w:hideMark/>
          </w:tcPr>
          <w:p w14:paraId="63397C41"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72.0</w:t>
            </w:r>
          </w:p>
        </w:tc>
        <w:tc>
          <w:tcPr>
            <w:tcW w:w="674" w:type="dxa"/>
            <w:noWrap/>
            <w:vAlign w:val="center"/>
            <w:hideMark/>
          </w:tcPr>
          <w:p w14:paraId="2F60B63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119.4</w:t>
            </w:r>
          </w:p>
        </w:tc>
        <w:tc>
          <w:tcPr>
            <w:tcW w:w="688" w:type="dxa"/>
            <w:noWrap/>
            <w:vAlign w:val="center"/>
            <w:hideMark/>
          </w:tcPr>
          <w:p w14:paraId="2C3A0A7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110.8</w:t>
            </w:r>
          </w:p>
        </w:tc>
        <w:tc>
          <w:tcPr>
            <w:tcW w:w="688" w:type="dxa"/>
            <w:noWrap/>
            <w:vAlign w:val="center"/>
            <w:hideMark/>
          </w:tcPr>
          <w:p w14:paraId="49B0EF9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127.2</w:t>
            </w:r>
          </w:p>
        </w:tc>
        <w:tc>
          <w:tcPr>
            <w:tcW w:w="688" w:type="dxa"/>
            <w:noWrap/>
            <w:vAlign w:val="center"/>
            <w:hideMark/>
          </w:tcPr>
          <w:p w14:paraId="23E55F8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127.1</w:t>
            </w:r>
          </w:p>
        </w:tc>
      </w:tr>
      <w:tr w:rsidR="004C379C" w:rsidRPr="00C50619" w14:paraId="2EB0FF03" w14:textId="77777777" w:rsidTr="00586ABB">
        <w:trPr>
          <w:trHeight w:val="280"/>
        </w:trPr>
        <w:tc>
          <w:tcPr>
            <w:tcW w:w="2332" w:type="dxa"/>
            <w:noWrap/>
            <w:vAlign w:val="center"/>
            <w:hideMark/>
          </w:tcPr>
          <w:p w14:paraId="7291CE01" w14:textId="77777777" w:rsidR="004C379C" w:rsidRPr="00C50619" w:rsidRDefault="004C379C" w:rsidP="00513E41">
            <w:pPr>
              <w:spacing w:after="0" w:line="360" w:lineRule="auto"/>
              <w:jc w:val="both"/>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Cash Conversion Cycle (days)</w:t>
            </w:r>
          </w:p>
        </w:tc>
        <w:tc>
          <w:tcPr>
            <w:tcW w:w="3176" w:type="dxa"/>
            <w:noWrap/>
            <w:vAlign w:val="center"/>
            <w:hideMark/>
          </w:tcPr>
          <w:p w14:paraId="5E98E530"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DSO + DIO – DPO</w:t>
            </w:r>
          </w:p>
        </w:tc>
        <w:tc>
          <w:tcPr>
            <w:tcW w:w="674" w:type="dxa"/>
            <w:shd w:val="clear" w:color="F9F9F9" w:fill="EBF3FB"/>
            <w:noWrap/>
            <w:vAlign w:val="center"/>
            <w:hideMark/>
          </w:tcPr>
          <w:p w14:paraId="2A9D40C6" w14:textId="77777777" w:rsidR="004C379C" w:rsidRPr="00C50619" w:rsidRDefault="004C379C" w:rsidP="00513E41">
            <w:pPr>
              <w:spacing w:after="0" w:line="360" w:lineRule="auto"/>
              <w:jc w:val="both"/>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9.6</w:t>
            </w:r>
          </w:p>
        </w:tc>
        <w:tc>
          <w:tcPr>
            <w:tcW w:w="674" w:type="dxa"/>
            <w:shd w:val="clear" w:color="F9F9F9" w:fill="EBF3FB"/>
            <w:noWrap/>
            <w:vAlign w:val="center"/>
            <w:hideMark/>
          </w:tcPr>
          <w:p w14:paraId="6DCAB9B4" w14:textId="77777777" w:rsidR="004C379C" w:rsidRPr="00C50619" w:rsidRDefault="004C379C" w:rsidP="00513E41">
            <w:pPr>
              <w:spacing w:after="0" w:line="360" w:lineRule="auto"/>
              <w:jc w:val="both"/>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9.5</w:t>
            </w:r>
          </w:p>
        </w:tc>
        <w:tc>
          <w:tcPr>
            <w:tcW w:w="688" w:type="dxa"/>
            <w:shd w:val="clear" w:color="F9F9F9" w:fill="EBF3FB"/>
            <w:noWrap/>
            <w:vAlign w:val="center"/>
            <w:hideMark/>
          </w:tcPr>
          <w:p w14:paraId="15431D10" w14:textId="77777777" w:rsidR="004C379C" w:rsidRPr="00C50619" w:rsidRDefault="004C379C" w:rsidP="00513E41">
            <w:pPr>
              <w:spacing w:after="0" w:line="360" w:lineRule="auto"/>
              <w:jc w:val="both"/>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-15.0</w:t>
            </w:r>
          </w:p>
        </w:tc>
        <w:tc>
          <w:tcPr>
            <w:tcW w:w="688" w:type="dxa"/>
            <w:shd w:val="clear" w:color="F9F9F9" w:fill="EBF3FB"/>
            <w:noWrap/>
            <w:vAlign w:val="center"/>
            <w:hideMark/>
          </w:tcPr>
          <w:p w14:paraId="4ABEAD3A" w14:textId="77777777" w:rsidR="004C379C" w:rsidRPr="00C50619" w:rsidRDefault="004C379C" w:rsidP="00513E41">
            <w:pPr>
              <w:spacing w:after="0" w:line="360" w:lineRule="auto"/>
              <w:jc w:val="both"/>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-33.3</w:t>
            </w:r>
          </w:p>
        </w:tc>
        <w:tc>
          <w:tcPr>
            <w:tcW w:w="688" w:type="dxa"/>
            <w:shd w:val="clear" w:color="F9F9F9" w:fill="EBF3FB"/>
            <w:noWrap/>
            <w:vAlign w:val="center"/>
            <w:hideMark/>
          </w:tcPr>
          <w:p w14:paraId="10086FAD" w14:textId="77777777" w:rsidR="004C379C" w:rsidRPr="00C50619" w:rsidRDefault="004C379C" w:rsidP="00513E41">
            <w:pPr>
              <w:spacing w:after="0" w:line="360" w:lineRule="auto"/>
              <w:jc w:val="both"/>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-38.6</w:t>
            </w:r>
          </w:p>
        </w:tc>
      </w:tr>
      <w:tr w:rsidR="004C379C" w:rsidRPr="00C50619" w14:paraId="19652C4A" w14:textId="77777777" w:rsidTr="00586ABB">
        <w:trPr>
          <w:trHeight w:val="280"/>
        </w:trPr>
        <w:tc>
          <w:tcPr>
            <w:tcW w:w="2332" w:type="dxa"/>
            <w:noWrap/>
            <w:vAlign w:val="center"/>
            <w:hideMark/>
          </w:tcPr>
          <w:p w14:paraId="5733F4A6"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Asset Turnover (times)</w:t>
            </w:r>
          </w:p>
        </w:tc>
        <w:tc>
          <w:tcPr>
            <w:tcW w:w="3176" w:type="dxa"/>
            <w:noWrap/>
            <w:vAlign w:val="center"/>
            <w:hideMark/>
          </w:tcPr>
          <w:p w14:paraId="7F3D66FB"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Revenue / Average Total Assets</w:t>
            </w:r>
          </w:p>
        </w:tc>
        <w:tc>
          <w:tcPr>
            <w:tcW w:w="674" w:type="dxa"/>
            <w:noWrap/>
            <w:vAlign w:val="center"/>
            <w:hideMark/>
          </w:tcPr>
          <w:p w14:paraId="71A4B3DA" w14:textId="708ADEC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1.53</w:t>
            </w:r>
          </w:p>
        </w:tc>
        <w:tc>
          <w:tcPr>
            <w:tcW w:w="674" w:type="dxa"/>
            <w:noWrap/>
            <w:vAlign w:val="center"/>
            <w:hideMark/>
          </w:tcPr>
          <w:p w14:paraId="56949806" w14:textId="1A928DA8"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0.89</w:t>
            </w:r>
          </w:p>
        </w:tc>
        <w:tc>
          <w:tcPr>
            <w:tcW w:w="688" w:type="dxa"/>
            <w:noWrap/>
            <w:vAlign w:val="center"/>
            <w:hideMark/>
          </w:tcPr>
          <w:p w14:paraId="1D98F254" w14:textId="03513396"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1.11</w:t>
            </w:r>
          </w:p>
        </w:tc>
        <w:tc>
          <w:tcPr>
            <w:tcW w:w="688" w:type="dxa"/>
            <w:noWrap/>
            <w:vAlign w:val="center"/>
            <w:hideMark/>
          </w:tcPr>
          <w:p w14:paraId="0F953352" w14:textId="5D34B4E4"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1.06</w:t>
            </w:r>
          </w:p>
        </w:tc>
        <w:tc>
          <w:tcPr>
            <w:tcW w:w="688" w:type="dxa"/>
            <w:noWrap/>
            <w:vAlign w:val="center"/>
            <w:hideMark/>
          </w:tcPr>
          <w:p w14:paraId="69DE8A1B" w14:textId="4A0C7FE6"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1.09</w:t>
            </w:r>
          </w:p>
        </w:tc>
      </w:tr>
      <w:tr w:rsidR="004C379C" w:rsidRPr="00C50619" w14:paraId="742760BE" w14:textId="77777777" w:rsidTr="00586ABB">
        <w:trPr>
          <w:trHeight w:val="294"/>
        </w:trPr>
        <w:tc>
          <w:tcPr>
            <w:tcW w:w="8922" w:type="dxa"/>
            <w:gridSpan w:val="7"/>
            <w:shd w:val="clear" w:color="404040" w:fill="1F3864"/>
            <w:noWrap/>
            <w:vAlign w:val="center"/>
            <w:hideMark/>
          </w:tcPr>
          <w:p w14:paraId="5960DDBC"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4. GEARING / LEVERAGE RATIOS</w:t>
            </w:r>
          </w:p>
        </w:tc>
      </w:tr>
      <w:tr w:rsidR="004C379C" w:rsidRPr="00C50619" w14:paraId="3293F268" w14:textId="77777777" w:rsidTr="00586ABB">
        <w:trPr>
          <w:trHeight w:val="280"/>
        </w:trPr>
        <w:tc>
          <w:tcPr>
            <w:tcW w:w="2332" w:type="dxa"/>
            <w:noWrap/>
            <w:vAlign w:val="center"/>
            <w:hideMark/>
          </w:tcPr>
          <w:p w14:paraId="25B744F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Debt-to-Asset Ratio</w:t>
            </w:r>
          </w:p>
        </w:tc>
        <w:tc>
          <w:tcPr>
            <w:tcW w:w="3176" w:type="dxa"/>
            <w:noWrap/>
            <w:vAlign w:val="center"/>
            <w:hideMark/>
          </w:tcPr>
          <w:p w14:paraId="02DEBABD"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Total Liabilities / Total Assets</w:t>
            </w:r>
          </w:p>
        </w:tc>
        <w:tc>
          <w:tcPr>
            <w:tcW w:w="674" w:type="dxa"/>
            <w:noWrap/>
            <w:vAlign w:val="center"/>
            <w:hideMark/>
          </w:tcPr>
          <w:p w14:paraId="35AE9EC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67.9%</w:t>
            </w:r>
          </w:p>
        </w:tc>
        <w:tc>
          <w:tcPr>
            <w:tcW w:w="674" w:type="dxa"/>
            <w:noWrap/>
            <w:vAlign w:val="center"/>
            <w:hideMark/>
          </w:tcPr>
          <w:p w14:paraId="070F1CE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66.6%</w:t>
            </w:r>
          </w:p>
        </w:tc>
        <w:tc>
          <w:tcPr>
            <w:tcW w:w="688" w:type="dxa"/>
            <w:noWrap/>
            <w:vAlign w:val="center"/>
            <w:hideMark/>
          </w:tcPr>
          <w:p w14:paraId="69D3BEA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77.9%</w:t>
            </w:r>
          </w:p>
        </w:tc>
        <w:tc>
          <w:tcPr>
            <w:tcW w:w="688" w:type="dxa"/>
            <w:noWrap/>
            <w:vAlign w:val="center"/>
            <w:hideMark/>
          </w:tcPr>
          <w:p w14:paraId="7B44E6A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80.2%</w:t>
            </w:r>
          </w:p>
        </w:tc>
        <w:tc>
          <w:tcPr>
            <w:tcW w:w="688" w:type="dxa"/>
            <w:noWrap/>
            <w:vAlign w:val="center"/>
            <w:hideMark/>
          </w:tcPr>
          <w:p w14:paraId="1D50748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75.9%</w:t>
            </w:r>
          </w:p>
        </w:tc>
      </w:tr>
      <w:tr w:rsidR="004C379C" w:rsidRPr="00C50619" w14:paraId="725D7AC6" w14:textId="77777777" w:rsidTr="00586ABB">
        <w:trPr>
          <w:trHeight w:val="280"/>
        </w:trPr>
        <w:tc>
          <w:tcPr>
            <w:tcW w:w="2332" w:type="dxa"/>
            <w:noWrap/>
            <w:vAlign w:val="center"/>
            <w:hideMark/>
          </w:tcPr>
          <w:p w14:paraId="70C7478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Equity-to-Asset Ratio</w:t>
            </w:r>
          </w:p>
        </w:tc>
        <w:tc>
          <w:tcPr>
            <w:tcW w:w="3176" w:type="dxa"/>
            <w:noWrap/>
            <w:vAlign w:val="center"/>
            <w:hideMark/>
          </w:tcPr>
          <w:p w14:paraId="2811399A"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Total Equity / Total Assets</w:t>
            </w:r>
          </w:p>
        </w:tc>
        <w:tc>
          <w:tcPr>
            <w:tcW w:w="674" w:type="dxa"/>
            <w:noWrap/>
            <w:vAlign w:val="center"/>
            <w:hideMark/>
          </w:tcPr>
          <w:p w14:paraId="37DB9E2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31.6%</w:t>
            </w:r>
          </w:p>
        </w:tc>
        <w:tc>
          <w:tcPr>
            <w:tcW w:w="674" w:type="dxa"/>
            <w:noWrap/>
            <w:vAlign w:val="center"/>
            <w:hideMark/>
          </w:tcPr>
          <w:p w14:paraId="7F4E92B5"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36.5%</w:t>
            </w:r>
          </w:p>
        </w:tc>
        <w:tc>
          <w:tcPr>
            <w:tcW w:w="688" w:type="dxa"/>
            <w:noWrap/>
            <w:vAlign w:val="center"/>
            <w:hideMark/>
          </w:tcPr>
          <w:p w14:paraId="045F1C7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25.6%</w:t>
            </w:r>
          </w:p>
        </w:tc>
        <w:tc>
          <w:tcPr>
            <w:tcW w:w="688" w:type="dxa"/>
            <w:noWrap/>
            <w:vAlign w:val="center"/>
            <w:hideMark/>
          </w:tcPr>
          <w:p w14:paraId="4FD4050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22.9%</w:t>
            </w:r>
          </w:p>
        </w:tc>
        <w:tc>
          <w:tcPr>
            <w:tcW w:w="688" w:type="dxa"/>
            <w:noWrap/>
            <w:vAlign w:val="center"/>
            <w:hideMark/>
          </w:tcPr>
          <w:p w14:paraId="13D1CAC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23.8%</w:t>
            </w:r>
          </w:p>
        </w:tc>
      </w:tr>
      <w:tr w:rsidR="004C379C" w:rsidRPr="00C50619" w14:paraId="647CEEA8" w14:textId="77777777" w:rsidTr="00586ABB">
        <w:trPr>
          <w:trHeight w:val="280"/>
        </w:trPr>
        <w:tc>
          <w:tcPr>
            <w:tcW w:w="2332" w:type="dxa"/>
            <w:noWrap/>
            <w:vAlign w:val="center"/>
            <w:hideMark/>
          </w:tcPr>
          <w:p w14:paraId="073C0481"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Debt-to-Equity Ratio</w:t>
            </w:r>
          </w:p>
        </w:tc>
        <w:tc>
          <w:tcPr>
            <w:tcW w:w="3176" w:type="dxa"/>
            <w:noWrap/>
            <w:vAlign w:val="center"/>
            <w:hideMark/>
          </w:tcPr>
          <w:p w14:paraId="2485850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Total Liabilities / Total Equity</w:t>
            </w:r>
          </w:p>
        </w:tc>
        <w:tc>
          <w:tcPr>
            <w:tcW w:w="674" w:type="dxa"/>
            <w:noWrap/>
            <w:vAlign w:val="center"/>
            <w:hideMark/>
          </w:tcPr>
          <w:p w14:paraId="314D5847" w14:textId="5C9368B4"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2.15</w:t>
            </w:r>
          </w:p>
        </w:tc>
        <w:tc>
          <w:tcPr>
            <w:tcW w:w="674" w:type="dxa"/>
            <w:noWrap/>
            <w:vAlign w:val="center"/>
            <w:hideMark/>
          </w:tcPr>
          <w:p w14:paraId="7F40637F" w14:textId="1E24AC8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1.83</w:t>
            </w:r>
          </w:p>
        </w:tc>
        <w:tc>
          <w:tcPr>
            <w:tcW w:w="688" w:type="dxa"/>
            <w:noWrap/>
            <w:vAlign w:val="center"/>
            <w:hideMark/>
          </w:tcPr>
          <w:p w14:paraId="6435F8D2" w14:textId="7FFBFA3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3.04</w:t>
            </w:r>
          </w:p>
        </w:tc>
        <w:tc>
          <w:tcPr>
            <w:tcW w:w="688" w:type="dxa"/>
            <w:noWrap/>
            <w:vAlign w:val="center"/>
            <w:hideMark/>
          </w:tcPr>
          <w:p w14:paraId="05976988" w14:textId="00BB89F2"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3.50</w:t>
            </w:r>
          </w:p>
        </w:tc>
        <w:tc>
          <w:tcPr>
            <w:tcW w:w="688" w:type="dxa"/>
            <w:noWrap/>
            <w:vAlign w:val="center"/>
            <w:hideMark/>
          </w:tcPr>
          <w:p w14:paraId="1CB846B2" w14:textId="35A7BA98"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3.19</w:t>
            </w:r>
          </w:p>
        </w:tc>
      </w:tr>
      <w:tr w:rsidR="004C379C" w:rsidRPr="00C50619" w14:paraId="45C4AD86" w14:textId="77777777" w:rsidTr="00586ABB">
        <w:trPr>
          <w:trHeight w:val="280"/>
        </w:trPr>
        <w:tc>
          <w:tcPr>
            <w:tcW w:w="2332" w:type="dxa"/>
            <w:noWrap/>
            <w:vAlign w:val="center"/>
            <w:hideMark/>
          </w:tcPr>
          <w:p w14:paraId="27DC94A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Interest Coverage Ratio</w:t>
            </w:r>
          </w:p>
        </w:tc>
        <w:tc>
          <w:tcPr>
            <w:tcW w:w="3176" w:type="dxa"/>
            <w:noWrap/>
            <w:vAlign w:val="center"/>
            <w:hideMark/>
          </w:tcPr>
          <w:p w14:paraId="543E7FB0"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EBIT / Finance Expenses</w:t>
            </w:r>
          </w:p>
        </w:tc>
        <w:tc>
          <w:tcPr>
            <w:tcW w:w="674" w:type="dxa"/>
            <w:noWrap/>
            <w:vAlign w:val="center"/>
            <w:hideMark/>
          </w:tcPr>
          <w:p w14:paraId="7CB55A4D" w14:textId="7EAE1D1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2.45</w:t>
            </w:r>
          </w:p>
        </w:tc>
        <w:tc>
          <w:tcPr>
            <w:tcW w:w="674" w:type="dxa"/>
            <w:noWrap/>
            <w:vAlign w:val="center"/>
            <w:hideMark/>
          </w:tcPr>
          <w:p w14:paraId="5456343B" w14:textId="789F6979"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3.53</w:t>
            </w:r>
          </w:p>
        </w:tc>
        <w:tc>
          <w:tcPr>
            <w:tcW w:w="688" w:type="dxa"/>
            <w:noWrap/>
            <w:vAlign w:val="center"/>
            <w:hideMark/>
          </w:tcPr>
          <w:p w14:paraId="0A1EA9CE" w14:textId="169E510D"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-12.03</w:t>
            </w:r>
          </w:p>
        </w:tc>
        <w:tc>
          <w:tcPr>
            <w:tcW w:w="688" w:type="dxa"/>
            <w:noWrap/>
            <w:vAlign w:val="center"/>
            <w:hideMark/>
          </w:tcPr>
          <w:p w14:paraId="55650CAA" w14:textId="52983092"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-24.27</w:t>
            </w:r>
          </w:p>
        </w:tc>
        <w:tc>
          <w:tcPr>
            <w:tcW w:w="688" w:type="dxa"/>
            <w:noWrap/>
            <w:vAlign w:val="center"/>
            <w:hideMark/>
          </w:tcPr>
          <w:p w14:paraId="20A3C4E1" w14:textId="338C2A81"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41.85</w:t>
            </w:r>
          </w:p>
        </w:tc>
      </w:tr>
      <w:tr w:rsidR="004C379C" w:rsidRPr="00C50619" w14:paraId="6577C166" w14:textId="77777777" w:rsidTr="00586ABB">
        <w:trPr>
          <w:trHeight w:val="280"/>
        </w:trPr>
        <w:tc>
          <w:tcPr>
            <w:tcW w:w="2332" w:type="dxa"/>
            <w:noWrap/>
            <w:vAlign w:val="center"/>
            <w:hideMark/>
          </w:tcPr>
          <w:p w14:paraId="2541D9F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Net Debt (RMB Bn)</w:t>
            </w:r>
          </w:p>
        </w:tc>
        <w:tc>
          <w:tcPr>
            <w:tcW w:w="3176" w:type="dxa"/>
            <w:noWrap/>
            <w:vAlign w:val="center"/>
            <w:hideMark/>
          </w:tcPr>
          <w:p w14:paraId="6A532B2C"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(ST+LT Borrowings – Cash) / 1,000,000</w:t>
            </w:r>
          </w:p>
        </w:tc>
        <w:tc>
          <w:tcPr>
            <w:tcW w:w="674" w:type="dxa"/>
            <w:noWrap/>
            <w:vAlign w:val="center"/>
            <w:hideMark/>
          </w:tcPr>
          <w:p w14:paraId="13AC266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20.1</w:t>
            </w:r>
          </w:p>
        </w:tc>
        <w:tc>
          <w:tcPr>
            <w:tcW w:w="674" w:type="dxa"/>
            <w:noWrap/>
            <w:vAlign w:val="center"/>
            <w:hideMark/>
          </w:tcPr>
          <w:p w14:paraId="4E4A1B1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-31.5</w:t>
            </w:r>
          </w:p>
        </w:tc>
        <w:tc>
          <w:tcPr>
            <w:tcW w:w="688" w:type="dxa"/>
            <w:noWrap/>
            <w:vAlign w:val="center"/>
            <w:hideMark/>
          </w:tcPr>
          <w:p w14:paraId="0BFDAA0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-38.7</w:t>
            </w:r>
          </w:p>
        </w:tc>
        <w:tc>
          <w:tcPr>
            <w:tcW w:w="688" w:type="dxa"/>
            <w:noWrap/>
            <w:vAlign w:val="center"/>
            <w:hideMark/>
          </w:tcPr>
          <w:p w14:paraId="1D71A21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-78.8</w:t>
            </w:r>
          </w:p>
        </w:tc>
        <w:tc>
          <w:tcPr>
            <w:tcW w:w="688" w:type="dxa"/>
            <w:noWrap/>
            <w:vAlign w:val="center"/>
            <w:hideMark/>
          </w:tcPr>
          <w:p w14:paraId="2B653A3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-82.4</w:t>
            </w:r>
          </w:p>
        </w:tc>
      </w:tr>
      <w:tr w:rsidR="004C379C" w:rsidRPr="00C50619" w14:paraId="36613592" w14:textId="77777777" w:rsidTr="00586ABB">
        <w:trPr>
          <w:trHeight w:val="294"/>
        </w:trPr>
        <w:tc>
          <w:tcPr>
            <w:tcW w:w="8922" w:type="dxa"/>
            <w:gridSpan w:val="7"/>
            <w:shd w:val="clear" w:color="404040" w:fill="1F3864"/>
            <w:noWrap/>
            <w:vAlign w:val="center"/>
            <w:hideMark/>
          </w:tcPr>
          <w:p w14:paraId="3E434956"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5. INVESTMENT / MARKET RATIOS</w:t>
            </w:r>
          </w:p>
        </w:tc>
      </w:tr>
      <w:tr w:rsidR="004C379C" w:rsidRPr="00C50619" w14:paraId="50AA2365" w14:textId="77777777" w:rsidTr="00586ABB">
        <w:trPr>
          <w:trHeight w:val="280"/>
        </w:trPr>
        <w:tc>
          <w:tcPr>
            <w:tcW w:w="2332" w:type="dxa"/>
            <w:noWrap/>
            <w:vAlign w:val="center"/>
            <w:hideMark/>
          </w:tcPr>
          <w:p w14:paraId="4A50E6E6"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 xml:space="preserve">Revenue per </w:t>
            </w:r>
            <w:r w:rsidRPr="00C50619">
              <w:rPr>
                <w:rFonts w:ascii="Arial" w:eastAsia="Times New Roman" w:hAnsi="Arial" w:cs="Arial"/>
                <w:color w:val="000000"/>
                <w:kern w:val="0"/>
                <w:lang w:val="en-GB"/>
                <w14:ligatures w14:val="none"/>
              </w:rPr>
              <w:lastRenderedPageBreak/>
              <w:t>Share (RMB)</w:t>
            </w:r>
          </w:p>
        </w:tc>
        <w:tc>
          <w:tcPr>
            <w:tcW w:w="3176" w:type="dxa"/>
            <w:noWrap/>
            <w:vAlign w:val="center"/>
            <w:hideMark/>
          </w:tcPr>
          <w:p w14:paraId="1CB6DCA0"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lastRenderedPageBreak/>
              <w:t xml:space="preserve">Revenue / Shares in </w:t>
            </w:r>
            <w:r w:rsidRPr="00C50619">
              <w:rPr>
                <w:rFonts w:ascii="Arial" w:eastAsia="Times New Roman" w:hAnsi="Arial" w:cs="Arial"/>
                <w:i/>
                <w:iCs/>
                <w:color w:val="555555"/>
                <w:kern w:val="0"/>
                <w:lang w:val="en-GB"/>
                <w14:ligatures w14:val="none"/>
              </w:rPr>
              <w:lastRenderedPageBreak/>
              <w:t>Issue (2.91bn)</w:t>
            </w:r>
          </w:p>
        </w:tc>
        <w:tc>
          <w:tcPr>
            <w:tcW w:w="674" w:type="dxa"/>
            <w:noWrap/>
            <w:vAlign w:val="center"/>
            <w:hideMark/>
          </w:tcPr>
          <w:p w14:paraId="2E3A9C26"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lastRenderedPageBreak/>
              <w:t>52.72</w:t>
            </w:r>
          </w:p>
        </w:tc>
        <w:tc>
          <w:tcPr>
            <w:tcW w:w="674" w:type="dxa"/>
            <w:noWrap/>
            <w:vAlign w:val="center"/>
            <w:hideMark/>
          </w:tcPr>
          <w:p w14:paraId="1985363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74.25</w:t>
            </w:r>
          </w:p>
        </w:tc>
        <w:tc>
          <w:tcPr>
            <w:tcW w:w="688" w:type="dxa"/>
            <w:noWrap/>
            <w:vAlign w:val="center"/>
            <w:hideMark/>
          </w:tcPr>
          <w:p w14:paraId="267DE91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145.6</w:t>
            </w:r>
            <w:r w:rsidRPr="00C50619">
              <w:rPr>
                <w:rFonts w:ascii="Arial" w:eastAsia="Times New Roman" w:hAnsi="Arial" w:cs="Arial"/>
                <w:color w:val="000000"/>
                <w:kern w:val="0"/>
                <w:lang w:val="en-GB"/>
                <w14:ligatures w14:val="none"/>
              </w:rPr>
              <w:lastRenderedPageBreak/>
              <w:t>7</w:t>
            </w:r>
          </w:p>
        </w:tc>
        <w:tc>
          <w:tcPr>
            <w:tcW w:w="688" w:type="dxa"/>
            <w:noWrap/>
            <w:vAlign w:val="center"/>
            <w:hideMark/>
          </w:tcPr>
          <w:p w14:paraId="4763328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lastRenderedPageBreak/>
              <w:t>206.9</w:t>
            </w:r>
            <w:r w:rsidRPr="00C50619">
              <w:rPr>
                <w:rFonts w:ascii="Arial" w:eastAsia="Times New Roman" w:hAnsi="Arial" w:cs="Arial"/>
                <w:color w:val="000000"/>
                <w:kern w:val="0"/>
                <w:lang w:val="en-GB"/>
                <w14:ligatures w14:val="none"/>
              </w:rPr>
              <w:lastRenderedPageBreak/>
              <w:t>0</w:t>
            </w:r>
          </w:p>
        </w:tc>
        <w:tc>
          <w:tcPr>
            <w:tcW w:w="688" w:type="dxa"/>
            <w:noWrap/>
            <w:vAlign w:val="center"/>
            <w:hideMark/>
          </w:tcPr>
          <w:p w14:paraId="439545F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lastRenderedPageBreak/>
              <w:t>266.9</w:t>
            </w:r>
            <w:r w:rsidRPr="00C50619">
              <w:rPr>
                <w:rFonts w:ascii="Arial" w:eastAsia="Times New Roman" w:hAnsi="Arial" w:cs="Arial"/>
                <w:color w:val="000000"/>
                <w:kern w:val="0"/>
                <w:lang w:val="en-GB"/>
                <w14:ligatures w14:val="none"/>
              </w:rPr>
              <w:lastRenderedPageBreak/>
              <w:t>4</w:t>
            </w:r>
          </w:p>
        </w:tc>
      </w:tr>
      <w:tr w:rsidR="004C379C" w:rsidRPr="00C50619" w14:paraId="293A446D" w14:textId="77777777" w:rsidTr="00586ABB">
        <w:trPr>
          <w:trHeight w:val="294"/>
        </w:trPr>
        <w:tc>
          <w:tcPr>
            <w:tcW w:w="8922" w:type="dxa"/>
            <w:gridSpan w:val="7"/>
            <w:shd w:val="clear" w:color="404040" w:fill="1F3864"/>
            <w:noWrap/>
            <w:vAlign w:val="center"/>
            <w:hideMark/>
          </w:tcPr>
          <w:p w14:paraId="2A1CAD8A"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lastRenderedPageBreak/>
              <w:t>6. CASH FLOW RATIOS</w:t>
            </w:r>
          </w:p>
        </w:tc>
      </w:tr>
      <w:tr w:rsidR="004C379C" w:rsidRPr="00C50619" w14:paraId="3F7B7875" w14:textId="77777777" w:rsidTr="00586ABB">
        <w:trPr>
          <w:trHeight w:val="280"/>
        </w:trPr>
        <w:tc>
          <w:tcPr>
            <w:tcW w:w="2332" w:type="dxa"/>
            <w:noWrap/>
            <w:vAlign w:val="center"/>
            <w:hideMark/>
          </w:tcPr>
          <w:p w14:paraId="3B5FD36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Operating CF / Net Profit</w:t>
            </w:r>
          </w:p>
        </w:tc>
        <w:tc>
          <w:tcPr>
            <w:tcW w:w="3176" w:type="dxa"/>
            <w:noWrap/>
            <w:vAlign w:val="center"/>
            <w:hideMark/>
          </w:tcPr>
          <w:p w14:paraId="663DED0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Operating CF / Net Profit</w:t>
            </w:r>
          </w:p>
        </w:tc>
        <w:tc>
          <w:tcPr>
            <w:tcW w:w="674" w:type="dxa"/>
            <w:noWrap/>
            <w:vAlign w:val="center"/>
            <w:hideMark/>
          </w:tcPr>
          <w:p w14:paraId="70BB4B35" w14:textId="23476C0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12.44</w:t>
            </w:r>
          </w:p>
        </w:tc>
        <w:tc>
          <w:tcPr>
            <w:tcW w:w="674" w:type="dxa"/>
            <w:noWrap/>
            <w:vAlign w:val="center"/>
            <w:hideMark/>
          </w:tcPr>
          <w:p w14:paraId="5C412165" w14:textId="06094316"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16.50</w:t>
            </w:r>
          </w:p>
        </w:tc>
        <w:tc>
          <w:tcPr>
            <w:tcW w:w="688" w:type="dxa"/>
            <w:noWrap/>
            <w:vAlign w:val="center"/>
            <w:hideMark/>
          </w:tcPr>
          <w:p w14:paraId="49AB0452" w14:textId="2C5F48FB"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7.95</w:t>
            </w:r>
          </w:p>
        </w:tc>
        <w:tc>
          <w:tcPr>
            <w:tcW w:w="688" w:type="dxa"/>
            <w:noWrap/>
            <w:vAlign w:val="center"/>
            <w:hideMark/>
          </w:tcPr>
          <w:p w14:paraId="40D19575" w14:textId="5E7FA28B"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5.41</w:t>
            </w:r>
          </w:p>
        </w:tc>
        <w:tc>
          <w:tcPr>
            <w:tcW w:w="688" w:type="dxa"/>
            <w:noWrap/>
            <w:vAlign w:val="center"/>
            <w:hideMark/>
          </w:tcPr>
          <w:p w14:paraId="435F70E9" w14:textId="618B94C6"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3.21</w:t>
            </w:r>
          </w:p>
        </w:tc>
      </w:tr>
      <w:tr w:rsidR="004C379C" w:rsidRPr="00C50619" w14:paraId="07496ACF" w14:textId="77777777" w:rsidTr="00586ABB">
        <w:trPr>
          <w:trHeight w:val="280"/>
        </w:trPr>
        <w:tc>
          <w:tcPr>
            <w:tcW w:w="2332" w:type="dxa"/>
            <w:noWrap/>
            <w:vAlign w:val="center"/>
            <w:hideMark/>
          </w:tcPr>
          <w:p w14:paraId="7EC8E3D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Operating CF / Revenue</w:t>
            </w:r>
          </w:p>
        </w:tc>
        <w:tc>
          <w:tcPr>
            <w:tcW w:w="3176" w:type="dxa"/>
            <w:noWrap/>
            <w:vAlign w:val="center"/>
            <w:hideMark/>
          </w:tcPr>
          <w:p w14:paraId="7BDA7A6F"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Operating CF / Revenue</w:t>
            </w:r>
          </w:p>
        </w:tc>
        <w:tc>
          <w:tcPr>
            <w:tcW w:w="674" w:type="dxa"/>
            <w:noWrap/>
            <w:vAlign w:val="center"/>
            <w:hideMark/>
          </w:tcPr>
          <w:p w14:paraId="0797FCE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29.6%</w:t>
            </w:r>
          </w:p>
        </w:tc>
        <w:tc>
          <w:tcPr>
            <w:tcW w:w="674" w:type="dxa"/>
            <w:noWrap/>
            <w:vAlign w:val="center"/>
            <w:hideMark/>
          </w:tcPr>
          <w:p w14:paraId="6CCEA24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30.3%</w:t>
            </w:r>
          </w:p>
        </w:tc>
        <w:tc>
          <w:tcPr>
            <w:tcW w:w="688" w:type="dxa"/>
            <w:noWrap/>
            <w:vAlign w:val="center"/>
            <w:hideMark/>
          </w:tcPr>
          <w:p w14:paraId="4E35697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33.2%</w:t>
            </w:r>
          </w:p>
        </w:tc>
        <w:tc>
          <w:tcPr>
            <w:tcW w:w="688" w:type="dxa"/>
            <w:noWrap/>
            <w:vAlign w:val="center"/>
            <w:hideMark/>
          </w:tcPr>
          <w:p w14:paraId="721CFAF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28.2%</w:t>
            </w:r>
          </w:p>
        </w:tc>
        <w:tc>
          <w:tcPr>
            <w:tcW w:w="688" w:type="dxa"/>
            <w:noWrap/>
            <w:vAlign w:val="center"/>
            <w:hideMark/>
          </w:tcPr>
          <w:p w14:paraId="5CD58B2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17.2%</w:t>
            </w:r>
          </w:p>
        </w:tc>
      </w:tr>
      <w:tr w:rsidR="004C379C" w:rsidRPr="00C50619" w14:paraId="433C9FFD" w14:textId="77777777" w:rsidTr="00586ABB">
        <w:trPr>
          <w:trHeight w:val="280"/>
        </w:trPr>
        <w:tc>
          <w:tcPr>
            <w:tcW w:w="2332" w:type="dxa"/>
            <w:noWrap/>
            <w:vAlign w:val="center"/>
            <w:hideMark/>
          </w:tcPr>
          <w:p w14:paraId="26934DC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Capex / Revenue</w:t>
            </w:r>
          </w:p>
        </w:tc>
        <w:tc>
          <w:tcPr>
            <w:tcW w:w="3176" w:type="dxa"/>
            <w:noWrap/>
            <w:vAlign w:val="center"/>
            <w:hideMark/>
          </w:tcPr>
          <w:p w14:paraId="7C1BCF8A"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|Capex| / Revenue</w:t>
            </w:r>
          </w:p>
        </w:tc>
        <w:tc>
          <w:tcPr>
            <w:tcW w:w="674" w:type="dxa"/>
            <w:noWrap/>
            <w:vAlign w:val="center"/>
            <w:hideMark/>
          </w:tcPr>
          <w:p w14:paraId="51F5D1D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3.9%</w:t>
            </w:r>
          </w:p>
        </w:tc>
        <w:tc>
          <w:tcPr>
            <w:tcW w:w="674" w:type="dxa"/>
            <w:noWrap/>
            <w:vAlign w:val="center"/>
            <w:hideMark/>
          </w:tcPr>
          <w:p w14:paraId="5E7F6CA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17.3%</w:t>
            </w:r>
          </w:p>
        </w:tc>
        <w:tc>
          <w:tcPr>
            <w:tcW w:w="688" w:type="dxa"/>
            <w:noWrap/>
            <w:vAlign w:val="center"/>
            <w:hideMark/>
          </w:tcPr>
          <w:p w14:paraId="5979580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23.0%</w:t>
            </w:r>
          </w:p>
        </w:tc>
        <w:tc>
          <w:tcPr>
            <w:tcW w:w="688" w:type="dxa"/>
            <w:noWrap/>
            <w:vAlign w:val="center"/>
            <w:hideMark/>
          </w:tcPr>
          <w:p w14:paraId="1F32F84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20.3%</w:t>
            </w:r>
          </w:p>
        </w:tc>
        <w:tc>
          <w:tcPr>
            <w:tcW w:w="688" w:type="dxa"/>
            <w:noWrap/>
            <w:vAlign w:val="center"/>
            <w:hideMark/>
          </w:tcPr>
          <w:p w14:paraId="016CBA8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12.5%</w:t>
            </w:r>
          </w:p>
        </w:tc>
      </w:tr>
      <w:tr w:rsidR="004C379C" w:rsidRPr="00C50619" w14:paraId="02DB14AF" w14:textId="77777777" w:rsidTr="00586ABB">
        <w:trPr>
          <w:trHeight w:val="280"/>
        </w:trPr>
        <w:tc>
          <w:tcPr>
            <w:tcW w:w="2332" w:type="dxa"/>
            <w:noWrap/>
            <w:vAlign w:val="center"/>
            <w:hideMark/>
          </w:tcPr>
          <w:p w14:paraId="07D289A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Free Cash Flow (RMB Bn)</w:t>
            </w:r>
          </w:p>
        </w:tc>
        <w:tc>
          <w:tcPr>
            <w:tcW w:w="3176" w:type="dxa"/>
            <w:noWrap/>
            <w:vAlign w:val="center"/>
            <w:hideMark/>
          </w:tcPr>
          <w:p w14:paraId="32F86BD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(Operating CF + Capex) / 1,000,000</w:t>
            </w:r>
          </w:p>
        </w:tc>
        <w:tc>
          <w:tcPr>
            <w:tcW w:w="674" w:type="dxa"/>
            <w:noWrap/>
            <w:vAlign w:val="center"/>
            <w:hideMark/>
          </w:tcPr>
          <w:p w14:paraId="7F4E079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39.4</w:t>
            </w:r>
          </w:p>
        </w:tc>
        <w:tc>
          <w:tcPr>
            <w:tcW w:w="674" w:type="dxa"/>
            <w:noWrap/>
            <w:vAlign w:val="center"/>
            <w:hideMark/>
          </w:tcPr>
          <w:p w14:paraId="6F855E8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28.1</w:t>
            </w:r>
          </w:p>
        </w:tc>
        <w:tc>
          <w:tcPr>
            <w:tcW w:w="688" w:type="dxa"/>
            <w:noWrap/>
            <w:vAlign w:val="center"/>
            <w:hideMark/>
          </w:tcPr>
          <w:p w14:paraId="6A884FD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43.4</w:t>
            </w:r>
          </w:p>
        </w:tc>
        <w:tc>
          <w:tcPr>
            <w:tcW w:w="688" w:type="dxa"/>
            <w:noWrap/>
            <w:vAlign w:val="center"/>
            <w:hideMark/>
          </w:tcPr>
          <w:p w14:paraId="0A6C9DA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47.6</w:t>
            </w:r>
          </w:p>
        </w:tc>
        <w:tc>
          <w:tcPr>
            <w:tcW w:w="688" w:type="dxa"/>
            <w:noWrap/>
            <w:vAlign w:val="center"/>
            <w:hideMark/>
          </w:tcPr>
          <w:p w14:paraId="03E8539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36.1</w:t>
            </w:r>
          </w:p>
        </w:tc>
      </w:tr>
      <w:tr w:rsidR="004C379C" w:rsidRPr="00C50619" w14:paraId="072C8223" w14:textId="77777777" w:rsidTr="00586ABB">
        <w:trPr>
          <w:trHeight w:val="280"/>
        </w:trPr>
        <w:tc>
          <w:tcPr>
            <w:tcW w:w="2332" w:type="dxa"/>
            <w:noWrap/>
            <w:vAlign w:val="center"/>
            <w:hideMark/>
          </w:tcPr>
          <w:p w14:paraId="29B52EB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FCF Margin</w:t>
            </w:r>
          </w:p>
        </w:tc>
        <w:tc>
          <w:tcPr>
            <w:tcW w:w="3176" w:type="dxa"/>
            <w:noWrap/>
            <w:vAlign w:val="center"/>
            <w:hideMark/>
          </w:tcPr>
          <w:p w14:paraId="26CE756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Free Cash Flow / Revenue</w:t>
            </w:r>
          </w:p>
        </w:tc>
        <w:tc>
          <w:tcPr>
            <w:tcW w:w="674" w:type="dxa"/>
            <w:noWrap/>
            <w:vAlign w:val="center"/>
            <w:hideMark/>
          </w:tcPr>
          <w:p w14:paraId="597AED7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25.7%</w:t>
            </w:r>
          </w:p>
        </w:tc>
        <w:tc>
          <w:tcPr>
            <w:tcW w:w="674" w:type="dxa"/>
            <w:noWrap/>
            <w:vAlign w:val="center"/>
            <w:hideMark/>
          </w:tcPr>
          <w:p w14:paraId="5BF51AD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13.0%</w:t>
            </w:r>
          </w:p>
        </w:tc>
        <w:tc>
          <w:tcPr>
            <w:tcW w:w="688" w:type="dxa"/>
            <w:noWrap/>
            <w:vAlign w:val="center"/>
            <w:hideMark/>
          </w:tcPr>
          <w:p w14:paraId="65147D4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10.2%</w:t>
            </w:r>
          </w:p>
        </w:tc>
        <w:tc>
          <w:tcPr>
            <w:tcW w:w="688" w:type="dxa"/>
            <w:noWrap/>
            <w:vAlign w:val="center"/>
            <w:hideMark/>
          </w:tcPr>
          <w:p w14:paraId="5E17FE3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7.9%</w:t>
            </w:r>
          </w:p>
        </w:tc>
        <w:tc>
          <w:tcPr>
            <w:tcW w:w="688" w:type="dxa"/>
            <w:noWrap/>
            <w:vAlign w:val="center"/>
            <w:hideMark/>
          </w:tcPr>
          <w:p w14:paraId="597F640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4.6%</w:t>
            </w:r>
          </w:p>
        </w:tc>
      </w:tr>
    </w:tbl>
    <w:p w14:paraId="43942164" w14:textId="77777777" w:rsidR="00BC754A" w:rsidRPr="00C50619" w:rsidRDefault="00BC754A" w:rsidP="00513E41">
      <w:pPr>
        <w:spacing w:line="360" w:lineRule="auto"/>
        <w:jc w:val="both"/>
        <w:rPr>
          <w:rFonts w:ascii="Arial" w:hAnsi="Arial" w:cs="Arial"/>
          <w:lang w:val="en-GB"/>
        </w:rPr>
      </w:pPr>
    </w:p>
    <w:p w14:paraId="5F7F9CA3" w14:textId="77777777" w:rsidR="00555BF5" w:rsidRPr="00C50619" w:rsidRDefault="00555BF5" w:rsidP="00513E41">
      <w:pPr>
        <w:spacing w:line="360" w:lineRule="auto"/>
        <w:jc w:val="both"/>
        <w:rPr>
          <w:rFonts w:ascii="Arial" w:hAnsi="Arial" w:cs="Arial"/>
          <w:lang w:val="en-GB"/>
        </w:rPr>
      </w:pPr>
    </w:p>
    <w:p w14:paraId="3DA8FEBE" w14:textId="77777777" w:rsidR="00555BF5" w:rsidRPr="00C50619" w:rsidRDefault="00555BF5" w:rsidP="00513E41">
      <w:pPr>
        <w:spacing w:line="360" w:lineRule="auto"/>
        <w:jc w:val="both"/>
        <w:rPr>
          <w:rFonts w:ascii="Arial" w:hAnsi="Arial" w:cs="Arial"/>
          <w:lang w:val="en-GB"/>
        </w:rPr>
      </w:pPr>
    </w:p>
    <w:p w14:paraId="17419D96" w14:textId="77777777" w:rsidR="00555BF5" w:rsidRPr="00C50619" w:rsidRDefault="00555BF5" w:rsidP="00513E41">
      <w:pPr>
        <w:spacing w:line="360" w:lineRule="auto"/>
        <w:jc w:val="both"/>
        <w:rPr>
          <w:rFonts w:ascii="Arial" w:hAnsi="Arial" w:cs="Arial"/>
          <w:lang w:val="en-GB"/>
        </w:rPr>
      </w:pPr>
    </w:p>
    <w:p w14:paraId="4B473FCF" w14:textId="77777777" w:rsidR="00555BF5" w:rsidRPr="00C50619" w:rsidRDefault="00555BF5" w:rsidP="00513E41">
      <w:pPr>
        <w:spacing w:line="360" w:lineRule="auto"/>
        <w:jc w:val="both"/>
        <w:rPr>
          <w:rFonts w:ascii="Arial" w:hAnsi="Arial" w:cs="Arial"/>
          <w:lang w:val="en-GB"/>
        </w:rPr>
      </w:pPr>
    </w:p>
    <w:p w14:paraId="0767CA82" w14:textId="77777777" w:rsidR="00555BF5" w:rsidRPr="00C50619" w:rsidRDefault="00555BF5" w:rsidP="00513E41">
      <w:pPr>
        <w:spacing w:line="360" w:lineRule="auto"/>
        <w:jc w:val="both"/>
        <w:rPr>
          <w:rFonts w:ascii="Arial" w:hAnsi="Arial" w:cs="Arial"/>
          <w:lang w:val="en-GB"/>
        </w:rPr>
      </w:pPr>
    </w:p>
    <w:p w14:paraId="33D09CB1" w14:textId="77777777" w:rsidR="00555BF5" w:rsidRPr="00C50619" w:rsidRDefault="00555BF5" w:rsidP="00513E41">
      <w:pPr>
        <w:spacing w:line="360" w:lineRule="auto"/>
        <w:jc w:val="both"/>
        <w:rPr>
          <w:rFonts w:ascii="Arial" w:hAnsi="Arial" w:cs="Arial"/>
          <w:lang w:val="en-GB"/>
        </w:rPr>
      </w:pPr>
    </w:p>
    <w:p w14:paraId="6518065E" w14:textId="77777777" w:rsidR="00555BF5" w:rsidRPr="00C50619" w:rsidRDefault="00555BF5" w:rsidP="00513E41">
      <w:pPr>
        <w:spacing w:line="360" w:lineRule="auto"/>
        <w:jc w:val="both"/>
        <w:rPr>
          <w:rFonts w:ascii="Arial" w:hAnsi="Arial" w:cs="Arial"/>
          <w:lang w:val="en-GB"/>
        </w:rPr>
      </w:pPr>
    </w:p>
    <w:p w14:paraId="65B93CB5" w14:textId="77777777" w:rsidR="00555BF5" w:rsidRPr="00C50619" w:rsidRDefault="00555BF5" w:rsidP="00513E41">
      <w:pPr>
        <w:spacing w:line="360" w:lineRule="auto"/>
        <w:jc w:val="both"/>
        <w:rPr>
          <w:rFonts w:ascii="Arial" w:hAnsi="Arial" w:cs="Arial"/>
          <w:lang w:val="en-GB"/>
        </w:rPr>
      </w:pPr>
    </w:p>
    <w:p w14:paraId="0E5ACF90" w14:textId="77777777" w:rsidR="00555BF5" w:rsidRPr="00C50619" w:rsidRDefault="00555BF5" w:rsidP="00513E41">
      <w:pPr>
        <w:spacing w:line="360" w:lineRule="auto"/>
        <w:jc w:val="both"/>
        <w:rPr>
          <w:rFonts w:ascii="Arial" w:hAnsi="Arial" w:cs="Arial"/>
          <w:lang w:val="en-GB"/>
        </w:rPr>
      </w:pPr>
    </w:p>
    <w:p w14:paraId="4CD978B1" w14:textId="77777777" w:rsidR="00555BF5" w:rsidRPr="00C50619" w:rsidRDefault="00555BF5" w:rsidP="00513E41">
      <w:pPr>
        <w:spacing w:line="360" w:lineRule="auto"/>
        <w:jc w:val="both"/>
        <w:rPr>
          <w:rFonts w:ascii="Arial" w:hAnsi="Arial" w:cs="Arial"/>
          <w:lang w:val="en-GB"/>
        </w:rPr>
      </w:pPr>
    </w:p>
    <w:p w14:paraId="4DF7ECAD" w14:textId="77777777" w:rsidR="00555BF5" w:rsidRPr="00C50619" w:rsidRDefault="00555BF5" w:rsidP="00513E41">
      <w:pPr>
        <w:spacing w:line="360" w:lineRule="auto"/>
        <w:jc w:val="both"/>
        <w:rPr>
          <w:rFonts w:ascii="Arial" w:hAnsi="Arial" w:cs="Arial"/>
          <w:lang w:val="en-GB"/>
        </w:rPr>
      </w:pPr>
    </w:p>
    <w:p w14:paraId="3B3F828A" w14:textId="77777777" w:rsidR="00555BF5" w:rsidRPr="00C50619" w:rsidRDefault="00555BF5" w:rsidP="00513E41">
      <w:pPr>
        <w:spacing w:line="360" w:lineRule="auto"/>
        <w:jc w:val="both"/>
        <w:rPr>
          <w:rFonts w:ascii="Arial" w:hAnsi="Arial" w:cs="Arial"/>
          <w:lang w:val="en-GB"/>
        </w:rPr>
      </w:pPr>
    </w:p>
    <w:p w14:paraId="0B0EC59C" w14:textId="0E7FABDF" w:rsidR="00BC754A" w:rsidRPr="00C50619" w:rsidRDefault="00BC754A" w:rsidP="00555BF5">
      <w:pPr>
        <w:pStyle w:val="Heading2"/>
        <w:spacing w:line="360" w:lineRule="auto"/>
        <w:rPr>
          <w:rFonts w:cs="Arial"/>
          <w:szCs w:val="24"/>
          <w:lang w:val="en-GB"/>
        </w:rPr>
      </w:pPr>
      <w:bookmarkStart w:id="35" w:name="_Toc227770643"/>
      <w:r w:rsidRPr="00C50619">
        <w:rPr>
          <w:rFonts w:cs="Arial"/>
          <w:szCs w:val="24"/>
          <w:lang w:val="en-GB"/>
        </w:rPr>
        <w:lastRenderedPageBreak/>
        <w:t>Appendix 2: Graphs and trend charts</w:t>
      </w:r>
      <w:bookmarkEnd w:id="35"/>
    </w:p>
    <w:p w14:paraId="088FA456" w14:textId="7EBDBA6A" w:rsidR="00555BF5" w:rsidRPr="00C50619" w:rsidRDefault="00555BF5" w:rsidP="00513E41">
      <w:pPr>
        <w:spacing w:line="360" w:lineRule="auto"/>
        <w:jc w:val="both"/>
        <w:rPr>
          <w:rFonts w:ascii="Arial" w:hAnsi="Arial" w:cs="Arial"/>
          <w:noProof/>
          <w:lang w:val="en-GB" w:eastAsia="en-GB"/>
        </w:rPr>
      </w:pPr>
      <w:r w:rsidRPr="00C50619">
        <w:rPr>
          <w:rFonts w:ascii="Arial" w:hAnsi="Arial" w:cs="Arial"/>
          <w:noProof/>
          <w:lang w:val="en-GB" w:eastAsia="en-GB"/>
        </w:rPr>
        <w:drawing>
          <wp:inline distT="0" distB="0" distL="0" distR="0" wp14:anchorId="4FA55FA8" wp14:editId="16538022">
            <wp:extent cx="5625000" cy="3461040"/>
            <wp:effectExtent l="0" t="0" r="13970" b="6350"/>
            <wp:docPr id="1041225278" name="Chart 1">
              <a:extLst xmlns:a="http://schemas.openxmlformats.org/drawingml/2006/main">
                <a:ext uri="{FF2B5EF4-FFF2-40B4-BE49-F238E27FC236}">
                  <a16:creationId xmlns:a16="http://schemas.microsoft.com/office/drawing/2014/main" id="{00000000-0008-0000-04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9A02C12" w14:textId="1B3EE7B4" w:rsidR="00555BF5" w:rsidRPr="00C50619" w:rsidRDefault="00555BF5" w:rsidP="00555BF5">
      <w:pPr>
        <w:spacing w:line="360" w:lineRule="auto"/>
        <w:jc w:val="center"/>
        <w:rPr>
          <w:rFonts w:ascii="Arial" w:hAnsi="Arial" w:cs="Arial"/>
          <w:b/>
          <w:bCs/>
          <w:i/>
          <w:lang w:val="en-GB"/>
        </w:rPr>
      </w:pPr>
      <w:r w:rsidRPr="00C50619">
        <w:rPr>
          <w:rFonts w:ascii="Arial" w:hAnsi="Arial" w:cs="Arial"/>
          <w:i/>
          <w:noProof/>
          <w:lang w:val="en-GB" w:eastAsia="en-GB"/>
        </w:rPr>
        <w:t>Figure 2:</w:t>
      </w:r>
      <w:r w:rsidRPr="00C50619">
        <w:rPr>
          <w:i/>
          <w:lang w:val="en-GB"/>
        </w:rPr>
        <w:t xml:space="preserve"> </w:t>
      </w:r>
      <w:r w:rsidRPr="00C50619">
        <w:rPr>
          <w:rFonts w:ascii="Arial" w:hAnsi="Arial" w:cs="Arial"/>
          <w:i/>
          <w:noProof/>
          <w:lang w:val="en-GB" w:eastAsia="en-GB"/>
        </w:rPr>
        <w:t>Revenue &amp; Gross Profit (Self-made using Excel)</w:t>
      </w:r>
    </w:p>
    <w:p w14:paraId="3416BE05" w14:textId="432DA2BA" w:rsidR="00513E41" w:rsidRPr="00C50619" w:rsidRDefault="00513E41" w:rsidP="00513E41">
      <w:pPr>
        <w:spacing w:line="360" w:lineRule="auto"/>
        <w:jc w:val="both"/>
        <w:rPr>
          <w:rFonts w:ascii="Arial" w:hAnsi="Arial" w:cs="Arial"/>
          <w:b/>
          <w:bCs/>
          <w:lang w:val="en-GB"/>
        </w:rPr>
      </w:pPr>
      <w:r w:rsidRPr="00C50619">
        <w:rPr>
          <w:rFonts w:ascii="Arial" w:hAnsi="Arial" w:cs="Arial"/>
          <w:noProof/>
          <w:lang w:val="en-GB" w:eastAsia="en-GB"/>
        </w:rPr>
        <w:drawing>
          <wp:inline distT="0" distB="0" distL="0" distR="0" wp14:anchorId="48C8A145" wp14:editId="53DFBCE4">
            <wp:extent cx="5625000" cy="3461040"/>
            <wp:effectExtent l="0" t="0" r="13970" b="6350"/>
            <wp:docPr id="73029373" name="Chart 1">
              <a:extLst xmlns:a="http://schemas.openxmlformats.org/drawingml/2006/main">
                <a:ext uri="{FF2B5EF4-FFF2-40B4-BE49-F238E27FC236}">
                  <a16:creationId xmlns:a16="http://schemas.microsoft.com/office/drawing/2014/main" id="{00000000-0008-0000-04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4BB5FD" w14:textId="52F14547" w:rsidR="00555BF5" w:rsidRPr="00C50619" w:rsidRDefault="00555BF5" w:rsidP="00555BF5">
      <w:pPr>
        <w:spacing w:line="360" w:lineRule="auto"/>
        <w:jc w:val="center"/>
        <w:rPr>
          <w:rFonts w:ascii="Arial" w:hAnsi="Arial" w:cs="Arial"/>
          <w:b/>
          <w:bCs/>
          <w:i/>
          <w:lang w:val="en-GB"/>
        </w:rPr>
      </w:pPr>
      <w:r w:rsidRPr="00C50619">
        <w:rPr>
          <w:rFonts w:ascii="Arial" w:hAnsi="Arial" w:cs="Arial"/>
          <w:i/>
          <w:noProof/>
          <w:lang w:val="en-GB" w:eastAsia="en-GB"/>
        </w:rPr>
        <w:t>Figure 3:</w:t>
      </w:r>
      <w:r w:rsidRPr="00C50619">
        <w:rPr>
          <w:i/>
          <w:lang w:val="en-GB"/>
        </w:rPr>
        <w:t xml:space="preserve"> </w:t>
      </w:r>
      <w:r w:rsidRPr="00C50619">
        <w:rPr>
          <w:rFonts w:ascii="Arial" w:hAnsi="Arial" w:cs="Arial"/>
          <w:i/>
          <w:noProof/>
          <w:lang w:val="en-GB" w:eastAsia="en-GB"/>
        </w:rPr>
        <w:t>Net Profit (Parent) vs Operating Cash Flow  (Self-made using Excel)</w:t>
      </w:r>
    </w:p>
    <w:p w14:paraId="0307DA77" w14:textId="5BA1A8FD" w:rsidR="00513E41" w:rsidRPr="00C50619" w:rsidRDefault="00513E41" w:rsidP="00513E41">
      <w:pPr>
        <w:spacing w:line="360" w:lineRule="auto"/>
        <w:jc w:val="both"/>
        <w:rPr>
          <w:rFonts w:ascii="Arial" w:hAnsi="Arial" w:cs="Arial"/>
          <w:b/>
          <w:bCs/>
          <w:lang w:val="en-GB"/>
        </w:rPr>
      </w:pPr>
      <w:r w:rsidRPr="00C50619">
        <w:rPr>
          <w:rFonts w:ascii="Arial" w:hAnsi="Arial" w:cs="Arial"/>
          <w:noProof/>
          <w:lang w:val="en-GB" w:eastAsia="en-GB"/>
        </w:rPr>
        <w:lastRenderedPageBreak/>
        <w:drawing>
          <wp:inline distT="0" distB="0" distL="0" distR="0" wp14:anchorId="63DCE320" wp14:editId="40AFF1E8">
            <wp:extent cx="5394960" cy="3185160"/>
            <wp:effectExtent l="0" t="0" r="15240" b="15240"/>
            <wp:docPr id="482602548" name="Chart 1">
              <a:extLst xmlns:a="http://schemas.openxmlformats.org/drawingml/2006/main">
                <a:ext uri="{FF2B5EF4-FFF2-40B4-BE49-F238E27FC236}">
                  <a16:creationId xmlns:a16="http://schemas.microsoft.com/office/drawing/2014/main" id="{00000000-0008-0000-04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E02DAB" w14:textId="464610E8" w:rsidR="00555BF5" w:rsidRPr="00C50619" w:rsidRDefault="00555BF5" w:rsidP="00555BF5">
      <w:pPr>
        <w:spacing w:line="360" w:lineRule="auto"/>
        <w:jc w:val="center"/>
        <w:rPr>
          <w:rFonts w:ascii="Arial" w:hAnsi="Arial" w:cs="Arial"/>
          <w:bCs/>
          <w:i/>
          <w:lang w:val="en-GB"/>
        </w:rPr>
      </w:pPr>
      <w:r w:rsidRPr="00C50619">
        <w:rPr>
          <w:rFonts w:ascii="Arial" w:hAnsi="Arial" w:cs="Arial"/>
          <w:bCs/>
          <w:i/>
          <w:lang w:val="en-GB"/>
        </w:rPr>
        <w:t>Figure 4: Profitability Margins (%) (Self-made using Excel)</w:t>
      </w:r>
    </w:p>
    <w:p w14:paraId="178C3F48" w14:textId="07449A60" w:rsidR="00513E41" w:rsidRPr="00C50619" w:rsidRDefault="00513E41" w:rsidP="00513E41">
      <w:pPr>
        <w:spacing w:line="360" w:lineRule="auto"/>
        <w:jc w:val="both"/>
        <w:rPr>
          <w:rFonts w:ascii="Arial" w:hAnsi="Arial" w:cs="Arial"/>
          <w:b/>
          <w:bCs/>
          <w:lang w:val="en-GB"/>
        </w:rPr>
      </w:pPr>
      <w:r w:rsidRPr="00C50619">
        <w:rPr>
          <w:rFonts w:ascii="Arial" w:hAnsi="Arial" w:cs="Arial"/>
          <w:noProof/>
          <w:lang w:val="en-GB" w:eastAsia="en-GB"/>
        </w:rPr>
        <w:drawing>
          <wp:inline distT="0" distB="0" distL="0" distR="0" wp14:anchorId="6DE30B58" wp14:editId="3A373132">
            <wp:extent cx="5625000" cy="3461040"/>
            <wp:effectExtent l="0" t="0" r="13970" b="6350"/>
            <wp:docPr id="1183848051" name="Chart 1">
              <a:extLst xmlns:a="http://schemas.openxmlformats.org/drawingml/2006/main">
                <a:ext uri="{FF2B5EF4-FFF2-40B4-BE49-F238E27FC236}">
                  <a16:creationId xmlns:a16="http://schemas.microsoft.com/office/drawing/2014/main" id="{00000000-0008-0000-04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9037D7C" w14:textId="4DF4AC21" w:rsidR="00555BF5" w:rsidRPr="00C50619" w:rsidRDefault="00555BF5" w:rsidP="00555BF5">
      <w:pPr>
        <w:spacing w:line="360" w:lineRule="auto"/>
        <w:jc w:val="center"/>
        <w:rPr>
          <w:rFonts w:ascii="Arial" w:hAnsi="Arial" w:cs="Arial"/>
          <w:bCs/>
          <w:i/>
          <w:lang w:val="en-GB"/>
        </w:rPr>
      </w:pPr>
      <w:r w:rsidRPr="00C50619">
        <w:rPr>
          <w:rFonts w:ascii="Arial" w:hAnsi="Arial" w:cs="Arial"/>
          <w:bCs/>
          <w:i/>
          <w:lang w:val="en-GB"/>
        </w:rPr>
        <w:t>Figure 5: Liquidity Ratios (x) (Self-made using Excel)</w:t>
      </w:r>
    </w:p>
    <w:p w14:paraId="3E7C4B20" w14:textId="77777777" w:rsidR="00555BF5" w:rsidRPr="00C50619" w:rsidRDefault="00555BF5" w:rsidP="00555BF5">
      <w:pPr>
        <w:spacing w:line="360" w:lineRule="auto"/>
        <w:jc w:val="center"/>
        <w:rPr>
          <w:rFonts w:ascii="Arial" w:hAnsi="Arial" w:cs="Arial"/>
          <w:bCs/>
          <w:i/>
          <w:lang w:val="en-GB"/>
        </w:rPr>
      </w:pPr>
    </w:p>
    <w:p w14:paraId="6D2E5B0F" w14:textId="1CB2AD58" w:rsidR="00513E41" w:rsidRPr="00C50619" w:rsidRDefault="00513E41" w:rsidP="00513E41">
      <w:pPr>
        <w:pStyle w:val="Heading2"/>
        <w:spacing w:line="360" w:lineRule="auto"/>
        <w:rPr>
          <w:rFonts w:cs="Arial"/>
          <w:szCs w:val="24"/>
          <w:lang w:val="en-GB"/>
        </w:rPr>
      </w:pPr>
      <w:bookmarkStart w:id="36" w:name="_Toc227770644"/>
      <w:r w:rsidRPr="00C50619">
        <w:rPr>
          <w:rFonts w:cs="Arial"/>
          <w:szCs w:val="24"/>
          <w:lang w:val="en-GB"/>
        </w:rPr>
        <w:lastRenderedPageBreak/>
        <w:t>Appendix 3: Working Capital calculation</w:t>
      </w:r>
      <w:bookmarkEnd w:id="36"/>
      <w:r w:rsidRPr="00C50619">
        <w:rPr>
          <w:rFonts w:cs="Arial"/>
          <w:szCs w:val="24"/>
          <w:lang w:val="en-GB"/>
        </w:rPr>
        <w:t xml:space="preserve"> </w:t>
      </w:r>
    </w:p>
    <w:tbl>
      <w:tblPr>
        <w:tblW w:w="89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1"/>
        <w:gridCol w:w="1264"/>
        <w:gridCol w:w="1265"/>
        <w:gridCol w:w="1286"/>
        <w:gridCol w:w="1390"/>
        <w:gridCol w:w="1390"/>
        <w:gridCol w:w="1390"/>
      </w:tblGrid>
      <w:tr w:rsidR="00513E41" w:rsidRPr="00C50619" w14:paraId="4D042D4D" w14:textId="77777777" w:rsidTr="00513E41">
        <w:trPr>
          <w:trHeight w:val="441"/>
        </w:trPr>
        <w:tc>
          <w:tcPr>
            <w:tcW w:w="8961" w:type="dxa"/>
            <w:gridSpan w:val="7"/>
            <w:shd w:val="clear" w:color="404040" w:fill="1F3864"/>
            <w:noWrap/>
            <w:vAlign w:val="center"/>
            <w:hideMark/>
          </w:tcPr>
          <w:p w14:paraId="6FEC0838"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BYD Company Limited — Working Capital Analysis</w:t>
            </w:r>
          </w:p>
        </w:tc>
      </w:tr>
      <w:tr w:rsidR="00513E41" w:rsidRPr="00C50619" w14:paraId="327F4622" w14:textId="77777777" w:rsidTr="00513E41">
        <w:trPr>
          <w:trHeight w:val="248"/>
        </w:trPr>
        <w:tc>
          <w:tcPr>
            <w:tcW w:w="8961" w:type="dxa"/>
            <w:gridSpan w:val="7"/>
            <w:noWrap/>
            <w:vAlign w:val="bottom"/>
            <w:hideMark/>
          </w:tcPr>
          <w:p w14:paraId="344ABE9C" w14:textId="77777777" w:rsidR="00513E41" w:rsidRPr="00C50619" w:rsidRDefault="00513E41" w:rsidP="00513E41">
            <w:pPr>
              <w:spacing w:after="0" w:line="360" w:lineRule="auto"/>
              <w:jc w:val="center"/>
              <w:rPr>
                <w:rFonts w:ascii="Arial" w:eastAsia="Times New Roman" w:hAnsi="Arial" w:cs="Arial"/>
                <w:i/>
                <w:iCs/>
                <w:color w:val="404040"/>
                <w:kern w:val="0"/>
                <w:lang w:val="en-GB"/>
                <w14:ligatures w14:val="none"/>
              </w:rPr>
            </w:pPr>
            <w:r w:rsidRPr="00C50619">
              <w:rPr>
                <w:rFonts w:ascii="Arial" w:eastAsia="Times New Roman" w:hAnsi="Arial" w:cs="Arial"/>
                <w:i/>
                <w:iCs/>
                <w:color w:val="404040"/>
                <w:kern w:val="0"/>
                <w:lang w:val="en-GB"/>
                <w14:ligatures w14:val="none"/>
              </w:rPr>
              <w:t>RMB '000  |  Source: BYD Annual Reports 2020–2024</w:t>
            </w:r>
          </w:p>
        </w:tc>
      </w:tr>
      <w:tr w:rsidR="00513E41" w:rsidRPr="00C50619" w14:paraId="02E40905" w14:textId="77777777" w:rsidTr="00513E41">
        <w:trPr>
          <w:trHeight w:val="331"/>
        </w:trPr>
        <w:tc>
          <w:tcPr>
            <w:tcW w:w="1967" w:type="dxa"/>
            <w:shd w:val="clear" w:color="404040" w:fill="1F3864"/>
            <w:noWrap/>
            <w:vAlign w:val="center"/>
            <w:hideMark/>
          </w:tcPr>
          <w:p w14:paraId="57B24990"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Metric</w:t>
            </w:r>
          </w:p>
        </w:tc>
        <w:tc>
          <w:tcPr>
            <w:tcW w:w="1344" w:type="dxa"/>
            <w:shd w:val="clear" w:color="404040" w:fill="1F3864"/>
            <w:noWrap/>
            <w:vAlign w:val="center"/>
            <w:hideMark/>
          </w:tcPr>
          <w:p w14:paraId="6DBCF087"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Formula</w:t>
            </w:r>
          </w:p>
        </w:tc>
        <w:tc>
          <w:tcPr>
            <w:tcW w:w="1062" w:type="dxa"/>
            <w:shd w:val="clear" w:color="4A7EBB" w:fill="2E75B6"/>
            <w:noWrap/>
            <w:vAlign w:val="center"/>
            <w:hideMark/>
          </w:tcPr>
          <w:p w14:paraId="0464555F"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2020</w:t>
            </w:r>
          </w:p>
        </w:tc>
        <w:tc>
          <w:tcPr>
            <w:tcW w:w="1080" w:type="dxa"/>
            <w:shd w:val="clear" w:color="4A7EBB" w:fill="2E75B6"/>
            <w:noWrap/>
            <w:vAlign w:val="center"/>
            <w:hideMark/>
          </w:tcPr>
          <w:p w14:paraId="182BC766"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2021</w:t>
            </w:r>
          </w:p>
        </w:tc>
        <w:tc>
          <w:tcPr>
            <w:tcW w:w="1168" w:type="dxa"/>
            <w:shd w:val="clear" w:color="4A7EBB" w:fill="2E75B6"/>
            <w:noWrap/>
            <w:vAlign w:val="center"/>
            <w:hideMark/>
          </w:tcPr>
          <w:p w14:paraId="628D5C2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2022</w:t>
            </w:r>
          </w:p>
        </w:tc>
        <w:tc>
          <w:tcPr>
            <w:tcW w:w="1168" w:type="dxa"/>
            <w:shd w:val="clear" w:color="4A7EBB" w:fill="2E75B6"/>
            <w:noWrap/>
            <w:vAlign w:val="center"/>
            <w:hideMark/>
          </w:tcPr>
          <w:p w14:paraId="64147A83"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2023</w:t>
            </w:r>
          </w:p>
        </w:tc>
        <w:tc>
          <w:tcPr>
            <w:tcW w:w="1168" w:type="dxa"/>
            <w:shd w:val="clear" w:color="4A7EBB" w:fill="2E75B6"/>
            <w:noWrap/>
            <w:vAlign w:val="center"/>
            <w:hideMark/>
          </w:tcPr>
          <w:p w14:paraId="00ACDE97"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2024</w:t>
            </w:r>
          </w:p>
        </w:tc>
      </w:tr>
      <w:tr w:rsidR="00513E41" w:rsidRPr="00C50619" w14:paraId="46F8F8AE" w14:textId="77777777" w:rsidTr="00513E41">
        <w:trPr>
          <w:trHeight w:val="289"/>
        </w:trPr>
        <w:tc>
          <w:tcPr>
            <w:tcW w:w="8961" w:type="dxa"/>
            <w:gridSpan w:val="7"/>
            <w:shd w:val="clear" w:color="404040" w:fill="1F3864"/>
            <w:noWrap/>
            <w:vAlign w:val="center"/>
            <w:hideMark/>
          </w:tcPr>
          <w:p w14:paraId="013AC735"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WORKING CAPITAL COMPONENTS (RMB '000)</w:t>
            </w:r>
          </w:p>
        </w:tc>
      </w:tr>
      <w:tr w:rsidR="00513E41" w:rsidRPr="00C50619" w14:paraId="0E0BBC72" w14:textId="77777777" w:rsidTr="00513E41">
        <w:trPr>
          <w:trHeight w:val="275"/>
        </w:trPr>
        <w:tc>
          <w:tcPr>
            <w:tcW w:w="1967" w:type="dxa"/>
            <w:noWrap/>
            <w:vAlign w:val="center"/>
            <w:hideMark/>
          </w:tcPr>
          <w:p w14:paraId="58691428"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Total Current Assets</w:t>
            </w:r>
          </w:p>
        </w:tc>
        <w:tc>
          <w:tcPr>
            <w:tcW w:w="1344" w:type="dxa"/>
            <w:noWrap/>
            <w:vAlign w:val="center"/>
            <w:hideMark/>
          </w:tcPr>
          <w:p w14:paraId="52371BD8"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Balance Sheet ref</w:t>
            </w:r>
          </w:p>
        </w:tc>
        <w:tc>
          <w:tcPr>
            <w:tcW w:w="1062" w:type="dxa"/>
            <w:noWrap/>
            <w:vAlign w:val="center"/>
            <w:hideMark/>
          </w:tcPr>
          <w:p w14:paraId="27341B17"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111,605,110</w:t>
            </w:r>
          </w:p>
        </w:tc>
        <w:tc>
          <w:tcPr>
            <w:tcW w:w="1080" w:type="dxa"/>
            <w:noWrap/>
            <w:vAlign w:val="center"/>
            <w:hideMark/>
          </w:tcPr>
          <w:p w14:paraId="1500113B"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156,385,140</w:t>
            </w:r>
          </w:p>
        </w:tc>
        <w:tc>
          <w:tcPr>
            <w:tcW w:w="1168" w:type="dxa"/>
            <w:noWrap/>
            <w:vAlign w:val="center"/>
            <w:hideMark/>
          </w:tcPr>
          <w:p w14:paraId="3EA1D009"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226,197,947</w:t>
            </w:r>
          </w:p>
        </w:tc>
        <w:tc>
          <w:tcPr>
            <w:tcW w:w="1168" w:type="dxa"/>
            <w:noWrap/>
            <w:vAlign w:val="center"/>
            <w:hideMark/>
          </w:tcPr>
          <w:p w14:paraId="60B6CDAC"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291,952,776</w:t>
            </w:r>
          </w:p>
        </w:tc>
        <w:tc>
          <w:tcPr>
            <w:tcW w:w="1168" w:type="dxa"/>
            <w:noWrap/>
            <w:vAlign w:val="center"/>
            <w:hideMark/>
          </w:tcPr>
          <w:p w14:paraId="5FFD289B"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357,354,658</w:t>
            </w:r>
          </w:p>
        </w:tc>
      </w:tr>
      <w:tr w:rsidR="00513E41" w:rsidRPr="00C50619" w14:paraId="76B4EB2F" w14:textId="77777777" w:rsidTr="00513E41">
        <w:trPr>
          <w:trHeight w:val="275"/>
        </w:trPr>
        <w:tc>
          <w:tcPr>
            <w:tcW w:w="1967" w:type="dxa"/>
            <w:noWrap/>
            <w:vAlign w:val="center"/>
            <w:hideMark/>
          </w:tcPr>
          <w:p w14:paraId="734917BC"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Total Current Liabilities</w:t>
            </w:r>
          </w:p>
        </w:tc>
        <w:tc>
          <w:tcPr>
            <w:tcW w:w="1344" w:type="dxa"/>
            <w:noWrap/>
            <w:vAlign w:val="center"/>
            <w:hideMark/>
          </w:tcPr>
          <w:p w14:paraId="56207B96"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Balance Sheet ref</w:t>
            </w:r>
          </w:p>
        </w:tc>
        <w:tc>
          <w:tcPr>
            <w:tcW w:w="1062" w:type="dxa"/>
            <w:noWrap/>
            <w:vAlign w:val="center"/>
            <w:hideMark/>
          </w:tcPr>
          <w:p w14:paraId="3731FFBC"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106,430,696</w:t>
            </w:r>
          </w:p>
        </w:tc>
        <w:tc>
          <w:tcPr>
            <w:tcW w:w="1080" w:type="dxa"/>
            <w:noWrap/>
            <w:vAlign w:val="center"/>
            <w:hideMark/>
          </w:tcPr>
          <w:p w14:paraId="142CABC3"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171,303,644</w:t>
            </w:r>
          </w:p>
        </w:tc>
        <w:tc>
          <w:tcPr>
            <w:tcW w:w="1168" w:type="dxa"/>
            <w:noWrap/>
            <w:vAlign w:val="center"/>
            <w:hideMark/>
          </w:tcPr>
          <w:p w14:paraId="10C610DD"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334,344,561</w:t>
            </w:r>
          </w:p>
        </w:tc>
        <w:tc>
          <w:tcPr>
            <w:tcW w:w="1168" w:type="dxa"/>
            <w:noWrap/>
            <w:vAlign w:val="center"/>
            <w:hideMark/>
          </w:tcPr>
          <w:p w14:paraId="1981AA88"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453,666,671</w:t>
            </w:r>
          </w:p>
        </w:tc>
        <w:tc>
          <w:tcPr>
            <w:tcW w:w="1168" w:type="dxa"/>
            <w:noWrap/>
            <w:vAlign w:val="center"/>
            <w:hideMark/>
          </w:tcPr>
          <w:p w14:paraId="1E77D862"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495,985,176</w:t>
            </w:r>
          </w:p>
        </w:tc>
      </w:tr>
      <w:tr w:rsidR="00513E41" w:rsidRPr="00C50619" w14:paraId="35AF2AB1" w14:textId="77777777" w:rsidTr="00513E41">
        <w:trPr>
          <w:trHeight w:val="275"/>
        </w:trPr>
        <w:tc>
          <w:tcPr>
            <w:tcW w:w="1967" w:type="dxa"/>
            <w:noWrap/>
            <w:vAlign w:val="center"/>
            <w:hideMark/>
          </w:tcPr>
          <w:p w14:paraId="15AF6423"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NET WORKING CAPITAL</w:t>
            </w:r>
          </w:p>
        </w:tc>
        <w:tc>
          <w:tcPr>
            <w:tcW w:w="1344" w:type="dxa"/>
            <w:noWrap/>
            <w:vAlign w:val="center"/>
            <w:hideMark/>
          </w:tcPr>
          <w:p w14:paraId="04A14226"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CA minus CL</w:t>
            </w:r>
          </w:p>
        </w:tc>
        <w:tc>
          <w:tcPr>
            <w:tcW w:w="1062" w:type="dxa"/>
            <w:shd w:val="clear" w:color="F9F9F9" w:fill="EBF3FB"/>
            <w:noWrap/>
            <w:vAlign w:val="center"/>
            <w:hideMark/>
          </w:tcPr>
          <w:p w14:paraId="39735E75"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5,174,414</w:t>
            </w:r>
          </w:p>
        </w:tc>
        <w:tc>
          <w:tcPr>
            <w:tcW w:w="1080" w:type="dxa"/>
            <w:shd w:val="clear" w:color="F9F9F9" w:fill="EBF3FB"/>
            <w:noWrap/>
            <w:vAlign w:val="center"/>
            <w:hideMark/>
          </w:tcPr>
          <w:p w14:paraId="19FB8041"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(14,918,504)</w:t>
            </w:r>
          </w:p>
        </w:tc>
        <w:tc>
          <w:tcPr>
            <w:tcW w:w="1168" w:type="dxa"/>
            <w:shd w:val="clear" w:color="F9F9F9" w:fill="EBF3FB"/>
            <w:noWrap/>
            <w:vAlign w:val="center"/>
            <w:hideMark/>
          </w:tcPr>
          <w:p w14:paraId="6073F79B"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(108,146,614)</w:t>
            </w:r>
          </w:p>
        </w:tc>
        <w:tc>
          <w:tcPr>
            <w:tcW w:w="1168" w:type="dxa"/>
            <w:shd w:val="clear" w:color="F9F9F9" w:fill="EBF3FB"/>
            <w:noWrap/>
            <w:vAlign w:val="center"/>
            <w:hideMark/>
          </w:tcPr>
          <w:p w14:paraId="5BEEE5C6"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(161,713,895)</w:t>
            </w:r>
          </w:p>
        </w:tc>
        <w:tc>
          <w:tcPr>
            <w:tcW w:w="1168" w:type="dxa"/>
            <w:shd w:val="clear" w:color="F9F9F9" w:fill="EBF3FB"/>
            <w:noWrap/>
            <w:vAlign w:val="center"/>
            <w:hideMark/>
          </w:tcPr>
          <w:p w14:paraId="76F1CF6B"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(138,630,518)</w:t>
            </w:r>
          </w:p>
        </w:tc>
      </w:tr>
      <w:tr w:rsidR="00513E41" w:rsidRPr="00C50619" w14:paraId="726A0033" w14:textId="77777777" w:rsidTr="00513E41">
        <w:trPr>
          <w:trHeight w:val="275"/>
        </w:trPr>
        <w:tc>
          <w:tcPr>
            <w:tcW w:w="1967" w:type="dxa"/>
            <w:noWrap/>
            <w:vAlign w:val="center"/>
            <w:hideMark/>
          </w:tcPr>
          <w:p w14:paraId="1C0594A8"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Working Capital (RMB Bn)</w:t>
            </w:r>
          </w:p>
        </w:tc>
        <w:tc>
          <w:tcPr>
            <w:tcW w:w="1344" w:type="dxa"/>
            <w:noWrap/>
            <w:vAlign w:val="center"/>
            <w:hideMark/>
          </w:tcPr>
          <w:p w14:paraId="1D24A808"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NWC / 1,000,000</w:t>
            </w:r>
          </w:p>
        </w:tc>
        <w:tc>
          <w:tcPr>
            <w:tcW w:w="1062" w:type="dxa"/>
            <w:noWrap/>
            <w:vAlign w:val="center"/>
            <w:hideMark/>
          </w:tcPr>
          <w:p w14:paraId="224EFAD2"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5.2</w:t>
            </w:r>
          </w:p>
        </w:tc>
        <w:tc>
          <w:tcPr>
            <w:tcW w:w="1080" w:type="dxa"/>
            <w:noWrap/>
            <w:vAlign w:val="center"/>
            <w:hideMark/>
          </w:tcPr>
          <w:p w14:paraId="4AF921CE"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-14.9</w:t>
            </w:r>
          </w:p>
        </w:tc>
        <w:tc>
          <w:tcPr>
            <w:tcW w:w="1168" w:type="dxa"/>
            <w:noWrap/>
            <w:vAlign w:val="center"/>
            <w:hideMark/>
          </w:tcPr>
          <w:p w14:paraId="5292BBAB"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-108.1</w:t>
            </w:r>
          </w:p>
        </w:tc>
        <w:tc>
          <w:tcPr>
            <w:tcW w:w="1168" w:type="dxa"/>
            <w:noWrap/>
            <w:vAlign w:val="center"/>
            <w:hideMark/>
          </w:tcPr>
          <w:p w14:paraId="6236752C"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-161.7</w:t>
            </w:r>
          </w:p>
        </w:tc>
        <w:tc>
          <w:tcPr>
            <w:tcW w:w="1168" w:type="dxa"/>
            <w:noWrap/>
            <w:vAlign w:val="center"/>
            <w:hideMark/>
          </w:tcPr>
          <w:p w14:paraId="5E3A01F5"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-138.6</w:t>
            </w:r>
          </w:p>
        </w:tc>
      </w:tr>
      <w:tr w:rsidR="00513E41" w:rsidRPr="00C50619" w14:paraId="15241AC2" w14:textId="77777777" w:rsidTr="00513E41">
        <w:trPr>
          <w:trHeight w:val="289"/>
        </w:trPr>
        <w:tc>
          <w:tcPr>
            <w:tcW w:w="8961" w:type="dxa"/>
            <w:gridSpan w:val="7"/>
            <w:shd w:val="clear" w:color="404040" w:fill="1F3864"/>
            <w:noWrap/>
            <w:vAlign w:val="center"/>
            <w:hideMark/>
          </w:tcPr>
          <w:p w14:paraId="67968974"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KEY LIQUIDITY RATIOS</w:t>
            </w:r>
          </w:p>
        </w:tc>
      </w:tr>
      <w:tr w:rsidR="00513E41" w:rsidRPr="00C50619" w14:paraId="7027C883" w14:textId="77777777" w:rsidTr="00513E41">
        <w:trPr>
          <w:trHeight w:val="275"/>
        </w:trPr>
        <w:tc>
          <w:tcPr>
            <w:tcW w:w="1967" w:type="dxa"/>
            <w:noWrap/>
            <w:vAlign w:val="center"/>
            <w:hideMark/>
          </w:tcPr>
          <w:p w14:paraId="2523425F"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Current Ratio</w:t>
            </w:r>
          </w:p>
        </w:tc>
        <w:tc>
          <w:tcPr>
            <w:tcW w:w="1344" w:type="dxa"/>
            <w:noWrap/>
            <w:vAlign w:val="center"/>
            <w:hideMark/>
          </w:tcPr>
          <w:p w14:paraId="54B5EB56"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CA / CL</w:t>
            </w:r>
          </w:p>
        </w:tc>
        <w:tc>
          <w:tcPr>
            <w:tcW w:w="1062" w:type="dxa"/>
            <w:noWrap/>
            <w:vAlign w:val="center"/>
            <w:hideMark/>
          </w:tcPr>
          <w:p w14:paraId="62121E41"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1.05x</w:t>
            </w:r>
          </w:p>
        </w:tc>
        <w:tc>
          <w:tcPr>
            <w:tcW w:w="1080" w:type="dxa"/>
            <w:noWrap/>
            <w:vAlign w:val="center"/>
            <w:hideMark/>
          </w:tcPr>
          <w:p w14:paraId="6C1F7F8C"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0.91x</w:t>
            </w:r>
          </w:p>
        </w:tc>
        <w:tc>
          <w:tcPr>
            <w:tcW w:w="1168" w:type="dxa"/>
            <w:noWrap/>
            <w:vAlign w:val="center"/>
            <w:hideMark/>
          </w:tcPr>
          <w:p w14:paraId="0F6D1932"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0.68x</w:t>
            </w:r>
          </w:p>
        </w:tc>
        <w:tc>
          <w:tcPr>
            <w:tcW w:w="1168" w:type="dxa"/>
            <w:noWrap/>
            <w:vAlign w:val="center"/>
            <w:hideMark/>
          </w:tcPr>
          <w:p w14:paraId="676C460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0.64x</w:t>
            </w:r>
          </w:p>
        </w:tc>
        <w:tc>
          <w:tcPr>
            <w:tcW w:w="1168" w:type="dxa"/>
            <w:noWrap/>
            <w:vAlign w:val="center"/>
            <w:hideMark/>
          </w:tcPr>
          <w:p w14:paraId="3FC7D449"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0.72x</w:t>
            </w:r>
          </w:p>
        </w:tc>
      </w:tr>
      <w:tr w:rsidR="00513E41" w:rsidRPr="00C50619" w14:paraId="1023B6AA" w14:textId="77777777" w:rsidTr="00513E41">
        <w:trPr>
          <w:trHeight w:val="275"/>
        </w:trPr>
        <w:tc>
          <w:tcPr>
            <w:tcW w:w="1967" w:type="dxa"/>
            <w:noWrap/>
            <w:vAlign w:val="center"/>
            <w:hideMark/>
          </w:tcPr>
          <w:p w14:paraId="41443B2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Quick Ratio</w:t>
            </w:r>
          </w:p>
        </w:tc>
        <w:tc>
          <w:tcPr>
            <w:tcW w:w="1344" w:type="dxa"/>
            <w:noWrap/>
            <w:vAlign w:val="center"/>
            <w:hideMark/>
          </w:tcPr>
          <w:p w14:paraId="719F3BA2"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(CA-Inventories) / CL</w:t>
            </w:r>
          </w:p>
        </w:tc>
        <w:tc>
          <w:tcPr>
            <w:tcW w:w="1062" w:type="dxa"/>
            <w:noWrap/>
            <w:vAlign w:val="center"/>
            <w:hideMark/>
          </w:tcPr>
          <w:p w14:paraId="04BFB396"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0.75x</w:t>
            </w:r>
          </w:p>
        </w:tc>
        <w:tc>
          <w:tcPr>
            <w:tcW w:w="1080" w:type="dxa"/>
            <w:noWrap/>
            <w:vAlign w:val="center"/>
            <w:hideMark/>
          </w:tcPr>
          <w:p w14:paraId="49592D2D"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0.66x</w:t>
            </w:r>
          </w:p>
        </w:tc>
        <w:tc>
          <w:tcPr>
            <w:tcW w:w="1168" w:type="dxa"/>
            <w:noWrap/>
            <w:vAlign w:val="center"/>
            <w:hideMark/>
          </w:tcPr>
          <w:p w14:paraId="7D26ED36"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0.44x</w:t>
            </w:r>
          </w:p>
        </w:tc>
        <w:tc>
          <w:tcPr>
            <w:tcW w:w="1168" w:type="dxa"/>
            <w:noWrap/>
            <w:vAlign w:val="center"/>
            <w:hideMark/>
          </w:tcPr>
          <w:p w14:paraId="596736F6"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0.45x</w:t>
            </w:r>
          </w:p>
        </w:tc>
        <w:tc>
          <w:tcPr>
            <w:tcW w:w="1168" w:type="dxa"/>
            <w:noWrap/>
            <w:vAlign w:val="center"/>
            <w:hideMark/>
          </w:tcPr>
          <w:p w14:paraId="67B46F6E"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0.49x</w:t>
            </w:r>
          </w:p>
        </w:tc>
      </w:tr>
      <w:tr w:rsidR="00513E41" w:rsidRPr="00C50619" w14:paraId="4EECCD51" w14:textId="77777777" w:rsidTr="00513E41">
        <w:trPr>
          <w:trHeight w:val="275"/>
        </w:trPr>
        <w:tc>
          <w:tcPr>
            <w:tcW w:w="1967" w:type="dxa"/>
            <w:noWrap/>
            <w:vAlign w:val="center"/>
            <w:hideMark/>
          </w:tcPr>
          <w:p w14:paraId="45235A38"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Cash Ratio</w:t>
            </w:r>
          </w:p>
        </w:tc>
        <w:tc>
          <w:tcPr>
            <w:tcW w:w="1344" w:type="dxa"/>
            <w:noWrap/>
            <w:vAlign w:val="center"/>
            <w:hideMark/>
          </w:tcPr>
          <w:p w14:paraId="7848F49A"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Cash / CL</w:t>
            </w:r>
          </w:p>
        </w:tc>
        <w:tc>
          <w:tcPr>
            <w:tcW w:w="1062" w:type="dxa"/>
            <w:noWrap/>
            <w:vAlign w:val="center"/>
            <w:hideMark/>
          </w:tcPr>
          <w:p w14:paraId="21DCA51E"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0.13x</w:t>
            </w:r>
          </w:p>
        </w:tc>
        <w:tc>
          <w:tcPr>
            <w:tcW w:w="1080" w:type="dxa"/>
            <w:noWrap/>
            <w:vAlign w:val="center"/>
            <w:hideMark/>
          </w:tcPr>
          <w:p w14:paraId="28B73C6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0.29x</w:t>
            </w:r>
          </w:p>
        </w:tc>
        <w:tc>
          <w:tcPr>
            <w:tcW w:w="1168" w:type="dxa"/>
            <w:noWrap/>
            <w:vAlign w:val="center"/>
            <w:hideMark/>
          </w:tcPr>
          <w:p w14:paraId="1895005B"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0.15x</w:t>
            </w:r>
          </w:p>
        </w:tc>
        <w:tc>
          <w:tcPr>
            <w:tcW w:w="1168" w:type="dxa"/>
            <w:noWrap/>
            <w:vAlign w:val="center"/>
            <w:hideMark/>
          </w:tcPr>
          <w:p w14:paraId="273B5ABB"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0.24x</w:t>
            </w:r>
          </w:p>
        </w:tc>
        <w:tc>
          <w:tcPr>
            <w:tcW w:w="1168" w:type="dxa"/>
            <w:noWrap/>
            <w:vAlign w:val="center"/>
            <w:hideMark/>
          </w:tcPr>
          <w:p w14:paraId="2B149033"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0.21x</w:t>
            </w:r>
          </w:p>
        </w:tc>
      </w:tr>
      <w:tr w:rsidR="00513E41" w:rsidRPr="00C50619" w14:paraId="73178F47" w14:textId="77777777" w:rsidTr="00513E41">
        <w:trPr>
          <w:trHeight w:val="275"/>
        </w:trPr>
        <w:tc>
          <w:tcPr>
            <w:tcW w:w="1967" w:type="dxa"/>
            <w:noWrap/>
            <w:vAlign w:val="center"/>
            <w:hideMark/>
          </w:tcPr>
          <w:p w14:paraId="6D8D7FA1"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Absolute Quick Ratio</w:t>
            </w:r>
          </w:p>
        </w:tc>
        <w:tc>
          <w:tcPr>
            <w:tcW w:w="1344" w:type="dxa"/>
            <w:noWrap/>
            <w:vAlign w:val="center"/>
            <w:hideMark/>
          </w:tcPr>
          <w:p w14:paraId="68663035"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w:t>
            </w:r>
            <w:proofErr w:type="spellStart"/>
            <w:r w:rsidRPr="00C50619">
              <w:rPr>
                <w:rFonts w:ascii="Arial" w:eastAsia="Times New Roman" w:hAnsi="Arial" w:cs="Arial"/>
                <w:i/>
                <w:iCs/>
                <w:color w:val="666666"/>
                <w:kern w:val="0"/>
                <w:lang w:val="en-GB"/>
                <w14:ligatures w14:val="none"/>
              </w:rPr>
              <w:t>Cash+STI</w:t>
            </w:r>
            <w:proofErr w:type="spellEnd"/>
            <w:r w:rsidRPr="00C50619">
              <w:rPr>
                <w:rFonts w:ascii="Arial" w:eastAsia="Times New Roman" w:hAnsi="Arial" w:cs="Arial"/>
                <w:i/>
                <w:iCs/>
                <w:color w:val="666666"/>
                <w:kern w:val="0"/>
                <w:lang w:val="en-GB"/>
                <w14:ligatures w14:val="none"/>
              </w:rPr>
              <w:t>) / CL</w:t>
            </w:r>
          </w:p>
        </w:tc>
        <w:tc>
          <w:tcPr>
            <w:tcW w:w="1062" w:type="dxa"/>
            <w:noWrap/>
            <w:vAlign w:val="center"/>
            <w:hideMark/>
          </w:tcPr>
          <w:p w14:paraId="335450AC"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0.13x</w:t>
            </w:r>
          </w:p>
        </w:tc>
        <w:tc>
          <w:tcPr>
            <w:tcW w:w="1080" w:type="dxa"/>
            <w:noWrap/>
            <w:vAlign w:val="center"/>
            <w:hideMark/>
          </w:tcPr>
          <w:p w14:paraId="44A7B425"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0.33x</w:t>
            </w:r>
          </w:p>
        </w:tc>
        <w:tc>
          <w:tcPr>
            <w:tcW w:w="1168" w:type="dxa"/>
            <w:noWrap/>
            <w:vAlign w:val="center"/>
            <w:hideMark/>
          </w:tcPr>
          <w:p w14:paraId="70B6CB3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0.22x</w:t>
            </w:r>
          </w:p>
        </w:tc>
        <w:tc>
          <w:tcPr>
            <w:tcW w:w="1168" w:type="dxa"/>
            <w:noWrap/>
            <w:vAlign w:val="center"/>
            <w:hideMark/>
          </w:tcPr>
          <w:p w14:paraId="2F9F5D78"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0.26x</w:t>
            </w:r>
          </w:p>
        </w:tc>
        <w:tc>
          <w:tcPr>
            <w:tcW w:w="1168" w:type="dxa"/>
            <w:noWrap/>
            <w:vAlign w:val="center"/>
            <w:hideMark/>
          </w:tcPr>
          <w:p w14:paraId="0FD17F9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0.29x</w:t>
            </w:r>
          </w:p>
        </w:tc>
      </w:tr>
      <w:tr w:rsidR="00513E41" w:rsidRPr="00C50619" w14:paraId="63B7F84D" w14:textId="77777777" w:rsidTr="00513E41">
        <w:trPr>
          <w:trHeight w:val="289"/>
        </w:trPr>
        <w:tc>
          <w:tcPr>
            <w:tcW w:w="8961" w:type="dxa"/>
            <w:gridSpan w:val="7"/>
            <w:shd w:val="clear" w:color="404040" w:fill="1F3864"/>
            <w:noWrap/>
            <w:vAlign w:val="center"/>
            <w:hideMark/>
          </w:tcPr>
          <w:p w14:paraId="69E07A12"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WORKING CAPITAL EFFICIENCY (DAYS)</w:t>
            </w:r>
          </w:p>
        </w:tc>
      </w:tr>
      <w:tr w:rsidR="00513E41" w:rsidRPr="00C50619" w14:paraId="44970DA0" w14:textId="77777777" w:rsidTr="00513E41">
        <w:trPr>
          <w:trHeight w:val="275"/>
        </w:trPr>
        <w:tc>
          <w:tcPr>
            <w:tcW w:w="1967" w:type="dxa"/>
            <w:noWrap/>
            <w:vAlign w:val="center"/>
            <w:hideMark/>
          </w:tcPr>
          <w:p w14:paraId="23BD942A"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Inventory Days (DIO)</w:t>
            </w:r>
          </w:p>
        </w:tc>
        <w:tc>
          <w:tcPr>
            <w:tcW w:w="1344" w:type="dxa"/>
            <w:noWrap/>
            <w:vAlign w:val="center"/>
            <w:hideMark/>
          </w:tcPr>
          <w:p w14:paraId="3AE9E234"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proofErr w:type="spellStart"/>
            <w:r w:rsidRPr="00C50619">
              <w:rPr>
                <w:rFonts w:ascii="Arial" w:eastAsia="Times New Roman" w:hAnsi="Arial" w:cs="Arial"/>
                <w:i/>
                <w:iCs/>
                <w:color w:val="666666"/>
                <w:kern w:val="0"/>
                <w:lang w:val="en-GB"/>
                <w14:ligatures w14:val="none"/>
              </w:rPr>
              <w:t>Inv</w:t>
            </w:r>
            <w:proofErr w:type="spellEnd"/>
            <w:r w:rsidRPr="00C50619">
              <w:rPr>
                <w:rFonts w:ascii="Arial" w:eastAsia="Times New Roman" w:hAnsi="Arial" w:cs="Arial"/>
                <w:i/>
                <w:iCs/>
                <w:color w:val="666666"/>
                <w:kern w:val="0"/>
                <w:lang w:val="en-GB"/>
                <w14:ligatures w14:val="none"/>
              </w:rPr>
              <w:t xml:space="preserve"> / (COGS/3</w:t>
            </w:r>
            <w:r w:rsidRPr="00C50619">
              <w:rPr>
                <w:rFonts w:ascii="Arial" w:eastAsia="Times New Roman" w:hAnsi="Arial" w:cs="Arial"/>
                <w:i/>
                <w:iCs/>
                <w:color w:val="666666"/>
                <w:kern w:val="0"/>
                <w:lang w:val="en-GB"/>
                <w14:ligatures w14:val="none"/>
              </w:rPr>
              <w:lastRenderedPageBreak/>
              <w:t>65)</w:t>
            </w:r>
          </w:p>
        </w:tc>
        <w:tc>
          <w:tcPr>
            <w:tcW w:w="1062" w:type="dxa"/>
            <w:noWrap/>
            <w:vAlign w:val="center"/>
            <w:hideMark/>
          </w:tcPr>
          <w:p w14:paraId="3997C1A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lastRenderedPageBreak/>
              <w:t>90.8</w:t>
            </w:r>
          </w:p>
        </w:tc>
        <w:tc>
          <w:tcPr>
            <w:tcW w:w="1080" w:type="dxa"/>
            <w:noWrap/>
            <w:vAlign w:val="center"/>
            <w:hideMark/>
          </w:tcPr>
          <w:p w14:paraId="0DECF89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84.2</w:t>
            </w:r>
          </w:p>
        </w:tc>
        <w:tc>
          <w:tcPr>
            <w:tcW w:w="1168" w:type="dxa"/>
            <w:noWrap/>
            <w:vAlign w:val="center"/>
            <w:hideMark/>
          </w:tcPr>
          <w:p w14:paraId="57087E6F"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82.1</w:t>
            </w:r>
          </w:p>
        </w:tc>
        <w:tc>
          <w:tcPr>
            <w:tcW w:w="1168" w:type="dxa"/>
            <w:noWrap/>
            <w:vAlign w:val="center"/>
            <w:hideMark/>
          </w:tcPr>
          <w:p w14:paraId="7BE74528"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66.6</w:t>
            </w:r>
          </w:p>
        </w:tc>
        <w:tc>
          <w:tcPr>
            <w:tcW w:w="1168" w:type="dxa"/>
            <w:noWrap/>
            <w:vAlign w:val="center"/>
            <w:hideMark/>
          </w:tcPr>
          <w:p w14:paraId="725511C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67.7</w:t>
            </w:r>
          </w:p>
        </w:tc>
      </w:tr>
      <w:tr w:rsidR="00513E41" w:rsidRPr="00C50619" w14:paraId="2DD732A4" w14:textId="77777777" w:rsidTr="00513E41">
        <w:trPr>
          <w:trHeight w:val="275"/>
        </w:trPr>
        <w:tc>
          <w:tcPr>
            <w:tcW w:w="1967" w:type="dxa"/>
            <w:noWrap/>
            <w:vAlign w:val="center"/>
            <w:hideMark/>
          </w:tcPr>
          <w:p w14:paraId="71F29E58"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Receivables Days (DSO)</w:t>
            </w:r>
          </w:p>
        </w:tc>
        <w:tc>
          <w:tcPr>
            <w:tcW w:w="1344" w:type="dxa"/>
            <w:noWrap/>
            <w:vAlign w:val="center"/>
            <w:hideMark/>
          </w:tcPr>
          <w:p w14:paraId="03B19367"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Rec / (Rev/365)</w:t>
            </w:r>
          </w:p>
        </w:tc>
        <w:tc>
          <w:tcPr>
            <w:tcW w:w="1062" w:type="dxa"/>
            <w:noWrap/>
            <w:vAlign w:val="center"/>
            <w:hideMark/>
          </w:tcPr>
          <w:p w14:paraId="4E708C9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72.3</w:t>
            </w:r>
          </w:p>
        </w:tc>
        <w:tc>
          <w:tcPr>
            <w:tcW w:w="1080" w:type="dxa"/>
            <w:noWrap/>
            <w:vAlign w:val="center"/>
            <w:hideMark/>
          </w:tcPr>
          <w:p w14:paraId="4ECE6335"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61.2</w:t>
            </w:r>
          </w:p>
        </w:tc>
        <w:tc>
          <w:tcPr>
            <w:tcW w:w="1168" w:type="dxa"/>
            <w:noWrap/>
            <w:vAlign w:val="center"/>
            <w:hideMark/>
          </w:tcPr>
          <w:p w14:paraId="5EC0C6BD"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33.4</w:t>
            </w:r>
          </w:p>
        </w:tc>
        <w:tc>
          <w:tcPr>
            <w:tcW w:w="1168" w:type="dxa"/>
            <w:noWrap/>
            <w:vAlign w:val="center"/>
            <w:hideMark/>
          </w:tcPr>
          <w:p w14:paraId="24951C60"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37.5</w:t>
            </w:r>
          </w:p>
        </w:tc>
        <w:tc>
          <w:tcPr>
            <w:tcW w:w="1168" w:type="dxa"/>
            <w:noWrap/>
            <w:vAlign w:val="center"/>
            <w:hideMark/>
          </w:tcPr>
          <w:p w14:paraId="076E4EF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29.3</w:t>
            </w:r>
          </w:p>
        </w:tc>
      </w:tr>
      <w:tr w:rsidR="00513E41" w:rsidRPr="00C50619" w14:paraId="75F65A7D" w14:textId="77777777" w:rsidTr="00513E41">
        <w:trPr>
          <w:trHeight w:val="275"/>
        </w:trPr>
        <w:tc>
          <w:tcPr>
            <w:tcW w:w="1967" w:type="dxa"/>
            <w:noWrap/>
            <w:vAlign w:val="center"/>
            <w:hideMark/>
          </w:tcPr>
          <w:p w14:paraId="33BE952C"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Payables Days (DPO)</w:t>
            </w:r>
          </w:p>
        </w:tc>
        <w:tc>
          <w:tcPr>
            <w:tcW w:w="1344" w:type="dxa"/>
            <w:noWrap/>
            <w:vAlign w:val="center"/>
            <w:hideMark/>
          </w:tcPr>
          <w:p w14:paraId="316D796D"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Pay / (COGS/365)</w:t>
            </w:r>
          </w:p>
        </w:tc>
        <w:tc>
          <w:tcPr>
            <w:tcW w:w="1062" w:type="dxa"/>
            <w:noWrap/>
            <w:vAlign w:val="center"/>
            <w:hideMark/>
          </w:tcPr>
          <w:p w14:paraId="4FD8062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144.0</w:t>
            </w:r>
          </w:p>
        </w:tc>
        <w:tc>
          <w:tcPr>
            <w:tcW w:w="1080" w:type="dxa"/>
            <w:noWrap/>
            <w:vAlign w:val="center"/>
            <w:hideMark/>
          </w:tcPr>
          <w:p w14:paraId="2D71629C"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142.0</w:t>
            </w:r>
          </w:p>
        </w:tc>
        <w:tc>
          <w:tcPr>
            <w:tcW w:w="1168" w:type="dxa"/>
            <w:noWrap/>
            <w:vAlign w:val="center"/>
            <w:hideMark/>
          </w:tcPr>
          <w:p w14:paraId="71E0BCFB"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145.7</w:t>
            </w:r>
          </w:p>
        </w:tc>
        <w:tc>
          <w:tcPr>
            <w:tcW w:w="1168" w:type="dxa"/>
            <w:noWrap/>
            <w:vAlign w:val="center"/>
            <w:hideMark/>
          </w:tcPr>
          <w:p w14:paraId="55BEDFDE"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147.7</w:t>
            </w:r>
          </w:p>
        </w:tc>
        <w:tc>
          <w:tcPr>
            <w:tcW w:w="1168" w:type="dxa"/>
            <w:noWrap/>
            <w:vAlign w:val="center"/>
            <w:hideMark/>
          </w:tcPr>
          <w:p w14:paraId="169F3D10"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140.9</w:t>
            </w:r>
          </w:p>
        </w:tc>
      </w:tr>
      <w:tr w:rsidR="00513E41" w:rsidRPr="00C50619" w14:paraId="1FDD95D2" w14:textId="77777777" w:rsidTr="00513E41">
        <w:trPr>
          <w:trHeight w:val="275"/>
        </w:trPr>
        <w:tc>
          <w:tcPr>
            <w:tcW w:w="1967" w:type="dxa"/>
            <w:noWrap/>
            <w:vAlign w:val="center"/>
            <w:hideMark/>
          </w:tcPr>
          <w:p w14:paraId="06FA58C9"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Cash Conversion Cycle</w:t>
            </w:r>
          </w:p>
        </w:tc>
        <w:tc>
          <w:tcPr>
            <w:tcW w:w="1344" w:type="dxa"/>
            <w:noWrap/>
            <w:vAlign w:val="center"/>
            <w:hideMark/>
          </w:tcPr>
          <w:p w14:paraId="4D2CD5BC"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DIO + DSO - DPO</w:t>
            </w:r>
          </w:p>
        </w:tc>
        <w:tc>
          <w:tcPr>
            <w:tcW w:w="1062" w:type="dxa"/>
            <w:shd w:val="clear" w:color="F9F9F9" w:fill="EBF3FB"/>
            <w:noWrap/>
            <w:vAlign w:val="center"/>
            <w:hideMark/>
          </w:tcPr>
          <w:p w14:paraId="4C106869"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19.1</w:t>
            </w:r>
          </w:p>
        </w:tc>
        <w:tc>
          <w:tcPr>
            <w:tcW w:w="1080" w:type="dxa"/>
            <w:shd w:val="clear" w:color="F9F9F9" w:fill="EBF3FB"/>
            <w:noWrap/>
            <w:vAlign w:val="center"/>
            <w:hideMark/>
          </w:tcPr>
          <w:p w14:paraId="2C825931"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3.4</w:t>
            </w:r>
          </w:p>
        </w:tc>
        <w:tc>
          <w:tcPr>
            <w:tcW w:w="1168" w:type="dxa"/>
            <w:shd w:val="clear" w:color="F9F9F9" w:fill="EBF3FB"/>
            <w:noWrap/>
            <w:vAlign w:val="center"/>
            <w:hideMark/>
          </w:tcPr>
          <w:p w14:paraId="1FA4667F"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-30.2</w:t>
            </w:r>
          </w:p>
        </w:tc>
        <w:tc>
          <w:tcPr>
            <w:tcW w:w="1168" w:type="dxa"/>
            <w:shd w:val="clear" w:color="F9F9F9" w:fill="EBF3FB"/>
            <w:noWrap/>
            <w:vAlign w:val="center"/>
            <w:hideMark/>
          </w:tcPr>
          <w:p w14:paraId="00FCEABC"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-43.6</w:t>
            </w:r>
          </w:p>
        </w:tc>
        <w:tc>
          <w:tcPr>
            <w:tcW w:w="1168" w:type="dxa"/>
            <w:shd w:val="clear" w:color="F9F9F9" w:fill="EBF3FB"/>
            <w:noWrap/>
            <w:vAlign w:val="center"/>
            <w:hideMark/>
          </w:tcPr>
          <w:p w14:paraId="01C5E48D"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-44.0</w:t>
            </w:r>
          </w:p>
        </w:tc>
      </w:tr>
    </w:tbl>
    <w:p w14:paraId="0DCD5B11" w14:textId="77777777" w:rsidR="00400C98" w:rsidRPr="00C50619" w:rsidRDefault="00400C98" w:rsidP="00513E41">
      <w:pPr>
        <w:spacing w:line="360" w:lineRule="auto"/>
        <w:rPr>
          <w:rFonts w:ascii="Arial" w:hAnsi="Arial" w:cs="Arial"/>
          <w:lang w:val="en-GB"/>
        </w:rPr>
      </w:pPr>
    </w:p>
    <w:p w14:paraId="446997D3" w14:textId="77777777" w:rsidR="00555BF5" w:rsidRPr="00C50619" w:rsidRDefault="00555BF5" w:rsidP="00513E41">
      <w:pPr>
        <w:spacing w:line="360" w:lineRule="auto"/>
        <w:rPr>
          <w:rFonts w:ascii="Arial" w:hAnsi="Arial" w:cs="Arial"/>
          <w:lang w:val="en-GB"/>
        </w:rPr>
      </w:pPr>
    </w:p>
    <w:p w14:paraId="21F253A5" w14:textId="77777777" w:rsidR="00555BF5" w:rsidRPr="00C50619" w:rsidRDefault="00555BF5" w:rsidP="00513E41">
      <w:pPr>
        <w:spacing w:line="360" w:lineRule="auto"/>
        <w:rPr>
          <w:rFonts w:ascii="Arial" w:hAnsi="Arial" w:cs="Arial"/>
          <w:lang w:val="en-GB"/>
        </w:rPr>
      </w:pPr>
    </w:p>
    <w:p w14:paraId="687F9A2F" w14:textId="77777777" w:rsidR="00555BF5" w:rsidRPr="00C50619" w:rsidRDefault="00555BF5" w:rsidP="00513E41">
      <w:pPr>
        <w:spacing w:line="360" w:lineRule="auto"/>
        <w:rPr>
          <w:rFonts w:ascii="Arial" w:hAnsi="Arial" w:cs="Arial"/>
          <w:lang w:val="en-GB"/>
        </w:rPr>
      </w:pPr>
    </w:p>
    <w:p w14:paraId="024AF497" w14:textId="77777777" w:rsidR="00555BF5" w:rsidRPr="00C50619" w:rsidRDefault="00555BF5" w:rsidP="00513E41">
      <w:pPr>
        <w:spacing w:line="360" w:lineRule="auto"/>
        <w:rPr>
          <w:rFonts w:ascii="Arial" w:hAnsi="Arial" w:cs="Arial"/>
          <w:lang w:val="en-GB"/>
        </w:rPr>
      </w:pPr>
    </w:p>
    <w:p w14:paraId="1095ED78" w14:textId="77777777" w:rsidR="00555BF5" w:rsidRPr="00C50619" w:rsidRDefault="00555BF5" w:rsidP="00513E41">
      <w:pPr>
        <w:spacing w:line="360" w:lineRule="auto"/>
        <w:rPr>
          <w:rFonts w:ascii="Arial" w:hAnsi="Arial" w:cs="Arial"/>
          <w:lang w:val="en-GB"/>
        </w:rPr>
      </w:pPr>
    </w:p>
    <w:p w14:paraId="62C3D94E" w14:textId="77777777" w:rsidR="00555BF5" w:rsidRPr="00C50619" w:rsidRDefault="00555BF5" w:rsidP="00513E41">
      <w:pPr>
        <w:spacing w:line="360" w:lineRule="auto"/>
        <w:rPr>
          <w:rFonts w:ascii="Arial" w:hAnsi="Arial" w:cs="Arial"/>
          <w:lang w:val="en-GB"/>
        </w:rPr>
      </w:pPr>
    </w:p>
    <w:p w14:paraId="0E746579" w14:textId="77777777" w:rsidR="00555BF5" w:rsidRPr="00C50619" w:rsidRDefault="00555BF5" w:rsidP="00513E41">
      <w:pPr>
        <w:spacing w:line="360" w:lineRule="auto"/>
        <w:rPr>
          <w:rFonts w:ascii="Arial" w:hAnsi="Arial" w:cs="Arial"/>
          <w:lang w:val="en-GB"/>
        </w:rPr>
      </w:pPr>
    </w:p>
    <w:p w14:paraId="22658829" w14:textId="77777777" w:rsidR="00555BF5" w:rsidRPr="00C50619" w:rsidRDefault="00555BF5" w:rsidP="00513E41">
      <w:pPr>
        <w:spacing w:line="360" w:lineRule="auto"/>
        <w:rPr>
          <w:rFonts w:ascii="Arial" w:hAnsi="Arial" w:cs="Arial"/>
          <w:lang w:val="en-GB"/>
        </w:rPr>
      </w:pPr>
    </w:p>
    <w:p w14:paraId="2C253F06" w14:textId="77777777" w:rsidR="00555BF5" w:rsidRPr="00C50619" w:rsidRDefault="00555BF5" w:rsidP="00513E41">
      <w:pPr>
        <w:spacing w:line="360" w:lineRule="auto"/>
        <w:rPr>
          <w:rFonts w:ascii="Arial" w:hAnsi="Arial" w:cs="Arial"/>
          <w:lang w:val="en-GB"/>
        </w:rPr>
      </w:pPr>
    </w:p>
    <w:p w14:paraId="2BEF9083" w14:textId="77777777" w:rsidR="00555BF5" w:rsidRPr="00C50619" w:rsidRDefault="00555BF5" w:rsidP="00513E41">
      <w:pPr>
        <w:spacing w:line="360" w:lineRule="auto"/>
        <w:rPr>
          <w:rFonts w:ascii="Arial" w:hAnsi="Arial" w:cs="Arial"/>
          <w:lang w:val="en-GB"/>
        </w:rPr>
      </w:pPr>
    </w:p>
    <w:p w14:paraId="2087C86F" w14:textId="77777777" w:rsidR="00555BF5" w:rsidRPr="00C50619" w:rsidRDefault="00555BF5" w:rsidP="00513E41">
      <w:pPr>
        <w:spacing w:line="360" w:lineRule="auto"/>
        <w:rPr>
          <w:rFonts w:ascii="Arial" w:hAnsi="Arial" w:cs="Arial"/>
          <w:lang w:val="en-GB"/>
        </w:rPr>
      </w:pPr>
    </w:p>
    <w:p w14:paraId="142111CF" w14:textId="77777777" w:rsidR="00555BF5" w:rsidRPr="00C50619" w:rsidRDefault="00555BF5" w:rsidP="00513E41">
      <w:pPr>
        <w:spacing w:line="360" w:lineRule="auto"/>
        <w:rPr>
          <w:rFonts w:ascii="Arial" w:hAnsi="Arial" w:cs="Arial"/>
          <w:lang w:val="en-GB"/>
        </w:rPr>
      </w:pPr>
    </w:p>
    <w:p w14:paraId="53B4F09D" w14:textId="77777777" w:rsidR="00555BF5" w:rsidRPr="00C50619" w:rsidRDefault="00555BF5" w:rsidP="00513E41">
      <w:pPr>
        <w:spacing w:line="360" w:lineRule="auto"/>
        <w:rPr>
          <w:rFonts w:ascii="Arial" w:hAnsi="Arial" w:cs="Arial"/>
          <w:lang w:val="en-GB"/>
        </w:rPr>
      </w:pPr>
    </w:p>
    <w:p w14:paraId="05CA7C68" w14:textId="415ADBFF" w:rsidR="00513E41" w:rsidRPr="00C50619" w:rsidRDefault="00BC754A" w:rsidP="00555BF5">
      <w:pPr>
        <w:pStyle w:val="Heading2"/>
        <w:spacing w:line="360" w:lineRule="auto"/>
        <w:rPr>
          <w:rFonts w:cs="Arial"/>
          <w:szCs w:val="24"/>
          <w:lang w:val="en-GB"/>
        </w:rPr>
      </w:pPr>
      <w:bookmarkStart w:id="37" w:name="_Toc227770645"/>
      <w:r w:rsidRPr="00C50619">
        <w:rPr>
          <w:rFonts w:cs="Arial"/>
          <w:szCs w:val="24"/>
          <w:lang w:val="en-GB"/>
        </w:rPr>
        <w:lastRenderedPageBreak/>
        <w:t xml:space="preserve">Appendix </w:t>
      </w:r>
      <w:r w:rsidR="00513E41" w:rsidRPr="00C50619">
        <w:rPr>
          <w:rFonts w:cs="Arial"/>
          <w:szCs w:val="24"/>
          <w:lang w:val="en-GB"/>
        </w:rPr>
        <w:t>4</w:t>
      </w:r>
      <w:r w:rsidRPr="00C50619">
        <w:rPr>
          <w:rFonts w:cs="Arial"/>
          <w:szCs w:val="24"/>
          <w:lang w:val="en-GB"/>
        </w:rPr>
        <w:t>: Investment appraisal workings</w:t>
      </w:r>
      <w:bookmarkEnd w:id="37"/>
    </w:p>
    <w:tbl>
      <w:tblPr>
        <w:tblW w:w="9334" w:type="dxa"/>
        <w:tblLook w:val="04A0" w:firstRow="1" w:lastRow="0" w:firstColumn="1" w:lastColumn="0" w:noHBand="0" w:noVBand="1"/>
      </w:tblPr>
      <w:tblGrid>
        <w:gridCol w:w="2268"/>
        <w:gridCol w:w="1663"/>
        <w:gridCol w:w="1663"/>
        <w:gridCol w:w="1663"/>
        <w:gridCol w:w="2319"/>
      </w:tblGrid>
      <w:tr w:rsidR="00513E41" w:rsidRPr="00C50619" w14:paraId="55A752B6" w14:textId="77777777" w:rsidTr="00513E41">
        <w:trPr>
          <w:trHeight w:val="463"/>
        </w:trPr>
        <w:tc>
          <w:tcPr>
            <w:tcW w:w="9334" w:type="dxa"/>
            <w:gridSpan w:val="5"/>
            <w:tcBorders>
              <w:top w:val="nil"/>
              <w:left w:val="nil"/>
              <w:bottom w:val="nil"/>
              <w:right w:val="nil"/>
            </w:tcBorders>
            <w:shd w:val="clear" w:color="404040" w:fill="1F3864"/>
            <w:noWrap/>
            <w:vAlign w:val="center"/>
            <w:hideMark/>
          </w:tcPr>
          <w:p w14:paraId="3701A86E"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BYD CFO — Investment Appraisal &amp; Capital Budgeting</w:t>
            </w:r>
          </w:p>
        </w:tc>
      </w:tr>
      <w:tr w:rsidR="00513E41" w:rsidRPr="00C50619" w14:paraId="62BB5403" w14:textId="77777777" w:rsidTr="00513E41">
        <w:trPr>
          <w:trHeight w:val="260"/>
        </w:trPr>
        <w:tc>
          <w:tcPr>
            <w:tcW w:w="9334" w:type="dxa"/>
            <w:gridSpan w:val="5"/>
            <w:tcBorders>
              <w:top w:val="nil"/>
              <w:left w:val="nil"/>
              <w:bottom w:val="nil"/>
              <w:right w:val="nil"/>
            </w:tcBorders>
            <w:noWrap/>
            <w:vAlign w:val="bottom"/>
            <w:hideMark/>
          </w:tcPr>
          <w:p w14:paraId="0F1CE64A" w14:textId="77777777" w:rsidR="00513E41" w:rsidRPr="00C50619" w:rsidRDefault="00513E41" w:rsidP="00513E41">
            <w:pPr>
              <w:spacing w:after="0" w:line="360" w:lineRule="auto"/>
              <w:jc w:val="center"/>
              <w:rPr>
                <w:rFonts w:ascii="Arial" w:eastAsia="Times New Roman" w:hAnsi="Arial" w:cs="Arial"/>
                <w:i/>
                <w:iCs/>
                <w:color w:val="404040"/>
                <w:kern w:val="0"/>
                <w:lang w:val="en-GB"/>
                <w14:ligatures w14:val="none"/>
              </w:rPr>
            </w:pPr>
            <w:r w:rsidRPr="00C50619">
              <w:rPr>
                <w:rFonts w:ascii="Arial" w:eastAsia="Times New Roman" w:hAnsi="Arial" w:cs="Arial"/>
                <w:i/>
                <w:iCs/>
                <w:color w:val="404040"/>
                <w:kern w:val="0"/>
                <w:lang w:val="en-GB"/>
                <w14:ligatures w14:val="none"/>
              </w:rPr>
              <w:t>Projects A, B &amp; C  |  Discount Rate: 10%  |  Straight-Line Depreciation to Zero</w:t>
            </w:r>
          </w:p>
        </w:tc>
      </w:tr>
      <w:tr w:rsidR="00513E41" w:rsidRPr="00C50619" w14:paraId="67D8DB73" w14:textId="77777777" w:rsidTr="00513E41">
        <w:trPr>
          <w:trHeight w:val="304"/>
        </w:trPr>
        <w:tc>
          <w:tcPr>
            <w:tcW w:w="9334" w:type="dxa"/>
            <w:gridSpan w:val="5"/>
            <w:tcBorders>
              <w:top w:val="nil"/>
              <w:left w:val="nil"/>
              <w:bottom w:val="nil"/>
              <w:right w:val="nil"/>
            </w:tcBorders>
            <w:shd w:val="clear" w:color="404040" w:fill="1F3864"/>
            <w:noWrap/>
            <w:vAlign w:val="center"/>
            <w:hideMark/>
          </w:tcPr>
          <w:p w14:paraId="4792DA98"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ASSUMPTIONS</w:t>
            </w:r>
          </w:p>
        </w:tc>
      </w:tr>
      <w:tr w:rsidR="00513E41" w:rsidRPr="00C50619" w14:paraId="6F5AE602" w14:textId="77777777" w:rsidTr="00513E41">
        <w:trPr>
          <w:trHeight w:val="260"/>
        </w:trPr>
        <w:tc>
          <w:tcPr>
            <w:tcW w:w="1894" w:type="dxa"/>
            <w:tcBorders>
              <w:top w:val="nil"/>
              <w:left w:val="nil"/>
              <w:bottom w:val="nil"/>
              <w:right w:val="nil"/>
            </w:tcBorders>
            <w:noWrap/>
            <w:vAlign w:val="center"/>
            <w:hideMark/>
          </w:tcPr>
          <w:p w14:paraId="0567A9A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Initial Investment (each project)</w:t>
            </w:r>
          </w:p>
        </w:tc>
        <w:tc>
          <w:tcPr>
            <w:tcW w:w="1835" w:type="dxa"/>
            <w:tcBorders>
              <w:top w:val="nil"/>
              <w:left w:val="nil"/>
              <w:bottom w:val="nil"/>
              <w:right w:val="nil"/>
            </w:tcBorders>
            <w:noWrap/>
            <w:vAlign w:val="bottom"/>
            <w:hideMark/>
          </w:tcPr>
          <w:p w14:paraId="74E3AA67"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£50,000,000</w:t>
            </w:r>
          </w:p>
        </w:tc>
        <w:tc>
          <w:tcPr>
            <w:tcW w:w="1491" w:type="dxa"/>
            <w:tcBorders>
              <w:top w:val="nil"/>
              <w:left w:val="nil"/>
              <w:bottom w:val="nil"/>
              <w:right w:val="nil"/>
            </w:tcBorders>
            <w:noWrap/>
            <w:vAlign w:val="bottom"/>
            <w:hideMark/>
          </w:tcPr>
          <w:p w14:paraId="5D0D299A"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tcBorders>
              <w:top w:val="nil"/>
              <w:left w:val="nil"/>
              <w:bottom w:val="nil"/>
              <w:right w:val="nil"/>
            </w:tcBorders>
            <w:noWrap/>
            <w:vAlign w:val="bottom"/>
            <w:hideMark/>
          </w:tcPr>
          <w:p w14:paraId="5D01E045"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tcBorders>
              <w:top w:val="nil"/>
              <w:left w:val="nil"/>
              <w:bottom w:val="nil"/>
              <w:right w:val="nil"/>
            </w:tcBorders>
            <w:noWrap/>
            <w:vAlign w:val="bottom"/>
            <w:hideMark/>
          </w:tcPr>
          <w:p w14:paraId="2C05A36A"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363C8072" w14:textId="77777777" w:rsidTr="00513E41">
        <w:trPr>
          <w:trHeight w:val="260"/>
        </w:trPr>
        <w:tc>
          <w:tcPr>
            <w:tcW w:w="1894" w:type="dxa"/>
            <w:tcBorders>
              <w:top w:val="nil"/>
              <w:left w:val="nil"/>
              <w:bottom w:val="nil"/>
              <w:right w:val="nil"/>
            </w:tcBorders>
            <w:noWrap/>
            <w:vAlign w:val="center"/>
            <w:hideMark/>
          </w:tcPr>
          <w:p w14:paraId="0D36C60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Discount Rate</w:t>
            </w:r>
          </w:p>
        </w:tc>
        <w:tc>
          <w:tcPr>
            <w:tcW w:w="1835" w:type="dxa"/>
            <w:tcBorders>
              <w:top w:val="nil"/>
              <w:left w:val="nil"/>
              <w:bottom w:val="nil"/>
              <w:right w:val="nil"/>
            </w:tcBorders>
            <w:noWrap/>
            <w:vAlign w:val="bottom"/>
            <w:hideMark/>
          </w:tcPr>
          <w:p w14:paraId="0957B238"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10%</w:t>
            </w:r>
          </w:p>
        </w:tc>
        <w:tc>
          <w:tcPr>
            <w:tcW w:w="1491" w:type="dxa"/>
            <w:tcBorders>
              <w:top w:val="nil"/>
              <w:left w:val="nil"/>
              <w:bottom w:val="nil"/>
              <w:right w:val="nil"/>
            </w:tcBorders>
            <w:noWrap/>
            <w:vAlign w:val="bottom"/>
            <w:hideMark/>
          </w:tcPr>
          <w:p w14:paraId="045CC040"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tcBorders>
              <w:top w:val="nil"/>
              <w:left w:val="nil"/>
              <w:bottom w:val="nil"/>
              <w:right w:val="nil"/>
            </w:tcBorders>
            <w:noWrap/>
            <w:vAlign w:val="bottom"/>
            <w:hideMark/>
          </w:tcPr>
          <w:p w14:paraId="754809AC"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tcBorders>
              <w:top w:val="nil"/>
              <w:left w:val="nil"/>
              <w:bottom w:val="nil"/>
              <w:right w:val="nil"/>
            </w:tcBorders>
            <w:noWrap/>
            <w:vAlign w:val="bottom"/>
            <w:hideMark/>
          </w:tcPr>
          <w:p w14:paraId="67A8150D"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64FBE23B" w14:textId="77777777" w:rsidTr="00513E41">
        <w:trPr>
          <w:trHeight w:val="260"/>
        </w:trPr>
        <w:tc>
          <w:tcPr>
            <w:tcW w:w="1894" w:type="dxa"/>
            <w:tcBorders>
              <w:top w:val="nil"/>
              <w:left w:val="nil"/>
              <w:bottom w:val="nil"/>
              <w:right w:val="nil"/>
            </w:tcBorders>
            <w:noWrap/>
            <w:vAlign w:val="center"/>
            <w:hideMark/>
          </w:tcPr>
          <w:p w14:paraId="4A185E65"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Project Life</w:t>
            </w:r>
          </w:p>
        </w:tc>
        <w:tc>
          <w:tcPr>
            <w:tcW w:w="1835" w:type="dxa"/>
            <w:tcBorders>
              <w:top w:val="nil"/>
              <w:left w:val="nil"/>
              <w:bottom w:val="nil"/>
              <w:right w:val="nil"/>
            </w:tcBorders>
            <w:noWrap/>
            <w:vAlign w:val="bottom"/>
            <w:hideMark/>
          </w:tcPr>
          <w:p w14:paraId="23EA1F63"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5 Years</w:t>
            </w:r>
          </w:p>
        </w:tc>
        <w:tc>
          <w:tcPr>
            <w:tcW w:w="1491" w:type="dxa"/>
            <w:tcBorders>
              <w:top w:val="nil"/>
              <w:left w:val="nil"/>
              <w:bottom w:val="nil"/>
              <w:right w:val="nil"/>
            </w:tcBorders>
            <w:noWrap/>
            <w:vAlign w:val="bottom"/>
            <w:hideMark/>
          </w:tcPr>
          <w:p w14:paraId="67C2D282"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tcBorders>
              <w:top w:val="nil"/>
              <w:left w:val="nil"/>
              <w:bottom w:val="nil"/>
              <w:right w:val="nil"/>
            </w:tcBorders>
            <w:noWrap/>
            <w:vAlign w:val="bottom"/>
            <w:hideMark/>
          </w:tcPr>
          <w:p w14:paraId="3812B23F"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tcBorders>
              <w:top w:val="nil"/>
              <w:left w:val="nil"/>
              <w:bottom w:val="nil"/>
              <w:right w:val="nil"/>
            </w:tcBorders>
            <w:noWrap/>
            <w:vAlign w:val="bottom"/>
            <w:hideMark/>
          </w:tcPr>
          <w:p w14:paraId="404CFFBE"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20C5F25D" w14:textId="77777777" w:rsidTr="00513E41">
        <w:trPr>
          <w:trHeight w:val="260"/>
        </w:trPr>
        <w:tc>
          <w:tcPr>
            <w:tcW w:w="1894" w:type="dxa"/>
            <w:tcBorders>
              <w:top w:val="nil"/>
              <w:left w:val="nil"/>
              <w:bottom w:val="nil"/>
              <w:right w:val="nil"/>
            </w:tcBorders>
            <w:noWrap/>
            <w:vAlign w:val="center"/>
            <w:hideMark/>
          </w:tcPr>
          <w:p w14:paraId="2E22D2D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Depreciation Method</w:t>
            </w:r>
          </w:p>
        </w:tc>
        <w:tc>
          <w:tcPr>
            <w:tcW w:w="1835" w:type="dxa"/>
            <w:tcBorders>
              <w:top w:val="nil"/>
              <w:left w:val="nil"/>
              <w:bottom w:val="nil"/>
              <w:right w:val="nil"/>
            </w:tcBorders>
            <w:noWrap/>
            <w:vAlign w:val="bottom"/>
            <w:hideMark/>
          </w:tcPr>
          <w:p w14:paraId="08FF610B"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Straight-Line to Zero</w:t>
            </w:r>
          </w:p>
        </w:tc>
        <w:tc>
          <w:tcPr>
            <w:tcW w:w="1491" w:type="dxa"/>
            <w:tcBorders>
              <w:top w:val="nil"/>
              <w:left w:val="nil"/>
              <w:bottom w:val="nil"/>
              <w:right w:val="nil"/>
            </w:tcBorders>
            <w:noWrap/>
            <w:vAlign w:val="bottom"/>
            <w:hideMark/>
          </w:tcPr>
          <w:p w14:paraId="483A9BCB"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tcBorders>
              <w:top w:val="nil"/>
              <w:left w:val="nil"/>
              <w:bottom w:val="nil"/>
              <w:right w:val="nil"/>
            </w:tcBorders>
            <w:noWrap/>
            <w:vAlign w:val="bottom"/>
            <w:hideMark/>
          </w:tcPr>
          <w:p w14:paraId="0B778873"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tcBorders>
              <w:top w:val="nil"/>
              <w:left w:val="nil"/>
              <w:bottom w:val="nil"/>
              <w:right w:val="nil"/>
            </w:tcBorders>
            <w:noWrap/>
            <w:vAlign w:val="bottom"/>
            <w:hideMark/>
          </w:tcPr>
          <w:p w14:paraId="03BA651E"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70FA5B82" w14:textId="77777777" w:rsidTr="00513E41">
        <w:trPr>
          <w:trHeight w:val="260"/>
        </w:trPr>
        <w:tc>
          <w:tcPr>
            <w:tcW w:w="1894" w:type="dxa"/>
            <w:tcBorders>
              <w:top w:val="nil"/>
              <w:left w:val="nil"/>
              <w:bottom w:val="nil"/>
              <w:right w:val="nil"/>
            </w:tcBorders>
            <w:noWrap/>
            <w:vAlign w:val="center"/>
            <w:hideMark/>
          </w:tcPr>
          <w:p w14:paraId="64EF91A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Annual Depreciation</w:t>
            </w:r>
          </w:p>
        </w:tc>
        <w:tc>
          <w:tcPr>
            <w:tcW w:w="1835" w:type="dxa"/>
            <w:tcBorders>
              <w:top w:val="nil"/>
              <w:left w:val="nil"/>
              <w:bottom w:val="nil"/>
              <w:right w:val="nil"/>
            </w:tcBorders>
            <w:noWrap/>
            <w:vAlign w:val="bottom"/>
            <w:hideMark/>
          </w:tcPr>
          <w:p w14:paraId="55B4AD61"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£10,000,000  (=£50m / 5 years)</w:t>
            </w:r>
          </w:p>
        </w:tc>
        <w:tc>
          <w:tcPr>
            <w:tcW w:w="1491" w:type="dxa"/>
            <w:tcBorders>
              <w:top w:val="nil"/>
              <w:left w:val="nil"/>
              <w:bottom w:val="nil"/>
              <w:right w:val="nil"/>
            </w:tcBorders>
            <w:noWrap/>
            <w:vAlign w:val="bottom"/>
            <w:hideMark/>
          </w:tcPr>
          <w:p w14:paraId="0F6C5508"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tcBorders>
              <w:top w:val="nil"/>
              <w:left w:val="nil"/>
              <w:bottom w:val="nil"/>
              <w:right w:val="nil"/>
            </w:tcBorders>
            <w:noWrap/>
            <w:vAlign w:val="bottom"/>
            <w:hideMark/>
          </w:tcPr>
          <w:p w14:paraId="4A06D1DF"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tcBorders>
              <w:top w:val="nil"/>
              <w:left w:val="nil"/>
              <w:bottom w:val="nil"/>
              <w:right w:val="nil"/>
            </w:tcBorders>
            <w:noWrap/>
            <w:vAlign w:val="bottom"/>
            <w:hideMark/>
          </w:tcPr>
          <w:p w14:paraId="02AE3A2C"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2FEBA268" w14:textId="77777777" w:rsidTr="00513E41">
        <w:trPr>
          <w:trHeight w:val="260"/>
        </w:trPr>
        <w:tc>
          <w:tcPr>
            <w:tcW w:w="1894" w:type="dxa"/>
            <w:tcBorders>
              <w:top w:val="nil"/>
              <w:left w:val="nil"/>
              <w:bottom w:val="nil"/>
              <w:right w:val="nil"/>
            </w:tcBorders>
            <w:noWrap/>
            <w:vAlign w:val="center"/>
            <w:hideMark/>
          </w:tcPr>
          <w:p w14:paraId="4F958CE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Residual Value</w:t>
            </w:r>
          </w:p>
        </w:tc>
        <w:tc>
          <w:tcPr>
            <w:tcW w:w="1835" w:type="dxa"/>
            <w:tcBorders>
              <w:top w:val="nil"/>
              <w:left w:val="nil"/>
              <w:bottom w:val="nil"/>
              <w:right w:val="nil"/>
            </w:tcBorders>
            <w:noWrap/>
            <w:vAlign w:val="bottom"/>
            <w:hideMark/>
          </w:tcPr>
          <w:p w14:paraId="374B6272"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£0</w:t>
            </w:r>
          </w:p>
        </w:tc>
        <w:tc>
          <w:tcPr>
            <w:tcW w:w="1491" w:type="dxa"/>
            <w:tcBorders>
              <w:top w:val="nil"/>
              <w:left w:val="nil"/>
              <w:bottom w:val="nil"/>
              <w:right w:val="nil"/>
            </w:tcBorders>
            <w:noWrap/>
            <w:vAlign w:val="bottom"/>
            <w:hideMark/>
          </w:tcPr>
          <w:p w14:paraId="620C71CC"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tcBorders>
              <w:top w:val="nil"/>
              <w:left w:val="nil"/>
              <w:bottom w:val="nil"/>
              <w:right w:val="nil"/>
            </w:tcBorders>
            <w:noWrap/>
            <w:vAlign w:val="bottom"/>
            <w:hideMark/>
          </w:tcPr>
          <w:p w14:paraId="12769CC4"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tcBorders>
              <w:top w:val="nil"/>
              <w:left w:val="nil"/>
              <w:bottom w:val="nil"/>
              <w:right w:val="nil"/>
            </w:tcBorders>
            <w:noWrap/>
            <w:vAlign w:val="bottom"/>
            <w:hideMark/>
          </w:tcPr>
          <w:p w14:paraId="6B68D621"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1DEBD456" w14:textId="77777777" w:rsidTr="00513E41">
        <w:trPr>
          <w:trHeight w:val="304"/>
        </w:trPr>
        <w:tc>
          <w:tcPr>
            <w:tcW w:w="9334" w:type="dxa"/>
            <w:gridSpan w:val="5"/>
            <w:tcBorders>
              <w:top w:val="nil"/>
              <w:left w:val="nil"/>
              <w:bottom w:val="nil"/>
              <w:right w:val="nil"/>
            </w:tcBorders>
            <w:shd w:val="clear" w:color="404040" w:fill="1F3864"/>
            <w:noWrap/>
            <w:vAlign w:val="center"/>
            <w:hideMark/>
          </w:tcPr>
          <w:p w14:paraId="7DC23157"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1: Project Cash Flows (£)</w:t>
            </w:r>
          </w:p>
        </w:tc>
      </w:tr>
      <w:tr w:rsidR="00513E41" w:rsidRPr="00C50619" w14:paraId="7DA69394" w14:textId="77777777" w:rsidTr="00513E41">
        <w:trPr>
          <w:trHeight w:val="289"/>
        </w:trPr>
        <w:tc>
          <w:tcPr>
            <w:tcW w:w="1894" w:type="dxa"/>
            <w:tcBorders>
              <w:top w:val="nil"/>
              <w:left w:val="nil"/>
              <w:bottom w:val="nil"/>
              <w:right w:val="nil"/>
            </w:tcBorders>
            <w:shd w:val="clear" w:color="404040" w:fill="1F3864"/>
            <w:noWrap/>
            <w:vAlign w:val="center"/>
            <w:hideMark/>
          </w:tcPr>
          <w:p w14:paraId="7B3DB949"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Year / Item</w:t>
            </w:r>
          </w:p>
        </w:tc>
        <w:tc>
          <w:tcPr>
            <w:tcW w:w="1835" w:type="dxa"/>
            <w:tcBorders>
              <w:top w:val="nil"/>
              <w:left w:val="nil"/>
              <w:bottom w:val="nil"/>
              <w:right w:val="nil"/>
            </w:tcBorders>
            <w:shd w:val="clear" w:color="4A7EBB" w:fill="2E75B6"/>
            <w:noWrap/>
            <w:vAlign w:val="center"/>
            <w:hideMark/>
          </w:tcPr>
          <w:p w14:paraId="09FA21C1"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tcBorders>
              <w:top w:val="nil"/>
              <w:left w:val="nil"/>
              <w:bottom w:val="nil"/>
              <w:right w:val="nil"/>
            </w:tcBorders>
            <w:shd w:val="clear" w:color="4A7EBB" w:fill="2E75B6"/>
            <w:noWrap/>
            <w:vAlign w:val="center"/>
            <w:hideMark/>
          </w:tcPr>
          <w:p w14:paraId="5BEDA2E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tcBorders>
              <w:top w:val="nil"/>
              <w:left w:val="nil"/>
              <w:bottom w:val="nil"/>
              <w:right w:val="nil"/>
            </w:tcBorders>
            <w:shd w:val="clear" w:color="4A7EBB" w:fill="2E75B6"/>
            <w:noWrap/>
            <w:vAlign w:val="center"/>
            <w:hideMark/>
          </w:tcPr>
          <w:p w14:paraId="468E93AA"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tcBorders>
              <w:top w:val="nil"/>
              <w:left w:val="nil"/>
              <w:bottom w:val="nil"/>
              <w:right w:val="nil"/>
            </w:tcBorders>
            <w:shd w:val="clear" w:color="4A7EBB" w:fill="2E75B6"/>
            <w:noWrap/>
            <w:vAlign w:val="center"/>
            <w:hideMark/>
          </w:tcPr>
          <w:p w14:paraId="66C3B93F"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Notes</w:t>
            </w:r>
          </w:p>
        </w:tc>
      </w:tr>
      <w:tr w:rsidR="00513E41" w:rsidRPr="00C50619" w14:paraId="2D2D1BCE" w14:textId="77777777" w:rsidTr="00513E41">
        <w:trPr>
          <w:trHeight w:val="260"/>
        </w:trPr>
        <w:tc>
          <w:tcPr>
            <w:tcW w:w="1894" w:type="dxa"/>
            <w:tcBorders>
              <w:top w:val="nil"/>
              <w:left w:val="nil"/>
              <w:bottom w:val="nil"/>
              <w:right w:val="nil"/>
            </w:tcBorders>
            <w:noWrap/>
            <w:vAlign w:val="center"/>
            <w:hideMark/>
          </w:tcPr>
          <w:p w14:paraId="7A7891F8"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0 — Initial Investment</w:t>
            </w:r>
          </w:p>
        </w:tc>
        <w:tc>
          <w:tcPr>
            <w:tcW w:w="1835" w:type="dxa"/>
            <w:tcBorders>
              <w:top w:val="nil"/>
              <w:left w:val="nil"/>
              <w:bottom w:val="nil"/>
              <w:right w:val="nil"/>
            </w:tcBorders>
            <w:noWrap/>
            <w:vAlign w:val="center"/>
            <w:hideMark/>
          </w:tcPr>
          <w:p w14:paraId="7E84C503"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(£50,000,000)</w:t>
            </w:r>
          </w:p>
        </w:tc>
        <w:tc>
          <w:tcPr>
            <w:tcW w:w="1491" w:type="dxa"/>
            <w:tcBorders>
              <w:top w:val="nil"/>
              <w:left w:val="nil"/>
              <w:bottom w:val="nil"/>
              <w:right w:val="nil"/>
            </w:tcBorders>
            <w:noWrap/>
            <w:vAlign w:val="center"/>
            <w:hideMark/>
          </w:tcPr>
          <w:p w14:paraId="4686EFE9"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(£50,000,000)</w:t>
            </w:r>
          </w:p>
        </w:tc>
        <w:tc>
          <w:tcPr>
            <w:tcW w:w="1491" w:type="dxa"/>
            <w:tcBorders>
              <w:top w:val="nil"/>
              <w:left w:val="nil"/>
              <w:bottom w:val="nil"/>
              <w:right w:val="nil"/>
            </w:tcBorders>
            <w:noWrap/>
            <w:vAlign w:val="center"/>
            <w:hideMark/>
          </w:tcPr>
          <w:p w14:paraId="41AEA62B"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(£50,000,000)</w:t>
            </w:r>
          </w:p>
        </w:tc>
        <w:tc>
          <w:tcPr>
            <w:tcW w:w="2621" w:type="dxa"/>
            <w:tcBorders>
              <w:top w:val="nil"/>
              <w:left w:val="nil"/>
              <w:bottom w:val="nil"/>
              <w:right w:val="nil"/>
            </w:tcBorders>
            <w:noWrap/>
            <w:vAlign w:val="center"/>
            <w:hideMark/>
          </w:tcPr>
          <w:p w14:paraId="6429A85E"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Outflow at start</w:t>
            </w:r>
          </w:p>
        </w:tc>
      </w:tr>
      <w:tr w:rsidR="00513E41" w:rsidRPr="00C50619" w14:paraId="61E499C8" w14:textId="77777777" w:rsidTr="00513E41">
        <w:trPr>
          <w:trHeight w:val="260"/>
        </w:trPr>
        <w:tc>
          <w:tcPr>
            <w:tcW w:w="1894" w:type="dxa"/>
            <w:tcBorders>
              <w:top w:val="nil"/>
              <w:left w:val="nil"/>
              <w:bottom w:val="nil"/>
              <w:right w:val="nil"/>
            </w:tcBorders>
            <w:noWrap/>
            <w:vAlign w:val="center"/>
            <w:hideMark/>
          </w:tcPr>
          <w:p w14:paraId="369078C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1 — Net Cash Inflow</w:t>
            </w:r>
          </w:p>
        </w:tc>
        <w:tc>
          <w:tcPr>
            <w:tcW w:w="1835" w:type="dxa"/>
            <w:tcBorders>
              <w:top w:val="nil"/>
              <w:left w:val="nil"/>
              <w:bottom w:val="nil"/>
              <w:right w:val="nil"/>
            </w:tcBorders>
            <w:noWrap/>
            <w:vAlign w:val="center"/>
            <w:hideMark/>
          </w:tcPr>
          <w:p w14:paraId="5F75C34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£10,000,000</w:t>
            </w:r>
          </w:p>
        </w:tc>
        <w:tc>
          <w:tcPr>
            <w:tcW w:w="1491" w:type="dxa"/>
            <w:tcBorders>
              <w:top w:val="nil"/>
              <w:left w:val="nil"/>
              <w:bottom w:val="nil"/>
              <w:right w:val="nil"/>
            </w:tcBorders>
            <w:noWrap/>
            <w:vAlign w:val="center"/>
            <w:hideMark/>
          </w:tcPr>
          <w:p w14:paraId="43D07C7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£11,000,000</w:t>
            </w:r>
          </w:p>
        </w:tc>
        <w:tc>
          <w:tcPr>
            <w:tcW w:w="1491" w:type="dxa"/>
            <w:tcBorders>
              <w:top w:val="nil"/>
              <w:left w:val="nil"/>
              <w:bottom w:val="nil"/>
              <w:right w:val="nil"/>
            </w:tcBorders>
            <w:noWrap/>
            <w:vAlign w:val="center"/>
            <w:hideMark/>
          </w:tcPr>
          <w:p w14:paraId="3043B1A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£5,000,000</w:t>
            </w:r>
          </w:p>
        </w:tc>
        <w:tc>
          <w:tcPr>
            <w:tcW w:w="2621" w:type="dxa"/>
            <w:tcBorders>
              <w:top w:val="nil"/>
              <w:left w:val="nil"/>
              <w:bottom w:val="nil"/>
              <w:right w:val="nil"/>
            </w:tcBorders>
            <w:noWrap/>
            <w:vAlign w:val="center"/>
            <w:hideMark/>
          </w:tcPr>
          <w:p w14:paraId="30024382"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p>
        </w:tc>
      </w:tr>
      <w:tr w:rsidR="00513E41" w:rsidRPr="00C50619" w14:paraId="28038038" w14:textId="77777777" w:rsidTr="00513E41">
        <w:trPr>
          <w:trHeight w:val="260"/>
        </w:trPr>
        <w:tc>
          <w:tcPr>
            <w:tcW w:w="1894" w:type="dxa"/>
            <w:tcBorders>
              <w:top w:val="nil"/>
              <w:left w:val="nil"/>
              <w:bottom w:val="nil"/>
              <w:right w:val="nil"/>
            </w:tcBorders>
            <w:noWrap/>
            <w:vAlign w:val="center"/>
            <w:hideMark/>
          </w:tcPr>
          <w:p w14:paraId="19EC7968"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2 — Net Cash Inflow</w:t>
            </w:r>
          </w:p>
        </w:tc>
        <w:tc>
          <w:tcPr>
            <w:tcW w:w="1835" w:type="dxa"/>
            <w:tcBorders>
              <w:top w:val="nil"/>
              <w:left w:val="nil"/>
              <w:bottom w:val="nil"/>
              <w:right w:val="nil"/>
            </w:tcBorders>
            <w:noWrap/>
            <w:vAlign w:val="center"/>
            <w:hideMark/>
          </w:tcPr>
          <w:p w14:paraId="1FFA45E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£12,000,000</w:t>
            </w:r>
          </w:p>
        </w:tc>
        <w:tc>
          <w:tcPr>
            <w:tcW w:w="1491" w:type="dxa"/>
            <w:tcBorders>
              <w:top w:val="nil"/>
              <w:left w:val="nil"/>
              <w:bottom w:val="nil"/>
              <w:right w:val="nil"/>
            </w:tcBorders>
            <w:noWrap/>
            <w:vAlign w:val="center"/>
            <w:hideMark/>
          </w:tcPr>
          <w:p w14:paraId="5F586E75"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£11,000,000</w:t>
            </w:r>
          </w:p>
        </w:tc>
        <w:tc>
          <w:tcPr>
            <w:tcW w:w="1491" w:type="dxa"/>
            <w:tcBorders>
              <w:top w:val="nil"/>
              <w:left w:val="nil"/>
              <w:bottom w:val="nil"/>
              <w:right w:val="nil"/>
            </w:tcBorders>
            <w:noWrap/>
            <w:vAlign w:val="center"/>
            <w:hideMark/>
          </w:tcPr>
          <w:p w14:paraId="5E92598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£10,000,000</w:t>
            </w:r>
          </w:p>
        </w:tc>
        <w:tc>
          <w:tcPr>
            <w:tcW w:w="2621" w:type="dxa"/>
            <w:tcBorders>
              <w:top w:val="nil"/>
              <w:left w:val="nil"/>
              <w:bottom w:val="nil"/>
              <w:right w:val="nil"/>
            </w:tcBorders>
            <w:noWrap/>
            <w:vAlign w:val="center"/>
            <w:hideMark/>
          </w:tcPr>
          <w:p w14:paraId="2F81F793"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p>
        </w:tc>
      </w:tr>
      <w:tr w:rsidR="00513E41" w:rsidRPr="00C50619" w14:paraId="4704F088" w14:textId="77777777" w:rsidTr="00513E41">
        <w:trPr>
          <w:trHeight w:val="260"/>
        </w:trPr>
        <w:tc>
          <w:tcPr>
            <w:tcW w:w="1894" w:type="dxa"/>
            <w:tcBorders>
              <w:top w:val="nil"/>
              <w:left w:val="nil"/>
              <w:bottom w:val="nil"/>
              <w:right w:val="nil"/>
            </w:tcBorders>
            <w:noWrap/>
            <w:vAlign w:val="center"/>
            <w:hideMark/>
          </w:tcPr>
          <w:p w14:paraId="295AB891"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3 — Net Cash Inflow</w:t>
            </w:r>
          </w:p>
        </w:tc>
        <w:tc>
          <w:tcPr>
            <w:tcW w:w="1835" w:type="dxa"/>
            <w:tcBorders>
              <w:top w:val="nil"/>
              <w:left w:val="nil"/>
              <w:bottom w:val="nil"/>
              <w:right w:val="nil"/>
            </w:tcBorders>
            <w:noWrap/>
            <w:vAlign w:val="center"/>
            <w:hideMark/>
          </w:tcPr>
          <w:p w14:paraId="18674C73"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£14,000,000</w:t>
            </w:r>
          </w:p>
        </w:tc>
        <w:tc>
          <w:tcPr>
            <w:tcW w:w="1491" w:type="dxa"/>
            <w:tcBorders>
              <w:top w:val="nil"/>
              <w:left w:val="nil"/>
              <w:bottom w:val="nil"/>
              <w:right w:val="nil"/>
            </w:tcBorders>
            <w:noWrap/>
            <w:vAlign w:val="center"/>
            <w:hideMark/>
          </w:tcPr>
          <w:p w14:paraId="4DEC8CF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£11,000,000</w:t>
            </w:r>
          </w:p>
        </w:tc>
        <w:tc>
          <w:tcPr>
            <w:tcW w:w="1491" w:type="dxa"/>
            <w:tcBorders>
              <w:top w:val="nil"/>
              <w:left w:val="nil"/>
              <w:bottom w:val="nil"/>
              <w:right w:val="nil"/>
            </w:tcBorders>
            <w:noWrap/>
            <w:vAlign w:val="center"/>
            <w:hideMark/>
          </w:tcPr>
          <w:p w14:paraId="06E92B50"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£20,000,000</w:t>
            </w:r>
          </w:p>
        </w:tc>
        <w:tc>
          <w:tcPr>
            <w:tcW w:w="2621" w:type="dxa"/>
            <w:tcBorders>
              <w:top w:val="nil"/>
              <w:left w:val="nil"/>
              <w:bottom w:val="nil"/>
              <w:right w:val="nil"/>
            </w:tcBorders>
            <w:noWrap/>
            <w:vAlign w:val="center"/>
            <w:hideMark/>
          </w:tcPr>
          <w:p w14:paraId="3A2F6365"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p>
        </w:tc>
      </w:tr>
      <w:tr w:rsidR="00513E41" w:rsidRPr="00C50619" w14:paraId="4B974A59" w14:textId="77777777" w:rsidTr="00513E41">
        <w:trPr>
          <w:trHeight w:val="260"/>
        </w:trPr>
        <w:tc>
          <w:tcPr>
            <w:tcW w:w="1894" w:type="dxa"/>
            <w:tcBorders>
              <w:top w:val="nil"/>
              <w:left w:val="nil"/>
              <w:bottom w:val="nil"/>
              <w:right w:val="nil"/>
            </w:tcBorders>
            <w:noWrap/>
            <w:vAlign w:val="center"/>
            <w:hideMark/>
          </w:tcPr>
          <w:p w14:paraId="238C7F41"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4 — Net Cash Inflow</w:t>
            </w:r>
          </w:p>
        </w:tc>
        <w:tc>
          <w:tcPr>
            <w:tcW w:w="1835" w:type="dxa"/>
            <w:tcBorders>
              <w:top w:val="nil"/>
              <w:left w:val="nil"/>
              <w:bottom w:val="nil"/>
              <w:right w:val="nil"/>
            </w:tcBorders>
            <w:noWrap/>
            <w:vAlign w:val="center"/>
            <w:hideMark/>
          </w:tcPr>
          <w:p w14:paraId="5FFA9F0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£10,000,000</w:t>
            </w:r>
          </w:p>
        </w:tc>
        <w:tc>
          <w:tcPr>
            <w:tcW w:w="1491" w:type="dxa"/>
            <w:tcBorders>
              <w:top w:val="nil"/>
              <w:left w:val="nil"/>
              <w:bottom w:val="nil"/>
              <w:right w:val="nil"/>
            </w:tcBorders>
            <w:noWrap/>
            <w:vAlign w:val="center"/>
            <w:hideMark/>
          </w:tcPr>
          <w:p w14:paraId="2CB3B526"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£11,000,000</w:t>
            </w:r>
          </w:p>
        </w:tc>
        <w:tc>
          <w:tcPr>
            <w:tcW w:w="1491" w:type="dxa"/>
            <w:tcBorders>
              <w:top w:val="nil"/>
              <w:left w:val="nil"/>
              <w:bottom w:val="nil"/>
              <w:right w:val="nil"/>
            </w:tcBorders>
            <w:noWrap/>
            <w:vAlign w:val="center"/>
            <w:hideMark/>
          </w:tcPr>
          <w:p w14:paraId="053931F9"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£25,000,000</w:t>
            </w:r>
          </w:p>
        </w:tc>
        <w:tc>
          <w:tcPr>
            <w:tcW w:w="2621" w:type="dxa"/>
            <w:tcBorders>
              <w:top w:val="nil"/>
              <w:left w:val="nil"/>
              <w:bottom w:val="nil"/>
              <w:right w:val="nil"/>
            </w:tcBorders>
            <w:noWrap/>
            <w:vAlign w:val="center"/>
            <w:hideMark/>
          </w:tcPr>
          <w:p w14:paraId="7E3ED5A6"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p>
        </w:tc>
      </w:tr>
      <w:tr w:rsidR="00513E41" w:rsidRPr="00C50619" w14:paraId="1752E313" w14:textId="77777777" w:rsidTr="00513E41">
        <w:trPr>
          <w:trHeight w:val="260"/>
        </w:trPr>
        <w:tc>
          <w:tcPr>
            <w:tcW w:w="1894" w:type="dxa"/>
            <w:tcBorders>
              <w:top w:val="nil"/>
              <w:left w:val="nil"/>
              <w:bottom w:val="nil"/>
              <w:right w:val="nil"/>
            </w:tcBorders>
            <w:noWrap/>
            <w:vAlign w:val="center"/>
            <w:hideMark/>
          </w:tcPr>
          <w:p w14:paraId="060C1AB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5 — Net Cash Inflow</w:t>
            </w:r>
          </w:p>
        </w:tc>
        <w:tc>
          <w:tcPr>
            <w:tcW w:w="1835" w:type="dxa"/>
            <w:tcBorders>
              <w:top w:val="nil"/>
              <w:left w:val="nil"/>
              <w:bottom w:val="nil"/>
              <w:right w:val="nil"/>
            </w:tcBorders>
            <w:noWrap/>
            <w:vAlign w:val="center"/>
            <w:hideMark/>
          </w:tcPr>
          <w:p w14:paraId="1969A4E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£8,000,000</w:t>
            </w:r>
          </w:p>
        </w:tc>
        <w:tc>
          <w:tcPr>
            <w:tcW w:w="1491" w:type="dxa"/>
            <w:tcBorders>
              <w:top w:val="nil"/>
              <w:left w:val="nil"/>
              <w:bottom w:val="nil"/>
              <w:right w:val="nil"/>
            </w:tcBorders>
            <w:noWrap/>
            <w:vAlign w:val="center"/>
            <w:hideMark/>
          </w:tcPr>
          <w:p w14:paraId="04E874F6"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£11,000,000</w:t>
            </w:r>
          </w:p>
        </w:tc>
        <w:tc>
          <w:tcPr>
            <w:tcW w:w="1491" w:type="dxa"/>
            <w:tcBorders>
              <w:top w:val="nil"/>
              <w:left w:val="nil"/>
              <w:bottom w:val="nil"/>
              <w:right w:val="nil"/>
            </w:tcBorders>
            <w:noWrap/>
            <w:vAlign w:val="center"/>
            <w:hideMark/>
          </w:tcPr>
          <w:p w14:paraId="64DBAD93"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£5,000,000</w:t>
            </w:r>
          </w:p>
        </w:tc>
        <w:tc>
          <w:tcPr>
            <w:tcW w:w="2621" w:type="dxa"/>
            <w:tcBorders>
              <w:top w:val="nil"/>
              <w:left w:val="nil"/>
              <w:bottom w:val="nil"/>
              <w:right w:val="nil"/>
            </w:tcBorders>
            <w:noWrap/>
            <w:vAlign w:val="center"/>
            <w:hideMark/>
          </w:tcPr>
          <w:p w14:paraId="5A9EC0AF"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p>
        </w:tc>
      </w:tr>
      <w:tr w:rsidR="00513E41" w:rsidRPr="00C50619" w14:paraId="08B2ADF5" w14:textId="77777777" w:rsidTr="00513E41">
        <w:trPr>
          <w:trHeight w:val="260"/>
        </w:trPr>
        <w:tc>
          <w:tcPr>
            <w:tcW w:w="1894" w:type="dxa"/>
            <w:tcBorders>
              <w:top w:val="nil"/>
              <w:left w:val="nil"/>
              <w:bottom w:val="nil"/>
              <w:right w:val="nil"/>
            </w:tcBorders>
            <w:noWrap/>
            <w:vAlign w:val="center"/>
            <w:hideMark/>
          </w:tcPr>
          <w:p w14:paraId="61DE2026"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Total Net Cash Inflows (Yr1–5)</w:t>
            </w:r>
          </w:p>
        </w:tc>
        <w:tc>
          <w:tcPr>
            <w:tcW w:w="1835" w:type="dxa"/>
            <w:tcBorders>
              <w:top w:val="nil"/>
              <w:left w:val="nil"/>
              <w:bottom w:val="nil"/>
              <w:right w:val="nil"/>
            </w:tcBorders>
            <w:noWrap/>
            <w:vAlign w:val="center"/>
            <w:hideMark/>
          </w:tcPr>
          <w:p w14:paraId="21844040"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£54,000,000</w:t>
            </w:r>
          </w:p>
        </w:tc>
        <w:tc>
          <w:tcPr>
            <w:tcW w:w="1491" w:type="dxa"/>
            <w:tcBorders>
              <w:top w:val="nil"/>
              <w:left w:val="nil"/>
              <w:bottom w:val="nil"/>
              <w:right w:val="nil"/>
            </w:tcBorders>
            <w:noWrap/>
            <w:vAlign w:val="center"/>
            <w:hideMark/>
          </w:tcPr>
          <w:p w14:paraId="69A1A70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£55,000,000</w:t>
            </w:r>
          </w:p>
        </w:tc>
        <w:tc>
          <w:tcPr>
            <w:tcW w:w="1491" w:type="dxa"/>
            <w:tcBorders>
              <w:top w:val="nil"/>
              <w:left w:val="nil"/>
              <w:bottom w:val="nil"/>
              <w:right w:val="nil"/>
            </w:tcBorders>
            <w:noWrap/>
            <w:vAlign w:val="center"/>
            <w:hideMark/>
          </w:tcPr>
          <w:p w14:paraId="7992625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£65,000,000</w:t>
            </w:r>
          </w:p>
        </w:tc>
        <w:tc>
          <w:tcPr>
            <w:tcW w:w="2621" w:type="dxa"/>
            <w:tcBorders>
              <w:top w:val="nil"/>
              <w:left w:val="nil"/>
              <w:bottom w:val="nil"/>
              <w:right w:val="nil"/>
            </w:tcBorders>
            <w:noWrap/>
            <w:vAlign w:val="center"/>
            <w:hideMark/>
          </w:tcPr>
          <w:p w14:paraId="7FD42594"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237E0F99" w14:textId="77777777" w:rsidTr="00513E41">
        <w:trPr>
          <w:trHeight w:val="304"/>
        </w:trPr>
        <w:tc>
          <w:tcPr>
            <w:tcW w:w="9334" w:type="dxa"/>
            <w:gridSpan w:val="5"/>
            <w:tcBorders>
              <w:top w:val="nil"/>
              <w:left w:val="nil"/>
              <w:bottom w:val="nil"/>
              <w:right w:val="nil"/>
            </w:tcBorders>
            <w:shd w:val="clear" w:color="404040" w:fill="1F3864"/>
            <w:noWrap/>
            <w:vAlign w:val="center"/>
            <w:hideMark/>
          </w:tcPr>
          <w:p w14:paraId="49C847FA"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lastRenderedPageBreak/>
              <w:t xml:space="preserve"> 2: Accounting Profit (for ARR) = Cash Flow – Depreciation (£10m/yr)</w:t>
            </w:r>
          </w:p>
        </w:tc>
      </w:tr>
      <w:tr w:rsidR="00513E41" w:rsidRPr="00C50619" w14:paraId="3C5D32E2" w14:textId="77777777" w:rsidTr="00513E41">
        <w:trPr>
          <w:trHeight w:val="289"/>
        </w:trPr>
        <w:tc>
          <w:tcPr>
            <w:tcW w:w="1894" w:type="dxa"/>
            <w:tcBorders>
              <w:top w:val="nil"/>
              <w:left w:val="nil"/>
              <w:bottom w:val="nil"/>
              <w:right w:val="nil"/>
            </w:tcBorders>
            <w:shd w:val="clear" w:color="404040" w:fill="1F3864"/>
            <w:noWrap/>
            <w:vAlign w:val="center"/>
            <w:hideMark/>
          </w:tcPr>
          <w:p w14:paraId="362928E4"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Year</w:t>
            </w:r>
          </w:p>
        </w:tc>
        <w:tc>
          <w:tcPr>
            <w:tcW w:w="1835" w:type="dxa"/>
            <w:tcBorders>
              <w:top w:val="nil"/>
              <w:left w:val="nil"/>
              <w:bottom w:val="nil"/>
              <w:right w:val="nil"/>
            </w:tcBorders>
            <w:shd w:val="clear" w:color="4A7EBB" w:fill="2E75B6"/>
            <w:noWrap/>
            <w:vAlign w:val="center"/>
            <w:hideMark/>
          </w:tcPr>
          <w:p w14:paraId="6412712B"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tcBorders>
              <w:top w:val="nil"/>
              <w:left w:val="nil"/>
              <w:bottom w:val="nil"/>
              <w:right w:val="nil"/>
            </w:tcBorders>
            <w:shd w:val="clear" w:color="4A7EBB" w:fill="2E75B6"/>
            <w:noWrap/>
            <w:vAlign w:val="center"/>
            <w:hideMark/>
          </w:tcPr>
          <w:p w14:paraId="328C5D4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tcBorders>
              <w:top w:val="nil"/>
              <w:left w:val="nil"/>
              <w:bottom w:val="nil"/>
              <w:right w:val="nil"/>
            </w:tcBorders>
            <w:shd w:val="clear" w:color="4A7EBB" w:fill="2E75B6"/>
            <w:noWrap/>
            <w:vAlign w:val="center"/>
            <w:hideMark/>
          </w:tcPr>
          <w:p w14:paraId="4DE27043"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tcBorders>
              <w:top w:val="nil"/>
              <w:left w:val="nil"/>
              <w:bottom w:val="nil"/>
              <w:right w:val="nil"/>
            </w:tcBorders>
            <w:shd w:val="clear" w:color="4A7EBB" w:fill="2E75B6"/>
            <w:noWrap/>
            <w:vAlign w:val="center"/>
            <w:hideMark/>
          </w:tcPr>
          <w:p w14:paraId="02F99887"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Depreciation = £10m/yr</w:t>
            </w:r>
          </w:p>
        </w:tc>
      </w:tr>
      <w:tr w:rsidR="00513E41" w:rsidRPr="00C50619" w14:paraId="0692FB28" w14:textId="77777777" w:rsidTr="00513E41">
        <w:trPr>
          <w:trHeight w:val="260"/>
        </w:trPr>
        <w:tc>
          <w:tcPr>
            <w:tcW w:w="1894" w:type="dxa"/>
            <w:tcBorders>
              <w:top w:val="nil"/>
              <w:left w:val="nil"/>
              <w:bottom w:val="nil"/>
              <w:right w:val="nil"/>
            </w:tcBorders>
            <w:noWrap/>
            <w:vAlign w:val="center"/>
            <w:hideMark/>
          </w:tcPr>
          <w:p w14:paraId="5E75D8A6"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1</w:t>
            </w:r>
          </w:p>
        </w:tc>
        <w:tc>
          <w:tcPr>
            <w:tcW w:w="1835" w:type="dxa"/>
            <w:tcBorders>
              <w:top w:val="nil"/>
              <w:left w:val="nil"/>
              <w:bottom w:val="nil"/>
              <w:right w:val="nil"/>
            </w:tcBorders>
            <w:noWrap/>
            <w:vAlign w:val="bottom"/>
            <w:hideMark/>
          </w:tcPr>
          <w:p w14:paraId="6A05534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w:t>
            </w:r>
          </w:p>
        </w:tc>
        <w:tc>
          <w:tcPr>
            <w:tcW w:w="1491" w:type="dxa"/>
            <w:tcBorders>
              <w:top w:val="nil"/>
              <w:left w:val="nil"/>
              <w:bottom w:val="nil"/>
              <w:right w:val="nil"/>
            </w:tcBorders>
            <w:noWrap/>
            <w:vAlign w:val="bottom"/>
            <w:hideMark/>
          </w:tcPr>
          <w:p w14:paraId="69580DF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tcBorders>
              <w:top w:val="nil"/>
              <w:left w:val="nil"/>
              <w:bottom w:val="nil"/>
              <w:right w:val="nil"/>
            </w:tcBorders>
            <w:noWrap/>
            <w:vAlign w:val="bottom"/>
            <w:hideMark/>
          </w:tcPr>
          <w:p w14:paraId="721C109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w:t>
            </w:r>
          </w:p>
        </w:tc>
        <w:tc>
          <w:tcPr>
            <w:tcW w:w="2621" w:type="dxa"/>
            <w:tcBorders>
              <w:top w:val="nil"/>
              <w:left w:val="nil"/>
              <w:bottom w:val="nil"/>
              <w:right w:val="nil"/>
            </w:tcBorders>
            <w:noWrap/>
            <w:vAlign w:val="bottom"/>
            <w:hideMark/>
          </w:tcPr>
          <w:p w14:paraId="39B597F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2527280A" w14:textId="77777777" w:rsidTr="00513E41">
        <w:trPr>
          <w:trHeight w:val="260"/>
        </w:trPr>
        <w:tc>
          <w:tcPr>
            <w:tcW w:w="1894" w:type="dxa"/>
            <w:tcBorders>
              <w:top w:val="nil"/>
              <w:left w:val="nil"/>
              <w:bottom w:val="nil"/>
              <w:right w:val="nil"/>
            </w:tcBorders>
            <w:noWrap/>
            <w:vAlign w:val="center"/>
            <w:hideMark/>
          </w:tcPr>
          <w:p w14:paraId="4FB9D1A5"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2</w:t>
            </w:r>
          </w:p>
        </w:tc>
        <w:tc>
          <w:tcPr>
            <w:tcW w:w="1835" w:type="dxa"/>
            <w:tcBorders>
              <w:top w:val="nil"/>
              <w:left w:val="nil"/>
              <w:bottom w:val="nil"/>
              <w:right w:val="nil"/>
            </w:tcBorders>
            <w:noWrap/>
            <w:vAlign w:val="bottom"/>
            <w:hideMark/>
          </w:tcPr>
          <w:p w14:paraId="26AC95E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£2,000,000</w:t>
            </w:r>
          </w:p>
        </w:tc>
        <w:tc>
          <w:tcPr>
            <w:tcW w:w="1491" w:type="dxa"/>
            <w:tcBorders>
              <w:top w:val="nil"/>
              <w:left w:val="nil"/>
              <w:bottom w:val="nil"/>
              <w:right w:val="nil"/>
            </w:tcBorders>
            <w:noWrap/>
            <w:vAlign w:val="bottom"/>
            <w:hideMark/>
          </w:tcPr>
          <w:p w14:paraId="45FFE5D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tcBorders>
              <w:top w:val="nil"/>
              <w:left w:val="nil"/>
              <w:bottom w:val="nil"/>
              <w:right w:val="nil"/>
            </w:tcBorders>
            <w:noWrap/>
            <w:vAlign w:val="bottom"/>
            <w:hideMark/>
          </w:tcPr>
          <w:p w14:paraId="0521F71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w:t>
            </w:r>
          </w:p>
        </w:tc>
        <w:tc>
          <w:tcPr>
            <w:tcW w:w="2621" w:type="dxa"/>
            <w:tcBorders>
              <w:top w:val="nil"/>
              <w:left w:val="nil"/>
              <w:bottom w:val="nil"/>
              <w:right w:val="nil"/>
            </w:tcBorders>
            <w:noWrap/>
            <w:vAlign w:val="bottom"/>
            <w:hideMark/>
          </w:tcPr>
          <w:p w14:paraId="031058B1"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761AB0C5" w14:textId="77777777" w:rsidTr="00513E41">
        <w:trPr>
          <w:trHeight w:val="260"/>
        </w:trPr>
        <w:tc>
          <w:tcPr>
            <w:tcW w:w="1894" w:type="dxa"/>
            <w:tcBorders>
              <w:top w:val="nil"/>
              <w:left w:val="nil"/>
              <w:bottom w:val="nil"/>
              <w:right w:val="nil"/>
            </w:tcBorders>
            <w:noWrap/>
            <w:vAlign w:val="center"/>
            <w:hideMark/>
          </w:tcPr>
          <w:p w14:paraId="6A37C1C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3</w:t>
            </w:r>
          </w:p>
        </w:tc>
        <w:tc>
          <w:tcPr>
            <w:tcW w:w="1835" w:type="dxa"/>
            <w:tcBorders>
              <w:top w:val="nil"/>
              <w:left w:val="nil"/>
              <w:bottom w:val="nil"/>
              <w:right w:val="nil"/>
            </w:tcBorders>
            <w:noWrap/>
            <w:vAlign w:val="bottom"/>
            <w:hideMark/>
          </w:tcPr>
          <w:p w14:paraId="7811DE5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£4,000,000</w:t>
            </w:r>
          </w:p>
        </w:tc>
        <w:tc>
          <w:tcPr>
            <w:tcW w:w="1491" w:type="dxa"/>
            <w:tcBorders>
              <w:top w:val="nil"/>
              <w:left w:val="nil"/>
              <w:bottom w:val="nil"/>
              <w:right w:val="nil"/>
            </w:tcBorders>
            <w:noWrap/>
            <w:vAlign w:val="bottom"/>
            <w:hideMark/>
          </w:tcPr>
          <w:p w14:paraId="608B6A6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tcBorders>
              <w:top w:val="nil"/>
              <w:left w:val="nil"/>
              <w:bottom w:val="nil"/>
              <w:right w:val="nil"/>
            </w:tcBorders>
            <w:noWrap/>
            <w:vAlign w:val="bottom"/>
            <w:hideMark/>
          </w:tcPr>
          <w:p w14:paraId="5F7EA1B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£10,000,000</w:t>
            </w:r>
          </w:p>
        </w:tc>
        <w:tc>
          <w:tcPr>
            <w:tcW w:w="2621" w:type="dxa"/>
            <w:tcBorders>
              <w:top w:val="nil"/>
              <w:left w:val="nil"/>
              <w:bottom w:val="nil"/>
              <w:right w:val="nil"/>
            </w:tcBorders>
            <w:noWrap/>
            <w:vAlign w:val="bottom"/>
            <w:hideMark/>
          </w:tcPr>
          <w:p w14:paraId="180E428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36BE1900" w14:textId="77777777" w:rsidTr="00513E41">
        <w:trPr>
          <w:trHeight w:val="260"/>
        </w:trPr>
        <w:tc>
          <w:tcPr>
            <w:tcW w:w="1894" w:type="dxa"/>
            <w:tcBorders>
              <w:top w:val="nil"/>
              <w:left w:val="nil"/>
              <w:bottom w:val="nil"/>
              <w:right w:val="nil"/>
            </w:tcBorders>
            <w:noWrap/>
            <w:vAlign w:val="center"/>
            <w:hideMark/>
          </w:tcPr>
          <w:p w14:paraId="78FC683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4</w:t>
            </w:r>
          </w:p>
        </w:tc>
        <w:tc>
          <w:tcPr>
            <w:tcW w:w="1835" w:type="dxa"/>
            <w:tcBorders>
              <w:top w:val="nil"/>
              <w:left w:val="nil"/>
              <w:bottom w:val="nil"/>
              <w:right w:val="nil"/>
            </w:tcBorders>
            <w:noWrap/>
            <w:vAlign w:val="bottom"/>
            <w:hideMark/>
          </w:tcPr>
          <w:p w14:paraId="06368FCD"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w:t>
            </w:r>
          </w:p>
        </w:tc>
        <w:tc>
          <w:tcPr>
            <w:tcW w:w="1491" w:type="dxa"/>
            <w:tcBorders>
              <w:top w:val="nil"/>
              <w:left w:val="nil"/>
              <w:bottom w:val="nil"/>
              <w:right w:val="nil"/>
            </w:tcBorders>
            <w:noWrap/>
            <w:vAlign w:val="bottom"/>
            <w:hideMark/>
          </w:tcPr>
          <w:p w14:paraId="7637572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tcBorders>
              <w:top w:val="nil"/>
              <w:left w:val="nil"/>
              <w:bottom w:val="nil"/>
              <w:right w:val="nil"/>
            </w:tcBorders>
            <w:noWrap/>
            <w:vAlign w:val="bottom"/>
            <w:hideMark/>
          </w:tcPr>
          <w:p w14:paraId="44176F6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£15,000,000</w:t>
            </w:r>
          </w:p>
        </w:tc>
        <w:tc>
          <w:tcPr>
            <w:tcW w:w="2621" w:type="dxa"/>
            <w:tcBorders>
              <w:top w:val="nil"/>
              <w:left w:val="nil"/>
              <w:bottom w:val="nil"/>
              <w:right w:val="nil"/>
            </w:tcBorders>
            <w:noWrap/>
            <w:vAlign w:val="bottom"/>
            <w:hideMark/>
          </w:tcPr>
          <w:p w14:paraId="52197C30"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320D41BC" w14:textId="77777777" w:rsidTr="00513E41">
        <w:trPr>
          <w:trHeight w:val="260"/>
        </w:trPr>
        <w:tc>
          <w:tcPr>
            <w:tcW w:w="1894" w:type="dxa"/>
            <w:tcBorders>
              <w:top w:val="nil"/>
              <w:left w:val="nil"/>
              <w:bottom w:val="nil"/>
              <w:right w:val="nil"/>
            </w:tcBorders>
            <w:noWrap/>
            <w:vAlign w:val="center"/>
            <w:hideMark/>
          </w:tcPr>
          <w:p w14:paraId="35D1ED7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5</w:t>
            </w:r>
          </w:p>
        </w:tc>
        <w:tc>
          <w:tcPr>
            <w:tcW w:w="1835" w:type="dxa"/>
            <w:tcBorders>
              <w:top w:val="nil"/>
              <w:left w:val="nil"/>
              <w:bottom w:val="nil"/>
              <w:right w:val="nil"/>
            </w:tcBorders>
            <w:noWrap/>
            <w:vAlign w:val="bottom"/>
            <w:hideMark/>
          </w:tcPr>
          <w:p w14:paraId="5190C21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(£2,000,000)</w:t>
            </w:r>
          </w:p>
        </w:tc>
        <w:tc>
          <w:tcPr>
            <w:tcW w:w="1491" w:type="dxa"/>
            <w:tcBorders>
              <w:top w:val="nil"/>
              <w:left w:val="nil"/>
              <w:bottom w:val="nil"/>
              <w:right w:val="nil"/>
            </w:tcBorders>
            <w:noWrap/>
            <w:vAlign w:val="bottom"/>
            <w:hideMark/>
          </w:tcPr>
          <w:p w14:paraId="39735CA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tcBorders>
              <w:top w:val="nil"/>
              <w:left w:val="nil"/>
              <w:bottom w:val="nil"/>
              <w:right w:val="nil"/>
            </w:tcBorders>
            <w:noWrap/>
            <w:vAlign w:val="bottom"/>
            <w:hideMark/>
          </w:tcPr>
          <w:p w14:paraId="19B63A2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w:t>
            </w:r>
          </w:p>
        </w:tc>
        <w:tc>
          <w:tcPr>
            <w:tcW w:w="2621" w:type="dxa"/>
            <w:tcBorders>
              <w:top w:val="nil"/>
              <w:left w:val="nil"/>
              <w:bottom w:val="nil"/>
              <w:right w:val="nil"/>
            </w:tcBorders>
            <w:noWrap/>
            <w:vAlign w:val="bottom"/>
            <w:hideMark/>
          </w:tcPr>
          <w:p w14:paraId="7EE1A894"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7088A5B6" w14:textId="77777777" w:rsidTr="00513E41">
        <w:trPr>
          <w:trHeight w:val="260"/>
        </w:trPr>
        <w:tc>
          <w:tcPr>
            <w:tcW w:w="1894" w:type="dxa"/>
            <w:tcBorders>
              <w:top w:val="nil"/>
              <w:left w:val="nil"/>
              <w:bottom w:val="nil"/>
              <w:right w:val="nil"/>
            </w:tcBorders>
            <w:noWrap/>
            <w:vAlign w:val="center"/>
            <w:hideMark/>
          </w:tcPr>
          <w:p w14:paraId="419F8876"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Average Annual Profit</w:t>
            </w:r>
          </w:p>
        </w:tc>
        <w:tc>
          <w:tcPr>
            <w:tcW w:w="1835" w:type="dxa"/>
            <w:tcBorders>
              <w:top w:val="nil"/>
              <w:left w:val="nil"/>
              <w:bottom w:val="nil"/>
              <w:right w:val="nil"/>
            </w:tcBorders>
            <w:noWrap/>
            <w:vAlign w:val="bottom"/>
            <w:hideMark/>
          </w:tcPr>
          <w:p w14:paraId="2042F56E"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£800,000</w:t>
            </w:r>
          </w:p>
        </w:tc>
        <w:tc>
          <w:tcPr>
            <w:tcW w:w="1491" w:type="dxa"/>
            <w:tcBorders>
              <w:top w:val="nil"/>
              <w:left w:val="nil"/>
              <w:bottom w:val="nil"/>
              <w:right w:val="nil"/>
            </w:tcBorders>
            <w:noWrap/>
            <w:vAlign w:val="bottom"/>
            <w:hideMark/>
          </w:tcPr>
          <w:p w14:paraId="43CE3947"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£1,000,000</w:t>
            </w:r>
          </w:p>
        </w:tc>
        <w:tc>
          <w:tcPr>
            <w:tcW w:w="1491" w:type="dxa"/>
            <w:tcBorders>
              <w:top w:val="nil"/>
              <w:left w:val="nil"/>
              <w:bottom w:val="nil"/>
              <w:right w:val="nil"/>
            </w:tcBorders>
            <w:noWrap/>
            <w:vAlign w:val="bottom"/>
            <w:hideMark/>
          </w:tcPr>
          <w:p w14:paraId="59783B19"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£3,000,000</w:t>
            </w:r>
          </w:p>
        </w:tc>
        <w:tc>
          <w:tcPr>
            <w:tcW w:w="2621" w:type="dxa"/>
            <w:tcBorders>
              <w:top w:val="nil"/>
              <w:left w:val="nil"/>
              <w:bottom w:val="nil"/>
              <w:right w:val="nil"/>
            </w:tcBorders>
            <w:noWrap/>
            <w:vAlign w:val="bottom"/>
            <w:hideMark/>
          </w:tcPr>
          <w:p w14:paraId="748013E8"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p>
        </w:tc>
      </w:tr>
      <w:tr w:rsidR="00513E41" w:rsidRPr="00C50619" w14:paraId="4A19A378" w14:textId="77777777" w:rsidTr="00513E41">
        <w:trPr>
          <w:trHeight w:val="304"/>
        </w:trPr>
        <w:tc>
          <w:tcPr>
            <w:tcW w:w="9334" w:type="dxa"/>
            <w:gridSpan w:val="5"/>
            <w:tcBorders>
              <w:top w:val="nil"/>
              <w:left w:val="nil"/>
              <w:bottom w:val="nil"/>
              <w:right w:val="nil"/>
            </w:tcBorders>
            <w:shd w:val="clear" w:color="404040" w:fill="1F3864"/>
            <w:noWrap/>
            <w:vAlign w:val="center"/>
            <w:hideMark/>
          </w:tcPr>
          <w:p w14:paraId="454A2FD4"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3: Payback Period</w:t>
            </w:r>
          </w:p>
        </w:tc>
      </w:tr>
      <w:tr w:rsidR="00513E41" w:rsidRPr="00C50619" w14:paraId="640E38FA" w14:textId="77777777" w:rsidTr="00513E41">
        <w:trPr>
          <w:trHeight w:val="289"/>
        </w:trPr>
        <w:tc>
          <w:tcPr>
            <w:tcW w:w="1894" w:type="dxa"/>
            <w:tcBorders>
              <w:top w:val="nil"/>
              <w:left w:val="nil"/>
              <w:bottom w:val="nil"/>
              <w:right w:val="nil"/>
            </w:tcBorders>
            <w:shd w:val="clear" w:color="404040" w:fill="1F3864"/>
            <w:noWrap/>
            <w:vAlign w:val="center"/>
            <w:hideMark/>
          </w:tcPr>
          <w:p w14:paraId="54A1090F"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Year</w:t>
            </w:r>
          </w:p>
        </w:tc>
        <w:tc>
          <w:tcPr>
            <w:tcW w:w="1835" w:type="dxa"/>
            <w:tcBorders>
              <w:top w:val="nil"/>
              <w:left w:val="nil"/>
              <w:bottom w:val="nil"/>
              <w:right w:val="nil"/>
            </w:tcBorders>
            <w:shd w:val="clear" w:color="4A7EBB" w:fill="2E75B6"/>
            <w:noWrap/>
            <w:vAlign w:val="center"/>
            <w:hideMark/>
          </w:tcPr>
          <w:p w14:paraId="40E575D1"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 — Cumulative</w:t>
            </w:r>
          </w:p>
        </w:tc>
        <w:tc>
          <w:tcPr>
            <w:tcW w:w="1491" w:type="dxa"/>
            <w:tcBorders>
              <w:top w:val="nil"/>
              <w:left w:val="nil"/>
              <w:bottom w:val="nil"/>
              <w:right w:val="nil"/>
            </w:tcBorders>
            <w:shd w:val="clear" w:color="4A7EBB" w:fill="2E75B6"/>
            <w:noWrap/>
            <w:vAlign w:val="center"/>
            <w:hideMark/>
          </w:tcPr>
          <w:p w14:paraId="3DE5A5F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 — Cumulative</w:t>
            </w:r>
          </w:p>
        </w:tc>
        <w:tc>
          <w:tcPr>
            <w:tcW w:w="1491" w:type="dxa"/>
            <w:tcBorders>
              <w:top w:val="nil"/>
              <w:left w:val="nil"/>
              <w:bottom w:val="nil"/>
              <w:right w:val="nil"/>
            </w:tcBorders>
            <w:shd w:val="clear" w:color="4A7EBB" w:fill="2E75B6"/>
            <w:noWrap/>
            <w:vAlign w:val="center"/>
            <w:hideMark/>
          </w:tcPr>
          <w:p w14:paraId="2E1C18A5"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 — Cumulative</w:t>
            </w:r>
          </w:p>
        </w:tc>
        <w:tc>
          <w:tcPr>
            <w:tcW w:w="2621" w:type="dxa"/>
            <w:tcBorders>
              <w:top w:val="nil"/>
              <w:left w:val="nil"/>
              <w:bottom w:val="nil"/>
              <w:right w:val="nil"/>
            </w:tcBorders>
            <w:shd w:val="clear" w:color="4A7EBB" w:fill="2E75B6"/>
            <w:noWrap/>
            <w:vAlign w:val="center"/>
            <w:hideMark/>
          </w:tcPr>
          <w:p w14:paraId="06EA42B8"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Notes</w:t>
            </w:r>
          </w:p>
        </w:tc>
      </w:tr>
      <w:tr w:rsidR="00513E41" w:rsidRPr="00C50619" w14:paraId="2A22611E" w14:textId="77777777" w:rsidTr="00513E41">
        <w:trPr>
          <w:trHeight w:val="260"/>
        </w:trPr>
        <w:tc>
          <w:tcPr>
            <w:tcW w:w="1894" w:type="dxa"/>
            <w:tcBorders>
              <w:top w:val="nil"/>
              <w:left w:val="nil"/>
              <w:bottom w:val="nil"/>
              <w:right w:val="nil"/>
            </w:tcBorders>
            <w:noWrap/>
            <w:vAlign w:val="center"/>
            <w:hideMark/>
          </w:tcPr>
          <w:p w14:paraId="10ACA823"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0 (Investment)</w:t>
            </w:r>
          </w:p>
        </w:tc>
        <w:tc>
          <w:tcPr>
            <w:tcW w:w="1835" w:type="dxa"/>
            <w:tcBorders>
              <w:top w:val="nil"/>
              <w:left w:val="nil"/>
              <w:bottom w:val="nil"/>
              <w:right w:val="nil"/>
            </w:tcBorders>
            <w:noWrap/>
            <w:vAlign w:val="bottom"/>
            <w:hideMark/>
          </w:tcPr>
          <w:p w14:paraId="4ABB0DF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1491" w:type="dxa"/>
            <w:tcBorders>
              <w:top w:val="nil"/>
              <w:left w:val="nil"/>
              <w:bottom w:val="nil"/>
              <w:right w:val="nil"/>
            </w:tcBorders>
            <w:noWrap/>
            <w:vAlign w:val="bottom"/>
            <w:hideMark/>
          </w:tcPr>
          <w:p w14:paraId="0513D95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1491" w:type="dxa"/>
            <w:tcBorders>
              <w:top w:val="nil"/>
              <w:left w:val="nil"/>
              <w:bottom w:val="nil"/>
              <w:right w:val="nil"/>
            </w:tcBorders>
            <w:noWrap/>
            <w:vAlign w:val="bottom"/>
            <w:hideMark/>
          </w:tcPr>
          <w:p w14:paraId="65855D7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2621" w:type="dxa"/>
            <w:tcBorders>
              <w:top w:val="nil"/>
              <w:left w:val="nil"/>
              <w:bottom w:val="nil"/>
              <w:right w:val="nil"/>
            </w:tcBorders>
            <w:noWrap/>
            <w:vAlign w:val="bottom"/>
            <w:hideMark/>
          </w:tcPr>
          <w:p w14:paraId="48601C1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Initial outflow</w:t>
            </w:r>
          </w:p>
        </w:tc>
      </w:tr>
      <w:tr w:rsidR="00513E41" w:rsidRPr="00C50619" w14:paraId="7FDC358D" w14:textId="77777777" w:rsidTr="00513E41">
        <w:trPr>
          <w:trHeight w:val="260"/>
        </w:trPr>
        <w:tc>
          <w:tcPr>
            <w:tcW w:w="1894" w:type="dxa"/>
            <w:tcBorders>
              <w:top w:val="nil"/>
              <w:left w:val="nil"/>
              <w:bottom w:val="nil"/>
              <w:right w:val="nil"/>
            </w:tcBorders>
            <w:noWrap/>
            <w:vAlign w:val="center"/>
            <w:hideMark/>
          </w:tcPr>
          <w:p w14:paraId="03F48FAC"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1</w:t>
            </w:r>
          </w:p>
        </w:tc>
        <w:tc>
          <w:tcPr>
            <w:tcW w:w="1835" w:type="dxa"/>
            <w:tcBorders>
              <w:top w:val="nil"/>
              <w:left w:val="nil"/>
              <w:bottom w:val="nil"/>
              <w:right w:val="nil"/>
            </w:tcBorders>
            <w:noWrap/>
            <w:vAlign w:val="bottom"/>
            <w:hideMark/>
          </w:tcPr>
          <w:p w14:paraId="58386FCE"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(£40,000,000)</w:t>
            </w:r>
          </w:p>
        </w:tc>
        <w:tc>
          <w:tcPr>
            <w:tcW w:w="1491" w:type="dxa"/>
            <w:tcBorders>
              <w:top w:val="nil"/>
              <w:left w:val="nil"/>
              <w:bottom w:val="nil"/>
              <w:right w:val="nil"/>
            </w:tcBorders>
            <w:noWrap/>
            <w:vAlign w:val="bottom"/>
            <w:hideMark/>
          </w:tcPr>
          <w:p w14:paraId="08262621"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(£39,000,000)</w:t>
            </w:r>
          </w:p>
        </w:tc>
        <w:tc>
          <w:tcPr>
            <w:tcW w:w="1491" w:type="dxa"/>
            <w:tcBorders>
              <w:top w:val="nil"/>
              <w:left w:val="nil"/>
              <w:bottom w:val="nil"/>
              <w:right w:val="nil"/>
            </w:tcBorders>
            <w:noWrap/>
            <w:vAlign w:val="bottom"/>
            <w:hideMark/>
          </w:tcPr>
          <w:p w14:paraId="3A916FDE"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(£45,000,000)</w:t>
            </w:r>
          </w:p>
        </w:tc>
        <w:tc>
          <w:tcPr>
            <w:tcW w:w="2621" w:type="dxa"/>
            <w:tcBorders>
              <w:top w:val="nil"/>
              <w:left w:val="nil"/>
              <w:bottom w:val="nil"/>
              <w:right w:val="nil"/>
            </w:tcBorders>
            <w:noWrap/>
            <w:vAlign w:val="bottom"/>
            <w:hideMark/>
          </w:tcPr>
          <w:p w14:paraId="787D741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47EEAE1D" w14:textId="77777777" w:rsidTr="00513E41">
        <w:trPr>
          <w:trHeight w:val="260"/>
        </w:trPr>
        <w:tc>
          <w:tcPr>
            <w:tcW w:w="1894" w:type="dxa"/>
            <w:tcBorders>
              <w:top w:val="nil"/>
              <w:left w:val="nil"/>
              <w:bottom w:val="nil"/>
              <w:right w:val="nil"/>
            </w:tcBorders>
            <w:noWrap/>
            <w:vAlign w:val="center"/>
            <w:hideMark/>
          </w:tcPr>
          <w:p w14:paraId="3DFF6B4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2</w:t>
            </w:r>
          </w:p>
        </w:tc>
        <w:tc>
          <w:tcPr>
            <w:tcW w:w="1835" w:type="dxa"/>
            <w:tcBorders>
              <w:top w:val="nil"/>
              <w:left w:val="nil"/>
              <w:bottom w:val="nil"/>
              <w:right w:val="nil"/>
            </w:tcBorders>
            <w:noWrap/>
            <w:vAlign w:val="bottom"/>
            <w:hideMark/>
          </w:tcPr>
          <w:p w14:paraId="0AC2F21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(£28,000,000)</w:t>
            </w:r>
          </w:p>
        </w:tc>
        <w:tc>
          <w:tcPr>
            <w:tcW w:w="1491" w:type="dxa"/>
            <w:tcBorders>
              <w:top w:val="nil"/>
              <w:left w:val="nil"/>
              <w:bottom w:val="nil"/>
              <w:right w:val="nil"/>
            </w:tcBorders>
            <w:noWrap/>
            <w:vAlign w:val="bottom"/>
            <w:hideMark/>
          </w:tcPr>
          <w:p w14:paraId="73CDFC6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(£28,000,000)</w:t>
            </w:r>
          </w:p>
        </w:tc>
        <w:tc>
          <w:tcPr>
            <w:tcW w:w="1491" w:type="dxa"/>
            <w:tcBorders>
              <w:top w:val="nil"/>
              <w:left w:val="nil"/>
              <w:bottom w:val="nil"/>
              <w:right w:val="nil"/>
            </w:tcBorders>
            <w:noWrap/>
            <w:vAlign w:val="bottom"/>
            <w:hideMark/>
          </w:tcPr>
          <w:p w14:paraId="4059B18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(£35,000,000)</w:t>
            </w:r>
          </w:p>
        </w:tc>
        <w:tc>
          <w:tcPr>
            <w:tcW w:w="2621" w:type="dxa"/>
            <w:tcBorders>
              <w:top w:val="nil"/>
              <w:left w:val="nil"/>
              <w:bottom w:val="nil"/>
              <w:right w:val="nil"/>
            </w:tcBorders>
            <w:noWrap/>
            <w:vAlign w:val="bottom"/>
            <w:hideMark/>
          </w:tcPr>
          <w:p w14:paraId="4BFD1A81"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A recovers by ~Yr4</w:t>
            </w:r>
          </w:p>
        </w:tc>
      </w:tr>
      <w:tr w:rsidR="00513E41" w:rsidRPr="00C50619" w14:paraId="152BCDC5" w14:textId="77777777" w:rsidTr="00513E41">
        <w:trPr>
          <w:trHeight w:val="260"/>
        </w:trPr>
        <w:tc>
          <w:tcPr>
            <w:tcW w:w="1894" w:type="dxa"/>
            <w:tcBorders>
              <w:top w:val="nil"/>
              <w:left w:val="nil"/>
              <w:bottom w:val="nil"/>
              <w:right w:val="nil"/>
            </w:tcBorders>
            <w:noWrap/>
            <w:vAlign w:val="center"/>
            <w:hideMark/>
          </w:tcPr>
          <w:p w14:paraId="2A9A73EA"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3</w:t>
            </w:r>
          </w:p>
        </w:tc>
        <w:tc>
          <w:tcPr>
            <w:tcW w:w="1835" w:type="dxa"/>
            <w:tcBorders>
              <w:top w:val="nil"/>
              <w:left w:val="nil"/>
              <w:bottom w:val="nil"/>
              <w:right w:val="nil"/>
            </w:tcBorders>
            <w:noWrap/>
            <w:vAlign w:val="bottom"/>
            <w:hideMark/>
          </w:tcPr>
          <w:p w14:paraId="025DA8A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(£14,000,000)</w:t>
            </w:r>
          </w:p>
        </w:tc>
        <w:tc>
          <w:tcPr>
            <w:tcW w:w="1491" w:type="dxa"/>
            <w:tcBorders>
              <w:top w:val="nil"/>
              <w:left w:val="nil"/>
              <w:bottom w:val="nil"/>
              <w:right w:val="nil"/>
            </w:tcBorders>
            <w:noWrap/>
            <w:vAlign w:val="bottom"/>
            <w:hideMark/>
          </w:tcPr>
          <w:p w14:paraId="5E1B136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(£17,000,000)</w:t>
            </w:r>
          </w:p>
        </w:tc>
        <w:tc>
          <w:tcPr>
            <w:tcW w:w="1491" w:type="dxa"/>
            <w:tcBorders>
              <w:top w:val="nil"/>
              <w:left w:val="nil"/>
              <w:bottom w:val="nil"/>
              <w:right w:val="nil"/>
            </w:tcBorders>
            <w:noWrap/>
            <w:vAlign w:val="bottom"/>
            <w:hideMark/>
          </w:tcPr>
          <w:p w14:paraId="4FC484B4"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(£15,000,000)</w:t>
            </w:r>
          </w:p>
        </w:tc>
        <w:tc>
          <w:tcPr>
            <w:tcW w:w="2621" w:type="dxa"/>
            <w:tcBorders>
              <w:top w:val="nil"/>
              <w:left w:val="nil"/>
              <w:bottom w:val="nil"/>
              <w:right w:val="nil"/>
            </w:tcBorders>
            <w:noWrap/>
            <w:vAlign w:val="bottom"/>
            <w:hideMark/>
          </w:tcPr>
          <w:p w14:paraId="4123CAE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B recovers by Yr5</w:t>
            </w:r>
          </w:p>
        </w:tc>
      </w:tr>
      <w:tr w:rsidR="00513E41" w:rsidRPr="00C50619" w14:paraId="2ADAD37B" w14:textId="77777777" w:rsidTr="00513E41">
        <w:trPr>
          <w:trHeight w:val="260"/>
        </w:trPr>
        <w:tc>
          <w:tcPr>
            <w:tcW w:w="1894" w:type="dxa"/>
            <w:tcBorders>
              <w:top w:val="nil"/>
              <w:left w:val="nil"/>
              <w:bottom w:val="nil"/>
              <w:right w:val="nil"/>
            </w:tcBorders>
            <w:noWrap/>
            <w:vAlign w:val="center"/>
            <w:hideMark/>
          </w:tcPr>
          <w:p w14:paraId="4C81CDD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4</w:t>
            </w:r>
          </w:p>
        </w:tc>
        <w:tc>
          <w:tcPr>
            <w:tcW w:w="1835" w:type="dxa"/>
            <w:tcBorders>
              <w:top w:val="nil"/>
              <w:left w:val="nil"/>
              <w:bottom w:val="nil"/>
              <w:right w:val="nil"/>
            </w:tcBorders>
            <w:noWrap/>
            <w:vAlign w:val="bottom"/>
            <w:hideMark/>
          </w:tcPr>
          <w:p w14:paraId="2AC291B1"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(£4,000,000)</w:t>
            </w:r>
          </w:p>
        </w:tc>
        <w:tc>
          <w:tcPr>
            <w:tcW w:w="1491" w:type="dxa"/>
            <w:tcBorders>
              <w:top w:val="nil"/>
              <w:left w:val="nil"/>
              <w:bottom w:val="nil"/>
              <w:right w:val="nil"/>
            </w:tcBorders>
            <w:noWrap/>
            <w:vAlign w:val="bottom"/>
            <w:hideMark/>
          </w:tcPr>
          <w:p w14:paraId="055BEBF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(£6,000,000)</w:t>
            </w:r>
          </w:p>
        </w:tc>
        <w:tc>
          <w:tcPr>
            <w:tcW w:w="1491" w:type="dxa"/>
            <w:tcBorders>
              <w:top w:val="nil"/>
              <w:left w:val="nil"/>
              <w:bottom w:val="nil"/>
              <w:right w:val="nil"/>
            </w:tcBorders>
            <w:noWrap/>
            <w:vAlign w:val="bottom"/>
            <w:hideMark/>
          </w:tcPr>
          <w:p w14:paraId="3277890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£10,000,000</w:t>
            </w:r>
          </w:p>
        </w:tc>
        <w:tc>
          <w:tcPr>
            <w:tcW w:w="2621" w:type="dxa"/>
            <w:tcBorders>
              <w:top w:val="nil"/>
              <w:left w:val="nil"/>
              <w:bottom w:val="nil"/>
              <w:right w:val="nil"/>
            </w:tcBorders>
            <w:noWrap/>
            <w:vAlign w:val="bottom"/>
            <w:hideMark/>
          </w:tcPr>
          <w:p w14:paraId="2ED13494"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A fully recovered</w:t>
            </w:r>
          </w:p>
        </w:tc>
      </w:tr>
      <w:tr w:rsidR="00513E41" w:rsidRPr="00C50619" w14:paraId="560F5FA6" w14:textId="77777777" w:rsidTr="00513E41">
        <w:trPr>
          <w:trHeight w:val="260"/>
        </w:trPr>
        <w:tc>
          <w:tcPr>
            <w:tcW w:w="1894" w:type="dxa"/>
            <w:tcBorders>
              <w:top w:val="nil"/>
              <w:left w:val="nil"/>
              <w:bottom w:val="nil"/>
              <w:right w:val="nil"/>
            </w:tcBorders>
            <w:noWrap/>
            <w:vAlign w:val="center"/>
            <w:hideMark/>
          </w:tcPr>
          <w:p w14:paraId="27EFD4A0"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5</w:t>
            </w:r>
          </w:p>
        </w:tc>
        <w:tc>
          <w:tcPr>
            <w:tcW w:w="1835" w:type="dxa"/>
            <w:tcBorders>
              <w:top w:val="nil"/>
              <w:left w:val="nil"/>
              <w:bottom w:val="nil"/>
              <w:right w:val="nil"/>
            </w:tcBorders>
            <w:noWrap/>
            <w:vAlign w:val="bottom"/>
            <w:hideMark/>
          </w:tcPr>
          <w:p w14:paraId="36BCC7C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£4,000,000</w:t>
            </w:r>
          </w:p>
        </w:tc>
        <w:tc>
          <w:tcPr>
            <w:tcW w:w="1491" w:type="dxa"/>
            <w:tcBorders>
              <w:top w:val="nil"/>
              <w:left w:val="nil"/>
              <w:bottom w:val="nil"/>
              <w:right w:val="nil"/>
            </w:tcBorders>
            <w:noWrap/>
            <w:vAlign w:val="bottom"/>
            <w:hideMark/>
          </w:tcPr>
          <w:p w14:paraId="03490C5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w:t>
            </w:r>
          </w:p>
        </w:tc>
        <w:tc>
          <w:tcPr>
            <w:tcW w:w="1491" w:type="dxa"/>
            <w:tcBorders>
              <w:top w:val="nil"/>
              <w:left w:val="nil"/>
              <w:bottom w:val="nil"/>
              <w:right w:val="nil"/>
            </w:tcBorders>
            <w:noWrap/>
            <w:vAlign w:val="bottom"/>
            <w:hideMark/>
          </w:tcPr>
          <w:p w14:paraId="246B206D"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£15,000,000</w:t>
            </w:r>
          </w:p>
        </w:tc>
        <w:tc>
          <w:tcPr>
            <w:tcW w:w="2621" w:type="dxa"/>
            <w:tcBorders>
              <w:top w:val="nil"/>
              <w:left w:val="nil"/>
              <w:bottom w:val="nil"/>
              <w:right w:val="nil"/>
            </w:tcBorders>
            <w:noWrap/>
            <w:vAlign w:val="bottom"/>
            <w:hideMark/>
          </w:tcPr>
          <w:p w14:paraId="3CC7BFA1"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634EAA3C" w14:textId="77777777" w:rsidTr="00513E41">
        <w:trPr>
          <w:trHeight w:val="260"/>
        </w:trPr>
        <w:tc>
          <w:tcPr>
            <w:tcW w:w="1894" w:type="dxa"/>
            <w:tcBorders>
              <w:top w:val="nil"/>
              <w:left w:val="nil"/>
              <w:bottom w:val="nil"/>
              <w:right w:val="nil"/>
            </w:tcBorders>
            <w:noWrap/>
            <w:vAlign w:val="center"/>
            <w:hideMark/>
          </w:tcPr>
          <w:p w14:paraId="26D54D2E"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Payback Period</w:t>
            </w:r>
          </w:p>
        </w:tc>
        <w:tc>
          <w:tcPr>
            <w:tcW w:w="1835" w:type="dxa"/>
            <w:tcBorders>
              <w:top w:val="nil"/>
              <w:left w:val="nil"/>
              <w:bottom w:val="nil"/>
              <w:right w:val="nil"/>
            </w:tcBorders>
            <w:noWrap/>
            <w:vAlign w:val="bottom"/>
            <w:hideMark/>
          </w:tcPr>
          <w:p w14:paraId="5FFEAA70"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 xml:space="preserve">4 yr 6 </w:t>
            </w:r>
            <w:proofErr w:type="spellStart"/>
            <w:r w:rsidRPr="00C50619">
              <w:rPr>
                <w:rFonts w:ascii="Arial" w:eastAsia="Times New Roman" w:hAnsi="Arial" w:cs="Arial"/>
                <w:b/>
                <w:bCs/>
                <w:kern w:val="0"/>
                <w:lang w:val="en-GB"/>
                <w14:ligatures w14:val="none"/>
              </w:rPr>
              <w:t>mo</w:t>
            </w:r>
            <w:proofErr w:type="spellEnd"/>
          </w:p>
        </w:tc>
        <w:tc>
          <w:tcPr>
            <w:tcW w:w="1491" w:type="dxa"/>
            <w:tcBorders>
              <w:top w:val="nil"/>
              <w:left w:val="nil"/>
              <w:bottom w:val="nil"/>
              <w:right w:val="nil"/>
            </w:tcBorders>
            <w:noWrap/>
            <w:vAlign w:val="bottom"/>
            <w:hideMark/>
          </w:tcPr>
          <w:p w14:paraId="47DD6487"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 xml:space="preserve">4 yr 7 </w:t>
            </w:r>
            <w:proofErr w:type="spellStart"/>
            <w:r w:rsidRPr="00C50619">
              <w:rPr>
                <w:rFonts w:ascii="Arial" w:eastAsia="Times New Roman" w:hAnsi="Arial" w:cs="Arial"/>
                <w:b/>
                <w:bCs/>
                <w:kern w:val="0"/>
                <w:lang w:val="en-GB"/>
                <w14:ligatures w14:val="none"/>
              </w:rPr>
              <w:t>mo</w:t>
            </w:r>
            <w:proofErr w:type="spellEnd"/>
          </w:p>
        </w:tc>
        <w:tc>
          <w:tcPr>
            <w:tcW w:w="1491" w:type="dxa"/>
            <w:tcBorders>
              <w:top w:val="nil"/>
              <w:left w:val="nil"/>
              <w:bottom w:val="nil"/>
              <w:right w:val="nil"/>
            </w:tcBorders>
            <w:noWrap/>
            <w:vAlign w:val="bottom"/>
            <w:hideMark/>
          </w:tcPr>
          <w:p w14:paraId="136660B8"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 xml:space="preserve">3 yr 7 </w:t>
            </w:r>
            <w:proofErr w:type="spellStart"/>
            <w:r w:rsidRPr="00C50619">
              <w:rPr>
                <w:rFonts w:ascii="Arial" w:eastAsia="Times New Roman" w:hAnsi="Arial" w:cs="Arial"/>
                <w:b/>
                <w:bCs/>
                <w:kern w:val="0"/>
                <w:lang w:val="en-GB"/>
                <w14:ligatures w14:val="none"/>
              </w:rPr>
              <w:t>mo</w:t>
            </w:r>
            <w:proofErr w:type="spellEnd"/>
          </w:p>
        </w:tc>
        <w:tc>
          <w:tcPr>
            <w:tcW w:w="2621" w:type="dxa"/>
            <w:tcBorders>
              <w:top w:val="nil"/>
              <w:left w:val="nil"/>
              <w:bottom w:val="nil"/>
              <w:right w:val="nil"/>
            </w:tcBorders>
            <w:noWrap/>
            <w:vAlign w:val="bottom"/>
            <w:hideMark/>
          </w:tcPr>
          <w:p w14:paraId="599925DE"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 xml:space="preserve">yr before recovery + (remaining/next yr </w:t>
            </w:r>
            <w:proofErr w:type="spellStart"/>
            <w:r w:rsidRPr="00C50619">
              <w:rPr>
                <w:rFonts w:ascii="Arial" w:eastAsia="Times New Roman" w:hAnsi="Arial" w:cs="Arial"/>
                <w:b/>
                <w:bCs/>
                <w:kern w:val="0"/>
                <w:lang w:val="en-GB"/>
                <w14:ligatures w14:val="none"/>
              </w:rPr>
              <w:t>cf</w:t>
            </w:r>
            <w:proofErr w:type="spellEnd"/>
            <w:r w:rsidRPr="00C50619">
              <w:rPr>
                <w:rFonts w:ascii="Arial" w:eastAsia="Times New Roman" w:hAnsi="Arial" w:cs="Arial"/>
                <w:b/>
                <w:bCs/>
                <w:kern w:val="0"/>
                <w:lang w:val="en-GB"/>
                <w14:ligatures w14:val="none"/>
              </w:rPr>
              <w:t>)</w:t>
            </w:r>
          </w:p>
        </w:tc>
      </w:tr>
      <w:tr w:rsidR="00513E41" w:rsidRPr="00C50619" w14:paraId="15E729FD" w14:textId="77777777" w:rsidTr="00513E41">
        <w:trPr>
          <w:trHeight w:val="304"/>
        </w:trPr>
        <w:tc>
          <w:tcPr>
            <w:tcW w:w="9334" w:type="dxa"/>
            <w:gridSpan w:val="5"/>
            <w:tcBorders>
              <w:top w:val="nil"/>
              <w:left w:val="nil"/>
              <w:bottom w:val="nil"/>
              <w:right w:val="nil"/>
            </w:tcBorders>
            <w:shd w:val="clear" w:color="404040" w:fill="1F3864"/>
            <w:noWrap/>
            <w:vAlign w:val="center"/>
            <w:hideMark/>
          </w:tcPr>
          <w:p w14:paraId="5BE5B1E9"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4: Accounting Rate of Return (ARR)</w:t>
            </w:r>
          </w:p>
        </w:tc>
      </w:tr>
      <w:tr w:rsidR="00513E41" w:rsidRPr="00C50619" w14:paraId="18CC59E8" w14:textId="77777777" w:rsidTr="00513E41">
        <w:trPr>
          <w:trHeight w:val="289"/>
        </w:trPr>
        <w:tc>
          <w:tcPr>
            <w:tcW w:w="1894" w:type="dxa"/>
            <w:tcBorders>
              <w:top w:val="nil"/>
              <w:left w:val="nil"/>
              <w:bottom w:val="nil"/>
              <w:right w:val="nil"/>
            </w:tcBorders>
            <w:shd w:val="clear" w:color="404040" w:fill="1F3864"/>
            <w:noWrap/>
            <w:vAlign w:val="center"/>
            <w:hideMark/>
          </w:tcPr>
          <w:p w14:paraId="6042896D"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Item</w:t>
            </w:r>
          </w:p>
        </w:tc>
        <w:tc>
          <w:tcPr>
            <w:tcW w:w="1835" w:type="dxa"/>
            <w:tcBorders>
              <w:top w:val="nil"/>
              <w:left w:val="nil"/>
              <w:bottom w:val="nil"/>
              <w:right w:val="nil"/>
            </w:tcBorders>
            <w:shd w:val="clear" w:color="4A7EBB" w:fill="2E75B6"/>
            <w:noWrap/>
            <w:vAlign w:val="center"/>
            <w:hideMark/>
          </w:tcPr>
          <w:p w14:paraId="739F157A"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tcBorders>
              <w:top w:val="nil"/>
              <w:left w:val="nil"/>
              <w:bottom w:val="nil"/>
              <w:right w:val="nil"/>
            </w:tcBorders>
            <w:shd w:val="clear" w:color="4A7EBB" w:fill="2E75B6"/>
            <w:noWrap/>
            <w:vAlign w:val="center"/>
            <w:hideMark/>
          </w:tcPr>
          <w:p w14:paraId="3907E554"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tcBorders>
              <w:top w:val="nil"/>
              <w:left w:val="nil"/>
              <w:bottom w:val="nil"/>
              <w:right w:val="nil"/>
            </w:tcBorders>
            <w:shd w:val="clear" w:color="4A7EBB" w:fill="2E75B6"/>
            <w:noWrap/>
            <w:vAlign w:val="center"/>
            <w:hideMark/>
          </w:tcPr>
          <w:p w14:paraId="7EF592AA"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tcBorders>
              <w:top w:val="nil"/>
              <w:left w:val="nil"/>
              <w:bottom w:val="nil"/>
              <w:right w:val="nil"/>
            </w:tcBorders>
            <w:shd w:val="clear" w:color="4A7EBB" w:fill="2E75B6"/>
            <w:noWrap/>
            <w:vAlign w:val="center"/>
            <w:hideMark/>
          </w:tcPr>
          <w:p w14:paraId="2E088B14"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Formula</w:t>
            </w:r>
          </w:p>
        </w:tc>
      </w:tr>
      <w:tr w:rsidR="00513E41" w:rsidRPr="00C50619" w14:paraId="76A2E6CA" w14:textId="77777777" w:rsidTr="00513E41">
        <w:trPr>
          <w:trHeight w:val="260"/>
        </w:trPr>
        <w:tc>
          <w:tcPr>
            <w:tcW w:w="1894" w:type="dxa"/>
            <w:tcBorders>
              <w:top w:val="nil"/>
              <w:left w:val="nil"/>
              <w:bottom w:val="nil"/>
              <w:right w:val="nil"/>
            </w:tcBorders>
            <w:noWrap/>
            <w:vAlign w:val="center"/>
            <w:hideMark/>
          </w:tcPr>
          <w:p w14:paraId="72A1D260"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Average Annual Profit (£)</w:t>
            </w:r>
          </w:p>
        </w:tc>
        <w:tc>
          <w:tcPr>
            <w:tcW w:w="1835" w:type="dxa"/>
            <w:tcBorders>
              <w:top w:val="nil"/>
              <w:left w:val="nil"/>
              <w:bottom w:val="nil"/>
              <w:right w:val="nil"/>
            </w:tcBorders>
            <w:noWrap/>
            <w:vAlign w:val="bottom"/>
            <w:hideMark/>
          </w:tcPr>
          <w:p w14:paraId="4510967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£800,000</w:t>
            </w:r>
          </w:p>
        </w:tc>
        <w:tc>
          <w:tcPr>
            <w:tcW w:w="1491" w:type="dxa"/>
            <w:tcBorders>
              <w:top w:val="nil"/>
              <w:left w:val="nil"/>
              <w:bottom w:val="nil"/>
              <w:right w:val="nil"/>
            </w:tcBorders>
            <w:noWrap/>
            <w:vAlign w:val="bottom"/>
            <w:hideMark/>
          </w:tcPr>
          <w:p w14:paraId="2868911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tcBorders>
              <w:top w:val="nil"/>
              <w:left w:val="nil"/>
              <w:bottom w:val="nil"/>
              <w:right w:val="nil"/>
            </w:tcBorders>
            <w:noWrap/>
            <w:vAlign w:val="bottom"/>
            <w:hideMark/>
          </w:tcPr>
          <w:p w14:paraId="4E922A7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£3,000,000</w:t>
            </w:r>
          </w:p>
        </w:tc>
        <w:tc>
          <w:tcPr>
            <w:tcW w:w="2621" w:type="dxa"/>
            <w:tcBorders>
              <w:top w:val="nil"/>
              <w:left w:val="nil"/>
              <w:bottom w:val="nil"/>
              <w:right w:val="nil"/>
            </w:tcBorders>
            <w:noWrap/>
            <w:vAlign w:val="bottom"/>
            <w:hideMark/>
          </w:tcPr>
          <w:p w14:paraId="587409A5" w14:textId="77777777" w:rsidR="00513E41" w:rsidRPr="00C50619" w:rsidRDefault="00513E41" w:rsidP="00513E41">
            <w:pPr>
              <w:spacing w:after="0" w:line="360" w:lineRule="auto"/>
              <w:jc w:val="right"/>
              <w:rPr>
                <w:rFonts w:ascii="Arial" w:eastAsia="Times New Roman" w:hAnsi="Arial" w:cs="Arial"/>
                <w:i/>
                <w:iCs/>
                <w:color w:val="555555"/>
                <w:kern w:val="0"/>
                <w:lang w:val="en-GB"/>
                <w14:ligatures w14:val="none"/>
              </w:rPr>
            </w:pPr>
            <w:proofErr w:type="spellStart"/>
            <w:r w:rsidRPr="00C50619">
              <w:rPr>
                <w:rFonts w:ascii="Arial" w:eastAsia="Times New Roman" w:hAnsi="Arial" w:cs="Arial"/>
                <w:i/>
                <w:iCs/>
                <w:color w:val="555555"/>
                <w:kern w:val="0"/>
                <w:lang w:val="en-GB"/>
                <w14:ligatures w14:val="none"/>
              </w:rPr>
              <w:t>avg</w:t>
            </w:r>
            <w:proofErr w:type="spellEnd"/>
            <w:r w:rsidRPr="00C50619">
              <w:rPr>
                <w:rFonts w:ascii="Arial" w:eastAsia="Times New Roman" w:hAnsi="Arial" w:cs="Arial"/>
                <w:i/>
                <w:iCs/>
                <w:color w:val="555555"/>
                <w:kern w:val="0"/>
                <w:lang w:val="en-GB"/>
                <w14:ligatures w14:val="none"/>
              </w:rPr>
              <w:t xml:space="preserve"> </w:t>
            </w:r>
            <w:proofErr w:type="spellStart"/>
            <w:r w:rsidRPr="00C50619">
              <w:rPr>
                <w:rFonts w:ascii="Arial" w:eastAsia="Times New Roman" w:hAnsi="Arial" w:cs="Arial"/>
                <w:i/>
                <w:iCs/>
                <w:color w:val="555555"/>
                <w:kern w:val="0"/>
                <w:lang w:val="en-GB"/>
                <w14:ligatures w14:val="none"/>
              </w:rPr>
              <w:t>cf</w:t>
            </w:r>
            <w:proofErr w:type="spellEnd"/>
            <w:r w:rsidRPr="00C50619">
              <w:rPr>
                <w:rFonts w:ascii="Arial" w:eastAsia="Times New Roman" w:hAnsi="Arial" w:cs="Arial"/>
                <w:i/>
                <w:iCs/>
                <w:color w:val="555555"/>
                <w:kern w:val="0"/>
                <w:lang w:val="en-GB"/>
                <w14:ligatures w14:val="none"/>
              </w:rPr>
              <w:t xml:space="preserve"> – Depreciation</w:t>
            </w:r>
          </w:p>
        </w:tc>
      </w:tr>
      <w:tr w:rsidR="00513E41" w:rsidRPr="00C50619" w14:paraId="008DE809" w14:textId="77777777" w:rsidTr="00513E41">
        <w:trPr>
          <w:trHeight w:val="260"/>
        </w:trPr>
        <w:tc>
          <w:tcPr>
            <w:tcW w:w="1894" w:type="dxa"/>
            <w:tcBorders>
              <w:top w:val="nil"/>
              <w:left w:val="nil"/>
              <w:bottom w:val="nil"/>
              <w:right w:val="nil"/>
            </w:tcBorders>
            <w:noWrap/>
            <w:vAlign w:val="center"/>
            <w:hideMark/>
          </w:tcPr>
          <w:p w14:paraId="627CCA2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 xml:space="preserve">Initial Investment </w:t>
            </w:r>
            <w:r w:rsidRPr="00C50619">
              <w:rPr>
                <w:rFonts w:ascii="Arial" w:eastAsia="Times New Roman" w:hAnsi="Arial" w:cs="Arial"/>
                <w:color w:val="000000"/>
                <w:kern w:val="0"/>
                <w:lang w:val="en-GB"/>
                <w14:ligatures w14:val="none"/>
              </w:rPr>
              <w:lastRenderedPageBreak/>
              <w:t>(£)</w:t>
            </w:r>
          </w:p>
        </w:tc>
        <w:tc>
          <w:tcPr>
            <w:tcW w:w="1835" w:type="dxa"/>
            <w:tcBorders>
              <w:top w:val="nil"/>
              <w:left w:val="nil"/>
              <w:bottom w:val="nil"/>
              <w:right w:val="nil"/>
            </w:tcBorders>
            <w:noWrap/>
            <w:vAlign w:val="bottom"/>
            <w:hideMark/>
          </w:tcPr>
          <w:p w14:paraId="6863C38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lastRenderedPageBreak/>
              <w:t>£50,000,000</w:t>
            </w:r>
          </w:p>
        </w:tc>
        <w:tc>
          <w:tcPr>
            <w:tcW w:w="1491" w:type="dxa"/>
            <w:tcBorders>
              <w:top w:val="nil"/>
              <w:left w:val="nil"/>
              <w:bottom w:val="nil"/>
              <w:right w:val="nil"/>
            </w:tcBorders>
            <w:noWrap/>
            <w:vAlign w:val="bottom"/>
            <w:hideMark/>
          </w:tcPr>
          <w:p w14:paraId="56512D4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1491" w:type="dxa"/>
            <w:tcBorders>
              <w:top w:val="nil"/>
              <w:left w:val="nil"/>
              <w:bottom w:val="nil"/>
              <w:right w:val="nil"/>
            </w:tcBorders>
            <w:noWrap/>
            <w:vAlign w:val="bottom"/>
            <w:hideMark/>
          </w:tcPr>
          <w:p w14:paraId="03437DE0"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2621" w:type="dxa"/>
            <w:tcBorders>
              <w:top w:val="nil"/>
              <w:left w:val="nil"/>
              <w:bottom w:val="nil"/>
              <w:right w:val="nil"/>
            </w:tcBorders>
            <w:noWrap/>
            <w:vAlign w:val="bottom"/>
            <w:hideMark/>
          </w:tcPr>
          <w:p w14:paraId="4F40B5DE" w14:textId="77777777" w:rsidR="00513E41" w:rsidRPr="00C50619" w:rsidRDefault="00513E41" w:rsidP="00513E41">
            <w:pPr>
              <w:spacing w:after="0" w:line="360" w:lineRule="auto"/>
              <w:jc w:val="right"/>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Given</w:t>
            </w:r>
          </w:p>
        </w:tc>
      </w:tr>
      <w:tr w:rsidR="00513E41" w:rsidRPr="00C50619" w14:paraId="51B3084E" w14:textId="77777777" w:rsidTr="00513E41">
        <w:trPr>
          <w:trHeight w:val="260"/>
        </w:trPr>
        <w:tc>
          <w:tcPr>
            <w:tcW w:w="1894" w:type="dxa"/>
            <w:tcBorders>
              <w:top w:val="nil"/>
              <w:left w:val="nil"/>
              <w:bottom w:val="nil"/>
              <w:right w:val="nil"/>
            </w:tcBorders>
            <w:noWrap/>
            <w:vAlign w:val="center"/>
            <w:hideMark/>
          </w:tcPr>
          <w:p w14:paraId="5F0B585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Average Investment (£)</w:t>
            </w:r>
          </w:p>
        </w:tc>
        <w:tc>
          <w:tcPr>
            <w:tcW w:w="1835" w:type="dxa"/>
            <w:tcBorders>
              <w:top w:val="nil"/>
              <w:left w:val="nil"/>
              <w:bottom w:val="nil"/>
              <w:right w:val="nil"/>
            </w:tcBorders>
            <w:noWrap/>
            <w:vAlign w:val="bottom"/>
            <w:hideMark/>
          </w:tcPr>
          <w:p w14:paraId="5148EEDA"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£25,000,000</w:t>
            </w:r>
          </w:p>
        </w:tc>
        <w:tc>
          <w:tcPr>
            <w:tcW w:w="1491" w:type="dxa"/>
            <w:tcBorders>
              <w:top w:val="nil"/>
              <w:left w:val="nil"/>
              <w:bottom w:val="nil"/>
              <w:right w:val="nil"/>
            </w:tcBorders>
            <w:noWrap/>
            <w:vAlign w:val="bottom"/>
            <w:hideMark/>
          </w:tcPr>
          <w:p w14:paraId="7600000D"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£25,000,000</w:t>
            </w:r>
          </w:p>
        </w:tc>
        <w:tc>
          <w:tcPr>
            <w:tcW w:w="1491" w:type="dxa"/>
            <w:tcBorders>
              <w:top w:val="nil"/>
              <w:left w:val="nil"/>
              <w:bottom w:val="nil"/>
              <w:right w:val="nil"/>
            </w:tcBorders>
            <w:noWrap/>
            <w:vAlign w:val="bottom"/>
            <w:hideMark/>
          </w:tcPr>
          <w:p w14:paraId="790EF14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£25,000,000</w:t>
            </w:r>
          </w:p>
        </w:tc>
        <w:tc>
          <w:tcPr>
            <w:tcW w:w="2621" w:type="dxa"/>
            <w:tcBorders>
              <w:top w:val="nil"/>
              <w:left w:val="nil"/>
              <w:bottom w:val="nil"/>
              <w:right w:val="nil"/>
            </w:tcBorders>
            <w:noWrap/>
            <w:vAlign w:val="bottom"/>
            <w:hideMark/>
          </w:tcPr>
          <w:p w14:paraId="4D4B02B0" w14:textId="77777777" w:rsidR="00513E41" w:rsidRPr="00C50619" w:rsidRDefault="00513E41" w:rsidP="00513E41">
            <w:pPr>
              <w:spacing w:after="0" w:line="360" w:lineRule="auto"/>
              <w:jc w:val="right"/>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 xml:space="preserve">(initial+0)/2 </w:t>
            </w:r>
            <w:proofErr w:type="spellStart"/>
            <w:r w:rsidRPr="00C50619">
              <w:rPr>
                <w:rFonts w:ascii="Arial" w:eastAsia="Times New Roman" w:hAnsi="Arial" w:cs="Arial"/>
                <w:i/>
                <w:iCs/>
                <w:color w:val="555555"/>
                <w:kern w:val="0"/>
                <w:lang w:val="en-GB"/>
                <w14:ligatures w14:val="none"/>
              </w:rPr>
              <w:t>sl</w:t>
            </w:r>
            <w:proofErr w:type="spellEnd"/>
            <w:r w:rsidRPr="00C50619">
              <w:rPr>
                <w:rFonts w:ascii="Arial" w:eastAsia="Times New Roman" w:hAnsi="Arial" w:cs="Arial"/>
                <w:i/>
                <w:iCs/>
                <w:color w:val="555555"/>
                <w:kern w:val="0"/>
                <w:lang w:val="en-GB"/>
                <w14:ligatures w14:val="none"/>
              </w:rPr>
              <w:t xml:space="preserve"> </w:t>
            </w:r>
            <w:proofErr w:type="spellStart"/>
            <w:r w:rsidRPr="00C50619">
              <w:rPr>
                <w:rFonts w:ascii="Arial" w:eastAsia="Times New Roman" w:hAnsi="Arial" w:cs="Arial"/>
                <w:i/>
                <w:iCs/>
                <w:color w:val="555555"/>
                <w:kern w:val="0"/>
                <w:lang w:val="en-GB"/>
                <w14:ligatures w14:val="none"/>
              </w:rPr>
              <w:t>depn</w:t>
            </w:r>
            <w:proofErr w:type="spellEnd"/>
          </w:p>
        </w:tc>
      </w:tr>
      <w:tr w:rsidR="00513E41" w:rsidRPr="00C50619" w14:paraId="02F73101" w14:textId="77777777" w:rsidTr="00513E41">
        <w:trPr>
          <w:trHeight w:val="260"/>
        </w:trPr>
        <w:tc>
          <w:tcPr>
            <w:tcW w:w="1894" w:type="dxa"/>
            <w:tcBorders>
              <w:top w:val="nil"/>
              <w:left w:val="nil"/>
              <w:bottom w:val="nil"/>
              <w:right w:val="nil"/>
            </w:tcBorders>
            <w:noWrap/>
            <w:vAlign w:val="center"/>
            <w:hideMark/>
          </w:tcPr>
          <w:p w14:paraId="5C528787"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 xml:space="preserve">ARR (on </w:t>
            </w:r>
            <w:proofErr w:type="spellStart"/>
            <w:r w:rsidRPr="00C50619">
              <w:rPr>
                <w:rFonts w:ascii="Arial" w:eastAsia="Times New Roman" w:hAnsi="Arial" w:cs="Arial"/>
                <w:b/>
                <w:bCs/>
                <w:color w:val="000000"/>
                <w:kern w:val="0"/>
                <w:lang w:val="en-GB"/>
                <w14:ligatures w14:val="none"/>
              </w:rPr>
              <w:t>Avg</w:t>
            </w:r>
            <w:proofErr w:type="spellEnd"/>
            <w:r w:rsidRPr="00C50619">
              <w:rPr>
                <w:rFonts w:ascii="Arial" w:eastAsia="Times New Roman" w:hAnsi="Arial" w:cs="Arial"/>
                <w:b/>
                <w:bCs/>
                <w:color w:val="000000"/>
                <w:kern w:val="0"/>
                <w:lang w:val="en-GB"/>
                <w14:ligatures w14:val="none"/>
              </w:rPr>
              <w:t xml:space="preserve"> Investment)</w:t>
            </w:r>
          </w:p>
        </w:tc>
        <w:tc>
          <w:tcPr>
            <w:tcW w:w="1835" w:type="dxa"/>
            <w:tcBorders>
              <w:top w:val="nil"/>
              <w:left w:val="nil"/>
              <w:bottom w:val="nil"/>
              <w:right w:val="nil"/>
            </w:tcBorders>
            <w:noWrap/>
            <w:vAlign w:val="bottom"/>
            <w:hideMark/>
          </w:tcPr>
          <w:p w14:paraId="65263529"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3.2%</w:t>
            </w:r>
          </w:p>
        </w:tc>
        <w:tc>
          <w:tcPr>
            <w:tcW w:w="1491" w:type="dxa"/>
            <w:tcBorders>
              <w:top w:val="nil"/>
              <w:left w:val="nil"/>
              <w:bottom w:val="nil"/>
              <w:right w:val="nil"/>
            </w:tcBorders>
            <w:noWrap/>
            <w:vAlign w:val="bottom"/>
            <w:hideMark/>
          </w:tcPr>
          <w:p w14:paraId="05D24E0C"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4.0%</w:t>
            </w:r>
          </w:p>
        </w:tc>
        <w:tc>
          <w:tcPr>
            <w:tcW w:w="1491" w:type="dxa"/>
            <w:tcBorders>
              <w:top w:val="nil"/>
              <w:left w:val="nil"/>
              <w:bottom w:val="nil"/>
              <w:right w:val="nil"/>
            </w:tcBorders>
            <w:noWrap/>
            <w:vAlign w:val="bottom"/>
            <w:hideMark/>
          </w:tcPr>
          <w:p w14:paraId="7008E844"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12.0%</w:t>
            </w:r>
          </w:p>
        </w:tc>
        <w:tc>
          <w:tcPr>
            <w:tcW w:w="2621" w:type="dxa"/>
            <w:tcBorders>
              <w:top w:val="nil"/>
              <w:left w:val="nil"/>
              <w:bottom w:val="nil"/>
              <w:right w:val="nil"/>
            </w:tcBorders>
            <w:noWrap/>
            <w:vAlign w:val="bottom"/>
            <w:hideMark/>
          </w:tcPr>
          <w:p w14:paraId="20C3649A" w14:textId="77777777" w:rsidR="00513E41" w:rsidRPr="00C50619" w:rsidRDefault="00513E41" w:rsidP="00513E41">
            <w:pPr>
              <w:spacing w:after="0" w:line="360" w:lineRule="auto"/>
              <w:jc w:val="right"/>
              <w:rPr>
                <w:rFonts w:ascii="Arial" w:eastAsia="Times New Roman" w:hAnsi="Arial" w:cs="Arial"/>
                <w:i/>
                <w:iCs/>
                <w:color w:val="555555"/>
                <w:kern w:val="0"/>
                <w:lang w:val="en-GB"/>
                <w14:ligatures w14:val="none"/>
              </w:rPr>
            </w:pPr>
            <w:proofErr w:type="spellStart"/>
            <w:r w:rsidRPr="00C50619">
              <w:rPr>
                <w:rFonts w:ascii="Arial" w:eastAsia="Times New Roman" w:hAnsi="Arial" w:cs="Arial"/>
                <w:i/>
                <w:iCs/>
                <w:color w:val="555555"/>
                <w:kern w:val="0"/>
                <w:lang w:val="en-GB"/>
                <w14:ligatures w14:val="none"/>
              </w:rPr>
              <w:t>avg</w:t>
            </w:r>
            <w:proofErr w:type="spellEnd"/>
            <w:r w:rsidRPr="00C50619">
              <w:rPr>
                <w:rFonts w:ascii="Arial" w:eastAsia="Times New Roman" w:hAnsi="Arial" w:cs="Arial"/>
                <w:i/>
                <w:iCs/>
                <w:color w:val="555555"/>
                <w:kern w:val="0"/>
                <w:lang w:val="en-GB"/>
                <w14:ligatures w14:val="none"/>
              </w:rPr>
              <w:t xml:space="preserve"> annual profit / </w:t>
            </w:r>
            <w:proofErr w:type="spellStart"/>
            <w:r w:rsidRPr="00C50619">
              <w:rPr>
                <w:rFonts w:ascii="Arial" w:eastAsia="Times New Roman" w:hAnsi="Arial" w:cs="Arial"/>
                <w:i/>
                <w:iCs/>
                <w:color w:val="555555"/>
                <w:kern w:val="0"/>
                <w:lang w:val="en-GB"/>
                <w14:ligatures w14:val="none"/>
              </w:rPr>
              <w:t>avg</w:t>
            </w:r>
            <w:proofErr w:type="spellEnd"/>
            <w:r w:rsidRPr="00C50619">
              <w:rPr>
                <w:rFonts w:ascii="Arial" w:eastAsia="Times New Roman" w:hAnsi="Arial" w:cs="Arial"/>
                <w:i/>
                <w:iCs/>
                <w:color w:val="555555"/>
                <w:kern w:val="0"/>
                <w:lang w:val="en-GB"/>
                <w14:ligatures w14:val="none"/>
              </w:rPr>
              <w:t xml:space="preserve"> investment</w:t>
            </w:r>
          </w:p>
        </w:tc>
      </w:tr>
      <w:tr w:rsidR="00513E41" w:rsidRPr="00C50619" w14:paraId="39E2F12F" w14:textId="77777777" w:rsidTr="00513E41">
        <w:trPr>
          <w:trHeight w:val="304"/>
        </w:trPr>
        <w:tc>
          <w:tcPr>
            <w:tcW w:w="9334" w:type="dxa"/>
            <w:gridSpan w:val="5"/>
            <w:tcBorders>
              <w:top w:val="nil"/>
              <w:left w:val="nil"/>
              <w:bottom w:val="nil"/>
              <w:right w:val="nil"/>
            </w:tcBorders>
            <w:shd w:val="clear" w:color="404040" w:fill="1F3864"/>
            <w:noWrap/>
            <w:vAlign w:val="center"/>
            <w:hideMark/>
          </w:tcPr>
          <w:p w14:paraId="601FAAA9"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5: Net Present Value (NPV) — Discount Rate 10%</w:t>
            </w:r>
          </w:p>
        </w:tc>
      </w:tr>
      <w:tr w:rsidR="00513E41" w:rsidRPr="00C50619" w14:paraId="2246E57A" w14:textId="77777777" w:rsidTr="00513E41">
        <w:trPr>
          <w:trHeight w:val="304"/>
        </w:trPr>
        <w:tc>
          <w:tcPr>
            <w:tcW w:w="1894" w:type="dxa"/>
            <w:tcBorders>
              <w:top w:val="nil"/>
              <w:left w:val="nil"/>
              <w:bottom w:val="nil"/>
              <w:right w:val="nil"/>
            </w:tcBorders>
            <w:shd w:val="clear" w:color="404040" w:fill="1F3864"/>
            <w:noWrap/>
            <w:vAlign w:val="center"/>
            <w:hideMark/>
          </w:tcPr>
          <w:p w14:paraId="524B761C"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Year</w:t>
            </w:r>
          </w:p>
        </w:tc>
        <w:tc>
          <w:tcPr>
            <w:tcW w:w="1835" w:type="dxa"/>
            <w:tcBorders>
              <w:top w:val="nil"/>
              <w:left w:val="nil"/>
              <w:bottom w:val="nil"/>
              <w:right w:val="nil"/>
            </w:tcBorders>
            <w:shd w:val="clear" w:color="4A7EBB" w:fill="2E75B6"/>
            <w:noWrap/>
            <w:vAlign w:val="center"/>
            <w:hideMark/>
          </w:tcPr>
          <w:p w14:paraId="33FEE870"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Discount Factor</w:t>
            </w:r>
          </w:p>
        </w:tc>
        <w:tc>
          <w:tcPr>
            <w:tcW w:w="1491" w:type="dxa"/>
            <w:tcBorders>
              <w:top w:val="nil"/>
              <w:left w:val="nil"/>
              <w:bottom w:val="nil"/>
              <w:right w:val="nil"/>
            </w:tcBorders>
            <w:shd w:val="clear" w:color="4A7EBB" w:fill="2E75B6"/>
            <w:noWrap/>
            <w:vAlign w:val="center"/>
            <w:hideMark/>
          </w:tcPr>
          <w:p w14:paraId="5527E97A"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PV Project A</w:t>
            </w:r>
          </w:p>
        </w:tc>
        <w:tc>
          <w:tcPr>
            <w:tcW w:w="1491" w:type="dxa"/>
            <w:tcBorders>
              <w:top w:val="nil"/>
              <w:left w:val="nil"/>
              <w:bottom w:val="nil"/>
              <w:right w:val="nil"/>
            </w:tcBorders>
            <w:shd w:val="clear" w:color="4A7EBB" w:fill="2E75B6"/>
            <w:noWrap/>
            <w:vAlign w:val="center"/>
            <w:hideMark/>
          </w:tcPr>
          <w:p w14:paraId="7734D086"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PV Project B</w:t>
            </w:r>
          </w:p>
        </w:tc>
        <w:tc>
          <w:tcPr>
            <w:tcW w:w="2621" w:type="dxa"/>
            <w:tcBorders>
              <w:top w:val="nil"/>
              <w:left w:val="nil"/>
              <w:bottom w:val="nil"/>
              <w:right w:val="nil"/>
            </w:tcBorders>
            <w:shd w:val="clear" w:color="4A7EBB" w:fill="2E75B6"/>
            <w:noWrap/>
            <w:vAlign w:val="center"/>
            <w:hideMark/>
          </w:tcPr>
          <w:p w14:paraId="40309167"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PV Project C</w:t>
            </w:r>
          </w:p>
        </w:tc>
      </w:tr>
      <w:tr w:rsidR="00513E41" w:rsidRPr="00C50619" w14:paraId="02F8923F" w14:textId="77777777" w:rsidTr="00513E41">
        <w:trPr>
          <w:trHeight w:val="260"/>
        </w:trPr>
        <w:tc>
          <w:tcPr>
            <w:tcW w:w="1894" w:type="dxa"/>
            <w:tcBorders>
              <w:top w:val="nil"/>
              <w:left w:val="nil"/>
              <w:bottom w:val="nil"/>
              <w:right w:val="nil"/>
            </w:tcBorders>
            <w:noWrap/>
            <w:vAlign w:val="center"/>
            <w:hideMark/>
          </w:tcPr>
          <w:p w14:paraId="14DE309F"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0 (Investment)</w:t>
            </w:r>
          </w:p>
        </w:tc>
        <w:tc>
          <w:tcPr>
            <w:tcW w:w="1835" w:type="dxa"/>
            <w:tcBorders>
              <w:top w:val="nil"/>
              <w:left w:val="nil"/>
              <w:bottom w:val="nil"/>
              <w:right w:val="nil"/>
            </w:tcBorders>
            <w:noWrap/>
            <w:vAlign w:val="bottom"/>
            <w:hideMark/>
          </w:tcPr>
          <w:p w14:paraId="2AFBF930"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1.00000</w:t>
            </w:r>
          </w:p>
        </w:tc>
        <w:tc>
          <w:tcPr>
            <w:tcW w:w="1491" w:type="dxa"/>
            <w:tcBorders>
              <w:top w:val="nil"/>
              <w:left w:val="nil"/>
              <w:bottom w:val="nil"/>
              <w:right w:val="nil"/>
            </w:tcBorders>
            <w:noWrap/>
            <w:vAlign w:val="bottom"/>
            <w:hideMark/>
          </w:tcPr>
          <w:p w14:paraId="1F936D7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1491" w:type="dxa"/>
            <w:tcBorders>
              <w:top w:val="nil"/>
              <w:left w:val="nil"/>
              <w:bottom w:val="nil"/>
              <w:right w:val="nil"/>
            </w:tcBorders>
            <w:noWrap/>
            <w:vAlign w:val="bottom"/>
            <w:hideMark/>
          </w:tcPr>
          <w:p w14:paraId="75DB75E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2621" w:type="dxa"/>
            <w:tcBorders>
              <w:top w:val="nil"/>
              <w:left w:val="nil"/>
              <w:bottom w:val="nil"/>
              <w:right w:val="nil"/>
            </w:tcBorders>
            <w:noWrap/>
            <w:vAlign w:val="bottom"/>
            <w:hideMark/>
          </w:tcPr>
          <w:p w14:paraId="7F47DD0F"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r>
      <w:tr w:rsidR="00513E41" w:rsidRPr="00C50619" w14:paraId="42A00DDA" w14:textId="77777777" w:rsidTr="00513E41">
        <w:trPr>
          <w:trHeight w:val="260"/>
        </w:trPr>
        <w:tc>
          <w:tcPr>
            <w:tcW w:w="1894" w:type="dxa"/>
            <w:tcBorders>
              <w:top w:val="nil"/>
              <w:left w:val="nil"/>
              <w:bottom w:val="nil"/>
              <w:right w:val="nil"/>
            </w:tcBorders>
            <w:noWrap/>
            <w:vAlign w:val="center"/>
            <w:hideMark/>
          </w:tcPr>
          <w:p w14:paraId="150F2FDD"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1</w:t>
            </w:r>
          </w:p>
        </w:tc>
        <w:tc>
          <w:tcPr>
            <w:tcW w:w="1835" w:type="dxa"/>
            <w:tcBorders>
              <w:top w:val="nil"/>
              <w:left w:val="nil"/>
              <w:bottom w:val="nil"/>
              <w:right w:val="nil"/>
            </w:tcBorders>
            <w:noWrap/>
            <w:vAlign w:val="bottom"/>
            <w:hideMark/>
          </w:tcPr>
          <w:p w14:paraId="02ABF4E0"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0.90909</w:t>
            </w:r>
          </w:p>
        </w:tc>
        <w:tc>
          <w:tcPr>
            <w:tcW w:w="1491" w:type="dxa"/>
            <w:tcBorders>
              <w:top w:val="nil"/>
              <w:left w:val="nil"/>
              <w:bottom w:val="nil"/>
              <w:right w:val="nil"/>
            </w:tcBorders>
            <w:noWrap/>
            <w:vAlign w:val="bottom"/>
            <w:hideMark/>
          </w:tcPr>
          <w:p w14:paraId="19DDF9B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£9,090,909</w:t>
            </w:r>
          </w:p>
        </w:tc>
        <w:tc>
          <w:tcPr>
            <w:tcW w:w="1491" w:type="dxa"/>
            <w:tcBorders>
              <w:top w:val="nil"/>
              <w:left w:val="nil"/>
              <w:bottom w:val="nil"/>
              <w:right w:val="nil"/>
            </w:tcBorders>
            <w:noWrap/>
            <w:vAlign w:val="bottom"/>
            <w:hideMark/>
          </w:tcPr>
          <w:p w14:paraId="73C187C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£10,000,000</w:t>
            </w:r>
          </w:p>
        </w:tc>
        <w:tc>
          <w:tcPr>
            <w:tcW w:w="2621" w:type="dxa"/>
            <w:tcBorders>
              <w:top w:val="nil"/>
              <w:left w:val="nil"/>
              <w:bottom w:val="nil"/>
              <w:right w:val="nil"/>
            </w:tcBorders>
            <w:noWrap/>
            <w:vAlign w:val="bottom"/>
            <w:hideMark/>
          </w:tcPr>
          <w:p w14:paraId="62827A70"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£4,545,455</w:t>
            </w:r>
          </w:p>
        </w:tc>
      </w:tr>
      <w:tr w:rsidR="00513E41" w:rsidRPr="00C50619" w14:paraId="43A84DA3" w14:textId="77777777" w:rsidTr="00513E41">
        <w:trPr>
          <w:trHeight w:val="260"/>
        </w:trPr>
        <w:tc>
          <w:tcPr>
            <w:tcW w:w="1894" w:type="dxa"/>
            <w:tcBorders>
              <w:top w:val="nil"/>
              <w:left w:val="nil"/>
              <w:bottom w:val="nil"/>
              <w:right w:val="nil"/>
            </w:tcBorders>
            <w:noWrap/>
            <w:vAlign w:val="center"/>
            <w:hideMark/>
          </w:tcPr>
          <w:p w14:paraId="11404501"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2</w:t>
            </w:r>
          </w:p>
        </w:tc>
        <w:tc>
          <w:tcPr>
            <w:tcW w:w="1835" w:type="dxa"/>
            <w:tcBorders>
              <w:top w:val="nil"/>
              <w:left w:val="nil"/>
              <w:bottom w:val="nil"/>
              <w:right w:val="nil"/>
            </w:tcBorders>
            <w:noWrap/>
            <w:vAlign w:val="bottom"/>
            <w:hideMark/>
          </w:tcPr>
          <w:p w14:paraId="69A404E9"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0.82645</w:t>
            </w:r>
          </w:p>
        </w:tc>
        <w:tc>
          <w:tcPr>
            <w:tcW w:w="1491" w:type="dxa"/>
            <w:tcBorders>
              <w:top w:val="nil"/>
              <w:left w:val="nil"/>
              <w:bottom w:val="nil"/>
              <w:right w:val="nil"/>
            </w:tcBorders>
            <w:noWrap/>
            <w:vAlign w:val="bottom"/>
            <w:hideMark/>
          </w:tcPr>
          <w:p w14:paraId="545D5EC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£9,917,355</w:t>
            </w:r>
          </w:p>
        </w:tc>
        <w:tc>
          <w:tcPr>
            <w:tcW w:w="1491" w:type="dxa"/>
            <w:tcBorders>
              <w:top w:val="nil"/>
              <w:left w:val="nil"/>
              <w:bottom w:val="nil"/>
              <w:right w:val="nil"/>
            </w:tcBorders>
            <w:noWrap/>
            <w:vAlign w:val="bottom"/>
            <w:hideMark/>
          </w:tcPr>
          <w:p w14:paraId="1D099CA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£9,090,909</w:t>
            </w:r>
          </w:p>
        </w:tc>
        <w:tc>
          <w:tcPr>
            <w:tcW w:w="2621" w:type="dxa"/>
            <w:tcBorders>
              <w:top w:val="nil"/>
              <w:left w:val="nil"/>
              <w:bottom w:val="nil"/>
              <w:right w:val="nil"/>
            </w:tcBorders>
            <w:noWrap/>
            <w:vAlign w:val="bottom"/>
            <w:hideMark/>
          </w:tcPr>
          <w:p w14:paraId="14CAD05D"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£8,264,463</w:t>
            </w:r>
          </w:p>
        </w:tc>
      </w:tr>
      <w:tr w:rsidR="00513E41" w:rsidRPr="00C50619" w14:paraId="3340901B" w14:textId="77777777" w:rsidTr="00513E41">
        <w:trPr>
          <w:trHeight w:val="260"/>
        </w:trPr>
        <w:tc>
          <w:tcPr>
            <w:tcW w:w="1894" w:type="dxa"/>
            <w:tcBorders>
              <w:top w:val="nil"/>
              <w:left w:val="nil"/>
              <w:bottom w:val="nil"/>
              <w:right w:val="nil"/>
            </w:tcBorders>
            <w:noWrap/>
            <w:vAlign w:val="center"/>
            <w:hideMark/>
          </w:tcPr>
          <w:p w14:paraId="2AB7357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3</w:t>
            </w:r>
          </w:p>
        </w:tc>
        <w:tc>
          <w:tcPr>
            <w:tcW w:w="1835" w:type="dxa"/>
            <w:tcBorders>
              <w:top w:val="nil"/>
              <w:left w:val="nil"/>
              <w:bottom w:val="nil"/>
              <w:right w:val="nil"/>
            </w:tcBorders>
            <w:noWrap/>
            <w:vAlign w:val="bottom"/>
            <w:hideMark/>
          </w:tcPr>
          <w:p w14:paraId="518BDCFE"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0.75131</w:t>
            </w:r>
          </w:p>
        </w:tc>
        <w:tc>
          <w:tcPr>
            <w:tcW w:w="1491" w:type="dxa"/>
            <w:tcBorders>
              <w:top w:val="nil"/>
              <w:left w:val="nil"/>
              <w:bottom w:val="nil"/>
              <w:right w:val="nil"/>
            </w:tcBorders>
            <w:noWrap/>
            <w:vAlign w:val="bottom"/>
            <w:hideMark/>
          </w:tcPr>
          <w:p w14:paraId="7DA9DB4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£10,518,407</w:t>
            </w:r>
          </w:p>
        </w:tc>
        <w:tc>
          <w:tcPr>
            <w:tcW w:w="1491" w:type="dxa"/>
            <w:tcBorders>
              <w:top w:val="nil"/>
              <w:left w:val="nil"/>
              <w:bottom w:val="nil"/>
              <w:right w:val="nil"/>
            </w:tcBorders>
            <w:noWrap/>
            <w:vAlign w:val="bottom"/>
            <w:hideMark/>
          </w:tcPr>
          <w:p w14:paraId="784E3F4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£8,264,463</w:t>
            </w:r>
          </w:p>
        </w:tc>
        <w:tc>
          <w:tcPr>
            <w:tcW w:w="2621" w:type="dxa"/>
            <w:tcBorders>
              <w:top w:val="nil"/>
              <w:left w:val="nil"/>
              <w:bottom w:val="nil"/>
              <w:right w:val="nil"/>
            </w:tcBorders>
            <w:noWrap/>
            <w:vAlign w:val="bottom"/>
            <w:hideMark/>
          </w:tcPr>
          <w:p w14:paraId="6CDE9D2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£15,026,296</w:t>
            </w:r>
          </w:p>
        </w:tc>
      </w:tr>
      <w:tr w:rsidR="00513E41" w:rsidRPr="00C50619" w14:paraId="57F4E59F" w14:textId="77777777" w:rsidTr="00513E41">
        <w:trPr>
          <w:trHeight w:val="260"/>
        </w:trPr>
        <w:tc>
          <w:tcPr>
            <w:tcW w:w="1894" w:type="dxa"/>
            <w:tcBorders>
              <w:top w:val="nil"/>
              <w:left w:val="nil"/>
              <w:bottom w:val="nil"/>
              <w:right w:val="nil"/>
            </w:tcBorders>
            <w:noWrap/>
            <w:vAlign w:val="center"/>
            <w:hideMark/>
          </w:tcPr>
          <w:p w14:paraId="4EE51DAC"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4</w:t>
            </w:r>
          </w:p>
        </w:tc>
        <w:tc>
          <w:tcPr>
            <w:tcW w:w="1835" w:type="dxa"/>
            <w:tcBorders>
              <w:top w:val="nil"/>
              <w:left w:val="nil"/>
              <w:bottom w:val="nil"/>
              <w:right w:val="nil"/>
            </w:tcBorders>
            <w:noWrap/>
            <w:vAlign w:val="bottom"/>
            <w:hideMark/>
          </w:tcPr>
          <w:p w14:paraId="46B01C5C"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0.68301</w:t>
            </w:r>
          </w:p>
        </w:tc>
        <w:tc>
          <w:tcPr>
            <w:tcW w:w="1491" w:type="dxa"/>
            <w:tcBorders>
              <w:top w:val="nil"/>
              <w:left w:val="nil"/>
              <w:bottom w:val="nil"/>
              <w:right w:val="nil"/>
            </w:tcBorders>
            <w:noWrap/>
            <w:vAlign w:val="bottom"/>
            <w:hideMark/>
          </w:tcPr>
          <w:p w14:paraId="6D3CDD3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£6,830,135</w:t>
            </w:r>
          </w:p>
        </w:tc>
        <w:tc>
          <w:tcPr>
            <w:tcW w:w="1491" w:type="dxa"/>
            <w:tcBorders>
              <w:top w:val="nil"/>
              <w:left w:val="nil"/>
              <w:bottom w:val="nil"/>
              <w:right w:val="nil"/>
            </w:tcBorders>
            <w:noWrap/>
            <w:vAlign w:val="bottom"/>
            <w:hideMark/>
          </w:tcPr>
          <w:p w14:paraId="52FEB6F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£7,513,148</w:t>
            </w:r>
          </w:p>
        </w:tc>
        <w:tc>
          <w:tcPr>
            <w:tcW w:w="2621" w:type="dxa"/>
            <w:tcBorders>
              <w:top w:val="nil"/>
              <w:left w:val="nil"/>
              <w:bottom w:val="nil"/>
              <w:right w:val="nil"/>
            </w:tcBorders>
            <w:noWrap/>
            <w:vAlign w:val="bottom"/>
            <w:hideMark/>
          </w:tcPr>
          <w:p w14:paraId="10BDAF2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£17,075,336</w:t>
            </w:r>
          </w:p>
        </w:tc>
      </w:tr>
      <w:tr w:rsidR="00513E41" w:rsidRPr="00C50619" w14:paraId="72B2E0E4" w14:textId="77777777" w:rsidTr="00513E41">
        <w:trPr>
          <w:trHeight w:val="260"/>
        </w:trPr>
        <w:tc>
          <w:tcPr>
            <w:tcW w:w="1894" w:type="dxa"/>
            <w:tcBorders>
              <w:top w:val="nil"/>
              <w:left w:val="nil"/>
              <w:bottom w:val="nil"/>
              <w:right w:val="nil"/>
            </w:tcBorders>
            <w:noWrap/>
            <w:vAlign w:val="center"/>
            <w:hideMark/>
          </w:tcPr>
          <w:p w14:paraId="6919F40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5</w:t>
            </w:r>
          </w:p>
        </w:tc>
        <w:tc>
          <w:tcPr>
            <w:tcW w:w="1835" w:type="dxa"/>
            <w:tcBorders>
              <w:top w:val="nil"/>
              <w:left w:val="nil"/>
              <w:bottom w:val="nil"/>
              <w:right w:val="nil"/>
            </w:tcBorders>
            <w:noWrap/>
            <w:vAlign w:val="bottom"/>
            <w:hideMark/>
          </w:tcPr>
          <w:p w14:paraId="23B3A6A2"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0.62092</w:t>
            </w:r>
          </w:p>
        </w:tc>
        <w:tc>
          <w:tcPr>
            <w:tcW w:w="1491" w:type="dxa"/>
            <w:tcBorders>
              <w:top w:val="nil"/>
              <w:left w:val="nil"/>
              <w:bottom w:val="nil"/>
              <w:right w:val="nil"/>
            </w:tcBorders>
            <w:noWrap/>
            <w:vAlign w:val="bottom"/>
            <w:hideMark/>
          </w:tcPr>
          <w:p w14:paraId="3E0C528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£4,967,371</w:t>
            </w:r>
          </w:p>
        </w:tc>
        <w:tc>
          <w:tcPr>
            <w:tcW w:w="1491" w:type="dxa"/>
            <w:tcBorders>
              <w:top w:val="nil"/>
              <w:left w:val="nil"/>
              <w:bottom w:val="nil"/>
              <w:right w:val="nil"/>
            </w:tcBorders>
            <w:noWrap/>
            <w:vAlign w:val="bottom"/>
            <w:hideMark/>
          </w:tcPr>
          <w:p w14:paraId="79C67E9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£6,830,135</w:t>
            </w:r>
          </w:p>
        </w:tc>
        <w:tc>
          <w:tcPr>
            <w:tcW w:w="2621" w:type="dxa"/>
            <w:tcBorders>
              <w:top w:val="nil"/>
              <w:left w:val="nil"/>
              <w:bottom w:val="nil"/>
              <w:right w:val="nil"/>
            </w:tcBorders>
            <w:noWrap/>
            <w:vAlign w:val="bottom"/>
            <w:hideMark/>
          </w:tcPr>
          <w:p w14:paraId="4EF39BF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£3,104,607</w:t>
            </w:r>
          </w:p>
        </w:tc>
      </w:tr>
      <w:tr w:rsidR="00513E41" w:rsidRPr="00C50619" w14:paraId="5B84E680" w14:textId="77777777" w:rsidTr="00513E41">
        <w:trPr>
          <w:trHeight w:val="260"/>
        </w:trPr>
        <w:tc>
          <w:tcPr>
            <w:tcW w:w="1894" w:type="dxa"/>
            <w:tcBorders>
              <w:top w:val="nil"/>
              <w:left w:val="nil"/>
              <w:bottom w:val="nil"/>
              <w:right w:val="nil"/>
            </w:tcBorders>
            <w:noWrap/>
            <w:vAlign w:val="center"/>
            <w:hideMark/>
          </w:tcPr>
          <w:p w14:paraId="536A7154"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NPV</w:t>
            </w:r>
          </w:p>
        </w:tc>
        <w:tc>
          <w:tcPr>
            <w:tcW w:w="1835" w:type="dxa"/>
            <w:tcBorders>
              <w:top w:val="nil"/>
              <w:left w:val="nil"/>
              <w:bottom w:val="nil"/>
              <w:right w:val="nil"/>
            </w:tcBorders>
            <w:noWrap/>
            <w:vAlign w:val="bottom"/>
            <w:hideMark/>
          </w:tcPr>
          <w:p w14:paraId="358A8FF0"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p>
        </w:tc>
        <w:tc>
          <w:tcPr>
            <w:tcW w:w="1491" w:type="dxa"/>
            <w:tcBorders>
              <w:top w:val="nil"/>
              <w:left w:val="nil"/>
              <w:bottom w:val="nil"/>
              <w:right w:val="nil"/>
            </w:tcBorders>
            <w:shd w:val="clear" w:color="F9F9F9" w:fill="EBF3FB"/>
            <w:noWrap/>
            <w:vAlign w:val="bottom"/>
            <w:hideMark/>
          </w:tcPr>
          <w:p w14:paraId="1FC0BDA9"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(£8,675,823)</w:t>
            </w:r>
          </w:p>
        </w:tc>
        <w:tc>
          <w:tcPr>
            <w:tcW w:w="1491" w:type="dxa"/>
            <w:tcBorders>
              <w:top w:val="nil"/>
              <w:left w:val="nil"/>
              <w:bottom w:val="nil"/>
              <w:right w:val="nil"/>
            </w:tcBorders>
            <w:shd w:val="clear" w:color="F9F9F9" w:fill="EBF3FB"/>
            <w:noWrap/>
            <w:vAlign w:val="bottom"/>
            <w:hideMark/>
          </w:tcPr>
          <w:p w14:paraId="4038BD35"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(£8,301,346)</w:t>
            </w:r>
          </w:p>
        </w:tc>
        <w:tc>
          <w:tcPr>
            <w:tcW w:w="2621" w:type="dxa"/>
            <w:tcBorders>
              <w:top w:val="nil"/>
              <w:left w:val="nil"/>
              <w:bottom w:val="nil"/>
              <w:right w:val="nil"/>
            </w:tcBorders>
            <w:shd w:val="clear" w:color="F9F9F9" w:fill="EBF3FB"/>
            <w:noWrap/>
            <w:vAlign w:val="bottom"/>
            <w:hideMark/>
          </w:tcPr>
          <w:p w14:paraId="5BBF78AA"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(£1,983,844)</w:t>
            </w:r>
          </w:p>
        </w:tc>
      </w:tr>
      <w:tr w:rsidR="00513E41" w:rsidRPr="00C50619" w14:paraId="4C945C70" w14:textId="77777777" w:rsidTr="00513E41">
        <w:trPr>
          <w:trHeight w:val="304"/>
        </w:trPr>
        <w:tc>
          <w:tcPr>
            <w:tcW w:w="9334" w:type="dxa"/>
            <w:gridSpan w:val="5"/>
            <w:tcBorders>
              <w:top w:val="nil"/>
              <w:left w:val="nil"/>
              <w:bottom w:val="nil"/>
              <w:right w:val="nil"/>
            </w:tcBorders>
            <w:shd w:val="clear" w:color="404040" w:fill="1F3864"/>
            <w:noWrap/>
            <w:vAlign w:val="center"/>
            <w:hideMark/>
          </w:tcPr>
          <w:p w14:paraId="148BA70D"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6: Profitability Index (PI)</w:t>
            </w:r>
          </w:p>
        </w:tc>
      </w:tr>
      <w:tr w:rsidR="00513E41" w:rsidRPr="00C50619" w14:paraId="1D420D57" w14:textId="77777777" w:rsidTr="00513E41">
        <w:trPr>
          <w:trHeight w:val="289"/>
        </w:trPr>
        <w:tc>
          <w:tcPr>
            <w:tcW w:w="1894" w:type="dxa"/>
            <w:tcBorders>
              <w:top w:val="nil"/>
              <w:left w:val="nil"/>
              <w:bottom w:val="nil"/>
              <w:right w:val="nil"/>
            </w:tcBorders>
            <w:shd w:val="clear" w:color="404040" w:fill="1F3864"/>
            <w:noWrap/>
            <w:vAlign w:val="center"/>
            <w:hideMark/>
          </w:tcPr>
          <w:p w14:paraId="72AB0FCC"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Item</w:t>
            </w:r>
          </w:p>
        </w:tc>
        <w:tc>
          <w:tcPr>
            <w:tcW w:w="1835" w:type="dxa"/>
            <w:tcBorders>
              <w:top w:val="nil"/>
              <w:left w:val="nil"/>
              <w:bottom w:val="nil"/>
              <w:right w:val="nil"/>
            </w:tcBorders>
            <w:shd w:val="clear" w:color="4A7EBB" w:fill="2E75B6"/>
            <w:noWrap/>
            <w:vAlign w:val="center"/>
            <w:hideMark/>
          </w:tcPr>
          <w:p w14:paraId="278A0085"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tcBorders>
              <w:top w:val="nil"/>
              <w:left w:val="nil"/>
              <w:bottom w:val="nil"/>
              <w:right w:val="nil"/>
            </w:tcBorders>
            <w:shd w:val="clear" w:color="4A7EBB" w:fill="2E75B6"/>
            <w:noWrap/>
            <w:vAlign w:val="center"/>
            <w:hideMark/>
          </w:tcPr>
          <w:p w14:paraId="7442A815"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tcBorders>
              <w:top w:val="nil"/>
              <w:left w:val="nil"/>
              <w:bottom w:val="nil"/>
              <w:right w:val="nil"/>
            </w:tcBorders>
            <w:shd w:val="clear" w:color="4A7EBB" w:fill="2E75B6"/>
            <w:noWrap/>
            <w:vAlign w:val="center"/>
            <w:hideMark/>
          </w:tcPr>
          <w:p w14:paraId="3C372F8E"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tcBorders>
              <w:top w:val="nil"/>
              <w:left w:val="nil"/>
              <w:bottom w:val="nil"/>
              <w:right w:val="nil"/>
            </w:tcBorders>
            <w:shd w:val="clear" w:color="4A7EBB" w:fill="2E75B6"/>
            <w:noWrap/>
            <w:vAlign w:val="center"/>
            <w:hideMark/>
          </w:tcPr>
          <w:p w14:paraId="2C28333A"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Formula</w:t>
            </w:r>
          </w:p>
        </w:tc>
      </w:tr>
      <w:tr w:rsidR="00513E41" w:rsidRPr="00C50619" w14:paraId="5BF50E51" w14:textId="77777777" w:rsidTr="00513E41">
        <w:trPr>
          <w:trHeight w:val="260"/>
        </w:trPr>
        <w:tc>
          <w:tcPr>
            <w:tcW w:w="1894" w:type="dxa"/>
            <w:tcBorders>
              <w:top w:val="nil"/>
              <w:left w:val="nil"/>
              <w:bottom w:val="nil"/>
              <w:right w:val="nil"/>
            </w:tcBorders>
            <w:noWrap/>
            <w:vAlign w:val="center"/>
            <w:hideMark/>
          </w:tcPr>
          <w:p w14:paraId="0A069135"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PV of Cash Inflows (£)</w:t>
            </w:r>
          </w:p>
        </w:tc>
        <w:tc>
          <w:tcPr>
            <w:tcW w:w="1835" w:type="dxa"/>
            <w:tcBorders>
              <w:top w:val="nil"/>
              <w:left w:val="nil"/>
              <w:bottom w:val="nil"/>
              <w:right w:val="nil"/>
            </w:tcBorders>
            <w:noWrap/>
            <w:vAlign w:val="bottom"/>
            <w:hideMark/>
          </w:tcPr>
          <w:p w14:paraId="38FD667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41324176.814x</w:t>
            </w:r>
          </w:p>
        </w:tc>
        <w:tc>
          <w:tcPr>
            <w:tcW w:w="1491" w:type="dxa"/>
            <w:tcBorders>
              <w:top w:val="nil"/>
              <w:left w:val="nil"/>
              <w:bottom w:val="nil"/>
              <w:right w:val="nil"/>
            </w:tcBorders>
            <w:noWrap/>
            <w:vAlign w:val="bottom"/>
            <w:hideMark/>
          </w:tcPr>
          <w:p w14:paraId="6C5180C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41698654.463x</w:t>
            </w:r>
          </w:p>
        </w:tc>
        <w:tc>
          <w:tcPr>
            <w:tcW w:w="1491" w:type="dxa"/>
            <w:tcBorders>
              <w:top w:val="nil"/>
              <w:left w:val="nil"/>
              <w:bottom w:val="nil"/>
              <w:right w:val="nil"/>
            </w:tcBorders>
            <w:noWrap/>
            <w:vAlign w:val="bottom"/>
            <w:hideMark/>
          </w:tcPr>
          <w:p w14:paraId="0DC65B6A"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48016156.373x</w:t>
            </w:r>
          </w:p>
        </w:tc>
        <w:tc>
          <w:tcPr>
            <w:tcW w:w="2621" w:type="dxa"/>
            <w:tcBorders>
              <w:top w:val="nil"/>
              <w:left w:val="nil"/>
              <w:bottom w:val="nil"/>
              <w:right w:val="nil"/>
            </w:tcBorders>
            <w:noWrap/>
            <w:vAlign w:val="bottom"/>
            <w:hideMark/>
          </w:tcPr>
          <w:p w14:paraId="0DADB492" w14:textId="77777777" w:rsidR="00513E41" w:rsidRPr="00C50619" w:rsidRDefault="00513E41" w:rsidP="00513E41">
            <w:pPr>
              <w:spacing w:after="0" w:line="360" w:lineRule="auto"/>
              <w:rPr>
                <w:rFonts w:ascii="Arial" w:eastAsia="Times New Roman" w:hAnsi="Arial" w:cs="Arial"/>
                <w:i/>
                <w:iCs/>
                <w:color w:val="555555"/>
                <w:kern w:val="0"/>
                <w:lang w:val="en-GB"/>
                <w14:ligatures w14:val="none"/>
              </w:rPr>
            </w:pPr>
            <w:proofErr w:type="spellStart"/>
            <w:r w:rsidRPr="00C50619">
              <w:rPr>
                <w:rFonts w:ascii="Arial" w:eastAsia="Times New Roman" w:hAnsi="Arial" w:cs="Arial"/>
                <w:i/>
                <w:iCs/>
                <w:color w:val="555555"/>
                <w:kern w:val="0"/>
                <w:lang w:val="en-GB"/>
                <w14:ligatures w14:val="none"/>
              </w:rPr>
              <w:t>npv</w:t>
            </w:r>
            <w:proofErr w:type="spellEnd"/>
            <w:r w:rsidRPr="00C50619">
              <w:rPr>
                <w:rFonts w:ascii="Arial" w:eastAsia="Times New Roman" w:hAnsi="Arial" w:cs="Arial"/>
                <w:i/>
                <w:iCs/>
                <w:color w:val="555555"/>
                <w:kern w:val="0"/>
                <w:lang w:val="en-GB"/>
                <w14:ligatures w14:val="none"/>
              </w:rPr>
              <w:t xml:space="preserve"> + initial investment</w:t>
            </w:r>
          </w:p>
        </w:tc>
      </w:tr>
      <w:tr w:rsidR="00513E41" w:rsidRPr="00C50619" w14:paraId="65D4FA28" w14:textId="77777777" w:rsidTr="00513E41">
        <w:trPr>
          <w:trHeight w:val="260"/>
        </w:trPr>
        <w:tc>
          <w:tcPr>
            <w:tcW w:w="1894" w:type="dxa"/>
            <w:tcBorders>
              <w:top w:val="nil"/>
              <w:left w:val="nil"/>
              <w:bottom w:val="nil"/>
              <w:right w:val="nil"/>
            </w:tcBorders>
            <w:noWrap/>
            <w:vAlign w:val="center"/>
            <w:hideMark/>
          </w:tcPr>
          <w:p w14:paraId="63332BFD"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Profitability Index (PI)</w:t>
            </w:r>
          </w:p>
        </w:tc>
        <w:tc>
          <w:tcPr>
            <w:tcW w:w="1835" w:type="dxa"/>
            <w:tcBorders>
              <w:top w:val="nil"/>
              <w:left w:val="nil"/>
              <w:bottom w:val="nil"/>
              <w:right w:val="nil"/>
            </w:tcBorders>
            <w:noWrap/>
            <w:vAlign w:val="bottom"/>
            <w:hideMark/>
          </w:tcPr>
          <w:p w14:paraId="3D2B7EB3"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0.83x</w:t>
            </w:r>
          </w:p>
        </w:tc>
        <w:tc>
          <w:tcPr>
            <w:tcW w:w="1491" w:type="dxa"/>
            <w:tcBorders>
              <w:top w:val="nil"/>
              <w:left w:val="nil"/>
              <w:bottom w:val="nil"/>
              <w:right w:val="nil"/>
            </w:tcBorders>
            <w:noWrap/>
            <w:vAlign w:val="bottom"/>
            <w:hideMark/>
          </w:tcPr>
          <w:p w14:paraId="48A8612F"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0.83x</w:t>
            </w:r>
          </w:p>
        </w:tc>
        <w:tc>
          <w:tcPr>
            <w:tcW w:w="1491" w:type="dxa"/>
            <w:tcBorders>
              <w:top w:val="nil"/>
              <w:left w:val="nil"/>
              <w:bottom w:val="nil"/>
              <w:right w:val="nil"/>
            </w:tcBorders>
            <w:noWrap/>
            <w:vAlign w:val="bottom"/>
            <w:hideMark/>
          </w:tcPr>
          <w:p w14:paraId="7EA51ED6"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0.96x</w:t>
            </w:r>
          </w:p>
        </w:tc>
        <w:tc>
          <w:tcPr>
            <w:tcW w:w="2621" w:type="dxa"/>
            <w:tcBorders>
              <w:top w:val="nil"/>
              <w:left w:val="nil"/>
              <w:bottom w:val="nil"/>
              <w:right w:val="nil"/>
            </w:tcBorders>
            <w:noWrap/>
            <w:vAlign w:val="bottom"/>
            <w:hideMark/>
          </w:tcPr>
          <w:p w14:paraId="1F9D04FC" w14:textId="77777777" w:rsidR="00513E41" w:rsidRPr="00C50619" w:rsidRDefault="00513E41" w:rsidP="00513E41">
            <w:pPr>
              <w:spacing w:after="0" w:line="360" w:lineRule="auto"/>
              <w:rPr>
                <w:rFonts w:ascii="Arial" w:eastAsia="Times New Roman" w:hAnsi="Arial" w:cs="Arial"/>
                <w:i/>
                <w:iCs/>
                <w:color w:val="555555"/>
                <w:kern w:val="0"/>
                <w:lang w:val="en-GB"/>
                <w14:ligatures w14:val="none"/>
              </w:rPr>
            </w:pPr>
            <w:proofErr w:type="spellStart"/>
            <w:r w:rsidRPr="00C50619">
              <w:rPr>
                <w:rFonts w:ascii="Arial" w:eastAsia="Times New Roman" w:hAnsi="Arial" w:cs="Arial"/>
                <w:i/>
                <w:iCs/>
                <w:color w:val="555555"/>
                <w:kern w:val="0"/>
                <w:lang w:val="en-GB"/>
                <w14:ligatures w14:val="none"/>
              </w:rPr>
              <w:t>pv</w:t>
            </w:r>
            <w:proofErr w:type="spellEnd"/>
            <w:r w:rsidRPr="00C50619">
              <w:rPr>
                <w:rFonts w:ascii="Arial" w:eastAsia="Times New Roman" w:hAnsi="Arial" w:cs="Arial"/>
                <w:i/>
                <w:iCs/>
                <w:color w:val="555555"/>
                <w:kern w:val="0"/>
                <w:lang w:val="en-GB"/>
                <w14:ligatures w14:val="none"/>
              </w:rPr>
              <w:t xml:space="preserve"> of inflows / initial investment; &gt;1 = accept</w:t>
            </w:r>
          </w:p>
        </w:tc>
      </w:tr>
      <w:tr w:rsidR="00513E41" w:rsidRPr="00C50619" w14:paraId="768E107F" w14:textId="77777777" w:rsidTr="00513E41">
        <w:trPr>
          <w:trHeight w:val="304"/>
        </w:trPr>
        <w:tc>
          <w:tcPr>
            <w:tcW w:w="9334" w:type="dxa"/>
            <w:gridSpan w:val="5"/>
            <w:tcBorders>
              <w:top w:val="nil"/>
              <w:left w:val="nil"/>
              <w:bottom w:val="nil"/>
              <w:right w:val="nil"/>
            </w:tcBorders>
            <w:shd w:val="clear" w:color="404040" w:fill="1F3864"/>
            <w:noWrap/>
            <w:vAlign w:val="center"/>
            <w:hideMark/>
          </w:tcPr>
          <w:p w14:paraId="368DBCBB"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7: Internal Rate of Return (IRR)</w:t>
            </w:r>
          </w:p>
        </w:tc>
      </w:tr>
      <w:tr w:rsidR="00513E41" w:rsidRPr="00C50619" w14:paraId="54E4A519" w14:textId="77777777" w:rsidTr="00513E41">
        <w:trPr>
          <w:trHeight w:val="289"/>
        </w:trPr>
        <w:tc>
          <w:tcPr>
            <w:tcW w:w="1894" w:type="dxa"/>
            <w:tcBorders>
              <w:top w:val="nil"/>
              <w:left w:val="nil"/>
              <w:bottom w:val="nil"/>
              <w:right w:val="nil"/>
            </w:tcBorders>
            <w:shd w:val="clear" w:color="404040" w:fill="1F3864"/>
            <w:noWrap/>
            <w:vAlign w:val="center"/>
            <w:hideMark/>
          </w:tcPr>
          <w:p w14:paraId="431BCBAD"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Item</w:t>
            </w:r>
          </w:p>
        </w:tc>
        <w:tc>
          <w:tcPr>
            <w:tcW w:w="1835" w:type="dxa"/>
            <w:tcBorders>
              <w:top w:val="nil"/>
              <w:left w:val="nil"/>
              <w:bottom w:val="nil"/>
              <w:right w:val="nil"/>
            </w:tcBorders>
            <w:shd w:val="clear" w:color="4A7EBB" w:fill="2E75B6"/>
            <w:noWrap/>
            <w:vAlign w:val="center"/>
            <w:hideMark/>
          </w:tcPr>
          <w:p w14:paraId="1C618949"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tcBorders>
              <w:top w:val="nil"/>
              <w:left w:val="nil"/>
              <w:bottom w:val="nil"/>
              <w:right w:val="nil"/>
            </w:tcBorders>
            <w:shd w:val="clear" w:color="4A7EBB" w:fill="2E75B6"/>
            <w:noWrap/>
            <w:vAlign w:val="center"/>
            <w:hideMark/>
          </w:tcPr>
          <w:p w14:paraId="64DC7C66"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tcBorders>
              <w:top w:val="nil"/>
              <w:left w:val="nil"/>
              <w:bottom w:val="nil"/>
              <w:right w:val="nil"/>
            </w:tcBorders>
            <w:shd w:val="clear" w:color="4A7EBB" w:fill="2E75B6"/>
            <w:noWrap/>
            <w:vAlign w:val="center"/>
            <w:hideMark/>
          </w:tcPr>
          <w:p w14:paraId="799D4ECF"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tcBorders>
              <w:top w:val="nil"/>
              <w:left w:val="nil"/>
              <w:bottom w:val="nil"/>
              <w:right w:val="nil"/>
            </w:tcBorders>
            <w:shd w:val="clear" w:color="4A7EBB" w:fill="2E75B6"/>
            <w:noWrap/>
            <w:vAlign w:val="center"/>
            <w:hideMark/>
          </w:tcPr>
          <w:p w14:paraId="22E561C6"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Formula</w:t>
            </w:r>
          </w:p>
        </w:tc>
      </w:tr>
      <w:tr w:rsidR="00513E41" w:rsidRPr="00C50619" w14:paraId="1CA9E079" w14:textId="77777777" w:rsidTr="00513E41">
        <w:trPr>
          <w:trHeight w:val="260"/>
        </w:trPr>
        <w:tc>
          <w:tcPr>
            <w:tcW w:w="1894" w:type="dxa"/>
            <w:tcBorders>
              <w:top w:val="nil"/>
              <w:left w:val="nil"/>
              <w:bottom w:val="nil"/>
              <w:right w:val="nil"/>
            </w:tcBorders>
            <w:noWrap/>
            <w:vAlign w:val="center"/>
            <w:hideMark/>
          </w:tcPr>
          <w:p w14:paraId="629E8473"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IRR (using Excel IRR function)</w:t>
            </w:r>
          </w:p>
        </w:tc>
        <w:tc>
          <w:tcPr>
            <w:tcW w:w="1835" w:type="dxa"/>
            <w:tcBorders>
              <w:top w:val="nil"/>
              <w:left w:val="nil"/>
              <w:bottom w:val="nil"/>
              <w:right w:val="nil"/>
            </w:tcBorders>
            <w:noWrap/>
            <w:vAlign w:val="bottom"/>
            <w:hideMark/>
          </w:tcPr>
          <w:p w14:paraId="764C1DD8"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2.7%</w:t>
            </w:r>
          </w:p>
        </w:tc>
        <w:tc>
          <w:tcPr>
            <w:tcW w:w="1491" w:type="dxa"/>
            <w:tcBorders>
              <w:top w:val="nil"/>
              <w:left w:val="nil"/>
              <w:bottom w:val="nil"/>
              <w:right w:val="nil"/>
            </w:tcBorders>
            <w:noWrap/>
            <w:vAlign w:val="bottom"/>
            <w:hideMark/>
          </w:tcPr>
          <w:p w14:paraId="6121E127"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3.3%</w:t>
            </w:r>
          </w:p>
        </w:tc>
        <w:tc>
          <w:tcPr>
            <w:tcW w:w="1491" w:type="dxa"/>
            <w:tcBorders>
              <w:top w:val="nil"/>
              <w:left w:val="nil"/>
              <w:bottom w:val="nil"/>
              <w:right w:val="nil"/>
            </w:tcBorders>
            <w:noWrap/>
            <w:vAlign w:val="bottom"/>
            <w:hideMark/>
          </w:tcPr>
          <w:p w14:paraId="6BC76E68"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8.6%</w:t>
            </w:r>
          </w:p>
        </w:tc>
        <w:tc>
          <w:tcPr>
            <w:tcW w:w="2621" w:type="dxa"/>
            <w:tcBorders>
              <w:top w:val="nil"/>
              <w:left w:val="nil"/>
              <w:bottom w:val="nil"/>
              <w:right w:val="nil"/>
            </w:tcBorders>
            <w:noWrap/>
            <w:vAlign w:val="bottom"/>
            <w:hideMark/>
          </w:tcPr>
          <w:p w14:paraId="5CE3726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IRR(</w:t>
            </w:r>
            <w:proofErr w:type="spellStart"/>
            <w:r w:rsidRPr="00C50619">
              <w:rPr>
                <w:rFonts w:ascii="Arial" w:eastAsia="Times New Roman" w:hAnsi="Arial" w:cs="Arial"/>
                <w:color w:val="000000"/>
                <w:kern w:val="0"/>
                <w:lang w:val="en-GB"/>
                <w14:ligatures w14:val="none"/>
              </w:rPr>
              <w:t>cf_array</w:t>
            </w:r>
            <w:proofErr w:type="spellEnd"/>
            <w:r w:rsidRPr="00C50619">
              <w:rPr>
                <w:rFonts w:ascii="Arial" w:eastAsia="Times New Roman" w:hAnsi="Arial" w:cs="Arial"/>
                <w:color w:val="000000"/>
                <w:kern w:val="0"/>
                <w:lang w:val="en-GB"/>
                <w14:ligatures w14:val="none"/>
              </w:rPr>
              <w:t>) &gt; 10% hurdle → Accept</w:t>
            </w:r>
          </w:p>
        </w:tc>
      </w:tr>
      <w:tr w:rsidR="00513E41" w:rsidRPr="00C50619" w14:paraId="1495D62A" w14:textId="77777777" w:rsidTr="00513E41">
        <w:trPr>
          <w:trHeight w:val="304"/>
        </w:trPr>
        <w:tc>
          <w:tcPr>
            <w:tcW w:w="9334" w:type="dxa"/>
            <w:gridSpan w:val="5"/>
            <w:tcBorders>
              <w:top w:val="nil"/>
              <w:left w:val="nil"/>
              <w:bottom w:val="nil"/>
              <w:right w:val="nil"/>
            </w:tcBorders>
            <w:shd w:val="clear" w:color="404040" w:fill="1F3864"/>
            <w:noWrap/>
            <w:vAlign w:val="center"/>
            <w:hideMark/>
          </w:tcPr>
          <w:p w14:paraId="3C1534C2"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8: Decision Summary Table</w:t>
            </w:r>
          </w:p>
        </w:tc>
      </w:tr>
      <w:tr w:rsidR="00513E41" w:rsidRPr="00C50619" w14:paraId="2E1DBC34" w14:textId="77777777" w:rsidTr="00513E41">
        <w:trPr>
          <w:trHeight w:val="289"/>
        </w:trPr>
        <w:tc>
          <w:tcPr>
            <w:tcW w:w="1894" w:type="dxa"/>
            <w:tcBorders>
              <w:top w:val="nil"/>
              <w:left w:val="nil"/>
              <w:bottom w:val="nil"/>
              <w:right w:val="nil"/>
            </w:tcBorders>
            <w:shd w:val="clear" w:color="404040" w:fill="1F3864"/>
            <w:noWrap/>
            <w:vAlign w:val="center"/>
            <w:hideMark/>
          </w:tcPr>
          <w:p w14:paraId="5345BB0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Criterion</w:t>
            </w:r>
          </w:p>
        </w:tc>
        <w:tc>
          <w:tcPr>
            <w:tcW w:w="1835" w:type="dxa"/>
            <w:tcBorders>
              <w:top w:val="nil"/>
              <w:left w:val="nil"/>
              <w:bottom w:val="nil"/>
              <w:right w:val="nil"/>
            </w:tcBorders>
            <w:shd w:val="clear" w:color="4A7EBB" w:fill="2E75B6"/>
            <w:noWrap/>
            <w:vAlign w:val="center"/>
            <w:hideMark/>
          </w:tcPr>
          <w:p w14:paraId="35242CF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tcBorders>
              <w:top w:val="nil"/>
              <w:left w:val="nil"/>
              <w:bottom w:val="nil"/>
              <w:right w:val="nil"/>
            </w:tcBorders>
            <w:shd w:val="clear" w:color="4A7EBB" w:fill="2E75B6"/>
            <w:noWrap/>
            <w:vAlign w:val="center"/>
            <w:hideMark/>
          </w:tcPr>
          <w:p w14:paraId="47DD04FF"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tcBorders>
              <w:top w:val="nil"/>
              <w:left w:val="nil"/>
              <w:bottom w:val="nil"/>
              <w:right w:val="nil"/>
            </w:tcBorders>
            <w:shd w:val="clear" w:color="4A7EBB" w:fill="2E75B6"/>
            <w:noWrap/>
            <w:vAlign w:val="center"/>
            <w:hideMark/>
          </w:tcPr>
          <w:p w14:paraId="0515969D"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tcBorders>
              <w:top w:val="nil"/>
              <w:left w:val="nil"/>
              <w:bottom w:val="nil"/>
              <w:right w:val="nil"/>
            </w:tcBorders>
            <w:shd w:val="clear" w:color="4A7EBB" w:fill="2E75B6"/>
            <w:noWrap/>
            <w:vAlign w:val="center"/>
            <w:hideMark/>
          </w:tcPr>
          <w:p w14:paraId="283FAEB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Best</w:t>
            </w:r>
          </w:p>
        </w:tc>
      </w:tr>
      <w:tr w:rsidR="00513E41" w:rsidRPr="00C50619" w14:paraId="2495403A" w14:textId="77777777" w:rsidTr="00513E41">
        <w:trPr>
          <w:trHeight w:val="289"/>
        </w:trPr>
        <w:tc>
          <w:tcPr>
            <w:tcW w:w="1894" w:type="dxa"/>
            <w:tcBorders>
              <w:top w:val="nil"/>
              <w:left w:val="nil"/>
              <w:bottom w:val="nil"/>
              <w:right w:val="nil"/>
            </w:tcBorders>
            <w:noWrap/>
            <w:vAlign w:val="center"/>
            <w:hideMark/>
          </w:tcPr>
          <w:p w14:paraId="45C9F30D"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Payback Period</w:t>
            </w:r>
          </w:p>
        </w:tc>
        <w:tc>
          <w:tcPr>
            <w:tcW w:w="1835" w:type="dxa"/>
            <w:tcBorders>
              <w:top w:val="nil"/>
              <w:left w:val="nil"/>
              <w:bottom w:val="nil"/>
              <w:right w:val="nil"/>
            </w:tcBorders>
            <w:noWrap/>
            <w:vAlign w:val="bottom"/>
            <w:hideMark/>
          </w:tcPr>
          <w:p w14:paraId="6F7E239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 xml:space="preserve">4 yr 6 </w:t>
            </w:r>
            <w:proofErr w:type="spellStart"/>
            <w:r w:rsidRPr="00C50619">
              <w:rPr>
                <w:rFonts w:ascii="Arial" w:eastAsia="Times New Roman" w:hAnsi="Arial" w:cs="Arial"/>
                <w:kern w:val="0"/>
                <w:lang w:val="en-GB"/>
                <w14:ligatures w14:val="none"/>
              </w:rPr>
              <w:t>mo</w:t>
            </w:r>
            <w:proofErr w:type="spellEnd"/>
          </w:p>
        </w:tc>
        <w:tc>
          <w:tcPr>
            <w:tcW w:w="1491" w:type="dxa"/>
            <w:tcBorders>
              <w:top w:val="nil"/>
              <w:left w:val="nil"/>
              <w:bottom w:val="nil"/>
              <w:right w:val="nil"/>
            </w:tcBorders>
            <w:noWrap/>
            <w:vAlign w:val="bottom"/>
            <w:hideMark/>
          </w:tcPr>
          <w:p w14:paraId="5528714F"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 xml:space="preserve">4 yr 7 </w:t>
            </w:r>
            <w:proofErr w:type="spellStart"/>
            <w:r w:rsidRPr="00C50619">
              <w:rPr>
                <w:rFonts w:ascii="Arial" w:eastAsia="Times New Roman" w:hAnsi="Arial" w:cs="Arial"/>
                <w:kern w:val="0"/>
                <w:lang w:val="en-GB"/>
                <w14:ligatures w14:val="none"/>
              </w:rPr>
              <w:t>mo</w:t>
            </w:r>
            <w:proofErr w:type="spellEnd"/>
          </w:p>
        </w:tc>
        <w:tc>
          <w:tcPr>
            <w:tcW w:w="1491" w:type="dxa"/>
            <w:tcBorders>
              <w:top w:val="nil"/>
              <w:left w:val="nil"/>
              <w:bottom w:val="nil"/>
              <w:right w:val="nil"/>
            </w:tcBorders>
            <w:noWrap/>
            <w:vAlign w:val="bottom"/>
            <w:hideMark/>
          </w:tcPr>
          <w:p w14:paraId="0B8FBD8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 xml:space="preserve">3 yr 7 </w:t>
            </w:r>
            <w:proofErr w:type="spellStart"/>
            <w:r w:rsidRPr="00C50619">
              <w:rPr>
                <w:rFonts w:ascii="Arial" w:eastAsia="Times New Roman" w:hAnsi="Arial" w:cs="Arial"/>
                <w:kern w:val="0"/>
                <w:lang w:val="en-GB"/>
                <w14:ligatures w14:val="none"/>
              </w:rPr>
              <w:t>mo</w:t>
            </w:r>
            <w:proofErr w:type="spellEnd"/>
            <w:r w:rsidRPr="00C50619">
              <w:rPr>
                <w:rFonts w:ascii="Arial" w:eastAsia="Times New Roman" w:hAnsi="Arial" w:cs="Arial"/>
                <w:kern w:val="0"/>
                <w:lang w:val="en-GB"/>
                <w14:ligatures w14:val="none"/>
              </w:rPr>
              <w:t xml:space="preserve">  </w:t>
            </w:r>
            <w:r w:rsidRPr="00C50619">
              <w:rPr>
                <w:rFonts w:ascii="Arial" w:eastAsia="Times New Roman" w:hAnsi="Arial" w:cs="Arial"/>
                <w:kern w:val="0"/>
                <w:lang w:val="en-GB"/>
                <w14:ligatures w14:val="none"/>
              </w:rPr>
              <w:lastRenderedPageBreak/>
              <w:t>Best</w:t>
            </w:r>
          </w:p>
        </w:tc>
        <w:tc>
          <w:tcPr>
            <w:tcW w:w="2621" w:type="dxa"/>
            <w:tcBorders>
              <w:top w:val="nil"/>
              <w:left w:val="nil"/>
              <w:bottom w:val="nil"/>
              <w:right w:val="nil"/>
            </w:tcBorders>
            <w:noWrap/>
            <w:vAlign w:val="bottom"/>
            <w:hideMark/>
          </w:tcPr>
          <w:p w14:paraId="246728CF" w14:textId="77777777" w:rsidR="00513E41" w:rsidRPr="00C50619" w:rsidRDefault="00513E41" w:rsidP="00513E41">
            <w:pPr>
              <w:spacing w:after="0" w:line="360" w:lineRule="auto"/>
              <w:jc w:val="center"/>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lastRenderedPageBreak/>
              <w:t>C</w:t>
            </w:r>
          </w:p>
        </w:tc>
      </w:tr>
      <w:tr w:rsidR="00513E41" w:rsidRPr="00C50619" w14:paraId="165A4816" w14:textId="77777777" w:rsidTr="00513E41">
        <w:trPr>
          <w:trHeight w:val="289"/>
        </w:trPr>
        <w:tc>
          <w:tcPr>
            <w:tcW w:w="1894" w:type="dxa"/>
            <w:tcBorders>
              <w:top w:val="nil"/>
              <w:left w:val="nil"/>
              <w:bottom w:val="nil"/>
              <w:right w:val="nil"/>
            </w:tcBorders>
            <w:noWrap/>
            <w:vAlign w:val="center"/>
            <w:hideMark/>
          </w:tcPr>
          <w:p w14:paraId="0CCDBF4D"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 xml:space="preserve">ARR (on </w:t>
            </w:r>
            <w:proofErr w:type="spellStart"/>
            <w:r w:rsidRPr="00C50619">
              <w:rPr>
                <w:rFonts w:ascii="Arial" w:eastAsia="Times New Roman" w:hAnsi="Arial" w:cs="Arial"/>
                <w:color w:val="000000"/>
                <w:kern w:val="0"/>
                <w:lang w:val="en-GB"/>
                <w14:ligatures w14:val="none"/>
              </w:rPr>
              <w:t>Avg</w:t>
            </w:r>
            <w:proofErr w:type="spellEnd"/>
            <w:r w:rsidRPr="00C50619">
              <w:rPr>
                <w:rFonts w:ascii="Arial" w:eastAsia="Times New Roman" w:hAnsi="Arial" w:cs="Arial"/>
                <w:color w:val="000000"/>
                <w:kern w:val="0"/>
                <w:lang w:val="en-GB"/>
                <w14:ligatures w14:val="none"/>
              </w:rPr>
              <w:t xml:space="preserve"> Inv.)</w:t>
            </w:r>
          </w:p>
        </w:tc>
        <w:tc>
          <w:tcPr>
            <w:tcW w:w="1835" w:type="dxa"/>
            <w:tcBorders>
              <w:top w:val="nil"/>
              <w:left w:val="nil"/>
              <w:bottom w:val="nil"/>
              <w:right w:val="nil"/>
            </w:tcBorders>
            <w:noWrap/>
            <w:vAlign w:val="bottom"/>
            <w:hideMark/>
          </w:tcPr>
          <w:p w14:paraId="4C30925D"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3.20%</w:t>
            </w:r>
          </w:p>
        </w:tc>
        <w:tc>
          <w:tcPr>
            <w:tcW w:w="1491" w:type="dxa"/>
            <w:tcBorders>
              <w:top w:val="nil"/>
              <w:left w:val="nil"/>
              <w:bottom w:val="nil"/>
              <w:right w:val="nil"/>
            </w:tcBorders>
            <w:noWrap/>
            <w:vAlign w:val="bottom"/>
            <w:hideMark/>
          </w:tcPr>
          <w:p w14:paraId="7E6BC5C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4.00%</w:t>
            </w:r>
          </w:p>
        </w:tc>
        <w:tc>
          <w:tcPr>
            <w:tcW w:w="1491" w:type="dxa"/>
            <w:tcBorders>
              <w:top w:val="nil"/>
              <w:left w:val="nil"/>
              <w:bottom w:val="nil"/>
              <w:right w:val="nil"/>
            </w:tcBorders>
            <w:noWrap/>
            <w:vAlign w:val="bottom"/>
            <w:hideMark/>
          </w:tcPr>
          <w:p w14:paraId="078EAABA"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12.00%  Best</w:t>
            </w:r>
          </w:p>
        </w:tc>
        <w:tc>
          <w:tcPr>
            <w:tcW w:w="2621" w:type="dxa"/>
            <w:tcBorders>
              <w:top w:val="nil"/>
              <w:left w:val="nil"/>
              <w:bottom w:val="nil"/>
              <w:right w:val="nil"/>
            </w:tcBorders>
            <w:noWrap/>
            <w:vAlign w:val="bottom"/>
            <w:hideMark/>
          </w:tcPr>
          <w:p w14:paraId="07384FCE" w14:textId="77777777" w:rsidR="00513E41" w:rsidRPr="00C50619" w:rsidRDefault="00513E41" w:rsidP="00513E41">
            <w:pPr>
              <w:spacing w:after="0" w:line="360" w:lineRule="auto"/>
              <w:jc w:val="center"/>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C</w:t>
            </w:r>
          </w:p>
        </w:tc>
      </w:tr>
      <w:tr w:rsidR="00513E41" w:rsidRPr="00C50619" w14:paraId="3F8492D9" w14:textId="77777777" w:rsidTr="00513E41">
        <w:trPr>
          <w:trHeight w:val="289"/>
        </w:trPr>
        <w:tc>
          <w:tcPr>
            <w:tcW w:w="1894" w:type="dxa"/>
            <w:tcBorders>
              <w:top w:val="nil"/>
              <w:left w:val="nil"/>
              <w:bottom w:val="nil"/>
              <w:right w:val="nil"/>
            </w:tcBorders>
            <w:noWrap/>
            <w:vAlign w:val="center"/>
            <w:hideMark/>
          </w:tcPr>
          <w:p w14:paraId="208C3AF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NPV</w:t>
            </w:r>
          </w:p>
        </w:tc>
        <w:tc>
          <w:tcPr>
            <w:tcW w:w="1835" w:type="dxa"/>
            <w:tcBorders>
              <w:top w:val="nil"/>
              <w:left w:val="nil"/>
              <w:bottom w:val="nil"/>
              <w:right w:val="nil"/>
            </w:tcBorders>
            <w:noWrap/>
            <w:vAlign w:val="bottom"/>
            <w:hideMark/>
          </w:tcPr>
          <w:p w14:paraId="3EBE56A4"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-£8,675,823</w:t>
            </w:r>
          </w:p>
        </w:tc>
        <w:tc>
          <w:tcPr>
            <w:tcW w:w="1491" w:type="dxa"/>
            <w:tcBorders>
              <w:top w:val="nil"/>
              <w:left w:val="nil"/>
              <w:bottom w:val="nil"/>
              <w:right w:val="nil"/>
            </w:tcBorders>
            <w:noWrap/>
            <w:vAlign w:val="bottom"/>
            <w:hideMark/>
          </w:tcPr>
          <w:p w14:paraId="270EADA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-£8,301,346</w:t>
            </w:r>
          </w:p>
        </w:tc>
        <w:tc>
          <w:tcPr>
            <w:tcW w:w="1491" w:type="dxa"/>
            <w:tcBorders>
              <w:top w:val="nil"/>
              <w:left w:val="nil"/>
              <w:bottom w:val="nil"/>
              <w:right w:val="nil"/>
            </w:tcBorders>
            <w:noWrap/>
            <w:vAlign w:val="bottom"/>
            <w:hideMark/>
          </w:tcPr>
          <w:p w14:paraId="792935A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-£1,983,844  Best</w:t>
            </w:r>
          </w:p>
        </w:tc>
        <w:tc>
          <w:tcPr>
            <w:tcW w:w="2621" w:type="dxa"/>
            <w:tcBorders>
              <w:top w:val="nil"/>
              <w:left w:val="nil"/>
              <w:bottom w:val="nil"/>
              <w:right w:val="nil"/>
            </w:tcBorders>
            <w:noWrap/>
            <w:vAlign w:val="bottom"/>
            <w:hideMark/>
          </w:tcPr>
          <w:p w14:paraId="3CFC8B9B" w14:textId="77777777" w:rsidR="00513E41" w:rsidRPr="00C50619" w:rsidRDefault="00513E41" w:rsidP="00513E41">
            <w:pPr>
              <w:spacing w:after="0" w:line="360" w:lineRule="auto"/>
              <w:jc w:val="center"/>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C</w:t>
            </w:r>
          </w:p>
        </w:tc>
      </w:tr>
      <w:tr w:rsidR="00513E41" w:rsidRPr="00C50619" w14:paraId="65BF4656" w14:textId="77777777" w:rsidTr="00513E41">
        <w:trPr>
          <w:trHeight w:val="289"/>
        </w:trPr>
        <w:tc>
          <w:tcPr>
            <w:tcW w:w="1894" w:type="dxa"/>
            <w:tcBorders>
              <w:top w:val="nil"/>
              <w:left w:val="nil"/>
              <w:bottom w:val="nil"/>
              <w:right w:val="nil"/>
            </w:tcBorders>
            <w:noWrap/>
            <w:vAlign w:val="center"/>
            <w:hideMark/>
          </w:tcPr>
          <w:p w14:paraId="5C026AF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Profitability Index</w:t>
            </w:r>
          </w:p>
        </w:tc>
        <w:tc>
          <w:tcPr>
            <w:tcW w:w="1835" w:type="dxa"/>
            <w:tcBorders>
              <w:top w:val="nil"/>
              <w:left w:val="nil"/>
              <w:bottom w:val="nil"/>
              <w:right w:val="nil"/>
            </w:tcBorders>
            <w:noWrap/>
            <w:vAlign w:val="bottom"/>
            <w:hideMark/>
          </w:tcPr>
          <w:p w14:paraId="63CF7C2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0.826x</w:t>
            </w:r>
          </w:p>
        </w:tc>
        <w:tc>
          <w:tcPr>
            <w:tcW w:w="1491" w:type="dxa"/>
            <w:tcBorders>
              <w:top w:val="nil"/>
              <w:left w:val="nil"/>
              <w:bottom w:val="nil"/>
              <w:right w:val="nil"/>
            </w:tcBorders>
            <w:noWrap/>
            <w:vAlign w:val="bottom"/>
            <w:hideMark/>
          </w:tcPr>
          <w:p w14:paraId="29DA8A8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0.834x</w:t>
            </w:r>
          </w:p>
        </w:tc>
        <w:tc>
          <w:tcPr>
            <w:tcW w:w="1491" w:type="dxa"/>
            <w:tcBorders>
              <w:top w:val="nil"/>
              <w:left w:val="nil"/>
              <w:bottom w:val="nil"/>
              <w:right w:val="nil"/>
            </w:tcBorders>
            <w:noWrap/>
            <w:vAlign w:val="bottom"/>
            <w:hideMark/>
          </w:tcPr>
          <w:p w14:paraId="40015D3F"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0.960x  Best</w:t>
            </w:r>
          </w:p>
        </w:tc>
        <w:tc>
          <w:tcPr>
            <w:tcW w:w="2621" w:type="dxa"/>
            <w:tcBorders>
              <w:top w:val="nil"/>
              <w:left w:val="nil"/>
              <w:bottom w:val="nil"/>
              <w:right w:val="nil"/>
            </w:tcBorders>
            <w:noWrap/>
            <w:vAlign w:val="bottom"/>
            <w:hideMark/>
          </w:tcPr>
          <w:p w14:paraId="0F630B90" w14:textId="77777777" w:rsidR="00513E41" w:rsidRPr="00C50619" w:rsidRDefault="00513E41" w:rsidP="00513E41">
            <w:pPr>
              <w:spacing w:after="0" w:line="360" w:lineRule="auto"/>
              <w:jc w:val="center"/>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C</w:t>
            </w:r>
          </w:p>
        </w:tc>
      </w:tr>
      <w:tr w:rsidR="00513E41" w:rsidRPr="00C50619" w14:paraId="64CCA0FD" w14:textId="77777777" w:rsidTr="00513E41">
        <w:trPr>
          <w:trHeight w:val="289"/>
        </w:trPr>
        <w:tc>
          <w:tcPr>
            <w:tcW w:w="1894" w:type="dxa"/>
            <w:tcBorders>
              <w:top w:val="nil"/>
              <w:left w:val="nil"/>
              <w:bottom w:val="nil"/>
              <w:right w:val="nil"/>
            </w:tcBorders>
            <w:noWrap/>
            <w:vAlign w:val="center"/>
            <w:hideMark/>
          </w:tcPr>
          <w:p w14:paraId="75FA45D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IRR</w:t>
            </w:r>
          </w:p>
        </w:tc>
        <w:tc>
          <w:tcPr>
            <w:tcW w:w="1835" w:type="dxa"/>
            <w:tcBorders>
              <w:top w:val="nil"/>
              <w:left w:val="nil"/>
              <w:bottom w:val="nil"/>
              <w:right w:val="nil"/>
            </w:tcBorders>
            <w:noWrap/>
            <w:vAlign w:val="bottom"/>
            <w:hideMark/>
          </w:tcPr>
          <w:p w14:paraId="1D55C82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2.72%</w:t>
            </w:r>
          </w:p>
        </w:tc>
        <w:tc>
          <w:tcPr>
            <w:tcW w:w="1491" w:type="dxa"/>
            <w:tcBorders>
              <w:top w:val="nil"/>
              <w:left w:val="nil"/>
              <w:bottom w:val="nil"/>
              <w:right w:val="nil"/>
            </w:tcBorders>
            <w:noWrap/>
            <w:vAlign w:val="bottom"/>
            <w:hideMark/>
          </w:tcPr>
          <w:p w14:paraId="7EEB8C6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3.26%</w:t>
            </w:r>
          </w:p>
        </w:tc>
        <w:tc>
          <w:tcPr>
            <w:tcW w:w="1491" w:type="dxa"/>
            <w:tcBorders>
              <w:top w:val="nil"/>
              <w:left w:val="nil"/>
              <w:bottom w:val="nil"/>
              <w:right w:val="nil"/>
            </w:tcBorders>
            <w:noWrap/>
            <w:vAlign w:val="bottom"/>
            <w:hideMark/>
          </w:tcPr>
          <w:p w14:paraId="2D76334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8.59%   Best</w:t>
            </w:r>
          </w:p>
        </w:tc>
        <w:tc>
          <w:tcPr>
            <w:tcW w:w="2621" w:type="dxa"/>
            <w:tcBorders>
              <w:top w:val="nil"/>
              <w:left w:val="nil"/>
              <w:bottom w:val="nil"/>
              <w:right w:val="nil"/>
            </w:tcBorders>
            <w:noWrap/>
            <w:vAlign w:val="bottom"/>
            <w:hideMark/>
          </w:tcPr>
          <w:p w14:paraId="2A99AE9E" w14:textId="77777777" w:rsidR="00513E41" w:rsidRPr="00C50619" w:rsidRDefault="00513E41" w:rsidP="00513E41">
            <w:pPr>
              <w:spacing w:after="0" w:line="360" w:lineRule="auto"/>
              <w:jc w:val="center"/>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C</w:t>
            </w:r>
          </w:p>
        </w:tc>
      </w:tr>
      <w:tr w:rsidR="00513E41" w:rsidRPr="00C50619" w14:paraId="08B518FA" w14:textId="77777777" w:rsidTr="00513E41">
        <w:trPr>
          <w:trHeight w:val="289"/>
        </w:trPr>
        <w:tc>
          <w:tcPr>
            <w:tcW w:w="1894" w:type="dxa"/>
            <w:tcBorders>
              <w:top w:val="nil"/>
              <w:left w:val="nil"/>
              <w:bottom w:val="nil"/>
              <w:right w:val="nil"/>
            </w:tcBorders>
            <w:noWrap/>
            <w:vAlign w:val="center"/>
            <w:hideMark/>
          </w:tcPr>
          <w:p w14:paraId="1948EF97"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RECOMMENDATION</w:t>
            </w:r>
          </w:p>
        </w:tc>
        <w:tc>
          <w:tcPr>
            <w:tcW w:w="1835" w:type="dxa"/>
            <w:tcBorders>
              <w:top w:val="nil"/>
              <w:left w:val="nil"/>
              <w:bottom w:val="nil"/>
              <w:right w:val="nil"/>
            </w:tcBorders>
            <w:shd w:val="clear" w:color="E2EFDA" w:fill="FCE4D6"/>
            <w:noWrap/>
            <w:vAlign w:val="bottom"/>
            <w:hideMark/>
          </w:tcPr>
          <w:p w14:paraId="1E1C39FE"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Reject</w:t>
            </w:r>
          </w:p>
        </w:tc>
        <w:tc>
          <w:tcPr>
            <w:tcW w:w="1491" w:type="dxa"/>
            <w:tcBorders>
              <w:top w:val="nil"/>
              <w:left w:val="nil"/>
              <w:bottom w:val="nil"/>
              <w:right w:val="nil"/>
            </w:tcBorders>
            <w:shd w:val="clear" w:color="E2EFDA" w:fill="FCE4D6"/>
            <w:noWrap/>
            <w:vAlign w:val="bottom"/>
            <w:hideMark/>
          </w:tcPr>
          <w:p w14:paraId="3BE97959"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 xml:space="preserve"> Reject</w:t>
            </w:r>
          </w:p>
        </w:tc>
        <w:tc>
          <w:tcPr>
            <w:tcW w:w="1491" w:type="dxa"/>
            <w:tcBorders>
              <w:top w:val="nil"/>
              <w:left w:val="nil"/>
              <w:bottom w:val="nil"/>
              <w:right w:val="nil"/>
            </w:tcBorders>
            <w:shd w:val="clear" w:color="EBF3FB" w:fill="E2EFDA"/>
            <w:noWrap/>
            <w:vAlign w:val="bottom"/>
            <w:hideMark/>
          </w:tcPr>
          <w:p w14:paraId="06E12E64"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ACCEPT</w:t>
            </w:r>
          </w:p>
        </w:tc>
        <w:tc>
          <w:tcPr>
            <w:tcW w:w="2621" w:type="dxa"/>
            <w:tcBorders>
              <w:top w:val="nil"/>
              <w:left w:val="nil"/>
              <w:bottom w:val="nil"/>
              <w:right w:val="nil"/>
            </w:tcBorders>
            <w:shd w:val="clear" w:color="EBF3FB" w:fill="E2EFDA"/>
            <w:noWrap/>
            <w:vAlign w:val="bottom"/>
            <w:hideMark/>
          </w:tcPr>
          <w:p w14:paraId="07BD6AC1" w14:textId="77777777" w:rsidR="00513E41" w:rsidRPr="00C50619" w:rsidRDefault="00513E41" w:rsidP="00513E41">
            <w:pPr>
              <w:spacing w:after="0" w:line="360" w:lineRule="auto"/>
              <w:jc w:val="center"/>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Project C</w:t>
            </w:r>
          </w:p>
        </w:tc>
      </w:tr>
      <w:tr w:rsidR="00513E41" w:rsidRPr="00C50619" w14:paraId="5EDFD601" w14:textId="77777777" w:rsidTr="00513E41">
        <w:trPr>
          <w:trHeight w:val="1159"/>
        </w:trPr>
        <w:tc>
          <w:tcPr>
            <w:tcW w:w="9334" w:type="dxa"/>
            <w:gridSpan w:val="5"/>
            <w:tcBorders>
              <w:top w:val="nil"/>
              <w:left w:val="nil"/>
              <w:bottom w:val="nil"/>
              <w:right w:val="nil"/>
            </w:tcBorders>
            <w:vAlign w:val="bottom"/>
            <w:hideMark/>
          </w:tcPr>
          <w:p w14:paraId="5B920BA9" w14:textId="0CD64304" w:rsidR="00555BF5" w:rsidRPr="00C50619" w:rsidRDefault="00513E41" w:rsidP="00513E41">
            <w:pPr>
              <w:spacing w:after="0" w:line="360" w:lineRule="auto"/>
              <w:rPr>
                <w:rFonts w:ascii="Arial" w:eastAsia="Times New Roman" w:hAnsi="Arial" w:cs="Arial"/>
                <w:i/>
                <w:iCs/>
                <w:color w:val="7F7F7F"/>
                <w:kern w:val="0"/>
                <w:lang w:val="en-GB"/>
                <w14:ligatures w14:val="none"/>
              </w:rPr>
            </w:pPr>
            <w:r w:rsidRPr="00C50619">
              <w:rPr>
                <w:rFonts w:ascii="Arial" w:eastAsia="Times New Roman" w:hAnsi="Arial" w:cs="Arial"/>
                <w:i/>
                <w:iCs/>
                <w:color w:val="7F7F7F"/>
                <w:kern w:val="0"/>
                <w:lang w:val="en-GB"/>
                <w14:ligatures w14:val="none"/>
              </w:rPr>
              <w:t xml:space="preserve"> NOTE: All three projects have negative NPV at 10% hurdle rate. Project C is still recommended as it has the least negative NPV, highest IRR (8.59% vs 10% hurdle), best ARR (12%), shortest payback (3yr 7mo), and highest PI (0.960). Under capital rationing, B+C maximises combined NPV.</w:t>
            </w:r>
          </w:p>
          <w:p w14:paraId="12D5A428" w14:textId="77777777" w:rsidR="00555BF5" w:rsidRPr="00C50619" w:rsidRDefault="00555BF5" w:rsidP="00513E41">
            <w:pPr>
              <w:spacing w:after="0" w:line="360" w:lineRule="auto"/>
              <w:rPr>
                <w:rFonts w:ascii="Arial" w:eastAsia="Times New Roman" w:hAnsi="Arial" w:cs="Arial"/>
                <w:i/>
                <w:iCs/>
                <w:color w:val="7F7F7F"/>
                <w:kern w:val="0"/>
                <w:lang w:val="en-GB"/>
                <w14:ligatures w14:val="none"/>
              </w:rPr>
            </w:pPr>
          </w:p>
          <w:p w14:paraId="268BDE67" w14:textId="77777777" w:rsidR="00400C98" w:rsidRPr="00C50619" w:rsidRDefault="00400C98" w:rsidP="00513E41">
            <w:pPr>
              <w:spacing w:after="0" w:line="360" w:lineRule="auto"/>
              <w:rPr>
                <w:rFonts w:ascii="Arial" w:eastAsia="Times New Roman" w:hAnsi="Arial" w:cs="Arial"/>
                <w:i/>
                <w:iCs/>
                <w:color w:val="7F7F7F"/>
                <w:kern w:val="0"/>
                <w:lang w:val="en-GB"/>
                <w14:ligatures w14:val="none"/>
              </w:rPr>
            </w:pPr>
          </w:p>
        </w:tc>
      </w:tr>
    </w:tbl>
    <w:p w14:paraId="12A80576" w14:textId="27F9CF33" w:rsidR="002A3B29" w:rsidRPr="00C50619" w:rsidRDefault="00586ABB" w:rsidP="00513E41">
      <w:pPr>
        <w:pStyle w:val="Heading2"/>
        <w:spacing w:line="360" w:lineRule="auto"/>
        <w:rPr>
          <w:rFonts w:cs="Arial"/>
          <w:szCs w:val="24"/>
          <w:lang w:val="en-GB"/>
        </w:rPr>
      </w:pPr>
      <w:bookmarkStart w:id="38" w:name="_Toc227770646"/>
      <w:r w:rsidRPr="00C50619">
        <w:rPr>
          <w:rFonts w:cs="Arial"/>
          <w:szCs w:val="24"/>
          <w:lang w:val="en-GB"/>
        </w:rPr>
        <w:t xml:space="preserve">Appendix </w:t>
      </w:r>
      <w:r w:rsidR="00513E41" w:rsidRPr="00C50619">
        <w:rPr>
          <w:rFonts w:cs="Arial"/>
          <w:szCs w:val="24"/>
          <w:lang w:val="en-GB"/>
        </w:rPr>
        <w:t>5</w:t>
      </w:r>
      <w:r w:rsidRPr="00C50619">
        <w:rPr>
          <w:rFonts w:cs="Arial"/>
          <w:szCs w:val="24"/>
          <w:lang w:val="en-GB"/>
        </w:rPr>
        <w:t>: Annual report data extracts</w:t>
      </w:r>
      <w:bookmarkEnd w:id="38"/>
    </w:p>
    <w:p w14:paraId="4083C58B" w14:textId="2BC214E9" w:rsidR="002A3B29" w:rsidRPr="00C50619" w:rsidRDefault="00217B47" w:rsidP="00513E41">
      <w:pPr>
        <w:spacing w:line="360" w:lineRule="auto"/>
        <w:jc w:val="both"/>
        <w:rPr>
          <w:rFonts w:ascii="Arial" w:hAnsi="Arial" w:cs="Arial"/>
          <w:lang w:val="en-GB"/>
        </w:rPr>
      </w:pPr>
      <w:r w:rsidRPr="00C50619">
        <w:rPr>
          <w:rFonts w:ascii="Arial" w:hAnsi="Arial" w:cs="Arial"/>
          <w:noProof/>
          <w:lang w:val="en-GB" w:eastAsia="en-GB"/>
        </w:rPr>
        <w:drawing>
          <wp:inline distT="0" distB="0" distL="0" distR="0" wp14:anchorId="2E99B845" wp14:editId="72C7F910">
            <wp:extent cx="5943600" cy="4274820"/>
            <wp:effectExtent l="0" t="0" r="0" b="0"/>
            <wp:docPr id="2054567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274820"/>
                    </a:xfrm>
                    <a:prstGeom prst="rect">
                      <a:avLst/>
                    </a:prstGeom>
                    <a:noFill/>
                    <a:ln>
                      <a:noFill/>
                    </a:ln>
                  </pic:spPr>
                </pic:pic>
              </a:graphicData>
            </a:graphic>
          </wp:inline>
        </w:drawing>
      </w:r>
    </w:p>
    <w:p w14:paraId="3D59CB8C" w14:textId="7018D764" w:rsidR="00217B47" w:rsidRPr="00C50619" w:rsidRDefault="00217B47" w:rsidP="00513E41">
      <w:pPr>
        <w:spacing w:line="360" w:lineRule="auto"/>
        <w:jc w:val="both"/>
        <w:rPr>
          <w:rFonts w:ascii="Arial" w:hAnsi="Arial" w:cs="Arial"/>
          <w:lang w:val="en-GB"/>
        </w:rPr>
      </w:pPr>
      <w:r w:rsidRPr="00C50619">
        <w:rPr>
          <w:rFonts w:ascii="Arial" w:hAnsi="Arial" w:cs="Arial"/>
          <w:noProof/>
          <w:lang w:val="en-GB" w:eastAsia="en-GB"/>
        </w:rPr>
        <w:lastRenderedPageBreak/>
        <w:drawing>
          <wp:inline distT="0" distB="0" distL="0" distR="0" wp14:anchorId="1BF8F1A0" wp14:editId="2A8CDCC5">
            <wp:extent cx="5943600" cy="6664325"/>
            <wp:effectExtent l="0" t="0" r="0" b="3175"/>
            <wp:docPr id="139469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6664325"/>
                    </a:xfrm>
                    <a:prstGeom prst="rect">
                      <a:avLst/>
                    </a:prstGeom>
                    <a:noFill/>
                    <a:ln>
                      <a:noFill/>
                    </a:ln>
                  </pic:spPr>
                </pic:pic>
              </a:graphicData>
            </a:graphic>
          </wp:inline>
        </w:drawing>
      </w:r>
    </w:p>
    <w:p w14:paraId="4E188C88" w14:textId="77777777" w:rsidR="00217B47" w:rsidRPr="00C50619" w:rsidRDefault="00217B47" w:rsidP="00513E41">
      <w:pPr>
        <w:spacing w:line="360" w:lineRule="auto"/>
        <w:jc w:val="both"/>
        <w:rPr>
          <w:rFonts w:ascii="Arial" w:hAnsi="Arial" w:cs="Arial"/>
          <w:lang w:val="en-GB"/>
        </w:rPr>
      </w:pPr>
    </w:p>
    <w:p w14:paraId="6E627B88" w14:textId="421AE2D4" w:rsidR="003B3630" w:rsidRPr="00C50619" w:rsidRDefault="00217B47" w:rsidP="00513E41">
      <w:pPr>
        <w:spacing w:line="360" w:lineRule="auto"/>
        <w:jc w:val="both"/>
        <w:rPr>
          <w:rFonts w:ascii="Arial" w:hAnsi="Arial" w:cs="Arial"/>
          <w:lang w:val="en-GB"/>
        </w:rPr>
      </w:pPr>
      <w:r w:rsidRPr="00C50619">
        <w:rPr>
          <w:rFonts w:ascii="Arial" w:hAnsi="Arial" w:cs="Arial"/>
          <w:noProof/>
          <w:lang w:val="en-GB" w:eastAsia="en-GB"/>
        </w:rPr>
        <w:lastRenderedPageBreak/>
        <w:drawing>
          <wp:inline distT="0" distB="0" distL="0" distR="0" wp14:anchorId="167A1E49" wp14:editId="17EFBA76">
            <wp:extent cx="5943600" cy="4946015"/>
            <wp:effectExtent l="0" t="0" r="0" b="6985"/>
            <wp:docPr id="3445036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946015"/>
                    </a:xfrm>
                    <a:prstGeom prst="rect">
                      <a:avLst/>
                    </a:prstGeom>
                    <a:noFill/>
                    <a:ln>
                      <a:noFill/>
                    </a:ln>
                  </pic:spPr>
                </pic:pic>
              </a:graphicData>
            </a:graphic>
          </wp:inline>
        </w:drawing>
      </w:r>
    </w:p>
    <w:sectPr w:rsidR="003B3630" w:rsidRPr="00C50619">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37613" w14:textId="77777777" w:rsidR="0084786B" w:rsidRDefault="0084786B" w:rsidP="002219AD">
      <w:pPr>
        <w:spacing w:after="0" w:line="240" w:lineRule="auto"/>
      </w:pPr>
      <w:r>
        <w:separator/>
      </w:r>
    </w:p>
  </w:endnote>
  <w:endnote w:type="continuationSeparator" w:id="0">
    <w:p w14:paraId="23DEE667" w14:textId="77777777" w:rsidR="0084786B" w:rsidRDefault="0084786B" w:rsidP="002219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036D89" w14:textId="77777777" w:rsidR="00305F10" w:rsidRDefault="00305F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9239966"/>
      <w:docPartObj>
        <w:docPartGallery w:val="Page Numbers (Bottom of Page)"/>
        <w:docPartUnique/>
      </w:docPartObj>
    </w:sdtPr>
    <w:sdtEndPr>
      <w:rPr>
        <w:noProof/>
      </w:rPr>
    </w:sdtEndPr>
    <w:sdtContent>
      <w:p w14:paraId="4B209A44" w14:textId="546C3977" w:rsidR="00B60F4C" w:rsidRDefault="00B60F4C">
        <w:pPr>
          <w:pStyle w:val="Footer"/>
          <w:jc w:val="right"/>
        </w:pPr>
        <w:r>
          <w:fldChar w:fldCharType="begin"/>
        </w:r>
        <w:r>
          <w:instrText xml:space="preserve"> PAGE   \* MERGEFORMAT </w:instrText>
        </w:r>
        <w:r>
          <w:fldChar w:fldCharType="separate"/>
        </w:r>
        <w:r w:rsidR="00247E2F">
          <w:rPr>
            <w:noProof/>
          </w:rPr>
          <w:t>1</w:t>
        </w:r>
        <w:r>
          <w:rPr>
            <w:noProof/>
          </w:rPr>
          <w:fldChar w:fldCharType="end"/>
        </w:r>
      </w:p>
    </w:sdtContent>
  </w:sdt>
  <w:p w14:paraId="2C006DF2" w14:textId="77777777" w:rsidR="00B60F4C" w:rsidRDefault="00B60F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7FED1C" w14:textId="77777777" w:rsidR="00305F10" w:rsidRDefault="00305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94162" w14:textId="77777777" w:rsidR="0084786B" w:rsidRDefault="0084786B" w:rsidP="002219AD">
      <w:pPr>
        <w:spacing w:after="0" w:line="240" w:lineRule="auto"/>
      </w:pPr>
      <w:r>
        <w:separator/>
      </w:r>
    </w:p>
  </w:footnote>
  <w:footnote w:type="continuationSeparator" w:id="0">
    <w:p w14:paraId="2F02E6AB" w14:textId="77777777" w:rsidR="0084786B" w:rsidRDefault="0084786B" w:rsidP="002219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3FD28" w14:textId="77777777" w:rsidR="00305F10" w:rsidRDefault="00305F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6BF95A" w14:textId="77777777" w:rsidR="00305F10" w:rsidRDefault="00305F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3B9A0" w14:textId="77777777" w:rsidR="00305F10" w:rsidRDefault="00305F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574001"/>
    <w:multiLevelType w:val="hybridMultilevel"/>
    <w:tmpl w:val="62D86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ED3C22"/>
    <w:multiLevelType w:val="hybridMultilevel"/>
    <w:tmpl w:val="2D18805E"/>
    <w:lvl w:ilvl="0" w:tplc="04090001">
      <w:start w:val="1"/>
      <w:numFmt w:val="bullet"/>
      <w:lvlText w:val=""/>
      <w:lvlJc w:val="left"/>
      <w:pPr>
        <w:ind w:left="720" w:hanging="360"/>
      </w:pPr>
      <w:rPr>
        <w:rFonts w:ascii="Symbol" w:hAnsi="Symbol" w:hint="default"/>
      </w:rPr>
    </w:lvl>
    <w:lvl w:ilvl="1" w:tplc="F90611C2">
      <w:numFmt w:val="bullet"/>
      <w:lvlText w:val="•"/>
      <w:lvlJc w:val="left"/>
      <w:pPr>
        <w:ind w:left="1800" w:hanging="720"/>
      </w:pPr>
      <w:rPr>
        <w:rFonts w:ascii="Aptos" w:eastAsiaTheme="minorHAnsi" w:hAnsi="Aptos"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5D1E82"/>
    <w:multiLevelType w:val="hybridMultilevel"/>
    <w:tmpl w:val="2A3CB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5D1EC7"/>
    <w:multiLevelType w:val="hybridMultilevel"/>
    <w:tmpl w:val="CA24587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A4D65AB"/>
    <w:multiLevelType w:val="hybridMultilevel"/>
    <w:tmpl w:val="239C9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4334C5"/>
    <w:multiLevelType w:val="hybridMultilevel"/>
    <w:tmpl w:val="D3168AE2"/>
    <w:lvl w:ilvl="0" w:tplc="04090001">
      <w:start w:val="1"/>
      <w:numFmt w:val="bullet"/>
      <w:lvlText w:val=""/>
      <w:lvlJc w:val="left"/>
      <w:pPr>
        <w:ind w:left="360" w:hanging="360"/>
      </w:pPr>
      <w:rPr>
        <w:rFonts w:ascii="Symbol" w:hAnsi="Symbol" w:hint="default"/>
      </w:rPr>
    </w:lvl>
    <w:lvl w:ilvl="1" w:tplc="9E7CA2F4">
      <w:numFmt w:val="bullet"/>
      <w:lvlText w:val="•"/>
      <w:lvlJc w:val="left"/>
      <w:pPr>
        <w:ind w:left="1440" w:hanging="720"/>
      </w:pPr>
      <w:rPr>
        <w:rFonts w:ascii="Aptos" w:eastAsiaTheme="minorHAnsi" w:hAnsi="Aptos" w:cstheme="minorBidi"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FB04A30"/>
    <w:multiLevelType w:val="hybridMultilevel"/>
    <w:tmpl w:val="A9ACD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3171147">
    <w:abstractNumId w:val="1"/>
  </w:num>
  <w:num w:numId="2" w16cid:durableId="1224873541">
    <w:abstractNumId w:val="3"/>
  </w:num>
  <w:num w:numId="3" w16cid:durableId="1566068044">
    <w:abstractNumId w:val="5"/>
  </w:num>
  <w:num w:numId="4" w16cid:durableId="261034128">
    <w:abstractNumId w:val="2"/>
  </w:num>
  <w:num w:numId="5" w16cid:durableId="2059863318">
    <w:abstractNumId w:val="0"/>
  </w:num>
  <w:num w:numId="6" w16cid:durableId="625626335">
    <w:abstractNumId w:val="6"/>
  </w:num>
  <w:num w:numId="7" w16cid:durableId="860894772">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53292"/>
    <w:rsid w:val="00083700"/>
    <w:rsid w:val="000A2AA1"/>
    <w:rsid w:val="000D1CFE"/>
    <w:rsid w:val="00150596"/>
    <w:rsid w:val="001A19A9"/>
    <w:rsid w:val="001C22F0"/>
    <w:rsid w:val="001F154A"/>
    <w:rsid w:val="00204976"/>
    <w:rsid w:val="00217B47"/>
    <w:rsid w:val="002219AD"/>
    <w:rsid w:val="00247E2F"/>
    <w:rsid w:val="002A3B29"/>
    <w:rsid w:val="00305F10"/>
    <w:rsid w:val="003142E1"/>
    <w:rsid w:val="003338D9"/>
    <w:rsid w:val="003A037A"/>
    <w:rsid w:val="003B3630"/>
    <w:rsid w:val="00400C98"/>
    <w:rsid w:val="00436437"/>
    <w:rsid w:val="004837DF"/>
    <w:rsid w:val="004A7060"/>
    <w:rsid w:val="004B039E"/>
    <w:rsid w:val="004C379C"/>
    <w:rsid w:val="004D63F3"/>
    <w:rsid w:val="00511377"/>
    <w:rsid w:val="00513E41"/>
    <w:rsid w:val="00555BF5"/>
    <w:rsid w:val="005609A0"/>
    <w:rsid w:val="00586ABB"/>
    <w:rsid w:val="005A17CA"/>
    <w:rsid w:val="005D3636"/>
    <w:rsid w:val="00633FB4"/>
    <w:rsid w:val="006531F9"/>
    <w:rsid w:val="00694DB0"/>
    <w:rsid w:val="00703710"/>
    <w:rsid w:val="0071718F"/>
    <w:rsid w:val="00741715"/>
    <w:rsid w:val="007828F0"/>
    <w:rsid w:val="007A7FB8"/>
    <w:rsid w:val="007C1E68"/>
    <w:rsid w:val="0084786B"/>
    <w:rsid w:val="00852457"/>
    <w:rsid w:val="008861D8"/>
    <w:rsid w:val="009238B5"/>
    <w:rsid w:val="009320A7"/>
    <w:rsid w:val="00994A9B"/>
    <w:rsid w:val="0099588C"/>
    <w:rsid w:val="009E4BBF"/>
    <w:rsid w:val="00A53604"/>
    <w:rsid w:val="00A87090"/>
    <w:rsid w:val="00AA6258"/>
    <w:rsid w:val="00B00C3B"/>
    <w:rsid w:val="00B040EE"/>
    <w:rsid w:val="00B341FC"/>
    <w:rsid w:val="00B4123C"/>
    <w:rsid w:val="00B43FE5"/>
    <w:rsid w:val="00B60F4C"/>
    <w:rsid w:val="00B765FE"/>
    <w:rsid w:val="00BC4D01"/>
    <w:rsid w:val="00BC754A"/>
    <w:rsid w:val="00C17005"/>
    <w:rsid w:val="00C50619"/>
    <w:rsid w:val="00C52345"/>
    <w:rsid w:val="00C76E8D"/>
    <w:rsid w:val="00C97DE5"/>
    <w:rsid w:val="00CA65D3"/>
    <w:rsid w:val="00CF21C5"/>
    <w:rsid w:val="00D63BE6"/>
    <w:rsid w:val="00E25D90"/>
    <w:rsid w:val="00E4529C"/>
    <w:rsid w:val="00E53292"/>
    <w:rsid w:val="00EE3024"/>
    <w:rsid w:val="00EF6703"/>
    <w:rsid w:val="00F3386D"/>
    <w:rsid w:val="00F46DDB"/>
    <w:rsid w:val="00F82342"/>
    <w:rsid w:val="00FC399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D056F3"/>
  <w15:docId w15:val="{3C6F366D-1F65-014A-8FF5-231758542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BF5"/>
  </w:style>
  <w:style w:type="paragraph" w:styleId="Heading1">
    <w:name w:val="heading 1"/>
    <w:basedOn w:val="Normal"/>
    <w:next w:val="Normal"/>
    <w:link w:val="Heading1Char"/>
    <w:uiPriority w:val="9"/>
    <w:qFormat/>
    <w:rsid w:val="00A53604"/>
    <w:pPr>
      <w:keepNext/>
      <w:keepLines/>
      <w:spacing w:before="360" w:after="80"/>
      <w:outlineLvl w:val="0"/>
    </w:pPr>
    <w:rPr>
      <w:rFonts w:ascii="Arial" w:eastAsiaTheme="majorEastAsia" w:hAnsi="Arial" w:cstheme="majorBidi"/>
      <w:b/>
      <w:sz w:val="22"/>
      <w:szCs w:val="40"/>
    </w:rPr>
  </w:style>
  <w:style w:type="paragraph" w:styleId="Heading2">
    <w:name w:val="heading 2"/>
    <w:basedOn w:val="Normal"/>
    <w:next w:val="Normal"/>
    <w:link w:val="Heading2Char"/>
    <w:uiPriority w:val="9"/>
    <w:unhideWhenUsed/>
    <w:qFormat/>
    <w:rsid w:val="00A53604"/>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E532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32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32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32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32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2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2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604"/>
    <w:rPr>
      <w:rFonts w:ascii="Arial" w:eastAsiaTheme="majorEastAsia" w:hAnsi="Arial" w:cstheme="majorBidi"/>
      <w:b/>
      <w:sz w:val="22"/>
      <w:szCs w:val="40"/>
    </w:rPr>
  </w:style>
  <w:style w:type="character" w:customStyle="1" w:styleId="Heading2Char">
    <w:name w:val="Heading 2 Char"/>
    <w:basedOn w:val="DefaultParagraphFont"/>
    <w:link w:val="Heading2"/>
    <w:uiPriority w:val="9"/>
    <w:rsid w:val="00A53604"/>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E532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2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32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32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2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2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292"/>
    <w:rPr>
      <w:rFonts w:eastAsiaTheme="majorEastAsia" w:cstheme="majorBidi"/>
      <w:color w:val="272727" w:themeColor="text1" w:themeTint="D8"/>
    </w:rPr>
  </w:style>
  <w:style w:type="paragraph" w:styleId="Title">
    <w:name w:val="Title"/>
    <w:basedOn w:val="Normal"/>
    <w:next w:val="Normal"/>
    <w:link w:val="TitleChar"/>
    <w:uiPriority w:val="10"/>
    <w:qFormat/>
    <w:rsid w:val="00E532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2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2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2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292"/>
    <w:pPr>
      <w:spacing w:before="160"/>
      <w:jc w:val="center"/>
    </w:pPr>
    <w:rPr>
      <w:i/>
      <w:iCs/>
      <w:color w:val="404040" w:themeColor="text1" w:themeTint="BF"/>
    </w:rPr>
  </w:style>
  <w:style w:type="character" w:customStyle="1" w:styleId="QuoteChar">
    <w:name w:val="Quote Char"/>
    <w:basedOn w:val="DefaultParagraphFont"/>
    <w:link w:val="Quote"/>
    <w:uiPriority w:val="29"/>
    <w:rsid w:val="00E53292"/>
    <w:rPr>
      <w:i/>
      <w:iCs/>
      <w:color w:val="404040" w:themeColor="text1" w:themeTint="BF"/>
    </w:rPr>
  </w:style>
  <w:style w:type="paragraph" w:styleId="ListParagraph">
    <w:name w:val="List Paragraph"/>
    <w:basedOn w:val="Normal"/>
    <w:uiPriority w:val="34"/>
    <w:qFormat/>
    <w:rsid w:val="00E53292"/>
    <w:pPr>
      <w:ind w:left="720"/>
      <w:contextualSpacing/>
    </w:pPr>
  </w:style>
  <w:style w:type="character" w:styleId="IntenseEmphasis">
    <w:name w:val="Intense Emphasis"/>
    <w:basedOn w:val="DefaultParagraphFont"/>
    <w:uiPriority w:val="21"/>
    <w:qFormat/>
    <w:rsid w:val="00E53292"/>
    <w:rPr>
      <w:i/>
      <w:iCs/>
      <w:color w:val="0F4761" w:themeColor="accent1" w:themeShade="BF"/>
    </w:rPr>
  </w:style>
  <w:style w:type="paragraph" w:styleId="IntenseQuote">
    <w:name w:val="Intense Quote"/>
    <w:basedOn w:val="Normal"/>
    <w:next w:val="Normal"/>
    <w:link w:val="IntenseQuoteChar"/>
    <w:uiPriority w:val="30"/>
    <w:qFormat/>
    <w:rsid w:val="00E532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3292"/>
    <w:rPr>
      <w:i/>
      <w:iCs/>
      <w:color w:val="0F4761" w:themeColor="accent1" w:themeShade="BF"/>
    </w:rPr>
  </w:style>
  <w:style w:type="character" w:styleId="IntenseReference">
    <w:name w:val="Intense Reference"/>
    <w:basedOn w:val="DefaultParagraphFont"/>
    <w:uiPriority w:val="32"/>
    <w:qFormat/>
    <w:rsid w:val="00E53292"/>
    <w:rPr>
      <w:b/>
      <w:bCs/>
      <w:smallCaps/>
      <w:color w:val="0F4761" w:themeColor="accent1" w:themeShade="BF"/>
      <w:spacing w:val="5"/>
    </w:rPr>
  </w:style>
  <w:style w:type="character" w:styleId="Hyperlink">
    <w:name w:val="Hyperlink"/>
    <w:basedOn w:val="DefaultParagraphFont"/>
    <w:uiPriority w:val="99"/>
    <w:unhideWhenUsed/>
    <w:rsid w:val="00E53292"/>
    <w:rPr>
      <w:color w:val="467886" w:themeColor="hyperlink"/>
      <w:u w:val="single"/>
    </w:rPr>
  </w:style>
  <w:style w:type="character" w:customStyle="1" w:styleId="UnresolvedMention1">
    <w:name w:val="Unresolved Mention1"/>
    <w:basedOn w:val="DefaultParagraphFont"/>
    <w:uiPriority w:val="99"/>
    <w:semiHidden/>
    <w:unhideWhenUsed/>
    <w:rsid w:val="00E53292"/>
    <w:rPr>
      <w:color w:val="605E5C"/>
      <w:shd w:val="clear" w:color="auto" w:fill="E1DFDD"/>
    </w:rPr>
  </w:style>
  <w:style w:type="paragraph" w:styleId="TOCHeading">
    <w:name w:val="TOC Heading"/>
    <w:basedOn w:val="Heading1"/>
    <w:next w:val="Normal"/>
    <w:uiPriority w:val="39"/>
    <w:unhideWhenUsed/>
    <w:qFormat/>
    <w:rsid w:val="00C97DE5"/>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C97DE5"/>
    <w:pPr>
      <w:spacing w:after="100"/>
    </w:pPr>
  </w:style>
  <w:style w:type="paragraph" w:styleId="TOC2">
    <w:name w:val="toc 2"/>
    <w:basedOn w:val="Normal"/>
    <w:next w:val="Normal"/>
    <w:autoRedefine/>
    <w:uiPriority w:val="39"/>
    <w:unhideWhenUsed/>
    <w:rsid w:val="00C97DE5"/>
    <w:pPr>
      <w:spacing w:after="100"/>
      <w:ind w:left="240"/>
    </w:pPr>
  </w:style>
  <w:style w:type="character" w:styleId="FollowedHyperlink">
    <w:name w:val="FollowedHyperlink"/>
    <w:basedOn w:val="DefaultParagraphFont"/>
    <w:uiPriority w:val="99"/>
    <w:semiHidden/>
    <w:unhideWhenUsed/>
    <w:rsid w:val="002219AD"/>
    <w:rPr>
      <w:color w:val="96607D" w:themeColor="followedHyperlink"/>
      <w:u w:val="single"/>
    </w:rPr>
  </w:style>
  <w:style w:type="paragraph" w:styleId="Header">
    <w:name w:val="header"/>
    <w:basedOn w:val="Normal"/>
    <w:link w:val="HeaderChar"/>
    <w:uiPriority w:val="99"/>
    <w:unhideWhenUsed/>
    <w:rsid w:val="002219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19AD"/>
  </w:style>
  <w:style w:type="paragraph" w:styleId="Footer">
    <w:name w:val="footer"/>
    <w:basedOn w:val="Normal"/>
    <w:link w:val="FooterChar"/>
    <w:uiPriority w:val="99"/>
    <w:unhideWhenUsed/>
    <w:rsid w:val="002219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19AD"/>
  </w:style>
  <w:style w:type="paragraph" w:styleId="BalloonText">
    <w:name w:val="Balloon Text"/>
    <w:basedOn w:val="Normal"/>
    <w:link w:val="BalloonTextChar"/>
    <w:uiPriority w:val="99"/>
    <w:semiHidden/>
    <w:unhideWhenUsed/>
    <w:rsid w:val="00B60F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0F4C"/>
    <w:rPr>
      <w:rFonts w:ascii="Tahoma" w:hAnsi="Tahoma" w:cs="Tahoma"/>
      <w:sz w:val="16"/>
      <w:szCs w:val="16"/>
    </w:rPr>
  </w:style>
  <w:style w:type="paragraph" w:styleId="NormalWeb">
    <w:name w:val="Normal (Web)"/>
    <w:basedOn w:val="Normal"/>
    <w:uiPriority w:val="99"/>
    <w:semiHidden/>
    <w:unhideWhenUsed/>
    <w:rsid w:val="00555BF5"/>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298542">
      <w:bodyDiv w:val="1"/>
      <w:marLeft w:val="0"/>
      <w:marRight w:val="0"/>
      <w:marTop w:val="0"/>
      <w:marBottom w:val="0"/>
      <w:divBdr>
        <w:top w:val="none" w:sz="0" w:space="0" w:color="auto"/>
        <w:left w:val="none" w:sz="0" w:space="0" w:color="auto"/>
        <w:bottom w:val="none" w:sz="0" w:space="0" w:color="auto"/>
        <w:right w:val="none" w:sz="0" w:space="0" w:color="auto"/>
      </w:divBdr>
      <w:divsChild>
        <w:div w:id="185875849">
          <w:marLeft w:val="0"/>
          <w:marRight w:val="0"/>
          <w:marTop w:val="0"/>
          <w:marBottom w:val="0"/>
          <w:divBdr>
            <w:top w:val="none" w:sz="0" w:space="0" w:color="auto"/>
            <w:left w:val="none" w:sz="0" w:space="0" w:color="auto"/>
            <w:bottom w:val="none" w:sz="0" w:space="0" w:color="auto"/>
            <w:right w:val="none" w:sz="0" w:space="0" w:color="auto"/>
          </w:divBdr>
        </w:div>
      </w:divsChild>
    </w:div>
    <w:div w:id="1685937093">
      <w:bodyDiv w:val="1"/>
      <w:marLeft w:val="0"/>
      <w:marRight w:val="0"/>
      <w:marTop w:val="0"/>
      <w:marBottom w:val="0"/>
      <w:divBdr>
        <w:top w:val="none" w:sz="0" w:space="0" w:color="auto"/>
        <w:left w:val="none" w:sz="0" w:space="0" w:color="auto"/>
        <w:bottom w:val="none" w:sz="0" w:space="0" w:color="auto"/>
        <w:right w:val="none" w:sz="0" w:space="0" w:color="auto"/>
      </w:divBdr>
      <w:divsChild>
        <w:div w:id="18031120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emf"/><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1" Type="http://schemas.openxmlformats.org/officeDocument/2006/relationships/oleObject" Target="file:///D:\Sagor\Work%20files\2026\Appril-26\BYD_Financial_Analysis_Fixed.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Sagor\Work%20files\2026\Appril-26\BYD_Financial_Analysis_Fixed.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Sagor\Work%20files\2026\Appril-26\BYD_Financial_Analysis_Fixed.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Sagor\Work%20files\2026\Appril-26\BYD_Financial_Analysis_Fixe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lang="en-US" sz="1800" b="1" strike="noStrike" spc="-1">
                <a:solidFill>
                  <a:srgbClr val="000000"/>
                </a:solidFill>
                <a:latin typeface="Calibri"/>
              </a:defRPr>
            </a:pPr>
            <a:r>
              <a:rPr lang="en-US" sz="1800" b="1" strike="noStrike" spc="-1">
                <a:solidFill>
                  <a:srgbClr val="000000"/>
                </a:solidFill>
                <a:latin typeface="Calibri"/>
              </a:rPr>
              <a:t>Revenue &amp; Gross Profit (RMB Bn)</a:t>
            </a:r>
          </a:p>
        </c:rich>
      </c:tx>
      <c:overlay val="0"/>
      <c:spPr>
        <a:noFill/>
        <a:ln w="0">
          <a:noFill/>
        </a:ln>
      </c:spPr>
    </c:title>
    <c:autoTitleDeleted val="0"/>
    <c:plotArea>
      <c:layout/>
      <c:barChart>
        <c:barDir val="col"/>
        <c:grouping val="clustered"/>
        <c:varyColors val="0"/>
        <c:ser>
          <c:idx val="0"/>
          <c:order val="0"/>
          <c:tx>
            <c:v>Revenue</c:v>
          </c:tx>
          <c:spPr>
            <a:solidFill>
              <a:srgbClr val="2E75B6"/>
            </a:solidFill>
            <a:ln w="9360">
              <a:solidFill>
                <a:srgbClr val="F9F9F9"/>
              </a:solidFill>
              <a:round/>
            </a:ln>
          </c:spPr>
          <c:invertIfNegative val="0"/>
          <c:dLbls>
            <c:spPr>
              <a:noFill/>
              <a:ln>
                <a:noFill/>
              </a:ln>
              <a:effectLst/>
            </c:spPr>
            <c:txPr>
              <a:bodyPr wrap="square"/>
              <a:lstStyle/>
              <a:p>
                <a:pPr>
                  <a:defRPr sz="1000" b="0" strike="noStrike" spc="-1">
                    <a:solidFill>
                      <a:srgbClr val="000000"/>
                    </a:solidFill>
                    <a:latin typeface="Arial"/>
                  </a:defRPr>
                </a:pPr>
                <a:endParaRPr lang="en-US"/>
              </a:p>
            </c:txPr>
            <c:dLblPos val="outEnd"/>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Graphs'!$B$4:$F$4</c:f>
              <c:strCache>
                <c:ptCount val="5"/>
                <c:pt idx="0">
                  <c:v>2020</c:v>
                </c:pt>
                <c:pt idx="1">
                  <c:v>2021</c:v>
                </c:pt>
                <c:pt idx="2">
                  <c:v>2022</c:v>
                </c:pt>
                <c:pt idx="3">
                  <c:v>2023</c:v>
                </c:pt>
                <c:pt idx="4">
                  <c:v>2024</c:v>
                </c:pt>
              </c:strCache>
            </c:strRef>
          </c:cat>
          <c:val>
            <c:numRef>
              <c:f>'Charts &amp; Graphs'!$B$5:$F$5</c:f>
              <c:numCache>
                <c:formatCode>#,##0.0</c:formatCode>
                <c:ptCount val="5"/>
                <c:pt idx="0">
                  <c:v>153.5</c:v>
                </c:pt>
                <c:pt idx="1">
                  <c:v>216.1</c:v>
                </c:pt>
                <c:pt idx="2">
                  <c:v>424.1</c:v>
                </c:pt>
                <c:pt idx="3">
                  <c:v>602.29999999999995</c:v>
                </c:pt>
                <c:pt idx="4">
                  <c:v>777.1</c:v>
                </c:pt>
              </c:numCache>
            </c:numRef>
          </c:val>
          <c:extLst>
            <c:ext xmlns:c16="http://schemas.microsoft.com/office/drawing/2014/chart" uri="{C3380CC4-5D6E-409C-BE32-E72D297353CC}">
              <c16:uniqueId val="{00000000-74F4-4000-8713-11D6D49D145A}"/>
            </c:ext>
          </c:extLst>
        </c:ser>
        <c:ser>
          <c:idx val="1"/>
          <c:order val="1"/>
          <c:tx>
            <c:v>Gross Profit</c:v>
          </c:tx>
          <c:spPr>
            <a:solidFill>
              <a:srgbClr val="70AD47"/>
            </a:solidFill>
            <a:ln w="9360">
              <a:solidFill>
                <a:srgbClr val="F9F9F9"/>
              </a:solidFill>
              <a:round/>
            </a:ln>
          </c:spPr>
          <c:invertIfNegative val="0"/>
          <c:dLbls>
            <c:spPr>
              <a:noFill/>
              <a:ln>
                <a:noFill/>
              </a:ln>
              <a:effectLst/>
            </c:spPr>
            <c:txPr>
              <a:bodyPr wrap="square"/>
              <a:lstStyle/>
              <a:p>
                <a:pPr>
                  <a:defRPr sz="1000" b="0" strike="noStrike" spc="-1">
                    <a:solidFill>
                      <a:srgbClr val="000000"/>
                    </a:solidFill>
                    <a:latin typeface="Arial"/>
                  </a:defRPr>
                </a:pPr>
                <a:endParaRPr lang="en-US"/>
              </a:p>
            </c:txPr>
            <c:dLblPos val="outEnd"/>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Graphs'!$B$4:$F$4</c:f>
              <c:strCache>
                <c:ptCount val="5"/>
                <c:pt idx="0">
                  <c:v>2020</c:v>
                </c:pt>
                <c:pt idx="1">
                  <c:v>2021</c:v>
                </c:pt>
                <c:pt idx="2">
                  <c:v>2022</c:v>
                </c:pt>
                <c:pt idx="3">
                  <c:v>2023</c:v>
                </c:pt>
                <c:pt idx="4">
                  <c:v>2024</c:v>
                </c:pt>
              </c:strCache>
            </c:strRef>
          </c:cat>
          <c:val>
            <c:numRef>
              <c:f>'Charts &amp; Graphs'!$B$6:$F$6</c:f>
              <c:numCache>
                <c:formatCode>#,##0.0</c:formatCode>
                <c:ptCount val="5"/>
                <c:pt idx="0">
                  <c:v>27.2</c:v>
                </c:pt>
                <c:pt idx="1">
                  <c:v>28.1</c:v>
                </c:pt>
                <c:pt idx="2">
                  <c:v>72.2</c:v>
                </c:pt>
                <c:pt idx="3">
                  <c:v>121.8</c:v>
                </c:pt>
                <c:pt idx="4">
                  <c:v>151.1</c:v>
                </c:pt>
              </c:numCache>
            </c:numRef>
          </c:val>
          <c:extLst>
            <c:ext xmlns:c16="http://schemas.microsoft.com/office/drawing/2014/chart" uri="{C3380CC4-5D6E-409C-BE32-E72D297353CC}">
              <c16:uniqueId val="{00000001-74F4-4000-8713-11D6D49D145A}"/>
            </c:ext>
          </c:extLst>
        </c:ser>
        <c:dLbls>
          <c:showLegendKey val="0"/>
          <c:showVal val="0"/>
          <c:showCatName val="0"/>
          <c:showSerName val="0"/>
          <c:showPercent val="0"/>
          <c:showBubbleSize val="0"/>
        </c:dLbls>
        <c:gapWidth val="150"/>
        <c:axId val="273224832"/>
        <c:axId val="288953856"/>
      </c:barChart>
      <c:catAx>
        <c:axId val="273224832"/>
        <c:scaling>
          <c:orientation val="minMax"/>
        </c:scaling>
        <c:delete val="0"/>
        <c:axPos val="b"/>
        <c:title>
          <c:tx>
            <c:rich>
              <a:bodyPr rot="0"/>
              <a:lstStyle/>
              <a:p>
                <a:pPr>
                  <a:defRPr lang="en-US" sz="1000" b="1" strike="noStrike" spc="-1">
                    <a:solidFill>
                      <a:srgbClr val="000000"/>
                    </a:solidFill>
                    <a:latin typeface="Calibri"/>
                  </a:defRPr>
                </a:pPr>
                <a:r>
                  <a:rPr lang="en-US"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88953856"/>
        <c:crosses val="autoZero"/>
        <c:auto val="1"/>
        <c:lblAlgn val="ctr"/>
        <c:lblOffset val="100"/>
        <c:noMultiLvlLbl val="0"/>
      </c:catAx>
      <c:valAx>
        <c:axId val="288953856"/>
        <c:scaling>
          <c:orientation val="minMax"/>
        </c:scaling>
        <c:delete val="0"/>
        <c:axPos val="l"/>
        <c:majorGridlines>
          <c:spPr>
            <a:ln w="9360">
              <a:solidFill>
                <a:srgbClr val="878787"/>
              </a:solidFill>
              <a:round/>
            </a:ln>
          </c:spPr>
        </c:majorGridlines>
        <c:title>
          <c:tx>
            <c:rich>
              <a:bodyPr rot="-5400000"/>
              <a:lstStyle/>
              <a:p>
                <a:pPr>
                  <a:defRPr lang="en-US" sz="1000" b="1" strike="noStrike" spc="-1">
                    <a:solidFill>
                      <a:srgbClr val="000000"/>
                    </a:solidFill>
                    <a:latin typeface="Calibri"/>
                  </a:defRPr>
                </a:pPr>
                <a:r>
                  <a:rPr lang="en-US" sz="1000" b="1" strike="noStrike" spc="-1">
                    <a:solidFill>
                      <a:srgbClr val="000000"/>
                    </a:solidFill>
                    <a:latin typeface="Calibri"/>
                  </a:rPr>
                  <a:t>RMB Billion</a:t>
                </a:r>
              </a:p>
            </c:rich>
          </c:tx>
          <c:overlay val="0"/>
          <c:spPr>
            <a:noFill/>
            <a:ln w="0">
              <a:noFill/>
            </a:ln>
          </c:spPr>
        </c:title>
        <c:numFmt formatCode="#,##0.0"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73224832"/>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lang="en-US" sz="1800" b="1" strike="noStrike" spc="-1">
                <a:solidFill>
                  <a:srgbClr val="000000"/>
                </a:solidFill>
                <a:latin typeface="Calibri"/>
              </a:defRPr>
            </a:pPr>
            <a:r>
              <a:rPr lang="en-US" sz="1800" b="1" strike="noStrike" spc="-1">
                <a:solidFill>
                  <a:srgbClr val="000000"/>
                </a:solidFill>
                <a:latin typeface="Calibri"/>
              </a:rPr>
              <a:t>Net Profit (Parent) vs Operating Cash Flow (RMB Bn)</a:t>
            </a:r>
          </a:p>
        </c:rich>
      </c:tx>
      <c:overlay val="0"/>
      <c:spPr>
        <a:noFill/>
        <a:ln w="0">
          <a:noFill/>
        </a:ln>
      </c:spPr>
    </c:title>
    <c:autoTitleDeleted val="0"/>
    <c:plotArea>
      <c:layout/>
      <c:lineChart>
        <c:grouping val="standard"/>
        <c:varyColors val="0"/>
        <c:ser>
          <c:idx val="0"/>
          <c:order val="0"/>
          <c:tx>
            <c:v>Net Profit (Parent)</c:v>
          </c:tx>
          <c:spPr>
            <a:ln w="20160">
              <a:solidFill>
                <a:srgbClr val="FF0000"/>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Graphs'!$B$4:$F$4</c:f>
              <c:strCache>
                <c:ptCount val="5"/>
                <c:pt idx="0">
                  <c:v>2020</c:v>
                </c:pt>
                <c:pt idx="1">
                  <c:v>2021</c:v>
                </c:pt>
                <c:pt idx="2">
                  <c:v>2022</c:v>
                </c:pt>
                <c:pt idx="3">
                  <c:v>2023</c:v>
                </c:pt>
                <c:pt idx="4">
                  <c:v>2024</c:v>
                </c:pt>
              </c:strCache>
            </c:strRef>
          </c:cat>
          <c:val>
            <c:numRef>
              <c:f>'Charts &amp; Graphs'!$B$7:$F$7</c:f>
              <c:numCache>
                <c:formatCode>#,##0.0</c:formatCode>
                <c:ptCount val="5"/>
                <c:pt idx="0">
                  <c:v>4.2</c:v>
                </c:pt>
                <c:pt idx="1">
                  <c:v>3</c:v>
                </c:pt>
                <c:pt idx="2">
                  <c:v>16.600000000000001</c:v>
                </c:pt>
                <c:pt idx="3">
                  <c:v>30</c:v>
                </c:pt>
                <c:pt idx="4">
                  <c:v>40.299999999999997</c:v>
                </c:pt>
              </c:numCache>
            </c:numRef>
          </c:val>
          <c:smooth val="1"/>
          <c:extLst>
            <c:ext xmlns:c16="http://schemas.microsoft.com/office/drawing/2014/chart" uri="{C3380CC4-5D6E-409C-BE32-E72D297353CC}">
              <c16:uniqueId val="{00000000-2564-409C-9AB4-AA69198D3988}"/>
            </c:ext>
          </c:extLst>
        </c:ser>
        <c:ser>
          <c:idx val="1"/>
          <c:order val="1"/>
          <c:tx>
            <c:v>Operating CF</c:v>
          </c:tx>
          <c:spPr>
            <a:ln w="20160">
              <a:solidFill>
                <a:srgbClr val="2E75B6"/>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Graphs'!$B$4:$F$4</c:f>
              <c:strCache>
                <c:ptCount val="5"/>
                <c:pt idx="0">
                  <c:v>2020</c:v>
                </c:pt>
                <c:pt idx="1">
                  <c:v>2021</c:v>
                </c:pt>
                <c:pt idx="2">
                  <c:v>2022</c:v>
                </c:pt>
                <c:pt idx="3">
                  <c:v>2023</c:v>
                </c:pt>
                <c:pt idx="4">
                  <c:v>2024</c:v>
                </c:pt>
              </c:strCache>
            </c:strRef>
          </c:cat>
          <c:val>
            <c:numRef>
              <c:f>'Charts &amp; Graphs'!$B$8:$F$8</c:f>
              <c:numCache>
                <c:formatCode>#,##0.0</c:formatCode>
                <c:ptCount val="5"/>
                <c:pt idx="0">
                  <c:v>45.4</c:v>
                </c:pt>
                <c:pt idx="1">
                  <c:v>65.5</c:v>
                </c:pt>
                <c:pt idx="2">
                  <c:v>140.80000000000001</c:v>
                </c:pt>
                <c:pt idx="3">
                  <c:v>169.7</c:v>
                </c:pt>
                <c:pt idx="4">
                  <c:v>133.5</c:v>
                </c:pt>
              </c:numCache>
            </c:numRef>
          </c:val>
          <c:smooth val="1"/>
          <c:extLst>
            <c:ext xmlns:c16="http://schemas.microsoft.com/office/drawing/2014/chart" uri="{C3380CC4-5D6E-409C-BE32-E72D297353CC}">
              <c16:uniqueId val="{00000001-2564-409C-9AB4-AA69198D3988}"/>
            </c:ext>
          </c:extLst>
        </c:ser>
        <c:dLbls>
          <c:showLegendKey val="0"/>
          <c:showVal val="0"/>
          <c:showCatName val="0"/>
          <c:showSerName val="0"/>
          <c:showPercent val="0"/>
          <c:showBubbleSize val="0"/>
        </c:dLbls>
        <c:hiLowLines>
          <c:spPr>
            <a:ln w="0">
              <a:noFill/>
            </a:ln>
          </c:spPr>
        </c:hiLowLines>
        <c:smooth val="0"/>
        <c:axId val="230020992"/>
        <c:axId val="230043648"/>
      </c:lineChart>
      <c:catAx>
        <c:axId val="230020992"/>
        <c:scaling>
          <c:orientation val="minMax"/>
        </c:scaling>
        <c:delete val="0"/>
        <c:axPos val="b"/>
        <c:title>
          <c:tx>
            <c:rich>
              <a:bodyPr rot="0"/>
              <a:lstStyle/>
              <a:p>
                <a:pPr>
                  <a:defRPr lang="en-US" sz="1000" b="1" strike="noStrike" spc="-1">
                    <a:solidFill>
                      <a:srgbClr val="000000"/>
                    </a:solidFill>
                    <a:latin typeface="Calibri"/>
                  </a:defRPr>
                </a:pPr>
                <a:r>
                  <a:rPr lang="en-US"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30043648"/>
        <c:crosses val="autoZero"/>
        <c:auto val="1"/>
        <c:lblAlgn val="ctr"/>
        <c:lblOffset val="100"/>
        <c:noMultiLvlLbl val="0"/>
      </c:catAx>
      <c:valAx>
        <c:axId val="230043648"/>
        <c:scaling>
          <c:orientation val="minMax"/>
        </c:scaling>
        <c:delete val="0"/>
        <c:axPos val="l"/>
        <c:majorGridlines>
          <c:spPr>
            <a:ln w="9360">
              <a:solidFill>
                <a:srgbClr val="878787"/>
              </a:solidFill>
              <a:round/>
            </a:ln>
          </c:spPr>
        </c:majorGridlines>
        <c:title>
          <c:tx>
            <c:rich>
              <a:bodyPr rot="-5400000"/>
              <a:lstStyle/>
              <a:p>
                <a:pPr>
                  <a:defRPr lang="en-US" sz="1000" b="1" strike="noStrike" spc="-1">
                    <a:solidFill>
                      <a:srgbClr val="000000"/>
                    </a:solidFill>
                    <a:latin typeface="Calibri"/>
                  </a:defRPr>
                </a:pPr>
                <a:r>
                  <a:rPr lang="en-US" sz="1000" b="1" strike="noStrike" spc="-1">
                    <a:solidFill>
                      <a:srgbClr val="000000"/>
                    </a:solidFill>
                    <a:latin typeface="Calibri"/>
                  </a:rPr>
                  <a:t>RMB Billion</a:t>
                </a:r>
              </a:p>
            </c:rich>
          </c:tx>
          <c:overlay val="0"/>
          <c:spPr>
            <a:noFill/>
            <a:ln w="0">
              <a:noFill/>
            </a:ln>
          </c:spPr>
        </c:title>
        <c:numFmt formatCode="#,##0.0"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30020992"/>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US" sz="1800" b="1" strike="noStrike" spc="-1">
                <a:solidFill>
                  <a:srgbClr val="000000"/>
                </a:solidFill>
                <a:latin typeface="Calibri"/>
              </a:rPr>
              <a:t>Profitability Margins (%)</a:t>
            </a:r>
          </a:p>
        </c:rich>
      </c:tx>
      <c:overlay val="0"/>
      <c:spPr>
        <a:noFill/>
        <a:ln w="0">
          <a:noFill/>
        </a:ln>
      </c:spPr>
    </c:title>
    <c:autoTitleDeleted val="0"/>
    <c:plotArea>
      <c:layout/>
      <c:lineChart>
        <c:grouping val="standard"/>
        <c:varyColors val="0"/>
        <c:ser>
          <c:idx val="0"/>
          <c:order val="0"/>
          <c:tx>
            <c:v>Gross Margin %</c:v>
          </c:tx>
          <c:spPr>
            <a:ln w="20160">
              <a:solidFill>
                <a:srgbClr val="4A7EBB"/>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Graphs'!$B$11:$F$11</c:f>
              <c:strCache>
                <c:ptCount val="5"/>
                <c:pt idx="0">
                  <c:v>2020</c:v>
                </c:pt>
                <c:pt idx="1">
                  <c:v>2021</c:v>
                </c:pt>
                <c:pt idx="2">
                  <c:v>2022</c:v>
                </c:pt>
                <c:pt idx="3">
                  <c:v>2023</c:v>
                </c:pt>
                <c:pt idx="4">
                  <c:v>2024</c:v>
                </c:pt>
              </c:strCache>
            </c:strRef>
          </c:cat>
          <c:val>
            <c:numRef>
              <c:f>'Charts &amp; Graphs'!$B$12:$F$12</c:f>
              <c:numCache>
                <c:formatCode>0.0%</c:formatCode>
                <c:ptCount val="5"/>
                <c:pt idx="0">
                  <c:v>0.17749999999999999</c:v>
                </c:pt>
                <c:pt idx="1">
                  <c:v>0.13020000000000001</c:v>
                </c:pt>
                <c:pt idx="2">
                  <c:v>0.1704</c:v>
                </c:pt>
                <c:pt idx="3">
                  <c:v>0.2021</c:v>
                </c:pt>
                <c:pt idx="4">
                  <c:v>0.19439999999999999</c:v>
                </c:pt>
              </c:numCache>
            </c:numRef>
          </c:val>
          <c:smooth val="1"/>
          <c:extLst>
            <c:ext xmlns:c16="http://schemas.microsoft.com/office/drawing/2014/chart" uri="{C3380CC4-5D6E-409C-BE32-E72D297353CC}">
              <c16:uniqueId val="{00000000-07E7-4314-9594-743662B095FD}"/>
            </c:ext>
          </c:extLst>
        </c:ser>
        <c:ser>
          <c:idx val="1"/>
          <c:order val="1"/>
          <c:tx>
            <c:v>Op. Profit Margin %</c:v>
          </c:tx>
          <c:spPr>
            <a:ln w="20160">
              <a:solidFill>
                <a:srgbClr val="BE4B48"/>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Graphs'!$B$11:$F$11</c:f>
              <c:strCache>
                <c:ptCount val="5"/>
                <c:pt idx="0">
                  <c:v>2020</c:v>
                </c:pt>
                <c:pt idx="1">
                  <c:v>2021</c:v>
                </c:pt>
                <c:pt idx="2">
                  <c:v>2022</c:v>
                </c:pt>
                <c:pt idx="3">
                  <c:v>2023</c:v>
                </c:pt>
                <c:pt idx="4">
                  <c:v>2024</c:v>
                </c:pt>
              </c:strCache>
            </c:strRef>
          </c:cat>
          <c:val>
            <c:numRef>
              <c:f>'Charts &amp; Graphs'!$B$13:$F$13</c:f>
              <c:numCache>
                <c:formatCode>0.0%</c:formatCode>
                <c:ptCount val="5"/>
                <c:pt idx="0">
                  <c:v>3.0200000000000001E-2</c:v>
                </c:pt>
                <c:pt idx="1">
                  <c:v>2.1399999999999999E-2</c:v>
                </c:pt>
                <c:pt idx="2">
                  <c:v>5.0799999999999998E-2</c:v>
                </c:pt>
                <c:pt idx="3">
                  <c:v>6.3299999999999995E-2</c:v>
                </c:pt>
                <c:pt idx="4">
                  <c:v>6.5000000000000002E-2</c:v>
                </c:pt>
              </c:numCache>
            </c:numRef>
          </c:val>
          <c:smooth val="1"/>
          <c:extLst>
            <c:ext xmlns:c16="http://schemas.microsoft.com/office/drawing/2014/chart" uri="{C3380CC4-5D6E-409C-BE32-E72D297353CC}">
              <c16:uniqueId val="{00000001-07E7-4314-9594-743662B095FD}"/>
            </c:ext>
          </c:extLst>
        </c:ser>
        <c:ser>
          <c:idx val="2"/>
          <c:order val="2"/>
          <c:tx>
            <c:v>Net Profit Margin %</c:v>
          </c:tx>
          <c:spPr>
            <a:ln w="20160">
              <a:solidFill>
                <a:srgbClr val="98B855"/>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Graphs'!$B$11:$F$11</c:f>
              <c:strCache>
                <c:ptCount val="5"/>
                <c:pt idx="0">
                  <c:v>2020</c:v>
                </c:pt>
                <c:pt idx="1">
                  <c:v>2021</c:v>
                </c:pt>
                <c:pt idx="2">
                  <c:v>2022</c:v>
                </c:pt>
                <c:pt idx="3">
                  <c:v>2023</c:v>
                </c:pt>
                <c:pt idx="4">
                  <c:v>2024</c:v>
                </c:pt>
              </c:strCache>
            </c:strRef>
          </c:cat>
          <c:val>
            <c:numRef>
              <c:f>'Charts &amp; Graphs'!$B$14:$F$14</c:f>
              <c:numCache>
                <c:formatCode>0.0%</c:formatCode>
                <c:ptCount val="5"/>
                <c:pt idx="0">
                  <c:v>3.9199999999999999E-2</c:v>
                </c:pt>
                <c:pt idx="1">
                  <c:v>1.84E-2</c:v>
                </c:pt>
                <c:pt idx="2">
                  <c:v>4.1799999999999997E-2</c:v>
                </c:pt>
                <c:pt idx="3">
                  <c:v>5.1999999999999998E-2</c:v>
                </c:pt>
                <c:pt idx="4">
                  <c:v>5.3499999999999999E-2</c:v>
                </c:pt>
              </c:numCache>
            </c:numRef>
          </c:val>
          <c:smooth val="1"/>
          <c:extLst>
            <c:ext xmlns:c16="http://schemas.microsoft.com/office/drawing/2014/chart" uri="{C3380CC4-5D6E-409C-BE32-E72D297353CC}">
              <c16:uniqueId val="{00000002-07E7-4314-9594-743662B095FD}"/>
            </c:ext>
          </c:extLst>
        </c:ser>
        <c:dLbls>
          <c:showLegendKey val="0"/>
          <c:showVal val="0"/>
          <c:showCatName val="0"/>
          <c:showSerName val="0"/>
          <c:showPercent val="0"/>
          <c:showBubbleSize val="0"/>
        </c:dLbls>
        <c:hiLowLines>
          <c:spPr>
            <a:ln w="0">
              <a:noFill/>
            </a:ln>
          </c:spPr>
        </c:hiLowLines>
        <c:smooth val="0"/>
        <c:axId val="230331136"/>
        <c:axId val="230333056"/>
      </c:lineChart>
      <c:catAx>
        <c:axId val="230331136"/>
        <c:scaling>
          <c:orientation val="minMax"/>
        </c:scaling>
        <c:delete val="0"/>
        <c:axPos val="b"/>
        <c:title>
          <c:tx>
            <c:rich>
              <a:bodyPr rot="0"/>
              <a:lstStyle/>
              <a:p>
                <a:pPr>
                  <a:defRPr sz="1000" b="1" strike="noStrike" spc="-1">
                    <a:solidFill>
                      <a:srgbClr val="000000"/>
                    </a:solidFill>
                    <a:latin typeface="Calibri"/>
                  </a:defRPr>
                </a:pPr>
                <a:r>
                  <a:rPr lang="en-US"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30333056"/>
        <c:crosses val="autoZero"/>
        <c:auto val="1"/>
        <c:lblAlgn val="ctr"/>
        <c:lblOffset val="100"/>
        <c:noMultiLvlLbl val="0"/>
      </c:catAx>
      <c:valAx>
        <c:axId val="230333056"/>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US" sz="1000" b="1" strike="noStrike" spc="-1">
                    <a:solidFill>
                      <a:srgbClr val="000000"/>
                    </a:solidFill>
                    <a:latin typeface="Calibri"/>
                  </a:rPr>
                  <a:t>Margin %</a:t>
                </a:r>
              </a:p>
            </c:rich>
          </c:tx>
          <c:overlay val="0"/>
          <c:spPr>
            <a:noFill/>
            <a:ln w="0">
              <a:noFill/>
            </a:ln>
          </c:spPr>
        </c:title>
        <c:numFmt formatCode="0.0%"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30331136"/>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US" sz="1800" b="1" strike="noStrike" spc="-1">
                <a:solidFill>
                  <a:srgbClr val="000000"/>
                </a:solidFill>
                <a:latin typeface="Calibri"/>
              </a:rPr>
              <a:t>Liquidity Ratios (x)</a:t>
            </a:r>
          </a:p>
        </c:rich>
      </c:tx>
      <c:overlay val="0"/>
      <c:spPr>
        <a:noFill/>
        <a:ln w="0">
          <a:noFill/>
        </a:ln>
      </c:spPr>
    </c:title>
    <c:autoTitleDeleted val="0"/>
    <c:plotArea>
      <c:layout/>
      <c:lineChart>
        <c:grouping val="standard"/>
        <c:varyColors val="0"/>
        <c:ser>
          <c:idx val="0"/>
          <c:order val="0"/>
          <c:tx>
            <c:v>Current Ratio (x)</c:v>
          </c:tx>
          <c:spPr>
            <a:ln w="20160">
              <a:solidFill>
                <a:srgbClr val="4A7EBB"/>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Graphs'!$B$16:$F$16</c:f>
              <c:strCache>
                <c:ptCount val="5"/>
                <c:pt idx="0">
                  <c:v>2020</c:v>
                </c:pt>
                <c:pt idx="1">
                  <c:v>2021</c:v>
                </c:pt>
                <c:pt idx="2">
                  <c:v>2022</c:v>
                </c:pt>
                <c:pt idx="3">
                  <c:v>2023</c:v>
                </c:pt>
                <c:pt idx="4">
                  <c:v>2024</c:v>
                </c:pt>
              </c:strCache>
            </c:strRef>
          </c:cat>
          <c:val>
            <c:numRef>
              <c:f>'Charts &amp; Graphs'!$B$17:$F$17</c:f>
              <c:numCache>
                <c:formatCode>0.00\x</c:formatCode>
                <c:ptCount val="5"/>
                <c:pt idx="0">
                  <c:v>1.048</c:v>
                </c:pt>
                <c:pt idx="1">
                  <c:v>0.91300000000000003</c:v>
                </c:pt>
                <c:pt idx="2">
                  <c:v>0.67700000000000005</c:v>
                </c:pt>
                <c:pt idx="3">
                  <c:v>0.64300000000000002</c:v>
                </c:pt>
                <c:pt idx="4">
                  <c:v>0.72</c:v>
                </c:pt>
              </c:numCache>
            </c:numRef>
          </c:val>
          <c:smooth val="1"/>
          <c:extLst>
            <c:ext xmlns:c16="http://schemas.microsoft.com/office/drawing/2014/chart" uri="{C3380CC4-5D6E-409C-BE32-E72D297353CC}">
              <c16:uniqueId val="{00000000-D929-4011-9666-3D03CCA4F1F1}"/>
            </c:ext>
          </c:extLst>
        </c:ser>
        <c:ser>
          <c:idx val="1"/>
          <c:order val="1"/>
          <c:tx>
            <c:v>Quick Ratio (x)</c:v>
          </c:tx>
          <c:spPr>
            <a:ln w="20160">
              <a:solidFill>
                <a:srgbClr val="BE4B48"/>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Graphs'!$B$16:$F$16</c:f>
              <c:strCache>
                <c:ptCount val="5"/>
                <c:pt idx="0">
                  <c:v>2020</c:v>
                </c:pt>
                <c:pt idx="1">
                  <c:v>2021</c:v>
                </c:pt>
                <c:pt idx="2">
                  <c:v>2022</c:v>
                </c:pt>
                <c:pt idx="3">
                  <c:v>2023</c:v>
                </c:pt>
                <c:pt idx="4">
                  <c:v>2024</c:v>
                </c:pt>
              </c:strCache>
            </c:strRef>
          </c:cat>
          <c:val>
            <c:numRef>
              <c:f>'Charts &amp; Graphs'!$B$18:$F$18</c:f>
              <c:numCache>
                <c:formatCode>0.00\x</c:formatCode>
                <c:ptCount val="5"/>
                <c:pt idx="0">
                  <c:v>0.752</c:v>
                </c:pt>
                <c:pt idx="1">
                  <c:v>0.66</c:v>
                </c:pt>
                <c:pt idx="2">
                  <c:v>0.44</c:v>
                </c:pt>
                <c:pt idx="3">
                  <c:v>0.45</c:v>
                </c:pt>
                <c:pt idx="4">
                  <c:v>0.48699999999999999</c:v>
                </c:pt>
              </c:numCache>
            </c:numRef>
          </c:val>
          <c:smooth val="1"/>
          <c:extLst>
            <c:ext xmlns:c16="http://schemas.microsoft.com/office/drawing/2014/chart" uri="{C3380CC4-5D6E-409C-BE32-E72D297353CC}">
              <c16:uniqueId val="{00000001-D929-4011-9666-3D03CCA4F1F1}"/>
            </c:ext>
          </c:extLst>
        </c:ser>
        <c:dLbls>
          <c:showLegendKey val="0"/>
          <c:showVal val="0"/>
          <c:showCatName val="0"/>
          <c:showSerName val="0"/>
          <c:showPercent val="0"/>
          <c:showBubbleSize val="0"/>
        </c:dLbls>
        <c:hiLowLines>
          <c:spPr>
            <a:ln w="0">
              <a:noFill/>
            </a:ln>
          </c:spPr>
        </c:hiLowLines>
        <c:smooth val="0"/>
        <c:axId val="230659968"/>
        <c:axId val="230674432"/>
      </c:lineChart>
      <c:catAx>
        <c:axId val="230659968"/>
        <c:scaling>
          <c:orientation val="minMax"/>
        </c:scaling>
        <c:delete val="0"/>
        <c:axPos val="b"/>
        <c:title>
          <c:tx>
            <c:rich>
              <a:bodyPr rot="0"/>
              <a:lstStyle/>
              <a:p>
                <a:pPr>
                  <a:defRPr sz="1000" b="1" strike="noStrike" spc="-1">
                    <a:solidFill>
                      <a:srgbClr val="000000"/>
                    </a:solidFill>
                    <a:latin typeface="Calibri"/>
                  </a:defRPr>
                </a:pPr>
                <a:r>
                  <a:rPr lang="en-US"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30674432"/>
        <c:crosses val="autoZero"/>
        <c:auto val="1"/>
        <c:lblAlgn val="ctr"/>
        <c:lblOffset val="100"/>
        <c:noMultiLvlLbl val="0"/>
      </c:catAx>
      <c:valAx>
        <c:axId val="230674432"/>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US" sz="1000" b="1" strike="noStrike" spc="-1">
                    <a:solidFill>
                      <a:srgbClr val="000000"/>
                    </a:solidFill>
                    <a:latin typeface="Calibri"/>
                  </a:rPr>
                  <a:t>Ratio (x)</a:t>
                </a:r>
              </a:p>
            </c:rich>
          </c:tx>
          <c:overlay val="0"/>
          <c:spPr>
            <a:noFill/>
            <a:ln w="0">
              <a:noFill/>
            </a:ln>
          </c:spPr>
        </c:title>
        <c:numFmt formatCode="0.00\x"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30659968"/>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1BA4D-08DB-4AD9-A2F4-D2D4B608A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38</Pages>
  <Words>7651</Words>
  <Characters>43616</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Shariara Mahmud Rafat</dc:creator>
  <cp:lastModifiedBy>Md Naeem Rezwan (2522417)</cp:lastModifiedBy>
  <cp:revision>4</cp:revision>
  <dcterms:created xsi:type="dcterms:W3CDTF">2026-04-22T11:33:00Z</dcterms:created>
  <dcterms:modified xsi:type="dcterms:W3CDTF">2026-04-22T12:42:00Z</dcterms:modified>
</cp:coreProperties>
</file>