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D2799" w14:textId="3A84BB10" w:rsidR="003C0BDD" w:rsidRDefault="004553F0">
      <w:r>
        <w:t>Amanda Sims P151044</w:t>
      </w:r>
    </w:p>
    <w:p w14:paraId="110937A5" w14:textId="3A1D4723" w:rsidR="00AA7DC5" w:rsidRDefault="00AA7DC5">
      <w:r>
        <w:t>Surface Pattern Design</w:t>
      </w:r>
    </w:p>
    <w:p w14:paraId="4D04F75E" w14:textId="4D6F5C3C" w:rsidR="004553F0" w:rsidRDefault="004553F0">
      <w:r>
        <w:t>Research Practices</w:t>
      </w:r>
      <w:r w:rsidR="00321EE6">
        <w:t xml:space="preserve"> – M5X01571</w:t>
      </w:r>
    </w:p>
    <w:p w14:paraId="674DF301" w14:textId="103ED4F2" w:rsidR="004553F0" w:rsidRDefault="004553F0">
      <w:r>
        <w:t>Formulating my question for dissertation</w:t>
      </w:r>
      <w:r w:rsidR="00AA7DC5">
        <w:t>.</w:t>
      </w:r>
    </w:p>
    <w:p w14:paraId="4F9D4EFD" w14:textId="77777777" w:rsidR="004553F0" w:rsidRDefault="004553F0" w:rsidP="004553F0"/>
    <w:p w14:paraId="70508196" w14:textId="59D99A3C" w:rsidR="001B41EF" w:rsidRDefault="008C4D15" w:rsidP="004553F0">
      <w:r>
        <w:t xml:space="preserve"> Word count: </w:t>
      </w:r>
      <w:r w:rsidR="00BC3186">
        <w:t>2048</w:t>
      </w:r>
      <w:bookmarkStart w:id="0" w:name="_GoBack"/>
      <w:bookmarkEnd w:id="0"/>
    </w:p>
    <w:p w14:paraId="17E6E16F" w14:textId="77777777" w:rsidR="001B41EF" w:rsidRDefault="001B41EF" w:rsidP="004553F0"/>
    <w:p w14:paraId="65DAFF65" w14:textId="77777777" w:rsidR="001B41EF" w:rsidRDefault="001B41EF" w:rsidP="004553F0"/>
    <w:p w14:paraId="05D47FF8" w14:textId="77777777" w:rsidR="001B41EF" w:rsidRDefault="001B41EF" w:rsidP="004553F0"/>
    <w:p w14:paraId="17782BEF" w14:textId="77777777" w:rsidR="001B41EF" w:rsidRDefault="001B41EF" w:rsidP="004553F0"/>
    <w:p w14:paraId="690A36E9" w14:textId="77777777" w:rsidR="001B41EF" w:rsidRDefault="001B41EF" w:rsidP="004553F0"/>
    <w:p w14:paraId="62879D48" w14:textId="77777777" w:rsidR="001B41EF" w:rsidRDefault="001B41EF" w:rsidP="004553F0"/>
    <w:p w14:paraId="168EDF95" w14:textId="77777777" w:rsidR="001B41EF" w:rsidRDefault="001B41EF" w:rsidP="004553F0"/>
    <w:p w14:paraId="3E7ACE2B" w14:textId="77777777" w:rsidR="001B41EF" w:rsidRDefault="001B41EF" w:rsidP="004553F0"/>
    <w:p w14:paraId="3640B183" w14:textId="77777777" w:rsidR="001B41EF" w:rsidRDefault="001B41EF" w:rsidP="004553F0"/>
    <w:p w14:paraId="3192E1EC" w14:textId="77777777" w:rsidR="001B41EF" w:rsidRDefault="001B41EF" w:rsidP="004553F0"/>
    <w:p w14:paraId="5AA0325B" w14:textId="77777777" w:rsidR="001B41EF" w:rsidRDefault="001B41EF" w:rsidP="004553F0"/>
    <w:p w14:paraId="1E5786AD" w14:textId="77777777" w:rsidR="001B41EF" w:rsidRDefault="001B41EF" w:rsidP="004553F0"/>
    <w:p w14:paraId="1FE6480C" w14:textId="77777777" w:rsidR="001B41EF" w:rsidRDefault="001B41EF" w:rsidP="004553F0"/>
    <w:p w14:paraId="6254D3F5" w14:textId="77777777" w:rsidR="001B41EF" w:rsidRDefault="001B41EF" w:rsidP="004553F0"/>
    <w:p w14:paraId="1B6D4E6F" w14:textId="77777777" w:rsidR="001B41EF" w:rsidRDefault="001B41EF" w:rsidP="004553F0"/>
    <w:p w14:paraId="3DA89FD5" w14:textId="77777777" w:rsidR="001B41EF" w:rsidRDefault="001B41EF" w:rsidP="004553F0"/>
    <w:p w14:paraId="28D44D34" w14:textId="77777777" w:rsidR="001B41EF" w:rsidRDefault="001B41EF" w:rsidP="004553F0"/>
    <w:p w14:paraId="40AC5F0E" w14:textId="77777777" w:rsidR="001B41EF" w:rsidRDefault="001B41EF" w:rsidP="004553F0"/>
    <w:p w14:paraId="104EEA6E" w14:textId="77777777" w:rsidR="001B41EF" w:rsidRDefault="001B41EF" w:rsidP="004553F0"/>
    <w:p w14:paraId="723B1268" w14:textId="77777777" w:rsidR="001B41EF" w:rsidRDefault="001B41EF" w:rsidP="004553F0"/>
    <w:p w14:paraId="6AFC73B5" w14:textId="77777777" w:rsidR="001B41EF" w:rsidRDefault="001B41EF" w:rsidP="004553F0"/>
    <w:p w14:paraId="1B28BA94" w14:textId="77777777" w:rsidR="001B41EF" w:rsidRDefault="001B41EF" w:rsidP="004553F0"/>
    <w:p w14:paraId="5125C428" w14:textId="77777777" w:rsidR="001B41EF" w:rsidRDefault="001B41EF" w:rsidP="004553F0"/>
    <w:p w14:paraId="128F1C7A" w14:textId="77777777" w:rsidR="001B41EF" w:rsidRDefault="001B41EF" w:rsidP="004553F0"/>
    <w:p w14:paraId="75AB0154" w14:textId="17CBFCC5" w:rsidR="002B55B0" w:rsidRDefault="002B55B0" w:rsidP="00406C1B">
      <w:pPr>
        <w:jc w:val="both"/>
      </w:pPr>
      <w:r>
        <w:lastRenderedPageBreak/>
        <w:t xml:space="preserve">My three key words or areas of interest are </w:t>
      </w:r>
      <w:r w:rsidR="004F0448" w:rsidRPr="002B55B0">
        <w:rPr>
          <w:b/>
        </w:rPr>
        <w:t>migraine</w:t>
      </w:r>
      <w:r w:rsidR="004F0448">
        <w:t xml:space="preserve"> with aura, </w:t>
      </w:r>
      <w:r w:rsidR="004F0448" w:rsidRPr="002B55B0">
        <w:rPr>
          <w:b/>
        </w:rPr>
        <w:t>optical illusions</w:t>
      </w:r>
      <w:r w:rsidR="004F0448">
        <w:t xml:space="preserve"> and </w:t>
      </w:r>
      <w:r w:rsidR="004F0448" w:rsidRPr="002B55B0">
        <w:rPr>
          <w:b/>
        </w:rPr>
        <w:t>colour</w:t>
      </w:r>
      <w:r>
        <w:t xml:space="preserve">. In particular my research will focus on </w:t>
      </w:r>
      <w:r w:rsidR="004553F0">
        <w:t>how</w:t>
      </w:r>
      <w:r w:rsidR="004F0448">
        <w:t xml:space="preserve"> these can affect</w:t>
      </w:r>
      <w:r w:rsidR="004553F0">
        <w:t xml:space="preserve"> vision</w:t>
      </w:r>
      <w:r w:rsidR="00CD739E">
        <w:t xml:space="preserve"> and,</w:t>
      </w:r>
      <w:r w:rsidR="004F0448">
        <w:t xml:space="preserve"> in turn, how this </w:t>
      </w:r>
      <w:r w:rsidR="004553F0">
        <w:t>can affect artists and designers in their artistic endeavours</w:t>
      </w:r>
      <w:r w:rsidR="00CD739E">
        <w:t xml:space="preserve"> a</w:t>
      </w:r>
      <w:r w:rsidR="009834C6">
        <w:t>nd the production of their work</w:t>
      </w:r>
      <w:r w:rsidR="00CD739E">
        <w:t>.</w:t>
      </w:r>
      <w:r w:rsidR="003C43F8">
        <w:t xml:space="preserve"> </w:t>
      </w:r>
      <w:r w:rsidR="001B41EF">
        <w:t>I have chosen these words as</w:t>
      </w:r>
      <w:r w:rsidR="00B275E3">
        <w:t xml:space="preserve"> they are </w:t>
      </w:r>
      <w:r w:rsidR="009834C6">
        <w:t>meaningful</w:t>
      </w:r>
      <w:r w:rsidR="00B275E3">
        <w:t xml:space="preserve"> to me </w:t>
      </w:r>
      <w:r w:rsidR="009834C6">
        <w:t>because</w:t>
      </w:r>
      <w:r w:rsidR="001B41EF">
        <w:t xml:space="preserve"> I get migraine on a regular basis, the migraines have an </w:t>
      </w:r>
      <w:r w:rsidR="00406C1B">
        <w:t>effect</w:t>
      </w:r>
      <w:r w:rsidR="001B41EF">
        <w:t xml:space="preserve"> on my vision and there are some colours that can trigger a migraine for me.</w:t>
      </w:r>
      <w:r w:rsidR="00B275E3">
        <w:t xml:space="preserve"> While migraine can have an incredibly negative affect and be incredibly painful and long lasting, I am trying to focus more on the positive aspects of this condition when it comes to the production of my own artwork.</w:t>
      </w:r>
      <w:r w:rsidR="001B41EF">
        <w:t xml:space="preserve"> I am interested in how other artists and designers are affected and whether they view migraine as a positive or negative experience.</w:t>
      </w:r>
      <w:r w:rsidR="00B275E3">
        <w:t xml:space="preserve"> Has their condition influenced the way in which they </w:t>
      </w:r>
      <w:r w:rsidR="00406C1B">
        <w:t>work?</w:t>
      </w:r>
      <w:r w:rsidR="001B41EF">
        <w:t xml:space="preserve"> </w:t>
      </w:r>
    </w:p>
    <w:p w14:paraId="4F88E3F1" w14:textId="0AEDF6F0" w:rsidR="00AA7DC5" w:rsidRDefault="00F65FF1" w:rsidP="00406C1B">
      <w:pPr>
        <w:jc w:val="both"/>
      </w:pPr>
      <w:r w:rsidRPr="002B55B0">
        <w:rPr>
          <w:b/>
        </w:rPr>
        <w:t>Migraine</w:t>
      </w:r>
      <w:r w:rsidR="002B55B0">
        <w:t xml:space="preserve"> is defined in the Oxford D</w:t>
      </w:r>
      <w:r>
        <w:t xml:space="preserve">ictionary </w:t>
      </w:r>
      <w:r w:rsidR="002B55B0">
        <w:t>(</w:t>
      </w:r>
      <w:r w:rsidR="006F1C8A">
        <w:t xml:space="preserve">Elliot </w:t>
      </w:r>
      <w:r w:rsidR="006F1C8A" w:rsidRPr="006F1C8A">
        <w:rPr>
          <w:i/>
        </w:rPr>
        <w:t>et al,</w:t>
      </w:r>
      <w:r w:rsidR="006F1C8A">
        <w:t xml:space="preserve"> 1997</w:t>
      </w:r>
      <w:r w:rsidR="002B55B0">
        <w:t xml:space="preserve">) </w:t>
      </w:r>
      <w:r>
        <w:t>as ‘</w:t>
      </w:r>
      <w:proofErr w:type="spellStart"/>
      <w:r>
        <w:t>mi</w:t>
      </w:r>
      <w:proofErr w:type="gramStart"/>
      <w:r>
        <w:t>:grem</w:t>
      </w:r>
      <w:proofErr w:type="spellEnd"/>
      <w:proofErr w:type="gramEnd"/>
      <w:r>
        <w:t xml:space="preserve">/ </w:t>
      </w:r>
      <w:r w:rsidRPr="00F65FF1">
        <w:rPr>
          <w:i/>
        </w:rPr>
        <w:t>noun</w:t>
      </w:r>
      <w:r w:rsidRPr="00F65FF1">
        <w:t xml:space="preserve"> </w:t>
      </w:r>
      <w:r>
        <w:t xml:space="preserve">recurrent throbbing headache often with nausea and visual disturbance.’ </w:t>
      </w:r>
      <w:r w:rsidR="00AA7DC5">
        <w:t>Personally, I do not experience nausea however I do experience the visual disturbance.</w:t>
      </w:r>
      <w:r w:rsidR="00406C1B">
        <w:t xml:space="preserve"> I also experience the throbbing headache that can last for several days. </w:t>
      </w:r>
    </w:p>
    <w:p w14:paraId="4417897E" w14:textId="77777777" w:rsidR="006C4B5B" w:rsidRDefault="000231B5" w:rsidP="008E01E8">
      <w:pPr>
        <w:jc w:val="both"/>
      </w:pPr>
      <w:r>
        <w:t xml:space="preserve">In the article </w:t>
      </w:r>
      <w:r w:rsidR="002B55B0">
        <w:t xml:space="preserve">‘Art and Migraine: Researching the Relationship Between Artmaking and Pain Experience’ </w:t>
      </w:r>
      <w:r>
        <w:t xml:space="preserve">Vick and Sexton-Radek </w:t>
      </w:r>
      <w:r w:rsidR="002B55B0">
        <w:t>(</w:t>
      </w:r>
      <w:r>
        <w:t xml:space="preserve">2009: 115) </w:t>
      </w:r>
      <w:r w:rsidR="006F1C8A">
        <w:t xml:space="preserve">define several categories of symptoms for migraine sufferers. They </w:t>
      </w:r>
      <w:r w:rsidR="002B55B0">
        <w:t>state,</w:t>
      </w:r>
      <w:r>
        <w:t xml:space="preserve"> ‘In addition to the cardinal features of head pain and nausea, migraine sufferers also experience a wide array of neurological symptoms</w:t>
      </w:r>
      <w:r w:rsidR="002B55B0">
        <w:t>’</w:t>
      </w:r>
      <w:r w:rsidR="006F1C8A">
        <w:t>.</w:t>
      </w:r>
      <w:r w:rsidR="002B55B0">
        <w:t xml:space="preserve"> These</w:t>
      </w:r>
      <w:r w:rsidR="006F1C8A">
        <w:t>,</w:t>
      </w:r>
      <w:r w:rsidR="002B55B0">
        <w:t xml:space="preserve"> they continue</w:t>
      </w:r>
      <w:r w:rsidR="006F1C8A">
        <w:t>,</w:t>
      </w:r>
      <w:r w:rsidR="002B55B0">
        <w:t xml:space="preserve"> include, ‘</w:t>
      </w:r>
      <w:r>
        <w:t>vertigo, hypersensitivity to sound and light, and visual disturbances</w:t>
      </w:r>
      <w:r w:rsidR="002B55B0">
        <w:t>’</w:t>
      </w:r>
      <w:r>
        <w:t xml:space="preserve">. </w:t>
      </w:r>
      <w:r w:rsidR="006F1C8A">
        <w:t>Further,</w:t>
      </w:r>
      <w:r w:rsidR="002B55B0">
        <w:t xml:space="preserve"> these ‘</w:t>
      </w:r>
      <w:r>
        <w:t>phenomena</w:t>
      </w:r>
      <w:r w:rsidR="002B55B0">
        <w:t>’ are said to include</w:t>
      </w:r>
      <w:r>
        <w:t xml:space="preserve"> </w:t>
      </w:r>
      <w:r w:rsidR="002B55B0">
        <w:t>‘</w:t>
      </w:r>
      <w:r>
        <w:t>blurred vision or blindness in all or part of the visual field (hemianopia), seeing scintillating flashes of light (scotoma), seeing serrated circles or arcs of light (fortification spectra),</w:t>
      </w:r>
      <w:r w:rsidR="006E2C75">
        <w:t xml:space="preserve"> seeing objects as larger or smaller than normal (metamorphopsia), seeing objects up-side-down (inversion), and distorted perceptions of motion as well as more elaborate visual hallucinations.’  </w:t>
      </w:r>
      <w:r w:rsidR="002B55B0">
        <w:t>(Vick and Sexton-Radek, 2009: 115). The article also lists ‘</w:t>
      </w:r>
      <w:r w:rsidR="00050DE2">
        <w:t>double or multiple images (visual preservation) and changes in color</w:t>
      </w:r>
      <w:r w:rsidR="006F1C8A">
        <w:t xml:space="preserve"> [</w:t>
      </w:r>
      <w:r w:rsidR="006F1C8A" w:rsidRPr="006F1C8A">
        <w:rPr>
          <w:i/>
        </w:rPr>
        <w:t>sic</w:t>
      </w:r>
      <w:r w:rsidR="006F1C8A">
        <w:t>]</w:t>
      </w:r>
      <w:r w:rsidR="002B55B0">
        <w:t>, contrast, or depth perception</w:t>
      </w:r>
      <w:r w:rsidR="00050DE2">
        <w:t>’</w:t>
      </w:r>
      <w:r w:rsidR="002B55B0">
        <w:t>.</w:t>
      </w:r>
      <w:r w:rsidR="006E2C75">
        <w:t xml:space="preserve"> </w:t>
      </w:r>
      <w:r w:rsidR="002B55B0">
        <w:t>These are helpful categories of symptoms which I intend to use in my research. These are helpful indicator of</w:t>
      </w:r>
      <w:r w:rsidR="003A70E1">
        <w:t xml:space="preserve"> the way in which many other people can be affected. </w:t>
      </w:r>
    </w:p>
    <w:p w14:paraId="49EBB119" w14:textId="1ED93A9E" w:rsidR="00AF5B71" w:rsidRDefault="00100A45" w:rsidP="008E01E8">
      <w:pPr>
        <w:jc w:val="both"/>
      </w:pPr>
      <w:r>
        <w:t>It is these visual phenomena that that indicate the ‘difference between the two main subtypes of</w:t>
      </w:r>
      <w:r w:rsidR="00B505D9">
        <w:t xml:space="preserve"> migraine. “Classic” migraine features the “aura” consisting of visual and other neurological symptoms (such as numbness in the arms and face and expressive dysphasia) that precede the onset of pain.’ (Vick and Sexton-Radek, 2009: 115). The article continues ‘The “common” migrain</w:t>
      </w:r>
      <w:r w:rsidR="00A4358E">
        <w:t>e, experienced by 75% of sufferers, occurs without the aura’</w:t>
      </w:r>
      <w:r w:rsidR="00B501D8">
        <w:t xml:space="preserve"> </w:t>
      </w:r>
      <w:r w:rsidR="009834C6">
        <w:t>(Vick and Sexton-Radek, 2009: 115)</w:t>
      </w:r>
      <w:r w:rsidR="00A4358E">
        <w:t>. Personally, I have been experiencing ‘classic’ migraine for more than 25 years. There are times when the results of the visual disturbances</w:t>
      </w:r>
      <w:r w:rsidR="00D86523">
        <w:t xml:space="preserve"> (aura)</w:t>
      </w:r>
      <w:r w:rsidR="00A4358E">
        <w:t xml:space="preserve"> can be fascinating and rather beautiful, it is the </w:t>
      </w:r>
      <w:r w:rsidR="00D86523">
        <w:t>long-lasting</w:t>
      </w:r>
      <w:r w:rsidR="00A4358E">
        <w:t xml:space="preserve"> pain that</w:t>
      </w:r>
      <w:r w:rsidR="00D86523">
        <w:t xml:space="preserve"> comes with or follows the aura, that negates sensations.</w:t>
      </w:r>
      <w:r w:rsidR="00A4358E">
        <w:t xml:space="preserve"> </w:t>
      </w:r>
    </w:p>
    <w:p w14:paraId="3871F19D" w14:textId="77777777" w:rsidR="006544D8" w:rsidRDefault="006544D8" w:rsidP="008E01E8">
      <w:pPr>
        <w:jc w:val="both"/>
      </w:pPr>
    </w:p>
    <w:tbl>
      <w:tblPr>
        <w:tblStyle w:val="TableGrid"/>
        <w:tblW w:w="0" w:type="auto"/>
        <w:tblLook w:val="04A0" w:firstRow="1" w:lastRow="0" w:firstColumn="1" w:lastColumn="0" w:noHBand="0" w:noVBand="1"/>
      </w:tblPr>
      <w:tblGrid>
        <w:gridCol w:w="4957"/>
        <w:gridCol w:w="4059"/>
      </w:tblGrid>
      <w:tr w:rsidR="00AF5B71" w14:paraId="6E38AAF5" w14:textId="77777777" w:rsidTr="00535B0D">
        <w:tc>
          <w:tcPr>
            <w:tcW w:w="4957" w:type="dxa"/>
            <w:tcBorders>
              <w:top w:val="nil"/>
              <w:left w:val="nil"/>
              <w:bottom w:val="nil"/>
              <w:right w:val="nil"/>
            </w:tcBorders>
          </w:tcPr>
          <w:p w14:paraId="3F9126FD" w14:textId="26FB63C2" w:rsidR="00AF5B71" w:rsidRDefault="00AF5B71" w:rsidP="008E01E8">
            <w:pPr>
              <w:jc w:val="both"/>
            </w:pPr>
            <w:r>
              <w:rPr>
                <w:noProof/>
                <w:lang w:eastAsia="en-GB"/>
              </w:rPr>
              <w:drawing>
                <wp:inline distT="0" distB="0" distL="0" distR="0" wp14:anchorId="2798B85C" wp14:editId="5323E6B6">
                  <wp:extent cx="2933443" cy="204787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8502" cy="2058388"/>
                          </a:xfrm>
                          <a:prstGeom prst="rect">
                            <a:avLst/>
                          </a:prstGeom>
                          <a:noFill/>
                          <a:ln>
                            <a:noFill/>
                          </a:ln>
                        </pic:spPr>
                      </pic:pic>
                    </a:graphicData>
                  </a:graphic>
                </wp:inline>
              </w:drawing>
            </w:r>
          </w:p>
        </w:tc>
        <w:tc>
          <w:tcPr>
            <w:tcW w:w="4059" w:type="dxa"/>
            <w:tcBorders>
              <w:top w:val="nil"/>
              <w:left w:val="nil"/>
              <w:bottom w:val="nil"/>
              <w:right w:val="nil"/>
            </w:tcBorders>
          </w:tcPr>
          <w:p w14:paraId="4A5454B0" w14:textId="21FE41E2" w:rsidR="00AF5B71" w:rsidRDefault="009834C6" w:rsidP="008E01E8">
            <w:pPr>
              <w:jc w:val="both"/>
            </w:pPr>
            <w:r>
              <w:t xml:space="preserve">Fig. 1 </w:t>
            </w:r>
            <w:r w:rsidR="00AF5B71">
              <w:t>Aura 1 – Amanda Sims.</w:t>
            </w:r>
          </w:p>
          <w:p w14:paraId="0CBCF71D" w14:textId="4DE914DF" w:rsidR="00AF5B71" w:rsidRDefault="00AF5B71" w:rsidP="008E01E8">
            <w:pPr>
              <w:jc w:val="both"/>
            </w:pPr>
            <w:r>
              <w:t>This is</w:t>
            </w:r>
            <w:r w:rsidR="00535B0D">
              <w:t xml:space="preserve"> one of</w:t>
            </w:r>
            <w:r>
              <w:t xml:space="preserve"> </w:t>
            </w:r>
            <w:r w:rsidR="00535B0D">
              <w:t>my r</w:t>
            </w:r>
            <w:r w:rsidR="00A81EB1">
              <w:t>epresentations of migraine aura, these are the ‘scotoma’ and ‘fortification spectra’ as described by Vick and Sexton-Radek in their article.</w:t>
            </w:r>
          </w:p>
          <w:p w14:paraId="42C85AE2" w14:textId="77777777" w:rsidR="00A81EB1" w:rsidRDefault="00A81EB1" w:rsidP="008E01E8">
            <w:pPr>
              <w:jc w:val="both"/>
            </w:pPr>
          </w:p>
          <w:p w14:paraId="3E917B6C" w14:textId="4860C091" w:rsidR="00A81EB1" w:rsidRDefault="00A81EB1" w:rsidP="008E01E8">
            <w:pPr>
              <w:jc w:val="both"/>
            </w:pPr>
          </w:p>
        </w:tc>
      </w:tr>
    </w:tbl>
    <w:p w14:paraId="0F4B4521" w14:textId="559ABF2D" w:rsidR="00F9085A" w:rsidRDefault="009C5E93" w:rsidP="008E01E8">
      <w:pPr>
        <w:jc w:val="both"/>
      </w:pPr>
      <w:r>
        <w:lastRenderedPageBreak/>
        <w:t>I</w:t>
      </w:r>
      <w:r w:rsidR="00885707">
        <w:t xml:space="preserve"> want to</w:t>
      </w:r>
      <w:r>
        <w:t xml:space="preserve"> start by</w:t>
      </w:r>
      <w:r w:rsidR="00885707">
        <w:t xml:space="preserve"> look</w:t>
      </w:r>
      <w:r>
        <w:t>ing</w:t>
      </w:r>
      <w:r w:rsidR="00885707">
        <w:t xml:space="preserve"> at the phenomena of the visual experiences experienced through </w:t>
      </w:r>
      <w:r w:rsidR="001810C7">
        <w:t>migraine</w:t>
      </w:r>
      <w:r w:rsidR="00A4640D">
        <w:t xml:space="preserve">. </w:t>
      </w:r>
      <w:r>
        <w:t>I want t</w:t>
      </w:r>
      <w:r w:rsidR="006D7493">
        <w:t>o</w:t>
      </w:r>
      <w:r w:rsidR="001810C7">
        <w:t xml:space="preserve"> give a person who does not suffer with </w:t>
      </w:r>
      <w:r w:rsidR="00D86523">
        <w:t xml:space="preserve">‘classic’ </w:t>
      </w:r>
      <w:r w:rsidR="001810C7">
        <w:t xml:space="preserve">migraine an indication of how vision can be </w:t>
      </w:r>
      <w:r w:rsidR="006D7493">
        <w:t>a</w:t>
      </w:r>
      <w:r w:rsidR="001810C7">
        <w:t>ffected,</w:t>
      </w:r>
      <w:r w:rsidR="00D86523">
        <w:t xml:space="preserve"> how things can appear to be and how things can</w:t>
      </w:r>
      <w:r w:rsidR="00A23838">
        <w:t xml:space="preserve">, sometimes, be </w:t>
      </w:r>
      <w:r w:rsidR="005F426C">
        <w:t>beautiful.</w:t>
      </w:r>
      <w:r w:rsidR="00A81EB1">
        <w:t xml:space="preserve"> </w:t>
      </w:r>
      <w:r w:rsidR="001810C7">
        <w:t>I w</w:t>
      </w:r>
      <w:r w:rsidR="005F426C">
        <w:t>ill</w:t>
      </w:r>
      <w:r w:rsidR="001810C7">
        <w:t xml:space="preserve"> try to replicate this </w:t>
      </w:r>
      <w:r>
        <w:t>using</w:t>
      </w:r>
      <w:r w:rsidR="001810C7">
        <w:t xml:space="preserve"> optical illusions</w:t>
      </w:r>
      <w:r w:rsidR="005F426C">
        <w:t>,</w:t>
      </w:r>
      <w:r w:rsidR="000E562F">
        <w:t xml:space="preserve"> optical art work</w:t>
      </w:r>
      <w:r w:rsidR="005F426C">
        <w:t xml:space="preserve"> and the work of artists who, I understand, </w:t>
      </w:r>
      <w:r w:rsidR="006544D8">
        <w:t xml:space="preserve">could have </w:t>
      </w:r>
      <w:r w:rsidR="005F426C">
        <w:t>experienced migraine themselves</w:t>
      </w:r>
      <w:r w:rsidR="001810C7">
        <w:t>.</w:t>
      </w:r>
      <w:r>
        <w:t xml:space="preserve"> </w:t>
      </w:r>
      <w:r w:rsidR="00D9561C">
        <w:t xml:space="preserve"> </w:t>
      </w:r>
    </w:p>
    <w:p w14:paraId="56299945" w14:textId="06EDDFA8" w:rsidR="006544D8" w:rsidRDefault="00A81EB1" w:rsidP="006544D8">
      <w:pPr>
        <w:jc w:val="both"/>
      </w:pPr>
      <w:r>
        <w:t>Through</w:t>
      </w:r>
      <w:r w:rsidR="006544D8">
        <w:t xml:space="preserve"> research so far, I have discovered that several famous artists may also have suffered with migraines,</w:t>
      </w:r>
      <w:r w:rsidR="006544D8" w:rsidRPr="00A721AE">
        <w:t xml:space="preserve"> </w:t>
      </w:r>
      <w:r w:rsidR="006544D8">
        <w:t xml:space="preserve">‘Art and Migraine: Researching the Relationship Between Artmaking and Pain Experience’ Vick and Sexton-Radek (2009: 117) states that ‘Articles documenting or speculating on the impact of migraines on artistic output have been written’ Vick and Sexton-Radek (2009: 117) indicate a ‘diverse collection of artists including </w:t>
      </w:r>
      <w:proofErr w:type="spellStart"/>
      <w:r w:rsidR="006544D8">
        <w:t>Hildergard</w:t>
      </w:r>
      <w:proofErr w:type="spellEnd"/>
      <w:r w:rsidR="006544D8">
        <w:t xml:space="preserve"> of </w:t>
      </w:r>
      <w:proofErr w:type="spellStart"/>
      <w:r w:rsidR="006544D8">
        <w:t>Bingen</w:t>
      </w:r>
      <w:proofErr w:type="spellEnd"/>
      <w:r w:rsidR="006544D8">
        <w:t xml:space="preserve">, </w:t>
      </w:r>
      <w:proofErr w:type="spellStart"/>
      <w:r w:rsidR="006544D8">
        <w:t>Georgio</w:t>
      </w:r>
      <w:proofErr w:type="spellEnd"/>
      <w:r w:rsidR="006544D8">
        <w:t xml:space="preserve"> de Chirico, Pablo Picasso, Georgia O’Keeffe, and the contemporary artist Sarah Raphael and others’. I have not yet found any conclusive evidence as to whether migraine is documented or speculated in any of the artists named here. However, looking at the work of Georgia O’Keeffe I can see indicators that would give the impression of classic migraine. </w:t>
      </w:r>
    </w:p>
    <w:tbl>
      <w:tblPr>
        <w:tblStyle w:val="TableGrid"/>
        <w:tblW w:w="0" w:type="auto"/>
        <w:tblLook w:val="04A0" w:firstRow="1" w:lastRow="0" w:firstColumn="1" w:lastColumn="0" w:noHBand="0" w:noVBand="1"/>
      </w:tblPr>
      <w:tblGrid>
        <w:gridCol w:w="4106"/>
        <w:gridCol w:w="4910"/>
      </w:tblGrid>
      <w:tr w:rsidR="006544D8" w14:paraId="3267D87E" w14:textId="77777777" w:rsidTr="00B84246">
        <w:tc>
          <w:tcPr>
            <w:tcW w:w="4106" w:type="dxa"/>
            <w:tcBorders>
              <w:top w:val="nil"/>
              <w:left w:val="nil"/>
              <w:bottom w:val="nil"/>
              <w:right w:val="nil"/>
            </w:tcBorders>
          </w:tcPr>
          <w:p w14:paraId="14E9D5B8" w14:textId="77777777" w:rsidR="006544D8" w:rsidRDefault="006544D8" w:rsidP="00B84246">
            <w:r>
              <w:rPr>
                <w:noProof/>
                <w:lang w:eastAsia="en-GB"/>
              </w:rPr>
              <w:drawing>
                <wp:inline distT="0" distB="0" distL="0" distR="0" wp14:anchorId="0D93EC12" wp14:editId="7ED41BA4">
                  <wp:extent cx="2276475" cy="287631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6419" cy="2888883"/>
                          </a:xfrm>
                          <a:prstGeom prst="rect">
                            <a:avLst/>
                          </a:prstGeom>
                          <a:noFill/>
                          <a:ln>
                            <a:noFill/>
                          </a:ln>
                        </pic:spPr>
                      </pic:pic>
                    </a:graphicData>
                  </a:graphic>
                </wp:inline>
              </w:drawing>
            </w:r>
          </w:p>
          <w:p w14:paraId="69B8ABAA" w14:textId="77777777" w:rsidR="006544D8" w:rsidRDefault="006544D8" w:rsidP="00B84246"/>
        </w:tc>
        <w:tc>
          <w:tcPr>
            <w:tcW w:w="4910" w:type="dxa"/>
            <w:tcBorders>
              <w:top w:val="nil"/>
              <w:left w:val="nil"/>
              <w:bottom w:val="nil"/>
              <w:right w:val="nil"/>
            </w:tcBorders>
          </w:tcPr>
          <w:p w14:paraId="6C9E7EF5" w14:textId="598233D7" w:rsidR="006544D8" w:rsidRDefault="009834C6" w:rsidP="00B84246">
            <w:pPr>
              <w:jc w:val="both"/>
            </w:pPr>
            <w:r>
              <w:t xml:space="preserve">Fig. 2 </w:t>
            </w:r>
            <w:r w:rsidR="00320B4D">
              <w:t>Pink Moon and Blue Lines</w:t>
            </w:r>
          </w:p>
          <w:p w14:paraId="177973EB" w14:textId="77777777" w:rsidR="006544D8" w:rsidRDefault="006544D8" w:rsidP="00B84246">
            <w:pPr>
              <w:jc w:val="both"/>
            </w:pPr>
          </w:p>
          <w:p w14:paraId="2960BC0A" w14:textId="77777777" w:rsidR="006544D8" w:rsidRDefault="006544D8" w:rsidP="00B84246">
            <w:pPr>
              <w:jc w:val="both"/>
            </w:pPr>
          </w:p>
          <w:p w14:paraId="7F1A91E9" w14:textId="116FF1DD" w:rsidR="006544D8" w:rsidRDefault="006544D8" w:rsidP="00B84246">
            <w:pPr>
              <w:jc w:val="both"/>
            </w:pPr>
            <w:r>
              <w:t xml:space="preserve">Through personal experience of a variety of migraine visuals, this melting, merging and flowing of colour is something I have observed. In writing of Georgia O’Keeffe, Cowart comments ‘her art allows us to remember things she has seen, experienced, or sensed, images grounded in authenticity’ </w:t>
            </w:r>
            <w:r w:rsidRPr="00F7745B">
              <w:t>(</w:t>
            </w:r>
            <w:r w:rsidR="00A81EB1" w:rsidRPr="00F7745B">
              <w:t>Cowart, Hamilton and Greenough 1987:2</w:t>
            </w:r>
            <w:r>
              <w:t xml:space="preserve">). Cowart also notes ‘In her art, fleeting effects of natural phenomena or personal emotion become symbols, permanent points of reference.’ </w:t>
            </w:r>
            <w:r w:rsidR="00A81EB1" w:rsidRPr="00F7745B">
              <w:t>(Cowart, Hamilton and Greenough</w:t>
            </w:r>
            <w:r w:rsidRPr="00F7745B">
              <w:t xml:space="preserve"> 1987:</w:t>
            </w:r>
            <w:r>
              <w:t xml:space="preserve">2).     </w:t>
            </w:r>
          </w:p>
          <w:p w14:paraId="395CA662" w14:textId="77777777" w:rsidR="006544D8" w:rsidRDefault="006544D8" w:rsidP="00B84246"/>
        </w:tc>
      </w:tr>
    </w:tbl>
    <w:p w14:paraId="2C2C9A8E" w14:textId="64BF1071" w:rsidR="006544D8" w:rsidRDefault="006544D8" w:rsidP="008E01E8">
      <w:pPr>
        <w:jc w:val="both"/>
      </w:pPr>
      <w:r>
        <w:t xml:space="preserve">The language Cowart uses in these quotes, and, on occasion, throughout his introduction to ‘Georgia O’Keeffe: Art and Artist’ </w:t>
      </w:r>
      <w:bookmarkStart w:id="1" w:name="_Hlk513688228"/>
      <w:r>
        <w:t>(</w:t>
      </w:r>
      <w:r w:rsidR="00A81EB1" w:rsidRPr="00F7745B">
        <w:t xml:space="preserve">Cowart, Hamilton and Greenough </w:t>
      </w:r>
      <w:r w:rsidRPr="00F7745B">
        <w:t>1987</w:t>
      </w:r>
      <w:r>
        <w:t xml:space="preserve">:1 – 6) </w:t>
      </w:r>
      <w:bookmarkEnd w:id="1"/>
      <w:r>
        <w:t>does appear to support the possibility of classic migraine. Cowart writes ‘Contrasts of the near and far, both in time and space, distinguish O’Keeffe’s art. She has no aerial perspective, but treats everything in focus, ignoring impressionistic values, the actual envelope of the air, or the limits of human (and even mechanical) vision.’</w:t>
      </w:r>
      <w:r w:rsidRPr="00DA05A4">
        <w:t xml:space="preserve"> </w:t>
      </w:r>
      <w:r>
        <w:t>(</w:t>
      </w:r>
      <w:r w:rsidR="00A81EB1" w:rsidRPr="00F7745B">
        <w:t>Cowart, Hamilton and Greenough</w:t>
      </w:r>
      <w:r>
        <w:t xml:space="preserve"> 1987: 2-3). To me this would indicate the possible neurological symptoms as described in ‘</w:t>
      </w:r>
      <w:r w:rsidRPr="003B7C5F">
        <w:rPr>
          <w:i/>
        </w:rPr>
        <w:t>Art and Migraine: Researching the Relationship Between Artmaking and Pain Experience</w:t>
      </w:r>
      <w:r>
        <w:t xml:space="preserve">’ Vick and Sexton-Radek (2009). </w:t>
      </w:r>
    </w:p>
    <w:p w14:paraId="4C322745" w14:textId="4E710062" w:rsidR="006D7493" w:rsidRDefault="006D7493" w:rsidP="009C5E93">
      <w:pPr>
        <w:jc w:val="both"/>
      </w:pPr>
      <w:r>
        <w:t>In his introduction to the book ‘Optical Art, Theory and Practice’, Parola (1969: 10</w:t>
      </w:r>
      <w:r w:rsidR="008E01E8">
        <w:t xml:space="preserve"> </w:t>
      </w:r>
      <w:r>
        <w:t>-</w:t>
      </w:r>
      <w:r w:rsidR="008E01E8">
        <w:t xml:space="preserve"> </w:t>
      </w:r>
      <w:r>
        <w:t>11)</w:t>
      </w:r>
      <w:r w:rsidR="000D3D23">
        <w:t xml:space="preserve"> informs us that </w:t>
      </w:r>
      <w:r w:rsidR="000E562F">
        <w:t xml:space="preserve">the ‘foundation’ of optical art is ‘non-objective perceptual response’ </w:t>
      </w:r>
      <w:r w:rsidR="004B5367">
        <w:t>Parola</w:t>
      </w:r>
      <w:r w:rsidR="000E562F">
        <w:t xml:space="preserve"> continues </w:t>
      </w:r>
      <w:r w:rsidR="007B61E6">
        <w:t xml:space="preserve">it </w:t>
      </w:r>
      <w:r w:rsidR="004B5367">
        <w:t>‘is abstract and consists of geometric forms, mechanical patterns, screens, and target effects.’ (Parola 1969: 10).  With regard to ‘pattern’ Parola writes of op art that ‘It may be described as multiplicity of simplicity’ and that some artists may ‘produce implied movement into space by varying the density of the pattern.’ (Parola 1969: 10)</w:t>
      </w:r>
      <w:r w:rsidR="008E01E8">
        <w:t>. Parola adds ‘Color [</w:t>
      </w:r>
      <w:r w:rsidR="008E01E8" w:rsidRPr="008E01E8">
        <w:rPr>
          <w:i/>
        </w:rPr>
        <w:t>sic</w:t>
      </w:r>
      <w:r w:rsidR="008E01E8">
        <w:t xml:space="preserve">] is not a necessary function of perceptual transformation, illusion, or optical discrepancy. Startling results can be obtained through the use of black, white, and </w:t>
      </w:r>
      <w:r w:rsidR="003B7C5F">
        <w:t>grey</w:t>
      </w:r>
      <w:r w:rsidR="008E01E8">
        <w:t>.’ (Parola 1969: 11</w:t>
      </w:r>
      <w:r w:rsidR="009F168C">
        <w:t xml:space="preserve">). Parola also states that the ‘high contrast of black and white </w:t>
      </w:r>
      <w:r w:rsidR="009F168C">
        <w:lastRenderedPageBreak/>
        <w:t xml:space="preserve">often conveys the feeling of </w:t>
      </w:r>
      <w:proofErr w:type="spellStart"/>
      <w:r w:rsidR="009F168C">
        <w:t>complementaries</w:t>
      </w:r>
      <w:proofErr w:type="spellEnd"/>
      <w:r w:rsidR="009F168C">
        <w:t xml:space="preserve"> [</w:t>
      </w:r>
      <w:r w:rsidR="009F168C" w:rsidRPr="009F168C">
        <w:rPr>
          <w:i/>
        </w:rPr>
        <w:t>sic</w:t>
      </w:r>
      <w:r w:rsidR="009F168C">
        <w:t xml:space="preserve">] and provides powerful results that would not be as effective in </w:t>
      </w:r>
      <w:proofErr w:type="spellStart"/>
      <w:r w:rsidR="009F168C">
        <w:t>color</w:t>
      </w:r>
      <w:proofErr w:type="spellEnd"/>
      <w:r w:rsidR="009F168C">
        <w:t xml:space="preserve"> [</w:t>
      </w:r>
      <w:r w:rsidR="009F168C" w:rsidRPr="009F168C">
        <w:rPr>
          <w:i/>
        </w:rPr>
        <w:t>sic</w:t>
      </w:r>
      <w:r w:rsidR="00B501D8">
        <w:t>]’</w:t>
      </w:r>
      <w:r w:rsidR="009F168C">
        <w:t xml:space="preserve"> (</w:t>
      </w:r>
      <w:proofErr w:type="spellStart"/>
      <w:r w:rsidR="009F168C">
        <w:t>Parola</w:t>
      </w:r>
      <w:proofErr w:type="spellEnd"/>
      <w:r w:rsidR="009F168C">
        <w:t xml:space="preserve"> 1969: 11)</w:t>
      </w:r>
      <w:r w:rsidR="00B501D8">
        <w:t>.</w:t>
      </w:r>
      <w:r w:rsidR="009F168C">
        <w:t xml:space="preserve"> </w:t>
      </w:r>
      <w:r w:rsidR="000E562F">
        <w:t xml:space="preserve"> </w:t>
      </w:r>
      <w:r>
        <w:t xml:space="preserve"> </w:t>
      </w:r>
    </w:p>
    <w:p w14:paraId="736F085A" w14:textId="167D1C1D" w:rsidR="00C06620" w:rsidRDefault="00C06620" w:rsidP="00A723FD">
      <w:pPr>
        <w:jc w:val="both"/>
      </w:pPr>
      <w:r>
        <w:t>My understanding of these introductory notes by Parola is that, op art can appear to be quite simplistic in its design with geometric shapes</w:t>
      </w:r>
      <w:r w:rsidR="00766BC7">
        <w:t xml:space="preserve"> and repeat pattern playing tricks on the observers’ eyes. Although colour plays a key role in art, it is not always necessary</w:t>
      </w:r>
      <w:r w:rsidR="00EF489F">
        <w:t xml:space="preserve"> to use</w:t>
      </w:r>
      <w:r w:rsidR="00766BC7">
        <w:t xml:space="preserve"> in order to obtain the best results or desired outcomes when portraying movement in an image. </w:t>
      </w:r>
      <w:r w:rsidR="00290A54">
        <w:t>The</w:t>
      </w:r>
      <w:r w:rsidR="009C5E93">
        <w:t xml:space="preserve"> position of geometric lines and patterns with changes in density can create the illusion of movement. This can be illustrated through the following images taken from </w:t>
      </w:r>
      <w:bookmarkStart w:id="2" w:name="_Hlk513663540"/>
      <w:r w:rsidR="000E6AA8">
        <w:t xml:space="preserve">‘Optical Art, Theory and Practice’, </w:t>
      </w:r>
      <w:r w:rsidR="00F7745B">
        <w:t>(</w:t>
      </w:r>
      <w:proofErr w:type="spellStart"/>
      <w:r w:rsidR="000E6AA8">
        <w:t>Parola</w:t>
      </w:r>
      <w:proofErr w:type="spellEnd"/>
      <w:r w:rsidR="000E6AA8">
        <w:t xml:space="preserve"> 1969: 36 – 37)</w:t>
      </w:r>
      <w:bookmarkEnd w:id="2"/>
      <w:r w:rsidR="000E6AA8">
        <w:t xml:space="preserve"> when looking at ‘perspective’ and ‘illusion’. </w:t>
      </w:r>
      <w:r w:rsidR="00290A54">
        <w:t xml:space="preserve"> </w:t>
      </w:r>
    </w:p>
    <w:p w14:paraId="20AD86C6" w14:textId="114F3D9A" w:rsidR="00F9085A" w:rsidRDefault="00626186" w:rsidP="004553F0">
      <w:r>
        <w:rPr>
          <w:noProof/>
          <w:lang w:eastAsia="en-GB"/>
        </w:rPr>
        <w:drawing>
          <wp:inline distT="0" distB="0" distL="0" distR="0" wp14:anchorId="3EF459B5" wp14:editId="3C0EBEEB">
            <wp:extent cx="2524125" cy="260941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6414" cy="2777189"/>
                    </a:xfrm>
                    <a:prstGeom prst="rect">
                      <a:avLst/>
                    </a:prstGeom>
                    <a:noFill/>
                    <a:ln>
                      <a:noFill/>
                    </a:ln>
                  </pic:spPr>
                </pic:pic>
              </a:graphicData>
            </a:graphic>
          </wp:inline>
        </w:drawing>
      </w:r>
      <w:r w:rsidR="00C06620">
        <w:t xml:space="preserve">          </w:t>
      </w:r>
      <w:r w:rsidR="00C06620">
        <w:rPr>
          <w:noProof/>
          <w:lang w:eastAsia="en-GB"/>
        </w:rPr>
        <w:drawing>
          <wp:inline distT="0" distB="0" distL="0" distR="0" wp14:anchorId="3003DA1B" wp14:editId="4B34B5DD">
            <wp:extent cx="2571361" cy="2590165"/>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5297" cy="2634423"/>
                    </a:xfrm>
                    <a:prstGeom prst="rect">
                      <a:avLst/>
                    </a:prstGeom>
                    <a:noFill/>
                    <a:ln>
                      <a:noFill/>
                    </a:ln>
                  </pic:spPr>
                </pic:pic>
              </a:graphicData>
            </a:graphic>
          </wp:inline>
        </w:drawing>
      </w:r>
      <w:r w:rsidR="00C06620">
        <w:t xml:space="preserve"> </w:t>
      </w:r>
    </w:p>
    <w:p w14:paraId="519A2FA3" w14:textId="04717B44" w:rsidR="00C06620" w:rsidRDefault="009834C6" w:rsidP="004553F0">
      <w:r>
        <w:t xml:space="preserve">Fig. 3 </w:t>
      </w:r>
      <w:r w:rsidR="000E6AA8">
        <w:t>‘Optical Art, Theory and Practice’, Parola (1969: 36 – 37)</w:t>
      </w:r>
    </w:p>
    <w:p w14:paraId="558DAA94" w14:textId="77777777" w:rsidR="00321EE6" w:rsidRDefault="00321EE6" w:rsidP="00C64C30">
      <w:pPr>
        <w:jc w:val="both"/>
      </w:pPr>
    </w:p>
    <w:p w14:paraId="790ACF90" w14:textId="47088C7C" w:rsidR="00C06620" w:rsidRDefault="00232323" w:rsidP="00C64C30">
      <w:pPr>
        <w:jc w:val="both"/>
      </w:pPr>
      <w:r>
        <w:t>The visual phenomena can also be seen in some of the works of Bridget Riley</w:t>
      </w:r>
      <w:r w:rsidR="00517BC1">
        <w:t>.</w:t>
      </w:r>
      <w:r>
        <w:t xml:space="preserve"> </w:t>
      </w:r>
      <w:r w:rsidR="00517BC1">
        <w:t xml:space="preserve">A review from the </w:t>
      </w:r>
      <w:r w:rsidR="00517BC1">
        <w:rPr>
          <w:i/>
        </w:rPr>
        <w:t xml:space="preserve">New Statesman </w:t>
      </w:r>
      <w:r w:rsidR="00517BC1">
        <w:t xml:space="preserve">noted in Bridget Riley, Paintings and Related Work </w:t>
      </w:r>
      <w:bookmarkStart w:id="3" w:name="_Hlk513671057"/>
      <w:r w:rsidRPr="00F7745B">
        <w:t>(</w:t>
      </w:r>
      <w:r w:rsidR="00F7745B" w:rsidRPr="00F7745B">
        <w:t>Wiggins, Bracewell</w:t>
      </w:r>
      <w:r w:rsidRPr="00F7745B">
        <w:t xml:space="preserve"> and</w:t>
      </w:r>
      <w:r w:rsidR="00F7745B">
        <w:t xml:space="preserve"> Prather</w:t>
      </w:r>
      <w:r>
        <w:t xml:space="preserve">, 2010: </w:t>
      </w:r>
      <w:r w:rsidR="00517BC1">
        <w:t>19</w:t>
      </w:r>
      <w:r>
        <w:t>)</w:t>
      </w:r>
      <w:r w:rsidR="00517BC1">
        <w:t>, starts ‘No painter, dead or alive</w:t>
      </w:r>
      <w:r w:rsidR="00A723FD">
        <w:t>’ and continues</w:t>
      </w:r>
      <w:r w:rsidR="00517BC1">
        <w:t xml:space="preserve"> </w:t>
      </w:r>
      <w:r w:rsidR="00A723FD">
        <w:t>‘</w:t>
      </w:r>
      <w:r w:rsidR="00517BC1">
        <w:t xml:space="preserve">has ever made us more aware of our eyes than </w:t>
      </w:r>
      <w:r w:rsidR="00A723FD">
        <w:t>Bridget Riley’. The following paragraph informs us that ‘the truth’ of this ‘pronouncement’ would be ‘self-evident to anyone who has stood in front of a painting by Riley – from any period in her career – and accepted its invitation to look and see. Each painting comprises its own closed circuitry of movement and form, refining our perception</w:t>
      </w:r>
      <w:r w:rsidR="00FE4560">
        <w:t xml:space="preserve"> to pure sensation, beyond intellect.’</w:t>
      </w:r>
      <w:r w:rsidR="00FE4560" w:rsidRPr="00FE4560">
        <w:t xml:space="preserve"> </w:t>
      </w:r>
      <w:r w:rsidR="00FE4560">
        <w:t>(Wiggins</w:t>
      </w:r>
      <w:r w:rsidR="00F7745B">
        <w:t xml:space="preserve">, </w:t>
      </w:r>
      <w:r w:rsidR="00FE4560">
        <w:t>19).</w:t>
      </w:r>
    </w:p>
    <w:p w14:paraId="5C7C4B9E" w14:textId="7EE5033C" w:rsidR="001B56D5" w:rsidRPr="00F7745B" w:rsidRDefault="00FE4560" w:rsidP="00C64C30">
      <w:pPr>
        <w:jc w:val="both"/>
        <w:rPr>
          <w:highlight w:val="yellow"/>
        </w:rPr>
      </w:pPr>
      <w:r>
        <w:t>While this statement</w:t>
      </w:r>
      <w:r w:rsidR="0055185A">
        <w:t xml:space="preserve"> applies to work that was exhibited at ‘the Hayward Gallery, London, in 1971’</w:t>
      </w:r>
      <w:r w:rsidR="001B56D5">
        <w:t xml:space="preserve"> </w:t>
      </w:r>
      <w:bookmarkStart w:id="4" w:name="_Hlk513679581"/>
      <w:r w:rsidR="0055185A">
        <w:t>(</w:t>
      </w:r>
      <w:r w:rsidR="00F7745B" w:rsidRPr="00F7745B">
        <w:t>Wiggins, Bracewell and Prather</w:t>
      </w:r>
      <w:r w:rsidR="0055185A" w:rsidRPr="00F7745B">
        <w:t xml:space="preserve"> 2010</w:t>
      </w:r>
      <w:r w:rsidR="0055185A">
        <w:t>: 19</w:t>
      </w:r>
      <w:bookmarkEnd w:id="4"/>
      <w:r w:rsidR="0055185A">
        <w:t>)</w:t>
      </w:r>
      <w:r w:rsidR="001B56D5">
        <w:t>, equally it can be applied to all of the Bridget Riley images within the book ‘Bridget Riley, Paintings and Related Work’ for the exhibition of the same name at the National Gallery, London, November 2010 to May 2011.</w:t>
      </w:r>
    </w:p>
    <w:tbl>
      <w:tblPr>
        <w:tblStyle w:val="TableGrid"/>
        <w:tblW w:w="0" w:type="auto"/>
        <w:tblLook w:val="04A0" w:firstRow="1" w:lastRow="0" w:firstColumn="1" w:lastColumn="0" w:noHBand="0" w:noVBand="1"/>
      </w:tblPr>
      <w:tblGrid>
        <w:gridCol w:w="4508"/>
        <w:gridCol w:w="4508"/>
      </w:tblGrid>
      <w:tr w:rsidR="001B56D5" w14:paraId="01864D09" w14:textId="77777777" w:rsidTr="009B3E6F">
        <w:tc>
          <w:tcPr>
            <w:tcW w:w="4508" w:type="dxa"/>
            <w:tcBorders>
              <w:top w:val="nil"/>
              <w:left w:val="nil"/>
              <w:bottom w:val="nil"/>
              <w:right w:val="nil"/>
            </w:tcBorders>
          </w:tcPr>
          <w:p w14:paraId="218D8880" w14:textId="176884F3" w:rsidR="001B56D5" w:rsidRDefault="001B56D5" w:rsidP="004553F0">
            <w:r>
              <w:rPr>
                <w:rFonts w:ascii="Arial" w:hAnsi="Arial" w:cs="Arial"/>
                <w:noProof/>
                <w:color w:val="0000FF"/>
                <w:sz w:val="27"/>
                <w:szCs w:val="27"/>
                <w:lang w:eastAsia="en-GB"/>
              </w:rPr>
              <w:lastRenderedPageBreak/>
              <w:drawing>
                <wp:inline distT="0" distB="0" distL="0" distR="0" wp14:anchorId="1FC11188" wp14:editId="444BD581">
                  <wp:extent cx="2445489" cy="2285503"/>
                  <wp:effectExtent l="0" t="0" r="0" b="635"/>
                  <wp:docPr id="6" name="Picture 6" descr="Image result for bridget riley, arrest 3">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ridget riley, arrest 3">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256" cy="2328276"/>
                          </a:xfrm>
                          <a:prstGeom prst="rect">
                            <a:avLst/>
                          </a:prstGeom>
                          <a:noFill/>
                          <a:ln>
                            <a:noFill/>
                          </a:ln>
                        </pic:spPr>
                      </pic:pic>
                    </a:graphicData>
                  </a:graphic>
                </wp:inline>
              </w:drawing>
            </w:r>
          </w:p>
        </w:tc>
        <w:tc>
          <w:tcPr>
            <w:tcW w:w="4508" w:type="dxa"/>
            <w:tcBorders>
              <w:top w:val="nil"/>
              <w:left w:val="nil"/>
              <w:bottom w:val="nil"/>
              <w:right w:val="nil"/>
            </w:tcBorders>
          </w:tcPr>
          <w:p w14:paraId="09E12288" w14:textId="77777777" w:rsidR="009722D0" w:rsidRDefault="009722D0" w:rsidP="00C64C30">
            <w:pPr>
              <w:jc w:val="both"/>
            </w:pPr>
          </w:p>
          <w:p w14:paraId="0AF5AA4B" w14:textId="79FCBD88" w:rsidR="009B3E6F" w:rsidRDefault="009834C6" w:rsidP="00C64C30">
            <w:pPr>
              <w:jc w:val="both"/>
            </w:pPr>
            <w:r>
              <w:t xml:space="preserve">Fig. 4 </w:t>
            </w:r>
            <w:r w:rsidR="009B3E6F">
              <w:t>Bridget Riley Arrest 3</w:t>
            </w:r>
            <w:r w:rsidR="00C64C30">
              <w:t>,</w:t>
            </w:r>
            <w:r w:rsidR="00320B4D">
              <w:t xml:space="preserve"> 1965</w:t>
            </w:r>
            <w:r w:rsidR="009B3E6F">
              <w:t xml:space="preserve"> </w:t>
            </w:r>
          </w:p>
          <w:p w14:paraId="244879B0" w14:textId="0B711C33" w:rsidR="00C64C30" w:rsidRDefault="00C64C30" w:rsidP="00C64C30">
            <w:pPr>
              <w:jc w:val="both"/>
            </w:pPr>
          </w:p>
          <w:p w14:paraId="4DD12217" w14:textId="6BA99105" w:rsidR="00DA47F6" w:rsidRDefault="00320B4D" w:rsidP="00C64C30">
            <w:pPr>
              <w:jc w:val="both"/>
            </w:pPr>
            <w:r>
              <w:t>The</w:t>
            </w:r>
            <w:r w:rsidR="00C64C30">
              <w:t xml:space="preserve"> simple tones of blue, </w:t>
            </w:r>
            <w:r w:rsidR="009722D0">
              <w:t xml:space="preserve">near </w:t>
            </w:r>
            <w:r w:rsidR="00C64C30">
              <w:t xml:space="preserve">black and grey and the wave pattern in this piece give the illusion of movement. The pattern of the waves </w:t>
            </w:r>
            <w:r w:rsidR="009722D0">
              <w:t>changes direction towards to lower portion of the image, this then</w:t>
            </w:r>
            <w:r w:rsidR="00C64C30">
              <w:t xml:space="preserve"> creates a chevron effect</w:t>
            </w:r>
            <w:r w:rsidR="009722D0">
              <w:t xml:space="preserve"> and enhances the sense of movement</w:t>
            </w:r>
            <w:r w:rsidR="00C64C30">
              <w:t xml:space="preserve">. </w:t>
            </w:r>
          </w:p>
          <w:p w14:paraId="381A0366" w14:textId="77777777" w:rsidR="00DA47F6" w:rsidRDefault="00DA47F6" w:rsidP="00C64C30">
            <w:pPr>
              <w:jc w:val="both"/>
            </w:pPr>
          </w:p>
          <w:p w14:paraId="4DBA5CC8" w14:textId="58555119" w:rsidR="001B56D5" w:rsidRDefault="001B56D5" w:rsidP="00DA47F6">
            <w:pPr>
              <w:jc w:val="both"/>
            </w:pPr>
          </w:p>
        </w:tc>
      </w:tr>
    </w:tbl>
    <w:p w14:paraId="50949CB6" w14:textId="4A3CB018" w:rsidR="0055185A" w:rsidRDefault="009722D0" w:rsidP="00EF55A5">
      <w:pPr>
        <w:jc w:val="both"/>
      </w:pPr>
      <w:r>
        <w:t xml:space="preserve">While black, white and grey may produce the best results when portraying the desired illusion of movement and depth perception, I find that the starkness of these colours can create stress on my eyes and be a trigger for migraine. </w:t>
      </w:r>
      <w:r w:rsidR="00DA47F6">
        <w:t xml:space="preserve">The colours in ‘Arrest 3’, I find far more pleasant and are colours that I would prefer to use in my own work as these are less likely to trigger a migraine. </w:t>
      </w:r>
    </w:p>
    <w:tbl>
      <w:tblPr>
        <w:tblStyle w:val="TableGrid"/>
        <w:tblW w:w="0" w:type="auto"/>
        <w:tblLook w:val="04A0" w:firstRow="1" w:lastRow="0" w:firstColumn="1" w:lastColumn="0" w:noHBand="0" w:noVBand="1"/>
      </w:tblPr>
      <w:tblGrid>
        <w:gridCol w:w="4508"/>
        <w:gridCol w:w="4508"/>
      </w:tblGrid>
      <w:tr w:rsidR="00510C07" w14:paraId="55F58DB2" w14:textId="77777777" w:rsidTr="00510C07">
        <w:tc>
          <w:tcPr>
            <w:tcW w:w="4508" w:type="dxa"/>
            <w:tcBorders>
              <w:top w:val="nil"/>
              <w:left w:val="nil"/>
              <w:bottom w:val="nil"/>
              <w:right w:val="nil"/>
            </w:tcBorders>
          </w:tcPr>
          <w:p w14:paraId="746CBE18" w14:textId="77777777" w:rsidR="00510C07" w:rsidRDefault="00510C07" w:rsidP="00DA47F6">
            <w:pPr>
              <w:jc w:val="both"/>
            </w:pPr>
            <w:r>
              <w:rPr>
                <w:noProof/>
                <w:lang w:eastAsia="en-GB"/>
              </w:rPr>
              <w:drawing>
                <wp:inline distT="0" distB="0" distL="0" distR="0" wp14:anchorId="7743C3CE" wp14:editId="5B12C8CC">
                  <wp:extent cx="2647950" cy="1710668"/>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9848" cy="1737736"/>
                          </a:xfrm>
                          <a:prstGeom prst="rect">
                            <a:avLst/>
                          </a:prstGeom>
                          <a:noFill/>
                          <a:ln>
                            <a:noFill/>
                          </a:ln>
                        </pic:spPr>
                      </pic:pic>
                    </a:graphicData>
                  </a:graphic>
                </wp:inline>
              </w:drawing>
            </w:r>
          </w:p>
          <w:p w14:paraId="17562994" w14:textId="59DFEA3E" w:rsidR="009834C6" w:rsidRDefault="009834C6" w:rsidP="009834C6">
            <w:pPr>
              <w:jc w:val="both"/>
            </w:pPr>
            <w:r>
              <w:t>Fig. 5 Bridget Riley, Study B,</w:t>
            </w:r>
            <w:r w:rsidR="00C328A8">
              <w:t xml:space="preserve"> </w:t>
            </w:r>
            <w:r>
              <w:t xml:space="preserve">22 April </w:t>
            </w:r>
            <w:proofErr w:type="spellStart"/>
            <w:r>
              <w:t>Bassacs</w:t>
            </w:r>
            <w:proofErr w:type="spellEnd"/>
            <w:r>
              <w:t>, 2008</w:t>
            </w:r>
          </w:p>
          <w:p w14:paraId="07D92878" w14:textId="2C926A7A" w:rsidR="00C328A8" w:rsidRDefault="00C328A8" w:rsidP="00DA47F6">
            <w:pPr>
              <w:jc w:val="both"/>
            </w:pPr>
          </w:p>
        </w:tc>
        <w:tc>
          <w:tcPr>
            <w:tcW w:w="4508" w:type="dxa"/>
            <w:tcBorders>
              <w:top w:val="nil"/>
              <w:left w:val="nil"/>
              <w:bottom w:val="nil"/>
              <w:right w:val="nil"/>
            </w:tcBorders>
          </w:tcPr>
          <w:p w14:paraId="54B795E6" w14:textId="77777777" w:rsidR="00510C07" w:rsidRDefault="00510C07" w:rsidP="00DA47F6">
            <w:pPr>
              <w:jc w:val="both"/>
            </w:pPr>
            <w:r>
              <w:rPr>
                <w:noProof/>
                <w:lang w:eastAsia="en-GB"/>
              </w:rPr>
              <w:drawing>
                <wp:inline distT="0" distB="0" distL="0" distR="0" wp14:anchorId="6A534C09" wp14:editId="014FAF71">
                  <wp:extent cx="2677518" cy="1710055"/>
                  <wp:effectExtent l="0" t="0" r="889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0061" cy="1737226"/>
                          </a:xfrm>
                          <a:prstGeom prst="rect">
                            <a:avLst/>
                          </a:prstGeom>
                          <a:noFill/>
                          <a:ln>
                            <a:noFill/>
                          </a:ln>
                        </pic:spPr>
                      </pic:pic>
                    </a:graphicData>
                  </a:graphic>
                </wp:inline>
              </w:drawing>
            </w:r>
          </w:p>
          <w:p w14:paraId="38996AC7" w14:textId="3C537467" w:rsidR="009834C6" w:rsidRDefault="009834C6" w:rsidP="009834C6">
            <w:pPr>
              <w:jc w:val="both"/>
            </w:pPr>
            <w:r>
              <w:t xml:space="preserve">Fig. 6 </w:t>
            </w:r>
            <w:r w:rsidR="00C328A8">
              <w:t>Bridget Riley, October 22</w:t>
            </w:r>
            <w:r w:rsidR="00C328A8" w:rsidRPr="00C328A8">
              <w:rPr>
                <w:vertAlign w:val="superscript"/>
              </w:rPr>
              <w:t>nd</w:t>
            </w:r>
            <w:r>
              <w:t xml:space="preserve"> </w:t>
            </w:r>
            <w:proofErr w:type="spellStart"/>
            <w:r>
              <w:t>Bassacs</w:t>
            </w:r>
            <w:proofErr w:type="spellEnd"/>
            <w:r>
              <w:t>, 2008.</w:t>
            </w:r>
          </w:p>
          <w:p w14:paraId="30F22EAE" w14:textId="288E0715" w:rsidR="00C328A8" w:rsidRDefault="00C328A8" w:rsidP="00DA47F6">
            <w:pPr>
              <w:jc w:val="both"/>
            </w:pPr>
          </w:p>
        </w:tc>
      </w:tr>
      <w:tr w:rsidR="00510C07" w14:paraId="3F1D4911" w14:textId="77777777" w:rsidTr="00510C07">
        <w:tc>
          <w:tcPr>
            <w:tcW w:w="4508" w:type="dxa"/>
            <w:tcBorders>
              <w:top w:val="nil"/>
              <w:left w:val="nil"/>
              <w:bottom w:val="nil"/>
              <w:right w:val="nil"/>
            </w:tcBorders>
          </w:tcPr>
          <w:p w14:paraId="7FDCCF40" w14:textId="77777777" w:rsidR="00510C07" w:rsidRDefault="00510C07" w:rsidP="00DA47F6">
            <w:pPr>
              <w:jc w:val="both"/>
            </w:pPr>
            <w:r>
              <w:rPr>
                <w:noProof/>
                <w:lang w:eastAsia="en-GB"/>
              </w:rPr>
              <w:drawing>
                <wp:inline distT="0" distB="0" distL="0" distR="0" wp14:anchorId="701DCD17" wp14:editId="04EBDFF2">
                  <wp:extent cx="2723457" cy="1655023"/>
                  <wp:effectExtent l="0" t="0" r="127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2767282" cy="1681655"/>
                          </a:xfrm>
                          <a:prstGeom prst="rect">
                            <a:avLst/>
                          </a:prstGeom>
                          <a:noFill/>
                          <a:ln>
                            <a:noFill/>
                          </a:ln>
                        </pic:spPr>
                      </pic:pic>
                    </a:graphicData>
                  </a:graphic>
                </wp:inline>
              </w:drawing>
            </w:r>
          </w:p>
          <w:p w14:paraId="4849C041" w14:textId="269F466A" w:rsidR="00C328A8" w:rsidRDefault="009834C6" w:rsidP="00DA47F6">
            <w:pPr>
              <w:jc w:val="both"/>
            </w:pPr>
            <w:r>
              <w:t xml:space="preserve">Fig. 7 </w:t>
            </w:r>
            <w:r w:rsidR="00C328A8">
              <w:t>Bridget Riley, Revision 10</w:t>
            </w:r>
            <w:r w:rsidR="00C328A8" w:rsidRPr="00C328A8">
              <w:rPr>
                <w:vertAlign w:val="superscript"/>
              </w:rPr>
              <w:t>th</w:t>
            </w:r>
            <w:r w:rsidR="00C328A8">
              <w:t xml:space="preserve"> November 2009</w:t>
            </w:r>
          </w:p>
        </w:tc>
        <w:tc>
          <w:tcPr>
            <w:tcW w:w="4508" w:type="dxa"/>
            <w:tcBorders>
              <w:top w:val="nil"/>
              <w:left w:val="nil"/>
              <w:bottom w:val="nil"/>
              <w:right w:val="nil"/>
            </w:tcBorders>
          </w:tcPr>
          <w:p w14:paraId="4E8CF416" w14:textId="77777777" w:rsidR="00510C07" w:rsidRDefault="00510C07" w:rsidP="00DA47F6">
            <w:pPr>
              <w:jc w:val="both"/>
            </w:pPr>
            <w:r>
              <w:rPr>
                <w:noProof/>
                <w:lang w:eastAsia="en-GB"/>
              </w:rPr>
              <w:drawing>
                <wp:inline distT="0" distB="0" distL="0" distR="0" wp14:anchorId="5FAE9C43" wp14:editId="24E605DD">
                  <wp:extent cx="2648872" cy="16631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2688112" cy="1687765"/>
                          </a:xfrm>
                          <a:prstGeom prst="rect">
                            <a:avLst/>
                          </a:prstGeom>
                          <a:noFill/>
                          <a:ln>
                            <a:noFill/>
                          </a:ln>
                        </pic:spPr>
                      </pic:pic>
                    </a:graphicData>
                  </a:graphic>
                </wp:inline>
              </w:drawing>
            </w:r>
          </w:p>
          <w:p w14:paraId="7B64C805" w14:textId="241D8C3C" w:rsidR="00C328A8" w:rsidRDefault="009834C6" w:rsidP="00DA47F6">
            <w:pPr>
              <w:jc w:val="both"/>
            </w:pPr>
            <w:r>
              <w:t xml:space="preserve">Fig. 8 </w:t>
            </w:r>
            <w:r w:rsidR="00C328A8">
              <w:t>Bridget Riley, Jan 7</w:t>
            </w:r>
            <w:r w:rsidR="00C328A8" w:rsidRPr="00C328A8">
              <w:rPr>
                <w:vertAlign w:val="superscript"/>
              </w:rPr>
              <w:t>th</w:t>
            </w:r>
            <w:r w:rsidR="00C328A8">
              <w:t xml:space="preserve"> Cornwall, 2009</w:t>
            </w:r>
          </w:p>
          <w:p w14:paraId="5061483E" w14:textId="4E778859" w:rsidR="00C328A8" w:rsidRDefault="00C328A8" w:rsidP="00DA47F6">
            <w:pPr>
              <w:jc w:val="both"/>
            </w:pPr>
          </w:p>
        </w:tc>
      </w:tr>
    </w:tbl>
    <w:p w14:paraId="43A6C557" w14:textId="77777777" w:rsidR="00321EE6" w:rsidRDefault="00321EE6" w:rsidP="00DA47F6">
      <w:pPr>
        <w:jc w:val="both"/>
      </w:pPr>
    </w:p>
    <w:p w14:paraId="64D07234" w14:textId="58416FA3" w:rsidR="004D2FA9" w:rsidRDefault="00320B4D" w:rsidP="00EF55A5">
      <w:pPr>
        <w:jc w:val="both"/>
      </w:pPr>
      <w:r>
        <w:t xml:space="preserve">Bridget Riley is an abstract artist who portrays the illusion of movement in her art both in monochrome, (with the blues, near black and grey) and in colour as illustrated in the gouache on paper studies above.  In 1995 Riley said </w:t>
      </w:r>
      <w:r w:rsidR="00EF55A5">
        <w:t>‘I think Abstract art should try to be as resourceful and as expressive as the great figurative art of the past</w:t>
      </w:r>
      <w:r>
        <w:t>’</w:t>
      </w:r>
      <w:r w:rsidR="00EF55A5">
        <w:t xml:space="preserve"> </w:t>
      </w:r>
      <w:r>
        <w:t>(Wiggins, Bracewell and Prather,</w:t>
      </w:r>
      <w:r w:rsidR="00EF55A5">
        <w:t xml:space="preserve"> 2010: 9)</w:t>
      </w:r>
      <w:r w:rsidR="004D2FA9">
        <w:t xml:space="preserve">. </w:t>
      </w:r>
      <w:r w:rsidR="00F7745B">
        <w:t>This is important because</w:t>
      </w:r>
      <w:r w:rsidR="00BC3186">
        <w:t xml:space="preserve"> Riley uses abstraction, taking a form and reducing it to curves and minimal lines to produce work. Abstract art has a role, and its role is equal to that of the great masters. </w:t>
      </w:r>
      <w:r w:rsidR="00F7745B">
        <w:t xml:space="preserve"> </w:t>
      </w:r>
    </w:p>
    <w:p w14:paraId="141E9664" w14:textId="2765951D" w:rsidR="005B432C" w:rsidRDefault="006544D8" w:rsidP="00282EB2">
      <w:pPr>
        <w:jc w:val="both"/>
      </w:pPr>
      <w:r>
        <w:lastRenderedPageBreak/>
        <w:t xml:space="preserve">This leads to my final key word, colour. </w:t>
      </w:r>
      <w:r w:rsidR="00F94957">
        <w:t xml:space="preserve">My reading has shown that research around colour is extensive but there are many variables that need to be </w:t>
      </w:r>
      <w:r w:rsidR="00282EB2">
        <w:t>considered</w:t>
      </w:r>
      <w:r w:rsidR="00F94957">
        <w:t xml:space="preserve"> when trying to establish the eff</w:t>
      </w:r>
      <w:r w:rsidR="00B501D8">
        <w:t>ect that colour could have</w:t>
      </w:r>
      <w:r w:rsidR="00F94957">
        <w:t xml:space="preserve">. </w:t>
      </w:r>
      <w:r w:rsidR="00B501D8">
        <w:t xml:space="preserve">A painter with a particular flair for colour and colour relationships, </w:t>
      </w:r>
      <w:r w:rsidR="00320B4D">
        <w:t>Paul Gauguin</w:t>
      </w:r>
      <w:r w:rsidR="00B501D8">
        <w:t>,</w:t>
      </w:r>
      <w:r w:rsidR="00320B4D">
        <w:t xml:space="preserve"> said </w:t>
      </w:r>
      <w:r w:rsidR="00F94957">
        <w:t>‘By trial and error, color [</w:t>
      </w:r>
      <w:r w:rsidR="00F94957" w:rsidRPr="00F94957">
        <w:rPr>
          <w:i/>
        </w:rPr>
        <w:t>sic</w:t>
      </w:r>
      <w:r w:rsidR="00F94957">
        <w:t>] can be used to evoke a visceral reaction antecedent to words.</w:t>
      </w:r>
      <w:r w:rsidR="00320B4D">
        <w:t>’</w:t>
      </w:r>
      <w:r w:rsidR="00F94957">
        <w:t xml:space="preserve"> </w:t>
      </w:r>
      <w:bookmarkStart w:id="5" w:name="_Hlk513691274"/>
      <w:r w:rsidR="00282EB2">
        <w:t>(</w:t>
      </w:r>
      <w:proofErr w:type="spellStart"/>
      <w:r w:rsidR="00320B4D">
        <w:t>Zelanski</w:t>
      </w:r>
      <w:proofErr w:type="spellEnd"/>
      <w:r w:rsidR="00320B4D">
        <w:t xml:space="preserve"> and Fisher,</w:t>
      </w:r>
      <w:r w:rsidR="00F94957">
        <w:t xml:space="preserve"> 2006</w:t>
      </w:r>
      <w:r w:rsidR="00282EB2">
        <w:t xml:space="preserve">: 37). </w:t>
      </w:r>
      <w:bookmarkEnd w:id="5"/>
      <w:r w:rsidR="00F7745B">
        <w:t xml:space="preserve">This suggests </w:t>
      </w:r>
      <w:r w:rsidR="00173AAA">
        <w:t>that the visual impact of colour can have an emotional and / or a physiological effect even before a word is spoken, and that it is only through the repeated action of mixing colours that we can succeed in obtaining a reaction, desired or otherwise</w:t>
      </w:r>
      <w:r w:rsidR="00320B4D" w:rsidRPr="00F7745B">
        <w:t>.</w:t>
      </w:r>
      <w:r w:rsidR="00173AAA">
        <w:t xml:space="preserve"> </w:t>
      </w:r>
      <w:r w:rsidR="00282EB2">
        <w:t>They go on to divide colours into categories of association ‘the colors of fire – reds, yellows, orang</w:t>
      </w:r>
      <w:r w:rsidR="00320B4D">
        <w:t>es – with warmth’ (</w:t>
      </w:r>
      <w:proofErr w:type="spellStart"/>
      <w:r w:rsidR="00320B4D">
        <w:t>Zelanski</w:t>
      </w:r>
      <w:proofErr w:type="spellEnd"/>
      <w:r w:rsidR="00320B4D">
        <w:t xml:space="preserve"> and Fisher,</w:t>
      </w:r>
      <w:r w:rsidR="00282EB2">
        <w:t xml:space="preserve"> 2006: 37). and describing ‘the coolness of greens and blues’ (</w:t>
      </w:r>
      <w:proofErr w:type="spellStart"/>
      <w:r w:rsidR="00320B4D">
        <w:t>Zelanski</w:t>
      </w:r>
      <w:proofErr w:type="spellEnd"/>
      <w:r w:rsidR="00320B4D">
        <w:t xml:space="preserve"> and Fisher, </w:t>
      </w:r>
      <w:r w:rsidR="00282EB2">
        <w:t>2006: 38).</w:t>
      </w:r>
    </w:p>
    <w:p w14:paraId="40A4B358" w14:textId="77777777" w:rsidR="003D4C6B" w:rsidRDefault="005B432C" w:rsidP="00A23DF1">
      <w:pPr>
        <w:jc w:val="both"/>
      </w:pPr>
      <w:r>
        <w:t>My reading also indicates that colour can evoke an emotional or physiological effect, and that the effects can vary from person to person. There can also be an issue of personal preference. ‘Not only have we inherited cultural associations, but we also respond to colors in individual ways.’ (</w:t>
      </w:r>
      <w:proofErr w:type="spellStart"/>
      <w:r w:rsidR="00320B4D">
        <w:t>Zelanski</w:t>
      </w:r>
      <w:proofErr w:type="spellEnd"/>
      <w:r w:rsidR="00320B4D">
        <w:t xml:space="preserve"> and Fisher,</w:t>
      </w:r>
      <w:r>
        <w:t xml:space="preserve"> 2006: 42). </w:t>
      </w:r>
      <w:r w:rsidR="00757249">
        <w:t>The emotional effects to assorted colours have also been defined however, ‘Such associations are rather common, but on the other hand cannot be considered absolute’ (</w:t>
      </w:r>
      <w:proofErr w:type="spellStart"/>
      <w:r w:rsidR="00320B4D">
        <w:t>Zelanski</w:t>
      </w:r>
      <w:proofErr w:type="spellEnd"/>
      <w:r w:rsidR="00320B4D">
        <w:t xml:space="preserve"> and Fisher, </w:t>
      </w:r>
      <w:r w:rsidR="00757249">
        <w:t xml:space="preserve">2006: 45). For </w:t>
      </w:r>
      <w:r w:rsidR="00A23DF1">
        <w:t>example,</w:t>
      </w:r>
      <w:r w:rsidR="00757249">
        <w:t xml:space="preserve"> ‘Red: vitality, strength, warmth, sensuality, assertion, anger, impatience’ while ‘Turquoise: mental calmness, concentration, confidence, refreshment and ‘Indigo / violet: spirituality, intuition, inspiration, contemplation, purification’ (</w:t>
      </w:r>
      <w:proofErr w:type="spellStart"/>
      <w:r w:rsidR="00320B4D">
        <w:t>Zelanski</w:t>
      </w:r>
      <w:proofErr w:type="spellEnd"/>
      <w:r w:rsidR="00320B4D">
        <w:t xml:space="preserve"> and Fisher, </w:t>
      </w:r>
      <w:r w:rsidR="00757249">
        <w:t xml:space="preserve">2006: </w:t>
      </w:r>
      <w:r w:rsidR="00A23DF1">
        <w:t>44 - 45</w:t>
      </w:r>
      <w:r w:rsidR="00757249">
        <w:t xml:space="preserve">).  </w:t>
      </w:r>
      <w:r w:rsidR="00A23DF1">
        <w:t>My personal preference is toward hues of blues and purples or turquoise and indigo, I find these colours more calming while bright, vivid colours can trigger a migraine.</w:t>
      </w:r>
      <w:r>
        <w:t xml:space="preserve">  </w:t>
      </w:r>
    </w:p>
    <w:p w14:paraId="6186F791" w14:textId="4DA630A9" w:rsidR="00215005" w:rsidRDefault="003D4C6B" w:rsidP="00A23DF1">
      <w:pPr>
        <w:jc w:val="both"/>
      </w:pPr>
      <w:r>
        <w:t xml:space="preserve">The link between migraine, optical illusion and colour </w:t>
      </w:r>
      <w:r w:rsidR="00B830A8">
        <w:t>is that, a migraine with aura can create the optical illusions through an ‘array of neurological symptoms’. These symptoms can create the geometric patterns that</w:t>
      </w:r>
      <w:r>
        <w:t xml:space="preserve"> </w:t>
      </w:r>
      <w:r w:rsidR="00B830A8">
        <w:t xml:space="preserve">become optical illusions. Migraine sufferers can have an aversion to light and colour, migraines can also be responsible for the creation of colour, light and colour can be a trigger for migraine. In this way these key words can all be intertwined. </w:t>
      </w:r>
      <w:r w:rsidR="00282EB2">
        <w:t xml:space="preserve">  </w:t>
      </w:r>
      <w:r w:rsidR="00F94957">
        <w:t xml:space="preserve"> </w:t>
      </w:r>
      <w:r w:rsidR="00EF55A5">
        <w:t xml:space="preserve"> </w:t>
      </w:r>
      <w:bookmarkEnd w:id="3"/>
    </w:p>
    <w:p w14:paraId="1B6830B1" w14:textId="600BD6C1" w:rsidR="00215005" w:rsidRDefault="00A23DF1" w:rsidP="00A23DF1">
      <w:pPr>
        <w:jc w:val="both"/>
      </w:pPr>
      <w:r>
        <w:t>Having researched my key words so far, t</w:t>
      </w:r>
      <w:r w:rsidR="00441A27">
        <w:t xml:space="preserve">his leads me to ask the question how do the symptoms of </w:t>
      </w:r>
      <w:r w:rsidR="003B7C5F">
        <w:t>migraine</w:t>
      </w:r>
      <w:r w:rsidR="00441A27">
        <w:t xml:space="preserve"> affect those who make imagery and the readings of the audiences of visual </w:t>
      </w:r>
      <w:r w:rsidR="00321EE6">
        <w:t>imagery.</w:t>
      </w:r>
      <w:r w:rsidR="00441A27">
        <w:t xml:space="preserve"> Does it impact on makers and art and </w:t>
      </w:r>
      <w:r w:rsidR="003B7C5F">
        <w:t>their audiences</w:t>
      </w:r>
      <w:r w:rsidR="00441A27">
        <w:t xml:space="preserve">?  </w:t>
      </w:r>
    </w:p>
    <w:p w14:paraId="37FBDAF3" w14:textId="67834228" w:rsidR="00B275E3" w:rsidRDefault="00B275E3" w:rsidP="004553F0"/>
    <w:p w14:paraId="55BF5A14" w14:textId="77777777" w:rsidR="00B275E3" w:rsidRDefault="00B275E3" w:rsidP="004553F0"/>
    <w:p w14:paraId="057075E1" w14:textId="77777777" w:rsidR="00321EE6" w:rsidRDefault="00321EE6" w:rsidP="004553F0"/>
    <w:p w14:paraId="77A8B2D2" w14:textId="77777777" w:rsidR="00321EE6" w:rsidRDefault="00321EE6" w:rsidP="004553F0"/>
    <w:p w14:paraId="5D4BF7AE" w14:textId="77777777" w:rsidR="00321EE6" w:rsidRDefault="00321EE6" w:rsidP="004553F0"/>
    <w:p w14:paraId="5F779FD9" w14:textId="77777777" w:rsidR="00321EE6" w:rsidRDefault="00321EE6" w:rsidP="004553F0"/>
    <w:p w14:paraId="20290F86" w14:textId="77777777" w:rsidR="00321EE6" w:rsidRDefault="00321EE6" w:rsidP="004553F0"/>
    <w:p w14:paraId="192B6EF8" w14:textId="77777777" w:rsidR="00321EE6" w:rsidRDefault="00321EE6" w:rsidP="004553F0"/>
    <w:p w14:paraId="47E77F03" w14:textId="77777777" w:rsidR="00321EE6" w:rsidRDefault="00321EE6" w:rsidP="004553F0"/>
    <w:p w14:paraId="09149524" w14:textId="77777777" w:rsidR="00321EE6" w:rsidRDefault="00321EE6" w:rsidP="004553F0"/>
    <w:p w14:paraId="20B65402" w14:textId="77777777" w:rsidR="00321EE6" w:rsidRDefault="00321EE6" w:rsidP="004553F0"/>
    <w:p w14:paraId="5507C468" w14:textId="77777777" w:rsidR="00321EE6" w:rsidRDefault="00321EE6" w:rsidP="004553F0"/>
    <w:p w14:paraId="671EE3AC" w14:textId="77777777" w:rsidR="00321EE6" w:rsidRDefault="00321EE6" w:rsidP="004553F0"/>
    <w:p w14:paraId="5B7E1A59" w14:textId="77777777" w:rsidR="00321EE6" w:rsidRDefault="00321EE6" w:rsidP="004553F0"/>
    <w:p w14:paraId="305D9072" w14:textId="77777777" w:rsidR="00321EE6" w:rsidRDefault="00321EE6" w:rsidP="004553F0"/>
    <w:p w14:paraId="58652FC1" w14:textId="43B9B5C2" w:rsidR="00215005" w:rsidRPr="00320B4D" w:rsidRDefault="00215005" w:rsidP="004553F0">
      <w:pPr>
        <w:rPr>
          <w:b/>
        </w:rPr>
      </w:pPr>
      <w:r w:rsidRPr="00320B4D">
        <w:rPr>
          <w:b/>
        </w:rPr>
        <w:t>BIBLIOGRAPHY</w:t>
      </w:r>
    </w:p>
    <w:p w14:paraId="180C1388" w14:textId="77777777" w:rsidR="006F1C8A" w:rsidRDefault="006F1C8A" w:rsidP="006F1C8A">
      <w:pPr>
        <w:ind w:left="720" w:hanging="720"/>
      </w:pPr>
      <w:r>
        <w:t xml:space="preserve">Batchelor, D. [ed] (2008) – </w:t>
      </w:r>
      <w:r w:rsidRPr="009375F9">
        <w:rPr>
          <w:i/>
        </w:rPr>
        <w:t>Colour, Documents of Contemporary Art</w:t>
      </w:r>
      <w:r>
        <w:t xml:space="preserve">. London: The MIT Press </w:t>
      </w:r>
    </w:p>
    <w:p w14:paraId="2249C8C3" w14:textId="48076EAC" w:rsidR="00B6016E" w:rsidRDefault="00D52014" w:rsidP="006F1C8A">
      <w:pPr>
        <w:ind w:left="720" w:hanging="720"/>
      </w:pPr>
      <w:r>
        <w:t xml:space="preserve">Cowart J., Hamilton J. and Greenough S. (1987) </w:t>
      </w:r>
      <w:r w:rsidRPr="00D52014">
        <w:rPr>
          <w:i/>
        </w:rPr>
        <w:t>– Georgia O’Keeffe. Art and Letters</w:t>
      </w:r>
      <w:r>
        <w:rPr>
          <w:i/>
        </w:rPr>
        <w:t xml:space="preserve">. </w:t>
      </w:r>
      <w:r>
        <w:t xml:space="preserve">Canada: Little, Brown and Company Ltd </w:t>
      </w:r>
      <w:r w:rsidRPr="00D52014">
        <w:rPr>
          <w:i/>
        </w:rPr>
        <w:t xml:space="preserve"> </w:t>
      </w:r>
    </w:p>
    <w:p w14:paraId="76D656C3" w14:textId="5D6C641E" w:rsidR="006F1C8A" w:rsidRDefault="006F1C8A" w:rsidP="006F1C8A">
      <w:pPr>
        <w:ind w:left="720" w:hanging="720"/>
      </w:pPr>
      <w:r>
        <w:t xml:space="preserve">Elliott, J. with Knight, A. and </w:t>
      </w:r>
      <w:proofErr w:type="spellStart"/>
      <w:r>
        <w:t>Cowley</w:t>
      </w:r>
      <w:proofErr w:type="spellEnd"/>
      <w:r>
        <w:t xml:space="preserve">, C. [eds] (1997) – </w:t>
      </w:r>
      <w:r w:rsidRPr="00FD1DAB">
        <w:rPr>
          <w:i/>
        </w:rPr>
        <w:t>The Oxford Paperback Dictionary and Thesaurus</w:t>
      </w:r>
      <w:r>
        <w:t xml:space="preserve">. Kent: </w:t>
      </w:r>
      <w:proofErr w:type="spellStart"/>
      <w:r>
        <w:t>Mackays</w:t>
      </w:r>
      <w:proofErr w:type="spellEnd"/>
      <w:r>
        <w:t xml:space="preserve"> PLC</w:t>
      </w:r>
    </w:p>
    <w:p w14:paraId="5998112A" w14:textId="77777777" w:rsidR="006F1C8A" w:rsidRDefault="007026AA" w:rsidP="006F1C8A">
      <w:pPr>
        <w:ind w:left="720" w:hanging="720"/>
      </w:pPr>
      <w:r>
        <w:t xml:space="preserve">Gardner, H. (1982) – </w:t>
      </w:r>
      <w:r w:rsidRPr="009375F9">
        <w:rPr>
          <w:i/>
        </w:rPr>
        <w:t>Art, Mind, and Brain. A cognitive approach to creativity</w:t>
      </w:r>
      <w:r>
        <w:t>. United States of America: Basic Books</w:t>
      </w:r>
      <w:r w:rsidR="006F1C8A" w:rsidRPr="006F1C8A">
        <w:t xml:space="preserve"> </w:t>
      </w:r>
    </w:p>
    <w:p w14:paraId="72828FCA" w14:textId="132E72BD" w:rsidR="007026AA" w:rsidRDefault="006F1C8A" w:rsidP="006F1C8A">
      <w:pPr>
        <w:ind w:left="720" w:hanging="720"/>
      </w:pPr>
      <w:proofErr w:type="spellStart"/>
      <w:r>
        <w:t>Granziera</w:t>
      </w:r>
      <w:proofErr w:type="spellEnd"/>
      <w:r>
        <w:t xml:space="preserve">, C., DaSilva, A.F.M., Snyder, J., </w:t>
      </w:r>
      <w:proofErr w:type="spellStart"/>
      <w:r>
        <w:t>Tuch</w:t>
      </w:r>
      <w:proofErr w:type="spellEnd"/>
      <w:r>
        <w:t xml:space="preserve">, D.S., and </w:t>
      </w:r>
      <w:proofErr w:type="spellStart"/>
      <w:r>
        <w:t>Hadjikhani</w:t>
      </w:r>
      <w:proofErr w:type="spellEnd"/>
      <w:r>
        <w:t xml:space="preserve">, N. (2006) ‘Anatomical Alterations of the Visual Motion Processing Network in Migraine with and without Aura’ - </w:t>
      </w:r>
      <w:proofErr w:type="spellStart"/>
      <w:r w:rsidRPr="00997CC8">
        <w:rPr>
          <w:i/>
        </w:rPr>
        <w:t>PLoS</w:t>
      </w:r>
      <w:proofErr w:type="spellEnd"/>
      <w:r w:rsidRPr="00997CC8">
        <w:rPr>
          <w:i/>
        </w:rPr>
        <w:t xml:space="preserve"> Medicine</w:t>
      </w:r>
      <w:r>
        <w:rPr>
          <w:i/>
        </w:rPr>
        <w:t xml:space="preserve"> </w:t>
      </w:r>
      <w:r>
        <w:t>Open Access Volume 3 Issue 10 e402 (October): pp 1915-1921</w:t>
      </w:r>
    </w:p>
    <w:p w14:paraId="15D31B24" w14:textId="333944A5" w:rsidR="007026AA" w:rsidRDefault="007026AA" w:rsidP="006F1C8A">
      <w:pPr>
        <w:ind w:left="720" w:hanging="720"/>
      </w:pPr>
      <w:r>
        <w:t xml:space="preserve">Hoffman, D.D. (1998) – </w:t>
      </w:r>
      <w:r w:rsidRPr="008050E5">
        <w:rPr>
          <w:i/>
        </w:rPr>
        <w:t>Visual Intelligence, how we create what we see</w:t>
      </w:r>
      <w:r>
        <w:t>. London: W</w:t>
      </w:r>
      <w:r w:rsidR="006F1C8A">
        <w:t>.</w:t>
      </w:r>
      <w:r>
        <w:t xml:space="preserve"> W</w:t>
      </w:r>
      <w:r w:rsidR="006F1C8A">
        <w:t>.</w:t>
      </w:r>
      <w:r>
        <w:t xml:space="preserve"> Norton &amp; Company Ltd.</w:t>
      </w:r>
    </w:p>
    <w:p w14:paraId="4549E95C" w14:textId="602D9BB7" w:rsidR="007026AA" w:rsidRDefault="007026AA" w:rsidP="006F1C8A">
      <w:pPr>
        <w:ind w:left="720" w:hanging="720"/>
      </w:pPr>
      <w:r>
        <w:t xml:space="preserve">Krauss, R.E. (1993) – </w:t>
      </w:r>
      <w:r w:rsidRPr="00A8291C">
        <w:rPr>
          <w:i/>
        </w:rPr>
        <w:t>The Optical Unconscious</w:t>
      </w:r>
      <w:r>
        <w:rPr>
          <w:i/>
        </w:rPr>
        <w:t xml:space="preserve">. </w:t>
      </w:r>
      <w:r>
        <w:t>London: The MIT Press</w:t>
      </w:r>
    </w:p>
    <w:p w14:paraId="50BBB683" w14:textId="780C07FF" w:rsidR="00D52014" w:rsidRDefault="00D52014" w:rsidP="006F1C8A">
      <w:pPr>
        <w:ind w:left="720" w:hanging="720"/>
      </w:pPr>
      <w:proofErr w:type="spellStart"/>
      <w:r>
        <w:t>Mannoni</w:t>
      </w:r>
      <w:proofErr w:type="spellEnd"/>
      <w:r>
        <w:t xml:space="preserve"> L., </w:t>
      </w:r>
      <w:proofErr w:type="spellStart"/>
      <w:r>
        <w:t>Nekes</w:t>
      </w:r>
      <w:proofErr w:type="spellEnd"/>
      <w:r>
        <w:t xml:space="preserve"> W., and Warner M. (2004) </w:t>
      </w:r>
      <w:r w:rsidR="009E2D49">
        <w:t>–</w:t>
      </w:r>
      <w:r>
        <w:t xml:space="preserve"> </w:t>
      </w:r>
      <w:r w:rsidR="009E2D49" w:rsidRPr="009E2D49">
        <w:rPr>
          <w:i/>
        </w:rPr>
        <w:t>Eyes, Lies and Illusions. The Art of Deception</w:t>
      </w:r>
      <w:r w:rsidR="009E2D49">
        <w:rPr>
          <w:i/>
        </w:rPr>
        <w:t xml:space="preserve">. </w:t>
      </w:r>
      <w:r w:rsidR="009E2D49">
        <w:t>London: Hayward Gallery Publishing</w:t>
      </w:r>
    </w:p>
    <w:p w14:paraId="7FBDD0E6" w14:textId="2556446C" w:rsidR="009E2D49" w:rsidRPr="009E2D49" w:rsidRDefault="009E2D49" w:rsidP="006F1C8A">
      <w:pPr>
        <w:ind w:left="720" w:hanging="720"/>
      </w:pPr>
      <w:r>
        <w:t xml:space="preserve">Parola R. (1969) – </w:t>
      </w:r>
      <w:r w:rsidRPr="009E2D49">
        <w:rPr>
          <w:i/>
        </w:rPr>
        <w:t>Optical Art Theory and Practice</w:t>
      </w:r>
      <w:r>
        <w:rPr>
          <w:i/>
        </w:rPr>
        <w:t>.</w:t>
      </w:r>
      <w:r>
        <w:t xml:space="preserve"> New York: Reinhold Book Corporation </w:t>
      </w:r>
    </w:p>
    <w:p w14:paraId="7317E224" w14:textId="77777777" w:rsidR="006F1C8A" w:rsidRDefault="006F1C8A" w:rsidP="006F1C8A">
      <w:pPr>
        <w:ind w:left="720" w:hanging="720"/>
      </w:pPr>
      <w:proofErr w:type="spellStart"/>
      <w:r>
        <w:t>Rothenstein</w:t>
      </w:r>
      <w:proofErr w:type="spellEnd"/>
      <w:r>
        <w:t xml:space="preserve">, J. and Gooding M. [eds] (1999) – </w:t>
      </w:r>
      <w:r w:rsidRPr="007026AA">
        <w:rPr>
          <w:i/>
        </w:rPr>
        <w:t>The Playful Eye, an album of visual delight</w:t>
      </w:r>
      <w:r>
        <w:t>. London: Redstone Press</w:t>
      </w:r>
    </w:p>
    <w:p w14:paraId="34F7DB8D" w14:textId="201B2DD3" w:rsidR="007026AA" w:rsidRDefault="007026AA" w:rsidP="006F1C8A">
      <w:pPr>
        <w:ind w:left="720" w:hanging="720"/>
      </w:pPr>
      <w:r>
        <w:t xml:space="preserve">Thurston, J.B. and </w:t>
      </w:r>
      <w:proofErr w:type="spellStart"/>
      <w:r>
        <w:t>Carraher</w:t>
      </w:r>
      <w:proofErr w:type="spellEnd"/>
      <w:r>
        <w:t xml:space="preserve">, R.G. (1966) – </w:t>
      </w:r>
      <w:r w:rsidRPr="008050E5">
        <w:rPr>
          <w:i/>
        </w:rPr>
        <w:t>Optical Illusions and the Visual Arts</w:t>
      </w:r>
      <w:r>
        <w:t>. New York: Van Nostrand Reinhold Company</w:t>
      </w:r>
    </w:p>
    <w:p w14:paraId="04F94D0A" w14:textId="77777777" w:rsidR="006F1C8A" w:rsidRPr="00F65FF1" w:rsidRDefault="006F1C8A" w:rsidP="006F1C8A">
      <w:pPr>
        <w:ind w:left="720" w:hanging="720"/>
      </w:pPr>
      <w:r>
        <w:t xml:space="preserve">Vick, R.M. and Sexton-Radek, K. (2009) ‘Art and Migraine: Researching the Relationship Between Artmaking and Pain Experience’ – </w:t>
      </w:r>
      <w:r w:rsidRPr="00F65FF1">
        <w:rPr>
          <w:i/>
        </w:rPr>
        <w:t>Art Therapy: Journal of the American Art Therapy Association</w:t>
      </w:r>
      <w:r>
        <w:rPr>
          <w:i/>
        </w:rPr>
        <w:t xml:space="preserve"> </w:t>
      </w:r>
      <w:r w:rsidRPr="00F65FF1">
        <w:t>26(3)</w:t>
      </w:r>
      <w:r>
        <w:t xml:space="preserve"> pp. 114-123</w:t>
      </w:r>
    </w:p>
    <w:p w14:paraId="298A99F1" w14:textId="0794D706" w:rsidR="007026AA" w:rsidRDefault="007026AA" w:rsidP="006F1C8A">
      <w:pPr>
        <w:ind w:left="720" w:hanging="720"/>
      </w:pPr>
      <w:bookmarkStart w:id="6" w:name="_Hlk513669457"/>
      <w:r>
        <w:t xml:space="preserve">Wiggins, C., Bracewell, M. and Prather, M. (2010) </w:t>
      </w:r>
      <w:bookmarkEnd w:id="6"/>
      <w:r>
        <w:t xml:space="preserve">– </w:t>
      </w:r>
      <w:r w:rsidRPr="00A8291C">
        <w:rPr>
          <w:i/>
        </w:rPr>
        <w:t>Bridget Riley, Painting and Related Work</w:t>
      </w:r>
      <w:r>
        <w:t>. London: Yale</w:t>
      </w:r>
      <w:r w:rsidR="006F1C8A">
        <w:t xml:space="preserve"> </w:t>
      </w:r>
      <w:r>
        <w:t>University Press</w:t>
      </w:r>
    </w:p>
    <w:p w14:paraId="00740949" w14:textId="6D27C3AC" w:rsidR="00215005" w:rsidRDefault="00215005" w:rsidP="006F1C8A">
      <w:pPr>
        <w:ind w:left="720" w:hanging="720"/>
      </w:pPr>
      <w:r>
        <w:t>Zelanski, P.</w:t>
      </w:r>
      <w:r w:rsidR="00A8291C">
        <w:t xml:space="preserve"> and</w:t>
      </w:r>
      <w:r>
        <w:t xml:space="preserve"> Fisher, M.P.  (2006) – 5</w:t>
      </w:r>
      <w:r w:rsidRPr="00215005">
        <w:rPr>
          <w:vertAlign w:val="superscript"/>
        </w:rPr>
        <w:t>th</w:t>
      </w:r>
      <w:r>
        <w:t xml:space="preserve"> Ed –</w:t>
      </w:r>
      <w:r w:rsidRPr="00215005">
        <w:rPr>
          <w:i/>
        </w:rPr>
        <w:t xml:space="preserve"> Color</w:t>
      </w:r>
      <w:r>
        <w:t>. New Jersey: Pearson Education, Inc.</w:t>
      </w:r>
    </w:p>
    <w:p w14:paraId="5A410814" w14:textId="452E8F37" w:rsidR="001E4159" w:rsidRDefault="001E4159" w:rsidP="004553F0"/>
    <w:p w14:paraId="27D11C88" w14:textId="7F593B9B" w:rsidR="00320B4D" w:rsidRDefault="009834C6">
      <w:pPr>
        <w:rPr>
          <w:b/>
        </w:rPr>
      </w:pPr>
      <w:r w:rsidRPr="009834C6">
        <w:rPr>
          <w:b/>
        </w:rPr>
        <w:t>Figures</w:t>
      </w:r>
    </w:p>
    <w:p w14:paraId="6B9AE684" w14:textId="567FDC72" w:rsidR="00320B4D" w:rsidRDefault="00320B4D" w:rsidP="00320B4D">
      <w:pPr>
        <w:jc w:val="both"/>
      </w:pPr>
      <w:r>
        <w:t>Figure 1 Aura 1 – Amanda Sims. Drawing made by the author.</w:t>
      </w:r>
    </w:p>
    <w:p w14:paraId="5CDB0048" w14:textId="610F568B" w:rsidR="00320B4D" w:rsidRDefault="00320B4D" w:rsidP="00320B4D">
      <w:pPr>
        <w:ind w:left="720" w:hanging="720"/>
      </w:pPr>
      <w:r>
        <w:lastRenderedPageBreak/>
        <w:t xml:space="preserve">Fig. 2 Pink Moon and Blue Lines, 1923, oil on canvas 26 x 22 in Cowart J., Hamilton J. and Greenough S. (1987) </w:t>
      </w:r>
      <w:r w:rsidRPr="00D52014">
        <w:rPr>
          <w:i/>
        </w:rPr>
        <w:t>– Georgia O’Keeffe. Art and Letters</w:t>
      </w:r>
      <w:r>
        <w:rPr>
          <w:i/>
        </w:rPr>
        <w:t xml:space="preserve">. </w:t>
      </w:r>
      <w:r>
        <w:t>Canada: Little, Brown and Company Ltd. Plate 34</w:t>
      </w:r>
    </w:p>
    <w:p w14:paraId="0238ECA4" w14:textId="3DB03CB2" w:rsidR="00320B4D" w:rsidRDefault="00320B4D" w:rsidP="00320B4D">
      <w:pPr>
        <w:ind w:left="720" w:hanging="720"/>
      </w:pPr>
      <w:r>
        <w:t xml:space="preserve">Figure 3 ‘Optical Art, Theory and Practice’, </w:t>
      </w:r>
      <w:proofErr w:type="spellStart"/>
      <w:r>
        <w:t>Parola</w:t>
      </w:r>
      <w:proofErr w:type="spellEnd"/>
      <w:r>
        <w:t xml:space="preserve"> R. (1969) – </w:t>
      </w:r>
      <w:r w:rsidRPr="009E2D49">
        <w:rPr>
          <w:i/>
        </w:rPr>
        <w:t>Optical Art Theory and Practice</w:t>
      </w:r>
      <w:r>
        <w:rPr>
          <w:i/>
        </w:rPr>
        <w:t>.</w:t>
      </w:r>
      <w:r>
        <w:t xml:space="preserve"> New York: Reinhold Book Corporation. Pp. 36 – 37</w:t>
      </w:r>
    </w:p>
    <w:p w14:paraId="64A1A141" w14:textId="4AC03F1E" w:rsidR="00320B4D" w:rsidRPr="00320B4D" w:rsidRDefault="00320B4D" w:rsidP="00320B4D">
      <w:pPr>
        <w:ind w:left="720" w:hanging="720"/>
      </w:pPr>
      <w:r>
        <w:t xml:space="preserve">Figure 4 ‘Bridget Riley Arrest 3, 1965, acrylic on linen,175 x 192 cm, Gallery of Modern Art, Glasgow’ Wiggins, C., Bracewell, M. and Prather, M. (2010) – </w:t>
      </w:r>
      <w:r w:rsidRPr="00A8291C">
        <w:rPr>
          <w:i/>
        </w:rPr>
        <w:t>Bridget Riley, Painting and Related Work</w:t>
      </w:r>
      <w:r>
        <w:t xml:space="preserve">. London: Yale University Press. Pp. 47. </w:t>
      </w:r>
    </w:p>
    <w:p w14:paraId="3B4BCF58" w14:textId="2B854FD0" w:rsidR="009834C6" w:rsidRDefault="009834C6" w:rsidP="009834C6">
      <w:pPr>
        <w:spacing w:after="120" w:line="240" w:lineRule="auto"/>
        <w:ind w:left="720" w:hanging="720"/>
      </w:pPr>
      <w:r>
        <w:t xml:space="preserve">Figure 5 Bridget Riley, Study B, 22 April </w:t>
      </w:r>
      <w:proofErr w:type="spellStart"/>
      <w:r>
        <w:t>Bassacs</w:t>
      </w:r>
      <w:proofErr w:type="spellEnd"/>
      <w:r>
        <w:t xml:space="preserve">, 2008.  Gouache on paper 61.6 x 93.3cm Private collection in Wiggins, C., Bracewell, M. and Prather, M. (2010) – </w:t>
      </w:r>
      <w:r w:rsidRPr="00A8291C">
        <w:rPr>
          <w:i/>
        </w:rPr>
        <w:t>Bridget Riley, Painting and Related Work</w:t>
      </w:r>
      <w:r>
        <w:t>. London: Yale University Press Pp. 60,61</w:t>
      </w:r>
    </w:p>
    <w:p w14:paraId="34E28868" w14:textId="7AD4F81C" w:rsidR="009834C6" w:rsidRDefault="009834C6" w:rsidP="009834C6">
      <w:pPr>
        <w:spacing w:after="120" w:line="240" w:lineRule="auto"/>
        <w:ind w:left="720" w:hanging="720"/>
        <w:jc w:val="both"/>
      </w:pPr>
      <w:r>
        <w:t>Figure 6 Bridget Riley, October 22</w:t>
      </w:r>
      <w:r w:rsidRPr="00C328A8">
        <w:rPr>
          <w:vertAlign w:val="superscript"/>
        </w:rPr>
        <w:t>nd</w:t>
      </w:r>
      <w:r>
        <w:t xml:space="preserve"> </w:t>
      </w:r>
      <w:proofErr w:type="spellStart"/>
      <w:r>
        <w:t>Bassacs</w:t>
      </w:r>
      <w:proofErr w:type="spellEnd"/>
      <w:r>
        <w:t xml:space="preserve">, 2008 Gouache on paper 61.5 x 94.5 cm Private </w:t>
      </w:r>
      <w:proofErr w:type="spellStart"/>
      <w:r>
        <w:t>collectionin</w:t>
      </w:r>
      <w:proofErr w:type="spellEnd"/>
      <w:r>
        <w:t xml:space="preserve"> Wiggins, C., Bracewell, M. and Prather, M. (2010) – </w:t>
      </w:r>
      <w:r w:rsidRPr="00A8291C">
        <w:rPr>
          <w:i/>
        </w:rPr>
        <w:t>Bridget Riley, Painting and Related Work</w:t>
      </w:r>
      <w:r>
        <w:t>. London: Yale University Press Pp. 60,61</w:t>
      </w:r>
    </w:p>
    <w:p w14:paraId="6C0767E0" w14:textId="31A21BCC" w:rsidR="009834C6" w:rsidRDefault="009834C6" w:rsidP="009834C6">
      <w:pPr>
        <w:spacing w:after="120" w:line="240" w:lineRule="auto"/>
        <w:ind w:left="720" w:hanging="720"/>
      </w:pPr>
      <w:r>
        <w:t>Figure 7 Bridget Riley, Revision 10</w:t>
      </w:r>
      <w:r w:rsidRPr="00C328A8">
        <w:rPr>
          <w:vertAlign w:val="superscript"/>
        </w:rPr>
        <w:t>th</w:t>
      </w:r>
      <w:r>
        <w:t xml:space="preserve"> November 2009 Gouache on paper 58.3 x 92.7 cm Private collection in Wiggins, C., Bracewell, M. and Prather, M. (2010) – </w:t>
      </w:r>
      <w:r w:rsidRPr="00A8291C">
        <w:rPr>
          <w:i/>
        </w:rPr>
        <w:t>Bridget Riley, Painting and Related Work</w:t>
      </w:r>
      <w:r>
        <w:t>. London: Yale University Press Pp. 60,61</w:t>
      </w:r>
    </w:p>
    <w:p w14:paraId="519257ED" w14:textId="37FFF54E" w:rsidR="009834C6" w:rsidRPr="00F65FF1" w:rsidRDefault="009834C6" w:rsidP="00320B4D">
      <w:pPr>
        <w:spacing w:after="120" w:line="240" w:lineRule="auto"/>
        <w:ind w:left="720" w:hanging="720"/>
      </w:pPr>
      <w:r>
        <w:t>Figure 8 Bridget Riley, Jan 7</w:t>
      </w:r>
      <w:r w:rsidRPr="00C328A8">
        <w:rPr>
          <w:vertAlign w:val="superscript"/>
        </w:rPr>
        <w:t>th</w:t>
      </w:r>
      <w:r>
        <w:t xml:space="preserve"> Cornwall, 2009 Gouache on paper 61.5 x 95.5 cm Private collection in Wiggins, C., Bracewell, M. and Prather, M. (2010) – </w:t>
      </w:r>
      <w:r w:rsidRPr="00A8291C">
        <w:rPr>
          <w:i/>
        </w:rPr>
        <w:t>Bridget Riley, Painting and Related Work</w:t>
      </w:r>
      <w:r>
        <w:t>. London: Yale University Press Pp. 60,61</w:t>
      </w:r>
    </w:p>
    <w:sectPr w:rsidR="009834C6" w:rsidRPr="00F65F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3F0"/>
    <w:rsid w:val="000231B5"/>
    <w:rsid w:val="00050DE2"/>
    <w:rsid w:val="000D3D23"/>
    <w:rsid w:val="000E562F"/>
    <w:rsid w:val="000E6AA8"/>
    <w:rsid w:val="00100A45"/>
    <w:rsid w:val="00132BBE"/>
    <w:rsid w:val="00173AAA"/>
    <w:rsid w:val="001810C7"/>
    <w:rsid w:val="001964CD"/>
    <w:rsid w:val="001B41EF"/>
    <w:rsid w:val="001B56D5"/>
    <w:rsid w:val="001E4159"/>
    <w:rsid w:val="00215005"/>
    <w:rsid w:val="00225438"/>
    <w:rsid w:val="00232323"/>
    <w:rsid w:val="00282EB2"/>
    <w:rsid w:val="002903F7"/>
    <w:rsid w:val="00290A54"/>
    <w:rsid w:val="00296E49"/>
    <w:rsid w:val="002B55B0"/>
    <w:rsid w:val="002C630E"/>
    <w:rsid w:val="002D27C7"/>
    <w:rsid w:val="00320B4D"/>
    <w:rsid w:val="00321EE6"/>
    <w:rsid w:val="003A70E1"/>
    <w:rsid w:val="003B7C5F"/>
    <w:rsid w:val="003C0BDD"/>
    <w:rsid w:val="003C43F8"/>
    <w:rsid w:val="003C6A78"/>
    <w:rsid w:val="003D4C6B"/>
    <w:rsid w:val="003E3815"/>
    <w:rsid w:val="00406C1B"/>
    <w:rsid w:val="00427561"/>
    <w:rsid w:val="00441A27"/>
    <w:rsid w:val="004553F0"/>
    <w:rsid w:val="00470099"/>
    <w:rsid w:val="00487F88"/>
    <w:rsid w:val="004B5367"/>
    <w:rsid w:val="004D1928"/>
    <w:rsid w:val="004D2FA9"/>
    <w:rsid w:val="004F0448"/>
    <w:rsid w:val="00500AD0"/>
    <w:rsid w:val="00510C07"/>
    <w:rsid w:val="00517BC1"/>
    <w:rsid w:val="005279FE"/>
    <w:rsid w:val="00535B0D"/>
    <w:rsid w:val="0055185A"/>
    <w:rsid w:val="005B432C"/>
    <w:rsid w:val="005F426C"/>
    <w:rsid w:val="00626186"/>
    <w:rsid w:val="00641813"/>
    <w:rsid w:val="006544D8"/>
    <w:rsid w:val="006C4B5B"/>
    <w:rsid w:val="006C546A"/>
    <w:rsid w:val="006D7493"/>
    <w:rsid w:val="006E0592"/>
    <w:rsid w:val="006E2C75"/>
    <w:rsid w:val="006F1C8A"/>
    <w:rsid w:val="007026AA"/>
    <w:rsid w:val="007522F2"/>
    <w:rsid w:val="00757249"/>
    <w:rsid w:val="00766BC7"/>
    <w:rsid w:val="0079403A"/>
    <w:rsid w:val="007B61E6"/>
    <w:rsid w:val="007F1B8A"/>
    <w:rsid w:val="008048EA"/>
    <w:rsid w:val="008050E5"/>
    <w:rsid w:val="00885707"/>
    <w:rsid w:val="008C4D15"/>
    <w:rsid w:val="008E01E8"/>
    <w:rsid w:val="009375F9"/>
    <w:rsid w:val="00952CA7"/>
    <w:rsid w:val="009536D9"/>
    <w:rsid w:val="00955901"/>
    <w:rsid w:val="009722D0"/>
    <w:rsid w:val="009834C6"/>
    <w:rsid w:val="00997CC8"/>
    <w:rsid w:val="009B3E6F"/>
    <w:rsid w:val="009C5E93"/>
    <w:rsid w:val="009E1937"/>
    <w:rsid w:val="009E2D49"/>
    <w:rsid w:val="009F168C"/>
    <w:rsid w:val="00A23838"/>
    <w:rsid w:val="00A23DF1"/>
    <w:rsid w:val="00A4358E"/>
    <w:rsid w:val="00A4640D"/>
    <w:rsid w:val="00A721AE"/>
    <w:rsid w:val="00A723FD"/>
    <w:rsid w:val="00A81EB1"/>
    <w:rsid w:val="00A8291C"/>
    <w:rsid w:val="00A96FAA"/>
    <w:rsid w:val="00AA7DC5"/>
    <w:rsid w:val="00AB119E"/>
    <w:rsid w:val="00AF5B71"/>
    <w:rsid w:val="00B275E3"/>
    <w:rsid w:val="00B501D8"/>
    <w:rsid w:val="00B505D9"/>
    <w:rsid w:val="00B6016E"/>
    <w:rsid w:val="00B81947"/>
    <w:rsid w:val="00B830A8"/>
    <w:rsid w:val="00B9427B"/>
    <w:rsid w:val="00B963CC"/>
    <w:rsid w:val="00BC3186"/>
    <w:rsid w:val="00BD3DA3"/>
    <w:rsid w:val="00C06620"/>
    <w:rsid w:val="00C328A8"/>
    <w:rsid w:val="00C35091"/>
    <w:rsid w:val="00C64C30"/>
    <w:rsid w:val="00C82CC9"/>
    <w:rsid w:val="00CD739E"/>
    <w:rsid w:val="00D52014"/>
    <w:rsid w:val="00D7749C"/>
    <w:rsid w:val="00D86523"/>
    <w:rsid w:val="00D9561C"/>
    <w:rsid w:val="00DA05A4"/>
    <w:rsid w:val="00DA47F6"/>
    <w:rsid w:val="00DE5B2C"/>
    <w:rsid w:val="00DF71C4"/>
    <w:rsid w:val="00EE0E7D"/>
    <w:rsid w:val="00EF489F"/>
    <w:rsid w:val="00EF55A5"/>
    <w:rsid w:val="00F65FF1"/>
    <w:rsid w:val="00F7745B"/>
    <w:rsid w:val="00F9085A"/>
    <w:rsid w:val="00F94957"/>
    <w:rsid w:val="00FB05BA"/>
    <w:rsid w:val="00FD1DAB"/>
    <w:rsid w:val="00FE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3339"/>
  <w15:chartTrackingRefBased/>
  <w15:docId w15:val="{C109DBAE-CAA6-4A90-B128-79FE2556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5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source=images&amp;cd=&amp;cad=rja&amp;uact=8&amp;ved=2ahUKEwiAs7_yy_naAhVOZlAKHdlsCpsQjRx6BAgBEAU&amp;url=http://www.op-art.co.uk/op-art-gallery/bridget-riley/arrest-3-bridget-riley-1965&amp;psig=AOvVaw24KJ23Gf2fplurDTOmq3k6&amp;ust=1525988362058336" TargetMode="External"/><Relationship Id="rId13" Type="http://schemas.openxmlformats.org/officeDocument/2006/relationships/image" Target="media/image9.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8</Pages>
  <Words>2445</Words>
  <Characters>13942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Sims (P151044)</dc:creator>
  <cp:keywords/>
  <dc:description/>
  <cp:lastModifiedBy>Amanda Sims (P151044)</cp:lastModifiedBy>
  <cp:revision>10</cp:revision>
  <dcterms:created xsi:type="dcterms:W3CDTF">2018-05-10T04:26:00Z</dcterms:created>
  <dcterms:modified xsi:type="dcterms:W3CDTF">2018-05-10T12:15:00Z</dcterms:modified>
</cp:coreProperties>
</file>