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E7AE7" w14:textId="3B0C7E3B" w:rsidR="00604CFB" w:rsidRDefault="004F3C5D">
      <w:r w:rsidRPr="004F3C5D">
        <w:rPr>
          <w:noProof/>
        </w:rPr>
        <w:drawing>
          <wp:inline distT="0" distB="0" distL="0" distR="0" wp14:anchorId="05A695A9" wp14:editId="323C7517">
            <wp:extent cx="5730240" cy="1173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0240" cy="1173480"/>
                    </a:xfrm>
                    <a:prstGeom prst="rect">
                      <a:avLst/>
                    </a:prstGeom>
                    <a:noFill/>
                    <a:ln>
                      <a:noFill/>
                    </a:ln>
                  </pic:spPr>
                </pic:pic>
              </a:graphicData>
            </a:graphic>
          </wp:inline>
        </w:drawing>
      </w:r>
    </w:p>
    <w:p w14:paraId="30C882F9" w14:textId="77777777" w:rsidR="004F3C5D" w:rsidRDefault="004F3C5D" w:rsidP="004F3C5D">
      <w:r>
        <w:t>Module: Accounting Fundamentals</w:t>
      </w:r>
    </w:p>
    <w:p w14:paraId="1755512F" w14:textId="77777777" w:rsidR="004F3C5D" w:rsidRDefault="004F3C5D" w:rsidP="004F3C5D">
      <w:r>
        <w:t>Module Code: LCBB4001</w:t>
      </w:r>
    </w:p>
    <w:p w14:paraId="3F182E49" w14:textId="77777777" w:rsidR="004F3C5D" w:rsidRDefault="004F3C5D" w:rsidP="004F3C5D">
      <w:r>
        <w:t>Assignment- A1</w:t>
      </w:r>
    </w:p>
    <w:p w14:paraId="1DB47D2D" w14:textId="7FE2DDE1" w:rsidR="004F3C5D" w:rsidRDefault="004F3C5D" w:rsidP="004F3C5D">
      <w:r>
        <w:t>Student Name:</w:t>
      </w:r>
      <w:r w:rsidR="00B676C1">
        <w:t xml:space="preserve"> Cristian Lupu </w:t>
      </w:r>
    </w:p>
    <w:p w14:paraId="3032F0A1" w14:textId="2F68A6D8" w:rsidR="004F3C5D" w:rsidRDefault="004F3C5D" w:rsidP="004F3C5D">
      <w:r>
        <w:t xml:space="preserve">Student ID: </w:t>
      </w:r>
      <w:r w:rsidR="00B676C1">
        <w:t>2112677</w:t>
      </w:r>
    </w:p>
    <w:p w14:paraId="69537E2A" w14:textId="2D461CB1" w:rsidR="004F3C5D" w:rsidRDefault="004F3C5D"/>
    <w:p w14:paraId="75C781B9" w14:textId="01C884BB" w:rsidR="004F3C5D" w:rsidRDefault="004F3C5D"/>
    <w:p w14:paraId="0498AA6B" w14:textId="6FCE6BFD" w:rsidR="004F3C5D" w:rsidRDefault="004F3C5D"/>
    <w:p w14:paraId="5D11C4AE" w14:textId="0DB33AFB" w:rsidR="004F3C5D" w:rsidRDefault="004F3C5D"/>
    <w:p w14:paraId="2FEA54A6" w14:textId="4BBE3740" w:rsidR="004F3C5D" w:rsidRDefault="004F3C5D"/>
    <w:p w14:paraId="5B5A6F03" w14:textId="37619AFC" w:rsidR="004F3C5D" w:rsidRDefault="004F3C5D"/>
    <w:p w14:paraId="368387AB" w14:textId="6EF887F4" w:rsidR="004F3C5D" w:rsidRDefault="004F3C5D"/>
    <w:p w14:paraId="4F849DDE" w14:textId="2DA91BCD" w:rsidR="004F3C5D" w:rsidRDefault="004F3C5D"/>
    <w:p w14:paraId="4B9C4C42" w14:textId="46265013" w:rsidR="004F3C5D" w:rsidRDefault="004F3C5D"/>
    <w:p w14:paraId="46DAC969" w14:textId="526D992F" w:rsidR="004F3C5D" w:rsidRDefault="004F3C5D"/>
    <w:p w14:paraId="519A8A52" w14:textId="30B95B5C" w:rsidR="004F3C5D" w:rsidRDefault="004F3C5D"/>
    <w:p w14:paraId="51F29DA8" w14:textId="63970993" w:rsidR="004F3C5D" w:rsidRDefault="004F3C5D"/>
    <w:p w14:paraId="34573A8C" w14:textId="116DE727" w:rsidR="004F3C5D" w:rsidRDefault="004F3C5D"/>
    <w:p w14:paraId="404971EC" w14:textId="5CA451C2" w:rsidR="004F3C5D" w:rsidRDefault="004F3C5D"/>
    <w:p w14:paraId="26E17651" w14:textId="3284B80D" w:rsidR="004F3C5D" w:rsidRDefault="004F3C5D"/>
    <w:p w14:paraId="28958E29" w14:textId="0C7B80A8" w:rsidR="004F3C5D" w:rsidRDefault="004F3C5D"/>
    <w:p w14:paraId="790364A0" w14:textId="123845CA" w:rsidR="004F3C5D" w:rsidRDefault="004F3C5D"/>
    <w:p w14:paraId="13DA0D02" w14:textId="2F31C92A" w:rsidR="004F3C5D" w:rsidRDefault="004F3C5D"/>
    <w:p w14:paraId="23FF1605" w14:textId="0BFC756B" w:rsidR="004F3C5D" w:rsidRDefault="004F3C5D"/>
    <w:p w14:paraId="6F3134CD" w14:textId="4DC39FBF" w:rsidR="004F3C5D" w:rsidRDefault="004F3C5D"/>
    <w:p w14:paraId="64D44537" w14:textId="3E703F39" w:rsidR="004F3C5D" w:rsidRDefault="004F3C5D"/>
    <w:p w14:paraId="73364B4A" w14:textId="04F35112" w:rsidR="004F3C5D" w:rsidRDefault="004F3C5D"/>
    <w:p w14:paraId="0579C455" w14:textId="2B6DAB79" w:rsidR="004F3C5D" w:rsidRDefault="004F3C5D"/>
    <w:p w14:paraId="29581C72" w14:textId="219152EE" w:rsidR="004F3C5D" w:rsidRPr="004F3C5D" w:rsidRDefault="004F3C5D" w:rsidP="004F3C5D">
      <w:pPr>
        <w:spacing w:line="360" w:lineRule="auto"/>
        <w:jc w:val="both"/>
        <w:rPr>
          <w:rFonts w:ascii="Times New Roman" w:hAnsi="Times New Roman" w:cs="Times New Roman"/>
          <w:b/>
          <w:bCs/>
          <w:sz w:val="24"/>
          <w:szCs w:val="24"/>
        </w:rPr>
      </w:pPr>
      <w:r w:rsidRPr="004F3C5D">
        <w:rPr>
          <w:rFonts w:ascii="Times New Roman" w:hAnsi="Times New Roman" w:cs="Times New Roman"/>
          <w:b/>
          <w:bCs/>
          <w:sz w:val="24"/>
          <w:szCs w:val="24"/>
        </w:rPr>
        <w:t xml:space="preserve">Introduction </w:t>
      </w:r>
    </w:p>
    <w:p w14:paraId="5F273B6B" w14:textId="09858356" w:rsidR="004F3C5D" w:rsidRDefault="004F3C5D" w:rsidP="004F3C5D">
      <w:pPr>
        <w:spacing w:line="360" w:lineRule="auto"/>
        <w:jc w:val="both"/>
        <w:rPr>
          <w:rFonts w:ascii="Times New Roman" w:hAnsi="Times New Roman" w:cs="Times New Roman"/>
          <w:sz w:val="24"/>
          <w:szCs w:val="24"/>
        </w:rPr>
      </w:pPr>
      <w:r w:rsidRPr="004F3C5D">
        <w:rPr>
          <w:rFonts w:ascii="Times New Roman" w:hAnsi="Times New Roman" w:cs="Times New Roman"/>
          <w:sz w:val="24"/>
          <w:szCs w:val="24"/>
        </w:rPr>
        <w:t xml:space="preserve">The term "accounting" is used to describe the procedure of keeping records, conducting analyses, and preparing reports that detail the outcomes of business activities </w:t>
      </w:r>
      <w:r>
        <w:rPr>
          <w:rFonts w:ascii="Times New Roman" w:hAnsi="Times New Roman" w:cs="Times New Roman"/>
          <w:sz w:val="24"/>
          <w:szCs w:val="24"/>
        </w:rPr>
        <w:t>(</w:t>
      </w:r>
      <w:r w:rsidRPr="004F3C5D">
        <w:rPr>
          <w:rFonts w:ascii="Times New Roman" w:hAnsi="Times New Roman" w:cs="Times New Roman"/>
          <w:sz w:val="24"/>
          <w:szCs w:val="24"/>
        </w:rPr>
        <w:t>Wild,</w:t>
      </w:r>
      <w:r>
        <w:rPr>
          <w:rFonts w:ascii="Times New Roman" w:hAnsi="Times New Roman" w:cs="Times New Roman"/>
          <w:sz w:val="24"/>
          <w:szCs w:val="24"/>
        </w:rPr>
        <w:t xml:space="preserve"> et. al., 2007). </w:t>
      </w:r>
      <w:r w:rsidRPr="004F3C5D">
        <w:rPr>
          <w:rFonts w:ascii="Times New Roman" w:hAnsi="Times New Roman" w:cs="Times New Roman"/>
          <w:sz w:val="24"/>
          <w:szCs w:val="24"/>
        </w:rPr>
        <w:t>This information is being made available to a large number of internal and external users in order to assist them in making informed decisions. The company is preparing financial documents, such as a balance sheet, an income statement, and a cash flow statement, to learn more about its financial health. Accounting's primary function is to record and report on an organization's economic activity and performance</w:t>
      </w:r>
      <w:r>
        <w:rPr>
          <w:rFonts w:ascii="Times New Roman" w:hAnsi="Times New Roman" w:cs="Times New Roman"/>
          <w:sz w:val="24"/>
          <w:szCs w:val="24"/>
        </w:rPr>
        <w:t xml:space="preserve">. </w:t>
      </w:r>
      <w:r w:rsidRPr="004F3C5D">
        <w:rPr>
          <w:rFonts w:ascii="Times New Roman" w:hAnsi="Times New Roman" w:cs="Times New Roman"/>
          <w:sz w:val="24"/>
          <w:szCs w:val="24"/>
        </w:rPr>
        <w:t>Data from the statements is used to compute financial ratios that provide useful insight into a business's performance</w:t>
      </w:r>
      <w:r>
        <w:rPr>
          <w:rFonts w:ascii="Times New Roman" w:hAnsi="Times New Roman" w:cs="Times New Roman"/>
          <w:sz w:val="24"/>
          <w:szCs w:val="24"/>
        </w:rPr>
        <w:t xml:space="preserve"> (</w:t>
      </w:r>
      <w:r w:rsidRPr="004F3C5D">
        <w:rPr>
          <w:rFonts w:ascii="Times New Roman" w:hAnsi="Times New Roman" w:cs="Times New Roman"/>
          <w:sz w:val="24"/>
          <w:szCs w:val="24"/>
        </w:rPr>
        <w:t>Turtle</w:t>
      </w:r>
      <w:r>
        <w:rPr>
          <w:rFonts w:ascii="Times New Roman" w:hAnsi="Times New Roman" w:cs="Times New Roman"/>
          <w:sz w:val="24"/>
          <w:szCs w:val="24"/>
        </w:rPr>
        <w:t xml:space="preserve"> and </w:t>
      </w:r>
      <w:r w:rsidRPr="004F3C5D">
        <w:rPr>
          <w:rFonts w:ascii="Times New Roman" w:hAnsi="Times New Roman" w:cs="Times New Roman"/>
          <w:sz w:val="24"/>
          <w:szCs w:val="24"/>
        </w:rPr>
        <w:t>Wang</w:t>
      </w:r>
      <w:r>
        <w:rPr>
          <w:rFonts w:ascii="Times New Roman" w:hAnsi="Times New Roman" w:cs="Times New Roman"/>
          <w:sz w:val="24"/>
          <w:szCs w:val="24"/>
        </w:rPr>
        <w:t xml:space="preserve">, 2017). </w:t>
      </w:r>
      <w:r w:rsidRPr="004F3C5D">
        <w:rPr>
          <w:rFonts w:ascii="Times New Roman" w:hAnsi="Times New Roman" w:cs="Times New Roman"/>
          <w:sz w:val="24"/>
          <w:szCs w:val="24"/>
        </w:rPr>
        <w:t xml:space="preserve"> Both the company's balance sheet and earnings statement for the year are included in this report. The individual's liquidity, reliability, and competitiveness have all been assessed via the calculation of several ratios. Stakeholders may now make informed decisions based on the company's assessed business performance.</w:t>
      </w:r>
    </w:p>
    <w:p w14:paraId="620C2E2A" w14:textId="6AB14DDE" w:rsidR="004F3C5D" w:rsidRPr="004F3C5D" w:rsidRDefault="004F3C5D" w:rsidP="004F3C5D">
      <w:pPr>
        <w:spacing w:line="360" w:lineRule="auto"/>
        <w:jc w:val="both"/>
        <w:rPr>
          <w:rFonts w:ascii="Times New Roman" w:hAnsi="Times New Roman" w:cs="Times New Roman"/>
          <w:b/>
          <w:bCs/>
          <w:sz w:val="24"/>
          <w:szCs w:val="24"/>
        </w:rPr>
      </w:pPr>
      <w:r w:rsidRPr="004F3C5D">
        <w:rPr>
          <w:rFonts w:ascii="Times New Roman" w:hAnsi="Times New Roman" w:cs="Times New Roman"/>
          <w:b/>
          <w:bCs/>
          <w:sz w:val="24"/>
          <w:szCs w:val="24"/>
        </w:rPr>
        <w:t>Question 1.</w:t>
      </w:r>
    </w:p>
    <w:p w14:paraId="2F053BD4" w14:textId="71D32DEC" w:rsidR="004F3C5D" w:rsidRPr="004F3C5D" w:rsidRDefault="004F3C5D" w:rsidP="004F3C5D">
      <w:pPr>
        <w:pStyle w:val="ListParagraph"/>
        <w:numPr>
          <w:ilvl w:val="0"/>
          <w:numId w:val="1"/>
        </w:numPr>
        <w:spacing w:line="360" w:lineRule="auto"/>
        <w:jc w:val="both"/>
        <w:rPr>
          <w:rFonts w:ascii="Times New Roman" w:hAnsi="Times New Roman" w:cs="Times New Roman"/>
          <w:b/>
          <w:bCs/>
          <w:sz w:val="24"/>
          <w:szCs w:val="24"/>
        </w:rPr>
      </w:pPr>
      <w:r w:rsidRPr="004F3C5D">
        <w:rPr>
          <w:rFonts w:ascii="Times New Roman" w:hAnsi="Times New Roman" w:cs="Times New Roman"/>
          <w:b/>
          <w:bCs/>
          <w:sz w:val="24"/>
          <w:szCs w:val="24"/>
        </w:rPr>
        <w:t>Income statement and balance sheet in the books of Wales plc.</w:t>
      </w:r>
    </w:p>
    <w:tbl>
      <w:tblPr>
        <w:tblW w:w="0" w:type="auto"/>
        <w:tblInd w:w="602" w:type="dxa"/>
        <w:tblLayout w:type="fixed"/>
        <w:tblLook w:val="0000" w:firstRow="0" w:lastRow="0" w:firstColumn="0" w:lastColumn="0" w:noHBand="0" w:noVBand="0"/>
      </w:tblPr>
      <w:tblGrid>
        <w:gridCol w:w="2953"/>
        <w:gridCol w:w="1361"/>
        <w:gridCol w:w="2445"/>
        <w:gridCol w:w="1381"/>
        <w:gridCol w:w="20"/>
      </w:tblGrid>
      <w:tr w:rsidR="004F3C5D" w:rsidRPr="00960FCD" w14:paraId="25A92B01" w14:textId="77777777" w:rsidTr="00835D97">
        <w:trPr>
          <w:gridAfter w:val="1"/>
          <w:wAfter w:w="20" w:type="dxa"/>
          <w:trHeight w:val="315"/>
        </w:trPr>
        <w:tc>
          <w:tcPr>
            <w:tcW w:w="8140" w:type="dxa"/>
            <w:gridSpan w:val="4"/>
            <w:tcBorders>
              <w:top w:val="single" w:sz="4" w:space="0" w:color="000000"/>
              <w:left w:val="single" w:sz="4" w:space="0" w:color="000000"/>
              <w:bottom w:val="single" w:sz="4" w:space="0" w:color="000000"/>
              <w:right w:val="single" w:sz="4" w:space="0" w:color="000000"/>
            </w:tcBorders>
            <w:shd w:val="clear" w:color="auto" w:fill="auto"/>
            <w:vAlign w:val="bottom"/>
          </w:tcPr>
          <w:p w14:paraId="21326714" w14:textId="77777777" w:rsidR="004F3C5D" w:rsidRPr="004F3C5D" w:rsidRDefault="004F3C5D" w:rsidP="004F3C5D">
            <w:pPr>
              <w:pStyle w:val="ListParagraph"/>
              <w:numPr>
                <w:ilvl w:val="0"/>
                <w:numId w:val="1"/>
              </w:numPr>
              <w:spacing w:line="240" w:lineRule="auto"/>
              <w:jc w:val="center"/>
              <w:rPr>
                <w:szCs w:val="24"/>
              </w:rPr>
            </w:pPr>
            <w:r w:rsidRPr="004F3C5D">
              <w:rPr>
                <w:rFonts w:eastAsia="Times New Roman"/>
                <w:b/>
                <w:bCs/>
                <w:szCs w:val="24"/>
                <w:shd w:val="clear" w:color="auto" w:fill="FFFFFF"/>
                <w:lang w:val="en-US"/>
              </w:rPr>
              <w:t>Income statement for Wales plc for the year ended 31st Dec 2021</w:t>
            </w:r>
          </w:p>
        </w:tc>
      </w:tr>
      <w:tr w:rsidR="004F3C5D" w:rsidRPr="00960FCD" w14:paraId="709C4857" w14:textId="77777777" w:rsidTr="00835D97">
        <w:trPr>
          <w:trHeight w:val="315"/>
        </w:trPr>
        <w:tc>
          <w:tcPr>
            <w:tcW w:w="2953" w:type="dxa"/>
            <w:tcBorders>
              <w:top w:val="single" w:sz="4" w:space="0" w:color="000000"/>
              <w:left w:val="single" w:sz="8" w:space="0" w:color="000000"/>
              <w:bottom w:val="single" w:sz="8" w:space="0" w:color="000000"/>
            </w:tcBorders>
            <w:shd w:val="clear" w:color="auto" w:fill="auto"/>
            <w:vAlign w:val="bottom"/>
          </w:tcPr>
          <w:p w14:paraId="65E39CCD"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b/>
                <w:bCs/>
                <w:szCs w:val="24"/>
                <w:shd w:val="clear" w:color="auto" w:fill="FFFFFF"/>
                <w:lang w:val="en-US"/>
              </w:rPr>
              <w:t>Particulars</w:t>
            </w:r>
          </w:p>
        </w:tc>
        <w:tc>
          <w:tcPr>
            <w:tcW w:w="1361" w:type="dxa"/>
            <w:tcBorders>
              <w:top w:val="single" w:sz="4" w:space="0" w:color="000000"/>
              <w:left w:val="single" w:sz="8" w:space="0" w:color="000000"/>
              <w:bottom w:val="single" w:sz="8" w:space="0" w:color="000000"/>
            </w:tcBorders>
            <w:shd w:val="clear" w:color="auto" w:fill="auto"/>
            <w:vAlign w:val="bottom"/>
          </w:tcPr>
          <w:p w14:paraId="680363B3"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b/>
                <w:bCs/>
                <w:szCs w:val="24"/>
                <w:shd w:val="clear" w:color="auto" w:fill="FFFFFF"/>
                <w:lang w:val="en-US"/>
              </w:rPr>
              <w:t>Amount</w:t>
            </w:r>
          </w:p>
        </w:tc>
        <w:tc>
          <w:tcPr>
            <w:tcW w:w="2445" w:type="dxa"/>
            <w:tcBorders>
              <w:top w:val="single" w:sz="4" w:space="0" w:color="000000"/>
              <w:left w:val="single" w:sz="8" w:space="0" w:color="000000"/>
              <w:bottom w:val="single" w:sz="8" w:space="0" w:color="000000"/>
            </w:tcBorders>
            <w:shd w:val="clear" w:color="auto" w:fill="auto"/>
            <w:vAlign w:val="bottom"/>
          </w:tcPr>
          <w:p w14:paraId="6514B433"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b/>
                <w:bCs/>
                <w:szCs w:val="24"/>
                <w:shd w:val="clear" w:color="auto" w:fill="FFFFFF"/>
                <w:lang w:val="en-US"/>
              </w:rPr>
              <w:t>Particulars</w:t>
            </w:r>
          </w:p>
        </w:tc>
        <w:tc>
          <w:tcPr>
            <w:tcW w:w="1401" w:type="dxa"/>
            <w:gridSpan w:val="2"/>
            <w:tcBorders>
              <w:top w:val="single" w:sz="4" w:space="0" w:color="000000"/>
              <w:left w:val="single" w:sz="8" w:space="0" w:color="000000"/>
              <w:bottom w:val="single" w:sz="8" w:space="0" w:color="000000"/>
              <w:right w:val="single" w:sz="8" w:space="0" w:color="000000"/>
            </w:tcBorders>
            <w:shd w:val="clear" w:color="auto" w:fill="auto"/>
            <w:vAlign w:val="bottom"/>
          </w:tcPr>
          <w:p w14:paraId="6651F120" w14:textId="77777777" w:rsidR="004F3C5D" w:rsidRPr="00960FCD" w:rsidRDefault="004F3C5D" w:rsidP="00835D97">
            <w:pPr>
              <w:spacing w:line="240" w:lineRule="auto"/>
              <w:rPr>
                <w:szCs w:val="24"/>
              </w:rPr>
            </w:pPr>
            <w:r w:rsidRPr="00960FCD">
              <w:rPr>
                <w:rFonts w:eastAsia="Times New Roman"/>
                <w:b/>
                <w:bCs/>
                <w:szCs w:val="24"/>
                <w:shd w:val="clear" w:color="auto" w:fill="FFFFFF"/>
                <w:lang w:val="en-US"/>
              </w:rPr>
              <w:t>Amount</w:t>
            </w:r>
          </w:p>
        </w:tc>
      </w:tr>
      <w:tr w:rsidR="004F3C5D" w:rsidRPr="00960FCD" w14:paraId="72250255" w14:textId="77777777" w:rsidTr="00835D97">
        <w:trPr>
          <w:trHeight w:val="300"/>
        </w:trPr>
        <w:tc>
          <w:tcPr>
            <w:tcW w:w="2953" w:type="dxa"/>
            <w:tcBorders>
              <w:left w:val="single" w:sz="4" w:space="0" w:color="000000"/>
              <w:bottom w:val="single" w:sz="4" w:space="0" w:color="000000"/>
            </w:tcBorders>
            <w:shd w:val="clear" w:color="auto" w:fill="auto"/>
            <w:vAlign w:val="bottom"/>
          </w:tcPr>
          <w:p w14:paraId="36902B24"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To opening stock A/c</w:t>
            </w:r>
          </w:p>
        </w:tc>
        <w:tc>
          <w:tcPr>
            <w:tcW w:w="1361" w:type="dxa"/>
            <w:tcBorders>
              <w:left w:val="single" w:sz="8" w:space="0" w:color="000000"/>
              <w:bottom w:val="single" w:sz="4" w:space="0" w:color="000000"/>
            </w:tcBorders>
            <w:shd w:val="clear" w:color="auto" w:fill="auto"/>
            <w:vAlign w:val="bottom"/>
          </w:tcPr>
          <w:p w14:paraId="53D3CF88"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w:t>
            </w:r>
          </w:p>
        </w:tc>
        <w:tc>
          <w:tcPr>
            <w:tcW w:w="2445" w:type="dxa"/>
            <w:tcBorders>
              <w:left w:val="single" w:sz="8" w:space="0" w:color="000000"/>
              <w:bottom w:val="single" w:sz="4" w:space="0" w:color="000000"/>
            </w:tcBorders>
            <w:shd w:val="clear" w:color="auto" w:fill="auto"/>
            <w:vAlign w:val="bottom"/>
          </w:tcPr>
          <w:p w14:paraId="7FCD6ADF"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By sales</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0689DE62" w14:textId="77777777" w:rsidR="004F3C5D" w:rsidRPr="00960FCD" w:rsidRDefault="004F3C5D" w:rsidP="00835D97">
            <w:pPr>
              <w:spacing w:line="240" w:lineRule="auto"/>
              <w:jc w:val="right"/>
              <w:rPr>
                <w:szCs w:val="24"/>
              </w:rPr>
            </w:pPr>
            <w:r w:rsidRPr="00960FCD">
              <w:rPr>
                <w:rFonts w:eastAsia="Times New Roman"/>
                <w:szCs w:val="24"/>
                <w:shd w:val="clear" w:color="auto" w:fill="FFFFFF"/>
                <w:lang w:val="en-US"/>
              </w:rPr>
              <w:t>800000</w:t>
            </w:r>
          </w:p>
        </w:tc>
      </w:tr>
      <w:tr w:rsidR="004F3C5D" w:rsidRPr="00960FCD" w14:paraId="07F486F2" w14:textId="77777777" w:rsidTr="00835D97">
        <w:trPr>
          <w:trHeight w:val="300"/>
        </w:trPr>
        <w:tc>
          <w:tcPr>
            <w:tcW w:w="2953" w:type="dxa"/>
            <w:tcBorders>
              <w:left w:val="single" w:sz="4" w:space="0" w:color="000000"/>
              <w:bottom w:val="single" w:sz="4" w:space="0" w:color="000000"/>
            </w:tcBorders>
            <w:shd w:val="clear" w:color="auto" w:fill="auto"/>
            <w:vAlign w:val="bottom"/>
          </w:tcPr>
          <w:p w14:paraId="10D76194"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To Purchases A/c</w:t>
            </w:r>
          </w:p>
        </w:tc>
        <w:tc>
          <w:tcPr>
            <w:tcW w:w="1361" w:type="dxa"/>
            <w:tcBorders>
              <w:left w:val="single" w:sz="8" w:space="0" w:color="000000"/>
              <w:bottom w:val="single" w:sz="4" w:space="0" w:color="000000"/>
            </w:tcBorders>
            <w:shd w:val="clear" w:color="auto" w:fill="auto"/>
            <w:vAlign w:val="bottom"/>
          </w:tcPr>
          <w:p w14:paraId="31C7376B"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1009250</w:t>
            </w:r>
          </w:p>
        </w:tc>
        <w:tc>
          <w:tcPr>
            <w:tcW w:w="2445" w:type="dxa"/>
            <w:tcBorders>
              <w:left w:val="single" w:sz="8" w:space="0" w:color="000000"/>
              <w:bottom w:val="single" w:sz="4" w:space="0" w:color="000000"/>
            </w:tcBorders>
            <w:shd w:val="clear" w:color="auto" w:fill="auto"/>
            <w:vAlign w:val="bottom"/>
          </w:tcPr>
          <w:p w14:paraId="42A5D6BE"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By Closing stock</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6F2C0CD0" w14:textId="77777777" w:rsidR="004F3C5D" w:rsidRPr="00960FCD" w:rsidRDefault="004F3C5D" w:rsidP="00835D97">
            <w:pPr>
              <w:spacing w:line="240" w:lineRule="auto"/>
              <w:jc w:val="right"/>
              <w:rPr>
                <w:szCs w:val="24"/>
              </w:rPr>
            </w:pPr>
            <w:r w:rsidRPr="00960FCD">
              <w:rPr>
                <w:rFonts w:eastAsia="Times New Roman"/>
                <w:szCs w:val="24"/>
                <w:shd w:val="clear" w:color="auto" w:fill="FFFFFF"/>
                <w:lang w:val="en-US"/>
              </w:rPr>
              <w:t>430600</w:t>
            </w:r>
          </w:p>
        </w:tc>
      </w:tr>
      <w:tr w:rsidR="004F3C5D" w:rsidRPr="00960FCD" w14:paraId="3D47956F" w14:textId="77777777" w:rsidTr="00835D97">
        <w:trPr>
          <w:trHeight w:val="315"/>
        </w:trPr>
        <w:tc>
          <w:tcPr>
            <w:tcW w:w="2953" w:type="dxa"/>
            <w:tcBorders>
              <w:left w:val="single" w:sz="4" w:space="0" w:color="000000"/>
            </w:tcBorders>
            <w:shd w:val="clear" w:color="auto" w:fill="auto"/>
            <w:vAlign w:val="bottom"/>
          </w:tcPr>
          <w:p w14:paraId="4AE99D4C"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To gross profit A/c</w:t>
            </w:r>
          </w:p>
        </w:tc>
        <w:tc>
          <w:tcPr>
            <w:tcW w:w="1361" w:type="dxa"/>
            <w:tcBorders>
              <w:left w:val="single" w:sz="8" w:space="0" w:color="000000"/>
            </w:tcBorders>
            <w:shd w:val="clear" w:color="auto" w:fill="auto"/>
            <w:vAlign w:val="bottom"/>
          </w:tcPr>
          <w:p w14:paraId="7F444CF7"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221350</w:t>
            </w:r>
          </w:p>
        </w:tc>
        <w:tc>
          <w:tcPr>
            <w:tcW w:w="2445" w:type="dxa"/>
            <w:tcBorders>
              <w:left w:val="single" w:sz="8" w:space="0" w:color="000000"/>
            </w:tcBorders>
            <w:shd w:val="clear" w:color="auto" w:fill="auto"/>
            <w:vAlign w:val="bottom"/>
          </w:tcPr>
          <w:p w14:paraId="7A499032"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401" w:type="dxa"/>
            <w:gridSpan w:val="2"/>
            <w:tcBorders>
              <w:left w:val="single" w:sz="8" w:space="0" w:color="000000"/>
              <w:right w:val="single" w:sz="8" w:space="0" w:color="000000"/>
            </w:tcBorders>
            <w:shd w:val="clear" w:color="auto" w:fill="auto"/>
            <w:vAlign w:val="bottom"/>
          </w:tcPr>
          <w:p w14:paraId="732DC0BA" w14:textId="77777777" w:rsidR="004F3C5D" w:rsidRPr="00960FCD" w:rsidRDefault="004F3C5D" w:rsidP="00835D97">
            <w:pPr>
              <w:spacing w:line="240" w:lineRule="auto"/>
              <w:rPr>
                <w:szCs w:val="24"/>
              </w:rPr>
            </w:pPr>
            <w:r w:rsidRPr="00960FCD">
              <w:rPr>
                <w:rFonts w:eastAsia="Times New Roman"/>
                <w:szCs w:val="24"/>
                <w:shd w:val="clear" w:color="auto" w:fill="FFFFFF"/>
                <w:lang w:val="en-US"/>
              </w:rPr>
              <w:t> </w:t>
            </w:r>
          </w:p>
        </w:tc>
      </w:tr>
      <w:tr w:rsidR="004F3C5D" w:rsidRPr="00960FCD" w14:paraId="1017ED77" w14:textId="77777777" w:rsidTr="00835D97">
        <w:trPr>
          <w:trHeight w:val="450"/>
        </w:trPr>
        <w:tc>
          <w:tcPr>
            <w:tcW w:w="2953" w:type="dxa"/>
            <w:tcBorders>
              <w:top w:val="single" w:sz="8" w:space="0" w:color="000000"/>
              <w:left w:val="single" w:sz="8" w:space="0" w:color="000000"/>
              <w:bottom w:val="single" w:sz="8" w:space="0" w:color="000000"/>
            </w:tcBorders>
            <w:shd w:val="clear" w:color="auto" w:fill="auto"/>
            <w:vAlign w:val="bottom"/>
          </w:tcPr>
          <w:p w14:paraId="7E3C9285"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b/>
                <w:bCs/>
                <w:szCs w:val="24"/>
                <w:shd w:val="clear" w:color="auto" w:fill="FFFFFF"/>
                <w:lang w:val="en-US"/>
              </w:rPr>
              <w:t xml:space="preserve">Total </w:t>
            </w:r>
          </w:p>
        </w:tc>
        <w:tc>
          <w:tcPr>
            <w:tcW w:w="1361" w:type="dxa"/>
            <w:tcBorders>
              <w:top w:val="single" w:sz="8" w:space="0" w:color="000000"/>
              <w:left w:val="single" w:sz="8" w:space="0" w:color="000000"/>
              <w:bottom w:val="single" w:sz="8" w:space="0" w:color="000000"/>
            </w:tcBorders>
            <w:shd w:val="clear" w:color="auto" w:fill="auto"/>
            <w:vAlign w:val="bottom"/>
          </w:tcPr>
          <w:p w14:paraId="74CDF84B" w14:textId="77777777" w:rsidR="004F3C5D" w:rsidRPr="00960FCD" w:rsidRDefault="004F3C5D" w:rsidP="00835D97">
            <w:pPr>
              <w:spacing w:line="240" w:lineRule="auto"/>
              <w:jc w:val="right"/>
              <w:rPr>
                <w:rFonts w:eastAsia="Times New Roman"/>
                <w:b/>
                <w:bCs/>
                <w:szCs w:val="24"/>
                <w:shd w:val="clear" w:color="auto" w:fill="FFFFFF"/>
                <w:lang w:val="en-US"/>
              </w:rPr>
            </w:pPr>
            <w:r w:rsidRPr="00960FCD">
              <w:rPr>
                <w:rFonts w:eastAsia="Times New Roman"/>
                <w:b/>
                <w:bCs/>
                <w:szCs w:val="24"/>
                <w:shd w:val="clear" w:color="auto" w:fill="FFFFFF"/>
                <w:lang w:val="en-US"/>
              </w:rPr>
              <w:t>1230600</w:t>
            </w:r>
          </w:p>
        </w:tc>
        <w:tc>
          <w:tcPr>
            <w:tcW w:w="2445" w:type="dxa"/>
            <w:tcBorders>
              <w:top w:val="single" w:sz="8" w:space="0" w:color="000000"/>
              <w:left w:val="single" w:sz="8" w:space="0" w:color="000000"/>
              <w:bottom w:val="single" w:sz="8" w:space="0" w:color="000000"/>
            </w:tcBorders>
            <w:shd w:val="clear" w:color="auto" w:fill="auto"/>
            <w:vAlign w:val="bottom"/>
          </w:tcPr>
          <w:p w14:paraId="1CBB3861"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b/>
                <w:bCs/>
                <w:szCs w:val="24"/>
                <w:shd w:val="clear" w:color="auto" w:fill="FFFFFF"/>
                <w:lang w:val="en-US"/>
              </w:rPr>
              <w:t xml:space="preserve">Total </w:t>
            </w:r>
          </w:p>
        </w:tc>
        <w:tc>
          <w:tcPr>
            <w:tcW w:w="1401" w:type="dxa"/>
            <w:gridSpan w:val="2"/>
            <w:tcBorders>
              <w:top w:val="single" w:sz="8" w:space="0" w:color="000000"/>
              <w:left w:val="single" w:sz="8" w:space="0" w:color="000000"/>
              <w:bottom w:val="single" w:sz="8" w:space="0" w:color="000000"/>
              <w:right w:val="single" w:sz="8" w:space="0" w:color="000000"/>
            </w:tcBorders>
            <w:shd w:val="clear" w:color="auto" w:fill="auto"/>
            <w:vAlign w:val="bottom"/>
          </w:tcPr>
          <w:p w14:paraId="556EA0B4" w14:textId="77777777" w:rsidR="004F3C5D" w:rsidRPr="00960FCD" w:rsidRDefault="004F3C5D" w:rsidP="00835D97">
            <w:pPr>
              <w:spacing w:line="240" w:lineRule="auto"/>
              <w:jc w:val="right"/>
              <w:rPr>
                <w:szCs w:val="24"/>
              </w:rPr>
            </w:pPr>
            <w:r w:rsidRPr="00960FCD">
              <w:rPr>
                <w:rFonts w:eastAsia="Times New Roman"/>
                <w:b/>
                <w:bCs/>
                <w:szCs w:val="24"/>
                <w:shd w:val="clear" w:color="auto" w:fill="FFFFFF"/>
                <w:lang w:val="en-US"/>
              </w:rPr>
              <w:t>1230600</w:t>
            </w:r>
          </w:p>
        </w:tc>
      </w:tr>
      <w:tr w:rsidR="004F3C5D" w:rsidRPr="00960FCD" w14:paraId="623892FA" w14:textId="77777777" w:rsidTr="00835D97">
        <w:trPr>
          <w:trHeight w:val="300"/>
        </w:trPr>
        <w:tc>
          <w:tcPr>
            <w:tcW w:w="2953" w:type="dxa"/>
            <w:tcBorders>
              <w:left w:val="single" w:sz="4" w:space="0" w:color="000000"/>
              <w:bottom w:val="single" w:sz="4" w:space="0" w:color="000000"/>
            </w:tcBorders>
            <w:shd w:val="clear" w:color="auto" w:fill="auto"/>
            <w:vAlign w:val="bottom"/>
          </w:tcPr>
          <w:p w14:paraId="00FD9A11"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361" w:type="dxa"/>
            <w:tcBorders>
              <w:left w:val="single" w:sz="8" w:space="0" w:color="000000"/>
              <w:bottom w:val="single" w:sz="4" w:space="0" w:color="000000"/>
            </w:tcBorders>
            <w:shd w:val="clear" w:color="auto" w:fill="auto"/>
            <w:vAlign w:val="bottom"/>
          </w:tcPr>
          <w:p w14:paraId="1C0C3B9F"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2445" w:type="dxa"/>
            <w:tcBorders>
              <w:left w:val="single" w:sz="8" w:space="0" w:color="000000"/>
              <w:bottom w:val="single" w:sz="4" w:space="0" w:color="000000"/>
            </w:tcBorders>
            <w:shd w:val="clear" w:color="auto" w:fill="auto"/>
            <w:vAlign w:val="bottom"/>
          </w:tcPr>
          <w:p w14:paraId="1C57F425"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By GP</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753DE2F4" w14:textId="77777777" w:rsidR="004F3C5D" w:rsidRPr="00960FCD" w:rsidRDefault="004F3C5D" w:rsidP="00835D97">
            <w:pPr>
              <w:spacing w:line="240" w:lineRule="auto"/>
              <w:jc w:val="right"/>
              <w:rPr>
                <w:szCs w:val="24"/>
              </w:rPr>
            </w:pPr>
            <w:r w:rsidRPr="00960FCD">
              <w:rPr>
                <w:rFonts w:eastAsia="Times New Roman"/>
                <w:szCs w:val="24"/>
                <w:shd w:val="clear" w:color="auto" w:fill="FFFFFF"/>
                <w:lang w:val="en-US"/>
              </w:rPr>
              <w:t>221350</w:t>
            </w:r>
          </w:p>
        </w:tc>
      </w:tr>
      <w:tr w:rsidR="004F3C5D" w:rsidRPr="00960FCD" w14:paraId="56CFC453" w14:textId="77777777" w:rsidTr="00835D97">
        <w:trPr>
          <w:trHeight w:val="300"/>
        </w:trPr>
        <w:tc>
          <w:tcPr>
            <w:tcW w:w="2953" w:type="dxa"/>
            <w:tcBorders>
              <w:left w:val="single" w:sz="4" w:space="0" w:color="000000"/>
              <w:bottom w:val="single" w:sz="4" w:space="0" w:color="000000"/>
            </w:tcBorders>
            <w:shd w:val="clear" w:color="auto" w:fill="auto"/>
            <w:vAlign w:val="bottom"/>
          </w:tcPr>
          <w:p w14:paraId="2F6B6B72"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Admin Exp.</w:t>
            </w:r>
          </w:p>
        </w:tc>
        <w:tc>
          <w:tcPr>
            <w:tcW w:w="1361" w:type="dxa"/>
            <w:tcBorders>
              <w:left w:val="single" w:sz="8" w:space="0" w:color="000000"/>
              <w:bottom w:val="single" w:sz="4" w:space="0" w:color="000000"/>
            </w:tcBorders>
            <w:shd w:val="clear" w:color="auto" w:fill="auto"/>
            <w:vAlign w:val="bottom"/>
          </w:tcPr>
          <w:p w14:paraId="4705BA19"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30000</w:t>
            </w:r>
          </w:p>
        </w:tc>
        <w:tc>
          <w:tcPr>
            <w:tcW w:w="2445" w:type="dxa"/>
            <w:tcBorders>
              <w:left w:val="single" w:sz="8" w:space="0" w:color="000000"/>
              <w:bottom w:val="single" w:sz="4" w:space="0" w:color="000000"/>
            </w:tcBorders>
            <w:shd w:val="clear" w:color="auto" w:fill="auto"/>
            <w:vAlign w:val="bottom"/>
          </w:tcPr>
          <w:p w14:paraId="41C12813"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2A2B3652" w14:textId="77777777" w:rsidR="004F3C5D" w:rsidRPr="00960FCD" w:rsidRDefault="004F3C5D" w:rsidP="00835D97">
            <w:pPr>
              <w:spacing w:line="240" w:lineRule="auto"/>
              <w:rPr>
                <w:szCs w:val="24"/>
              </w:rPr>
            </w:pPr>
            <w:r w:rsidRPr="00960FCD">
              <w:rPr>
                <w:rFonts w:eastAsia="Times New Roman"/>
                <w:szCs w:val="24"/>
                <w:shd w:val="clear" w:color="auto" w:fill="FFFFFF"/>
                <w:lang w:val="en-US"/>
              </w:rPr>
              <w:t> </w:t>
            </w:r>
          </w:p>
        </w:tc>
      </w:tr>
      <w:tr w:rsidR="004F3C5D" w:rsidRPr="00960FCD" w14:paraId="66FD2586" w14:textId="77777777" w:rsidTr="00835D97">
        <w:trPr>
          <w:trHeight w:val="300"/>
        </w:trPr>
        <w:tc>
          <w:tcPr>
            <w:tcW w:w="2953" w:type="dxa"/>
            <w:tcBorders>
              <w:left w:val="single" w:sz="4" w:space="0" w:color="000000"/>
              <w:bottom w:val="single" w:sz="4" w:space="0" w:color="000000"/>
            </w:tcBorders>
            <w:shd w:val="clear" w:color="auto" w:fill="auto"/>
            <w:vAlign w:val="bottom"/>
          </w:tcPr>
          <w:p w14:paraId="7BAB8A80"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Interest Exp.</w:t>
            </w:r>
          </w:p>
        </w:tc>
        <w:tc>
          <w:tcPr>
            <w:tcW w:w="1361" w:type="dxa"/>
            <w:tcBorders>
              <w:left w:val="single" w:sz="8" w:space="0" w:color="000000"/>
              <w:bottom w:val="single" w:sz="4" w:space="0" w:color="000000"/>
            </w:tcBorders>
            <w:shd w:val="clear" w:color="auto" w:fill="auto"/>
            <w:vAlign w:val="bottom"/>
          </w:tcPr>
          <w:p w14:paraId="7EED5558"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2000</w:t>
            </w:r>
          </w:p>
        </w:tc>
        <w:tc>
          <w:tcPr>
            <w:tcW w:w="2445" w:type="dxa"/>
            <w:tcBorders>
              <w:left w:val="single" w:sz="8" w:space="0" w:color="000000"/>
              <w:bottom w:val="single" w:sz="4" w:space="0" w:color="000000"/>
            </w:tcBorders>
            <w:shd w:val="clear" w:color="auto" w:fill="auto"/>
            <w:vAlign w:val="bottom"/>
          </w:tcPr>
          <w:p w14:paraId="71F0131E"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221A535F" w14:textId="77777777" w:rsidR="004F3C5D" w:rsidRPr="00960FCD" w:rsidRDefault="004F3C5D" w:rsidP="00835D97">
            <w:pPr>
              <w:spacing w:line="240" w:lineRule="auto"/>
              <w:rPr>
                <w:szCs w:val="24"/>
              </w:rPr>
            </w:pPr>
            <w:r w:rsidRPr="00960FCD">
              <w:rPr>
                <w:rFonts w:eastAsia="Times New Roman"/>
                <w:szCs w:val="24"/>
                <w:shd w:val="clear" w:color="auto" w:fill="FFFFFF"/>
                <w:lang w:val="en-US"/>
              </w:rPr>
              <w:t> </w:t>
            </w:r>
          </w:p>
        </w:tc>
      </w:tr>
      <w:tr w:rsidR="004F3C5D" w:rsidRPr="00960FCD" w14:paraId="4D00BD14" w14:textId="77777777" w:rsidTr="00835D97">
        <w:trPr>
          <w:trHeight w:val="300"/>
        </w:trPr>
        <w:tc>
          <w:tcPr>
            <w:tcW w:w="2953" w:type="dxa"/>
            <w:tcBorders>
              <w:left w:val="single" w:sz="4" w:space="0" w:color="000000"/>
              <w:bottom w:val="single" w:sz="4" w:space="0" w:color="000000"/>
            </w:tcBorders>
            <w:shd w:val="clear" w:color="auto" w:fill="auto"/>
            <w:vAlign w:val="bottom"/>
          </w:tcPr>
          <w:p w14:paraId="1895607F"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Director remuneration</w:t>
            </w:r>
          </w:p>
        </w:tc>
        <w:tc>
          <w:tcPr>
            <w:tcW w:w="1361" w:type="dxa"/>
            <w:tcBorders>
              <w:left w:val="single" w:sz="8" w:space="0" w:color="000000"/>
              <w:bottom w:val="single" w:sz="4" w:space="0" w:color="000000"/>
            </w:tcBorders>
            <w:shd w:val="clear" w:color="auto" w:fill="auto"/>
            <w:vAlign w:val="bottom"/>
          </w:tcPr>
          <w:p w14:paraId="35A3A14F"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5000</w:t>
            </w:r>
          </w:p>
        </w:tc>
        <w:tc>
          <w:tcPr>
            <w:tcW w:w="2445" w:type="dxa"/>
            <w:tcBorders>
              <w:left w:val="single" w:sz="8" w:space="0" w:color="000000"/>
              <w:bottom w:val="single" w:sz="4" w:space="0" w:color="000000"/>
            </w:tcBorders>
            <w:shd w:val="clear" w:color="auto" w:fill="auto"/>
            <w:vAlign w:val="bottom"/>
          </w:tcPr>
          <w:p w14:paraId="61701DE0"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253713D6" w14:textId="77777777" w:rsidR="004F3C5D" w:rsidRPr="00960FCD" w:rsidRDefault="004F3C5D" w:rsidP="00835D97">
            <w:pPr>
              <w:spacing w:line="240" w:lineRule="auto"/>
              <w:rPr>
                <w:szCs w:val="24"/>
              </w:rPr>
            </w:pPr>
            <w:r w:rsidRPr="00960FCD">
              <w:rPr>
                <w:rFonts w:eastAsia="Times New Roman"/>
                <w:szCs w:val="24"/>
                <w:shd w:val="clear" w:color="auto" w:fill="FFFFFF"/>
                <w:lang w:val="en-US"/>
              </w:rPr>
              <w:t> </w:t>
            </w:r>
          </w:p>
        </w:tc>
      </w:tr>
      <w:tr w:rsidR="004F3C5D" w:rsidRPr="00960FCD" w14:paraId="0D6552CD" w14:textId="77777777" w:rsidTr="00835D97">
        <w:trPr>
          <w:trHeight w:val="300"/>
        </w:trPr>
        <w:tc>
          <w:tcPr>
            <w:tcW w:w="2953" w:type="dxa"/>
            <w:tcBorders>
              <w:left w:val="single" w:sz="4" w:space="0" w:color="000000"/>
              <w:bottom w:val="single" w:sz="4" w:space="0" w:color="000000"/>
            </w:tcBorders>
            <w:shd w:val="clear" w:color="auto" w:fill="auto"/>
            <w:vAlign w:val="bottom"/>
          </w:tcPr>
          <w:p w14:paraId="306274EB"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Distribution Exp.</w:t>
            </w:r>
          </w:p>
        </w:tc>
        <w:tc>
          <w:tcPr>
            <w:tcW w:w="1361" w:type="dxa"/>
            <w:tcBorders>
              <w:left w:val="single" w:sz="8" w:space="0" w:color="000000"/>
              <w:bottom w:val="single" w:sz="4" w:space="0" w:color="000000"/>
            </w:tcBorders>
            <w:shd w:val="clear" w:color="auto" w:fill="auto"/>
            <w:vAlign w:val="bottom"/>
          </w:tcPr>
          <w:p w14:paraId="4C2C2E3E"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28000</w:t>
            </w:r>
          </w:p>
        </w:tc>
        <w:tc>
          <w:tcPr>
            <w:tcW w:w="2445" w:type="dxa"/>
            <w:tcBorders>
              <w:left w:val="single" w:sz="8" w:space="0" w:color="000000"/>
              <w:bottom w:val="single" w:sz="4" w:space="0" w:color="000000"/>
            </w:tcBorders>
            <w:shd w:val="clear" w:color="auto" w:fill="auto"/>
            <w:vAlign w:val="bottom"/>
          </w:tcPr>
          <w:p w14:paraId="55F6D651"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7988BA70" w14:textId="77777777" w:rsidR="004F3C5D" w:rsidRPr="00960FCD" w:rsidRDefault="004F3C5D" w:rsidP="00835D97">
            <w:pPr>
              <w:spacing w:line="240" w:lineRule="auto"/>
              <w:rPr>
                <w:szCs w:val="24"/>
              </w:rPr>
            </w:pPr>
            <w:r w:rsidRPr="00960FCD">
              <w:rPr>
                <w:rFonts w:eastAsia="Times New Roman"/>
                <w:szCs w:val="24"/>
                <w:shd w:val="clear" w:color="auto" w:fill="FFFFFF"/>
                <w:lang w:val="en-US"/>
              </w:rPr>
              <w:t> </w:t>
            </w:r>
          </w:p>
        </w:tc>
      </w:tr>
      <w:tr w:rsidR="004F3C5D" w:rsidRPr="00960FCD" w14:paraId="5CD79FED" w14:textId="77777777" w:rsidTr="00835D97">
        <w:trPr>
          <w:trHeight w:val="300"/>
        </w:trPr>
        <w:tc>
          <w:tcPr>
            <w:tcW w:w="2953" w:type="dxa"/>
            <w:tcBorders>
              <w:left w:val="single" w:sz="4" w:space="0" w:color="000000"/>
              <w:bottom w:val="single" w:sz="4" w:space="0" w:color="000000"/>
            </w:tcBorders>
            <w:shd w:val="clear" w:color="auto" w:fill="auto"/>
            <w:vAlign w:val="bottom"/>
          </w:tcPr>
          <w:p w14:paraId="03263C8C"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To Tax payment</w:t>
            </w:r>
          </w:p>
        </w:tc>
        <w:tc>
          <w:tcPr>
            <w:tcW w:w="1361" w:type="dxa"/>
            <w:tcBorders>
              <w:left w:val="single" w:sz="8" w:space="0" w:color="000000"/>
              <w:bottom w:val="single" w:sz="4" w:space="0" w:color="000000"/>
            </w:tcBorders>
            <w:shd w:val="clear" w:color="auto" w:fill="auto"/>
            <w:vAlign w:val="bottom"/>
          </w:tcPr>
          <w:p w14:paraId="6CED7191"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100000</w:t>
            </w:r>
          </w:p>
        </w:tc>
        <w:tc>
          <w:tcPr>
            <w:tcW w:w="2445" w:type="dxa"/>
            <w:tcBorders>
              <w:left w:val="single" w:sz="8" w:space="0" w:color="000000"/>
              <w:bottom w:val="single" w:sz="4" w:space="0" w:color="000000"/>
            </w:tcBorders>
            <w:shd w:val="clear" w:color="auto" w:fill="auto"/>
            <w:vAlign w:val="bottom"/>
          </w:tcPr>
          <w:p w14:paraId="6C2AB60C"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3D96CA31" w14:textId="77777777" w:rsidR="004F3C5D" w:rsidRPr="00960FCD" w:rsidRDefault="004F3C5D" w:rsidP="00835D97">
            <w:pPr>
              <w:spacing w:line="240" w:lineRule="auto"/>
              <w:rPr>
                <w:szCs w:val="24"/>
              </w:rPr>
            </w:pPr>
            <w:r w:rsidRPr="00960FCD">
              <w:rPr>
                <w:rFonts w:eastAsia="Times New Roman"/>
                <w:szCs w:val="24"/>
                <w:shd w:val="clear" w:color="auto" w:fill="FFFFFF"/>
                <w:lang w:val="en-US"/>
              </w:rPr>
              <w:t> </w:t>
            </w:r>
          </w:p>
        </w:tc>
      </w:tr>
      <w:tr w:rsidR="004F3C5D" w:rsidRPr="00960FCD" w14:paraId="0056F07E" w14:textId="77777777" w:rsidTr="00835D97">
        <w:trPr>
          <w:trHeight w:val="300"/>
        </w:trPr>
        <w:tc>
          <w:tcPr>
            <w:tcW w:w="2953" w:type="dxa"/>
            <w:tcBorders>
              <w:left w:val="single" w:sz="4" w:space="0" w:color="000000"/>
              <w:bottom w:val="single" w:sz="4" w:space="0" w:color="000000"/>
            </w:tcBorders>
            <w:shd w:val="clear" w:color="auto" w:fill="auto"/>
            <w:vAlign w:val="bottom"/>
          </w:tcPr>
          <w:p w14:paraId="571F370A"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To O/s Commission</w:t>
            </w:r>
          </w:p>
        </w:tc>
        <w:tc>
          <w:tcPr>
            <w:tcW w:w="1361" w:type="dxa"/>
            <w:tcBorders>
              <w:left w:val="single" w:sz="8" w:space="0" w:color="000000"/>
              <w:bottom w:val="single" w:sz="4" w:space="0" w:color="000000"/>
            </w:tcBorders>
            <w:shd w:val="clear" w:color="auto" w:fill="auto"/>
            <w:vAlign w:val="bottom"/>
          </w:tcPr>
          <w:p w14:paraId="638F62B5"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3000</w:t>
            </w:r>
          </w:p>
        </w:tc>
        <w:tc>
          <w:tcPr>
            <w:tcW w:w="2445" w:type="dxa"/>
            <w:tcBorders>
              <w:left w:val="single" w:sz="8" w:space="0" w:color="000000"/>
              <w:bottom w:val="single" w:sz="4" w:space="0" w:color="000000"/>
            </w:tcBorders>
            <w:shd w:val="clear" w:color="auto" w:fill="auto"/>
            <w:vAlign w:val="bottom"/>
          </w:tcPr>
          <w:p w14:paraId="0ECA9F0F"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401" w:type="dxa"/>
            <w:gridSpan w:val="2"/>
            <w:tcBorders>
              <w:left w:val="single" w:sz="8" w:space="0" w:color="000000"/>
              <w:bottom w:val="single" w:sz="4" w:space="0" w:color="000000"/>
              <w:right w:val="single" w:sz="8" w:space="0" w:color="000000"/>
            </w:tcBorders>
            <w:shd w:val="clear" w:color="auto" w:fill="auto"/>
            <w:vAlign w:val="bottom"/>
          </w:tcPr>
          <w:p w14:paraId="0E44CC1B" w14:textId="77777777" w:rsidR="004F3C5D" w:rsidRPr="00960FCD" w:rsidRDefault="004F3C5D" w:rsidP="00835D97">
            <w:pPr>
              <w:spacing w:line="240" w:lineRule="auto"/>
              <w:rPr>
                <w:szCs w:val="24"/>
              </w:rPr>
            </w:pPr>
            <w:r w:rsidRPr="00960FCD">
              <w:rPr>
                <w:rFonts w:eastAsia="Times New Roman"/>
                <w:szCs w:val="24"/>
                <w:shd w:val="clear" w:color="auto" w:fill="FFFFFF"/>
                <w:lang w:val="en-US"/>
              </w:rPr>
              <w:t> </w:t>
            </w:r>
          </w:p>
        </w:tc>
      </w:tr>
      <w:tr w:rsidR="004F3C5D" w:rsidRPr="00960FCD" w14:paraId="4947F51E" w14:textId="77777777" w:rsidTr="00835D97">
        <w:trPr>
          <w:trHeight w:val="315"/>
        </w:trPr>
        <w:tc>
          <w:tcPr>
            <w:tcW w:w="2953" w:type="dxa"/>
            <w:tcBorders>
              <w:left w:val="single" w:sz="4" w:space="0" w:color="000000"/>
            </w:tcBorders>
            <w:shd w:val="clear" w:color="auto" w:fill="auto"/>
            <w:vAlign w:val="bottom"/>
          </w:tcPr>
          <w:p w14:paraId="2254CC98"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To NP</w:t>
            </w:r>
          </w:p>
        </w:tc>
        <w:tc>
          <w:tcPr>
            <w:tcW w:w="1361" w:type="dxa"/>
            <w:tcBorders>
              <w:left w:val="single" w:sz="8" w:space="0" w:color="000000"/>
            </w:tcBorders>
            <w:shd w:val="clear" w:color="auto" w:fill="auto"/>
            <w:vAlign w:val="bottom"/>
          </w:tcPr>
          <w:p w14:paraId="2A39AD40"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szCs w:val="24"/>
                <w:shd w:val="clear" w:color="auto" w:fill="FFFFFF"/>
                <w:lang w:val="en-US"/>
              </w:rPr>
              <w:t>53350</w:t>
            </w:r>
          </w:p>
        </w:tc>
        <w:tc>
          <w:tcPr>
            <w:tcW w:w="2445" w:type="dxa"/>
            <w:tcBorders>
              <w:left w:val="single" w:sz="8" w:space="0" w:color="000000"/>
            </w:tcBorders>
            <w:shd w:val="clear" w:color="auto" w:fill="auto"/>
            <w:vAlign w:val="bottom"/>
          </w:tcPr>
          <w:p w14:paraId="01B843CD"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401" w:type="dxa"/>
            <w:gridSpan w:val="2"/>
            <w:tcBorders>
              <w:left w:val="single" w:sz="8" w:space="0" w:color="000000"/>
              <w:right w:val="single" w:sz="8" w:space="0" w:color="000000"/>
            </w:tcBorders>
            <w:shd w:val="clear" w:color="auto" w:fill="auto"/>
            <w:vAlign w:val="bottom"/>
          </w:tcPr>
          <w:p w14:paraId="150DB0E5" w14:textId="77777777" w:rsidR="004F3C5D" w:rsidRPr="00960FCD" w:rsidRDefault="004F3C5D" w:rsidP="00835D97">
            <w:pPr>
              <w:spacing w:line="240" w:lineRule="auto"/>
              <w:rPr>
                <w:szCs w:val="24"/>
              </w:rPr>
            </w:pPr>
            <w:r w:rsidRPr="00960FCD">
              <w:rPr>
                <w:rFonts w:eastAsia="Times New Roman"/>
                <w:szCs w:val="24"/>
                <w:shd w:val="clear" w:color="auto" w:fill="FFFFFF"/>
                <w:lang w:val="en-US"/>
              </w:rPr>
              <w:t> </w:t>
            </w:r>
          </w:p>
        </w:tc>
      </w:tr>
      <w:tr w:rsidR="004F3C5D" w:rsidRPr="00960FCD" w14:paraId="692BC2FA" w14:textId="77777777" w:rsidTr="00835D97">
        <w:trPr>
          <w:trHeight w:val="315"/>
        </w:trPr>
        <w:tc>
          <w:tcPr>
            <w:tcW w:w="2953" w:type="dxa"/>
            <w:tcBorders>
              <w:top w:val="single" w:sz="8" w:space="0" w:color="000000"/>
              <w:left w:val="single" w:sz="8" w:space="0" w:color="000000"/>
              <w:bottom w:val="single" w:sz="8" w:space="0" w:color="000000"/>
            </w:tcBorders>
            <w:shd w:val="clear" w:color="auto" w:fill="auto"/>
            <w:vAlign w:val="bottom"/>
          </w:tcPr>
          <w:p w14:paraId="68936C05"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b/>
                <w:bCs/>
                <w:szCs w:val="24"/>
                <w:shd w:val="clear" w:color="auto" w:fill="FFFFFF"/>
                <w:lang w:val="en-US"/>
              </w:rPr>
              <w:lastRenderedPageBreak/>
              <w:t xml:space="preserve">Total </w:t>
            </w:r>
          </w:p>
        </w:tc>
        <w:tc>
          <w:tcPr>
            <w:tcW w:w="1361" w:type="dxa"/>
            <w:tcBorders>
              <w:top w:val="single" w:sz="8" w:space="0" w:color="000000"/>
              <w:left w:val="single" w:sz="8" w:space="0" w:color="000000"/>
              <w:bottom w:val="single" w:sz="8" w:space="0" w:color="000000"/>
            </w:tcBorders>
            <w:shd w:val="clear" w:color="auto" w:fill="auto"/>
            <w:vAlign w:val="bottom"/>
          </w:tcPr>
          <w:p w14:paraId="7AA3D9C6" w14:textId="77777777" w:rsidR="004F3C5D" w:rsidRPr="00960FCD" w:rsidRDefault="004F3C5D" w:rsidP="00835D97">
            <w:pPr>
              <w:spacing w:line="240" w:lineRule="auto"/>
              <w:jc w:val="right"/>
              <w:rPr>
                <w:rFonts w:eastAsia="Times New Roman"/>
                <w:b/>
                <w:bCs/>
                <w:szCs w:val="24"/>
                <w:shd w:val="clear" w:color="auto" w:fill="FFFFFF"/>
                <w:lang w:val="en-US"/>
              </w:rPr>
            </w:pPr>
            <w:r w:rsidRPr="00960FCD">
              <w:rPr>
                <w:rFonts w:eastAsia="Times New Roman"/>
                <w:b/>
                <w:bCs/>
                <w:szCs w:val="24"/>
                <w:shd w:val="clear" w:color="auto" w:fill="FFFFFF"/>
                <w:lang w:val="en-US"/>
              </w:rPr>
              <w:t>221350</w:t>
            </w:r>
          </w:p>
        </w:tc>
        <w:tc>
          <w:tcPr>
            <w:tcW w:w="2445" w:type="dxa"/>
            <w:tcBorders>
              <w:top w:val="single" w:sz="8" w:space="0" w:color="000000"/>
              <w:left w:val="single" w:sz="8" w:space="0" w:color="000000"/>
              <w:bottom w:val="single" w:sz="8" w:space="0" w:color="000000"/>
            </w:tcBorders>
            <w:shd w:val="clear" w:color="auto" w:fill="auto"/>
            <w:vAlign w:val="bottom"/>
          </w:tcPr>
          <w:p w14:paraId="7AE67896"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b/>
                <w:bCs/>
                <w:szCs w:val="24"/>
                <w:shd w:val="clear" w:color="auto" w:fill="FFFFFF"/>
                <w:lang w:val="en-US"/>
              </w:rPr>
              <w:t xml:space="preserve">Total </w:t>
            </w:r>
          </w:p>
        </w:tc>
        <w:tc>
          <w:tcPr>
            <w:tcW w:w="1401" w:type="dxa"/>
            <w:gridSpan w:val="2"/>
            <w:tcBorders>
              <w:top w:val="single" w:sz="8" w:space="0" w:color="000000"/>
              <w:left w:val="single" w:sz="8" w:space="0" w:color="000000"/>
              <w:bottom w:val="single" w:sz="8" w:space="0" w:color="000000"/>
              <w:right w:val="single" w:sz="8" w:space="0" w:color="000000"/>
            </w:tcBorders>
            <w:shd w:val="clear" w:color="auto" w:fill="auto"/>
            <w:vAlign w:val="bottom"/>
          </w:tcPr>
          <w:p w14:paraId="76AD15D7" w14:textId="77777777" w:rsidR="004F3C5D" w:rsidRPr="00960FCD" w:rsidRDefault="004F3C5D" w:rsidP="00835D97">
            <w:pPr>
              <w:spacing w:line="240" w:lineRule="auto"/>
              <w:jc w:val="right"/>
              <w:rPr>
                <w:szCs w:val="24"/>
              </w:rPr>
            </w:pPr>
            <w:r w:rsidRPr="00960FCD">
              <w:rPr>
                <w:rFonts w:eastAsia="Times New Roman"/>
                <w:b/>
                <w:bCs/>
                <w:szCs w:val="24"/>
                <w:shd w:val="clear" w:color="auto" w:fill="FFFFFF"/>
                <w:lang w:val="en-US"/>
              </w:rPr>
              <w:t>221350</w:t>
            </w:r>
          </w:p>
        </w:tc>
      </w:tr>
    </w:tbl>
    <w:p w14:paraId="4EE3E3FC" w14:textId="77777777" w:rsidR="004F3C5D" w:rsidRDefault="004F3C5D" w:rsidP="004F3C5D"/>
    <w:tbl>
      <w:tblPr>
        <w:tblW w:w="0" w:type="auto"/>
        <w:tblInd w:w="650" w:type="dxa"/>
        <w:tblLayout w:type="fixed"/>
        <w:tblLook w:val="0000" w:firstRow="0" w:lastRow="0" w:firstColumn="0" w:lastColumn="0" w:noHBand="0" w:noVBand="0"/>
      </w:tblPr>
      <w:tblGrid>
        <w:gridCol w:w="2711"/>
        <w:gridCol w:w="1067"/>
        <w:gridCol w:w="1080"/>
        <w:gridCol w:w="2178"/>
        <w:gridCol w:w="1062"/>
      </w:tblGrid>
      <w:tr w:rsidR="004F3C5D" w:rsidRPr="00960FCD" w14:paraId="0D5C3F9D" w14:textId="77777777" w:rsidTr="00835D97">
        <w:trPr>
          <w:trHeight w:val="300"/>
        </w:trPr>
        <w:tc>
          <w:tcPr>
            <w:tcW w:w="8098" w:type="dxa"/>
            <w:gridSpan w:val="5"/>
            <w:tcBorders>
              <w:top w:val="single" w:sz="4" w:space="0" w:color="000000"/>
              <w:left w:val="single" w:sz="4" w:space="0" w:color="000000"/>
              <w:bottom w:val="single" w:sz="4" w:space="0" w:color="000000"/>
              <w:right w:val="single" w:sz="4" w:space="0" w:color="000000"/>
            </w:tcBorders>
            <w:shd w:val="clear" w:color="auto" w:fill="auto"/>
            <w:vAlign w:val="bottom"/>
          </w:tcPr>
          <w:p w14:paraId="17AE1B5B" w14:textId="77777777" w:rsidR="004F3C5D" w:rsidRPr="00960FCD" w:rsidRDefault="004F3C5D" w:rsidP="00835D97">
            <w:pPr>
              <w:spacing w:line="240" w:lineRule="auto"/>
              <w:jc w:val="center"/>
              <w:rPr>
                <w:szCs w:val="24"/>
              </w:rPr>
            </w:pPr>
            <w:r w:rsidRPr="00960FCD">
              <w:rPr>
                <w:rFonts w:eastAsia="Times New Roman"/>
                <w:b/>
                <w:bCs/>
                <w:szCs w:val="24"/>
                <w:shd w:val="clear" w:color="auto" w:fill="FFFFFF"/>
                <w:lang w:val="en-US"/>
              </w:rPr>
              <w:t>Balance sheet</w:t>
            </w:r>
          </w:p>
        </w:tc>
      </w:tr>
      <w:tr w:rsidR="004F3C5D" w:rsidRPr="00960FCD" w14:paraId="54B71852" w14:textId="77777777" w:rsidTr="00835D97">
        <w:trPr>
          <w:trHeight w:val="300"/>
        </w:trPr>
        <w:tc>
          <w:tcPr>
            <w:tcW w:w="2711" w:type="dxa"/>
            <w:tcBorders>
              <w:left w:val="single" w:sz="4" w:space="0" w:color="000000"/>
              <w:bottom w:val="single" w:sz="4" w:space="0" w:color="000000"/>
            </w:tcBorders>
            <w:shd w:val="clear" w:color="auto" w:fill="auto"/>
            <w:vAlign w:val="bottom"/>
          </w:tcPr>
          <w:p w14:paraId="27011D70" w14:textId="77777777" w:rsidR="004F3C5D" w:rsidRPr="00960FCD" w:rsidRDefault="004F3C5D" w:rsidP="00835D97">
            <w:pPr>
              <w:spacing w:line="240" w:lineRule="auto"/>
              <w:jc w:val="center"/>
              <w:rPr>
                <w:rFonts w:eastAsia="Times New Roman"/>
                <w:szCs w:val="24"/>
                <w:shd w:val="clear" w:color="auto" w:fill="FFFFFF"/>
                <w:lang w:val="en-US"/>
              </w:rPr>
            </w:pPr>
            <w:r w:rsidRPr="00960FCD">
              <w:rPr>
                <w:rFonts w:eastAsia="Times New Roman"/>
                <w:b/>
                <w:bCs/>
                <w:szCs w:val="24"/>
                <w:shd w:val="clear" w:color="auto" w:fill="FFFFFF"/>
                <w:lang w:val="en-US"/>
              </w:rPr>
              <w:t>Liabilities</w:t>
            </w:r>
          </w:p>
        </w:tc>
        <w:tc>
          <w:tcPr>
            <w:tcW w:w="1067" w:type="dxa"/>
            <w:tcBorders>
              <w:left w:val="single" w:sz="4" w:space="0" w:color="000000"/>
              <w:bottom w:val="single" w:sz="4" w:space="0" w:color="000000"/>
            </w:tcBorders>
            <w:shd w:val="clear" w:color="auto" w:fill="auto"/>
            <w:vAlign w:val="bottom"/>
          </w:tcPr>
          <w:p w14:paraId="70D31C63" w14:textId="77777777" w:rsidR="004F3C5D" w:rsidRPr="00960FCD" w:rsidRDefault="004F3C5D" w:rsidP="00835D97">
            <w:pPr>
              <w:snapToGrid w:val="0"/>
              <w:spacing w:line="240" w:lineRule="auto"/>
              <w:jc w:val="center"/>
              <w:rPr>
                <w:rFonts w:eastAsia="Times New Roman"/>
                <w:szCs w:val="24"/>
                <w:shd w:val="clear" w:color="auto" w:fill="FFFFFF"/>
                <w:lang w:val="en-US"/>
              </w:rPr>
            </w:pPr>
          </w:p>
        </w:tc>
        <w:tc>
          <w:tcPr>
            <w:tcW w:w="1080" w:type="dxa"/>
            <w:tcBorders>
              <w:left w:val="single" w:sz="4" w:space="0" w:color="000000"/>
              <w:bottom w:val="single" w:sz="4" w:space="0" w:color="000000"/>
            </w:tcBorders>
            <w:shd w:val="clear" w:color="auto" w:fill="auto"/>
            <w:vAlign w:val="bottom"/>
          </w:tcPr>
          <w:p w14:paraId="6DF505D6" w14:textId="77777777" w:rsidR="004F3C5D" w:rsidRPr="00960FCD" w:rsidRDefault="004F3C5D" w:rsidP="00835D97">
            <w:pPr>
              <w:spacing w:line="240" w:lineRule="auto"/>
              <w:jc w:val="center"/>
              <w:rPr>
                <w:rFonts w:eastAsia="Times New Roman"/>
                <w:b/>
                <w:bCs/>
                <w:szCs w:val="24"/>
                <w:shd w:val="clear" w:color="auto" w:fill="FFFFFF"/>
                <w:lang w:val="en-US"/>
              </w:rPr>
            </w:pPr>
            <w:r w:rsidRPr="00960FCD">
              <w:rPr>
                <w:rFonts w:eastAsia="Times New Roman"/>
                <w:b/>
                <w:bCs/>
                <w:szCs w:val="24"/>
                <w:shd w:val="clear" w:color="auto" w:fill="FFFFFF"/>
                <w:lang w:val="en-US"/>
              </w:rPr>
              <w:t xml:space="preserve">Amount ( </w:t>
            </w:r>
            <w:r w:rsidRPr="00960FCD">
              <w:rPr>
                <w:szCs w:val="24"/>
                <w:shd w:val="clear" w:color="auto" w:fill="FFFFFF"/>
              </w:rPr>
              <w:t xml:space="preserve">£ </w:t>
            </w:r>
            <w:r w:rsidRPr="00960FCD">
              <w:rPr>
                <w:rFonts w:eastAsia="Times New Roman"/>
                <w:b/>
                <w:bCs/>
                <w:szCs w:val="24"/>
                <w:shd w:val="clear" w:color="auto" w:fill="FFFFFF"/>
                <w:lang w:val="en-US"/>
              </w:rPr>
              <w:t>)</w:t>
            </w:r>
          </w:p>
        </w:tc>
        <w:tc>
          <w:tcPr>
            <w:tcW w:w="2178" w:type="dxa"/>
            <w:tcBorders>
              <w:left w:val="single" w:sz="4" w:space="0" w:color="000000"/>
              <w:bottom w:val="single" w:sz="4" w:space="0" w:color="000000"/>
            </w:tcBorders>
            <w:shd w:val="clear" w:color="auto" w:fill="auto"/>
            <w:vAlign w:val="bottom"/>
          </w:tcPr>
          <w:p w14:paraId="6BEDD6F4" w14:textId="77777777" w:rsidR="004F3C5D" w:rsidRPr="00960FCD" w:rsidRDefault="004F3C5D" w:rsidP="00835D97">
            <w:pPr>
              <w:spacing w:line="240" w:lineRule="auto"/>
              <w:jc w:val="center"/>
              <w:rPr>
                <w:rFonts w:eastAsia="Times New Roman"/>
                <w:b/>
                <w:bCs/>
                <w:szCs w:val="24"/>
                <w:shd w:val="clear" w:color="auto" w:fill="FFFFFF"/>
                <w:lang w:val="en-US"/>
              </w:rPr>
            </w:pPr>
            <w:r w:rsidRPr="00960FCD">
              <w:rPr>
                <w:rFonts w:eastAsia="Times New Roman"/>
                <w:b/>
                <w:bCs/>
                <w:szCs w:val="24"/>
                <w:shd w:val="clear" w:color="auto" w:fill="FFFFFF"/>
                <w:lang w:val="en-US"/>
              </w:rPr>
              <w:t>Assets</w:t>
            </w:r>
          </w:p>
        </w:tc>
        <w:tc>
          <w:tcPr>
            <w:tcW w:w="1062" w:type="dxa"/>
            <w:tcBorders>
              <w:left w:val="single" w:sz="4" w:space="0" w:color="000000"/>
              <w:bottom w:val="single" w:sz="4" w:space="0" w:color="000000"/>
              <w:right w:val="single" w:sz="4" w:space="0" w:color="000000"/>
            </w:tcBorders>
            <w:shd w:val="clear" w:color="auto" w:fill="auto"/>
            <w:vAlign w:val="bottom"/>
          </w:tcPr>
          <w:p w14:paraId="1E5C445B" w14:textId="77777777" w:rsidR="004F3C5D" w:rsidRPr="00960FCD" w:rsidRDefault="004F3C5D" w:rsidP="00835D97">
            <w:pPr>
              <w:spacing w:line="240" w:lineRule="auto"/>
              <w:jc w:val="center"/>
              <w:rPr>
                <w:szCs w:val="24"/>
              </w:rPr>
            </w:pPr>
            <w:r w:rsidRPr="00960FCD">
              <w:rPr>
                <w:rFonts w:eastAsia="Times New Roman"/>
                <w:b/>
                <w:bCs/>
                <w:szCs w:val="24"/>
                <w:shd w:val="clear" w:color="auto" w:fill="FFFFFF"/>
                <w:lang w:val="en-US"/>
              </w:rPr>
              <w:t xml:space="preserve">Amount ( </w:t>
            </w:r>
            <w:r w:rsidRPr="00960FCD">
              <w:rPr>
                <w:szCs w:val="24"/>
                <w:shd w:val="clear" w:color="auto" w:fill="FFFFFF"/>
              </w:rPr>
              <w:t xml:space="preserve">£ </w:t>
            </w:r>
            <w:r w:rsidRPr="00960FCD">
              <w:rPr>
                <w:rFonts w:eastAsia="Times New Roman"/>
                <w:b/>
                <w:bCs/>
                <w:szCs w:val="24"/>
                <w:shd w:val="clear" w:color="auto" w:fill="FFFFFF"/>
                <w:lang w:val="en-US"/>
              </w:rPr>
              <w:t>)</w:t>
            </w:r>
          </w:p>
        </w:tc>
      </w:tr>
      <w:tr w:rsidR="004F3C5D" w:rsidRPr="00960FCD" w14:paraId="465C5BEA" w14:textId="77777777" w:rsidTr="00835D97">
        <w:trPr>
          <w:trHeight w:val="315"/>
        </w:trPr>
        <w:tc>
          <w:tcPr>
            <w:tcW w:w="2711" w:type="dxa"/>
            <w:tcBorders>
              <w:left w:val="single" w:sz="4" w:space="0" w:color="000000"/>
              <w:bottom w:val="single" w:sz="4" w:space="0" w:color="000000"/>
            </w:tcBorders>
            <w:shd w:val="clear" w:color="auto" w:fill="auto"/>
            <w:vAlign w:val="bottom"/>
          </w:tcPr>
          <w:p w14:paraId="0F2CE3A6"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Capital</w:t>
            </w:r>
          </w:p>
        </w:tc>
        <w:tc>
          <w:tcPr>
            <w:tcW w:w="1067" w:type="dxa"/>
            <w:tcBorders>
              <w:left w:val="single" w:sz="4" w:space="0" w:color="000000"/>
              <w:bottom w:val="single" w:sz="4" w:space="0" w:color="000000"/>
            </w:tcBorders>
            <w:shd w:val="clear" w:color="auto" w:fill="auto"/>
            <w:vAlign w:val="bottom"/>
          </w:tcPr>
          <w:p w14:paraId="48261352" w14:textId="77777777" w:rsidR="004F3C5D" w:rsidRPr="00960FCD" w:rsidRDefault="004F3C5D" w:rsidP="00835D97">
            <w:pPr>
              <w:spacing w:line="240" w:lineRule="auto"/>
              <w:jc w:val="right"/>
              <w:rPr>
                <w:rFonts w:eastAsia="Times New Roman"/>
                <w:b/>
                <w:bCs/>
                <w:szCs w:val="24"/>
                <w:shd w:val="clear" w:color="auto" w:fill="FFFFFF"/>
                <w:lang w:val="en-US"/>
              </w:rPr>
            </w:pPr>
            <w:r w:rsidRPr="00960FCD">
              <w:rPr>
                <w:rFonts w:eastAsia="Times New Roman"/>
                <w:szCs w:val="24"/>
                <w:shd w:val="clear" w:color="auto" w:fill="FFFFFF"/>
                <w:lang w:val="en-US"/>
              </w:rPr>
              <w:t>1400000</w:t>
            </w:r>
          </w:p>
        </w:tc>
        <w:tc>
          <w:tcPr>
            <w:tcW w:w="1080" w:type="dxa"/>
            <w:tcBorders>
              <w:left w:val="single" w:sz="4" w:space="0" w:color="000000"/>
              <w:bottom w:val="single" w:sz="4" w:space="0" w:color="000000"/>
            </w:tcBorders>
            <w:shd w:val="clear" w:color="auto" w:fill="auto"/>
            <w:vAlign w:val="bottom"/>
          </w:tcPr>
          <w:p w14:paraId="77C01D95"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b/>
                <w:bCs/>
                <w:szCs w:val="24"/>
                <w:shd w:val="clear" w:color="auto" w:fill="FFFFFF"/>
                <w:lang w:val="en-US"/>
              </w:rPr>
              <w:t> </w:t>
            </w:r>
          </w:p>
        </w:tc>
        <w:tc>
          <w:tcPr>
            <w:tcW w:w="2178" w:type="dxa"/>
            <w:tcBorders>
              <w:left w:val="single" w:sz="4" w:space="0" w:color="000000"/>
              <w:bottom w:val="single" w:sz="4" w:space="0" w:color="000000"/>
            </w:tcBorders>
            <w:shd w:val="clear" w:color="auto" w:fill="auto"/>
            <w:vAlign w:val="bottom"/>
          </w:tcPr>
          <w:p w14:paraId="203BD371"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Plant and Equipment</w:t>
            </w:r>
          </w:p>
        </w:tc>
        <w:tc>
          <w:tcPr>
            <w:tcW w:w="1062" w:type="dxa"/>
            <w:tcBorders>
              <w:left w:val="single" w:sz="4" w:space="0" w:color="000000"/>
              <w:bottom w:val="single" w:sz="4" w:space="0" w:color="000000"/>
              <w:right w:val="single" w:sz="4" w:space="0" w:color="000000"/>
            </w:tcBorders>
            <w:shd w:val="clear" w:color="auto" w:fill="auto"/>
            <w:vAlign w:val="bottom"/>
          </w:tcPr>
          <w:p w14:paraId="322B68B3" w14:textId="77777777" w:rsidR="004F3C5D" w:rsidRPr="00960FCD" w:rsidRDefault="004F3C5D" w:rsidP="00835D97">
            <w:pPr>
              <w:spacing w:line="240" w:lineRule="auto"/>
              <w:jc w:val="right"/>
              <w:rPr>
                <w:szCs w:val="24"/>
              </w:rPr>
            </w:pPr>
            <w:r w:rsidRPr="00960FCD">
              <w:rPr>
                <w:rFonts w:eastAsia="Times New Roman"/>
                <w:b/>
                <w:bCs/>
                <w:szCs w:val="24"/>
                <w:shd w:val="clear" w:color="auto" w:fill="FFFFFF"/>
                <w:lang w:val="en-US"/>
              </w:rPr>
              <w:t>1250000</w:t>
            </w:r>
          </w:p>
        </w:tc>
      </w:tr>
      <w:tr w:rsidR="004F3C5D" w:rsidRPr="00960FCD" w14:paraId="1D6D4863" w14:textId="77777777" w:rsidTr="00835D97">
        <w:trPr>
          <w:trHeight w:val="450"/>
        </w:trPr>
        <w:tc>
          <w:tcPr>
            <w:tcW w:w="2711" w:type="dxa"/>
            <w:tcBorders>
              <w:left w:val="single" w:sz="4" w:space="0" w:color="000000"/>
              <w:bottom w:val="single" w:sz="4" w:space="0" w:color="000000"/>
            </w:tcBorders>
            <w:shd w:val="clear" w:color="auto" w:fill="auto"/>
            <w:vAlign w:val="bottom"/>
          </w:tcPr>
          <w:p w14:paraId="603F0562"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Profits</w:t>
            </w:r>
          </w:p>
        </w:tc>
        <w:tc>
          <w:tcPr>
            <w:tcW w:w="1067" w:type="dxa"/>
            <w:tcBorders>
              <w:left w:val="single" w:sz="4" w:space="0" w:color="000000"/>
              <w:bottom w:val="single" w:sz="4" w:space="0" w:color="000000"/>
            </w:tcBorders>
            <w:shd w:val="clear" w:color="auto" w:fill="auto"/>
            <w:vAlign w:val="bottom"/>
          </w:tcPr>
          <w:p w14:paraId="6CBE7796" w14:textId="77777777" w:rsidR="004F3C5D" w:rsidRPr="00960FCD" w:rsidRDefault="004F3C5D" w:rsidP="00835D97">
            <w:pPr>
              <w:spacing w:line="240" w:lineRule="auto"/>
              <w:jc w:val="right"/>
              <w:rPr>
                <w:rFonts w:eastAsia="Times New Roman"/>
                <w:b/>
                <w:bCs/>
                <w:szCs w:val="24"/>
                <w:shd w:val="clear" w:color="auto" w:fill="FFFFFF"/>
                <w:lang w:val="en-US"/>
              </w:rPr>
            </w:pPr>
            <w:r w:rsidRPr="00960FCD">
              <w:rPr>
                <w:rFonts w:eastAsia="Times New Roman"/>
                <w:szCs w:val="24"/>
                <w:shd w:val="clear" w:color="auto" w:fill="FFFFFF"/>
                <w:lang w:val="en-US"/>
              </w:rPr>
              <w:t>53350</w:t>
            </w:r>
          </w:p>
        </w:tc>
        <w:tc>
          <w:tcPr>
            <w:tcW w:w="1080" w:type="dxa"/>
            <w:tcBorders>
              <w:left w:val="single" w:sz="4" w:space="0" w:color="000000"/>
              <w:bottom w:val="single" w:sz="4" w:space="0" w:color="000000"/>
            </w:tcBorders>
            <w:shd w:val="clear" w:color="auto" w:fill="auto"/>
            <w:vAlign w:val="bottom"/>
          </w:tcPr>
          <w:p w14:paraId="61FEA06A"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b/>
                <w:bCs/>
                <w:szCs w:val="24"/>
                <w:shd w:val="clear" w:color="auto" w:fill="FFFFFF"/>
                <w:lang w:val="en-US"/>
              </w:rPr>
              <w:t> </w:t>
            </w:r>
          </w:p>
        </w:tc>
        <w:tc>
          <w:tcPr>
            <w:tcW w:w="2178" w:type="dxa"/>
            <w:tcBorders>
              <w:left w:val="single" w:sz="4" w:space="0" w:color="000000"/>
              <w:bottom w:val="single" w:sz="4" w:space="0" w:color="000000"/>
            </w:tcBorders>
            <w:shd w:val="clear" w:color="auto" w:fill="auto"/>
            <w:vAlign w:val="bottom"/>
          </w:tcPr>
          <w:p w14:paraId="005CE425"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Closing Stock</w:t>
            </w:r>
          </w:p>
        </w:tc>
        <w:tc>
          <w:tcPr>
            <w:tcW w:w="1062" w:type="dxa"/>
            <w:tcBorders>
              <w:left w:val="single" w:sz="4" w:space="0" w:color="000000"/>
              <w:bottom w:val="single" w:sz="4" w:space="0" w:color="000000"/>
              <w:right w:val="single" w:sz="4" w:space="0" w:color="000000"/>
            </w:tcBorders>
            <w:shd w:val="clear" w:color="auto" w:fill="auto"/>
            <w:vAlign w:val="bottom"/>
          </w:tcPr>
          <w:p w14:paraId="06A9068F" w14:textId="77777777" w:rsidR="004F3C5D" w:rsidRPr="00960FCD" w:rsidRDefault="004F3C5D" w:rsidP="00835D97">
            <w:pPr>
              <w:spacing w:line="240" w:lineRule="auto"/>
              <w:jc w:val="right"/>
              <w:rPr>
                <w:szCs w:val="24"/>
              </w:rPr>
            </w:pPr>
            <w:r w:rsidRPr="00960FCD">
              <w:rPr>
                <w:rFonts w:eastAsia="Times New Roman"/>
                <w:b/>
                <w:bCs/>
                <w:szCs w:val="24"/>
                <w:shd w:val="clear" w:color="auto" w:fill="FFFFFF"/>
                <w:lang w:val="en-US"/>
              </w:rPr>
              <w:t>429620</w:t>
            </w:r>
          </w:p>
        </w:tc>
      </w:tr>
      <w:tr w:rsidR="004F3C5D" w:rsidRPr="00960FCD" w14:paraId="68BE4F77" w14:textId="77777777" w:rsidTr="00835D97">
        <w:trPr>
          <w:trHeight w:val="300"/>
        </w:trPr>
        <w:tc>
          <w:tcPr>
            <w:tcW w:w="2711" w:type="dxa"/>
            <w:tcBorders>
              <w:left w:val="single" w:sz="4" w:space="0" w:color="000000"/>
              <w:bottom w:val="single" w:sz="4" w:space="0" w:color="000000"/>
            </w:tcBorders>
            <w:shd w:val="clear" w:color="auto" w:fill="auto"/>
            <w:vAlign w:val="bottom"/>
          </w:tcPr>
          <w:p w14:paraId="047EB4CD"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Net Capital</w:t>
            </w:r>
          </w:p>
        </w:tc>
        <w:tc>
          <w:tcPr>
            <w:tcW w:w="1067" w:type="dxa"/>
            <w:tcBorders>
              <w:left w:val="single" w:sz="4" w:space="0" w:color="000000"/>
              <w:bottom w:val="single" w:sz="4" w:space="0" w:color="000000"/>
            </w:tcBorders>
            <w:shd w:val="clear" w:color="auto" w:fill="auto"/>
            <w:vAlign w:val="bottom"/>
          </w:tcPr>
          <w:p w14:paraId="0BEADDED"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80" w:type="dxa"/>
            <w:tcBorders>
              <w:left w:val="single" w:sz="4" w:space="0" w:color="000000"/>
              <w:bottom w:val="single" w:sz="4" w:space="0" w:color="000000"/>
            </w:tcBorders>
            <w:shd w:val="clear" w:color="auto" w:fill="auto"/>
            <w:vAlign w:val="bottom"/>
          </w:tcPr>
          <w:p w14:paraId="4C5086D4"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b/>
                <w:bCs/>
                <w:szCs w:val="24"/>
                <w:shd w:val="clear" w:color="auto" w:fill="FFFFFF"/>
                <w:lang w:val="en-US"/>
              </w:rPr>
              <w:t>1453350</w:t>
            </w:r>
          </w:p>
        </w:tc>
        <w:tc>
          <w:tcPr>
            <w:tcW w:w="2178" w:type="dxa"/>
            <w:tcBorders>
              <w:left w:val="single" w:sz="4" w:space="0" w:color="000000"/>
              <w:bottom w:val="single" w:sz="4" w:space="0" w:color="000000"/>
            </w:tcBorders>
            <w:shd w:val="clear" w:color="auto" w:fill="auto"/>
            <w:vAlign w:val="bottom"/>
          </w:tcPr>
          <w:p w14:paraId="48515E46"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Trade receivable</w:t>
            </w:r>
          </w:p>
        </w:tc>
        <w:tc>
          <w:tcPr>
            <w:tcW w:w="1062" w:type="dxa"/>
            <w:tcBorders>
              <w:left w:val="single" w:sz="4" w:space="0" w:color="000000"/>
              <w:bottom w:val="single" w:sz="4" w:space="0" w:color="000000"/>
              <w:right w:val="single" w:sz="4" w:space="0" w:color="000000"/>
            </w:tcBorders>
            <w:shd w:val="clear" w:color="auto" w:fill="auto"/>
            <w:vAlign w:val="bottom"/>
          </w:tcPr>
          <w:p w14:paraId="749A911F" w14:textId="77777777" w:rsidR="004F3C5D" w:rsidRPr="00960FCD" w:rsidRDefault="004F3C5D" w:rsidP="00835D97">
            <w:pPr>
              <w:spacing w:line="240" w:lineRule="auto"/>
              <w:jc w:val="right"/>
              <w:rPr>
                <w:szCs w:val="24"/>
              </w:rPr>
            </w:pPr>
            <w:r w:rsidRPr="00960FCD">
              <w:rPr>
                <w:rFonts w:eastAsia="Times New Roman"/>
                <w:b/>
                <w:bCs/>
                <w:szCs w:val="24"/>
                <w:shd w:val="clear" w:color="auto" w:fill="FFFFFF"/>
                <w:lang w:val="en-US"/>
              </w:rPr>
              <w:t>171105</w:t>
            </w:r>
          </w:p>
        </w:tc>
      </w:tr>
      <w:tr w:rsidR="004F3C5D" w:rsidRPr="00960FCD" w14:paraId="42650298" w14:textId="77777777" w:rsidTr="00835D97">
        <w:trPr>
          <w:trHeight w:val="300"/>
        </w:trPr>
        <w:tc>
          <w:tcPr>
            <w:tcW w:w="2711" w:type="dxa"/>
            <w:tcBorders>
              <w:left w:val="single" w:sz="4" w:space="0" w:color="000000"/>
              <w:bottom w:val="single" w:sz="4" w:space="0" w:color="000000"/>
            </w:tcBorders>
            <w:shd w:val="clear" w:color="auto" w:fill="auto"/>
            <w:vAlign w:val="bottom"/>
          </w:tcPr>
          <w:p w14:paraId="67FB7626"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Retained Profits</w:t>
            </w:r>
          </w:p>
        </w:tc>
        <w:tc>
          <w:tcPr>
            <w:tcW w:w="1067" w:type="dxa"/>
            <w:tcBorders>
              <w:left w:val="single" w:sz="4" w:space="0" w:color="000000"/>
              <w:bottom w:val="single" w:sz="4" w:space="0" w:color="000000"/>
            </w:tcBorders>
            <w:shd w:val="clear" w:color="auto" w:fill="auto"/>
            <w:vAlign w:val="bottom"/>
          </w:tcPr>
          <w:p w14:paraId="34F07B8D" w14:textId="77777777" w:rsidR="004F3C5D" w:rsidRPr="00960FCD" w:rsidRDefault="004F3C5D" w:rsidP="00835D97">
            <w:pPr>
              <w:spacing w:line="240" w:lineRule="auto"/>
              <w:jc w:val="right"/>
              <w:rPr>
                <w:rFonts w:eastAsia="Times New Roman"/>
                <w:b/>
                <w:bCs/>
                <w:szCs w:val="24"/>
                <w:shd w:val="clear" w:color="auto" w:fill="FFFFFF"/>
                <w:lang w:val="en-US"/>
              </w:rPr>
            </w:pPr>
            <w:r w:rsidRPr="00960FCD">
              <w:rPr>
                <w:rFonts w:eastAsia="Times New Roman"/>
                <w:szCs w:val="24"/>
                <w:shd w:val="clear" w:color="auto" w:fill="FFFFFF"/>
                <w:lang w:val="en-US"/>
              </w:rPr>
              <w:t>132000</w:t>
            </w:r>
          </w:p>
        </w:tc>
        <w:tc>
          <w:tcPr>
            <w:tcW w:w="1080" w:type="dxa"/>
            <w:tcBorders>
              <w:left w:val="single" w:sz="4" w:space="0" w:color="000000"/>
              <w:bottom w:val="single" w:sz="4" w:space="0" w:color="000000"/>
            </w:tcBorders>
            <w:shd w:val="clear" w:color="auto" w:fill="auto"/>
            <w:vAlign w:val="bottom"/>
          </w:tcPr>
          <w:p w14:paraId="08C0B1B5"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b/>
                <w:bCs/>
                <w:szCs w:val="24"/>
                <w:shd w:val="clear" w:color="auto" w:fill="FFFFFF"/>
                <w:lang w:val="en-US"/>
              </w:rPr>
              <w:t> </w:t>
            </w:r>
          </w:p>
        </w:tc>
        <w:tc>
          <w:tcPr>
            <w:tcW w:w="2178" w:type="dxa"/>
            <w:tcBorders>
              <w:left w:val="single" w:sz="4" w:space="0" w:color="000000"/>
              <w:bottom w:val="single" w:sz="4" w:space="0" w:color="000000"/>
            </w:tcBorders>
            <w:shd w:val="clear" w:color="auto" w:fill="auto"/>
            <w:vAlign w:val="bottom"/>
          </w:tcPr>
          <w:p w14:paraId="636E2C4B"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Cash at bank</w:t>
            </w:r>
          </w:p>
        </w:tc>
        <w:tc>
          <w:tcPr>
            <w:tcW w:w="1062" w:type="dxa"/>
            <w:tcBorders>
              <w:left w:val="single" w:sz="4" w:space="0" w:color="000000"/>
              <w:bottom w:val="single" w:sz="4" w:space="0" w:color="000000"/>
              <w:right w:val="single" w:sz="4" w:space="0" w:color="000000"/>
            </w:tcBorders>
            <w:shd w:val="clear" w:color="auto" w:fill="auto"/>
            <w:vAlign w:val="bottom"/>
          </w:tcPr>
          <w:p w14:paraId="14A61449" w14:textId="77777777" w:rsidR="004F3C5D" w:rsidRPr="00960FCD" w:rsidRDefault="004F3C5D" w:rsidP="00835D97">
            <w:pPr>
              <w:spacing w:line="240" w:lineRule="auto"/>
              <w:jc w:val="right"/>
              <w:rPr>
                <w:szCs w:val="24"/>
              </w:rPr>
            </w:pPr>
            <w:r w:rsidRPr="00960FCD">
              <w:rPr>
                <w:rFonts w:eastAsia="Times New Roman"/>
                <w:b/>
                <w:bCs/>
                <w:szCs w:val="24"/>
                <w:shd w:val="clear" w:color="auto" w:fill="FFFFFF"/>
                <w:lang w:val="en-US"/>
              </w:rPr>
              <w:t>76250</w:t>
            </w:r>
          </w:p>
        </w:tc>
      </w:tr>
      <w:tr w:rsidR="004F3C5D" w:rsidRPr="00960FCD" w14:paraId="7BB4C0DE" w14:textId="77777777" w:rsidTr="00835D97">
        <w:trPr>
          <w:trHeight w:val="300"/>
        </w:trPr>
        <w:tc>
          <w:tcPr>
            <w:tcW w:w="2711" w:type="dxa"/>
            <w:tcBorders>
              <w:left w:val="single" w:sz="4" w:space="0" w:color="000000"/>
              <w:bottom w:val="single" w:sz="4" w:space="0" w:color="000000"/>
            </w:tcBorders>
            <w:shd w:val="clear" w:color="auto" w:fill="auto"/>
            <w:vAlign w:val="bottom"/>
          </w:tcPr>
          <w:p w14:paraId="38216566"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xml:space="preserve">(Less) Ordinary Dividend </w:t>
            </w:r>
          </w:p>
        </w:tc>
        <w:tc>
          <w:tcPr>
            <w:tcW w:w="1067" w:type="dxa"/>
            <w:tcBorders>
              <w:left w:val="single" w:sz="4" w:space="0" w:color="000000"/>
              <w:bottom w:val="single" w:sz="4" w:space="0" w:color="000000"/>
            </w:tcBorders>
            <w:shd w:val="clear" w:color="auto" w:fill="auto"/>
            <w:vAlign w:val="bottom"/>
          </w:tcPr>
          <w:p w14:paraId="743BCE45" w14:textId="77777777" w:rsidR="004F3C5D" w:rsidRPr="00960FCD" w:rsidRDefault="004F3C5D" w:rsidP="00835D97">
            <w:pPr>
              <w:spacing w:line="240" w:lineRule="auto"/>
              <w:jc w:val="right"/>
              <w:rPr>
                <w:rFonts w:eastAsia="Times New Roman"/>
                <w:b/>
                <w:bCs/>
                <w:szCs w:val="24"/>
                <w:shd w:val="clear" w:color="auto" w:fill="FFFFFF"/>
                <w:lang w:val="en-US"/>
              </w:rPr>
            </w:pPr>
            <w:r w:rsidRPr="00960FCD">
              <w:rPr>
                <w:rFonts w:eastAsia="Times New Roman"/>
                <w:szCs w:val="24"/>
                <w:shd w:val="clear" w:color="auto" w:fill="FFFFFF"/>
                <w:lang w:val="en-US"/>
              </w:rPr>
              <w:t>20000</w:t>
            </w:r>
          </w:p>
        </w:tc>
        <w:tc>
          <w:tcPr>
            <w:tcW w:w="1080" w:type="dxa"/>
            <w:tcBorders>
              <w:left w:val="single" w:sz="4" w:space="0" w:color="000000"/>
              <w:bottom w:val="single" w:sz="4" w:space="0" w:color="000000"/>
            </w:tcBorders>
            <w:shd w:val="clear" w:color="auto" w:fill="auto"/>
            <w:vAlign w:val="bottom"/>
          </w:tcPr>
          <w:p w14:paraId="35653390"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b/>
                <w:bCs/>
                <w:szCs w:val="24"/>
                <w:shd w:val="clear" w:color="auto" w:fill="FFFFFF"/>
                <w:lang w:val="en-US"/>
              </w:rPr>
              <w:t> </w:t>
            </w:r>
          </w:p>
        </w:tc>
        <w:tc>
          <w:tcPr>
            <w:tcW w:w="2178" w:type="dxa"/>
            <w:tcBorders>
              <w:left w:val="single" w:sz="4" w:space="0" w:color="000000"/>
              <w:bottom w:val="single" w:sz="4" w:space="0" w:color="000000"/>
            </w:tcBorders>
            <w:shd w:val="clear" w:color="auto" w:fill="auto"/>
            <w:vAlign w:val="bottom"/>
          </w:tcPr>
          <w:p w14:paraId="0677F6F4"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62" w:type="dxa"/>
            <w:tcBorders>
              <w:left w:val="single" w:sz="4" w:space="0" w:color="000000"/>
              <w:bottom w:val="single" w:sz="4" w:space="0" w:color="000000"/>
              <w:right w:val="single" w:sz="4" w:space="0" w:color="000000"/>
            </w:tcBorders>
            <w:shd w:val="clear" w:color="auto" w:fill="auto"/>
            <w:vAlign w:val="bottom"/>
          </w:tcPr>
          <w:p w14:paraId="4349A7BC" w14:textId="77777777" w:rsidR="004F3C5D" w:rsidRPr="00960FCD" w:rsidRDefault="004F3C5D" w:rsidP="00835D97">
            <w:pPr>
              <w:spacing w:line="240" w:lineRule="auto"/>
              <w:rPr>
                <w:szCs w:val="24"/>
              </w:rPr>
            </w:pPr>
            <w:r w:rsidRPr="00960FCD">
              <w:rPr>
                <w:rFonts w:eastAsia="Times New Roman"/>
                <w:b/>
                <w:bCs/>
                <w:szCs w:val="24"/>
                <w:shd w:val="clear" w:color="auto" w:fill="FFFFFF"/>
                <w:lang w:val="en-US"/>
              </w:rPr>
              <w:t> </w:t>
            </w:r>
          </w:p>
        </w:tc>
      </w:tr>
      <w:tr w:rsidR="004F3C5D" w:rsidRPr="00960FCD" w14:paraId="72996519" w14:textId="77777777" w:rsidTr="00835D97">
        <w:trPr>
          <w:trHeight w:val="300"/>
        </w:trPr>
        <w:tc>
          <w:tcPr>
            <w:tcW w:w="2711" w:type="dxa"/>
            <w:tcBorders>
              <w:left w:val="single" w:sz="4" w:space="0" w:color="000000"/>
              <w:bottom w:val="single" w:sz="4" w:space="0" w:color="000000"/>
            </w:tcBorders>
            <w:shd w:val="clear" w:color="auto" w:fill="auto"/>
            <w:vAlign w:val="bottom"/>
          </w:tcPr>
          <w:p w14:paraId="6058023A"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Preference dividend</w:t>
            </w:r>
          </w:p>
        </w:tc>
        <w:tc>
          <w:tcPr>
            <w:tcW w:w="1067" w:type="dxa"/>
            <w:tcBorders>
              <w:left w:val="single" w:sz="4" w:space="0" w:color="000000"/>
              <w:bottom w:val="single" w:sz="4" w:space="0" w:color="000000"/>
            </w:tcBorders>
            <w:shd w:val="clear" w:color="auto" w:fill="auto"/>
            <w:vAlign w:val="bottom"/>
          </w:tcPr>
          <w:p w14:paraId="2B5A5565" w14:textId="77777777" w:rsidR="004F3C5D" w:rsidRPr="00960FCD" w:rsidRDefault="004F3C5D" w:rsidP="00835D97">
            <w:pPr>
              <w:spacing w:line="240" w:lineRule="auto"/>
              <w:jc w:val="right"/>
              <w:rPr>
                <w:rFonts w:eastAsia="Times New Roman"/>
                <w:b/>
                <w:bCs/>
                <w:szCs w:val="24"/>
                <w:shd w:val="clear" w:color="auto" w:fill="FFFFFF"/>
                <w:lang w:val="en-US"/>
              </w:rPr>
            </w:pPr>
            <w:r w:rsidRPr="00960FCD">
              <w:rPr>
                <w:rFonts w:eastAsia="Times New Roman"/>
                <w:szCs w:val="24"/>
                <w:shd w:val="clear" w:color="auto" w:fill="FFFFFF"/>
                <w:lang w:val="en-US"/>
              </w:rPr>
              <w:t>30000</w:t>
            </w:r>
          </w:p>
        </w:tc>
        <w:tc>
          <w:tcPr>
            <w:tcW w:w="1080" w:type="dxa"/>
            <w:tcBorders>
              <w:left w:val="single" w:sz="4" w:space="0" w:color="000000"/>
              <w:bottom w:val="single" w:sz="4" w:space="0" w:color="000000"/>
            </w:tcBorders>
            <w:shd w:val="clear" w:color="auto" w:fill="auto"/>
            <w:vAlign w:val="bottom"/>
          </w:tcPr>
          <w:p w14:paraId="438AD3DD"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b/>
                <w:bCs/>
                <w:szCs w:val="24"/>
                <w:shd w:val="clear" w:color="auto" w:fill="FFFFFF"/>
                <w:lang w:val="en-US"/>
              </w:rPr>
              <w:t> </w:t>
            </w:r>
          </w:p>
        </w:tc>
        <w:tc>
          <w:tcPr>
            <w:tcW w:w="2178" w:type="dxa"/>
            <w:tcBorders>
              <w:left w:val="single" w:sz="4" w:space="0" w:color="000000"/>
              <w:bottom w:val="single" w:sz="4" w:space="0" w:color="000000"/>
            </w:tcBorders>
            <w:shd w:val="clear" w:color="auto" w:fill="auto"/>
            <w:vAlign w:val="bottom"/>
          </w:tcPr>
          <w:p w14:paraId="3FEEACC3"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62" w:type="dxa"/>
            <w:tcBorders>
              <w:left w:val="single" w:sz="4" w:space="0" w:color="000000"/>
              <w:bottom w:val="single" w:sz="4" w:space="0" w:color="000000"/>
              <w:right w:val="single" w:sz="4" w:space="0" w:color="000000"/>
            </w:tcBorders>
            <w:shd w:val="clear" w:color="auto" w:fill="auto"/>
            <w:vAlign w:val="bottom"/>
          </w:tcPr>
          <w:p w14:paraId="426688C2" w14:textId="77777777" w:rsidR="004F3C5D" w:rsidRPr="00960FCD" w:rsidRDefault="004F3C5D" w:rsidP="00835D97">
            <w:pPr>
              <w:spacing w:line="240" w:lineRule="auto"/>
              <w:rPr>
                <w:szCs w:val="24"/>
              </w:rPr>
            </w:pPr>
            <w:r w:rsidRPr="00960FCD">
              <w:rPr>
                <w:rFonts w:eastAsia="Times New Roman"/>
                <w:b/>
                <w:bCs/>
                <w:szCs w:val="24"/>
                <w:shd w:val="clear" w:color="auto" w:fill="FFFFFF"/>
                <w:lang w:val="en-US"/>
              </w:rPr>
              <w:t> </w:t>
            </w:r>
          </w:p>
        </w:tc>
      </w:tr>
      <w:tr w:rsidR="004F3C5D" w:rsidRPr="00960FCD" w14:paraId="37844BD1" w14:textId="77777777" w:rsidTr="00835D97">
        <w:trPr>
          <w:trHeight w:val="300"/>
        </w:trPr>
        <w:tc>
          <w:tcPr>
            <w:tcW w:w="2711" w:type="dxa"/>
            <w:tcBorders>
              <w:left w:val="single" w:sz="4" w:space="0" w:color="000000"/>
              <w:bottom w:val="single" w:sz="4" w:space="0" w:color="000000"/>
            </w:tcBorders>
            <w:shd w:val="clear" w:color="auto" w:fill="auto"/>
            <w:vAlign w:val="bottom"/>
          </w:tcPr>
          <w:p w14:paraId="01C85C22"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067" w:type="dxa"/>
            <w:tcBorders>
              <w:left w:val="single" w:sz="4" w:space="0" w:color="000000"/>
              <w:bottom w:val="single" w:sz="4" w:space="0" w:color="000000"/>
            </w:tcBorders>
            <w:shd w:val="clear" w:color="auto" w:fill="auto"/>
            <w:vAlign w:val="bottom"/>
          </w:tcPr>
          <w:p w14:paraId="7E833520"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80" w:type="dxa"/>
            <w:tcBorders>
              <w:left w:val="single" w:sz="4" w:space="0" w:color="000000"/>
              <w:bottom w:val="single" w:sz="4" w:space="0" w:color="000000"/>
            </w:tcBorders>
            <w:shd w:val="clear" w:color="auto" w:fill="auto"/>
            <w:vAlign w:val="bottom"/>
          </w:tcPr>
          <w:p w14:paraId="0A9A1659"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b/>
                <w:bCs/>
                <w:szCs w:val="24"/>
                <w:shd w:val="clear" w:color="auto" w:fill="FFFFFF"/>
                <w:lang w:val="en-US"/>
              </w:rPr>
              <w:t>82000</w:t>
            </w:r>
          </w:p>
        </w:tc>
        <w:tc>
          <w:tcPr>
            <w:tcW w:w="2178" w:type="dxa"/>
            <w:tcBorders>
              <w:left w:val="single" w:sz="4" w:space="0" w:color="000000"/>
              <w:bottom w:val="single" w:sz="4" w:space="0" w:color="000000"/>
            </w:tcBorders>
            <w:shd w:val="clear" w:color="auto" w:fill="auto"/>
            <w:vAlign w:val="bottom"/>
          </w:tcPr>
          <w:p w14:paraId="54581957"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62" w:type="dxa"/>
            <w:tcBorders>
              <w:left w:val="single" w:sz="4" w:space="0" w:color="000000"/>
              <w:bottom w:val="single" w:sz="4" w:space="0" w:color="000000"/>
              <w:right w:val="single" w:sz="4" w:space="0" w:color="000000"/>
            </w:tcBorders>
            <w:shd w:val="clear" w:color="auto" w:fill="auto"/>
            <w:vAlign w:val="bottom"/>
          </w:tcPr>
          <w:p w14:paraId="52D1039C" w14:textId="77777777" w:rsidR="004F3C5D" w:rsidRPr="00960FCD" w:rsidRDefault="004F3C5D" w:rsidP="00835D97">
            <w:pPr>
              <w:spacing w:line="240" w:lineRule="auto"/>
              <w:rPr>
                <w:szCs w:val="24"/>
              </w:rPr>
            </w:pPr>
            <w:r w:rsidRPr="00960FCD">
              <w:rPr>
                <w:rFonts w:eastAsia="Times New Roman"/>
                <w:b/>
                <w:bCs/>
                <w:szCs w:val="24"/>
                <w:shd w:val="clear" w:color="auto" w:fill="FFFFFF"/>
                <w:lang w:val="en-US"/>
              </w:rPr>
              <w:t> </w:t>
            </w:r>
          </w:p>
        </w:tc>
      </w:tr>
      <w:tr w:rsidR="004F3C5D" w:rsidRPr="00960FCD" w14:paraId="4CDF6273" w14:textId="77777777" w:rsidTr="00835D97">
        <w:trPr>
          <w:trHeight w:val="300"/>
        </w:trPr>
        <w:tc>
          <w:tcPr>
            <w:tcW w:w="2711" w:type="dxa"/>
            <w:tcBorders>
              <w:left w:val="single" w:sz="4" w:space="0" w:color="000000"/>
              <w:bottom w:val="single" w:sz="4" w:space="0" w:color="000000"/>
            </w:tcBorders>
            <w:shd w:val="clear" w:color="auto" w:fill="auto"/>
            <w:vAlign w:val="bottom"/>
          </w:tcPr>
          <w:p w14:paraId="695D6A17"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Debentures</w:t>
            </w:r>
          </w:p>
        </w:tc>
        <w:tc>
          <w:tcPr>
            <w:tcW w:w="1067" w:type="dxa"/>
            <w:tcBorders>
              <w:left w:val="single" w:sz="4" w:space="0" w:color="000000"/>
              <w:bottom w:val="single" w:sz="4" w:space="0" w:color="000000"/>
            </w:tcBorders>
            <w:shd w:val="clear" w:color="auto" w:fill="auto"/>
            <w:vAlign w:val="bottom"/>
          </w:tcPr>
          <w:p w14:paraId="3FBBD40A"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80" w:type="dxa"/>
            <w:tcBorders>
              <w:left w:val="single" w:sz="4" w:space="0" w:color="000000"/>
              <w:bottom w:val="single" w:sz="4" w:space="0" w:color="000000"/>
            </w:tcBorders>
            <w:shd w:val="clear" w:color="auto" w:fill="auto"/>
            <w:vAlign w:val="bottom"/>
          </w:tcPr>
          <w:p w14:paraId="23C25BC0"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b/>
                <w:bCs/>
                <w:szCs w:val="24"/>
                <w:shd w:val="clear" w:color="auto" w:fill="FFFFFF"/>
                <w:lang w:val="en-US"/>
              </w:rPr>
              <w:t>200000</w:t>
            </w:r>
          </w:p>
        </w:tc>
        <w:tc>
          <w:tcPr>
            <w:tcW w:w="2178" w:type="dxa"/>
            <w:tcBorders>
              <w:left w:val="single" w:sz="4" w:space="0" w:color="000000"/>
              <w:bottom w:val="single" w:sz="4" w:space="0" w:color="000000"/>
            </w:tcBorders>
            <w:shd w:val="clear" w:color="auto" w:fill="auto"/>
            <w:vAlign w:val="bottom"/>
          </w:tcPr>
          <w:p w14:paraId="72469F9A"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62" w:type="dxa"/>
            <w:tcBorders>
              <w:left w:val="single" w:sz="4" w:space="0" w:color="000000"/>
              <w:bottom w:val="single" w:sz="4" w:space="0" w:color="000000"/>
              <w:right w:val="single" w:sz="4" w:space="0" w:color="000000"/>
            </w:tcBorders>
            <w:shd w:val="clear" w:color="auto" w:fill="auto"/>
            <w:vAlign w:val="bottom"/>
          </w:tcPr>
          <w:p w14:paraId="1A65C265" w14:textId="77777777" w:rsidR="004F3C5D" w:rsidRPr="00960FCD" w:rsidRDefault="004F3C5D" w:rsidP="00835D97">
            <w:pPr>
              <w:spacing w:line="240" w:lineRule="auto"/>
              <w:rPr>
                <w:szCs w:val="24"/>
              </w:rPr>
            </w:pPr>
            <w:r w:rsidRPr="00960FCD">
              <w:rPr>
                <w:rFonts w:eastAsia="Times New Roman"/>
                <w:b/>
                <w:bCs/>
                <w:szCs w:val="24"/>
                <w:shd w:val="clear" w:color="auto" w:fill="FFFFFF"/>
                <w:lang w:val="en-US"/>
              </w:rPr>
              <w:t> </w:t>
            </w:r>
          </w:p>
        </w:tc>
      </w:tr>
      <w:tr w:rsidR="004F3C5D" w:rsidRPr="00960FCD" w14:paraId="58E2F222" w14:textId="77777777" w:rsidTr="00835D97">
        <w:trPr>
          <w:trHeight w:val="300"/>
        </w:trPr>
        <w:tc>
          <w:tcPr>
            <w:tcW w:w="2711" w:type="dxa"/>
            <w:tcBorders>
              <w:left w:val="single" w:sz="4" w:space="0" w:color="000000"/>
              <w:bottom w:val="single" w:sz="4" w:space="0" w:color="000000"/>
            </w:tcBorders>
            <w:shd w:val="clear" w:color="auto" w:fill="auto"/>
            <w:vAlign w:val="bottom"/>
          </w:tcPr>
          <w:p w14:paraId="30D0B3BD"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Trade payable</w:t>
            </w:r>
          </w:p>
        </w:tc>
        <w:tc>
          <w:tcPr>
            <w:tcW w:w="1067" w:type="dxa"/>
            <w:tcBorders>
              <w:left w:val="single" w:sz="4" w:space="0" w:color="000000"/>
              <w:bottom w:val="single" w:sz="4" w:space="0" w:color="000000"/>
            </w:tcBorders>
            <w:shd w:val="clear" w:color="auto" w:fill="auto"/>
            <w:vAlign w:val="bottom"/>
          </w:tcPr>
          <w:p w14:paraId="518C2AF5"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80" w:type="dxa"/>
            <w:tcBorders>
              <w:left w:val="single" w:sz="4" w:space="0" w:color="000000"/>
              <w:bottom w:val="single" w:sz="4" w:space="0" w:color="000000"/>
            </w:tcBorders>
            <w:shd w:val="clear" w:color="auto" w:fill="auto"/>
            <w:vAlign w:val="bottom"/>
          </w:tcPr>
          <w:p w14:paraId="0958D5EB"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b/>
                <w:bCs/>
                <w:szCs w:val="24"/>
                <w:shd w:val="clear" w:color="auto" w:fill="FFFFFF"/>
                <w:lang w:val="en-US"/>
              </w:rPr>
              <w:t>188625</w:t>
            </w:r>
          </w:p>
        </w:tc>
        <w:tc>
          <w:tcPr>
            <w:tcW w:w="2178" w:type="dxa"/>
            <w:tcBorders>
              <w:left w:val="single" w:sz="4" w:space="0" w:color="000000"/>
              <w:bottom w:val="single" w:sz="4" w:space="0" w:color="000000"/>
            </w:tcBorders>
            <w:shd w:val="clear" w:color="auto" w:fill="auto"/>
            <w:vAlign w:val="bottom"/>
          </w:tcPr>
          <w:p w14:paraId="301354D7"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62" w:type="dxa"/>
            <w:tcBorders>
              <w:left w:val="single" w:sz="4" w:space="0" w:color="000000"/>
              <w:bottom w:val="single" w:sz="4" w:space="0" w:color="000000"/>
              <w:right w:val="single" w:sz="4" w:space="0" w:color="000000"/>
            </w:tcBorders>
            <w:shd w:val="clear" w:color="auto" w:fill="auto"/>
            <w:vAlign w:val="bottom"/>
          </w:tcPr>
          <w:p w14:paraId="70AA85FB" w14:textId="77777777" w:rsidR="004F3C5D" w:rsidRPr="00960FCD" w:rsidRDefault="004F3C5D" w:rsidP="00835D97">
            <w:pPr>
              <w:spacing w:line="240" w:lineRule="auto"/>
              <w:rPr>
                <w:szCs w:val="24"/>
              </w:rPr>
            </w:pPr>
            <w:r w:rsidRPr="00960FCD">
              <w:rPr>
                <w:rFonts w:eastAsia="Times New Roman"/>
                <w:b/>
                <w:bCs/>
                <w:szCs w:val="24"/>
                <w:shd w:val="clear" w:color="auto" w:fill="FFFFFF"/>
                <w:lang w:val="en-US"/>
              </w:rPr>
              <w:t> </w:t>
            </w:r>
          </w:p>
        </w:tc>
      </w:tr>
      <w:tr w:rsidR="004F3C5D" w:rsidRPr="00960FCD" w14:paraId="39D5F46F" w14:textId="77777777" w:rsidTr="00835D97">
        <w:trPr>
          <w:trHeight w:val="315"/>
        </w:trPr>
        <w:tc>
          <w:tcPr>
            <w:tcW w:w="2711" w:type="dxa"/>
            <w:tcBorders>
              <w:left w:val="single" w:sz="4" w:space="0" w:color="000000"/>
              <w:bottom w:val="single" w:sz="4" w:space="0" w:color="000000"/>
            </w:tcBorders>
            <w:shd w:val="clear" w:color="auto" w:fill="auto"/>
            <w:vAlign w:val="bottom"/>
          </w:tcPr>
          <w:p w14:paraId="156FD740"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O/s Commission</w:t>
            </w:r>
          </w:p>
        </w:tc>
        <w:tc>
          <w:tcPr>
            <w:tcW w:w="1067" w:type="dxa"/>
            <w:tcBorders>
              <w:left w:val="single" w:sz="4" w:space="0" w:color="000000"/>
              <w:bottom w:val="single" w:sz="4" w:space="0" w:color="000000"/>
            </w:tcBorders>
            <w:shd w:val="clear" w:color="auto" w:fill="auto"/>
            <w:vAlign w:val="bottom"/>
          </w:tcPr>
          <w:p w14:paraId="7EA15E01"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80" w:type="dxa"/>
            <w:tcBorders>
              <w:left w:val="single" w:sz="4" w:space="0" w:color="000000"/>
              <w:bottom w:val="single" w:sz="4" w:space="0" w:color="000000"/>
            </w:tcBorders>
            <w:shd w:val="clear" w:color="auto" w:fill="auto"/>
            <w:vAlign w:val="bottom"/>
          </w:tcPr>
          <w:p w14:paraId="0FA04F91"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b/>
                <w:bCs/>
                <w:szCs w:val="24"/>
                <w:shd w:val="clear" w:color="auto" w:fill="FFFFFF"/>
                <w:lang w:val="en-US"/>
              </w:rPr>
              <w:t>3000</w:t>
            </w:r>
          </w:p>
        </w:tc>
        <w:tc>
          <w:tcPr>
            <w:tcW w:w="2178" w:type="dxa"/>
            <w:tcBorders>
              <w:left w:val="single" w:sz="4" w:space="0" w:color="000000"/>
              <w:bottom w:val="single" w:sz="4" w:space="0" w:color="000000"/>
            </w:tcBorders>
            <w:shd w:val="clear" w:color="auto" w:fill="auto"/>
            <w:vAlign w:val="bottom"/>
          </w:tcPr>
          <w:p w14:paraId="14192341"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62" w:type="dxa"/>
            <w:tcBorders>
              <w:left w:val="single" w:sz="4" w:space="0" w:color="000000"/>
              <w:bottom w:val="single" w:sz="4" w:space="0" w:color="000000"/>
              <w:right w:val="single" w:sz="4" w:space="0" w:color="000000"/>
            </w:tcBorders>
            <w:shd w:val="clear" w:color="auto" w:fill="auto"/>
            <w:vAlign w:val="bottom"/>
          </w:tcPr>
          <w:p w14:paraId="236A2339" w14:textId="77777777" w:rsidR="004F3C5D" w:rsidRPr="00960FCD" w:rsidRDefault="004F3C5D" w:rsidP="00835D97">
            <w:pPr>
              <w:spacing w:line="240" w:lineRule="auto"/>
              <w:rPr>
                <w:szCs w:val="24"/>
              </w:rPr>
            </w:pPr>
            <w:r w:rsidRPr="00960FCD">
              <w:rPr>
                <w:rFonts w:eastAsia="Times New Roman"/>
                <w:b/>
                <w:bCs/>
                <w:szCs w:val="24"/>
                <w:shd w:val="clear" w:color="auto" w:fill="FFFFFF"/>
                <w:lang w:val="en-US"/>
              </w:rPr>
              <w:t> </w:t>
            </w:r>
          </w:p>
        </w:tc>
      </w:tr>
      <w:tr w:rsidR="004F3C5D" w:rsidRPr="00960FCD" w14:paraId="2F89A84B" w14:textId="77777777" w:rsidTr="00835D97">
        <w:trPr>
          <w:trHeight w:val="315"/>
        </w:trPr>
        <w:tc>
          <w:tcPr>
            <w:tcW w:w="2711" w:type="dxa"/>
            <w:tcBorders>
              <w:left w:val="single" w:sz="4" w:space="0" w:color="000000"/>
              <w:bottom w:val="single" w:sz="4" w:space="0" w:color="000000"/>
            </w:tcBorders>
            <w:shd w:val="clear" w:color="auto" w:fill="auto"/>
            <w:vAlign w:val="bottom"/>
          </w:tcPr>
          <w:p w14:paraId="600F1F0A"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067" w:type="dxa"/>
            <w:tcBorders>
              <w:left w:val="single" w:sz="4" w:space="0" w:color="000000"/>
              <w:bottom w:val="single" w:sz="4" w:space="0" w:color="000000"/>
            </w:tcBorders>
            <w:shd w:val="clear" w:color="auto" w:fill="auto"/>
            <w:vAlign w:val="bottom"/>
          </w:tcPr>
          <w:p w14:paraId="3F269EDF"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80" w:type="dxa"/>
            <w:tcBorders>
              <w:left w:val="single" w:sz="4" w:space="0" w:color="000000"/>
              <w:bottom w:val="single" w:sz="4" w:space="0" w:color="000000"/>
            </w:tcBorders>
            <w:shd w:val="clear" w:color="auto" w:fill="auto"/>
            <w:vAlign w:val="bottom"/>
          </w:tcPr>
          <w:p w14:paraId="47A99B7E"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b/>
                <w:bCs/>
                <w:szCs w:val="24"/>
                <w:shd w:val="clear" w:color="auto" w:fill="FFFFFF"/>
                <w:lang w:val="en-US"/>
              </w:rPr>
              <w:t> </w:t>
            </w:r>
          </w:p>
        </w:tc>
        <w:tc>
          <w:tcPr>
            <w:tcW w:w="2178" w:type="dxa"/>
            <w:tcBorders>
              <w:left w:val="single" w:sz="4" w:space="0" w:color="000000"/>
              <w:bottom w:val="single" w:sz="4" w:space="0" w:color="000000"/>
            </w:tcBorders>
            <w:shd w:val="clear" w:color="auto" w:fill="auto"/>
            <w:vAlign w:val="bottom"/>
          </w:tcPr>
          <w:p w14:paraId="50BEF961"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62" w:type="dxa"/>
            <w:tcBorders>
              <w:left w:val="single" w:sz="4" w:space="0" w:color="000000"/>
              <w:bottom w:val="single" w:sz="4" w:space="0" w:color="000000"/>
              <w:right w:val="single" w:sz="4" w:space="0" w:color="000000"/>
            </w:tcBorders>
            <w:shd w:val="clear" w:color="auto" w:fill="auto"/>
            <w:vAlign w:val="bottom"/>
          </w:tcPr>
          <w:p w14:paraId="4971D874" w14:textId="77777777" w:rsidR="004F3C5D" w:rsidRPr="00960FCD" w:rsidRDefault="004F3C5D" w:rsidP="00835D97">
            <w:pPr>
              <w:spacing w:line="240" w:lineRule="auto"/>
              <w:rPr>
                <w:szCs w:val="24"/>
              </w:rPr>
            </w:pPr>
            <w:r w:rsidRPr="00960FCD">
              <w:rPr>
                <w:rFonts w:eastAsia="Times New Roman"/>
                <w:b/>
                <w:bCs/>
                <w:szCs w:val="24"/>
                <w:shd w:val="clear" w:color="auto" w:fill="FFFFFF"/>
                <w:lang w:val="en-US"/>
              </w:rPr>
              <w:t> </w:t>
            </w:r>
          </w:p>
        </w:tc>
      </w:tr>
      <w:tr w:rsidR="004F3C5D" w:rsidRPr="00960FCD" w14:paraId="37465389" w14:textId="77777777" w:rsidTr="00835D97">
        <w:trPr>
          <w:trHeight w:val="315"/>
        </w:trPr>
        <w:tc>
          <w:tcPr>
            <w:tcW w:w="2711" w:type="dxa"/>
            <w:tcBorders>
              <w:left w:val="single" w:sz="4" w:space="0" w:color="000000"/>
              <w:bottom w:val="single" w:sz="4" w:space="0" w:color="000000"/>
            </w:tcBorders>
            <w:shd w:val="clear" w:color="auto" w:fill="auto"/>
            <w:vAlign w:val="bottom"/>
          </w:tcPr>
          <w:p w14:paraId="4F0A0A08" w14:textId="77777777" w:rsidR="004F3C5D" w:rsidRPr="00960FCD" w:rsidRDefault="004F3C5D" w:rsidP="00835D97">
            <w:pPr>
              <w:spacing w:line="240" w:lineRule="auto"/>
              <w:rPr>
                <w:rFonts w:eastAsia="Times New Roman"/>
                <w:szCs w:val="24"/>
                <w:shd w:val="clear" w:color="auto" w:fill="FFFFFF"/>
                <w:lang w:val="en-US"/>
              </w:rPr>
            </w:pPr>
            <w:r w:rsidRPr="00960FCD">
              <w:rPr>
                <w:rFonts w:eastAsia="Times New Roman"/>
                <w:szCs w:val="24"/>
                <w:shd w:val="clear" w:color="auto" w:fill="FFFFFF"/>
                <w:lang w:val="en-US"/>
              </w:rPr>
              <w:t> </w:t>
            </w:r>
          </w:p>
        </w:tc>
        <w:tc>
          <w:tcPr>
            <w:tcW w:w="1067" w:type="dxa"/>
            <w:tcBorders>
              <w:left w:val="single" w:sz="4" w:space="0" w:color="000000"/>
              <w:bottom w:val="single" w:sz="4" w:space="0" w:color="000000"/>
            </w:tcBorders>
            <w:shd w:val="clear" w:color="auto" w:fill="auto"/>
            <w:vAlign w:val="bottom"/>
          </w:tcPr>
          <w:p w14:paraId="4F2FA501"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80" w:type="dxa"/>
            <w:tcBorders>
              <w:left w:val="single" w:sz="4" w:space="0" w:color="000000"/>
              <w:bottom w:val="single" w:sz="4" w:space="0" w:color="000000"/>
            </w:tcBorders>
            <w:shd w:val="clear" w:color="auto" w:fill="auto"/>
            <w:vAlign w:val="bottom"/>
          </w:tcPr>
          <w:p w14:paraId="71D9F7DE" w14:textId="77777777" w:rsidR="004F3C5D" w:rsidRPr="00960FCD" w:rsidRDefault="004F3C5D" w:rsidP="00835D97">
            <w:pPr>
              <w:spacing w:line="240" w:lineRule="auto"/>
              <w:jc w:val="right"/>
              <w:rPr>
                <w:rFonts w:eastAsia="Times New Roman"/>
                <w:szCs w:val="24"/>
                <w:shd w:val="clear" w:color="auto" w:fill="FFFFFF"/>
                <w:lang w:val="en-US"/>
              </w:rPr>
            </w:pPr>
            <w:r w:rsidRPr="00960FCD">
              <w:rPr>
                <w:rFonts w:eastAsia="Times New Roman"/>
                <w:b/>
                <w:bCs/>
                <w:szCs w:val="24"/>
                <w:shd w:val="clear" w:color="auto" w:fill="FFFFFF"/>
                <w:lang w:val="en-US"/>
              </w:rPr>
              <w:t>1926975</w:t>
            </w:r>
          </w:p>
        </w:tc>
        <w:tc>
          <w:tcPr>
            <w:tcW w:w="2178" w:type="dxa"/>
            <w:tcBorders>
              <w:left w:val="single" w:sz="4" w:space="0" w:color="000000"/>
              <w:bottom w:val="single" w:sz="4" w:space="0" w:color="000000"/>
            </w:tcBorders>
            <w:shd w:val="clear" w:color="auto" w:fill="auto"/>
            <w:vAlign w:val="bottom"/>
          </w:tcPr>
          <w:p w14:paraId="5206FE0D" w14:textId="77777777" w:rsidR="004F3C5D" w:rsidRPr="00960FCD" w:rsidRDefault="004F3C5D" w:rsidP="00835D97">
            <w:pPr>
              <w:spacing w:line="240" w:lineRule="auto"/>
              <w:rPr>
                <w:rFonts w:eastAsia="Times New Roman"/>
                <w:b/>
                <w:bCs/>
                <w:szCs w:val="24"/>
                <w:shd w:val="clear" w:color="auto" w:fill="FFFFFF"/>
                <w:lang w:val="en-US"/>
              </w:rPr>
            </w:pPr>
            <w:r w:rsidRPr="00960FCD">
              <w:rPr>
                <w:rFonts w:eastAsia="Times New Roman"/>
                <w:szCs w:val="24"/>
                <w:shd w:val="clear" w:color="auto" w:fill="FFFFFF"/>
                <w:lang w:val="en-US"/>
              </w:rPr>
              <w:t> </w:t>
            </w:r>
          </w:p>
        </w:tc>
        <w:tc>
          <w:tcPr>
            <w:tcW w:w="1062" w:type="dxa"/>
            <w:tcBorders>
              <w:left w:val="single" w:sz="4" w:space="0" w:color="000000"/>
              <w:bottom w:val="single" w:sz="4" w:space="0" w:color="000000"/>
              <w:right w:val="single" w:sz="4" w:space="0" w:color="000000"/>
            </w:tcBorders>
            <w:shd w:val="clear" w:color="auto" w:fill="auto"/>
            <w:vAlign w:val="bottom"/>
          </w:tcPr>
          <w:p w14:paraId="714D230B" w14:textId="77777777" w:rsidR="004F3C5D" w:rsidRPr="00960FCD" w:rsidRDefault="004F3C5D" w:rsidP="00835D97">
            <w:pPr>
              <w:spacing w:line="240" w:lineRule="auto"/>
              <w:jc w:val="right"/>
              <w:rPr>
                <w:szCs w:val="24"/>
              </w:rPr>
            </w:pPr>
            <w:r w:rsidRPr="00960FCD">
              <w:rPr>
                <w:rFonts w:eastAsia="Times New Roman"/>
                <w:b/>
                <w:bCs/>
                <w:szCs w:val="24"/>
                <w:shd w:val="clear" w:color="auto" w:fill="FFFFFF"/>
                <w:lang w:val="en-US"/>
              </w:rPr>
              <w:t>1926975</w:t>
            </w:r>
          </w:p>
        </w:tc>
      </w:tr>
    </w:tbl>
    <w:p w14:paraId="1FFF7009" w14:textId="7DE7A467" w:rsidR="004F3C5D" w:rsidRDefault="004F3C5D" w:rsidP="004F3C5D">
      <w:pPr>
        <w:ind w:left="720"/>
        <w:rPr>
          <w:u w:val="single"/>
        </w:rPr>
      </w:pPr>
    </w:p>
    <w:p w14:paraId="3A9B10BC" w14:textId="032395F7" w:rsidR="004F3C5D" w:rsidRPr="004F3C5D" w:rsidRDefault="004F3C5D" w:rsidP="004F3C5D">
      <w:pPr>
        <w:pStyle w:val="ListParagraph"/>
        <w:numPr>
          <w:ilvl w:val="0"/>
          <w:numId w:val="1"/>
        </w:numPr>
        <w:rPr>
          <w:rFonts w:ascii="Times New Roman" w:hAnsi="Times New Roman" w:cs="Times New Roman"/>
          <w:b/>
          <w:bCs/>
          <w:sz w:val="24"/>
          <w:szCs w:val="24"/>
        </w:rPr>
      </w:pPr>
      <w:r w:rsidRPr="004F3C5D">
        <w:rPr>
          <w:rFonts w:ascii="Times New Roman" w:hAnsi="Times New Roman" w:cs="Times New Roman"/>
          <w:b/>
          <w:bCs/>
          <w:sz w:val="24"/>
          <w:szCs w:val="24"/>
        </w:rPr>
        <w:t>Motive for coordinating of financial statement:</w:t>
      </w:r>
    </w:p>
    <w:p w14:paraId="6A2E0931" w14:textId="2872AFF3" w:rsidR="004F3C5D" w:rsidRDefault="00B14CDE" w:rsidP="00B14CDE">
      <w:pPr>
        <w:spacing w:line="360" w:lineRule="auto"/>
        <w:jc w:val="both"/>
        <w:rPr>
          <w:rFonts w:ascii="Times New Roman" w:hAnsi="Times New Roman" w:cs="Times New Roman"/>
          <w:sz w:val="24"/>
          <w:szCs w:val="24"/>
        </w:rPr>
      </w:pPr>
      <w:r w:rsidRPr="00B14CDE">
        <w:rPr>
          <w:rFonts w:ascii="Times New Roman" w:hAnsi="Times New Roman" w:cs="Times New Roman"/>
          <w:sz w:val="24"/>
          <w:szCs w:val="24"/>
        </w:rPr>
        <w:t>A business's financial health may be gleaned from its balance sheet, a kind of financial statement. Developing the cash position for the company is a great way to get a bird's-eye view of the financial health of the enterprise</w:t>
      </w:r>
      <w:r>
        <w:rPr>
          <w:rFonts w:ascii="Times New Roman" w:hAnsi="Times New Roman" w:cs="Times New Roman"/>
          <w:sz w:val="24"/>
          <w:szCs w:val="24"/>
        </w:rPr>
        <w:t xml:space="preserve"> (</w:t>
      </w:r>
      <w:r w:rsidRPr="00B14CDE">
        <w:rPr>
          <w:rFonts w:ascii="Times New Roman" w:hAnsi="Times New Roman" w:cs="Times New Roman"/>
          <w:sz w:val="24"/>
          <w:szCs w:val="24"/>
        </w:rPr>
        <w:t>Song,</w:t>
      </w:r>
      <w:r>
        <w:rPr>
          <w:rFonts w:ascii="Times New Roman" w:hAnsi="Times New Roman" w:cs="Times New Roman"/>
          <w:sz w:val="24"/>
          <w:szCs w:val="24"/>
        </w:rPr>
        <w:t xml:space="preserve"> et. al., 2019). </w:t>
      </w:r>
      <w:r w:rsidRPr="00B14CDE">
        <w:rPr>
          <w:rFonts w:ascii="Times New Roman" w:hAnsi="Times New Roman" w:cs="Times New Roman"/>
          <w:sz w:val="24"/>
          <w:szCs w:val="24"/>
        </w:rPr>
        <w:t xml:space="preserve"> Equity, assets, and liabilities are all included for a certain time frame. What an organisation possesses may be quantified on the asset side of the balance sheet. The debts shown on the balance sheet are the debts owed by the company. On the pledge, we have the shareholders' initial investment and the company's retained profits</w:t>
      </w:r>
      <w:r>
        <w:rPr>
          <w:rFonts w:ascii="Times New Roman" w:hAnsi="Times New Roman" w:cs="Times New Roman"/>
          <w:sz w:val="24"/>
          <w:szCs w:val="24"/>
        </w:rPr>
        <w:t xml:space="preserve">. </w:t>
      </w:r>
      <w:r w:rsidRPr="00B14CDE">
        <w:rPr>
          <w:rFonts w:ascii="Times New Roman" w:hAnsi="Times New Roman" w:cs="Times New Roman"/>
          <w:sz w:val="24"/>
          <w:szCs w:val="24"/>
        </w:rPr>
        <w:t>These reports are useful for gauging a company's potential to fulfil its commitments and earn a profit, with the latter being re-invested in the business. To adhere to the rules of double-entry accounting, the income and expense entries must equalize. The system mandates that all transactions be registered in two separate categories, which benefits administration by allowing them to double-check that all transactions have been examined and documented accurately</w:t>
      </w:r>
      <w:r>
        <w:rPr>
          <w:rFonts w:ascii="Times New Roman" w:hAnsi="Times New Roman" w:cs="Times New Roman"/>
          <w:sz w:val="24"/>
          <w:szCs w:val="24"/>
        </w:rPr>
        <w:t xml:space="preserve"> (</w:t>
      </w:r>
      <w:r w:rsidRPr="00B14CDE">
        <w:rPr>
          <w:rFonts w:ascii="Times New Roman" w:hAnsi="Times New Roman" w:cs="Times New Roman"/>
          <w:sz w:val="24"/>
          <w:szCs w:val="24"/>
        </w:rPr>
        <w:t>Lugovsk</w:t>
      </w:r>
      <w:r>
        <w:rPr>
          <w:rFonts w:ascii="Times New Roman" w:hAnsi="Times New Roman" w:cs="Times New Roman"/>
          <w:sz w:val="24"/>
          <w:szCs w:val="24"/>
        </w:rPr>
        <w:t xml:space="preserve">y and </w:t>
      </w:r>
      <w:r w:rsidRPr="00B14CDE">
        <w:rPr>
          <w:rFonts w:ascii="Times New Roman" w:hAnsi="Times New Roman" w:cs="Times New Roman"/>
          <w:sz w:val="24"/>
          <w:szCs w:val="24"/>
        </w:rPr>
        <w:t xml:space="preserve"> Kuter</w:t>
      </w:r>
      <w:r>
        <w:rPr>
          <w:rFonts w:ascii="Times New Roman" w:hAnsi="Times New Roman" w:cs="Times New Roman"/>
          <w:sz w:val="24"/>
          <w:szCs w:val="24"/>
        </w:rPr>
        <w:t xml:space="preserve">, 2019). </w:t>
      </w:r>
      <w:r w:rsidRPr="00B14CDE">
        <w:rPr>
          <w:rFonts w:ascii="Times New Roman" w:hAnsi="Times New Roman" w:cs="Times New Roman"/>
          <w:sz w:val="24"/>
          <w:szCs w:val="24"/>
        </w:rPr>
        <w:t>It</w:t>
      </w:r>
      <w:r>
        <w:rPr>
          <w:rFonts w:ascii="Times New Roman" w:hAnsi="Times New Roman" w:cs="Times New Roman"/>
          <w:sz w:val="24"/>
          <w:szCs w:val="24"/>
        </w:rPr>
        <w:t xml:space="preserve"> is</w:t>
      </w:r>
      <w:r w:rsidRPr="00B14CDE">
        <w:rPr>
          <w:rFonts w:ascii="Times New Roman" w:hAnsi="Times New Roman" w:cs="Times New Roman"/>
          <w:sz w:val="24"/>
          <w:szCs w:val="24"/>
        </w:rPr>
        <w:t xml:space="preserve"> possible that the books won't balance out every once in a while. Incomplete records, incorrectly recorded transactions, incorrect computations, stock-related problems, and other similar causes might be to blame.</w:t>
      </w:r>
    </w:p>
    <w:p w14:paraId="1FB3AE35" w14:textId="77777777" w:rsidR="00B14CDE" w:rsidRPr="00B14CDE" w:rsidRDefault="00B14CDE" w:rsidP="00B14CDE">
      <w:pPr>
        <w:spacing w:line="360" w:lineRule="auto"/>
        <w:jc w:val="both"/>
        <w:rPr>
          <w:rFonts w:ascii="Times New Roman" w:hAnsi="Times New Roman" w:cs="Times New Roman"/>
          <w:b/>
          <w:bCs/>
          <w:sz w:val="24"/>
          <w:szCs w:val="24"/>
        </w:rPr>
      </w:pPr>
      <w:r w:rsidRPr="00B14CDE">
        <w:rPr>
          <w:rFonts w:ascii="Times New Roman" w:hAnsi="Times New Roman" w:cs="Times New Roman"/>
          <w:b/>
          <w:bCs/>
          <w:sz w:val="24"/>
          <w:szCs w:val="24"/>
        </w:rPr>
        <w:lastRenderedPageBreak/>
        <w:t>Question 2</w:t>
      </w:r>
    </w:p>
    <w:p w14:paraId="4B2EF195" w14:textId="63062718" w:rsidR="00B14CDE" w:rsidRPr="00B14CDE" w:rsidRDefault="00B14CDE" w:rsidP="00B14CDE">
      <w:pPr>
        <w:spacing w:line="360" w:lineRule="auto"/>
        <w:jc w:val="both"/>
        <w:rPr>
          <w:rFonts w:ascii="Times New Roman" w:hAnsi="Times New Roman" w:cs="Times New Roman"/>
          <w:b/>
          <w:bCs/>
          <w:sz w:val="24"/>
          <w:szCs w:val="24"/>
        </w:rPr>
      </w:pPr>
      <w:r w:rsidRPr="00B14CDE">
        <w:rPr>
          <w:rFonts w:ascii="Times New Roman" w:hAnsi="Times New Roman" w:cs="Times New Roman"/>
          <w:b/>
          <w:bCs/>
          <w:sz w:val="24"/>
          <w:szCs w:val="24"/>
        </w:rPr>
        <w:t>a)</w:t>
      </w:r>
      <w:r w:rsidRPr="00B14CDE">
        <w:rPr>
          <w:rFonts w:ascii="Times New Roman" w:hAnsi="Times New Roman" w:cs="Times New Roman"/>
          <w:b/>
          <w:bCs/>
          <w:sz w:val="24"/>
          <w:szCs w:val="24"/>
        </w:rPr>
        <w:tab/>
        <w:t>Estimate of ratios for Sweet plc</w:t>
      </w:r>
    </w:p>
    <w:p w14:paraId="52D4D89D" w14:textId="07521731" w:rsidR="00B14CDE" w:rsidRDefault="00B14CDE" w:rsidP="00B14CDE">
      <w:pPr>
        <w:spacing w:line="360" w:lineRule="auto"/>
        <w:jc w:val="both"/>
        <w:rPr>
          <w:rFonts w:ascii="Times New Roman" w:hAnsi="Times New Roman" w:cs="Times New Roman"/>
          <w:sz w:val="24"/>
          <w:szCs w:val="24"/>
        </w:rPr>
      </w:pPr>
      <w:r w:rsidRPr="00B14CDE">
        <w:rPr>
          <w:rFonts w:ascii="Times New Roman" w:hAnsi="Times New Roman" w:cs="Times New Roman"/>
          <w:sz w:val="24"/>
          <w:szCs w:val="24"/>
        </w:rPr>
        <w:t>•</w:t>
      </w:r>
      <w:r w:rsidRPr="00B14CDE">
        <w:rPr>
          <w:rFonts w:ascii="Times New Roman" w:hAnsi="Times New Roman" w:cs="Times New Roman"/>
          <w:sz w:val="24"/>
          <w:szCs w:val="24"/>
        </w:rPr>
        <w:tab/>
        <w:t>Refund on Capital Employed = Earnings Instead of Interest and Tax ( EBIT ) / Capital Employed</w:t>
      </w:r>
    </w:p>
    <w:p w14:paraId="735064C6" w14:textId="47F123B6" w:rsidR="00B14CDE" w:rsidRDefault="00B14CDE" w:rsidP="00B14CDE">
      <w:pPr>
        <w:spacing w:line="360" w:lineRule="auto"/>
        <w:jc w:val="both"/>
        <w:rPr>
          <w:rFonts w:ascii="Times New Roman" w:hAnsi="Times New Roman" w:cs="Times New Roman"/>
          <w:sz w:val="24"/>
          <w:szCs w:val="24"/>
        </w:rPr>
      </w:pPr>
      <w:r w:rsidRPr="00B14CDE">
        <w:rPr>
          <w:noProof/>
        </w:rPr>
        <w:lastRenderedPageBreak/>
        <w:drawing>
          <wp:inline distT="0" distB="0" distL="0" distR="0" wp14:anchorId="409CAD48" wp14:editId="52CC2C7F">
            <wp:extent cx="5730240" cy="87096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0240" cy="8709660"/>
                    </a:xfrm>
                    <a:prstGeom prst="rect">
                      <a:avLst/>
                    </a:prstGeom>
                    <a:noFill/>
                    <a:ln>
                      <a:noFill/>
                    </a:ln>
                  </pic:spPr>
                </pic:pic>
              </a:graphicData>
            </a:graphic>
          </wp:inline>
        </w:drawing>
      </w:r>
    </w:p>
    <w:p w14:paraId="08F3D576" w14:textId="205D0FFA" w:rsidR="00B14CDE" w:rsidRDefault="00B14CDE" w:rsidP="00B14CDE">
      <w:pPr>
        <w:spacing w:line="360" w:lineRule="auto"/>
        <w:jc w:val="both"/>
        <w:rPr>
          <w:rFonts w:ascii="Times New Roman" w:hAnsi="Times New Roman" w:cs="Times New Roman"/>
          <w:b/>
          <w:bCs/>
          <w:sz w:val="24"/>
          <w:szCs w:val="24"/>
        </w:rPr>
      </w:pPr>
      <w:r w:rsidRPr="00B14CDE">
        <w:rPr>
          <w:rFonts w:ascii="Times New Roman" w:hAnsi="Times New Roman" w:cs="Times New Roman"/>
          <w:b/>
          <w:bCs/>
          <w:sz w:val="24"/>
          <w:szCs w:val="24"/>
        </w:rPr>
        <w:lastRenderedPageBreak/>
        <w:t>B) Financial performance ratio interpretation for Sweet plc</w:t>
      </w:r>
    </w:p>
    <w:p w14:paraId="7CED431A" w14:textId="024A595B" w:rsidR="00B14CDE" w:rsidRDefault="00B14CDE" w:rsidP="00B14CDE">
      <w:pPr>
        <w:pStyle w:val="ListParagraph"/>
        <w:numPr>
          <w:ilvl w:val="0"/>
          <w:numId w:val="2"/>
        </w:numPr>
        <w:spacing w:line="360" w:lineRule="auto"/>
        <w:jc w:val="both"/>
        <w:rPr>
          <w:rFonts w:ascii="Times New Roman" w:hAnsi="Times New Roman" w:cs="Times New Roman"/>
          <w:sz w:val="24"/>
          <w:szCs w:val="24"/>
        </w:rPr>
      </w:pPr>
      <w:r w:rsidRPr="00B14CDE">
        <w:rPr>
          <w:rFonts w:ascii="Times New Roman" w:hAnsi="Times New Roman" w:cs="Times New Roman"/>
          <w:sz w:val="24"/>
          <w:szCs w:val="24"/>
        </w:rPr>
        <w:t>In terms of profitability metrics, the return on investment (ROCE) is a key indicator of a company's capacity to transform its invested resources into a return</w:t>
      </w:r>
      <w:r>
        <w:rPr>
          <w:rFonts w:ascii="Times New Roman" w:hAnsi="Times New Roman" w:cs="Times New Roman"/>
          <w:sz w:val="24"/>
          <w:szCs w:val="24"/>
        </w:rPr>
        <w:t>.</w:t>
      </w:r>
      <w:r w:rsidRPr="00B14CDE">
        <w:rPr>
          <w:rFonts w:ascii="Times New Roman" w:hAnsi="Times New Roman" w:cs="Times New Roman"/>
          <w:sz w:val="24"/>
          <w:szCs w:val="24"/>
        </w:rPr>
        <w:t xml:space="preserve"> Capital-intensive sectors often make use of this metric since it shows how well indebted businesses are doing financially</w:t>
      </w:r>
      <w:r>
        <w:rPr>
          <w:rFonts w:ascii="Times New Roman" w:hAnsi="Times New Roman" w:cs="Times New Roman"/>
          <w:sz w:val="24"/>
          <w:szCs w:val="24"/>
        </w:rPr>
        <w:t xml:space="preserve"> (</w:t>
      </w:r>
      <w:r w:rsidRPr="00B14CDE">
        <w:rPr>
          <w:rFonts w:ascii="Times New Roman" w:hAnsi="Times New Roman" w:cs="Times New Roman"/>
          <w:sz w:val="24"/>
          <w:szCs w:val="24"/>
        </w:rPr>
        <w:t>Flynn</w:t>
      </w:r>
      <w:r>
        <w:rPr>
          <w:rFonts w:ascii="Times New Roman" w:hAnsi="Times New Roman" w:cs="Times New Roman"/>
          <w:sz w:val="24"/>
          <w:szCs w:val="24"/>
        </w:rPr>
        <w:t xml:space="preserve"> and </w:t>
      </w:r>
      <w:r w:rsidRPr="00B14CDE">
        <w:rPr>
          <w:rFonts w:ascii="Times New Roman" w:hAnsi="Times New Roman" w:cs="Times New Roman"/>
          <w:sz w:val="24"/>
          <w:szCs w:val="24"/>
        </w:rPr>
        <w:t xml:space="preserve">Koornhof </w:t>
      </w:r>
      <w:r>
        <w:rPr>
          <w:rFonts w:ascii="Times New Roman" w:hAnsi="Times New Roman" w:cs="Times New Roman"/>
          <w:sz w:val="24"/>
          <w:szCs w:val="24"/>
        </w:rPr>
        <w:t xml:space="preserve">, 2005). </w:t>
      </w:r>
      <w:r w:rsidRPr="00B14CDE">
        <w:rPr>
          <w:rFonts w:ascii="Times New Roman" w:hAnsi="Times New Roman" w:cs="Times New Roman"/>
          <w:sz w:val="24"/>
          <w:szCs w:val="24"/>
        </w:rPr>
        <w:t>The results of the aforementioned estimate for 2020 and 2021 are 9.93% and 11.4%, respectively. If the share price went up in this way, it would mean that the company was providing its owners with more value. Providing shareholders with a larger part of the company's profits would boost the company's attractiveness to potential investors.</w:t>
      </w:r>
    </w:p>
    <w:p w14:paraId="2D3AAFE1" w14:textId="764E02A2" w:rsidR="00B14CDE" w:rsidRDefault="00B14CDE" w:rsidP="00B14CDE">
      <w:pPr>
        <w:pStyle w:val="ListParagraph"/>
        <w:numPr>
          <w:ilvl w:val="0"/>
          <w:numId w:val="2"/>
        </w:numPr>
        <w:spacing w:line="360" w:lineRule="auto"/>
        <w:jc w:val="both"/>
        <w:rPr>
          <w:rFonts w:ascii="Times New Roman" w:hAnsi="Times New Roman" w:cs="Times New Roman"/>
          <w:sz w:val="24"/>
          <w:szCs w:val="24"/>
        </w:rPr>
      </w:pPr>
      <w:r w:rsidRPr="00B14CDE">
        <w:rPr>
          <w:rFonts w:ascii="Times New Roman" w:hAnsi="Times New Roman" w:cs="Times New Roman"/>
          <w:sz w:val="24"/>
          <w:szCs w:val="24"/>
        </w:rPr>
        <w:t>The rate at which a company may reinvest its earnings back into the business is known as its "earnings per share," and it is one measure of an enterprise's profitability and development potential. It's another metric that investors use to figure out whether or not a company is worth their investment. The predicted percentages in 2020 and 2021 are 12.57% and 13.96% growth from the organization's equity capital, respectively. It's another metric that shareholders use to figure out whether or not a company is worth their investment. The computed ratios for 2020 and 2021, 12.57% and 13.96%, respectively, demonstrate the individual's efficacy in ensuring appropriate use of its assets to produce profit. Shareholders are receiving higher returns on their investments.</w:t>
      </w:r>
    </w:p>
    <w:p w14:paraId="1B382776" w14:textId="77777777" w:rsidR="004F4C59" w:rsidRDefault="004F4C59" w:rsidP="00B14CDE">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Divide the company's profit for a given time period by the total number of outstanding shares to get the earnings per share (Gutierrez et al., 2018). It's useful for estimating the company's worth since it breaks down how much money the company makes from each share of stock. From the numbers, we can deduce that the company will have an EPS of 0.61 in 2020 and 0.718 in 2021. The higher the ratio, the greater the potential profit that can be generated from each individual share.</w:t>
      </w:r>
    </w:p>
    <w:p w14:paraId="6549325D" w14:textId="77777777" w:rsidR="004F4C59" w:rsidRDefault="004F4C59" w:rsidP="00B14CDE">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Profit margin as a percentage of sales: It is used as a metric for gauging the health of a company's bottom line. The sum of money made from the company's sales is shown. the amount of total income to revenue for a certain time frame. The computed ratios for the years ending in 2020 and 2021, however, are 5.68% and 6.39%. The ratio improved, indicating the company was able to maximise earnings by selling more. The company is using successful advertising methods to boost revenue and earnings.</w:t>
      </w:r>
    </w:p>
    <w:p w14:paraId="29C7F5E4" w14:textId="721697B8" w:rsidR="00B14CDE" w:rsidRDefault="004F4C59" w:rsidP="00B14CDE">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The turnover rate for assets may be used as a benchmark to determine a company's productivity. It helps in determining how effectively the company is putting its resources to work in order to boost revenue</w:t>
      </w:r>
      <w:r>
        <w:rPr>
          <w:rFonts w:ascii="Times New Roman" w:hAnsi="Times New Roman" w:cs="Times New Roman"/>
          <w:sz w:val="24"/>
          <w:szCs w:val="24"/>
        </w:rPr>
        <w:t xml:space="preserve">. </w:t>
      </w:r>
      <w:r w:rsidRPr="004F4C59">
        <w:rPr>
          <w:rFonts w:ascii="Times New Roman" w:hAnsi="Times New Roman" w:cs="Times New Roman"/>
          <w:sz w:val="24"/>
          <w:szCs w:val="24"/>
        </w:rPr>
        <w:t xml:space="preserve">The ratio of net operating income to capital employed is calculated. </w:t>
      </w:r>
      <w:r>
        <w:rPr>
          <w:rFonts w:ascii="Times New Roman" w:hAnsi="Times New Roman" w:cs="Times New Roman"/>
          <w:sz w:val="24"/>
          <w:szCs w:val="24"/>
        </w:rPr>
        <w:t>(</w:t>
      </w:r>
      <w:r w:rsidRPr="004F4C59">
        <w:rPr>
          <w:rFonts w:ascii="Times New Roman" w:hAnsi="Times New Roman" w:cs="Times New Roman"/>
          <w:sz w:val="24"/>
          <w:szCs w:val="24"/>
        </w:rPr>
        <w:t xml:space="preserve">GOFWAN </w:t>
      </w:r>
      <w:r>
        <w:rPr>
          <w:rFonts w:ascii="Times New Roman" w:hAnsi="Times New Roman" w:cs="Times New Roman"/>
          <w:sz w:val="24"/>
          <w:szCs w:val="24"/>
        </w:rPr>
        <w:t>–</w:t>
      </w:r>
      <w:r w:rsidRPr="004F4C59">
        <w:rPr>
          <w:rFonts w:ascii="Times New Roman" w:hAnsi="Times New Roman" w:cs="Times New Roman"/>
          <w:sz w:val="24"/>
          <w:szCs w:val="24"/>
        </w:rPr>
        <w:t xml:space="preserve"> 2022</w:t>
      </w:r>
      <w:r>
        <w:rPr>
          <w:rFonts w:ascii="Times New Roman" w:hAnsi="Times New Roman" w:cs="Times New Roman"/>
          <w:sz w:val="24"/>
          <w:szCs w:val="24"/>
        </w:rPr>
        <w:t xml:space="preserve">). </w:t>
      </w:r>
      <w:r w:rsidRPr="004F4C59">
        <w:rPr>
          <w:rFonts w:ascii="Times New Roman" w:hAnsi="Times New Roman" w:cs="Times New Roman"/>
          <w:sz w:val="24"/>
          <w:szCs w:val="24"/>
        </w:rPr>
        <w:t xml:space="preserve">Based on the foregoing, the ratios for 2020 </w:t>
      </w:r>
      <w:r w:rsidRPr="004F4C59">
        <w:rPr>
          <w:rFonts w:ascii="Times New Roman" w:hAnsi="Times New Roman" w:cs="Times New Roman"/>
          <w:sz w:val="24"/>
          <w:szCs w:val="24"/>
        </w:rPr>
        <w:lastRenderedPageBreak/>
        <w:t>and 2021 are projected to be 0.6385 and 0.6798. A minimal growth rate like this indicates that the company is not making the most of its resources and is thus unable to develop or boost revenue.</w:t>
      </w:r>
    </w:p>
    <w:p w14:paraId="577831B0" w14:textId="77777777" w:rsidR="004F4C59" w:rsidRDefault="004F4C59" w:rsidP="00B14CDE">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Inventory turnover ratio: the length of time an organisation needs to sell off its stock or inventory to determine the inventory turnover rate It lays out the timeline for how many times the stock is moved before the business stops selling it. The computed ratio is 78 days per year, with both years having 77-day totals. This means the company cannot shorten the timeframe necessary to convert its shares into cash. The value of a business is diminished when it keeps things in storage for too long.</w:t>
      </w:r>
    </w:p>
    <w:p w14:paraId="7BF09FDD" w14:textId="77777777" w:rsidR="004F4C59" w:rsidRDefault="004F4C59" w:rsidP="00B14CDE">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Time allotted for collecting debts: It's the time that it takes to be paid by its lenders. It is beneficial to the company's operations if the collection time is short, whereas a prolonged period of non-payment is seen as counterproductive. In 2020, the ratio will be 73 days, and in 2021, it will be 68 days. This decrease demonstrates the company's ability to effectively collect the amount owed from its users or lenders, as well as its effectiveness in acquiring the sum from its creditors and the resulting decline in the period of recovery from debtors.</w:t>
      </w:r>
    </w:p>
    <w:p w14:paraId="67C767FA" w14:textId="19EAF2C1" w:rsidR="004F4C59" w:rsidRDefault="004F4C59" w:rsidP="00B14CDE">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Determine the firm's pooled funds by comparing its short-term obligations to its most liquid asset. This is known as the current ratio</w:t>
      </w:r>
      <w:r>
        <w:rPr>
          <w:rFonts w:ascii="Times New Roman" w:hAnsi="Times New Roman" w:cs="Times New Roman"/>
          <w:sz w:val="24"/>
          <w:szCs w:val="24"/>
        </w:rPr>
        <w:t xml:space="preserve">. </w:t>
      </w:r>
      <w:r w:rsidRPr="004F4C59">
        <w:rPr>
          <w:rFonts w:ascii="Times New Roman" w:hAnsi="Times New Roman" w:cs="Times New Roman"/>
          <w:sz w:val="24"/>
          <w:szCs w:val="24"/>
        </w:rPr>
        <w:t>It reveals if the company has enough assets to pay down its annual short-term commitments</w:t>
      </w:r>
      <w:r>
        <w:rPr>
          <w:rFonts w:ascii="Times New Roman" w:hAnsi="Times New Roman" w:cs="Times New Roman"/>
          <w:sz w:val="24"/>
          <w:szCs w:val="24"/>
        </w:rPr>
        <w:t xml:space="preserve"> (</w:t>
      </w:r>
      <w:r w:rsidRPr="004F4C59">
        <w:rPr>
          <w:rFonts w:ascii="Times New Roman" w:hAnsi="Times New Roman" w:cs="Times New Roman"/>
          <w:sz w:val="24"/>
          <w:szCs w:val="24"/>
        </w:rPr>
        <w:t xml:space="preserve">Aras, </w:t>
      </w:r>
      <w:r>
        <w:rPr>
          <w:rFonts w:ascii="Times New Roman" w:hAnsi="Times New Roman" w:cs="Times New Roman"/>
          <w:sz w:val="24"/>
          <w:szCs w:val="24"/>
        </w:rPr>
        <w:t xml:space="preserve">et. al., 2010). </w:t>
      </w:r>
      <w:r w:rsidRPr="004F4C59">
        <w:rPr>
          <w:rFonts w:ascii="Times New Roman" w:hAnsi="Times New Roman" w:cs="Times New Roman"/>
          <w:sz w:val="24"/>
          <w:szCs w:val="24"/>
        </w:rPr>
        <w:t xml:space="preserve"> This company has 0.77 in 2020 and 0.92 in 2021, according to the numbers. A higher ratio shows that the company is using all of its available cash to pay its bills. The ratio is still too low, so the organisation has to do more to boost its skills.</w:t>
      </w:r>
    </w:p>
    <w:p w14:paraId="54900975" w14:textId="77777777" w:rsidR="004F4C59" w:rsidRPr="004F4C59" w:rsidRDefault="004F4C59" w:rsidP="004F4C59">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The budget deficit to equity ratio is a business statistic used to assess a company's level of exposure and financial position health.To get this ratio, divide the group's current debt by its equity ratio. A high debt-to-equity ratio indicates that a company relies heavily on outside financing to meet its capital needs, while a low number indicates that the company can get by with the help of its current resources rather than seeking further financing. The aforementioned ratios indicate that the company is using its own funds to engage in its businesses at a higher rate than it is using outside financing (2020: 2.46; 2021: 2.15).</w:t>
      </w:r>
    </w:p>
    <w:p w14:paraId="34C7A432" w14:textId="77777777" w:rsidR="004F4C59" w:rsidRPr="004F4C59" w:rsidRDefault="004F4C59" w:rsidP="004F4C59">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The equity ratio is a metric used to assess a company's degree of financial leverage (Hyndman and McConville, 2018). It reveals whether or not a company can maintain its activities without attracting external capital. It reveals how much of the receivables are funded via equity issues as opposed to debt financing. And for seasons ending in 2020 and 2021, the estimated ratios are 0.30 and 0.32. The ratio has not changed, which indicates that the firm is successfully using capital to control its finances.</w:t>
      </w:r>
    </w:p>
    <w:p w14:paraId="656F9CB2" w14:textId="2B08AA0D" w:rsidR="004F4C59" w:rsidRDefault="004F4C59" w:rsidP="004F4C59">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The ratio of debt to total assets is calculated by businesses to see how much of their assets are being funded by debt from outside sources</w:t>
      </w:r>
      <w:r>
        <w:rPr>
          <w:rFonts w:ascii="Times New Roman" w:hAnsi="Times New Roman" w:cs="Times New Roman"/>
          <w:sz w:val="24"/>
          <w:szCs w:val="24"/>
        </w:rPr>
        <w:t xml:space="preserve"> (</w:t>
      </w:r>
      <w:r w:rsidRPr="004F4C59">
        <w:rPr>
          <w:rFonts w:ascii="Times New Roman" w:hAnsi="Times New Roman" w:cs="Times New Roman"/>
          <w:sz w:val="24"/>
          <w:szCs w:val="24"/>
        </w:rPr>
        <w:t>Elamer</w:t>
      </w:r>
      <w:r>
        <w:rPr>
          <w:rFonts w:ascii="Times New Roman" w:hAnsi="Times New Roman" w:cs="Times New Roman"/>
          <w:sz w:val="24"/>
          <w:szCs w:val="24"/>
        </w:rPr>
        <w:t xml:space="preserve"> and </w:t>
      </w:r>
      <w:r w:rsidRPr="004F4C59">
        <w:rPr>
          <w:rFonts w:ascii="Times New Roman" w:hAnsi="Times New Roman" w:cs="Times New Roman"/>
          <w:sz w:val="24"/>
          <w:szCs w:val="24"/>
        </w:rPr>
        <w:t xml:space="preserve"> Benyazid</w:t>
      </w:r>
      <w:r>
        <w:rPr>
          <w:rFonts w:ascii="Times New Roman" w:hAnsi="Times New Roman" w:cs="Times New Roman"/>
          <w:sz w:val="24"/>
          <w:szCs w:val="24"/>
        </w:rPr>
        <w:t>, 2018).</w:t>
      </w:r>
      <w:r w:rsidRPr="004F4C59">
        <w:rPr>
          <w:rFonts w:ascii="Times New Roman" w:hAnsi="Times New Roman" w:cs="Times New Roman"/>
          <w:sz w:val="24"/>
          <w:szCs w:val="24"/>
        </w:rPr>
        <w:t xml:space="preserve"> To get this ratio, we divide the company's outstanding liabilities by its total assets. For 2020 and 2021, the derived debt ratios are 0.71 and 0.68, respectively. It states that the level of debt consumption has been drastically reduced in order to generate capital for asset expansion. The company does not select the debt alternative as a means of financing its assets.</w:t>
      </w:r>
    </w:p>
    <w:p w14:paraId="06707BC2" w14:textId="42150CDB" w:rsidR="004F4C59" w:rsidRDefault="004F4C59" w:rsidP="004F4C59">
      <w:pPr>
        <w:pStyle w:val="ListParagraph"/>
        <w:numPr>
          <w:ilvl w:val="0"/>
          <w:numId w:val="2"/>
        </w:num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The interest coverage ratio measures a company's capacity to meet interest payments on its obligations</w:t>
      </w:r>
      <w:r>
        <w:rPr>
          <w:rFonts w:ascii="Times New Roman" w:hAnsi="Times New Roman" w:cs="Times New Roman"/>
          <w:sz w:val="24"/>
          <w:szCs w:val="24"/>
        </w:rPr>
        <w:t xml:space="preserve"> (</w:t>
      </w:r>
      <w:r w:rsidRPr="004F4C59">
        <w:rPr>
          <w:rFonts w:ascii="Times New Roman" w:hAnsi="Times New Roman" w:cs="Times New Roman"/>
          <w:sz w:val="24"/>
          <w:szCs w:val="24"/>
        </w:rPr>
        <w:t>Elamer</w:t>
      </w:r>
      <w:r>
        <w:rPr>
          <w:rFonts w:ascii="Times New Roman" w:hAnsi="Times New Roman" w:cs="Times New Roman"/>
          <w:sz w:val="24"/>
          <w:szCs w:val="24"/>
        </w:rPr>
        <w:t xml:space="preserve"> and </w:t>
      </w:r>
      <w:r w:rsidRPr="004F4C59">
        <w:rPr>
          <w:rFonts w:ascii="Times New Roman" w:hAnsi="Times New Roman" w:cs="Times New Roman"/>
          <w:sz w:val="24"/>
          <w:szCs w:val="24"/>
        </w:rPr>
        <w:t xml:space="preserve"> Benyazid</w:t>
      </w:r>
      <w:r>
        <w:rPr>
          <w:rFonts w:ascii="Times New Roman" w:hAnsi="Times New Roman" w:cs="Times New Roman"/>
          <w:sz w:val="24"/>
          <w:szCs w:val="24"/>
        </w:rPr>
        <w:t xml:space="preserve">, 2018). </w:t>
      </w:r>
      <w:r w:rsidRPr="004F4C59">
        <w:rPr>
          <w:rFonts w:ascii="Times New Roman" w:hAnsi="Times New Roman" w:cs="Times New Roman"/>
          <w:sz w:val="24"/>
          <w:szCs w:val="24"/>
        </w:rPr>
        <w:t>Although the "sweet spot" for this metric varies per industry, in general, a higher ratio is preferred. 2020 and 2021 have ratios of 3.87 and 3.56, together, for their last years. Organizations are urged to take corrective action since a low coverage ratio for interest indicates a diminished ability to pay.</w:t>
      </w:r>
    </w:p>
    <w:p w14:paraId="3C9AF9B0" w14:textId="73566ECD" w:rsidR="004F4C59" w:rsidRPr="0057353A" w:rsidRDefault="004F4C59" w:rsidP="004F4C59">
      <w:pPr>
        <w:spacing w:line="360" w:lineRule="auto"/>
        <w:jc w:val="both"/>
        <w:rPr>
          <w:rFonts w:ascii="Times New Roman" w:hAnsi="Times New Roman" w:cs="Times New Roman"/>
          <w:b/>
          <w:bCs/>
          <w:sz w:val="24"/>
          <w:szCs w:val="24"/>
        </w:rPr>
      </w:pPr>
      <w:r w:rsidRPr="0057353A">
        <w:rPr>
          <w:rFonts w:ascii="Times New Roman" w:hAnsi="Times New Roman" w:cs="Times New Roman"/>
          <w:b/>
          <w:bCs/>
          <w:sz w:val="24"/>
          <w:szCs w:val="24"/>
        </w:rPr>
        <w:t>Conclusion</w:t>
      </w:r>
    </w:p>
    <w:p w14:paraId="55E5B2B8" w14:textId="399FA16E" w:rsidR="004F4C59" w:rsidRPr="004F4C59" w:rsidRDefault="0057353A" w:rsidP="004F4C59">
      <w:pPr>
        <w:spacing w:line="360" w:lineRule="auto"/>
        <w:jc w:val="both"/>
        <w:rPr>
          <w:rFonts w:ascii="Times New Roman" w:hAnsi="Times New Roman" w:cs="Times New Roman"/>
          <w:sz w:val="24"/>
          <w:szCs w:val="24"/>
        </w:rPr>
      </w:pPr>
      <w:r w:rsidRPr="0057353A">
        <w:rPr>
          <w:rFonts w:ascii="Times New Roman" w:hAnsi="Times New Roman" w:cs="Times New Roman"/>
          <w:sz w:val="24"/>
          <w:szCs w:val="24"/>
        </w:rPr>
        <w:t>It is clear from the above that accounting plays a crucial role in determining the economic health of a company's activities. Stakeholders use the resulting reports and statements to inform their choices on funding, taxation, credit facilities, and other areas of interest. Management relies heavily on statements to learn about the production plan and accounting procedures' efficacy. Management and other users also utilise financial indicators to assess the organization's progress and health. There are a number of various ratios that may be used to get insight into the health of a business. Profitability is tracked over a certain time frame using the net profit. Different from liquidity ratios, which represent an organization's capacity to pay its debts, performance ratios show how well a corporation performs in a free economy.</w:t>
      </w:r>
    </w:p>
    <w:p w14:paraId="77DE25CD" w14:textId="77777777" w:rsidR="00B14CDE" w:rsidRPr="00B14CDE" w:rsidRDefault="00B14CDE" w:rsidP="00B14CDE">
      <w:pPr>
        <w:spacing w:line="360" w:lineRule="auto"/>
        <w:jc w:val="both"/>
        <w:rPr>
          <w:rFonts w:ascii="Times New Roman" w:hAnsi="Times New Roman" w:cs="Times New Roman"/>
          <w:sz w:val="24"/>
          <w:szCs w:val="24"/>
        </w:rPr>
      </w:pPr>
    </w:p>
    <w:p w14:paraId="5127757D" w14:textId="3C00C17E" w:rsidR="004F3C5D" w:rsidRDefault="004F3C5D" w:rsidP="004F3C5D">
      <w:pPr>
        <w:spacing w:line="360" w:lineRule="auto"/>
        <w:jc w:val="both"/>
        <w:rPr>
          <w:rFonts w:ascii="Times New Roman" w:hAnsi="Times New Roman" w:cs="Times New Roman"/>
          <w:sz w:val="24"/>
          <w:szCs w:val="24"/>
        </w:rPr>
      </w:pPr>
    </w:p>
    <w:p w14:paraId="040BD206" w14:textId="5484DC16" w:rsidR="0057353A" w:rsidRDefault="0057353A" w:rsidP="004F3C5D">
      <w:pPr>
        <w:spacing w:line="360" w:lineRule="auto"/>
        <w:jc w:val="both"/>
        <w:rPr>
          <w:rFonts w:ascii="Times New Roman" w:hAnsi="Times New Roman" w:cs="Times New Roman"/>
          <w:sz w:val="24"/>
          <w:szCs w:val="24"/>
        </w:rPr>
      </w:pPr>
    </w:p>
    <w:p w14:paraId="07FC22C5" w14:textId="77777777" w:rsidR="0057353A" w:rsidRPr="004F3C5D" w:rsidRDefault="0057353A" w:rsidP="004F3C5D">
      <w:pPr>
        <w:spacing w:line="360" w:lineRule="auto"/>
        <w:jc w:val="both"/>
        <w:rPr>
          <w:rFonts w:ascii="Times New Roman" w:hAnsi="Times New Roman" w:cs="Times New Roman"/>
          <w:sz w:val="24"/>
          <w:szCs w:val="24"/>
        </w:rPr>
      </w:pPr>
    </w:p>
    <w:p w14:paraId="3392ED77" w14:textId="77777777" w:rsidR="004F3C5D" w:rsidRDefault="004F3C5D" w:rsidP="004F3C5D">
      <w:pPr>
        <w:spacing w:line="360" w:lineRule="auto"/>
        <w:jc w:val="both"/>
        <w:rPr>
          <w:rFonts w:ascii="Times New Roman" w:hAnsi="Times New Roman" w:cs="Times New Roman"/>
          <w:sz w:val="24"/>
          <w:szCs w:val="24"/>
        </w:rPr>
      </w:pPr>
    </w:p>
    <w:p w14:paraId="796552A4" w14:textId="30064FFE" w:rsidR="004F3C5D" w:rsidRDefault="004F3C5D" w:rsidP="004F3C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7D37A068" w14:textId="1367B73A" w:rsidR="004F4C59" w:rsidRDefault="004F4C59" w:rsidP="004F3C5D">
      <w:p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Aras, G., Aybars, A. and Kutlu, O., 2010. Managing corporate performance: Investigating the relationship between corporate social responsibility and financial performance in emerging markets. </w:t>
      </w:r>
      <w:r w:rsidRPr="004F4C59">
        <w:rPr>
          <w:rFonts w:ascii="Times New Roman" w:hAnsi="Times New Roman" w:cs="Times New Roman"/>
          <w:i/>
          <w:iCs/>
          <w:sz w:val="24"/>
          <w:szCs w:val="24"/>
        </w:rPr>
        <w:t>International Journal of productivity and Performance management</w:t>
      </w:r>
      <w:r w:rsidRPr="004F4C59">
        <w:rPr>
          <w:rFonts w:ascii="Times New Roman" w:hAnsi="Times New Roman" w:cs="Times New Roman"/>
          <w:sz w:val="24"/>
          <w:szCs w:val="24"/>
        </w:rPr>
        <w:t>.</w:t>
      </w:r>
    </w:p>
    <w:p w14:paraId="0CECEF6F" w14:textId="1DAD0E39" w:rsidR="004F4C59" w:rsidRDefault="004F4C59" w:rsidP="004F3C5D">
      <w:p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Elamer, A.A. and Benyazid, I., 2018. The impact of risk committee on financial performance of UK financial institutions. </w:t>
      </w:r>
      <w:r w:rsidRPr="004F4C59">
        <w:rPr>
          <w:rFonts w:ascii="Times New Roman" w:hAnsi="Times New Roman" w:cs="Times New Roman"/>
          <w:i/>
          <w:iCs/>
          <w:sz w:val="24"/>
          <w:szCs w:val="24"/>
        </w:rPr>
        <w:t>International Journal of Accounting and Finance, Forthcoming</w:t>
      </w:r>
      <w:r w:rsidRPr="004F4C59">
        <w:rPr>
          <w:rFonts w:ascii="Times New Roman" w:hAnsi="Times New Roman" w:cs="Times New Roman"/>
          <w:sz w:val="24"/>
          <w:szCs w:val="24"/>
        </w:rPr>
        <w:t>.</w:t>
      </w:r>
    </w:p>
    <w:p w14:paraId="72CED4EE" w14:textId="3FF6987A" w:rsidR="00B14CDE" w:rsidRDefault="00B14CDE" w:rsidP="004F3C5D">
      <w:pPr>
        <w:spacing w:line="360" w:lineRule="auto"/>
        <w:jc w:val="both"/>
        <w:rPr>
          <w:rFonts w:ascii="Times New Roman" w:hAnsi="Times New Roman" w:cs="Times New Roman"/>
          <w:sz w:val="24"/>
          <w:szCs w:val="24"/>
        </w:rPr>
      </w:pPr>
      <w:r w:rsidRPr="00B14CDE">
        <w:rPr>
          <w:rFonts w:ascii="Times New Roman" w:hAnsi="Times New Roman" w:cs="Times New Roman"/>
          <w:sz w:val="24"/>
          <w:szCs w:val="24"/>
        </w:rPr>
        <w:t>Flynn, D. and Koornhof, C., 2005. </w:t>
      </w:r>
      <w:r w:rsidRPr="00B14CDE">
        <w:rPr>
          <w:rFonts w:ascii="Times New Roman" w:hAnsi="Times New Roman" w:cs="Times New Roman"/>
          <w:i/>
          <w:iCs/>
          <w:sz w:val="24"/>
          <w:szCs w:val="24"/>
        </w:rPr>
        <w:t>Fundamental accounting</w:t>
      </w:r>
      <w:r w:rsidRPr="00B14CDE">
        <w:rPr>
          <w:rFonts w:ascii="Times New Roman" w:hAnsi="Times New Roman" w:cs="Times New Roman"/>
          <w:sz w:val="24"/>
          <w:szCs w:val="24"/>
        </w:rPr>
        <w:t>. Juta and Company Ltd.</w:t>
      </w:r>
    </w:p>
    <w:p w14:paraId="72444879" w14:textId="078F3C0D" w:rsidR="004F4C59" w:rsidRDefault="004F4C59" w:rsidP="004F3C5D">
      <w:pPr>
        <w:spacing w:line="360" w:lineRule="auto"/>
        <w:jc w:val="both"/>
        <w:rPr>
          <w:rFonts w:ascii="Times New Roman" w:hAnsi="Times New Roman" w:cs="Times New Roman"/>
          <w:sz w:val="24"/>
          <w:szCs w:val="24"/>
        </w:rPr>
      </w:pPr>
      <w:r w:rsidRPr="004F4C59">
        <w:rPr>
          <w:rFonts w:ascii="Times New Roman" w:hAnsi="Times New Roman" w:cs="Times New Roman"/>
          <w:sz w:val="24"/>
          <w:szCs w:val="24"/>
        </w:rPr>
        <w:t>GOFWAN, H., 2022. Effect of accounting information system on financial performance of firms: A review of literature. DEPARTMENT OF ACCOUNTING (BINGHAM UNIVERSITY)-2nd Departmental Seminar Series with the Theme–History of Accounting Thoughts: A Methodological Approach. Vol. 2, No. 1.</w:t>
      </w:r>
    </w:p>
    <w:p w14:paraId="44417B2A" w14:textId="512D9644" w:rsidR="00B14CDE" w:rsidRDefault="00B14CDE" w:rsidP="004F3C5D">
      <w:pPr>
        <w:spacing w:line="360" w:lineRule="auto"/>
        <w:jc w:val="both"/>
        <w:rPr>
          <w:rFonts w:ascii="Times New Roman" w:hAnsi="Times New Roman" w:cs="Times New Roman"/>
          <w:sz w:val="24"/>
          <w:szCs w:val="24"/>
        </w:rPr>
      </w:pPr>
      <w:r w:rsidRPr="00B14CDE">
        <w:rPr>
          <w:rFonts w:ascii="Times New Roman" w:hAnsi="Times New Roman" w:cs="Times New Roman"/>
          <w:sz w:val="24"/>
          <w:szCs w:val="24"/>
        </w:rPr>
        <w:t>Lugovskу, D. and Kuter, M., 2019, May. Accounting policies, accounting estimates and its role in the preparation of fair financial statements in digital economy. In </w:t>
      </w:r>
      <w:r w:rsidRPr="00B14CDE">
        <w:rPr>
          <w:rFonts w:ascii="Times New Roman" w:hAnsi="Times New Roman" w:cs="Times New Roman"/>
          <w:i/>
          <w:iCs/>
          <w:sz w:val="24"/>
          <w:szCs w:val="24"/>
        </w:rPr>
        <w:t>International Conference on Integrated Science</w:t>
      </w:r>
      <w:r w:rsidRPr="00B14CDE">
        <w:rPr>
          <w:rFonts w:ascii="Times New Roman" w:hAnsi="Times New Roman" w:cs="Times New Roman"/>
          <w:sz w:val="24"/>
          <w:szCs w:val="24"/>
        </w:rPr>
        <w:t> (pp. 165-176). Springer, Cham.</w:t>
      </w:r>
    </w:p>
    <w:p w14:paraId="0F42B4C4" w14:textId="66425B61" w:rsidR="00B14CDE" w:rsidRDefault="00B14CDE" w:rsidP="004F3C5D">
      <w:pPr>
        <w:spacing w:line="360" w:lineRule="auto"/>
        <w:jc w:val="both"/>
        <w:rPr>
          <w:rFonts w:ascii="Times New Roman" w:hAnsi="Times New Roman" w:cs="Times New Roman"/>
          <w:sz w:val="24"/>
          <w:szCs w:val="24"/>
        </w:rPr>
      </w:pPr>
      <w:r w:rsidRPr="00B14CDE">
        <w:rPr>
          <w:rFonts w:ascii="Times New Roman" w:hAnsi="Times New Roman" w:cs="Times New Roman"/>
          <w:sz w:val="24"/>
          <w:szCs w:val="24"/>
        </w:rPr>
        <w:t>Song, M., Zhu, S., Wang, J. and Wang, S., 2019. China's natural resources balance sheet from the perspective of government oversight: based on the analysis of governance and accounting attributes. </w:t>
      </w:r>
      <w:r w:rsidRPr="00B14CDE">
        <w:rPr>
          <w:rFonts w:ascii="Times New Roman" w:hAnsi="Times New Roman" w:cs="Times New Roman"/>
          <w:i/>
          <w:iCs/>
          <w:sz w:val="24"/>
          <w:szCs w:val="24"/>
        </w:rPr>
        <w:t>Journal of environmental management</w:t>
      </w:r>
      <w:r w:rsidRPr="00B14CDE">
        <w:rPr>
          <w:rFonts w:ascii="Times New Roman" w:hAnsi="Times New Roman" w:cs="Times New Roman"/>
          <w:sz w:val="24"/>
          <w:szCs w:val="24"/>
        </w:rPr>
        <w:t>, </w:t>
      </w:r>
      <w:r w:rsidRPr="00B14CDE">
        <w:rPr>
          <w:rFonts w:ascii="Times New Roman" w:hAnsi="Times New Roman" w:cs="Times New Roman"/>
          <w:i/>
          <w:iCs/>
          <w:sz w:val="24"/>
          <w:szCs w:val="24"/>
        </w:rPr>
        <w:t>248</w:t>
      </w:r>
      <w:r w:rsidRPr="00B14CDE">
        <w:rPr>
          <w:rFonts w:ascii="Times New Roman" w:hAnsi="Times New Roman" w:cs="Times New Roman"/>
          <w:sz w:val="24"/>
          <w:szCs w:val="24"/>
        </w:rPr>
        <w:t>, p.109232.</w:t>
      </w:r>
    </w:p>
    <w:p w14:paraId="3E0568C2" w14:textId="1D05BDA2" w:rsidR="004F3C5D" w:rsidRDefault="004F3C5D" w:rsidP="004F3C5D">
      <w:pPr>
        <w:spacing w:line="360" w:lineRule="auto"/>
        <w:jc w:val="both"/>
        <w:rPr>
          <w:rFonts w:ascii="Times New Roman" w:hAnsi="Times New Roman" w:cs="Times New Roman"/>
          <w:sz w:val="24"/>
          <w:szCs w:val="24"/>
        </w:rPr>
      </w:pPr>
      <w:r w:rsidRPr="004F3C5D">
        <w:rPr>
          <w:rFonts w:ascii="Times New Roman" w:hAnsi="Times New Roman" w:cs="Times New Roman"/>
          <w:sz w:val="24"/>
          <w:szCs w:val="24"/>
        </w:rPr>
        <w:t>Turtle, H.J. and Wang, K., 2017. The value in fundamental accounting information. </w:t>
      </w:r>
      <w:r w:rsidRPr="004F3C5D">
        <w:rPr>
          <w:rFonts w:ascii="Times New Roman" w:hAnsi="Times New Roman" w:cs="Times New Roman"/>
          <w:i/>
          <w:iCs/>
          <w:sz w:val="24"/>
          <w:szCs w:val="24"/>
        </w:rPr>
        <w:t>Journal of Financial Research</w:t>
      </w:r>
      <w:r w:rsidRPr="004F3C5D">
        <w:rPr>
          <w:rFonts w:ascii="Times New Roman" w:hAnsi="Times New Roman" w:cs="Times New Roman"/>
          <w:sz w:val="24"/>
          <w:szCs w:val="24"/>
        </w:rPr>
        <w:t>, </w:t>
      </w:r>
      <w:r w:rsidRPr="004F3C5D">
        <w:rPr>
          <w:rFonts w:ascii="Times New Roman" w:hAnsi="Times New Roman" w:cs="Times New Roman"/>
          <w:i/>
          <w:iCs/>
          <w:sz w:val="24"/>
          <w:szCs w:val="24"/>
        </w:rPr>
        <w:t>40</w:t>
      </w:r>
      <w:r w:rsidRPr="004F3C5D">
        <w:rPr>
          <w:rFonts w:ascii="Times New Roman" w:hAnsi="Times New Roman" w:cs="Times New Roman"/>
          <w:sz w:val="24"/>
          <w:szCs w:val="24"/>
        </w:rPr>
        <w:t>(1), pp.113-140.</w:t>
      </w:r>
    </w:p>
    <w:p w14:paraId="77E048F8" w14:textId="1B2C6A8C" w:rsidR="004F3C5D" w:rsidRPr="004F3C5D" w:rsidRDefault="004F3C5D" w:rsidP="004F3C5D">
      <w:pPr>
        <w:spacing w:line="360" w:lineRule="auto"/>
        <w:jc w:val="both"/>
        <w:rPr>
          <w:rFonts w:ascii="Times New Roman" w:hAnsi="Times New Roman" w:cs="Times New Roman"/>
          <w:sz w:val="24"/>
          <w:szCs w:val="24"/>
        </w:rPr>
      </w:pPr>
      <w:r w:rsidRPr="004F3C5D">
        <w:rPr>
          <w:rFonts w:ascii="Times New Roman" w:hAnsi="Times New Roman" w:cs="Times New Roman"/>
          <w:sz w:val="24"/>
          <w:szCs w:val="24"/>
        </w:rPr>
        <w:t>Wild, J.J., Shaw, K.W., Chiappetta, B., Dahawy, K. and Samaha, K., 2007. </w:t>
      </w:r>
      <w:r w:rsidRPr="004F3C5D">
        <w:rPr>
          <w:rFonts w:ascii="Times New Roman" w:hAnsi="Times New Roman" w:cs="Times New Roman"/>
          <w:i/>
          <w:iCs/>
          <w:sz w:val="24"/>
          <w:szCs w:val="24"/>
        </w:rPr>
        <w:t>Fundamental accounting principles</w:t>
      </w:r>
      <w:r w:rsidRPr="004F3C5D">
        <w:rPr>
          <w:rFonts w:ascii="Times New Roman" w:hAnsi="Times New Roman" w:cs="Times New Roman"/>
          <w:sz w:val="24"/>
          <w:szCs w:val="24"/>
        </w:rPr>
        <w:t> (p. 1216). McGraw-Hill.</w:t>
      </w:r>
    </w:p>
    <w:sectPr w:rsidR="004F3C5D" w:rsidRPr="004F3C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F12A0"/>
    <w:multiLevelType w:val="hybridMultilevel"/>
    <w:tmpl w:val="626E9C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504A8"/>
    <w:multiLevelType w:val="hybridMultilevel"/>
    <w:tmpl w:val="AB2AE8E6"/>
    <w:lvl w:ilvl="0" w:tplc="D886474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090786">
    <w:abstractNumId w:val="1"/>
  </w:num>
  <w:num w:numId="2" w16cid:durableId="1781991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C5D"/>
    <w:rsid w:val="004F3C5D"/>
    <w:rsid w:val="004F4C59"/>
    <w:rsid w:val="00504B0F"/>
    <w:rsid w:val="0057353A"/>
    <w:rsid w:val="00604CFB"/>
    <w:rsid w:val="00B14CDE"/>
    <w:rsid w:val="00B6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1FE08"/>
  <w15:chartTrackingRefBased/>
  <w15:docId w15:val="{1F34DB96-3250-4D3A-B18A-47015EA0F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3C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emf" /><Relationship Id="rId5" Type="http://schemas.openxmlformats.org/officeDocument/2006/relationships/image" Target="media/image1.emf"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1915</Words>
  <Characters>10916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chiriac</dc:creator>
  <cp:keywords/>
  <dc:description/>
  <cp:lastModifiedBy>Cristian Lupu</cp:lastModifiedBy>
  <cp:revision>2</cp:revision>
  <dcterms:created xsi:type="dcterms:W3CDTF">2023-01-08T07:49:00Z</dcterms:created>
  <dcterms:modified xsi:type="dcterms:W3CDTF">2023-01-08T07:49:00Z</dcterms:modified>
</cp:coreProperties>
</file>