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7D23" w:rsidRDefault="00987D23">
      <w:pPr>
        <w:spacing w:line="480" w:lineRule="auto"/>
        <w:jc w:val="center"/>
        <w:rPr>
          <w:rFonts w:ascii="Times New Roman" w:hAnsi="Times New Roman" w:cs="Times New Roman"/>
          <w:b/>
          <w:sz w:val="24"/>
        </w:rPr>
      </w:pPr>
    </w:p>
    <w:p w:rsidR="00C250D6" w:rsidRDefault="00C250D6" w:rsidP="00C250D6">
      <w:pPr>
        <w:spacing w:line="480" w:lineRule="auto"/>
        <w:jc w:val="center"/>
        <w:rPr>
          <w:rFonts w:ascii="Times New Roman" w:hAnsi="Times New Roman" w:cs="Times New Roman"/>
          <w:b/>
          <w:sz w:val="24"/>
        </w:rPr>
      </w:pPr>
      <w:r>
        <w:rPr>
          <w:rFonts w:ascii="Times New Roman" w:hAnsi="Times New Roman" w:cs="Times New Roman"/>
          <w:b/>
          <w:sz w:val="24"/>
        </w:rPr>
        <w:t xml:space="preserve">Student name: Ayesha Mehmood </w:t>
      </w:r>
    </w:p>
    <w:p w:rsidR="00C250D6" w:rsidRDefault="00C250D6" w:rsidP="00C250D6">
      <w:pPr>
        <w:spacing w:line="480" w:lineRule="auto"/>
        <w:jc w:val="center"/>
        <w:rPr>
          <w:rFonts w:ascii="Times New Roman" w:hAnsi="Times New Roman" w:cs="Times New Roman"/>
          <w:b/>
          <w:sz w:val="24"/>
        </w:rPr>
      </w:pPr>
      <w:r>
        <w:rPr>
          <w:rFonts w:ascii="Times New Roman" w:hAnsi="Times New Roman" w:cs="Times New Roman"/>
          <w:b/>
          <w:sz w:val="24"/>
        </w:rPr>
        <w:t>Student number: 2329624</w:t>
      </w:r>
    </w:p>
    <w:p w:rsidR="00987D23" w:rsidRDefault="00987D23">
      <w:pPr>
        <w:spacing w:line="480" w:lineRule="auto"/>
        <w:jc w:val="both"/>
        <w:rPr>
          <w:rFonts w:ascii="Times New Roman" w:hAnsi="Times New Roman" w:cs="Times New Roman"/>
          <w:b/>
          <w:sz w:val="24"/>
        </w:rPr>
      </w:pPr>
    </w:p>
    <w:p w:rsidR="00987D23" w:rsidRDefault="00DC5941">
      <w:pPr>
        <w:spacing w:line="480" w:lineRule="auto"/>
        <w:jc w:val="center"/>
        <w:rPr>
          <w:rFonts w:ascii="Times New Roman" w:hAnsi="Times New Roman" w:cs="Times New Roman"/>
        </w:rPr>
      </w:pPr>
      <w:r>
        <w:rPr>
          <w:rFonts w:ascii="Times New Roman" w:hAnsi="Times New Roman" w:cs="Times New Roman"/>
          <w:b/>
          <w:sz w:val="24"/>
        </w:rPr>
        <w:t>BSc (Hons) Health and Social Care</w:t>
      </w:r>
    </w:p>
    <w:p w:rsidR="00987D23" w:rsidRDefault="00DC5941">
      <w:pPr>
        <w:spacing w:line="480" w:lineRule="auto"/>
        <w:jc w:val="center"/>
        <w:rPr>
          <w:rFonts w:ascii="Times New Roman" w:hAnsi="Times New Roman" w:cs="Times New Roman"/>
        </w:rPr>
      </w:pPr>
      <w:r>
        <w:rPr>
          <w:rFonts w:ascii="Times New Roman" w:hAnsi="Times New Roman" w:cs="Times New Roman"/>
          <w:sz w:val="24"/>
        </w:rPr>
        <w:t>BMHP6029 Psychological Classifications and Provisions</w:t>
      </w:r>
    </w:p>
    <w:p w:rsidR="00987D23" w:rsidRDefault="00DC5941">
      <w:pPr>
        <w:spacing w:line="480" w:lineRule="auto"/>
        <w:jc w:val="center"/>
        <w:rPr>
          <w:rFonts w:ascii="Times New Roman" w:hAnsi="Times New Roman" w:cs="Times New Roman"/>
        </w:rPr>
      </w:pPr>
      <w:r>
        <w:rPr>
          <w:rFonts w:ascii="Times New Roman" w:hAnsi="Times New Roman" w:cs="Times New Roman"/>
          <w:sz w:val="24"/>
        </w:rPr>
        <w:t>Component 2: Written Assignment Report</w:t>
      </w:r>
    </w:p>
    <w:p w:rsidR="00987D23" w:rsidRDefault="00987D23">
      <w:pPr>
        <w:spacing w:line="480" w:lineRule="auto"/>
        <w:rPr>
          <w:rFonts w:ascii="Times New Roman" w:hAnsi="Times New Roman" w:cs="Times New Roman"/>
        </w:rPr>
      </w:pPr>
    </w:p>
    <w:p w:rsidR="00987D23" w:rsidRDefault="00DC5941">
      <w:pPr>
        <w:spacing w:line="480" w:lineRule="auto"/>
        <w:jc w:val="center"/>
        <w:rPr>
          <w:rFonts w:ascii="Times New Roman" w:hAnsi="Times New Roman" w:cs="Times New Roman"/>
        </w:rPr>
      </w:pPr>
      <w:r>
        <w:rPr>
          <w:rFonts w:ascii="Times New Roman" w:hAnsi="Times New Roman" w:cs="Times New Roman"/>
          <w:b/>
          <w:sz w:val="28"/>
        </w:rPr>
        <w:t>Critical Examination of Attention Deficit Hyperactivity Disorder in ICD-11</w:t>
      </w:r>
    </w:p>
    <w:p w:rsidR="00987D23" w:rsidRDefault="00DC5941">
      <w:pPr>
        <w:spacing w:line="480" w:lineRule="auto"/>
        <w:jc w:val="center"/>
        <w:rPr>
          <w:rFonts w:ascii="Times New Roman" w:hAnsi="Times New Roman" w:cs="Times New Roman"/>
        </w:rPr>
      </w:pPr>
      <w:r>
        <w:rPr>
          <w:rFonts w:ascii="Times New Roman" w:hAnsi="Times New Roman" w:cs="Times New Roman"/>
          <w:i/>
          <w:sz w:val="24"/>
        </w:rPr>
        <w:t xml:space="preserve">Classification, Diagnosis, Treatment and </w:t>
      </w:r>
      <w:r>
        <w:rPr>
          <w:rFonts w:ascii="Times New Roman" w:hAnsi="Times New Roman" w:cs="Times New Roman"/>
          <w:i/>
          <w:sz w:val="24"/>
        </w:rPr>
        <w:t>Rehabilitation</w:t>
      </w:r>
    </w:p>
    <w:p w:rsidR="00987D23" w:rsidRDefault="00987D23">
      <w:pPr>
        <w:spacing w:line="480" w:lineRule="auto"/>
        <w:rPr>
          <w:rFonts w:ascii="Times New Roman" w:hAnsi="Times New Roman" w:cs="Times New Roman"/>
        </w:rPr>
      </w:pPr>
    </w:p>
    <w:p w:rsidR="00987D23" w:rsidRDefault="00987D23">
      <w:pPr>
        <w:spacing w:line="480" w:lineRule="auto"/>
        <w:rPr>
          <w:rFonts w:ascii="Times New Roman" w:hAnsi="Times New Roman" w:cs="Times New Roman"/>
        </w:rPr>
      </w:pPr>
    </w:p>
    <w:p w:rsidR="00987D23" w:rsidRDefault="00987D23">
      <w:pPr>
        <w:spacing w:line="480" w:lineRule="auto"/>
        <w:rPr>
          <w:rFonts w:ascii="Times New Roman" w:hAnsi="Times New Roman" w:cs="Times New Roman"/>
        </w:rPr>
      </w:pPr>
    </w:p>
    <w:p w:rsidR="00987D23" w:rsidRDefault="00DC5941">
      <w:pPr>
        <w:spacing w:line="480" w:lineRule="auto"/>
        <w:rPr>
          <w:rFonts w:ascii="Times New Roman" w:hAnsi="Times New Roman" w:cs="Times New Roman"/>
        </w:rPr>
      </w:pPr>
      <w:r>
        <w:rPr>
          <w:rFonts w:ascii="Times New Roman" w:hAnsi="Times New Roman" w:cs="Times New Roman"/>
        </w:rPr>
        <w:br w:type="page"/>
      </w:r>
    </w:p>
    <w:p w:rsidR="00987D23" w:rsidRDefault="00DC5941">
      <w:pPr>
        <w:pStyle w:val="Heading1"/>
        <w:spacing w:line="480" w:lineRule="auto"/>
        <w:rPr>
          <w:rFonts w:ascii="Times New Roman" w:hAnsi="Times New Roman" w:cs="Times New Roman"/>
          <w:sz w:val="24"/>
          <w:szCs w:val="24"/>
        </w:rPr>
      </w:pPr>
      <w:r>
        <w:rPr>
          <w:rFonts w:ascii="Times New Roman" w:hAnsi="Times New Roman" w:cs="Times New Roman"/>
          <w:sz w:val="24"/>
          <w:szCs w:val="24"/>
        </w:rPr>
        <w:lastRenderedPageBreak/>
        <w:t>1. Introduction</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Attention deficit hyperactivity disorder (ADHD) is a developmental disorder associated with persistent problems with attention, activity level and impulse control and self-regulation. It often becomes apparent in childho</w:t>
      </w:r>
      <w:r>
        <w:rPr>
          <w:rFonts w:ascii="Times New Roman" w:hAnsi="Times New Roman" w:cs="Times New Roman"/>
          <w:sz w:val="24"/>
          <w:szCs w:val="24"/>
        </w:rPr>
        <w:t>od, but can persist in adolescence and adulthood. This report reviews critically the classification of ADHD in ICD-11 Chapter 6, mental, behavioural, or neurodevelopmental disorders. It examines classification, diagnosis, treatment, rehabilitation and curr</w:t>
      </w:r>
      <w:r>
        <w:rPr>
          <w:rFonts w:ascii="Times New Roman" w:hAnsi="Times New Roman" w:cs="Times New Roman"/>
          <w:sz w:val="24"/>
          <w:szCs w:val="24"/>
        </w:rPr>
        <w:t>ent debates and also explores the impact of formal diagnostic language on the everyday provision of support, access to services and public attitudes. The core message is that ICD-11 will enhance recognition by replacing the more limited ICD-10 idea of hype</w:t>
      </w:r>
      <w:r>
        <w:rPr>
          <w:rFonts w:ascii="Times New Roman" w:hAnsi="Times New Roman" w:cs="Times New Roman"/>
          <w:sz w:val="24"/>
          <w:szCs w:val="24"/>
        </w:rPr>
        <w:t>rkinetic disorder; however, services would benefit from greater person centred, lifespan and neurodiversity-informed service delivery (World Health Organization, 2025; Gomez et al., 2023). It also enhances accountability, raising awareness of support needs</w:t>
      </w:r>
      <w:r>
        <w:rPr>
          <w:rFonts w:ascii="Times New Roman" w:hAnsi="Times New Roman" w:cs="Times New Roman"/>
          <w:sz w:val="24"/>
          <w:szCs w:val="24"/>
        </w:rPr>
        <w:t xml:space="preserve"> with schools, employers and health services, rather than leaving the family to deal with it all alone.</w:t>
      </w:r>
    </w:p>
    <w:p w:rsidR="00987D23" w:rsidRDefault="00DC5941">
      <w:pPr>
        <w:pStyle w:val="Heading1"/>
        <w:rPr>
          <w:sz w:val="24"/>
          <w:szCs w:val="24"/>
        </w:rPr>
      </w:pPr>
      <w:r>
        <w:rPr>
          <w:sz w:val="24"/>
          <w:szCs w:val="24"/>
        </w:rPr>
        <w:t>2. Classification and diagnosis in ICD-11</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Under ICD-11, ADHD is classified under ‘neurodevelopmental disorders' with code 6A05. This is important as it </w:t>
      </w:r>
      <w:r>
        <w:rPr>
          <w:rFonts w:ascii="Times New Roman" w:hAnsi="Times New Roman" w:cs="Times New Roman"/>
          <w:sz w:val="24"/>
          <w:szCs w:val="24"/>
        </w:rPr>
        <w:t>will help to change the way that ADHD is perceived as a developmental disorder, not just a problem with behaviour. ICD-11 describes ADHD as a persistent pattern, lasting at least six months, of inattention and/or hyperactivity-impulsivity that directly aff</w:t>
      </w:r>
      <w:r>
        <w:rPr>
          <w:rFonts w:ascii="Times New Roman" w:hAnsi="Times New Roman" w:cs="Times New Roman"/>
          <w:sz w:val="24"/>
          <w:szCs w:val="24"/>
        </w:rPr>
        <w:t>ects academic, occupational or social functioning. Symptoms should be clear by 12 years of age, regardless of when the person first accesses services (World Health Organization, 2025). The term “disorder” in the classification emphasizes impairment and the</w:t>
      </w:r>
      <w:r>
        <w:rPr>
          <w:rFonts w:ascii="Times New Roman" w:hAnsi="Times New Roman" w:cs="Times New Roman"/>
          <w:sz w:val="24"/>
          <w:szCs w:val="24"/>
        </w:rPr>
        <w:t xml:space="preserve"> need for care. But the broader neurodevelopmental site also allows for a less blameful definition of ADHD as a mismatch between people and their environments in which the disorder becomes disabling.</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ICD-11 includes predominantly inattentive, predominantly</w:t>
      </w:r>
      <w:r>
        <w:rPr>
          <w:rFonts w:ascii="Times New Roman" w:hAnsi="Times New Roman" w:cs="Times New Roman"/>
          <w:sz w:val="24"/>
          <w:szCs w:val="24"/>
        </w:rPr>
        <w:t xml:space="preserve"> hyperactive-impulsive and combined presentations. This is a functional change which could happen because many people, particularly girls and adults, might not exhibit disruptive conduct. Conversely, ICD-10 hyperkinetic disorder needed a more extreme patte</w:t>
      </w:r>
      <w:r>
        <w:rPr>
          <w:rFonts w:ascii="Times New Roman" w:hAnsi="Times New Roman" w:cs="Times New Roman"/>
          <w:sz w:val="24"/>
          <w:szCs w:val="24"/>
        </w:rPr>
        <w:t xml:space="preserve">rn of inattention, hyperactivity and impulsivity. This ICD-11 approach might thus improve recognition, but also lead to concerns regarding boundaries between normal variation and clinically significant disorder (Abdelnour, Jansen and Gold, 2022). Although </w:t>
      </w:r>
      <w:r>
        <w:rPr>
          <w:rFonts w:ascii="Times New Roman" w:hAnsi="Times New Roman" w:cs="Times New Roman"/>
          <w:sz w:val="24"/>
          <w:szCs w:val="24"/>
        </w:rPr>
        <w:t>there are similarities, Gomez et al. (2023) point out that ICD-11 and DSM-5-TR have distinct symptom thresholds and symptom organisation, and clinicians need to be cautious when using tools that were developed for a different classification system.</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A diagn</w:t>
      </w:r>
      <w:r>
        <w:rPr>
          <w:rFonts w:ascii="Times New Roman" w:hAnsi="Times New Roman" w:cs="Times New Roman"/>
          <w:sz w:val="24"/>
          <w:szCs w:val="24"/>
        </w:rPr>
        <w:t>osis should not solely be based upon one short appointment or a checklist. NICE (2018) suggest that assessment should be done by a trained specialist, based on developmental history, more than one setting, symptom duration, functional limitation, coexistin</w:t>
      </w:r>
      <w:r>
        <w:rPr>
          <w:rFonts w:ascii="Times New Roman" w:hAnsi="Times New Roman" w:cs="Times New Roman"/>
          <w:sz w:val="24"/>
          <w:szCs w:val="24"/>
        </w:rPr>
        <w:t>g conditions, and the person's own account. Rating scales can be used to assist clinical judgement, but they cannot take the place of clinical judgement. That's important, as ADHD has a significant overlap with autism, anxiety, depression, trauma, and slee</w:t>
      </w:r>
      <w:r>
        <w:rPr>
          <w:rFonts w:ascii="Times New Roman" w:hAnsi="Times New Roman" w:cs="Times New Roman"/>
          <w:sz w:val="24"/>
          <w:szCs w:val="24"/>
        </w:rPr>
        <w:t>p and substance misuse problems (Faraone et al., 2021). Narrow assessment can lead to misdiagnosis, under-diagnosis of ADHD or treatment of only the most apparent problem. It can also miss some physical problems that could be causing poor concentration, li</w:t>
      </w:r>
      <w:r>
        <w:rPr>
          <w:rFonts w:ascii="Times New Roman" w:hAnsi="Times New Roman" w:cs="Times New Roman"/>
          <w:sz w:val="24"/>
          <w:szCs w:val="24"/>
        </w:rPr>
        <w:t>ke sleep apnoea, thyroid or side effects of medication.</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Another diagnostic issue is inequality. Restless in class boys are more likely to be referred, and girls and women may internalise distress, appear with primary inattention, and/or emotional overwhelm</w:t>
      </w:r>
      <w:r>
        <w:rPr>
          <w:rFonts w:ascii="Times New Roman" w:hAnsi="Times New Roman" w:cs="Times New Roman"/>
          <w:sz w:val="24"/>
          <w:szCs w:val="24"/>
        </w:rPr>
        <w:t>. Studies of women who are diagnosed late for ADHD indicate that missed ADHD can cause shame, low self-esteem and multiple service utilization for secondary anxiety and depression (Holden et al., 2025). Social class and ethnicity as well as private assessm</w:t>
      </w:r>
      <w:r>
        <w:rPr>
          <w:rFonts w:ascii="Times New Roman" w:hAnsi="Times New Roman" w:cs="Times New Roman"/>
          <w:sz w:val="24"/>
          <w:szCs w:val="24"/>
        </w:rPr>
        <w:t xml:space="preserve">ent may </w:t>
      </w:r>
      <w:r>
        <w:rPr>
          <w:rFonts w:ascii="Times New Roman" w:hAnsi="Times New Roman" w:cs="Times New Roman"/>
          <w:sz w:val="24"/>
          <w:szCs w:val="24"/>
        </w:rPr>
        <w:lastRenderedPageBreak/>
        <w:t xml:space="preserve">also influence those who are diagnosed. Thus ICD-11 criteria provide a useful resource but they require clinician training and access to services to render a fair diagnosis. A well-designed assessment should also include questions about strengths, </w:t>
      </w:r>
      <w:r>
        <w:rPr>
          <w:rFonts w:ascii="Times New Roman" w:hAnsi="Times New Roman" w:cs="Times New Roman"/>
          <w:sz w:val="24"/>
          <w:szCs w:val="24"/>
        </w:rPr>
        <w:t>coping strategies and how masking affects them – high achievement can mask serious effort and exhaustion.</w:t>
      </w:r>
    </w:p>
    <w:p w:rsidR="00987D23" w:rsidRDefault="00DC5941">
      <w:pPr>
        <w:pStyle w:val="Heading1"/>
        <w:rPr>
          <w:sz w:val="24"/>
          <w:szCs w:val="24"/>
        </w:rPr>
      </w:pPr>
      <w:r>
        <w:rPr>
          <w:sz w:val="24"/>
          <w:szCs w:val="24"/>
        </w:rPr>
        <w:t>3. Treatment and rehabilitation</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Treatment should be polypharmacological. It should decrease impairment, and preserve dignity, identity and participati</w:t>
      </w:r>
      <w:r>
        <w:rPr>
          <w:rFonts w:ascii="Times New Roman" w:hAnsi="Times New Roman" w:cs="Times New Roman"/>
          <w:sz w:val="24"/>
          <w:szCs w:val="24"/>
        </w:rPr>
        <w:t>on. NICE (2018) suggests information, environment changes and support before or in conjunction with medication. For children and young people this could be advice for parents/carers, strategies within the school setting and learning about ADHD. This can in</w:t>
      </w:r>
      <w:r>
        <w:rPr>
          <w:rFonts w:ascii="Times New Roman" w:hAnsi="Times New Roman" w:cs="Times New Roman"/>
          <w:sz w:val="24"/>
          <w:szCs w:val="24"/>
        </w:rPr>
        <w:t>volve psychoeducation, coaching, psychological support and reasonable adjustments in the workplace or at school for adults. This is significant because ADHD impacts on daily functioning, relationships, and self management, and not just test performance. Tr</w:t>
      </w:r>
      <w:r>
        <w:rPr>
          <w:rFonts w:ascii="Times New Roman" w:hAnsi="Times New Roman" w:cs="Times New Roman"/>
          <w:sz w:val="24"/>
          <w:szCs w:val="24"/>
        </w:rPr>
        <w:t>eatment goals should therefore be agreed to with the person and family, for example safer behaviours, better attendance, less conflict, improved sleep and more confidence.</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There is clear evidence supporting the use of medication for symptom reduction only </w:t>
      </w:r>
      <w:r>
        <w:rPr>
          <w:rFonts w:ascii="Times New Roman" w:hAnsi="Times New Roman" w:cs="Times New Roman"/>
          <w:sz w:val="24"/>
          <w:szCs w:val="24"/>
        </w:rPr>
        <w:t>and not as a complete rehabilitation program. Cortese et al. (2018) suggested that for children and adolescents, there was strong evidence for methylphenidate, and for adults, strong efficacy was observed for amphetamines. Rationale for NICE (2018) recomme</w:t>
      </w:r>
      <w:r>
        <w:rPr>
          <w:rFonts w:ascii="Times New Roman" w:hAnsi="Times New Roman" w:cs="Times New Roman"/>
          <w:sz w:val="24"/>
          <w:szCs w:val="24"/>
        </w:rPr>
        <w:t>nding use of methylphenidate as first line medication for children older than five and lisdexamfetamine or methylphenidate for adults depending on response and tolerance. Medications may enhance concentration and decrease impulsivity, but there are side ef</w:t>
      </w:r>
      <w:r>
        <w:rPr>
          <w:rFonts w:ascii="Times New Roman" w:hAnsi="Times New Roman" w:cs="Times New Roman"/>
          <w:sz w:val="24"/>
          <w:szCs w:val="24"/>
        </w:rPr>
        <w:t xml:space="preserve">fects, adherence, appetite, sleep, blood pressure, misuse risks etc. that must be monitored. In a study by Zhang et al. (2022), the researchers did not observe a statistically significant overall relationship between ADHD medication and </w:t>
      </w:r>
      <w:r>
        <w:rPr>
          <w:rFonts w:ascii="Times New Roman" w:hAnsi="Times New Roman" w:cs="Times New Roman"/>
          <w:sz w:val="24"/>
          <w:szCs w:val="24"/>
        </w:rPr>
        <w:lastRenderedPageBreak/>
        <w:t>cardiovascular dise</w:t>
      </w:r>
      <w:r>
        <w:rPr>
          <w:rFonts w:ascii="Times New Roman" w:hAnsi="Times New Roman" w:cs="Times New Roman"/>
          <w:sz w:val="24"/>
          <w:szCs w:val="24"/>
        </w:rPr>
        <w:t>ase, but the possibility of small risks was not entirely ruled out. This enables selective baseline assessment and follow up, but not fear-based avoidance or non-critical prescribing.</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Non pharmacological treatment is still key. The effects of behavioural p</w:t>
      </w:r>
      <w:r>
        <w:rPr>
          <w:rFonts w:ascii="Times New Roman" w:hAnsi="Times New Roman" w:cs="Times New Roman"/>
          <w:sz w:val="24"/>
          <w:szCs w:val="24"/>
        </w:rPr>
        <w:t>arent training, classroom support and organisational skills interventions on daily functioning differ by age, setting, and outcome (Sibley et al., 2023). CBT has been shown to be effective in managing planning, procrastination, emotional regulation and neg</w:t>
      </w:r>
      <w:r>
        <w:rPr>
          <w:rFonts w:ascii="Times New Roman" w:hAnsi="Times New Roman" w:cs="Times New Roman"/>
          <w:sz w:val="24"/>
          <w:szCs w:val="24"/>
        </w:rPr>
        <w:t>ative beliefs held by adults (Liu et al., 2023). But there are some limitations to psychological interventions, including cost, having to wait on the waiting list and the time burden they impose on someone who is already challenged with organisation. Where</w:t>
      </w:r>
      <w:r>
        <w:rPr>
          <w:rFonts w:ascii="Times New Roman" w:hAnsi="Times New Roman" w:cs="Times New Roman"/>
          <w:sz w:val="24"/>
          <w:szCs w:val="24"/>
        </w:rPr>
        <w:t xml:space="preserve"> possible, practical and accessible to the person's real environment. Families also require assistance to prevent the development of blaming patterns, as subsequent criticism can escalate oppositional behaviour, anxiety and low mood.</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perspective of </w:t>
      </w:r>
      <w:r>
        <w:rPr>
          <w:rFonts w:ascii="Times New Roman" w:hAnsi="Times New Roman" w:cs="Times New Roman"/>
          <w:sz w:val="24"/>
          <w:szCs w:val="24"/>
        </w:rPr>
        <w:t>rehabilitation in ADHD is to be seen as functional support throughout the life. ICD-11 is not prescriptive in terms of a rehabilitation pathway and will need to be linked with the concept of participation and environmental barriers from the International C</w:t>
      </w:r>
      <w:r>
        <w:rPr>
          <w:rFonts w:ascii="Times New Roman" w:hAnsi="Times New Roman" w:cs="Times New Roman"/>
          <w:sz w:val="24"/>
          <w:szCs w:val="24"/>
        </w:rPr>
        <w:t>lassification of Functioning. Support in education can involve seating, movement breaks, written instructions, less distractions, and less structure. Support in employment may be in the form of flexible deadlines, quiet work space, reminders, task-breaking</w:t>
      </w:r>
      <w:r>
        <w:rPr>
          <w:rFonts w:ascii="Times New Roman" w:hAnsi="Times New Roman" w:cs="Times New Roman"/>
          <w:sz w:val="24"/>
          <w:szCs w:val="24"/>
        </w:rPr>
        <w:t xml:space="preserve"> and assistive technology. Rehabilitation also involves transition to adult services from school based systems as many young people lose support when they leave school. This is a clinically significant gap: if there is no continuity, the person may suddenl</w:t>
      </w:r>
      <w:r>
        <w:rPr>
          <w:rFonts w:ascii="Times New Roman" w:hAnsi="Times New Roman" w:cs="Times New Roman"/>
          <w:sz w:val="24"/>
          <w:szCs w:val="24"/>
        </w:rPr>
        <w:t>y cease to take medication or only move into adult services when in crisis.</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There is an associated problem of the links between historical and current provision. The problem of hyperactivity in children was traditionally considered one of moral, behavioura</w:t>
      </w:r>
      <w:r>
        <w:rPr>
          <w:rFonts w:ascii="Times New Roman" w:hAnsi="Times New Roman" w:cs="Times New Roman"/>
          <w:sz w:val="24"/>
          <w:szCs w:val="24"/>
        </w:rPr>
        <w:t xml:space="preserve">l or </w:t>
      </w:r>
      <w:r>
        <w:rPr>
          <w:rFonts w:ascii="Times New Roman" w:hAnsi="Times New Roman" w:cs="Times New Roman"/>
          <w:sz w:val="24"/>
          <w:szCs w:val="24"/>
        </w:rPr>
        <w:lastRenderedPageBreak/>
        <w:t xml:space="preserve">educational failure and the recognition of adult ADHD was limited. There is a more medicalised and rights-based approach to contemporary provision, though it is not consistent. There is a move to ICD-11, which will enable a consistent lifespan model, </w:t>
      </w:r>
      <w:r>
        <w:rPr>
          <w:rFonts w:ascii="Times New Roman" w:hAnsi="Times New Roman" w:cs="Times New Roman"/>
          <w:sz w:val="24"/>
          <w:szCs w:val="24"/>
        </w:rPr>
        <w:t>but many services are split between child/adult/education and social care systems. That is, classification has outpaced provision, and families are finding themselves missing provision or having to wait for a long time, despite being accepted as having a d</w:t>
      </w:r>
      <w:r>
        <w:rPr>
          <w:rFonts w:ascii="Times New Roman" w:hAnsi="Times New Roman" w:cs="Times New Roman"/>
          <w:sz w:val="24"/>
          <w:szCs w:val="24"/>
        </w:rPr>
        <w:t>iagnosis.</w:t>
      </w:r>
    </w:p>
    <w:p w:rsidR="00987D23" w:rsidRDefault="00DC5941">
      <w:pPr>
        <w:pStyle w:val="Heading1"/>
        <w:rPr>
          <w:sz w:val="24"/>
          <w:szCs w:val="24"/>
        </w:rPr>
      </w:pPr>
      <w:r>
        <w:rPr>
          <w:sz w:val="24"/>
          <w:szCs w:val="24"/>
        </w:rPr>
        <w:t>4. Current debates and emerging issues</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question of whether the increase in ADHD diagnosis is due to overdiagnosis or due to improved diagnosis or a combination of the two is a major debate. It is good that broader criteria and greater awarene</w:t>
      </w:r>
      <w:r>
        <w:rPr>
          <w:rFonts w:ascii="Times New Roman" w:hAnsi="Times New Roman" w:cs="Times New Roman"/>
          <w:sz w:val="24"/>
          <w:szCs w:val="24"/>
        </w:rPr>
        <w:t>ss may identify individuals not previously identified. However, there is the danger of the impact of living in poverty, suffering trauma, being overcrowded in a classroom or being burdened by digital pressure being individualized as disorder (Abdelnour, Ja</w:t>
      </w:r>
      <w:r>
        <w:rPr>
          <w:rFonts w:ascii="Times New Roman" w:hAnsi="Times New Roman" w:cs="Times New Roman"/>
          <w:sz w:val="24"/>
          <w:szCs w:val="24"/>
        </w:rPr>
        <w:t>nsen and Gold, 2022: Martin et al., 2025). One important lesson is to acknowledge that ADHD is a legitimate and disruptive condition and to consider why some environments are more challenging for them to pay attention and regulate. This has policy implicat</w:t>
      </w:r>
      <w:r>
        <w:rPr>
          <w:rFonts w:ascii="Times New Roman" w:hAnsi="Times New Roman" w:cs="Times New Roman"/>
          <w:sz w:val="24"/>
          <w:szCs w:val="24"/>
        </w:rPr>
        <w:t>ions. If the service is only a diagnostic service, services can just increase assessments without providing long-term support services. If ADHD is seen as a fad, then those who require treatment might not receive it.</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A second debate is about neurodivergenc</w:t>
      </w:r>
      <w:r>
        <w:rPr>
          <w:rFonts w:ascii="Times New Roman" w:hAnsi="Times New Roman" w:cs="Times New Roman"/>
          <w:sz w:val="24"/>
          <w:szCs w:val="24"/>
        </w:rPr>
        <w:t>e. Language that reduces ADHD to a defect is criticised from a neurodiversity point of view. It emphasises difference, strengths, identity and the need to change environments. This can help to decrease the stigma and increase engagement. However, a celebra</w:t>
      </w:r>
      <w:r>
        <w:rPr>
          <w:rFonts w:ascii="Times New Roman" w:hAnsi="Times New Roman" w:cs="Times New Roman"/>
          <w:sz w:val="24"/>
          <w:szCs w:val="24"/>
        </w:rPr>
        <w:t>tory interpretation may underestimate the actual level of disability for individuals with more significant symptoms, comorbidities or social disadvantage. Banaschewski et al. (2024) suggest that social expectations play as much a role as individual biology</w:t>
      </w:r>
      <w:r>
        <w:rPr>
          <w:rFonts w:ascii="Times New Roman" w:hAnsi="Times New Roman" w:cs="Times New Roman"/>
          <w:sz w:val="24"/>
          <w:szCs w:val="24"/>
        </w:rPr>
        <w:t xml:space="preserve"> in the </w:t>
      </w:r>
      <w:r>
        <w:rPr>
          <w:rFonts w:ascii="Times New Roman" w:hAnsi="Times New Roman" w:cs="Times New Roman"/>
          <w:sz w:val="24"/>
          <w:szCs w:val="24"/>
        </w:rPr>
        <w:lastRenderedPageBreak/>
        <w:t>development of ADHD. This implies that policy should be integrated and include clinical care as well as support for inclusive education, employment and welfare. In the UK there is a need for joined up support between health, education and social ca</w:t>
      </w:r>
      <w:r>
        <w:rPr>
          <w:rFonts w:ascii="Times New Roman" w:hAnsi="Times New Roman" w:cs="Times New Roman"/>
          <w:sz w:val="24"/>
          <w:szCs w:val="24"/>
        </w:rPr>
        <w:t>re and earlier identification of neurodivergent children, which is reflected in policy discussions both within the UK and in its devolved nations, including Wales (UK Parliament POST, 2024).</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There are still ongoing debates regarding treatment. Some critics</w:t>
      </w:r>
      <w:r>
        <w:rPr>
          <w:rFonts w:ascii="Times New Roman" w:hAnsi="Times New Roman" w:cs="Times New Roman"/>
          <w:sz w:val="24"/>
          <w:szCs w:val="24"/>
        </w:rPr>
        <w:t xml:space="preserve"> say that drugs are being overused, and others claim that failing to treat ADHD will lead to problems at school, accidents, and mental health issues (Faraone et al., 2021). Shared decision making is the best of all ethical practices. Balanced information o</w:t>
      </w:r>
      <w:r>
        <w:rPr>
          <w:rFonts w:ascii="Times New Roman" w:hAnsi="Times New Roman" w:cs="Times New Roman"/>
          <w:sz w:val="24"/>
          <w:szCs w:val="24"/>
        </w:rPr>
        <w:t>n benefits, side effects, and non drug options and review points to be presented to people. Services should steer clear of medication stigma, as well as medication being the only solution. Recent evidence comparing drug and non drug interventions indicates</w:t>
      </w:r>
      <w:r>
        <w:rPr>
          <w:rFonts w:ascii="Times New Roman" w:hAnsi="Times New Roman" w:cs="Times New Roman"/>
          <w:sz w:val="24"/>
          <w:szCs w:val="24"/>
        </w:rPr>
        <w:t xml:space="preserve"> that a single intervention is not sufficient for everyone, highlighting the necessity of individualised planning (Ostinelli et al., 2025).</w:t>
      </w:r>
    </w:p>
    <w:p w:rsidR="00987D23" w:rsidRDefault="00DC5941">
      <w:pPr>
        <w:pStyle w:val="Heading1"/>
        <w:rPr>
          <w:sz w:val="24"/>
          <w:szCs w:val="24"/>
        </w:rPr>
      </w:pPr>
      <w:r>
        <w:rPr>
          <w:sz w:val="24"/>
          <w:szCs w:val="24"/>
        </w:rPr>
        <w:t>5. Recommendations</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First, diagnostic pathways should be applied to the ICD-11 criteria, with a full biopsychosocial </w:t>
      </w:r>
      <w:r>
        <w:rPr>
          <w:rFonts w:ascii="Times New Roman" w:hAnsi="Times New Roman" w:cs="Times New Roman"/>
          <w:sz w:val="24"/>
          <w:szCs w:val="24"/>
        </w:rPr>
        <w:t>assessment. Services should take into account developmental history, impairment, co-existing disorders, family context, evidence of education and work, and the voice of the person. This would decrease the missed diagnosis and over-simple diagnosis. Assessm</w:t>
      </w:r>
      <w:r>
        <w:rPr>
          <w:rFonts w:ascii="Times New Roman" w:hAnsi="Times New Roman" w:cs="Times New Roman"/>
          <w:sz w:val="24"/>
          <w:szCs w:val="24"/>
        </w:rPr>
        <w:t>ent letters should be descriptive of the presentation, strengths, risks and support needs, rather than simply a code.</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Second, ADHD training is needed for professionals throughout the life span. Inattentive presentation, female presentation, adult ADHD, cul</w:t>
      </w:r>
      <w:r>
        <w:rPr>
          <w:rFonts w:ascii="Times New Roman" w:hAnsi="Times New Roman" w:cs="Times New Roman"/>
          <w:sz w:val="24"/>
          <w:szCs w:val="24"/>
        </w:rPr>
        <w:t xml:space="preserve">tural bias, neurodivergence and comorbidity </w:t>
      </w:r>
      <w:r>
        <w:rPr>
          <w:rFonts w:ascii="Times New Roman" w:hAnsi="Times New Roman" w:cs="Times New Roman"/>
          <w:sz w:val="24"/>
          <w:szCs w:val="24"/>
        </w:rPr>
        <w:lastRenderedPageBreak/>
        <w:t>should be trained. This is particularly relevant for primary care, schools, social care and mental health services as they are likely to be first contact services.</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Third, the treatment must be integrated. Medicat</w:t>
      </w:r>
      <w:r>
        <w:rPr>
          <w:rFonts w:ascii="Times New Roman" w:hAnsi="Times New Roman" w:cs="Times New Roman"/>
          <w:sz w:val="24"/>
          <w:szCs w:val="24"/>
        </w:rPr>
        <w:t>ion reviews should not be seen in isolation, as should psychological support, educational adjustments, or workplace support. There should be a planned transition from children to adult services and reasonable waiting time standards in local pathways. Commi</w:t>
      </w:r>
      <w:r>
        <w:rPr>
          <w:rFonts w:ascii="Times New Roman" w:hAnsi="Times New Roman" w:cs="Times New Roman"/>
          <w:sz w:val="24"/>
          <w:szCs w:val="24"/>
        </w:rPr>
        <w:t>ssioners should support post diagnostic help as diagnosis without help is of limited benefit.</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Fourth, there should be balanced language about neurodiversity in policy. Language in relation to services should avoid shame and acknowledge disability and entit</w:t>
      </w:r>
      <w:r>
        <w:rPr>
          <w:rFonts w:ascii="Times New Roman" w:hAnsi="Times New Roman" w:cs="Times New Roman"/>
          <w:sz w:val="24"/>
          <w:szCs w:val="24"/>
        </w:rPr>
        <w:t>lement to support. Public information needs to address that ADHD is not the fault of the parent or a lack of effort on the parents' part, but also must avoid any unrealistic promise that all of the problems can be eradicated by attitude. Other areas that s</w:t>
      </w:r>
      <w:r>
        <w:rPr>
          <w:rFonts w:ascii="Times New Roman" w:hAnsi="Times New Roman" w:cs="Times New Roman"/>
          <w:sz w:val="24"/>
          <w:szCs w:val="24"/>
        </w:rPr>
        <w:t>hould be targeted for research are underserved groups, long-term outcomes and real world models of rehabilitation.</w:t>
      </w:r>
    </w:p>
    <w:p w:rsidR="00987D23" w:rsidRDefault="00DC5941">
      <w:pPr>
        <w:pStyle w:val="Heading1"/>
        <w:rPr>
          <w:sz w:val="24"/>
          <w:szCs w:val="24"/>
        </w:rPr>
      </w:pPr>
      <w:r>
        <w:rPr>
          <w:sz w:val="24"/>
          <w:szCs w:val="24"/>
        </w:rPr>
        <w:t>6. Conclusion</w:t>
      </w:r>
    </w:p>
    <w:p w:rsidR="00987D23" w:rsidRDefault="00DC5941">
      <w:pPr>
        <w:spacing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This represents an improvement from ICD-10, where ADHD was not categorized as a neurodevelopmental disorder. ICD-11 helps to be</w:t>
      </w:r>
      <w:r>
        <w:rPr>
          <w:rFonts w:ascii="Times New Roman" w:hAnsi="Times New Roman" w:cs="Times New Roman"/>
          <w:sz w:val="24"/>
          <w:szCs w:val="24"/>
        </w:rPr>
        <w:t>tter identify inattentive, hyperactive-impulsive and combined presentations, while still requiring clinical skill, fairness and context to diagnose. Combination of medication, psychological assistance, and environmental adjustments is most effective and re</w:t>
      </w:r>
      <w:r>
        <w:rPr>
          <w:rFonts w:ascii="Times New Roman" w:hAnsi="Times New Roman" w:cs="Times New Roman"/>
          <w:sz w:val="24"/>
          <w:szCs w:val="24"/>
        </w:rPr>
        <w:t xml:space="preserve">quires regular review of benefits, side effects and personal goals. Discussions on the overdiagnosis of ADHD, neurodivergence and the use of medication demonstrate that ADHD is not solely a checklist of symptoms. A more effective, person centred, lifespan </w:t>
      </w:r>
      <w:r>
        <w:rPr>
          <w:rFonts w:ascii="Times New Roman" w:hAnsi="Times New Roman" w:cs="Times New Roman"/>
          <w:sz w:val="24"/>
          <w:szCs w:val="24"/>
        </w:rPr>
        <w:t xml:space="preserve">approach is one that acknowledges impairment, minimises stigma, and adapts environments to enable individuals </w:t>
      </w:r>
      <w:r>
        <w:rPr>
          <w:rFonts w:ascii="Times New Roman" w:hAnsi="Times New Roman" w:cs="Times New Roman"/>
          <w:sz w:val="24"/>
          <w:szCs w:val="24"/>
        </w:rPr>
        <w:lastRenderedPageBreak/>
        <w:t>with ADHD to achieve a fuller participation in the educational, employment, and social lives. This is quite the clearest pathway from classificati</w:t>
      </w:r>
      <w:r>
        <w:rPr>
          <w:rFonts w:ascii="Times New Roman" w:hAnsi="Times New Roman" w:cs="Times New Roman"/>
          <w:sz w:val="24"/>
          <w:szCs w:val="24"/>
        </w:rPr>
        <w:t>on to useful provision.</w:t>
      </w:r>
    </w:p>
    <w:p w:rsidR="00987D23" w:rsidRDefault="00DC5941">
      <w:pPr>
        <w:spacing w:line="480" w:lineRule="auto"/>
        <w:rPr>
          <w:rFonts w:ascii="Times New Roman" w:hAnsi="Times New Roman" w:cs="Times New Roman"/>
        </w:rPr>
      </w:pPr>
      <w:r>
        <w:rPr>
          <w:rFonts w:ascii="Times New Roman" w:hAnsi="Times New Roman" w:cs="Times New Roman"/>
        </w:rPr>
        <w:br w:type="page"/>
      </w:r>
    </w:p>
    <w:p w:rsidR="00987D23" w:rsidRDefault="00DC5941">
      <w:pPr>
        <w:pStyle w:val="Heading1"/>
        <w:keepNext w:val="0"/>
        <w:keepLines w:val="0"/>
        <w:spacing w:before="0" w:after="210" w:line="360" w:lineRule="auto"/>
        <w:rPr>
          <w:rFonts w:ascii="Times New Roman" w:hAnsi="Times New Roman" w:cs="Times New Roman"/>
          <w:sz w:val="36"/>
          <w:szCs w:val="36"/>
        </w:rPr>
      </w:pPr>
      <w:r>
        <w:rPr>
          <w:rFonts w:ascii="Times New Roman" w:hAnsi="Times New Roman" w:cs="Times New Roman"/>
          <w:sz w:val="36"/>
          <w:szCs w:val="36"/>
        </w:rPr>
        <w:lastRenderedPageBreak/>
        <w:t>Reference list</w:t>
      </w:r>
    </w:p>
    <w:p w:rsidR="00987D23" w:rsidRDefault="00DC5941">
      <w:pPr>
        <w:pStyle w:val="NormalWeb"/>
        <w:spacing w:beforeAutospacing="0" w:after="210" w:afterAutospacing="0" w:line="360" w:lineRule="auto"/>
      </w:pPr>
      <w:r>
        <w:t xml:space="preserve">Abdelnour, E., Jansen, M.O. and Gold, J.A. (2022) ‘ADHD diagnostic trends: Increased recognition or overdiagnosis?’, </w:t>
      </w:r>
      <w:r>
        <w:rPr>
          <w:rStyle w:val="Emphasis"/>
        </w:rPr>
        <w:t>Missouri Medicine</w:t>
      </w:r>
      <w:r>
        <w:t>, 119(5), pp. 467–473.</w:t>
      </w:r>
    </w:p>
    <w:p w:rsidR="00987D23" w:rsidRDefault="00DC5941">
      <w:pPr>
        <w:pStyle w:val="NormalWeb"/>
        <w:spacing w:beforeAutospacing="0" w:after="210" w:afterAutospacing="0" w:line="360" w:lineRule="auto"/>
      </w:pPr>
      <w:r>
        <w:t xml:space="preserve">Banaschewski, T., Coghill, D., Zuddas, A. and Cortese, S. </w:t>
      </w:r>
      <w:r>
        <w:t xml:space="preserve">(2024) ‘Perspectives on ADHD in children and adolescents as a social construct amidst rising prevalence of diagnosis and medication use’, </w:t>
      </w:r>
      <w:r>
        <w:rPr>
          <w:rStyle w:val="Emphasis"/>
        </w:rPr>
        <w:t>Frontiers in Psychiatry</w:t>
      </w:r>
      <w:r>
        <w:t xml:space="preserve">, 15, article 1289157. Available at: </w:t>
      </w:r>
      <w:hyperlink r:id="rId9" w:tgtFrame="_new" w:history="1">
        <w:r>
          <w:rPr>
            <w:rStyle w:val="Hyperlink"/>
          </w:rPr>
          <w:t>https://doi.org/10.3389/fpsyt.2023.1289157</w:t>
        </w:r>
      </w:hyperlink>
    </w:p>
    <w:p w:rsidR="00987D23" w:rsidRDefault="00DC5941">
      <w:pPr>
        <w:pStyle w:val="NormalWeb"/>
        <w:spacing w:beforeAutospacing="0" w:after="210" w:afterAutospacing="0" w:line="360" w:lineRule="auto"/>
      </w:pPr>
      <w:r>
        <w:t xml:space="preserve">Cortese, S., Adamo, N., Del Giovane, C., Mohr-Jensen, C., Hayes, A.J., Carucci, S., Atkinson, L.Z., Tessari, L., Banaschewski, T., Coghill, D., Hollis, C., Simonoff, E., Zuddas, A., Barbui, C., Purgato, </w:t>
      </w:r>
      <w:r>
        <w:t xml:space="preserve">M., Steinhausen, H.C., Shokraneh, F., Xia, J. and Cipriani, A. (2018) ‘Comparative efficacy and tolerability of medications for attention-deficit hyperactivity disorder in children, adolescents, and adults: A systematic review and network meta-analysis’, </w:t>
      </w:r>
      <w:r>
        <w:rPr>
          <w:rStyle w:val="Emphasis"/>
        </w:rPr>
        <w:t>T</w:t>
      </w:r>
      <w:r>
        <w:rPr>
          <w:rStyle w:val="Emphasis"/>
        </w:rPr>
        <w:t>he Lancet Psychiatry</w:t>
      </w:r>
      <w:r>
        <w:t xml:space="preserve">, 5(9), pp. 727–738. Available at: </w:t>
      </w:r>
      <w:hyperlink r:id="rId10" w:tgtFrame="_new" w:history="1">
        <w:r>
          <w:rPr>
            <w:rStyle w:val="Hyperlink"/>
          </w:rPr>
          <w:t>https://doi.org/10.1016/S2215-0366(18)30269-4</w:t>
        </w:r>
      </w:hyperlink>
    </w:p>
    <w:p w:rsidR="00987D23" w:rsidRDefault="00DC5941">
      <w:pPr>
        <w:pStyle w:val="NormalWeb"/>
        <w:spacing w:beforeAutospacing="0" w:after="210" w:afterAutospacing="0" w:line="360" w:lineRule="auto"/>
      </w:pPr>
      <w:r>
        <w:t>Faraone, S.V., Banaschewski, T., Coghill, D., Zheng, Y., Biederman, J., Bellgrove, M</w:t>
      </w:r>
      <w:r>
        <w:t xml:space="preserve">.A., Newcorn, J.H., Gignac, M., Al Saud, N.M., Manor, I., Rohde, L.A. and Cortese, S. </w:t>
      </w:r>
      <w:r>
        <w:rPr>
          <w:rStyle w:val="Emphasis"/>
        </w:rPr>
        <w:t>et al.</w:t>
      </w:r>
      <w:r>
        <w:t xml:space="preserve"> (2021) ‘The World Federation of ADHD International Consensus Statement: 208 evidence-based conclusions about the disorder’, </w:t>
      </w:r>
      <w:r>
        <w:rPr>
          <w:rStyle w:val="Emphasis"/>
        </w:rPr>
        <w:t>Neuroscience and Biobehavioral Reviews</w:t>
      </w:r>
      <w:r>
        <w:t>,</w:t>
      </w:r>
      <w:r>
        <w:t xml:space="preserve"> 128, pp. 789–818. Available at: </w:t>
      </w:r>
      <w:hyperlink r:id="rId11" w:tgtFrame="_new" w:history="1">
        <w:r>
          <w:rPr>
            <w:rStyle w:val="Hyperlink"/>
          </w:rPr>
          <w:t>https://doi.org/10.1016/j.neubiorev.2021.01.022</w:t>
        </w:r>
      </w:hyperlink>
    </w:p>
    <w:p w:rsidR="00987D23" w:rsidRDefault="00DC5941">
      <w:pPr>
        <w:pStyle w:val="NormalWeb"/>
        <w:spacing w:beforeAutospacing="0" w:after="210" w:afterAutospacing="0" w:line="360" w:lineRule="auto"/>
      </w:pPr>
      <w:r>
        <w:t>Gomez, R., Stavropoulos, V., Vance, A. and Griffiths, M.D. (2023) ‘Differences between DSM-5-TR and IC</w:t>
      </w:r>
      <w:r>
        <w:t xml:space="preserve">D-11 revisions of attention deficit/hyperactivity disorder: A commentary on implications and opportunities’, </w:t>
      </w:r>
      <w:r>
        <w:rPr>
          <w:rStyle w:val="Emphasis"/>
        </w:rPr>
        <w:t>International Journal of Mental Health and Addiction</w:t>
      </w:r>
      <w:r>
        <w:t xml:space="preserve">, 21, pp. 138–148. Available at: </w:t>
      </w:r>
      <w:hyperlink r:id="rId12" w:tgtFrame="_new" w:history="1">
        <w:r>
          <w:rPr>
            <w:rStyle w:val="Hyperlink"/>
          </w:rPr>
          <w:t>https://doi.org/10.1007/s11469-021-00622-2</w:t>
        </w:r>
      </w:hyperlink>
    </w:p>
    <w:p w:rsidR="00987D23" w:rsidRDefault="00DC5941">
      <w:pPr>
        <w:pStyle w:val="NormalWeb"/>
        <w:spacing w:beforeAutospacing="0" w:after="210" w:afterAutospacing="0" w:line="360" w:lineRule="auto"/>
      </w:pPr>
      <w:r>
        <w:t xml:space="preserve">Holden, E., Jenkins, M., Weinman, J. and Herlihy, J. (2025) ‘Adverse experiences of women with undiagnosed ADHD and the invaluable role of diagnosis’, </w:t>
      </w:r>
      <w:r>
        <w:rPr>
          <w:rStyle w:val="Emphasis"/>
        </w:rPr>
        <w:t>Scientific Reports</w:t>
      </w:r>
      <w:r>
        <w:t xml:space="preserve">, 15, article 24188. Available at: </w:t>
      </w:r>
      <w:hyperlink r:id="rId13" w:tgtFrame="_new" w:history="1">
        <w:r>
          <w:rPr>
            <w:rStyle w:val="Hyperlink"/>
          </w:rPr>
          <w:t>https://doi.org/10.1038/s41598-025-04782-y</w:t>
        </w:r>
      </w:hyperlink>
    </w:p>
    <w:p w:rsidR="00987D23" w:rsidRDefault="00DC5941">
      <w:pPr>
        <w:pStyle w:val="NormalWeb"/>
        <w:spacing w:beforeAutospacing="0" w:after="210" w:afterAutospacing="0" w:line="360" w:lineRule="auto"/>
      </w:pPr>
      <w:r>
        <w:t>Liu, C.I., Hua, M.H., Lu, M.L., Liang, C.S., Ho, C.C., Wu, J.Y.W., Tsai, C.K., Chen, C.C., Tu, Y.K., Chien, Y.L. and Yeh, T.C. (2023) ‘Effectiveness</w:t>
      </w:r>
      <w:r>
        <w:t xml:space="preserve"> of cognitive behavioural-based </w:t>
      </w:r>
      <w:r>
        <w:lastRenderedPageBreak/>
        <w:t xml:space="preserve">interventions for adults with attention-deficit/hyperactivity disorder: A meta-analysis of randomized controlled trials’, </w:t>
      </w:r>
      <w:r>
        <w:rPr>
          <w:rStyle w:val="Emphasis"/>
        </w:rPr>
        <w:t>Psychology and Psychotherapy: Theory, Research and Practice</w:t>
      </w:r>
      <w:r>
        <w:t xml:space="preserve">, 96(1), pp. 151–167. Available at: </w:t>
      </w:r>
      <w:hyperlink r:id="rId14" w:tgtFrame="_new" w:history="1">
        <w:r>
          <w:rPr>
            <w:rStyle w:val="Hyperlink"/>
          </w:rPr>
          <w:t>https://doi.org/10.1111/papt.12455</w:t>
        </w:r>
      </w:hyperlink>
    </w:p>
    <w:p w:rsidR="00987D23" w:rsidRDefault="00DC5941">
      <w:pPr>
        <w:pStyle w:val="NormalWeb"/>
        <w:spacing w:beforeAutospacing="0" w:after="210" w:afterAutospacing="0" w:line="360" w:lineRule="auto"/>
      </w:pPr>
      <w:r>
        <w:t>Martin, A.F., Rubin, G.J., Rogers, M.B., Wessely, S., Greenberg, N., Hall, C.E., Pitt, A., Ellis Logan, P. and Brooks, S.K. (2025) ‘The changing prevalence of AD</w:t>
      </w:r>
      <w:r>
        <w:t xml:space="preserve">HD? A systematic review’, </w:t>
      </w:r>
      <w:r>
        <w:rPr>
          <w:rStyle w:val="Emphasis"/>
        </w:rPr>
        <w:t>Journal of Affective Disorders</w:t>
      </w:r>
      <w:r>
        <w:t xml:space="preserve">, 388, article 119427. Available at: </w:t>
      </w:r>
      <w:hyperlink r:id="rId15" w:tgtFrame="_new" w:history="1">
        <w:r>
          <w:rPr>
            <w:rStyle w:val="Hyperlink"/>
          </w:rPr>
          <w:t>https://doi.org/10.1016/j.jad.2025.119427</w:t>
        </w:r>
      </w:hyperlink>
    </w:p>
    <w:p w:rsidR="00987D23" w:rsidRDefault="00DC5941">
      <w:pPr>
        <w:pStyle w:val="NormalWeb"/>
        <w:spacing w:beforeAutospacing="0" w:after="210" w:afterAutospacing="0" w:line="360" w:lineRule="auto"/>
      </w:pPr>
      <w:r>
        <w:t>National Institute for Health and Care Excellence (201</w:t>
      </w:r>
      <w:r>
        <w:t xml:space="preserve">8) </w:t>
      </w:r>
      <w:r>
        <w:rPr>
          <w:rStyle w:val="Emphasis"/>
        </w:rPr>
        <w:t>Attention deficit hyperactivity disorder: Diagnosis and management</w:t>
      </w:r>
      <w:r>
        <w:t xml:space="preserve">. NICE guideline NG87. Last reviewed 7 May 2025. Available at: </w:t>
      </w:r>
      <w:hyperlink r:id="rId16" w:tgtFrame="_new" w:history="1">
        <w:r>
          <w:rPr>
            <w:rStyle w:val="Hyperlink"/>
          </w:rPr>
          <w:t>https://www.nice.org.uk/guidance/ng87</w:t>
        </w:r>
      </w:hyperlink>
      <w:r>
        <w:t xml:space="preserve"> </w:t>
      </w:r>
      <w:r>
        <w:t>(Accessed: 2 July 2026).</w:t>
      </w:r>
    </w:p>
    <w:p w:rsidR="00987D23" w:rsidRDefault="00DC5941">
      <w:pPr>
        <w:pStyle w:val="NormalWeb"/>
        <w:spacing w:beforeAutospacing="0" w:after="210" w:afterAutospacing="0" w:line="360" w:lineRule="auto"/>
      </w:pPr>
      <w:r>
        <w:t>Ostinelli, E.G., Zangani, C., Schulze, M., Ma, D., Macdonald, O., Purgato, M., Furukawa, T.A. and Cortese, S. (2025) ‘Comparative efficacy and acceptability of pharmacological, psychological, and neurostimulatory interventions for ADHD in adults: A systema</w:t>
      </w:r>
      <w:r>
        <w:t xml:space="preserve">tic review and component network meta-analysis’, </w:t>
      </w:r>
      <w:r>
        <w:rPr>
          <w:rStyle w:val="Emphasis"/>
        </w:rPr>
        <w:t>The Lancet Psychiatry</w:t>
      </w:r>
      <w:r>
        <w:t xml:space="preserve">, 12(1), pp. 32–43. Available at: </w:t>
      </w:r>
      <w:hyperlink r:id="rId17" w:tgtFrame="_new" w:history="1">
        <w:r>
          <w:rPr>
            <w:rStyle w:val="Hyperlink"/>
          </w:rPr>
          <w:t>https://doi.org/10.1016/S2215-0366(24)00360-2</w:t>
        </w:r>
      </w:hyperlink>
    </w:p>
    <w:p w:rsidR="00987D23" w:rsidRDefault="00DC5941">
      <w:pPr>
        <w:pStyle w:val="NormalWeb"/>
        <w:spacing w:beforeAutospacing="0" w:after="210" w:afterAutospacing="0" w:line="360" w:lineRule="auto"/>
      </w:pPr>
      <w:r>
        <w:t>Sibley, M.H., Arnold, L.E., Swanson</w:t>
      </w:r>
      <w:r>
        <w:t xml:space="preserve">, J.M., Hechtman, L.T. and Molina, B.S.G. (2023) ‘Non-pharmacological interventions for attention-deficit hyperactivity disorder in children and adolescents’, </w:t>
      </w:r>
      <w:r>
        <w:rPr>
          <w:rStyle w:val="Emphasis"/>
        </w:rPr>
        <w:t>The Lancet Child &amp; Adolescent Health</w:t>
      </w:r>
      <w:r>
        <w:t xml:space="preserve">, 7(7), pp. 415–428. Available at: </w:t>
      </w:r>
      <w:hyperlink r:id="rId18" w:tgtFrame="_new" w:history="1">
        <w:r>
          <w:rPr>
            <w:rStyle w:val="Hyperlink"/>
          </w:rPr>
          <w:t>https://doi.org/10.1016/S2352-4642(22)00381-9</w:t>
        </w:r>
      </w:hyperlink>
    </w:p>
    <w:p w:rsidR="00987D23" w:rsidRDefault="00DC5941">
      <w:pPr>
        <w:pStyle w:val="NormalWeb"/>
        <w:spacing w:beforeAutospacing="0" w:after="210" w:afterAutospacing="0" w:line="360" w:lineRule="auto"/>
      </w:pPr>
      <w:r>
        <w:t xml:space="preserve">UK Parliament POST (2024) </w:t>
      </w:r>
      <w:r>
        <w:rPr>
          <w:rStyle w:val="Emphasis"/>
        </w:rPr>
        <w:t>Support for neurodivergent children and young people</w:t>
      </w:r>
      <w:r>
        <w:t xml:space="preserve">. POSTnote 733. London: Parliamentary Office of Science and Technology. Available at: </w:t>
      </w:r>
      <w:hyperlink r:id="rId19" w:tgtFrame="_new" w:history="1">
        <w:r>
          <w:rPr>
            <w:rStyle w:val="Hyperlink"/>
          </w:rPr>
          <w:t>https://post.parliament.uk/research-briefings/post-pn-0733/</w:t>
        </w:r>
      </w:hyperlink>
      <w:r>
        <w:t xml:space="preserve"> (Accessed: 2 July 2026).</w:t>
      </w:r>
    </w:p>
    <w:p w:rsidR="00987D23" w:rsidRDefault="00DC5941">
      <w:pPr>
        <w:pStyle w:val="NormalWeb"/>
        <w:spacing w:beforeAutospacing="0" w:after="210" w:afterAutospacing="0" w:line="360" w:lineRule="auto"/>
      </w:pPr>
      <w:r>
        <w:t xml:space="preserve">World Health Organization (2025) </w:t>
      </w:r>
      <w:r>
        <w:rPr>
          <w:rStyle w:val="Emphasis"/>
        </w:rPr>
        <w:t>ICD-11 for Mortality and Morbidity Statistics</w:t>
      </w:r>
      <w:r>
        <w:t>. 2025-01</w:t>
      </w:r>
      <w:r>
        <w:t xml:space="preserve"> version. Available at: </w:t>
      </w:r>
      <w:hyperlink r:id="rId20" w:tgtFrame="_new" w:history="1">
        <w:r>
          <w:rPr>
            <w:rStyle w:val="Hyperlink"/>
          </w:rPr>
          <w:t>https://icd.who.int/browse11</w:t>
        </w:r>
      </w:hyperlink>
      <w:r>
        <w:t xml:space="preserve"> (Accessed: 2 July 2026).</w:t>
      </w:r>
    </w:p>
    <w:p w:rsidR="00987D23" w:rsidRDefault="00DC5941">
      <w:pPr>
        <w:pStyle w:val="NormalWeb"/>
        <w:spacing w:beforeAutospacing="0" w:after="210" w:afterAutospacing="0" w:line="360" w:lineRule="auto"/>
      </w:pPr>
      <w:r>
        <w:t>Zhang, L., Yao, H., Li, L., Du Rietz, E., Andell, P., Garcia-Argibay, M., D’Onofrio, B.M., Cortese, S</w:t>
      </w:r>
      <w:r>
        <w:t xml:space="preserve">. and Larsson, H. (2022) ‘Risk of cardiovascular diseases associated with medications used in attention-deficit/hyperactivity disorder: A systematic review and meta-analysis’, </w:t>
      </w:r>
      <w:r>
        <w:rPr>
          <w:rStyle w:val="Emphasis"/>
        </w:rPr>
        <w:t xml:space="preserve">JAMA </w:t>
      </w:r>
      <w:r>
        <w:rPr>
          <w:rStyle w:val="Emphasis"/>
        </w:rPr>
        <w:lastRenderedPageBreak/>
        <w:t>Network Open</w:t>
      </w:r>
      <w:r>
        <w:t xml:space="preserve">, 5(11), e2243597. Available at: </w:t>
      </w:r>
      <w:hyperlink r:id="rId21" w:tgtFrame="_new" w:history="1">
        <w:r>
          <w:rPr>
            <w:rStyle w:val="Hyperlink"/>
          </w:rPr>
          <w:t>https://doi.org/10.1001/jamanetworkopen.2022.43597</w:t>
        </w:r>
      </w:hyperlink>
    </w:p>
    <w:p w:rsidR="00987D23" w:rsidRDefault="00987D23">
      <w:pPr>
        <w:spacing w:after="120" w:line="480" w:lineRule="auto"/>
        <w:ind w:left="360" w:hanging="360"/>
        <w:jc w:val="both"/>
        <w:rPr>
          <w:rFonts w:ascii="Times New Roman" w:hAnsi="Times New Roman" w:cs="Times New Roman"/>
        </w:rPr>
      </w:pPr>
      <w:bookmarkStart w:id="0" w:name="_GoBack"/>
      <w:bookmarkEnd w:id="0"/>
    </w:p>
    <w:sectPr w:rsidR="00987D23" w:rsidSect="00987D23">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C5941" w:rsidRDefault="00DC5941">
      <w:pPr>
        <w:spacing w:line="240" w:lineRule="auto"/>
      </w:pPr>
      <w:r>
        <w:separator/>
      </w:r>
    </w:p>
  </w:endnote>
  <w:endnote w:type="continuationSeparator" w:id="1">
    <w:p w:rsidR="00DC5941" w:rsidRDefault="00DC594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7D23" w:rsidRDefault="00987D23">
    <w:pPr>
      <w:pStyle w:val="Footer"/>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C5941" w:rsidRDefault="00DC5941">
      <w:pPr>
        <w:spacing w:after="0"/>
      </w:pPr>
      <w:r>
        <w:separator/>
      </w:r>
    </w:p>
  </w:footnote>
  <w:footnote w:type="continuationSeparator" w:id="1">
    <w:p w:rsidR="00DC5941" w:rsidRDefault="00DC5941">
      <w:pPr>
        <w:spacing w:after="0"/>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7D23" w:rsidRDefault="00987D23">
    <w:pPr>
      <w:pStyle w:val="Header"/>
    </w:pPr>
    <w:r>
      <w:pict>
        <v:shapetype id="_x0000_t202" coordsize="21600,21600" o:spt="202" path="m,l,21600r21600,l21600,xe">
          <v:stroke joinstyle="miter"/>
          <v:path gradientshapeok="t" o:connecttype="rect"/>
        </v:shapetype>
        <v:shape id="_x0000_s1026" type="#_x0000_t202" style="position:absolute;margin-left:104pt;margin-top:0;width:2in;height:2in;z-index:251659264;mso-wrap-style:none;mso-position-horizontal:right;mso-position-horizontal-relative:margin"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filled="f" stroked="f" strokeweight=".5pt">
          <v:textbox style="mso-fit-shape-to-text:t" inset="0,0,0,0">
            <w:txbxContent>
              <w:p w:rsidR="00987D23" w:rsidRDefault="00987D23">
                <w:pPr>
                  <w:pStyle w:val="Header"/>
                </w:pPr>
                <w:r>
                  <w:fldChar w:fldCharType="begin"/>
                </w:r>
                <w:r w:rsidR="00DC5941">
                  <w:instrText xml:space="preserve"> PAGE  \* MERGEFORMAT </w:instrText>
                </w:r>
                <w:r>
                  <w:fldChar w:fldCharType="separate"/>
                </w:r>
                <w:r w:rsidR="00C250D6">
                  <w:rPr>
                    <w:noProof/>
                  </w:rPr>
                  <w:t>1</w:t>
                </w:r>
                <w:r>
                  <w:fldChar w:fldCharType="end"/>
                </w:r>
              </w:p>
            </w:txbxContent>
          </v:textbox>
          <w10:wrap anchorx="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E"/>
    <w:multiLevelType w:val="singleLevel"/>
    <w:tmpl w:val="FFFFFF7E"/>
    <w:lvl w:ilvl="0">
      <w:start w:val="1"/>
      <w:numFmt w:val="decimal"/>
      <w:pStyle w:val="ListNumber3"/>
      <w:lvlText w:val="%1."/>
      <w:lvlJc w:val="left"/>
      <w:pPr>
        <w:tabs>
          <w:tab w:val="left" w:pos="1080"/>
        </w:tabs>
        <w:ind w:left="1080" w:hanging="360"/>
      </w:pPr>
    </w:lvl>
  </w:abstractNum>
  <w:abstractNum w:abstractNumId="1">
    <w:nsid w:val="FFFFFF7F"/>
    <w:multiLevelType w:val="singleLevel"/>
    <w:tmpl w:val="FFFFFF7F"/>
    <w:lvl w:ilvl="0">
      <w:start w:val="1"/>
      <w:numFmt w:val="decimal"/>
      <w:pStyle w:val="ListNumber2"/>
      <w:lvlText w:val="%1."/>
      <w:lvlJc w:val="left"/>
      <w:pPr>
        <w:tabs>
          <w:tab w:val="left" w:pos="720"/>
        </w:tabs>
        <w:ind w:left="720" w:hanging="360"/>
      </w:pPr>
    </w:lvl>
  </w:abstractNum>
  <w:abstractNum w:abstractNumId="2">
    <w:nsid w:val="FFFFFF82"/>
    <w:multiLevelType w:val="singleLevel"/>
    <w:tmpl w:val="FFFFFF82"/>
    <w:lvl w:ilvl="0">
      <w:start w:val="1"/>
      <w:numFmt w:val="bullet"/>
      <w:pStyle w:val="ListBullet3"/>
      <w:lvlText w:val=""/>
      <w:lvlJc w:val="left"/>
      <w:pPr>
        <w:tabs>
          <w:tab w:val="left" w:pos="1080"/>
        </w:tabs>
        <w:ind w:left="1080" w:hanging="360"/>
      </w:pPr>
      <w:rPr>
        <w:rFonts w:ascii="Symbol" w:hAnsi="Symbol" w:hint="default"/>
      </w:rPr>
    </w:lvl>
  </w:abstractNum>
  <w:abstractNum w:abstractNumId="3">
    <w:nsid w:val="FFFFFF83"/>
    <w:multiLevelType w:val="singleLevel"/>
    <w:tmpl w:val="FFFFFF83"/>
    <w:lvl w:ilvl="0">
      <w:start w:val="1"/>
      <w:numFmt w:val="bullet"/>
      <w:pStyle w:val="ListBullet2"/>
      <w:lvlText w:val=""/>
      <w:lvlJc w:val="left"/>
      <w:pPr>
        <w:tabs>
          <w:tab w:val="left" w:pos="720"/>
        </w:tabs>
        <w:ind w:left="720" w:hanging="360"/>
      </w:pPr>
      <w:rPr>
        <w:rFonts w:ascii="Symbol" w:hAnsi="Symbol" w:hint="default"/>
      </w:rPr>
    </w:lvl>
  </w:abstractNum>
  <w:abstractNum w:abstractNumId="4">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5">
    <w:nsid w:val="FFFFFF89"/>
    <w:multiLevelType w:val="singleLevel"/>
    <w:tmpl w:val="FFFFFF89"/>
    <w:lvl w:ilvl="0">
      <w:start w:val="1"/>
      <w:numFmt w:val="bullet"/>
      <w:pStyle w:val="ListBullet"/>
      <w:lvlText w:val=""/>
      <w:lvlJc w:val="left"/>
      <w:pPr>
        <w:tabs>
          <w:tab w:val="left" w:pos="360"/>
        </w:tabs>
        <w:ind w:left="360" w:hanging="360"/>
      </w:pPr>
      <w:rPr>
        <w:rFonts w:ascii="Symbol" w:hAnsi="Symbol" w:hint="default"/>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9"/>
  <w:defaultTabStop w:val="720"/>
  <w:noPunctuationKerning/>
  <w:characterSpacingControl w:val="doNotCompress"/>
  <w:hdrShapeDefaults>
    <o:shapedefaults v:ext="edit" spidmax="3074"/>
    <o:shapelayout v:ext="edit">
      <o:idmap v:ext="edit" data="1"/>
    </o:shapelayout>
  </w:hdrShapeDefaults>
  <w:footnotePr>
    <w:footnote w:id="0"/>
    <w:footnote w:id="1"/>
  </w:footnotePr>
  <w:endnotePr>
    <w:endnote w:id="0"/>
    <w:endnote w:id="1"/>
  </w:endnotePr>
  <w:compat>
    <w:doNotExpandShiftReturn/>
    <w:doNotWrapTextWithPunct/>
    <w:doNotUseEastAsianBreakRules/>
    <w:useFELayout/>
  </w:compat>
  <w:rsids>
    <w:rsidRoot w:val="00B47730"/>
    <w:rsid w:val="00034616"/>
    <w:rsid w:val="0006063C"/>
    <w:rsid w:val="0015074B"/>
    <w:rsid w:val="0029639D"/>
    <w:rsid w:val="00326F90"/>
    <w:rsid w:val="00987D23"/>
    <w:rsid w:val="00AA1D8D"/>
    <w:rsid w:val="00B47730"/>
    <w:rsid w:val="00C250D6"/>
    <w:rsid w:val="00CB0664"/>
    <w:rsid w:val="00DC5941"/>
    <w:rsid w:val="00FC693F"/>
    <w:rsid w:val="5CB6551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1" w:defQFormat="0" w:count="267">
    <w:lsdException w:name="Normal" w:uiPriority="0" w:unhideWhenUsed="0" w:qFormat="1"/>
    <w:lsdException w:name="heading 1" w:uiPriority="9" w:unhideWhenUsed="0" w:qFormat="1"/>
    <w:lsdException w:name="heading 2" w:uiPriority="9" w:qFormat="1"/>
    <w:lsdException w:name="heading 3"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qFormat="1"/>
    <w:lsdException w:name="footer" w:qFormat="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qFormat="1"/>
    <w:lsdException w:name="toa heading" w:semiHidden="1"/>
    <w:lsdException w:name="List 4" w:semiHidden="1"/>
    <w:lsdException w:name="List 5" w:semiHidden="1"/>
    <w:lsdException w:name="List Bullet 4" w:semiHidden="1"/>
    <w:lsdException w:name="List Bullet 5" w:semiHidden="1"/>
    <w:lsdException w:name="List Number 4" w:semiHidden="1"/>
    <w:lsdException w:name="List Number 5" w:semiHidden="1"/>
    <w:lsdException w:name="Title" w:uiPriority="10" w:unhideWhenUsed="0" w:qFormat="1"/>
    <w:lsdException w:name="Closing" w:semiHidden="1"/>
    <w:lsdException w:name="Signature" w:semiHidden="1"/>
    <w:lsdException w:name="Default Paragraph Font" w:semiHidden="1" w:uiPriority="1" w:qFormat="1"/>
    <w:lsdException w:name="Body Text" w:qFormat="1"/>
    <w:lsdException w:name="Body Text Indent" w:semiHidden="1"/>
    <w:lsdException w:name="List Continue 4" w:semiHidden="1"/>
    <w:lsdException w:name="List Continue 5" w:semiHidden="1"/>
    <w:lsdException w:name="Message Header" w:semiHidden="1"/>
    <w:lsdException w:name="Subtitle" w:uiPriority="11" w:unhideWhenUsed="0"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qFormat="1"/>
    <w:lsdException w:name="Body Text 3" w:qFormat="1"/>
    <w:lsdException w:name="Body Text Indent 2" w:semiHidden="1"/>
    <w:lsdException w:name="Body Text Indent 3" w:semiHidden="1"/>
    <w:lsdException w:name="Block Text" w:semiHidden="1"/>
    <w:lsdException w:name="Hyperlink" w:semiHidden="1"/>
    <w:lsdException w:name="FollowedHyperlink" w:semiHidden="1"/>
    <w:lsdException w:name="Strong" w:uiPriority="22" w:unhideWhenUsed="0" w:qFormat="1"/>
    <w:lsdException w:name="Emphasis" w:uiPriority="20" w:unhideWhenUsed="0" w:qFormat="1"/>
    <w:lsdException w:name="Document Map" w:semiHidden="1"/>
    <w:lsdException w:name="Plain Text" w:semiHidden="1"/>
    <w:lsdException w:name="E-mail Signature" w:semiHidden="1"/>
    <w:lsdException w:name="HTML Top of Form" w:semiHidden="1"/>
    <w:lsdException w:name="HTML Bottom of Form" w:semiHidden="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qFormat="1"/>
    <w:lsdException w:name="annotation subject" w:semiHidden="1"/>
    <w:lsdException w:name="No List" w:semiHidden="1"/>
    <w:lsdException w:name="Outline List 1" w:semiHidden="1"/>
    <w:lsdException w:name="Outline List 2" w:semiHidden="1"/>
    <w:lsdException w:name="Outline List 3" w:semiHidden="1"/>
    <w:lsdException w:name="Table Simple 1" w:semiHidden="1"/>
    <w:lsdException w:name="Table Simple 2" w:semiHidden="1"/>
    <w:lsdException w:name="Table Simple 3" w:semiHidden="1"/>
    <w:lsdException w:name="Table Classic 1" w:semiHidden="1"/>
    <w:lsdException w:name="Table Classic 2" w:semiHidden="1"/>
    <w:lsdException w:name="Table Classic 3" w:semiHidden="1"/>
    <w:lsdException w:name="Table Classic 4" w:semiHidden="1"/>
    <w:lsdException w:name="Table Colorful 1" w:semiHidden="1"/>
    <w:lsdException w:name="Table Colorful 2" w:semiHidden="1"/>
    <w:lsdException w:name="Table Colorful 3" w:semiHidden="1"/>
    <w:lsdException w:name="Table Columns 1" w:semiHidden="1"/>
    <w:lsdException w:name="Table Columns 2" w:semiHidden="1"/>
    <w:lsdException w:name="Table Columns 3" w:semiHidden="1"/>
    <w:lsdException w:name="Table Columns 4" w:semiHidden="1"/>
    <w:lsdException w:name="Table Columns 5" w:semiHidden="1"/>
    <w:lsdException w:name="Table Grid 1" w:semiHidden="1"/>
    <w:lsdException w:name="Table Grid 2" w:semiHidden="1"/>
    <w:lsdException w:name="Table Grid 3" w:semiHidden="1"/>
    <w:lsdException w:name="Table Grid 4" w:semiHidden="1"/>
    <w:lsdException w:name="Table Grid 5" w:semiHidden="1"/>
    <w:lsdException w:name="Table Grid 6" w:semiHidden="1"/>
    <w:lsdException w:name="Table Grid 7" w:semiHidden="1"/>
    <w:lsdException w:name="Table Grid 8" w:semiHidden="1"/>
    <w:lsdException w:name="Table List 1" w:semiHidden="1"/>
    <w:lsdException w:name="Table List 2" w:semiHidden="1"/>
    <w:lsdException w:name="Table List 3" w:semiHidden="1"/>
    <w:lsdException w:name="Table List 4" w:semiHidden="1"/>
    <w:lsdException w:name="Table List 5" w:semiHidden="1"/>
    <w:lsdException w:name="Table List 6" w:semiHidden="1"/>
    <w:lsdException w:name="Table List 7" w:semiHidden="1"/>
    <w:lsdException w:name="Table List 8" w:semiHidden="1"/>
    <w:lsdException w:name="Table 3D effects 1" w:semiHidden="1"/>
    <w:lsdException w:name="Table 3D effects 2" w:semiHidden="1"/>
    <w:lsdException w:name="Table 3D effects 3" w:semiHidden="1"/>
    <w:lsdException w:name="Table Contemporary" w:semiHidden="1"/>
    <w:lsdException w:name="Table Elegant" w:semiHidden="1"/>
    <w:lsdException w:name="Table Professional" w:semiHidden="1"/>
    <w:lsdException w:name="Table Subtle 1" w:semiHidden="1"/>
    <w:lsdException w:name="Table Subtle 2" w:semiHidden="1"/>
    <w:lsdException w:name="Table Web 1" w:semiHidden="1"/>
    <w:lsdException w:name="Table Web 2" w:semiHidden="1"/>
    <w:lsdException w:name="Table Web 3" w:semiHidden="1"/>
    <w:lsdException w:name="Balloon Text" w:semiHidden="1"/>
    <w:lsdException w:name="Table Grid" w:uiPriority="59" w:unhideWhenUsed="0" w:qFormat="1"/>
    <w:lsdException w:name="Table Theme" w:semiHidden="1"/>
    <w:lsdException w:name="Placeholder Text" w:semiHidden="1"/>
    <w:lsdException w:name="No Spacing" w:uiPriority="1" w:unhideWhenUsed="0" w:qFormat="1"/>
    <w:lsdException w:name="Light Shading" w:uiPriority="60" w:unhideWhenUsed="0"/>
    <w:lsdException w:name="Light List" w:uiPriority="61" w:unhideWhenUsed="0"/>
    <w:lsdException w:name="Light Grid" w:uiPriority="62" w:unhideWhenUsed="0"/>
    <w:lsdException w:name="Medium Shading 1" w:uiPriority="63" w:unhideWhenUsed="0"/>
    <w:lsdException w:name="Medium Shading 2" w:uiPriority="64" w:unhideWhenUsed="0"/>
    <w:lsdException w:name="Medium List 1" w:uiPriority="65" w:unhideWhenUsed="0"/>
    <w:lsdException w:name="Medium List 2" w:uiPriority="66" w:unhideWhenUsed="0"/>
    <w:lsdException w:name="Medium Grid 1" w:uiPriority="67" w:unhideWhenUsed="0"/>
    <w:lsdException w:name="Medium Grid 2" w:uiPriority="68" w:unhideWhenUsed="0"/>
    <w:lsdException w:name="Medium Grid 3" w:uiPriority="69" w:unhideWhenUsed="0"/>
    <w:lsdException w:name="Dark List" w:uiPriority="70" w:unhideWhenUsed="0"/>
    <w:lsdException w:name="Colorful Shading" w:uiPriority="71" w:unhideWhenUsed="0"/>
    <w:lsdException w:name="Colorful List" w:uiPriority="72" w:unhideWhenUsed="0"/>
    <w:lsdException w:name="Colorful Grid" w:uiPriority="73" w:unhideWhenUsed="0"/>
    <w:lsdException w:name="Light Shading Accent 1" w:uiPriority="60" w:unhideWhenUsed="0"/>
    <w:lsdException w:name="Light List Accent 1" w:uiPriority="61" w:unhideWhenUsed="0"/>
    <w:lsdException w:name="Light Grid Accent 1" w:uiPriority="62" w:unhideWhenUsed="0"/>
    <w:lsdException w:name="Medium Shading 1 Accent 1" w:uiPriority="63" w:unhideWhenUsed="0"/>
    <w:lsdException w:name="Medium Shading 2 Accent 1" w:uiPriority="64" w:unhideWhenUsed="0"/>
    <w:lsdException w:name="Medium List 1 Accent 1" w:uiPriority="65" w:unhideWhenUsed="0"/>
    <w:lsdException w:name="Revision" w:semiHidden="1"/>
    <w:lsdException w:name="List Paragraph" w:uiPriority="34" w:unhideWhenUsed="0" w:qFormat="1"/>
    <w:lsdException w:name="Quote" w:uiPriority="29" w:unhideWhenUsed="0" w:qFormat="1"/>
    <w:lsdException w:name="Intense Quote" w:uiPriority="30" w:unhideWhenUsed="0" w:qFormat="1"/>
    <w:lsdException w:name="Medium List 2 Accent 1" w:uiPriority="66" w:unhideWhenUsed="0"/>
    <w:lsdException w:name="Medium Grid 1 Accent 1" w:uiPriority="67" w:unhideWhenUsed="0" w:qFormat="1"/>
    <w:lsdException w:name="Medium Grid 2 Accent 1" w:uiPriority="68" w:unhideWhenUsed="0" w:qFormat="1"/>
    <w:lsdException w:name="Medium Grid 3 Accent 1" w:uiPriority="69" w:unhideWhenUsed="0"/>
    <w:lsdException w:name="Dark List Accent 1" w:uiPriority="70" w:unhideWhenUsed="0"/>
    <w:lsdException w:name="Colorful Shading Accent 1" w:uiPriority="71" w:unhideWhenUsed="0"/>
    <w:lsdException w:name="Colorful List Accent 1" w:uiPriority="72" w:unhideWhenUsed="0"/>
    <w:lsdException w:name="Colorful Grid Accent 1" w:uiPriority="73" w:unhideWhenUsed="0"/>
    <w:lsdException w:name="Light Shading Accent 2" w:uiPriority="60" w:unhideWhenUsed="0"/>
    <w:lsdException w:name="Light List Accent 2" w:uiPriority="61" w:unhideWhenUsed="0"/>
    <w:lsdException w:name="Light Grid Accent 2" w:uiPriority="62" w:unhideWhenUsed="0"/>
    <w:lsdException w:name="Medium Shading 1 Accent 2" w:uiPriority="63" w:unhideWhenUsed="0"/>
    <w:lsdException w:name="Medium Shading 2 Accent 2" w:uiPriority="64" w:unhideWhenUsed="0"/>
    <w:lsdException w:name="Medium List 1 Accent 2" w:uiPriority="65" w:unhideWhenUsed="0"/>
    <w:lsdException w:name="Medium List 2 Accent 2" w:uiPriority="66" w:unhideWhenUsed="0"/>
    <w:lsdException w:name="Medium Grid 1 Accent 2" w:uiPriority="67" w:unhideWhenUsed="0"/>
    <w:lsdException w:name="Medium Grid 2 Accent 2" w:uiPriority="68" w:unhideWhenUsed="0"/>
    <w:lsdException w:name="Medium Grid 3 Accent 2" w:uiPriority="69" w:unhideWhenUsed="0"/>
    <w:lsdException w:name="Dark List Accent 2" w:uiPriority="70" w:unhideWhenUsed="0"/>
    <w:lsdException w:name="Colorful Shading Accent 2" w:uiPriority="71" w:unhideWhenUsed="0"/>
    <w:lsdException w:name="Colorful List Accent 2" w:uiPriority="72" w:unhideWhenUsed="0"/>
    <w:lsdException w:name="Colorful Grid Accent 2" w:uiPriority="73" w:unhideWhenUsed="0" w:qFormat="1"/>
    <w:lsdException w:name="Light Shading Accent 3" w:uiPriority="60" w:unhideWhenUsed="0"/>
    <w:lsdException w:name="Light List Accent 3" w:uiPriority="61" w:unhideWhenUsed="0"/>
    <w:lsdException w:name="Light Grid Accent 3" w:uiPriority="62" w:unhideWhenUsed="0"/>
    <w:lsdException w:name="Medium Shading 1 Accent 3" w:uiPriority="63" w:unhideWhenUsed="0"/>
    <w:lsdException w:name="Medium Shading 2 Accent 3" w:uiPriority="64" w:unhideWhenUsed="0"/>
    <w:lsdException w:name="Medium List 1 Accent 3" w:uiPriority="65" w:unhideWhenUsed="0"/>
    <w:lsdException w:name="Medium List 2 Accent 3" w:uiPriority="66" w:unhideWhenUsed="0"/>
    <w:lsdException w:name="Medium Grid 1 Accent 3" w:uiPriority="67" w:unhideWhenUsed="0"/>
    <w:lsdException w:name="Medium Grid 2 Accent 3" w:uiPriority="68" w:unhideWhenUsed="0"/>
    <w:lsdException w:name="Medium Grid 3 Accent 3" w:uiPriority="69" w:unhideWhenUsed="0"/>
    <w:lsdException w:name="Dark List Accent 3" w:uiPriority="70" w:unhideWhenUsed="0"/>
    <w:lsdException w:name="Colorful Shading Accent 3" w:uiPriority="71" w:unhideWhenUsed="0" w:qFormat="1"/>
    <w:lsdException w:name="Colorful List Accent 3" w:uiPriority="72" w:unhideWhenUsed="0"/>
    <w:lsdException w:name="Colorful Grid Accent 3" w:uiPriority="73" w:unhideWhenUsed="0"/>
    <w:lsdException w:name="Light Shading Accent 4" w:uiPriority="60" w:unhideWhenUsed="0"/>
    <w:lsdException w:name="Light List Accent 4" w:uiPriority="61" w:unhideWhenUsed="0"/>
    <w:lsdException w:name="Light Grid Accent 4" w:uiPriority="62" w:unhideWhenUsed="0"/>
    <w:lsdException w:name="Medium Shading 1 Accent 4" w:uiPriority="63" w:unhideWhenUsed="0" w:qFormat="1"/>
    <w:lsdException w:name="Medium Shading 2 Accent 4" w:uiPriority="64" w:unhideWhenUsed="0"/>
    <w:lsdException w:name="Medium List 1 Accent 4" w:uiPriority="65" w:unhideWhenUsed="0"/>
    <w:lsdException w:name="Medium List 2 Accent 4" w:uiPriority="66" w:unhideWhenUsed="0"/>
    <w:lsdException w:name="Medium Grid 1 Accent 4" w:uiPriority="67" w:unhideWhenUsed="0"/>
    <w:lsdException w:name="Medium Grid 2 Accent 4" w:uiPriority="68" w:unhideWhenUsed="0"/>
    <w:lsdException w:name="Medium Grid 3 Accent 4" w:uiPriority="69" w:unhideWhenUsed="0" w:qFormat="1"/>
    <w:lsdException w:name="Dark List Accent 4" w:uiPriority="70" w:unhideWhenUsed="0"/>
    <w:lsdException w:name="Colorful Shading Accent 4" w:uiPriority="71" w:unhideWhenUsed="0"/>
    <w:lsdException w:name="Colorful List Accent 4" w:uiPriority="72" w:unhideWhenUsed="0" w:qFormat="1"/>
    <w:lsdException w:name="Colorful Grid Accent 4" w:uiPriority="73" w:unhideWhenUsed="0"/>
    <w:lsdException w:name="Light Shading Accent 5" w:uiPriority="60" w:unhideWhenUsed="0"/>
    <w:lsdException w:name="Light List Accent 5" w:uiPriority="61" w:unhideWhenUsed="0"/>
    <w:lsdException w:name="Light Grid Accent 5" w:uiPriority="62" w:unhideWhenUsed="0"/>
    <w:lsdException w:name="Medium Shading 1 Accent 5" w:uiPriority="63" w:unhideWhenUsed="0"/>
    <w:lsdException w:name="Medium Shading 2 Accent 5" w:uiPriority="64" w:unhideWhenUsed="0"/>
    <w:lsdException w:name="Medium List 1 Accent 5" w:uiPriority="65" w:unhideWhenUsed="0"/>
    <w:lsdException w:name="Medium List 2 Accent 5" w:uiPriority="66" w:unhideWhenUsed="0"/>
    <w:lsdException w:name="Medium Grid 1 Accent 5" w:uiPriority="67" w:unhideWhenUsed="0"/>
    <w:lsdException w:name="Medium Grid 2 Accent 5" w:uiPriority="68" w:unhideWhenUsed="0"/>
    <w:lsdException w:name="Medium Grid 3 Accent 5" w:uiPriority="69" w:unhideWhenUsed="0" w:qFormat="1"/>
    <w:lsdException w:name="Dark List Accent 5" w:uiPriority="70" w:unhideWhenUsed="0"/>
    <w:lsdException w:name="Colorful Shading Accent 5" w:uiPriority="71" w:unhideWhenUsed="0" w:qFormat="1"/>
    <w:lsdException w:name="Colorful List Accent 5" w:uiPriority="72" w:unhideWhenUsed="0"/>
    <w:lsdException w:name="Colorful Grid Accent 5" w:uiPriority="73" w:unhideWhenUsed="0" w:qFormat="1"/>
    <w:lsdException w:name="Light Shading Accent 6" w:uiPriority="60" w:unhideWhenUsed="0"/>
    <w:lsdException w:name="Light List Accent 6" w:uiPriority="61" w:unhideWhenUsed="0"/>
    <w:lsdException w:name="Light Grid Accent 6" w:uiPriority="62" w:unhideWhenUsed="0"/>
    <w:lsdException w:name="Medium Shading 1 Accent 6" w:uiPriority="63" w:unhideWhenUsed="0"/>
    <w:lsdException w:name="Medium Shading 2 Accent 6" w:uiPriority="64" w:unhideWhenUsed="0"/>
    <w:lsdException w:name="Medium List 1 Accent 6" w:uiPriority="65" w:unhideWhenUsed="0"/>
    <w:lsdException w:name="Medium List 2 Accent 6" w:uiPriority="66" w:unhideWhenUsed="0"/>
    <w:lsdException w:name="Medium Grid 1 Accent 6" w:uiPriority="67" w:unhideWhenUsed="0" w:qFormat="1"/>
    <w:lsdException w:name="Medium Grid 2 Accent 6" w:uiPriority="68" w:unhideWhenUsed="0" w:qFormat="1"/>
    <w:lsdException w:name="Medium Grid 3 Accent 6" w:uiPriority="69" w:unhideWhenUsed="0"/>
    <w:lsdException w:name="Dark List Accent 6" w:uiPriority="70" w:unhideWhenUsed="0"/>
    <w:lsdException w:name="Colorful Shading Accent 6" w:uiPriority="71" w:unhideWhenUsed="0"/>
    <w:lsdException w:name="Colorful List Accent 6" w:uiPriority="72" w:unhideWhenUsed="0"/>
    <w:lsdException w:name="Colorful Grid Accent 6" w:uiPriority="73" w:unhideWhenUsed="0"/>
    <w:lsdException w:name="Subtle Emphasis" w:uiPriority="19" w:unhideWhenUsed="0" w:qFormat="1"/>
    <w:lsdException w:name="Intense Emphasis" w:uiPriority="21" w:unhideWhenUsed="0" w:qFormat="1"/>
    <w:lsdException w:name="Subtle Reference" w:uiPriority="31" w:unhideWhenUsed="0" w:qFormat="1"/>
    <w:lsdException w:name="Intense Reference" w:uiPriority="32" w:unhideWhenUsed="0" w:qFormat="1"/>
    <w:lsdException w:name="Book Title" w:uiPriority="33" w:unhideWhenUsed="0" w:qFormat="1"/>
    <w:lsdException w:name="Bibliography" w:semiHidden="1" w:uiPriority="37"/>
    <w:lsdException w:name="TOC Heading" w:semiHidden="1" w:uiPriority="39" w:qFormat="1"/>
  </w:latentStyles>
  <w:style w:type="paragraph" w:default="1" w:styleId="Normal">
    <w:name w:val="Normal"/>
    <w:qFormat/>
    <w:rsid w:val="00987D23"/>
    <w:pPr>
      <w:spacing w:after="200" w:line="276" w:lineRule="auto"/>
    </w:pPr>
    <w:rPr>
      <w:rFonts w:ascii="Arial" w:eastAsia="Arial" w:hAnsi="Arial" w:cstheme="minorBidi"/>
      <w:sz w:val="22"/>
      <w:szCs w:val="22"/>
    </w:rPr>
  </w:style>
  <w:style w:type="paragraph" w:styleId="Heading1">
    <w:name w:val="heading 1"/>
    <w:basedOn w:val="Normal"/>
    <w:next w:val="Normal"/>
    <w:link w:val="Heading1Char"/>
    <w:uiPriority w:val="9"/>
    <w:qFormat/>
    <w:rsid w:val="00987D2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87D2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87D2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87D23"/>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987D23"/>
    <w:pPr>
      <w:keepNext/>
      <w:keepLines/>
      <w:spacing w:before="200" w:after="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semiHidden/>
    <w:unhideWhenUsed/>
    <w:qFormat/>
    <w:rsid w:val="00987D23"/>
    <w:pPr>
      <w:keepNext/>
      <w:keepLines/>
      <w:spacing w:before="200" w:after="0"/>
      <w:outlineLvl w:val="5"/>
    </w:pPr>
    <w:rPr>
      <w:rFonts w:asciiTheme="majorHAnsi" w:eastAsiaTheme="majorEastAsia" w:hAnsiTheme="majorHAnsi" w:cstheme="majorBidi"/>
      <w:i/>
      <w:iCs/>
      <w:color w:val="244061" w:themeColor="accent1" w:themeShade="80"/>
    </w:rPr>
  </w:style>
  <w:style w:type="paragraph" w:styleId="Heading7">
    <w:name w:val="heading 7"/>
    <w:basedOn w:val="Normal"/>
    <w:next w:val="Normal"/>
    <w:link w:val="Heading7Char"/>
    <w:uiPriority w:val="9"/>
    <w:semiHidden/>
    <w:unhideWhenUsed/>
    <w:qFormat/>
    <w:rsid w:val="00987D23"/>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87D23"/>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987D23"/>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qFormat/>
    <w:rsid w:val="00987D23"/>
    <w:pPr>
      <w:spacing w:after="120"/>
    </w:pPr>
  </w:style>
  <w:style w:type="paragraph" w:styleId="BodyText2">
    <w:name w:val="Body Text 2"/>
    <w:basedOn w:val="Normal"/>
    <w:link w:val="BodyText2Char"/>
    <w:uiPriority w:val="99"/>
    <w:unhideWhenUsed/>
    <w:qFormat/>
    <w:rsid w:val="00987D23"/>
    <w:pPr>
      <w:spacing w:after="120" w:line="480" w:lineRule="auto"/>
    </w:pPr>
  </w:style>
  <w:style w:type="paragraph" w:styleId="BodyText3">
    <w:name w:val="Body Text 3"/>
    <w:basedOn w:val="Normal"/>
    <w:link w:val="BodyText3Char"/>
    <w:uiPriority w:val="99"/>
    <w:unhideWhenUsed/>
    <w:qFormat/>
    <w:rsid w:val="00987D23"/>
    <w:pPr>
      <w:spacing w:after="120"/>
    </w:pPr>
    <w:rPr>
      <w:sz w:val="16"/>
      <w:szCs w:val="16"/>
    </w:rPr>
  </w:style>
  <w:style w:type="paragraph" w:styleId="Caption">
    <w:name w:val="caption"/>
    <w:basedOn w:val="Normal"/>
    <w:next w:val="Normal"/>
    <w:uiPriority w:val="35"/>
    <w:semiHidden/>
    <w:unhideWhenUsed/>
    <w:qFormat/>
    <w:rsid w:val="00987D23"/>
    <w:pPr>
      <w:spacing w:line="240" w:lineRule="auto"/>
    </w:pPr>
    <w:rPr>
      <w:b/>
      <w:bCs/>
      <w:color w:val="4F81BD" w:themeColor="accent1"/>
      <w:sz w:val="18"/>
      <w:szCs w:val="18"/>
    </w:rPr>
  </w:style>
  <w:style w:type="character" w:styleId="Emphasis">
    <w:name w:val="Emphasis"/>
    <w:basedOn w:val="DefaultParagraphFont"/>
    <w:uiPriority w:val="20"/>
    <w:qFormat/>
    <w:rsid w:val="00987D23"/>
    <w:rPr>
      <w:i/>
      <w:iCs/>
    </w:rPr>
  </w:style>
  <w:style w:type="paragraph" w:styleId="Footer">
    <w:name w:val="footer"/>
    <w:basedOn w:val="Normal"/>
    <w:link w:val="FooterChar"/>
    <w:uiPriority w:val="99"/>
    <w:unhideWhenUsed/>
    <w:qFormat/>
    <w:rsid w:val="00987D23"/>
    <w:pPr>
      <w:tabs>
        <w:tab w:val="center" w:pos="4680"/>
        <w:tab w:val="right" w:pos="9360"/>
      </w:tabs>
      <w:spacing w:after="0" w:line="240" w:lineRule="auto"/>
    </w:pPr>
  </w:style>
  <w:style w:type="paragraph" w:styleId="Header">
    <w:name w:val="header"/>
    <w:basedOn w:val="Normal"/>
    <w:link w:val="HeaderChar"/>
    <w:uiPriority w:val="99"/>
    <w:unhideWhenUsed/>
    <w:qFormat/>
    <w:rsid w:val="00987D23"/>
    <w:pPr>
      <w:tabs>
        <w:tab w:val="center" w:pos="4680"/>
        <w:tab w:val="right" w:pos="9360"/>
      </w:tabs>
      <w:spacing w:after="0" w:line="240" w:lineRule="auto"/>
    </w:pPr>
  </w:style>
  <w:style w:type="character" w:styleId="Hyperlink">
    <w:name w:val="Hyperlink"/>
    <w:basedOn w:val="DefaultParagraphFont"/>
    <w:uiPriority w:val="99"/>
    <w:semiHidden/>
    <w:unhideWhenUsed/>
    <w:rsid w:val="00987D23"/>
    <w:rPr>
      <w:color w:val="0000FF"/>
      <w:u w:val="single"/>
    </w:rPr>
  </w:style>
  <w:style w:type="paragraph" w:styleId="List">
    <w:name w:val="List"/>
    <w:basedOn w:val="Normal"/>
    <w:uiPriority w:val="99"/>
    <w:unhideWhenUsed/>
    <w:rsid w:val="00987D23"/>
    <w:pPr>
      <w:ind w:left="360" w:hanging="360"/>
      <w:contextualSpacing/>
    </w:pPr>
  </w:style>
  <w:style w:type="paragraph" w:styleId="List2">
    <w:name w:val="List 2"/>
    <w:basedOn w:val="Normal"/>
    <w:uiPriority w:val="99"/>
    <w:unhideWhenUsed/>
    <w:rsid w:val="00987D23"/>
    <w:pPr>
      <w:ind w:left="720" w:hanging="360"/>
      <w:contextualSpacing/>
    </w:pPr>
  </w:style>
  <w:style w:type="paragraph" w:styleId="List3">
    <w:name w:val="List 3"/>
    <w:basedOn w:val="Normal"/>
    <w:uiPriority w:val="99"/>
    <w:unhideWhenUsed/>
    <w:rsid w:val="00987D23"/>
    <w:pPr>
      <w:ind w:left="1080" w:hanging="360"/>
      <w:contextualSpacing/>
    </w:pPr>
  </w:style>
  <w:style w:type="paragraph" w:styleId="ListBullet">
    <w:name w:val="List Bullet"/>
    <w:basedOn w:val="Normal"/>
    <w:uiPriority w:val="99"/>
    <w:unhideWhenUsed/>
    <w:rsid w:val="00987D23"/>
    <w:pPr>
      <w:numPr>
        <w:numId w:val="1"/>
      </w:numPr>
      <w:contextualSpacing/>
    </w:pPr>
  </w:style>
  <w:style w:type="paragraph" w:styleId="ListBullet2">
    <w:name w:val="List Bullet 2"/>
    <w:basedOn w:val="Normal"/>
    <w:uiPriority w:val="99"/>
    <w:unhideWhenUsed/>
    <w:rsid w:val="00987D23"/>
    <w:pPr>
      <w:numPr>
        <w:numId w:val="2"/>
      </w:numPr>
      <w:contextualSpacing/>
    </w:pPr>
  </w:style>
  <w:style w:type="paragraph" w:styleId="ListBullet3">
    <w:name w:val="List Bullet 3"/>
    <w:basedOn w:val="Normal"/>
    <w:uiPriority w:val="99"/>
    <w:unhideWhenUsed/>
    <w:rsid w:val="00987D23"/>
    <w:pPr>
      <w:numPr>
        <w:numId w:val="3"/>
      </w:numPr>
      <w:contextualSpacing/>
    </w:pPr>
  </w:style>
  <w:style w:type="paragraph" w:styleId="ListContinue">
    <w:name w:val="List Continue"/>
    <w:basedOn w:val="Normal"/>
    <w:uiPriority w:val="99"/>
    <w:unhideWhenUsed/>
    <w:rsid w:val="00987D23"/>
    <w:pPr>
      <w:spacing w:after="120"/>
      <w:ind w:left="360"/>
      <w:contextualSpacing/>
    </w:pPr>
  </w:style>
  <w:style w:type="paragraph" w:styleId="ListContinue2">
    <w:name w:val="List Continue 2"/>
    <w:basedOn w:val="Normal"/>
    <w:uiPriority w:val="99"/>
    <w:unhideWhenUsed/>
    <w:rsid w:val="00987D23"/>
    <w:pPr>
      <w:spacing w:after="120"/>
      <w:ind w:left="720"/>
      <w:contextualSpacing/>
    </w:pPr>
  </w:style>
  <w:style w:type="paragraph" w:styleId="ListContinue3">
    <w:name w:val="List Continue 3"/>
    <w:basedOn w:val="Normal"/>
    <w:uiPriority w:val="99"/>
    <w:unhideWhenUsed/>
    <w:rsid w:val="00987D23"/>
    <w:pPr>
      <w:spacing w:after="120"/>
      <w:ind w:left="1080"/>
      <w:contextualSpacing/>
    </w:pPr>
  </w:style>
  <w:style w:type="paragraph" w:styleId="ListNumber">
    <w:name w:val="List Number"/>
    <w:basedOn w:val="Normal"/>
    <w:uiPriority w:val="99"/>
    <w:unhideWhenUsed/>
    <w:rsid w:val="00987D23"/>
    <w:pPr>
      <w:numPr>
        <w:numId w:val="4"/>
      </w:numPr>
      <w:contextualSpacing/>
    </w:pPr>
  </w:style>
  <w:style w:type="paragraph" w:styleId="ListNumber2">
    <w:name w:val="List Number 2"/>
    <w:basedOn w:val="Normal"/>
    <w:uiPriority w:val="99"/>
    <w:unhideWhenUsed/>
    <w:rsid w:val="00987D23"/>
    <w:pPr>
      <w:numPr>
        <w:numId w:val="5"/>
      </w:numPr>
      <w:contextualSpacing/>
    </w:pPr>
  </w:style>
  <w:style w:type="paragraph" w:styleId="ListNumber3">
    <w:name w:val="List Number 3"/>
    <w:basedOn w:val="Normal"/>
    <w:uiPriority w:val="99"/>
    <w:unhideWhenUsed/>
    <w:rsid w:val="00987D23"/>
    <w:pPr>
      <w:numPr>
        <w:numId w:val="6"/>
      </w:numPr>
      <w:contextualSpacing/>
    </w:pPr>
  </w:style>
  <w:style w:type="paragraph" w:styleId="MacroText">
    <w:name w:val="macro"/>
    <w:link w:val="MacroTextChar"/>
    <w:uiPriority w:val="99"/>
    <w:unhideWhenUsed/>
    <w:qFormat/>
    <w:rsid w:val="00987D23"/>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cstheme="minorBidi"/>
    </w:rPr>
  </w:style>
  <w:style w:type="paragraph" w:styleId="NormalWeb">
    <w:name w:val="Normal (Web)"/>
    <w:uiPriority w:val="99"/>
    <w:semiHidden/>
    <w:unhideWhenUsed/>
    <w:rsid w:val="00987D23"/>
    <w:pPr>
      <w:spacing w:beforeAutospacing="1" w:afterAutospacing="1"/>
    </w:pPr>
    <w:rPr>
      <w:sz w:val="24"/>
      <w:szCs w:val="24"/>
      <w:lang w:eastAsia="zh-CN"/>
    </w:rPr>
  </w:style>
  <w:style w:type="character" w:styleId="Strong">
    <w:name w:val="Strong"/>
    <w:basedOn w:val="DefaultParagraphFont"/>
    <w:uiPriority w:val="22"/>
    <w:qFormat/>
    <w:rsid w:val="00987D23"/>
    <w:rPr>
      <w:b/>
      <w:bCs/>
    </w:rPr>
  </w:style>
  <w:style w:type="paragraph" w:styleId="Subtitle">
    <w:name w:val="Subtitle"/>
    <w:basedOn w:val="Normal"/>
    <w:next w:val="Normal"/>
    <w:link w:val="SubtitleChar"/>
    <w:uiPriority w:val="11"/>
    <w:qFormat/>
    <w:rsid w:val="00987D23"/>
    <w:rPr>
      <w:rFonts w:asciiTheme="majorHAnsi" w:eastAsiaTheme="majorEastAsia" w:hAnsiTheme="majorHAnsi" w:cstheme="majorBidi"/>
      <w:i/>
      <w:iCs/>
      <w:color w:val="4F81BD" w:themeColor="accent1"/>
      <w:spacing w:val="15"/>
      <w:sz w:val="24"/>
      <w:szCs w:val="24"/>
    </w:rPr>
  </w:style>
  <w:style w:type="table" w:styleId="TableGrid">
    <w:name w:val="Table Grid"/>
    <w:basedOn w:val="TableNormal"/>
    <w:uiPriority w:val="59"/>
    <w:qFormat/>
    <w:rsid w:val="00987D2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987D2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table" w:styleId="LightShading">
    <w:name w:val="Light Shading"/>
    <w:basedOn w:val="TableNormal"/>
    <w:uiPriority w:val="60"/>
    <w:rsid w:val="00987D23"/>
    <w:rPr>
      <w:color w:val="000000" w:themeColor="text1" w:themeShade="BF"/>
    </w:rPr>
    <w:tblPr>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987D23"/>
    <w:rPr>
      <w:color w:val="365F91" w:themeColor="accent1" w:themeShade="BF"/>
    </w:rPr>
    <w:tblPr>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987D23"/>
    <w:rPr>
      <w:color w:val="943634" w:themeColor="accent2" w:themeShade="BF"/>
    </w:rPr>
    <w:tblPr>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987D23"/>
    <w:rPr>
      <w:color w:val="76923C" w:themeColor="accent3" w:themeShade="BF"/>
    </w:rPr>
    <w:tblPr>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987D23"/>
    <w:rPr>
      <w:color w:val="5F497A" w:themeColor="accent4" w:themeShade="BF"/>
    </w:rPr>
    <w:tblPr>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987D23"/>
    <w:rPr>
      <w:color w:val="31849B" w:themeColor="accent5" w:themeShade="BF"/>
    </w:rPr>
    <w:tblPr>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987D23"/>
    <w:rPr>
      <w:color w:val="E36C0A" w:themeColor="accent6" w:themeShade="BF"/>
    </w:rPr>
    <w:tblPr>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987D23"/>
    <w:tblPr>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987D23"/>
    <w:tblPr>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987D23"/>
    <w:tblPr>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987D23"/>
    <w:tblPr>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987D23"/>
    <w:tblPr>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987D23"/>
    <w:tblP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987D23"/>
    <w:tblPr>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987D23"/>
    <w:tblPr>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tcPr>
    </w:tblStylePr>
  </w:style>
  <w:style w:type="table" w:styleId="LightGrid-Accent1">
    <w:name w:val="Light Grid Accent 1"/>
    <w:basedOn w:val="TableNormal"/>
    <w:uiPriority w:val="62"/>
    <w:rsid w:val="00987D23"/>
    <w:tblPr>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table" w:styleId="LightGrid-Accent2">
    <w:name w:val="Light Grid Accent 2"/>
    <w:basedOn w:val="TableNormal"/>
    <w:uiPriority w:val="62"/>
    <w:rsid w:val="00987D23"/>
    <w:tblPr>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tcPr>
    </w:tblStylePr>
  </w:style>
  <w:style w:type="table" w:styleId="LightGrid-Accent3">
    <w:name w:val="Light Grid Accent 3"/>
    <w:basedOn w:val="TableNormal"/>
    <w:uiPriority w:val="62"/>
    <w:rsid w:val="00987D23"/>
    <w:tblPr>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tcPr>
    </w:tblStylePr>
  </w:style>
  <w:style w:type="table" w:styleId="LightGrid-Accent4">
    <w:name w:val="Light Grid Accent 4"/>
    <w:basedOn w:val="TableNormal"/>
    <w:uiPriority w:val="62"/>
    <w:rsid w:val="00987D23"/>
    <w:tblPr>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tcPr>
    </w:tblStylePr>
  </w:style>
  <w:style w:type="table" w:styleId="LightGrid-Accent5">
    <w:name w:val="Light Grid Accent 5"/>
    <w:basedOn w:val="TableNormal"/>
    <w:uiPriority w:val="62"/>
    <w:rsid w:val="00987D23"/>
    <w:tblP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tcPr>
    </w:tblStylePr>
  </w:style>
  <w:style w:type="table" w:styleId="LightGrid-Accent6">
    <w:name w:val="Light Grid Accent 6"/>
    <w:basedOn w:val="TableNormal"/>
    <w:uiPriority w:val="62"/>
    <w:rsid w:val="00987D23"/>
    <w:tblPr>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tcPr>
    </w:tblStylePr>
  </w:style>
  <w:style w:type="table" w:styleId="MediumShading1">
    <w:name w:val="Medium Shading 1"/>
    <w:basedOn w:val="TableNormal"/>
    <w:uiPriority w:val="63"/>
    <w:rsid w:val="00987D23"/>
    <w:tblPr>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987D23"/>
    <w:tblPr>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987D23"/>
    <w:tblPr>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987D23"/>
    <w:tblPr>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qFormat/>
    <w:rsid w:val="00987D23"/>
    <w:tblPr>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987D23"/>
    <w:tblPr>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987D23"/>
    <w:tblPr>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987D23"/>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987D23"/>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987D23"/>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987D23"/>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987D23"/>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987D23"/>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987D23"/>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987D23"/>
    <w:rPr>
      <w:color w:val="000000" w:themeColor="text1"/>
    </w:rPr>
    <w:tblPr>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987D23"/>
    <w:rPr>
      <w:color w:val="000000" w:themeColor="text1"/>
    </w:rPr>
    <w:tblPr>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987D23"/>
    <w:rPr>
      <w:color w:val="000000" w:themeColor="text1"/>
    </w:rPr>
    <w:tblPr>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987D23"/>
    <w:rPr>
      <w:color w:val="000000" w:themeColor="text1"/>
    </w:rPr>
    <w:tblPr>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987D23"/>
    <w:rPr>
      <w:color w:val="000000" w:themeColor="text1"/>
    </w:rPr>
    <w:tblPr>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987D23"/>
    <w:rPr>
      <w:color w:val="000000" w:themeColor="text1"/>
    </w:rPr>
    <w:tblPr>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987D23"/>
    <w:rPr>
      <w:color w:val="000000" w:themeColor="text1"/>
    </w:rPr>
    <w:tblPr>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987D23"/>
    <w:rPr>
      <w:rFonts w:asciiTheme="majorHAnsi" w:eastAsiaTheme="majorEastAsia" w:hAnsiTheme="majorHAnsi" w:cstheme="majorBidi"/>
      <w:color w:val="000000" w:themeColor="text1"/>
    </w:rPr>
    <w:tblPr>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987D23"/>
    <w:rPr>
      <w:rFonts w:asciiTheme="majorHAnsi" w:eastAsiaTheme="majorEastAsia" w:hAnsiTheme="majorHAnsi" w:cstheme="majorBidi"/>
      <w:color w:val="000000" w:themeColor="text1"/>
    </w:rPr>
    <w:tblPr>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987D23"/>
    <w:rPr>
      <w:rFonts w:asciiTheme="majorHAnsi" w:eastAsiaTheme="majorEastAsia" w:hAnsiTheme="majorHAnsi" w:cstheme="majorBidi"/>
      <w:color w:val="000000" w:themeColor="text1"/>
    </w:rPr>
    <w:tblPr>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987D23"/>
    <w:rPr>
      <w:rFonts w:asciiTheme="majorHAnsi" w:eastAsiaTheme="majorEastAsia" w:hAnsiTheme="majorHAnsi" w:cstheme="majorBidi"/>
      <w:color w:val="000000" w:themeColor="text1"/>
    </w:rPr>
    <w:tblPr>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987D23"/>
    <w:rPr>
      <w:rFonts w:asciiTheme="majorHAnsi" w:eastAsiaTheme="majorEastAsia" w:hAnsiTheme="majorHAnsi" w:cstheme="majorBidi"/>
      <w:color w:val="000000" w:themeColor="text1"/>
    </w:rPr>
    <w:tblPr>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987D23"/>
    <w:rPr>
      <w:rFonts w:asciiTheme="majorHAnsi" w:eastAsiaTheme="majorEastAsia" w:hAnsiTheme="majorHAnsi" w:cstheme="majorBidi"/>
      <w:color w:val="000000" w:themeColor="text1"/>
    </w:rPr>
    <w:tblP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987D23"/>
    <w:rPr>
      <w:rFonts w:asciiTheme="majorHAnsi" w:eastAsiaTheme="majorEastAsia" w:hAnsiTheme="majorHAnsi" w:cstheme="majorBidi"/>
      <w:color w:val="000000" w:themeColor="text1"/>
    </w:rPr>
    <w:tblPr>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987D23"/>
    <w:tblPr>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qFormat/>
    <w:rsid w:val="00987D23"/>
    <w:tblPr>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987D23"/>
    <w:tblPr>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987D23"/>
    <w:tblPr>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987D23"/>
    <w:tblPr>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987D23"/>
    <w:tblPr>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qFormat/>
    <w:rsid w:val="00987D23"/>
    <w:tblPr>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987D23"/>
    <w:rPr>
      <w:rFonts w:asciiTheme="majorHAnsi" w:eastAsiaTheme="majorEastAsia" w:hAnsiTheme="majorHAnsi" w:cstheme="majorBidi"/>
      <w:color w:val="000000" w:themeColor="text1"/>
    </w:rPr>
    <w:tblPr>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auto"/>
          <w:insideV w:val="single" w:sz="6" w:space="0" w:color="auto"/>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qFormat/>
    <w:rsid w:val="00987D23"/>
    <w:rPr>
      <w:rFonts w:asciiTheme="majorHAnsi" w:eastAsiaTheme="majorEastAsia" w:hAnsiTheme="majorHAnsi" w:cstheme="majorBidi"/>
      <w:color w:val="000000" w:themeColor="text1"/>
    </w:rPr>
    <w:tblPr>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auto"/>
          <w:insideV w:val="single" w:sz="6" w:space="0" w:color="auto"/>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987D23"/>
    <w:rPr>
      <w:rFonts w:asciiTheme="majorHAnsi" w:eastAsiaTheme="majorEastAsia" w:hAnsiTheme="majorHAnsi" w:cstheme="majorBidi"/>
      <w:color w:val="000000" w:themeColor="text1"/>
    </w:rPr>
    <w:tblPr>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auto"/>
          <w:insideV w:val="single" w:sz="6" w:space="0" w:color="auto"/>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987D23"/>
    <w:rPr>
      <w:rFonts w:asciiTheme="majorHAnsi" w:eastAsiaTheme="majorEastAsia" w:hAnsiTheme="majorHAnsi" w:cstheme="majorBidi"/>
      <w:color w:val="000000" w:themeColor="text1"/>
    </w:rPr>
    <w:tblPr>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auto"/>
          <w:insideV w:val="single" w:sz="6" w:space="0" w:color="auto"/>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987D23"/>
    <w:rPr>
      <w:rFonts w:asciiTheme="majorHAnsi" w:eastAsiaTheme="majorEastAsia" w:hAnsiTheme="majorHAnsi" w:cstheme="majorBidi"/>
      <w:color w:val="000000" w:themeColor="text1"/>
    </w:rPr>
    <w:tblPr>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auto"/>
          <w:insideV w:val="single" w:sz="6" w:space="0" w:color="auto"/>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987D23"/>
    <w:rPr>
      <w:rFonts w:asciiTheme="majorHAnsi" w:eastAsiaTheme="majorEastAsia" w:hAnsiTheme="majorHAnsi" w:cstheme="majorBidi"/>
      <w:color w:val="000000" w:themeColor="text1"/>
    </w:rPr>
    <w:tblP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auto"/>
          <w:insideV w:val="single" w:sz="6" w:space="0" w:color="auto"/>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qFormat/>
    <w:rsid w:val="00987D23"/>
    <w:rPr>
      <w:rFonts w:asciiTheme="majorHAnsi" w:eastAsiaTheme="majorEastAsia" w:hAnsiTheme="majorHAnsi" w:cstheme="majorBidi"/>
      <w:color w:val="000000" w:themeColor="text1"/>
    </w:rPr>
    <w:tblPr>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auto"/>
          <w:insideV w:val="single" w:sz="6" w:space="0" w:color="auto"/>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987D23"/>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MediumGrid3-Accent1">
    <w:name w:val="Medium Grid 3 Accent 1"/>
    <w:basedOn w:val="TableNormal"/>
    <w:uiPriority w:val="69"/>
    <w:rsid w:val="00987D23"/>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7BFDE" w:themeFill="accent1" w:themeFillTint="7F"/>
      </w:tcPr>
    </w:tblStylePr>
  </w:style>
  <w:style w:type="table" w:styleId="MediumGrid3-Accent2">
    <w:name w:val="Medium Grid 3 Accent 2"/>
    <w:basedOn w:val="TableNormal"/>
    <w:uiPriority w:val="69"/>
    <w:rsid w:val="00987D23"/>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DFA7A6" w:themeFill="accent2" w:themeFillTint="7F"/>
      </w:tcPr>
    </w:tblStylePr>
  </w:style>
  <w:style w:type="table" w:styleId="MediumGrid3-Accent3">
    <w:name w:val="Medium Grid 3 Accent 3"/>
    <w:basedOn w:val="TableNormal"/>
    <w:uiPriority w:val="69"/>
    <w:rsid w:val="00987D23"/>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CDDDAC" w:themeFill="accent3" w:themeFillTint="7F"/>
      </w:tcPr>
    </w:tblStylePr>
  </w:style>
  <w:style w:type="table" w:styleId="MediumGrid3-Accent4">
    <w:name w:val="Medium Grid 3 Accent 4"/>
    <w:basedOn w:val="TableNormal"/>
    <w:uiPriority w:val="69"/>
    <w:qFormat/>
    <w:rsid w:val="00987D23"/>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BFB1D0" w:themeFill="accent4" w:themeFillTint="7F"/>
      </w:tcPr>
    </w:tblStylePr>
  </w:style>
  <w:style w:type="table" w:styleId="MediumGrid3-Accent5">
    <w:name w:val="Medium Grid 3 Accent 5"/>
    <w:basedOn w:val="TableNormal"/>
    <w:uiPriority w:val="69"/>
    <w:qFormat/>
    <w:rsid w:val="00987D23"/>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5D5E2" w:themeFill="accent5" w:themeFillTint="7F"/>
      </w:tcPr>
    </w:tblStylePr>
  </w:style>
  <w:style w:type="table" w:styleId="MediumGrid3-Accent6">
    <w:name w:val="Medium Grid 3 Accent 6"/>
    <w:basedOn w:val="TableNormal"/>
    <w:uiPriority w:val="69"/>
    <w:rsid w:val="00987D23"/>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BCAA2" w:themeFill="accent6" w:themeFillTint="7F"/>
      </w:tcPr>
    </w:tblStylePr>
  </w:style>
  <w:style w:type="table" w:styleId="DarkList">
    <w:name w:val="Dark List"/>
    <w:basedOn w:val="TableNormal"/>
    <w:uiPriority w:val="70"/>
    <w:rsid w:val="00987D23"/>
    <w:rPr>
      <w:color w:val="FFFFFF" w:themeColor="background1"/>
    </w:rPr>
    <w:tblPr>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987D23"/>
    <w:rPr>
      <w:color w:val="FFFFFF" w:themeColor="background1"/>
    </w:rPr>
    <w:tblPr>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987D23"/>
    <w:rPr>
      <w:color w:val="FFFFFF" w:themeColor="background1"/>
    </w:rPr>
    <w:tblPr>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987D23"/>
    <w:rPr>
      <w:color w:val="FFFFFF" w:themeColor="background1"/>
    </w:rPr>
    <w:tblPr>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987D23"/>
    <w:rPr>
      <w:color w:val="FFFFFF" w:themeColor="background1"/>
    </w:rPr>
    <w:tblPr>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987D23"/>
    <w:rPr>
      <w:color w:val="FFFFFF" w:themeColor="background1"/>
    </w:rPr>
    <w:tblPr>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987D23"/>
    <w:rPr>
      <w:color w:val="FFFFFF" w:themeColor="background1"/>
    </w:rPr>
    <w:tblPr>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987D23"/>
    <w:rPr>
      <w:color w:val="000000" w:themeColor="text1"/>
    </w:rPr>
    <w:tblPr>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987D23"/>
    <w:rPr>
      <w:color w:val="000000" w:themeColor="text1"/>
    </w:rPr>
    <w:tblPr>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987D23"/>
    <w:rPr>
      <w:color w:val="000000" w:themeColor="text1"/>
    </w:rPr>
    <w:tblPr>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qFormat/>
    <w:rsid w:val="00987D23"/>
    <w:rPr>
      <w:color w:val="000000" w:themeColor="text1"/>
    </w:rPr>
    <w:tblPr>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987D23"/>
    <w:rPr>
      <w:color w:val="000000" w:themeColor="text1"/>
    </w:rPr>
    <w:tblPr>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qFormat/>
    <w:rsid w:val="00987D23"/>
    <w:rPr>
      <w:color w:val="000000" w:themeColor="text1"/>
    </w:rPr>
    <w:tblPr>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987D23"/>
    <w:rPr>
      <w:color w:val="000000" w:themeColor="text1"/>
    </w:rPr>
    <w:tblPr>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987D23"/>
    <w:rPr>
      <w:color w:val="000000" w:themeColor="text1"/>
    </w:rPr>
    <w:tblPr>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987D23"/>
    <w:rPr>
      <w:color w:val="000000" w:themeColor="text1"/>
    </w:rPr>
    <w:tblPr>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987D23"/>
    <w:rPr>
      <w:color w:val="000000" w:themeColor="text1"/>
    </w:rPr>
    <w:tblPr>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987D23"/>
    <w:rPr>
      <w:color w:val="000000" w:themeColor="text1"/>
    </w:rPr>
    <w:tblPr>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qFormat/>
    <w:rsid w:val="00987D23"/>
    <w:rPr>
      <w:color w:val="000000" w:themeColor="text1"/>
    </w:rPr>
    <w:tblPr>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987D23"/>
    <w:rPr>
      <w:color w:val="000000" w:themeColor="text1"/>
    </w:rPr>
    <w:tblPr>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987D23"/>
    <w:rPr>
      <w:color w:val="000000" w:themeColor="text1"/>
    </w:rPr>
    <w:tblPr>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987D2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987D2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qFormat/>
    <w:rsid w:val="00987D2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987D2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987D2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qFormat/>
    <w:rsid w:val="00987D2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987D2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HeaderChar">
    <w:name w:val="Header Char"/>
    <w:basedOn w:val="DefaultParagraphFont"/>
    <w:link w:val="Header"/>
    <w:uiPriority w:val="99"/>
    <w:qFormat/>
    <w:rsid w:val="00987D23"/>
  </w:style>
  <w:style w:type="character" w:customStyle="1" w:styleId="FooterChar">
    <w:name w:val="Footer Char"/>
    <w:basedOn w:val="DefaultParagraphFont"/>
    <w:link w:val="Footer"/>
    <w:uiPriority w:val="99"/>
    <w:qFormat/>
    <w:rsid w:val="00987D23"/>
  </w:style>
  <w:style w:type="paragraph" w:styleId="NoSpacing">
    <w:name w:val="No Spacing"/>
    <w:uiPriority w:val="1"/>
    <w:qFormat/>
    <w:rsid w:val="00987D23"/>
    <w:rPr>
      <w:rFonts w:asciiTheme="minorHAnsi" w:eastAsiaTheme="minorEastAsia" w:hAnsiTheme="minorHAnsi" w:cstheme="minorBidi"/>
      <w:sz w:val="22"/>
      <w:szCs w:val="22"/>
    </w:rPr>
  </w:style>
  <w:style w:type="character" w:customStyle="1" w:styleId="Heading1Char">
    <w:name w:val="Heading 1 Char"/>
    <w:basedOn w:val="DefaultParagraphFont"/>
    <w:link w:val="Heading1"/>
    <w:uiPriority w:val="9"/>
    <w:qFormat/>
    <w:rsid w:val="00987D2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sid w:val="00987D2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qFormat/>
    <w:rsid w:val="00987D23"/>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qFormat/>
    <w:rsid w:val="00987D23"/>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qFormat/>
    <w:rsid w:val="00987D23"/>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987D23"/>
    <w:pPr>
      <w:ind w:left="720"/>
      <w:contextualSpacing/>
    </w:pPr>
  </w:style>
  <w:style w:type="character" w:customStyle="1" w:styleId="BodyTextChar">
    <w:name w:val="Body Text Char"/>
    <w:basedOn w:val="DefaultParagraphFont"/>
    <w:link w:val="BodyText"/>
    <w:uiPriority w:val="99"/>
    <w:qFormat/>
    <w:rsid w:val="00987D23"/>
  </w:style>
  <w:style w:type="character" w:customStyle="1" w:styleId="BodyText2Char">
    <w:name w:val="Body Text 2 Char"/>
    <w:basedOn w:val="DefaultParagraphFont"/>
    <w:link w:val="BodyText2"/>
    <w:uiPriority w:val="99"/>
    <w:qFormat/>
    <w:rsid w:val="00987D23"/>
  </w:style>
  <w:style w:type="character" w:customStyle="1" w:styleId="BodyText3Char">
    <w:name w:val="Body Text 3 Char"/>
    <w:basedOn w:val="DefaultParagraphFont"/>
    <w:link w:val="BodyText3"/>
    <w:uiPriority w:val="99"/>
    <w:rsid w:val="00987D23"/>
    <w:rPr>
      <w:sz w:val="16"/>
      <w:szCs w:val="16"/>
    </w:rPr>
  </w:style>
  <w:style w:type="character" w:customStyle="1" w:styleId="MacroTextChar">
    <w:name w:val="Macro Text Char"/>
    <w:basedOn w:val="DefaultParagraphFont"/>
    <w:link w:val="MacroText"/>
    <w:uiPriority w:val="99"/>
    <w:rsid w:val="00987D23"/>
    <w:rPr>
      <w:rFonts w:ascii="Courier" w:hAnsi="Courier"/>
      <w:sz w:val="20"/>
      <w:szCs w:val="20"/>
    </w:rPr>
  </w:style>
  <w:style w:type="paragraph" w:styleId="Quote">
    <w:name w:val="Quote"/>
    <w:basedOn w:val="Normal"/>
    <w:next w:val="Normal"/>
    <w:link w:val="QuoteChar"/>
    <w:uiPriority w:val="29"/>
    <w:qFormat/>
    <w:rsid w:val="00987D23"/>
    <w:rPr>
      <w:i/>
      <w:iCs/>
      <w:color w:val="000000" w:themeColor="text1"/>
    </w:rPr>
  </w:style>
  <w:style w:type="character" w:customStyle="1" w:styleId="QuoteChar">
    <w:name w:val="Quote Char"/>
    <w:basedOn w:val="DefaultParagraphFont"/>
    <w:link w:val="Quote"/>
    <w:uiPriority w:val="29"/>
    <w:rsid w:val="00987D23"/>
    <w:rPr>
      <w:i/>
      <w:iCs/>
      <w:color w:val="000000" w:themeColor="text1"/>
    </w:rPr>
  </w:style>
  <w:style w:type="character" w:customStyle="1" w:styleId="Heading4Char">
    <w:name w:val="Heading 4 Char"/>
    <w:basedOn w:val="DefaultParagraphFont"/>
    <w:link w:val="Heading4"/>
    <w:uiPriority w:val="9"/>
    <w:semiHidden/>
    <w:rsid w:val="00987D2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987D23"/>
    <w:rPr>
      <w:rFonts w:asciiTheme="majorHAnsi" w:eastAsiaTheme="majorEastAsia" w:hAnsiTheme="majorHAnsi" w:cstheme="majorBidi"/>
      <w:color w:val="244061" w:themeColor="accent1" w:themeShade="80"/>
    </w:rPr>
  </w:style>
  <w:style w:type="character" w:customStyle="1" w:styleId="Heading6Char">
    <w:name w:val="Heading 6 Char"/>
    <w:basedOn w:val="DefaultParagraphFont"/>
    <w:link w:val="Heading6"/>
    <w:uiPriority w:val="9"/>
    <w:semiHidden/>
    <w:rsid w:val="00987D23"/>
    <w:rPr>
      <w:rFonts w:asciiTheme="majorHAnsi" w:eastAsiaTheme="majorEastAsia" w:hAnsiTheme="majorHAnsi" w:cstheme="majorBidi"/>
      <w:i/>
      <w:iCs/>
      <w:color w:val="244061" w:themeColor="accent1" w:themeShade="80"/>
    </w:rPr>
  </w:style>
  <w:style w:type="character" w:customStyle="1" w:styleId="Heading7Char">
    <w:name w:val="Heading 7 Char"/>
    <w:basedOn w:val="DefaultParagraphFont"/>
    <w:link w:val="Heading7"/>
    <w:uiPriority w:val="9"/>
    <w:semiHidden/>
    <w:qFormat/>
    <w:rsid w:val="00987D2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87D23"/>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987D23"/>
    <w:rPr>
      <w:rFonts w:asciiTheme="majorHAnsi" w:eastAsiaTheme="majorEastAsia" w:hAnsiTheme="majorHAnsi" w:cstheme="majorBidi"/>
      <w:i/>
      <w:iCs/>
      <w:color w:val="404040" w:themeColor="text1" w:themeTint="BF"/>
      <w:sz w:val="20"/>
      <w:szCs w:val="20"/>
    </w:rPr>
  </w:style>
  <w:style w:type="paragraph" w:styleId="IntenseQuote">
    <w:name w:val="Intense Quote"/>
    <w:basedOn w:val="Normal"/>
    <w:next w:val="Normal"/>
    <w:link w:val="IntenseQuoteChar"/>
    <w:uiPriority w:val="30"/>
    <w:qFormat/>
    <w:rsid w:val="00987D23"/>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87D23"/>
    <w:rPr>
      <w:b/>
      <w:bCs/>
      <w:i/>
      <w:iCs/>
      <w:color w:val="4F81BD" w:themeColor="accent1"/>
    </w:rPr>
  </w:style>
  <w:style w:type="character" w:customStyle="1" w:styleId="SubtleEmphasis1">
    <w:name w:val="Subtle Emphasis1"/>
    <w:basedOn w:val="DefaultParagraphFont"/>
    <w:uiPriority w:val="19"/>
    <w:qFormat/>
    <w:rsid w:val="00987D23"/>
    <w:rPr>
      <w:i/>
      <w:iCs/>
      <w:color w:val="7F7F7F" w:themeColor="text1" w:themeTint="80"/>
    </w:rPr>
  </w:style>
  <w:style w:type="character" w:customStyle="1" w:styleId="IntenseEmphasis1">
    <w:name w:val="Intense Emphasis1"/>
    <w:basedOn w:val="DefaultParagraphFont"/>
    <w:uiPriority w:val="21"/>
    <w:qFormat/>
    <w:rsid w:val="00987D23"/>
    <w:rPr>
      <w:b/>
      <w:bCs/>
      <w:i/>
      <w:iCs/>
      <w:color w:val="4F81BD" w:themeColor="accent1"/>
    </w:rPr>
  </w:style>
  <w:style w:type="character" w:customStyle="1" w:styleId="SubtleReference1">
    <w:name w:val="Subtle Reference1"/>
    <w:basedOn w:val="DefaultParagraphFont"/>
    <w:uiPriority w:val="31"/>
    <w:qFormat/>
    <w:rsid w:val="00987D23"/>
    <w:rPr>
      <w:smallCaps/>
      <w:color w:val="C0504D" w:themeColor="accent2"/>
      <w:u w:val="single"/>
    </w:rPr>
  </w:style>
  <w:style w:type="character" w:customStyle="1" w:styleId="IntenseReference1">
    <w:name w:val="Intense Reference1"/>
    <w:basedOn w:val="DefaultParagraphFont"/>
    <w:uiPriority w:val="32"/>
    <w:qFormat/>
    <w:rsid w:val="00987D23"/>
    <w:rPr>
      <w:b/>
      <w:bCs/>
      <w:smallCaps/>
      <w:color w:val="C0504D" w:themeColor="accent2"/>
      <w:spacing w:val="5"/>
      <w:u w:val="single"/>
    </w:rPr>
  </w:style>
  <w:style w:type="character" w:customStyle="1" w:styleId="BookTitle1">
    <w:name w:val="Book Title1"/>
    <w:basedOn w:val="DefaultParagraphFont"/>
    <w:uiPriority w:val="33"/>
    <w:qFormat/>
    <w:rsid w:val="00987D23"/>
    <w:rPr>
      <w:b/>
      <w:bCs/>
      <w:smallCaps/>
      <w:spacing w:val="5"/>
    </w:rPr>
  </w:style>
  <w:style w:type="paragraph" w:customStyle="1" w:styleId="TOCHeading1">
    <w:name w:val="TOC Heading1"/>
    <w:basedOn w:val="Heading1"/>
    <w:next w:val="Normal"/>
    <w:uiPriority w:val="39"/>
    <w:semiHidden/>
    <w:unhideWhenUsed/>
    <w:qFormat/>
    <w:rsid w:val="00987D23"/>
    <w:pPr>
      <w:outlineLvl w:val="9"/>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38/s41598-025-04782-y" TargetMode="External"/><Relationship Id="rId18" Type="http://schemas.openxmlformats.org/officeDocument/2006/relationships/hyperlink" Target="https://doi.org/10.1016/S2352-4642(22)00381-9" TargetMode="External"/><Relationship Id="rId3" Type="http://schemas.openxmlformats.org/officeDocument/2006/relationships/numbering" Target="numbering.xml"/><Relationship Id="rId21" Type="http://schemas.openxmlformats.org/officeDocument/2006/relationships/hyperlink" Target="https://doi.org/10.1001/jamanetworkopen.2022.43597" TargetMode="External"/><Relationship Id="rId7" Type="http://schemas.openxmlformats.org/officeDocument/2006/relationships/footnotes" Target="footnotes.xml"/><Relationship Id="rId12" Type="http://schemas.openxmlformats.org/officeDocument/2006/relationships/hyperlink" Target="https://doi.org/10.1007/s11469-021-00622-2" TargetMode="External"/><Relationship Id="rId17" Type="http://schemas.openxmlformats.org/officeDocument/2006/relationships/hyperlink" Target="https://doi.org/10.1016/S2215-0366(24)00360-2"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ice.org.uk/guidance/ng87?utm_source=chatgpt.com" TargetMode="External"/><Relationship Id="rId20" Type="http://schemas.openxmlformats.org/officeDocument/2006/relationships/hyperlink" Target="https://icd.who.int/browse11?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neubiorev.2021.01.022"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016/j.jad.2025.119427" TargetMode="External"/><Relationship Id="rId23" Type="http://schemas.openxmlformats.org/officeDocument/2006/relationships/footer" Target="footer1.xml"/><Relationship Id="rId10" Type="http://schemas.openxmlformats.org/officeDocument/2006/relationships/hyperlink" Target="https://doi.org/10.1016/S2215-0366(18)30269-4" TargetMode="External"/><Relationship Id="rId19" Type="http://schemas.openxmlformats.org/officeDocument/2006/relationships/hyperlink" Target="https://post.parliament.uk/research-briefings/post-pn-0733/" TargetMode="External"/><Relationship Id="rId4" Type="http://schemas.openxmlformats.org/officeDocument/2006/relationships/styles" Target="styles.xml"/><Relationship Id="rId9" Type="http://schemas.openxmlformats.org/officeDocument/2006/relationships/hyperlink" Target="https://doi.org/10.3389/fpsyt.2023.1289157" TargetMode="External"/><Relationship Id="rId14" Type="http://schemas.openxmlformats.org/officeDocument/2006/relationships/hyperlink" Target="https://doi.org/10.1111/papt.12455"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12</Pages>
  <Words>2965</Words>
  <Characters>16904</Characters>
  <Application>Microsoft Office Word</Application>
  <DocSecurity>0</DocSecurity>
  <Lines>140</Lines>
  <Paragraphs>39</Paragraphs>
  <ScaleCrop>false</ScaleCrop>
  <Company/>
  <LinksUpToDate>false</LinksUpToDate>
  <CharactersWithSpaces>19830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BMHP6029 Component 2 ADHD Report 1800 Words</dc:title>
  <dc:subject>Psychological Classifications and Provisions</dc:subject>
  <dc:creator>Hifza Kanwal</dc:creator>
  <cp:keywords>ADHD; ICD-11; BMHP6029</cp:keywords>
  <cp:lastModifiedBy>Hp 2023</cp:lastModifiedBy>
  <cp:revision>2</cp:revision>
  <dcterms:created xsi:type="dcterms:W3CDTF">2013-12-23T23:15:00Z</dcterms:created>
  <dcterms:modified xsi:type="dcterms:W3CDTF">2026-07-18T19:07:00Z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eyJoZGlkIjoiMjU5ODBiNzI1YmJjYzI4YWI3ODJiZjk2N2QxODg3MzgiLCJ1c2VySWQiOiIxOTQyMDU5MDg4MTUzIn0=</vt:lpwstr>
  </property>
  <property fmtid="{D5CDD505-2E9C-101B-9397-08002B2CF9AE}" pid="3" name="KSOProductBuildVer">
    <vt:lpwstr>1033-12.1.0.26880</vt:lpwstr>
  </property>
  <property fmtid="{D5CDD505-2E9C-101B-9397-08002B2CF9AE}" pid="4" name="ICV">
    <vt:lpwstr>A462DD52B17D427E84ACD3192C62D6C5_13</vt:lpwstr>
  </property>
</Properties>
</file>