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6F60" w14:textId="77777777" w:rsidR="00A33A03" w:rsidRDefault="00000000">
      <w:pPr>
        <w:spacing w:after="0" w:line="360" w:lineRule="auto"/>
        <w:ind w:right="-90"/>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ECED7006 - Assignment 1</w:t>
      </w:r>
    </w:p>
    <w:p w14:paraId="4735951C" w14:textId="77777777" w:rsidR="00A33A03" w:rsidRDefault="00A33A03">
      <w:pPr>
        <w:spacing w:after="0" w:line="360" w:lineRule="auto"/>
        <w:ind w:right="-90"/>
        <w:jc w:val="both"/>
        <w:rPr>
          <w:rFonts w:ascii="Times New Roman" w:eastAsia="Times New Roman" w:hAnsi="Times New Roman" w:cs="Times New Roman"/>
          <w:b/>
          <w:color w:val="000000"/>
          <w:sz w:val="24"/>
          <w:szCs w:val="24"/>
        </w:rPr>
      </w:pPr>
    </w:p>
    <w:p w14:paraId="6DA627D7" w14:textId="77777777" w:rsidR="00A33A03" w:rsidRDefault="00000000">
      <w:pPr>
        <w:spacing w:after="0" w:line="360" w:lineRule="auto"/>
        <w:ind w:right="-90"/>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How meritocracy propels university admissions cheating - with case studies in the US and Vietnam</w:t>
      </w:r>
    </w:p>
    <w:p w14:paraId="1A5346B0" w14:textId="77777777" w:rsidR="00A33A03" w:rsidRDefault="00000000">
      <w:pPr>
        <w:spacing w:after="0" w:line="360" w:lineRule="auto"/>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many countries and territories worldwide nowadays, especially in the West, it is believed that individuals can move up in the social ladder and be successful thanks to their own talent and efforts (Tašner and Gaber, 2022). However, more people are asserting that belief could be a fallacy and reproduce social inequalities. This paper will look into situations when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meritocracy</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may propel cheating and unfairness when money and power are in the game. It will </w:t>
      </w:r>
      <w:r>
        <w:rPr>
          <w:rFonts w:ascii="Times New Roman" w:eastAsia="Times New Roman" w:hAnsi="Times New Roman" w:cs="Times New Roman"/>
          <w:sz w:val="24"/>
          <w:szCs w:val="24"/>
        </w:rPr>
        <w:t xml:space="preserve">explain relevant </w:t>
      </w:r>
      <w:r>
        <w:rPr>
          <w:rFonts w:ascii="Times New Roman" w:eastAsia="Times New Roman" w:hAnsi="Times New Roman" w:cs="Times New Roman"/>
          <w:color w:val="000000"/>
          <w:sz w:val="24"/>
          <w:szCs w:val="24"/>
        </w:rPr>
        <w:t>keywords and cite relevant case studies to prove that meritocracy does not guarantee social mobility.</w:t>
      </w:r>
    </w:p>
    <w:p w14:paraId="07CB90DA" w14:textId="77777777" w:rsidR="00A33A03" w:rsidRDefault="00A33A03">
      <w:pPr>
        <w:spacing w:after="0" w:line="360" w:lineRule="auto"/>
        <w:ind w:right="-90"/>
        <w:jc w:val="both"/>
        <w:rPr>
          <w:rFonts w:ascii="Times New Roman" w:eastAsia="Times New Roman" w:hAnsi="Times New Roman" w:cs="Times New Roman"/>
          <w:color w:val="000000"/>
          <w:sz w:val="24"/>
          <w:szCs w:val="24"/>
        </w:rPr>
      </w:pPr>
    </w:p>
    <w:p w14:paraId="2780B68A" w14:textId="77777777" w:rsidR="00A33A03" w:rsidRDefault="00000000">
      <w:pPr>
        <w:spacing w:after="0" w:line="360" w:lineRule="auto"/>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“Meritocracy” was coined by British sociologist Michael Young with a negative connotation in his political fiction book in 1958 that warns ‘about consequences of assigning social status based on formal educational qualifications’ (Online Etymology Dictionary, 2020; Guinier, 2015; Carvalho, 2022; Poocharoen and Brillantes, 2013). The concept, morally logical as it holds talents and hard work in high regard rather than birth or aristocracy (Clifton, 2020; Poocharoen and Brillantes, 2013), seems to be a fruit of the ‘enlightenment tradition’ (Tašner and Gaber, 2022; Carvalho, 2022). It also brought to life ‘social democratic institutions developed over the 20th century’, particularly ‘the expansion of public education and public sector employment’ (Carvalho, 2022). As a result, it is highly welcomed as a form of social promotion in comparison to ‘nepotism and clientelism’ (Tašner and Gaber, 2022; Poocharoen and Brillantes, 2013). </w:t>
      </w:r>
    </w:p>
    <w:p w14:paraId="0FE7A095" w14:textId="77777777" w:rsidR="00A33A03" w:rsidRDefault="00A33A03">
      <w:pPr>
        <w:spacing w:after="0" w:line="360" w:lineRule="auto"/>
        <w:ind w:right="-90"/>
        <w:jc w:val="both"/>
        <w:rPr>
          <w:rFonts w:ascii="Times New Roman" w:eastAsia="Times New Roman" w:hAnsi="Times New Roman" w:cs="Times New Roman"/>
          <w:sz w:val="24"/>
          <w:szCs w:val="24"/>
        </w:rPr>
      </w:pPr>
    </w:p>
    <w:p w14:paraId="44081C71"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China is believed to be the origin of ‘meritocratic principles’ (Duong, 2023; Poocharoen and Brillantes, 2013) given the ‘Confucian concept of meritocracy’ which takes roots from the sixth century (Carvalho, 2022). The concept attached importance to ‘intelligence and education’, as well as ‘virtue’. It was to encourage individuals possessing those traits to succeed ‘</w:t>
      </w:r>
      <w:r>
        <w:rPr>
          <w:rFonts w:ascii="Times New Roman" w:eastAsia="Times New Roman" w:hAnsi="Times New Roman" w:cs="Times New Roman"/>
          <w:sz w:val="24"/>
          <w:szCs w:val="24"/>
        </w:rPr>
        <w:t>in the</w:t>
      </w:r>
      <w:r>
        <w:rPr>
          <w:rFonts w:ascii="Times New Roman" w:eastAsia="Times New Roman" w:hAnsi="Times New Roman" w:cs="Times New Roman"/>
          <w:color w:val="000000"/>
          <w:sz w:val="24"/>
          <w:szCs w:val="24"/>
        </w:rPr>
        <w:t xml:space="preserve"> system of Imperial civil service examination’ and become </w:t>
      </w:r>
      <w:r>
        <w:rPr>
          <w:rFonts w:ascii="Times New Roman" w:eastAsia="Times New Roman" w:hAnsi="Times New Roman" w:cs="Times New Roman"/>
          <w:sz w:val="24"/>
          <w:szCs w:val="24"/>
        </w:rPr>
        <w:t xml:space="preserve">brilliant </w:t>
      </w:r>
      <w:r>
        <w:rPr>
          <w:rFonts w:ascii="Times New Roman" w:eastAsia="Times New Roman" w:hAnsi="Times New Roman" w:cs="Times New Roman"/>
          <w:color w:val="000000"/>
          <w:sz w:val="24"/>
          <w:szCs w:val="24"/>
        </w:rPr>
        <w:t xml:space="preserve">‘government officials’ (Carvalho, 2022; Poocharoen and Brillantes, 20130). Carvalho (2022) pointed out that at the time of its birth, ‘the notion of meritocracy’ was in tandem with ‘education and bureaucracy, and moral significance’. Since its inception, the concept has been a leading principle in education and recruitment. It gives birth to an array of examinations (Bell, 2020), which are considered optimal and fair tools to measure merit (Tašner and Gaber, 2022). The entrance examination was also adopted in other East Asian countries (Poocharoen and Brillantes, 2013) and ‘by the British in </w:t>
      </w:r>
      <w:r>
        <w:rPr>
          <w:rFonts w:ascii="Times New Roman" w:eastAsia="Times New Roman" w:hAnsi="Times New Roman" w:cs="Times New Roman"/>
          <w:color w:val="000000"/>
          <w:sz w:val="24"/>
          <w:szCs w:val="24"/>
        </w:rPr>
        <w:lastRenderedPageBreak/>
        <w:t>India’ prior to arriving in Europe and the US (Poocharoen and Brillantes, 2013; Hobson, 2004). Poocharoen and Brillantes (2013) held that although Max Weber did not refer to the exact term, he ‘promoted this concept in his writings on bureaucracy’. The researchers (2013) cited Weber (1946) that impartial and capable individuals are the right ones for public offices.</w:t>
      </w:r>
    </w:p>
    <w:p w14:paraId="0637EA41" w14:textId="77777777" w:rsidR="00A33A03" w:rsidRDefault="00A33A03">
      <w:pPr>
        <w:spacing w:after="0" w:line="360" w:lineRule="auto"/>
        <w:ind w:right="-90"/>
        <w:jc w:val="both"/>
        <w:rPr>
          <w:rFonts w:ascii="Times New Roman" w:eastAsia="Times New Roman" w:hAnsi="Times New Roman" w:cs="Times New Roman"/>
          <w:sz w:val="24"/>
          <w:szCs w:val="24"/>
        </w:rPr>
      </w:pPr>
    </w:p>
    <w:p w14:paraId="2A2272DE"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the West, the principles were applied starting late 19th century to replace ‘political patronage in civil service management’ (Duong, 2023; So, 2015). Meritocracy has been among the most prominent social ideals (Clifton, 2020). And merit-based assessment seems to have become crucial and ‘rarely be questioned’ as most members of the society, especially influential figures in a person’s lifetime like parents and teachers, and politicians, endorse it (Tašner and Gaber, 2022; Clifton, 2020; Endleman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 Poocharoen and Brillantes (2013) emphasised:</w:t>
      </w:r>
    </w:p>
    <w:p w14:paraId="069D6B6B" w14:textId="77777777" w:rsidR="00A33A03" w:rsidRDefault="00000000">
      <w:pPr>
        <w:spacing w:after="0" w:line="360" w:lineRule="auto"/>
        <w:ind w:left="720" w:right="63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It is a system that values the principles of competition, open selection, careful evaluation of qualities, and of having a set of qualification standards and an established recruitment process.</w:t>
      </w:r>
    </w:p>
    <w:p w14:paraId="602EA742" w14:textId="77777777" w:rsidR="00A33A03" w:rsidRDefault="00A33A03">
      <w:pPr>
        <w:spacing w:after="0" w:line="360" w:lineRule="auto"/>
        <w:jc w:val="both"/>
        <w:rPr>
          <w:rFonts w:ascii="Times New Roman" w:eastAsia="Times New Roman" w:hAnsi="Times New Roman" w:cs="Times New Roman"/>
          <w:sz w:val="24"/>
          <w:szCs w:val="24"/>
        </w:rPr>
      </w:pPr>
    </w:p>
    <w:p w14:paraId="78D38270"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On that note, Sabic-El-Rayess (2016) defined ‘social mobility refers to an individual’s movement upward within institutional and social hierarchies’. Carvalho (2022) cited Chetty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(2014)’s finding that mobility has been on the decline ‘in segregation and inequality’, but rising</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‘in social capital, family stability, and school quality’. On the other hand, the concept could be perceived by a group of privileged individuals who fail to satisfy their desired goals, as “taken spots”, drag others down and “cut in line” (Byrd, 2019).</w:t>
      </w:r>
    </w:p>
    <w:p w14:paraId="653FFF5E" w14:textId="77777777" w:rsidR="00A33A03" w:rsidRDefault="00A33A03">
      <w:pPr>
        <w:spacing w:after="0" w:line="360" w:lineRule="auto"/>
        <w:jc w:val="both"/>
        <w:rPr>
          <w:rFonts w:ascii="Times New Roman" w:eastAsia="Times New Roman" w:hAnsi="Times New Roman" w:cs="Times New Roman"/>
          <w:sz w:val="24"/>
          <w:szCs w:val="24"/>
        </w:rPr>
      </w:pPr>
    </w:p>
    <w:p w14:paraId="63349C94"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Tašner and Gaber (2022) noted that Young, who rejected that meritocracy would lead to a ‘more just society’, was among ‘the first critics of the concept’. For it is ‘conceptualised in a neoliberal fashion’, meritocracy is hardly associated with ‘solidarity and the common good’ (Tašner and Gaber, 2022). Turner (1960) held that ‘sponsorship by the power holders </w:t>
      </w:r>
      <w:r>
        <w:rPr>
          <w:rFonts w:ascii="Times New Roman" w:eastAsia="Times New Roman" w:hAnsi="Times New Roman" w:cs="Times New Roman"/>
          <w:sz w:val="24"/>
          <w:szCs w:val="24"/>
        </w:rPr>
        <w:t>serve</w:t>
      </w:r>
      <w:r>
        <w:rPr>
          <w:rFonts w:ascii="Times New Roman" w:eastAsia="Times New Roman" w:hAnsi="Times New Roman" w:cs="Times New Roman"/>
          <w:color w:val="000000"/>
          <w:sz w:val="24"/>
          <w:szCs w:val="24"/>
        </w:rPr>
        <w:t xml:space="preserve">s </w:t>
      </w:r>
      <w:r>
        <w:rPr>
          <w:rFonts w:ascii="Times New Roman" w:eastAsia="Times New Roman" w:hAnsi="Times New Roman" w:cs="Times New Roman"/>
          <w:sz w:val="24"/>
          <w:szCs w:val="24"/>
        </w:rPr>
        <w:t>as</w:t>
      </w:r>
      <w:r>
        <w:rPr>
          <w:rFonts w:ascii="Times New Roman" w:eastAsia="Times New Roman" w:hAnsi="Times New Roman" w:cs="Times New Roman"/>
          <w:color w:val="000000"/>
          <w:sz w:val="24"/>
          <w:szCs w:val="24"/>
        </w:rPr>
        <w:t xml:space="preserve"> an alternative pathway to obtaining the elite status’, not just ‘merit-based contest’ as many have assumed (</w:t>
      </w:r>
      <w:r>
        <w:rPr>
          <w:rFonts w:ascii="Times New Roman" w:eastAsia="Times New Roman" w:hAnsi="Times New Roman" w:cs="Times New Roman"/>
          <w:sz w:val="24"/>
          <w:szCs w:val="24"/>
        </w:rPr>
        <w:t>Sabic-El-Rayess, 2016)</w:t>
      </w:r>
      <w:r>
        <w:rPr>
          <w:rFonts w:ascii="Times New Roman" w:eastAsia="Times New Roman" w:hAnsi="Times New Roman" w:cs="Times New Roman"/>
          <w:color w:val="000000"/>
          <w:sz w:val="24"/>
          <w:szCs w:val="24"/>
        </w:rPr>
        <w:t xml:space="preserve">. Carvalho (2022) held that social divisions triggered by meritocracy could exaggerate inequality (Bénabou and Tirole, 2006). Echoing these views, in his book, Markovits (2019) dismissed meritocracy as a major barrier to equality in the US context, rather than a pathway to social mobility (Bell, 2020). Carvalho (2022) observed that what has come under criticism is not the concept of merit, but the negative sides of the meritocracy system, which renders ‘screened out individuals’ seemingly ‘invisible’, (Goodhart, 2020; Markovits, </w:t>
      </w:r>
      <w:r>
        <w:rPr>
          <w:rFonts w:ascii="Times New Roman" w:eastAsia="Times New Roman" w:hAnsi="Times New Roman" w:cs="Times New Roman"/>
          <w:color w:val="000000"/>
          <w:sz w:val="24"/>
          <w:szCs w:val="24"/>
        </w:rPr>
        <w:lastRenderedPageBreak/>
        <w:t>2020; Sandel, 2020). The regime operates in a setting that only people with outstanding academic achievements ‘are qualified for elite positions’. </w:t>
      </w:r>
    </w:p>
    <w:p w14:paraId="7467B507" w14:textId="77777777" w:rsidR="00A33A03" w:rsidRDefault="00A33A03">
      <w:pPr>
        <w:spacing w:after="0" w:line="360" w:lineRule="auto"/>
        <w:jc w:val="both"/>
        <w:rPr>
          <w:rFonts w:ascii="Times New Roman" w:eastAsia="Times New Roman" w:hAnsi="Times New Roman" w:cs="Times New Roman"/>
          <w:sz w:val="24"/>
          <w:szCs w:val="24"/>
        </w:rPr>
      </w:pPr>
    </w:p>
    <w:p w14:paraId="4998B086" w14:textId="77777777" w:rsidR="00A33A03"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Graph 1: Negative sides of the current meritocracy system</w:t>
      </w:r>
    </w:p>
    <w:p w14:paraId="01B8DC93"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5891558A" wp14:editId="5A8B6FDD">
            <wp:extent cx="5731510" cy="2213610"/>
            <wp:effectExtent l="0" t="0" r="0" b="0"/>
            <wp:docPr id="4" name="image3.png" descr="A picture containing text, businesscard,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png" descr="A picture containing text, businesscard, screenshot&#10;&#10;Description automatically generated"/>
                    <pic:cNvPicPr preferRelativeResize="0"/>
                  </pic:nvPicPr>
                  <pic:blipFill>
                    <a:blip r:embed="rId7"/>
                    <a:srcRect/>
                    <a:stretch>
                      <a:fillRect/>
                    </a:stretch>
                  </pic:blipFill>
                  <pic:spPr>
                    <a:xfrm>
                      <a:off x="0" y="0"/>
                      <a:ext cx="5731510" cy="2213610"/>
                    </a:xfrm>
                    <a:prstGeom prst="rect">
                      <a:avLst/>
                    </a:prstGeom>
                    <a:ln/>
                  </pic:spPr>
                </pic:pic>
              </a:graphicData>
            </a:graphic>
          </wp:inline>
        </w:drawing>
      </w:r>
    </w:p>
    <w:p w14:paraId="2BF2A95A"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324F5E3B" wp14:editId="29DEDB52">
            <wp:extent cx="5731510" cy="3563620"/>
            <wp:effectExtent l="0" t="0" r="0" b="0"/>
            <wp:docPr id="6" name="image2.png"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Graphical user interface, text, application&#10;&#10;Description automatically generated"/>
                    <pic:cNvPicPr preferRelativeResize="0"/>
                  </pic:nvPicPr>
                  <pic:blipFill>
                    <a:blip r:embed="rId8"/>
                    <a:srcRect/>
                    <a:stretch>
                      <a:fillRect/>
                    </a:stretch>
                  </pic:blipFill>
                  <pic:spPr>
                    <a:xfrm>
                      <a:off x="0" y="0"/>
                      <a:ext cx="5731510" cy="3563620"/>
                    </a:xfrm>
                    <a:prstGeom prst="rect">
                      <a:avLst/>
                    </a:prstGeom>
                    <a:ln/>
                  </pic:spPr>
                </pic:pic>
              </a:graphicData>
            </a:graphic>
          </wp:inline>
        </w:drawing>
      </w:r>
    </w:p>
    <w:p w14:paraId="1757B326" w14:textId="77777777" w:rsidR="00A33A03" w:rsidRDefault="00000000">
      <w:pPr>
        <w:spacing w:after="0" w:line="360" w:lineRule="auto"/>
        <w:ind w:right="-90"/>
        <w:jc w:val="right"/>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(Carvalho, 2022)</w:t>
      </w:r>
    </w:p>
    <w:p w14:paraId="1A806DEE"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importantly</w:t>
      </w:r>
      <w:r>
        <w:rPr>
          <w:rFonts w:ascii="Times New Roman" w:eastAsia="Times New Roman" w:hAnsi="Times New Roman" w:cs="Times New Roman"/>
          <w:color w:val="000000"/>
          <w:sz w:val="24"/>
          <w:szCs w:val="24"/>
        </w:rPr>
        <w:t>, meritocracy tends to disregard obstacles that individuals have been facing and label negative results as ‘personal failure’ (Bell, 2020). Clifton (2020) emphasised the ‘tenuous and indirect’ connection between merit and results. Bell (2020) warned populists may take advantage of the dissatisfaction and hypocritically criticise ‘meritocratic elites’ to serve their own purposes.</w:t>
      </w:r>
    </w:p>
    <w:p w14:paraId="4C0614FC" w14:textId="77777777" w:rsidR="00A33A03" w:rsidRDefault="00A33A03">
      <w:pPr>
        <w:spacing w:after="0" w:line="360" w:lineRule="auto"/>
        <w:jc w:val="both"/>
        <w:rPr>
          <w:rFonts w:ascii="Times New Roman" w:eastAsia="Times New Roman" w:hAnsi="Times New Roman" w:cs="Times New Roman"/>
          <w:sz w:val="24"/>
          <w:szCs w:val="24"/>
        </w:rPr>
      </w:pPr>
    </w:p>
    <w:p w14:paraId="205FD300"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Tašner and Gaber (2022) reiterated that the problems of meritocracy emerged first-hand in education, the same field in which it has greatly contributed to accelerating ‘equal opportunities for all’. In the US in the 1960s, ‘children from socially privileged strata’ were more likely to obtain ‘higher and most prestigious educational degrees’ (Tašner and Gaber, 2022). The researchers cited a description by Bourdieu and Passeron (1990, p. 84) that the concept creates ‘an illusion behind which social reproduction continues’. Similarly, some other researchers rejected the credibility of ‘decisions based on merit’ and concluded that it is “an inevitable myth” (Tašner and Gaber, 2022). Tomusk (2000, p. 240) also observed that ‘‘power is legitimising itself through the educational systems’’. He explained that the elites are capable of ‘controlling social mobility opportunities’ and therefore ‘award individual success as they see fit’. The argument was strengthened as Sabic-El-Rayess (2016) named some corrupt behaviours, such as gaining ‘full or partial educational credentials and having access to ensuing benefits’ through ‘bribes and favour reciprocations’. Due to meritocracy belief, bribes can be but not limited to ‘favour exchange’, which enables individuals to have an advantage over others in social mobility but based on a ‘non-merit’ foundation (Sabic-El-Rayess, 2016).</w:t>
      </w:r>
    </w:p>
    <w:p w14:paraId="172E7D78" w14:textId="77777777" w:rsidR="00A33A03" w:rsidRDefault="00A33A03">
      <w:pPr>
        <w:spacing w:after="0" w:line="360" w:lineRule="auto"/>
        <w:jc w:val="both"/>
        <w:rPr>
          <w:rFonts w:ascii="Times New Roman" w:eastAsia="Times New Roman" w:hAnsi="Times New Roman" w:cs="Times New Roman"/>
          <w:sz w:val="24"/>
          <w:szCs w:val="24"/>
        </w:rPr>
      </w:pPr>
    </w:p>
    <w:p w14:paraId="6D902F98"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“Favour reciprocation” is among the most common types of ‘non-pecuniary corruption in higher education’ (Sabic-El-Rayess, 2016). The researcher clarified that it can be perpetuated when students with special connections receive high grades not based on their abilities, with ‘expectation that such favours will be reciprocated in the future’. Difficulty in detection, verification and report makes it more dangerous. Therefore, the supposed ‘merit-based opportunities’ for those who are without connections will be minimised, and maybe even down to none (Sabic-El-Rayess, 2016). The researcher also emphasised that this does not only affect the reliability of meritocracy in the educational environment, but also ‘social standing’ consequently. Hermanowicz (2019) cited Slaughter and Rhoades (2004, p. 298)’s argument comparing the relationship between universities/colleges and students nowadays as service providers and “consumers”, respectively. “The college experience” discourse has </w:t>
      </w:r>
      <w:r>
        <w:rPr>
          <w:rFonts w:ascii="Times New Roman" w:eastAsia="Times New Roman" w:hAnsi="Times New Roman" w:cs="Times New Roman"/>
          <w:sz w:val="24"/>
          <w:szCs w:val="24"/>
        </w:rPr>
        <w:t>deprecated</w:t>
      </w:r>
      <w:r>
        <w:rPr>
          <w:rFonts w:ascii="Times New Roman" w:eastAsia="Times New Roman" w:hAnsi="Times New Roman" w:cs="Times New Roman"/>
          <w:color w:val="000000"/>
          <w:sz w:val="24"/>
          <w:szCs w:val="24"/>
        </w:rPr>
        <w:t xml:space="preserve"> ‘learning and being educated’ and Grigsby (2009) warned against the emergence of ‘an attitude of earning a degree with as little effort as possible’ (Hermanowicz, 2019).</w:t>
      </w:r>
    </w:p>
    <w:p w14:paraId="4F7ED39A"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14:paraId="4F889EAD"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Although the US is described as ‘the land of opportunity, the place where potential awaits’ (McGlinn, 2004), recent incidents have come to light to challenge that belief, </w:t>
      </w:r>
      <w:r>
        <w:rPr>
          <w:rFonts w:ascii="Times New Roman" w:eastAsia="Times New Roman" w:hAnsi="Times New Roman" w:cs="Times New Roman"/>
          <w:sz w:val="24"/>
          <w:szCs w:val="24"/>
        </w:rPr>
        <w:t>especially regarding</w:t>
      </w:r>
      <w:r>
        <w:rPr>
          <w:rFonts w:ascii="Times New Roman" w:eastAsia="Times New Roman" w:hAnsi="Times New Roman" w:cs="Times New Roman"/>
          <w:color w:val="000000"/>
          <w:sz w:val="24"/>
          <w:szCs w:val="24"/>
        </w:rPr>
        <w:t xml:space="preserve"> fairness. Hermanowicz (2019) noted that in this country, ‘high school grades’ and ‘letters of recommendation’, for a long time, have been principal means ‘to provide testimony </w:t>
      </w:r>
      <w:r>
        <w:rPr>
          <w:rFonts w:ascii="Times New Roman" w:eastAsia="Times New Roman" w:hAnsi="Times New Roman" w:cs="Times New Roman"/>
          <w:color w:val="000000"/>
          <w:sz w:val="24"/>
          <w:szCs w:val="24"/>
        </w:rPr>
        <w:lastRenderedPageBreak/>
        <w:t xml:space="preserve">about the merit of applicants to college’. Then if these are tampered or overstated, they no longer serve the expected merit-based purpose. ‘Peer networks and socio-economic backgrounds’ are also among decisive factors for college admission (Hermanowicz, 2019; McDonough, 1997). Financial contributions by students’ families to the institutions may be </w:t>
      </w:r>
      <w:r>
        <w:rPr>
          <w:rFonts w:ascii="Times New Roman" w:eastAsia="Times New Roman" w:hAnsi="Times New Roman" w:cs="Times New Roman"/>
          <w:sz w:val="24"/>
          <w:szCs w:val="24"/>
        </w:rPr>
        <w:t>taken into consideration</w:t>
      </w:r>
      <w:r>
        <w:rPr>
          <w:rFonts w:ascii="Times New Roman" w:eastAsia="Times New Roman" w:hAnsi="Times New Roman" w:cs="Times New Roman"/>
          <w:color w:val="000000"/>
          <w:sz w:val="24"/>
          <w:szCs w:val="24"/>
        </w:rPr>
        <w:t>, Hermanowicz (2019) underlined. </w:t>
      </w:r>
    </w:p>
    <w:p w14:paraId="473C239F" w14:textId="77777777" w:rsidR="00A33A03" w:rsidRDefault="00A33A03">
      <w:pPr>
        <w:spacing w:after="0" w:line="360" w:lineRule="auto"/>
        <w:jc w:val="both"/>
        <w:rPr>
          <w:rFonts w:ascii="Times New Roman" w:eastAsia="Times New Roman" w:hAnsi="Times New Roman" w:cs="Times New Roman"/>
          <w:sz w:val="24"/>
          <w:szCs w:val="24"/>
        </w:rPr>
      </w:pPr>
    </w:p>
    <w:p w14:paraId="692F5D41"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2019, a group comprising more than 50 parents and college personnel in the US were accused of attempting bribery to have children enrolled into some famous universities (Pascus, 2019). Their tactics included being an invigilator for their child’s exam and correcting the answers afterwards, together with feigning ‘sport team recruit’. Bodovski (2020) stated that this ‘college admissions scandal’ speaks volume ‘about </w:t>
      </w:r>
      <w:r>
        <w:rPr>
          <w:rFonts w:ascii="Times New Roman" w:eastAsia="Times New Roman" w:hAnsi="Times New Roman" w:cs="Times New Roman"/>
          <w:sz w:val="24"/>
          <w:szCs w:val="24"/>
        </w:rPr>
        <w:t>parenting more than</w:t>
      </w:r>
      <w:r>
        <w:rPr>
          <w:rFonts w:ascii="Times New Roman" w:eastAsia="Times New Roman" w:hAnsi="Times New Roman" w:cs="Times New Roman"/>
          <w:color w:val="000000"/>
          <w:sz w:val="24"/>
          <w:szCs w:val="24"/>
        </w:rPr>
        <w:t xml:space="preserve"> the institution of higher education’, and stresses the correlation ‘between parenting, education, and social class’. The researcher affirmed that parents’ motive lies in their knowledge and experience in the benefits of enrolment in prestigious schools, including ‘social and professional opportunities’. In their mind, it is a sure-fire way to maintain the children’s status and ‘ensure their social mobility’ (Bodovski, 2020). She cited Calarco (2018) who stated even “mundanely privileged families” may strive to make use of every chance they afford, for the sake of their children. However, the social reproduction of inequalities results in parents who have received education gain the better advantage in knowing how educational establishments operate than their counterparts who have not </w:t>
      </w:r>
      <w:r>
        <w:rPr>
          <w:rFonts w:ascii="Times New Roman" w:eastAsia="Times New Roman" w:hAnsi="Times New Roman" w:cs="Times New Roman"/>
          <w:sz w:val="24"/>
          <w:szCs w:val="24"/>
        </w:rPr>
        <w:t xml:space="preserve"> (Bodovski, 2020; Calarco, 2018)</w:t>
      </w:r>
      <w:r>
        <w:rPr>
          <w:rFonts w:ascii="Times New Roman" w:eastAsia="Times New Roman" w:hAnsi="Times New Roman" w:cs="Times New Roman"/>
          <w:color w:val="000000"/>
          <w:sz w:val="24"/>
          <w:szCs w:val="24"/>
        </w:rPr>
        <w:t>.</w:t>
      </w:r>
    </w:p>
    <w:p w14:paraId="5919864A" w14:textId="77777777" w:rsidR="00A33A03" w:rsidRDefault="00A33A03">
      <w:pPr>
        <w:spacing w:after="0" w:line="360" w:lineRule="auto"/>
        <w:jc w:val="both"/>
        <w:rPr>
          <w:rFonts w:ascii="Times New Roman" w:eastAsia="Times New Roman" w:hAnsi="Times New Roman" w:cs="Times New Roman"/>
          <w:sz w:val="24"/>
          <w:szCs w:val="24"/>
        </w:rPr>
      </w:pPr>
    </w:p>
    <w:p w14:paraId="4341B281"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Hermanowicz (2019) borrowed from Merton (1968) who elaborated that people tend to resort to underhanded methods to fulfil their targets when conventional ones fail to do so. The use of money to ‘secure the end legal means’ have been reported in tertiary enrolment (Hermanowicz, 2019). Byrd (2019) observed wealthy parents may refuse to attribute their children’s poor academic performance that make them unqualified for prestigious institutions to ‘indulgence, indolence or incompetence’, but ‘perception’. Accordingly, they could spend a humongous fortune in falsifying the children’s scores and accomplishments in sports or competitions. This projects the significance and influence of parents’ viewpoints and decisions in the current meritocratic system. Markovits (2019) pointed out that the current ‘parenting and educational system’ are to make sure ‘their offspring's human capital’, which he argued will attain ‘more significant dividends than property or assets’. Holding similar views, Bevia and Corchon (2017) proved their hypothesis stating that ‘human capital can be accumulated without bound and without diminishing returns in the production of capital’. Paradoxically, Mijs and Hoy’s </w:t>
      </w:r>
      <w:r>
        <w:rPr>
          <w:rFonts w:ascii="Times New Roman" w:eastAsia="Times New Roman" w:hAnsi="Times New Roman" w:cs="Times New Roman"/>
          <w:color w:val="000000"/>
          <w:sz w:val="24"/>
          <w:szCs w:val="24"/>
        </w:rPr>
        <w:lastRenderedPageBreak/>
        <w:t xml:space="preserve">research in 2022 indicated that most people in the US believe ‘there is more upward social mobility than there really is’ (Alesina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2018; Kraus and Tan, 2015). They held that news media is a source of misinformation on meritocracy, adding that researchers also find popular media affect the audience’s viewpoints on inequality (Larsen, 2016). For example, the “rags-to-riches” theme has been ‘a staple of young adult novels in modern times’, boosting the ‘American Dream’ belief among viewers (Mijs and Hoy, 2022; McGlinn, 2004). Most importantly, those works that highlight characters’ perseverance and hard work will eventually ‘pay off’. To help people better understand ‘income distribution and social mobility rates’, Mijs and Hoy (2022) suggested that ‘new and accurate information’ may contribute to adjusting </w:t>
      </w:r>
      <w:r>
        <w:rPr>
          <w:rFonts w:ascii="Times New Roman" w:eastAsia="Times New Roman" w:hAnsi="Times New Roman" w:cs="Times New Roman"/>
          <w:sz w:val="24"/>
          <w:szCs w:val="24"/>
        </w:rPr>
        <w:t>public</w:t>
      </w:r>
      <w:r>
        <w:rPr>
          <w:rFonts w:ascii="Times New Roman" w:eastAsia="Times New Roman" w:hAnsi="Times New Roman" w:cs="Times New Roman"/>
          <w:color w:val="000000"/>
          <w:sz w:val="24"/>
          <w:szCs w:val="24"/>
        </w:rPr>
        <w:t xml:space="preserve"> viewpoints (Hauser and Norton 2017; McCall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2017). </w:t>
      </w:r>
    </w:p>
    <w:p w14:paraId="4A69CEBD" w14:textId="77777777" w:rsidR="00A33A03" w:rsidRDefault="00A33A03">
      <w:pPr>
        <w:spacing w:after="0" w:line="360" w:lineRule="auto"/>
        <w:jc w:val="both"/>
        <w:rPr>
          <w:rFonts w:ascii="Times New Roman" w:eastAsia="Times New Roman" w:hAnsi="Times New Roman" w:cs="Times New Roman"/>
          <w:sz w:val="24"/>
          <w:szCs w:val="24"/>
        </w:rPr>
      </w:pPr>
    </w:p>
    <w:p w14:paraId="582CF443"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Although there are differences between the meritocratic views and systems in the US, the UK and Asia, including Vietnam (Duong, 2023), they are all subjected to criticisms (Mijs and Hoy, 2022) and more debates. A similar </w:t>
      </w:r>
      <w:r>
        <w:rPr>
          <w:rFonts w:ascii="Times New Roman" w:eastAsia="Times New Roman" w:hAnsi="Times New Roman" w:cs="Times New Roman"/>
          <w:sz w:val="24"/>
          <w:szCs w:val="24"/>
        </w:rPr>
        <w:t xml:space="preserve">admissions </w:t>
      </w:r>
      <w:r>
        <w:rPr>
          <w:rFonts w:ascii="Times New Roman" w:eastAsia="Times New Roman" w:hAnsi="Times New Roman" w:cs="Times New Roman"/>
          <w:color w:val="000000"/>
          <w:sz w:val="24"/>
          <w:szCs w:val="24"/>
        </w:rPr>
        <w:t>cheating scandal was reported in three provinces in Vietnam in 2017-18 (VietnamPlus, 2020). Some high-ranking examination officials of the provincial education departments were found guilty of their involvement in test score manipulation by altering hundreds of multiple-choice test’s answer sheets’. In a single province, students’ scores were adjusted up by more than 20 marks higher than they should have (VietnamPlus, 2020). Result of the examination is to determine whether a student is qualified to ‘graduate from high school and get into their dream university’ (Viet Nam News, 2018)</w:t>
      </w:r>
      <w:r>
        <w:rPr>
          <w:rFonts w:ascii="Times New Roman" w:eastAsia="Times New Roman" w:hAnsi="Times New Roman" w:cs="Times New Roman"/>
          <w:sz w:val="24"/>
          <w:szCs w:val="24"/>
        </w:rPr>
        <w:t>, therefore, i</w:t>
      </w:r>
      <w:r>
        <w:rPr>
          <w:rFonts w:ascii="Times New Roman" w:eastAsia="Times New Roman" w:hAnsi="Times New Roman" w:cs="Times New Roman"/>
          <w:color w:val="000000"/>
          <w:sz w:val="24"/>
          <w:szCs w:val="24"/>
        </w:rPr>
        <w:t xml:space="preserve">t is considered an important stage of life by many. Çırak’s research in 2016 gave an insight into students’ common perceptions and anxiety brought by the university entrance exam. It is worthy of note that the exams are viewed by some students as a serious issue of make or break, and a ‘door’ expected to deliver a self-reliant future with careers (Çırak, 2016). In addition, the fear of being disoriented in life, and unable to reciprocate for all the family expectations and support in case of failure, greatly contributes to their perturbation </w:t>
      </w:r>
      <w:r>
        <w:rPr>
          <w:rFonts w:ascii="Times New Roman" w:eastAsia="Times New Roman" w:hAnsi="Times New Roman" w:cs="Times New Roman"/>
          <w:sz w:val="24"/>
          <w:szCs w:val="24"/>
        </w:rPr>
        <w:t>(Çırak, 2016)</w:t>
      </w:r>
      <w:r>
        <w:rPr>
          <w:rFonts w:ascii="Times New Roman" w:eastAsia="Times New Roman" w:hAnsi="Times New Roman" w:cs="Times New Roman"/>
          <w:color w:val="000000"/>
          <w:sz w:val="24"/>
          <w:szCs w:val="24"/>
        </w:rPr>
        <w:t>.</w:t>
      </w:r>
    </w:p>
    <w:p w14:paraId="4FA392BE" w14:textId="77777777" w:rsidR="00A33A03" w:rsidRDefault="00A33A03">
      <w:pPr>
        <w:spacing w:after="0" w:line="360" w:lineRule="auto"/>
        <w:ind w:right="-90"/>
        <w:jc w:val="both"/>
        <w:rPr>
          <w:rFonts w:ascii="Times New Roman" w:eastAsia="Times New Roman" w:hAnsi="Times New Roman" w:cs="Times New Roman"/>
          <w:sz w:val="24"/>
          <w:szCs w:val="24"/>
        </w:rPr>
      </w:pPr>
    </w:p>
    <w:p w14:paraId="51416C26" w14:textId="77777777" w:rsidR="00A33A03" w:rsidRDefault="00000000">
      <w:pPr>
        <w:spacing w:after="0" w:line="360" w:lineRule="auto"/>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Phan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noted that young people have been under pressure to prove themselves in a more fast-paced world, and academic perfectionism can be one problem among an array of them all. More dangerously, as talent and efforts are deemed top priorit</w:t>
      </w:r>
      <w:r>
        <w:rPr>
          <w:rFonts w:ascii="Times New Roman" w:eastAsia="Times New Roman" w:hAnsi="Times New Roman" w:cs="Times New Roman"/>
          <w:sz w:val="24"/>
          <w:szCs w:val="24"/>
        </w:rPr>
        <w:t>ies</w:t>
      </w:r>
      <w:r>
        <w:rPr>
          <w:rFonts w:ascii="Times New Roman" w:eastAsia="Times New Roman" w:hAnsi="Times New Roman" w:cs="Times New Roman"/>
          <w:color w:val="000000"/>
          <w:sz w:val="24"/>
          <w:szCs w:val="24"/>
        </w:rPr>
        <w:t xml:space="preserve"> in meritocratic principles, individuals may be trapped in ‘a cycle of setting higher and more unrealistic standards’ after fulfilling one (Endleman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Shafran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2002). This will worsen if they have </w:t>
      </w:r>
      <w:r>
        <w:rPr>
          <w:rFonts w:ascii="Times New Roman" w:eastAsia="Times New Roman" w:hAnsi="Times New Roman" w:cs="Times New Roman"/>
          <w:color w:val="000000"/>
          <w:sz w:val="24"/>
          <w:szCs w:val="24"/>
        </w:rPr>
        <w:lastRenderedPageBreak/>
        <w:t xml:space="preserve">demanding and controlling parents who encourage unrealistically high expectations (Endleman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  </w:t>
      </w:r>
    </w:p>
    <w:p w14:paraId="55DEC193" w14:textId="77777777" w:rsidR="00A33A03" w:rsidRDefault="00A33A03">
      <w:pPr>
        <w:spacing w:after="0" w:line="360" w:lineRule="auto"/>
        <w:ind w:right="-90"/>
        <w:jc w:val="both"/>
        <w:rPr>
          <w:rFonts w:ascii="Times New Roman" w:eastAsia="Times New Roman" w:hAnsi="Times New Roman" w:cs="Times New Roman"/>
          <w:color w:val="000000"/>
          <w:sz w:val="24"/>
          <w:szCs w:val="24"/>
        </w:rPr>
      </w:pPr>
    </w:p>
    <w:p w14:paraId="5DB50116"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Examinees in Vietnam are </w:t>
      </w:r>
      <w:r>
        <w:rPr>
          <w:rFonts w:ascii="Times New Roman" w:eastAsia="Times New Roman" w:hAnsi="Times New Roman" w:cs="Times New Roman"/>
          <w:sz w:val="24"/>
          <w:szCs w:val="24"/>
        </w:rPr>
        <w:t>only</w:t>
      </w:r>
      <w:r>
        <w:rPr>
          <w:rFonts w:ascii="Times New Roman" w:eastAsia="Times New Roman" w:hAnsi="Times New Roman" w:cs="Times New Roman"/>
          <w:color w:val="000000"/>
          <w:sz w:val="24"/>
          <w:szCs w:val="24"/>
        </w:rPr>
        <w:t xml:space="preserve"> given ‘written examinations’, similar to Japanese students in the past (Rappleye and Komatsu, 2018). Research by Rappleye and Komatsu (2018) analysed reasons for the pressure among Japanese students in the 1980s, which bear some similarities in the Vietnamese current context. </w:t>
      </w:r>
    </w:p>
    <w:p w14:paraId="03F79D49"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Graph 2: Pressure facing Japanese students in the 1980s</w:t>
      </w:r>
    </w:p>
    <w:p w14:paraId="4D59A966"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rPr>
        <w:drawing>
          <wp:inline distT="0" distB="0" distL="0" distR="0" wp14:anchorId="6590A31E" wp14:editId="78CE96ED">
            <wp:extent cx="5731510" cy="2167890"/>
            <wp:effectExtent l="0" t="0" r="0" b="0"/>
            <wp:docPr id="5" name="image1.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Graphical user interface&#10;&#10;Description automatically generated"/>
                    <pic:cNvPicPr preferRelativeResize="0"/>
                  </pic:nvPicPr>
                  <pic:blipFill>
                    <a:blip r:embed="rId9"/>
                    <a:srcRect/>
                    <a:stretch>
                      <a:fillRect/>
                    </a:stretch>
                  </pic:blipFill>
                  <pic:spPr>
                    <a:xfrm>
                      <a:off x="0" y="0"/>
                      <a:ext cx="5731510" cy="2167890"/>
                    </a:xfrm>
                    <a:prstGeom prst="rect">
                      <a:avLst/>
                    </a:prstGeom>
                    <a:ln/>
                  </pic:spPr>
                </pic:pic>
              </a:graphicData>
            </a:graphic>
          </wp:inline>
        </w:drawing>
      </w:r>
    </w:p>
    <w:p w14:paraId="03C48A85" w14:textId="77777777" w:rsidR="00A33A03" w:rsidRDefault="00000000">
      <w:pPr>
        <w:spacing w:after="0" w:line="360" w:lineRule="auto"/>
        <w:ind w:right="-90"/>
        <w:jc w:val="right"/>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(Rappleye and Komatsu, 2018)</w:t>
      </w:r>
    </w:p>
    <w:p w14:paraId="2602C957" w14:textId="77777777" w:rsidR="00A33A03" w:rsidRDefault="00A33A03">
      <w:pPr>
        <w:spacing w:after="0" w:line="360" w:lineRule="auto"/>
        <w:jc w:val="both"/>
        <w:rPr>
          <w:rFonts w:ascii="Times New Roman" w:eastAsia="Times New Roman" w:hAnsi="Times New Roman" w:cs="Times New Roman"/>
          <w:sz w:val="24"/>
          <w:szCs w:val="24"/>
        </w:rPr>
      </w:pPr>
    </w:p>
    <w:p w14:paraId="53F2CAD9"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Poocharoen and Brillantes’s research (2013) revealed that Asian countries have attached more importance on exams and qualifications in recruitment. Meritocracy is hoped to select the most brilliant individuals, as well as find ways to remove patronage and counter corruption. In Vietnam, the country’s ruling Communist Party has reiterated the essentiality of ‘both morality and talent’ in its development strategy since 1997 (Duong, 2023). Policymakers in the country henceforth have devised incentives for those who possess such qualities. At the same time, ‘nepotism, patronage, and corruption in recruitment and promotion’ persist in Asia and Vietnam in particular, Poocharoen and Brillantes (2013) found. Meanwhile, international organisations, including the World Bank (WB) and the United Nations Development Programme (UNDP) in Vietnam, for </w:t>
      </w:r>
      <w:r>
        <w:rPr>
          <w:rFonts w:ascii="Times New Roman" w:eastAsia="Times New Roman" w:hAnsi="Times New Roman" w:cs="Times New Roman"/>
          <w:sz w:val="24"/>
          <w:szCs w:val="24"/>
        </w:rPr>
        <w:t>instance</w:t>
      </w:r>
      <w:r>
        <w:rPr>
          <w:rFonts w:ascii="Times New Roman" w:eastAsia="Times New Roman" w:hAnsi="Times New Roman" w:cs="Times New Roman"/>
          <w:color w:val="000000"/>
          <w:sz w:val="24"/>
          <w:szCs w:val="24"/>
        </w:rPr>
        <w:t>, call for recruitment processes of fairness, openness, and competency (Duong, 2023; World Bank, 1997; UNDP, 2015). </w:t>
      </w:r>
    </w:p>
    <w:p w14:paraId="245CC22C" w14:textId="77777777" w:rsidR="00A33A03" w:rsidRDefault="00A33A03">
      <w:pPr>
        <w:spacing w:after="0" w:line="360" w:lineRule="auto"/>
        <w:jc w:val="both"/>
        <w:rPr>
          <w:rFonts w:ascii="Times New Roman" w:eastAsia="Times New Roman" w:hAnsi="Times New Roman" w:cs="Times New Roman"/>
          <w:sz w:val="24"/>
          <w:szCs w:val="24"/>
        </w:rPr>
      </w:pPr>
    </w:p>
    <w:p w14:paraId="1591D593"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Furthermore, researchers have observed that the Southeast Asian nation is greatly influenced by lessons from Confucius that connect merit with ‘relationship, social hierarchy, and a high priority for education’ (Burns, 2007; Zhang, 2015). Duong (2023) introduced an example in the </w:t>
      </w:r>
      <w:r>
        <w:rPr>
          <w:rFonts w:ascii="Times New Roman" w:eastAsia="Times New Roman" w:hAnsi="Times New Roman" w:cs="Times New Roman"/>
          <w:color w:val="000000"/>
          <w:sz w:val="24"/>
          <w:szCs w:val="24"/>
        </w:rPr>
        <w:lastRenderedPageBreak/>
        <w:t xml:space="preserve">workplace as payment and bonus would not only be in accordance with ‘professional performance’, but also work ethics, virtues, and ‘seniority’. Likewise, ‘rankings and positions’ may have an important role to play in facilitating merit-driven cheating among school and examination management staff. For example, they might get involved in misconduct to do a favour for their social connection or carry out an order by their superiors. Nevertheless, Sabic-El-Rayess (2016) discovered that students can have little faith in ‘merit-based mobility’ as well as transparency when they are in school, in particular with low-satisfying teaching by incompetent educators hired with the help of background and connections. If that mentality continues when they enter the society, young people may have little or no motivation, </w:t>
      </w:r>
      <w:r>
        <w:rPr>
          <w:rFonts w:ascii="Times New Roman" w:eastAsia="Times New Roman" w:hAnsi="Times New Roman" w:cs="Times New Roman"/>
          <w:sz w:val="24"/>
          <w:szCs w:val="24"/>
        </w:rPr>
        <w:t>or be prone</w:t>
      </w:r>
      <w:r>
        <w:rPr>
          <w:rFonts w:ascii="Times New Roman" w:eastAsia="Times New Roman" w:hAnsi="Times New Roman" w:cs="Times New Roman"/>
          <w:color w:val="000000"/>
          <w:sz w:val="24"/>
          <w:szCs w:val="24"/>
        </w:rPr>
        <w:t xml:space="preserve"> to commit non-merit tactics, for they believe otherwise it will be in vain. As more people condone the act, it is likely to be repeated in other cases and for generations.</w:t>
      </w:r>
    </w:p>
    <w:p w14:paraId="16BB15BD"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14:paraId="223DA304"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Poocharoen and Brillantes’s work in 2013 held that some countries possess ‘well-designed and strong merit-protection’ systems, </w:t>
      </w:r>
      <w:r>
        <w:rPr>
          <w:rFonts w:ascii="Times New Roman" w:eastAsia="Times New Roman" w:hAnsi="Times New Roman" w:cs="Times New Roman"/>
          <w:sz w:val="24"/>
          <w:szCs w:val="24"/>
        </w:rPr>
        <w:t xml:space="preserve">and </w:t>
      </w:r>
      <w:r>
        <w:rPr>
          <w:rFonts w:ascii="Times New Roman" w:eastAsia="Times New Roman" w:hAnsi="Times New Roman" w:cs="Times New Roman"/>
          <w:color w:val="000000"/>
          <w:sz w:val="24"/>
          <w:szCs w:val="24"/>
        </w:rPr>
        <w:t>pointing out most Asian nations still lack ‘whistleblower protection laws’ and awareness about their necessity. In addition, training in relations to ‘ethics and merit’, which the researchers believed may be key to ‘ensuring meritocracy’, stays modest (Poocharoen and Brillantes, 2013). The duo affirmed that only having entrance exams, like in Vietnam at present, remains ‘insufficient’ to ensure an effective and credible ‘merit-protection’ system. However, they observed that in some Asian nations, the promulgation and ‘actual enforcement’ of the law are not always consistent, together with the possibilities of loopholes (Poocharoen and Brillantes, 2013).</w:t>
      </w:r>
    </w:p>
    <w:p w14:paraId="31A3A280" w14:textId="77777777" w:rsidR="00A33A03" w:rsidRDefault="00A33A03">
      <w:pPr>
        <w:spacing w:after="0" w:line="360" w:lineRule="auto"/>
        <w:jc w:val="both"/>
        <w:rPr>
          <w:rFonts w:ascii="Times New Roman" w:eastAsia="Times New Roman" w:hAnsi="Times New Roman" w:cs="Times New Roman"/>
          <w:sz w:val="24"/>
          <w:szCs w:val="24"/>
        </w:rPr>
      </w:pPr>
    </w:p>
    <w:p w14:paraId="6D9DDE5E"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Rappleye and Komatsu (2018) observed that in Japan, the assumption stating good universities promise good companies and a good life was discredited from the 1990s onwards, following the country’s economic stagnation. It served as a wake-up call for parents and students as external factors beyond individuals’ control, rendered corporations unable to guarantee ‘a high salary and lifetime employment’. Afterwards, Japanese authorities adopted and fostered policies to make the admissions process less competitive, namely ‘diversifying admissions’ and offering more slots (Rappleye and Komatsu, 2018). This experience could be valuable for Vietnam to reduce stress levels for exam takers as well as university admissions cheating in any form. </w:t>
      </w:r>
    </w:p>
    <w:p w14:paraId="5C689C21" w14:textId="77777777" w:rsidR="00A33A03" w:rsidRDefault="00A33A03">
      <w:pPr>
        <w:spacing w:after="0" w:line="360" w:lineRule="auto"/>
        <w:jc w:val="both"/>
        <w:rPr>
          <w:rFonts w:ascii="Times New Roman" w:eastAsia="Times New Roman" w:hAnsi="Times New Roman" w:cs="Times New Roman"/>
          <w:sz w:val="24"/>
          <w:szCs w:val="24"/>
        </w:rPr>
      </w:pPr>
    </w:p>
    <w:p w14:paraId="343A920E" w14:textId="5E2B3B99"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Bell (2020) quoted Markovits (2019)’s argument regarding a dilemma facing many university admission and job recruitment officers. They highly value merit, whereas at the same time they understand that it is not totally equitable. In response, Markovits (2019) called for efforts to </w:t>
      </w:r>
      <w:r>
        <w:rPr>
          <w:rFonts w:ascii="Times New Roman" w:eastAsia="Times New Roman" w:hAnsi="Times New Roman" w:cs="Times New Roman"/>
          <w:color w:val="000000"/>
          <w:sz w:val="24"/>
          <w:szCs w:val="24"/>
        </w:rPr>
        <w:lastRenderedPageBreak/>
        <w:t xml:space="preserve">‘make the education system fairer’, with it being more inclusive (Bell, 2020). He advocated an economic agenda in which middle-skilled jobs will receive more recognition (Markovits, 2019). Those jobs may be in the field of construction, mechanical maintenance, and health care, among others, </w:t>
      </w:r>
      <w:r>
        <w:rPr>
          <w:rFonts w:ascii="Times New Roman" w:eastAsia="Times New Roman" w:hAnsi="Times New Roman" w:cs="Times New Roman"/>
          <w:sz w:val="24"/>
          <w:szCs w:val="24"/>
        </w:rPr>
        <w:t>requiring education and training but less than a college degree (Modestino, 2016)</w:t>
      </w:r>
      <w:r>
        <w:rPr>
          <w:rFonts w:ascii="Times New Roman" w:eastAsia="Times New Roman" w:hAnsi="Times New Roman" w:cs="Times New Roman"/>
          <w:color w:val="000000"/>
          <w:sz w:val="24"/>
          <w:szCs w:val="24"/>
        </w:rPr>
        <w:t xml:space="preserve">. Carvalho (2022) recommended that in the wake of the development of artificial intelligence, students should receive support to brace for tasks </w:t>
      </w:r>
      <w:r>
        <w:rPr>
          <w:rFonts w:ascii="Times New Roman" w:eastAsia="Times New Roman" w:hAnsi="Times New Roman" w:cs="Times New Roman"/>
          <w:sz w:val="24"/>
          <w:szCs w:val="24"/>
        </w:rPr>
        <w:t xml:space="preserve">desiring </w:t>
      </w:r>
      <w:r>
        <w:rPr>
          <w:rFonts w:ascii="Times New Roman" w:eastAsia="Times New Roman" w:hAnsi="Times New Roman" w:cs="Times New Roman"/>
          <w:color w:val="000000"/>
          <w:sz w:val="24"/>
          <w:szCs w:val="24"/>
        </w:rPr>
        <w:t xml:space="preserve">creativity (Acemoglu and Restrepo, 2019). At the same time, the internet may contribute to changing the traditional assessment method that is heavily </w:t>
      </w:r>
      <w:r w:rsidR="00F93777">
        <w:rPr>
          <w:rFonts w:ascii="Times New Roman" w:eastAsia="Times New Roman" w:hAnsi="Times New Roman" w:cs="Times New Roman"/>
          <w:color w:val="000000"/>
          <w:sz w:val="24"/>
          <w:szCs w:val="24"/>
        </w:rPr>
        <w:t>biased</w:t>
      </w:r>
      <w:r>
        <w:rPr>
          <w:rFonts w:ascii="Times New Roman" w:eastAsia="Times New Roman" w:hAnsi="Times New Roman" w:cs="Times New Roman"/>
          <w:color w:val="000000"/>
          <w:sz w:val="24"/>
          <w:szCs w:val="24"/>
        </w:rPr>
        <w:t xml:space="preserve"> towards ‘elite education’ (Carvalho, 2022). Hermanowicz (2019) argued that students, for their part, must show their passion for education but also </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upport </w:t>
      </w:r>
      <w:r>
        <w:rPr>
          <w:rFonts w:ascii="Times New Roman" w:eastAsia="Times New Roman" w:hAnsi="Times New Roman" w:cs="Times New Roman"/>
          <w:sz w:val="24"/>
          <w:szCs w:val="24"/>
        </w:rPr>
        <w:t>for</w:t>
      </w:r>
      <w:r>
        <w:rPr>
          <w:rFonts w:ascii="Times New Roman" w:eastAsia="Times New Roman" w:hAnsi="Times New Roman" w:cs="Times New Roman"/>
          <w:color w:val="000000"/>
          <w:sz w:val="24"/>
          <w:szCs w:val="24"/>
        </w:rPr>
        <w:t xml:space="preserve"> a healthy competitive environment.</w:t>
      </w:r>
    </w:p>
    <w:p w14:paraId="4601E46C" w14:textId="77777777" w:rsidR="00A33A03" w:rsidRDefault="00A33A03">
      <w:pPr>
        <w:spacing w:after="0" w:line="360" w:lineRule="auto"/>
        <w:jc w:val="both"/>
        <w:rPr>
          <w:rFonts w:ascii="Times New Roman" w:eastAsia="Times New Roman" w:hAnsi="Times New Roman" w:cs="Times New Roman"/>
          <w:sz w:val="24"/>
          <w:szCs w:val="24"/>
        </w:rPr>
      </w:pPr>
    </w:p>
    <w:p w14:paraId="51A4EC0F" w14:textId="77777777" w:rsidR="00A33A03" w:rsidRDefault="00000000">
      <w:pPr>
        <w:spacing w:after="0" w:line="360" w:lineRule="auto"/>
        <w:ind w:right="-90"/>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Conclusion</w:t>
      </w:r>
    </w:p>
    <w:p w14:paraId="3F00D9B6" w14:textId="77777777" w:rsidR="00A33A03" w:rsidRDefault="00000000">
      <w:pPr>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Regardless of criticism, meritocracy is still believed </w:t>
      </w:r>
      <w:r>
        <w:rPr>
          <w:rFonts w:ascii="Times New Roman" w:eastAsia="Times New Roman" w:hAnsi="Times New Roman" w:cs="Times New Roman"/>
          <w:sz w:val="24"/>
          <w:szCs w:val="24"/>
        </w:rPr>
        <w:t>to be vital</w:t>
      </w:r>
      <w:r>
        <w:rPr>
          <w:rFonts w:ascii="Times New Roman" w:eastAsia="Times New Roman" w:hAnsi="Times New Roman" w:cs="Times New Roman"/>
          <w:color w:val="000000"/>
          <w:sz w:val="24"/>
          <w:szCs w:val="24"/>
        </w:rPr>
        <w:t xml:space="preserve"> for ‘growth but not necessarily for optimality’ (Bevia and Corchon (2017). It can boost ‘justice and fairness’ and may even </w:t>
      </w:r>
      <w:r>
        <w:rPr>
          <w:rFonts w:ascii="Times New Roman" w:eastAsia="Times New Roman" w:hAnsi="Times New Roman" w:cs="Times New Roman"/>
          <w:sz w:val="24"/>
          <w:szCs w:val="24"/>
        </w:rPr>
        <w:t xml:space="preserve">present a </w:t>
      </w:r>
      <w:r>
        <w:rPr>
          <w:rFonts w:ascii="Times New Roman" w:eastAsia="Times New Roman" w:hAnsi="Times New Roman" w:cs="Times New Roman"/>
          <w:color w:val="000000"/>
          <w:sz w:val="24"/>
          <w:szCs w:val="24"/>
        </w:rPr>
        <w:t>sole hope for social mobility for many people (Tašner and Gaber, 2022; Sabic-El-Rayess, 2016). Tašner and Gaber (2022) hypothesised the maintenance of the setting and suggested the inception and ‘practice of a new meritocracy’ in keeping with ongoing ‘economic and social changes’. Carvalho (2022) underlined that ‘populist movements’ and reversion to ‘a caste-based society’ must be avoided as efforts in changing the current system. </w:t>
      </w:r>
    </w:p>
    <w:p w14:paraId="1EACE1ED" w14:textId="77777777" w:rsidR="00A33A03" w:rsidRDefault="00A33A03">
      <w:pPr>
        <w:spacing w:after="0" w:line="360" w:lineRule="auto"/>
        <w:jc w:val="both"/>
        <w:rPr>
          <w:rFonts w:ascii="Times New Roman" w:eastAsia="Times New Roman" w:hAnsi="Times New Roman" w:cs="Times New Roman"/>
          <w:sz w:val="24"/>
          <w:szCs w:val="24"/>
        </w:rPr>
      </w:pPr>
    </w:p>
    <w:p w14:paraId="69640D86" w14:textId="77777777" w:rsidR="00A33A03" w:rsidRDefault="00000000">
      <w:pPr>
        <w:spacing w:after="0" w:line="360" w:lineRule="auto"/>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Tašner and Gaber (2022) affirmed that meritocracy facilitates socialisation which aims towards ‘collective well‐being for all’ (Brown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2018), as well as helps consolidate education ‘as a norm’. As a result, rather than only ‘by the lottery of birth’ (Clifton, 2020), education has become a prerequisite for various ‘occupations and socio-political positions of power’ (Tašner and Gaber, 2022). Along the lines, instead of being a lair for corrupted favour reciprocation, educational institutions should serve as a place enabling individuals to ‘prove/demonstrate knowledge, skills, and abilities’ to earn rightful qualifications together with deserving social standing (Tašner and Gaber, 2022). The</w:t>
      </w:r>
      <w:r>
        <w:rPr>
          <w:rFonts w:ascii="Times New Roman" w:eastAsia="Times New Roman" w:hAnsi="Times New Roman" w:cs="Times New Roman"/>
          <w:sz w:val="24"/>
          <w:szCs w:val="24"/>
        </w:rPr>
        <w:t xml:space="preserve"> researchers</w:t>
      </w:r>
      <w:r>
        <w:rPr>
          <w:rFonts w:ascii="Times New Roman" w:eastAsia="Times New Roman" w:hAnsi="Times New Roman" w:cs="Times New Roman"/>
          <w:color w:val="000000"/>
          <w:sz w:val="24"/>
          <w:szCs w:val="24"/>
        </w:rPr>
        <w:t xml:space="preserve"> also underlined the importance of striving for ‘greater equality and justice’ and rejected the idea of stopping sending children</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to schools. </w:t>
      </w:r>
    </w:p>
    <w:p w14:paraId="3E67B202" w14:textId="77777777" w:rsidR="00A33A03" w:rsidRDefault="00000000">
      <w:pPr>
        <w:spacing w:after="120" w:line="360" w:lineRule="auto"/>
        <w:jc w:val="both"/>
        <w:rPr>
          <w:rFonts w:ascii="Times New Roman" w:eastAsia="Times New Roman" w:hAnsi="Times New Roman" w:cs="Times New Roman"/>
          <w:color w:val="000000"/>
          <w:sz w:val="24"/>
          <w:szCs w:val="24"/>
        </w:rPr>
        <w:sectPr w:rsidR="00A33A03">
          <w:headerReference w:type="default" r:id="rId10"/>
          <w:footerReference w:type="default" r:id="rId11"/>
          <w:pgSz w:w="11906" w:h="16838"/>
          <w:pgMar w:top="1440" w:right="1440" w:bottom="1440" w:left="1440" w:header="708" w:footer="708" w:gutter="0"/>
          <w:pgNumType w:start="1"/>
          <w:cols w:space="720"/>
        </w:sectPr>
      </w:pPr>
      <w:r>
        <w:rPr>
          <w:rFonts w:ascii="Times New Roman" w:eastAsia="Times New Roman" w:hAnsi="Times New Roman" w:cs="Times New Roman"/>
          <w:color w:val="000000"/>
          <w:sz w:val="24"/>
          <w:szCs w:val="24"/>
        </w:rPr>
        <w:t xml:space="preserve">Meanwhile, Sabic-El-Rayess (2016) held against ‘the sponsorship model’ which enables wealthy and powerful people to exert their control over educational establishments. Although people in the US and Vietnam may have different social-economic context and views on meritocracy, case studies in this essay highlight the similarities in </w:t>
      </w:r>
      <w:r>
        <w:rPr>
          <w:rFonts w:ascii="Times New Roman" w:eastAsia="Times New Roman" w:hAnsi="Times New Roman" w:cs="Times New Roman"/>
          <w:sz w:val="24"/>
          <w:szCs w:val="24"/>
        </w:rPr>
        <w:t xml:space="preserve">perceptions and actions of </w:t>
      </w:r>
      <w:r>
        <w:rPr>
          <w:rFonts w:ascii="Times New Roman" w:eastAsia="Times New Roman" w:hAnsi="Times New Roman" w:cs="Times New Roman"/>
          <w:color w:val="000000"/>
          <w:sz w:val="24"/>
          <w:szCs w:val="24"/>
        </w:rPr>
        <w:t xml:space="preserve">parents and school staff, which turn the negative sides of the current meritocratic system into </w:t>
      </w:r>
      <w:r>
        <w:rPr>
          <w:rFonts w:ascii="Times New Roman" w:eastAsia="Times New Roman" w:hAnsi="Times New Roman" w:cs="Times New Roman"/>
          <w:color w:val="000000"/>
          <w:sz w:val="24"/>
          <w:szCs w:val="24"/>
        </w:rPr>
        <w:lastRenderedPageBreak/>
        <w:t xml:space="preserve">corruption and plutocracy in disguise. Notably, they can manifest in various forms, either pecuniary or non-pecuniary (Sabic-El-Rayess and Mansur, 2016). Given the difficulty to </w:t>
      </w:r>
      <w:r>
        <w:rPr>
          <w:rFonts w:ascii="Times New Roman" w:eastAsia="Times New Roman" w:hAnsi="Times New Roman" w:cs="Times New Roman"/>
          <w:sz w:val="24"/>
          <w:szCs w:val="24"/>
        </w:rPr>
        <w:t xml:space="preserve">discover </w:t>
      </w:r>
      <w:r>
        <w:rPr>
          <w:rFonts w:ascii="Times New Roman" w:eastAsia="Times New Roman" w:hAnsi="Times New Roman" w:cs="Times New Roman"/>
          <w:color w:val="000000"/>
          <w:sz w:val="24"/>
          <w:szCs w:val="24"/>
        </w:rPr>
        <w:t>and report these incidents, talents and hard work alone will hardly lead to social mobility./.</w:t>
      </w:r>
    </w:p>
    <w:p w14:paraId="2B24D8E2" w14:textId="77777777" w:rsidR="00A33A03" w:rsidRDefault="00000000">
      <w:pPr>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rPr>
        <w:lastRenderedPageBreak/>
        <w:t>Reference List</w:t>
      </w:r>
    </w:p>
    <w:p w14:paraId="3FA12DFE"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Bell, P. (2020) ‘Book Review: The Meritocracy Trap by Daniel Markovits’, </w:t>
      </w:r>
      <w:r>
        <w:rPr>
          <w:rFonts w:ascii="Times New Roman" w:eastAsia="Times New Roman" w:hAnsi="Times New Roman" w:cs="Times New Roman"/>
          <w:i/>
          <w:color w:val="000000"/>
          <w:sz w:val="24"/>
          <w:szCs w:val="24"/>
        </w:rPr>
        <w:t>LSE Review of Books</w:t>
      </w:r>
      <w:r>
        <w:rPr>
          <w:rFonts w:ascii="Times New Roman" w:eastAsia="Times New Roman" w:hAnsi="Times New Roman" w:cs="Times New Roman"/>
          <w:color w:val="000000"/>
          <w:sz w:val="24"/>
          <w:szCs w:val="24"/>
        </w:rPr>
        <w:t>, March 30. Available at: https://blogs.lse.ac.uk/lsereviewofbooks/2020/03/30/book-review-the-meritocracy-trap-by-daniel-markovits/ (Accessed March 3, 2023). </w:t>
      </w:r>
    </w:p>
    <w:p w14:paraId="256E4596"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Bevia, C. and Corchon, L. C. (2017) ‘Growth in Illyria: The role of meritocracy in the accumulation of human capital’, </w:t>
      </w:r>
      <w:r>
        <w:rPr>
          <w:rFonts w:ascii="Times New Roman" w:eastAsia="Times New Roman" w:hAnsi="Times New Roman" w:cs="Times New Roman"/>
          <w:i/>
          <w:color w:val="000000"/>
          <w:sz w:val="24"/>
          <w:szCs w:val="24"/>
        </w:rPr>
        <w:t>Mathematical Social Sciences</w:t>
      </w:r>
      <w:r>
        <w:rPr>
          <w:rFonts w:ascii="Times New Roman" w:eastAsia="Times New Roman" w:hAnsi="Times New Roman" w:cs="Times New Roman"/>
          <w:color w:val="000000"/>
          <w:sz w:val="24"/>
          <w:szCs w:val="24"/>
        </w:rPr>
        <w:t>, 2017, Vol.90, pp. 182-190. Available at:</w:t>
      </w:r>
      <w:hyperlink r:id="rId12">
        <w:r>
          <w:rPr>
            <w:rFonts w:ascii="Times New Roman" w:eastAsia="Times New Roman" w:hAnsi="Times New Roman" w:cs="Times New Roman"/>
            <w:color w:val="0000FF"/>
            <w:sz w:val="24"/>
            <w:szCs w:val="24"/>
            <w:u w:val="single"/>
          </w:rPr>
          <w:t>https://doi.org/10.1016/j.mathsocsci.2016.08.009</w:t>
        </w:r>
      </w:hyperlink>
      <w:r>
        <w:rPr>
          <w:rFonts w:ascii="Times New Roman" w:eastAsia="Times New Roman" w:hAnsi="Times New Roman" w:cs="Times New Roman"/>
          <w:color w:val="000000"/>
          <w:sz w:val="24"/>
          <w:szCs w:val="24"/>
        </w:rPr>
        <w:t xml:space="preserve"> (Accessed March 13, 2023).</w:t>
      </w:r>
    </w:p>
    <w:p w14:paraId="12705CF1"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Bodovski, K. (2020) ‘Parenting, Social Class, and the College Admissions Scandal’, </w:t>
      </w:r>
      <w:r>
        <w:rPr>
          <w:rFonts w:ascii="Times New Roman" w:eastAsia="Times New Roman" w:hAnsi="Times New Roman" w:cs="Times New Roman"/>
          <w:i/>
          <w:color w:val="000000"/>
          <w:sz w:val="24"/>
          <w:szCs w:val="24"/>
        </w:rPr>
        <w:t>Contexts</w:t>
      </w:r>
      <w:r>
        <w:rPr>
          <w:rFonts w:ascii="Times New Roman" w:eastAsia="Times New Roman" w:hAnsi="Times New Roman" w:cs="Times New Roman"/>
          <w:color w:val="000000"/>
          <w:sz w:val="24"/>
          <w:szCs w:val="24"/>
        </w:rPr>
        <w:t xml:space="preserve">, 19(3), 40–45. Available at: </w:t>
      </w:r>
      <w:hyperlink r:id="rId13">
        <w:r>
          <w:rPr>
            <w:rFonts w:ascii="Times New Roman" w:eastAsia="Times New Roman" w:hAnsi="Times New Roman" w:cs="Times New Roman"/>
            <w:color w:val="1155CC"/>
            <w:sz w:val="24"/>
            <w:szCs w:val="24"/>
            <w:u w:val="single"/>
          </w:rPr>
          <w:t>https://doi.org/10.1177/1536504220950400</w:t>
        </w:r>
      </w:hyperlink>
      <w:r>
        <w:rPr>
          <w:rFonts w:ascii="Times New Roman" w:eastAsia="Times New Roman" w:hAnsi="Times New Roman" w:cs="Times New Roman"/>
          <w:color w:val="000000"/>
          <w:sz w:val="24"/>
          <w:szCs w:val="24"/>
        </w:rPr>
        <w:t xml:space="preserve"> (Accessed March 12, 2023).</w:t>
      </w:r>
    </w:p>
    <w:p w14:paraId="7BAA4E08"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Brown, G. W; McLean, I. and McMillan, A. (2018) </w:t>
      </w:r>
      <w:r>
        <w:rPr>
          <w:rFonts w:ascii="Times New Roman" w:eastAsia="Times New Roman" w:hAnsi="Times New Roman" w:cs="Times New Roman"/>
          <w:i/>
          <w:color w:val="000000"/>
          <w:sz w:val="24"/>
          <w:szCs w:val="24"/>
        </w:rPr>
        <w:t>The Concise Oxford Dictionary of Politics and International Relations</w:t>
      </w:r>
      <w:r>
        <w:rPr>
          <w:rFonts w:ascii="Times New Roman" w:eastAsia="Times New Roman" w:hAnsi="Times New Roman" w:cs="Times New Roman"/>
          <w:color w:val="000000"/>
          <w:sz w:val="24"/>
          <w:szCs w:val="24"/>
        </w:rPr>
        <w:t>. Oxford: Oxford University Press. Available at: https://wwwoxfordreference-com.ezproxy.uwtsd.ac.uk/view/10.1093/acref/9780199670840.001.0001/acref9780199670840-e-1042?rskey=UVSlCN&amp;result=1 (Accessed March 11, 2023).</w:t>
      </w:r>
    </w:p>
    <w:p w14:paraId="4F8089DB"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Byrd, K. (2019) ‘Varsity Blues: The hypocrisy of the so-called meritocracy’, </w:t>
      </w:r>
      <w:r>
        <w:rPr>
          <w:rFonts w:ascii="Times New Roman" w:eastAsia="Times New Roman" w:hAnsi="Times New Roman" w:cs="Times New Roman"/>
          <w:i/>
          <w:color w:val="000000"/>
          <w:sz w:val="24"/>
          <w:szCs w:val="24"/>
        </w:rPr>
        <w:t>DAME Magazine</w:t>
      </w:r>
      <w:r>
        <w:rPr>
          <w:rFonts w:ascii="Times New Roman" w:eastAsia="Times New Roman" w:hAnsi="Times New Roman" w:cs="Times New Roman"/>
          <w:color w:val="000000"/>
          <w:sz w:val="24"/>
          <w:szCs w:val="24"/>
        </w:rPr>
        <w:t xml:space="preserve">, March 20. Available at: </w:t>
      </w:r>
      <w:hyperlink r:id="rId14">
        <w:r>
          <w:rPr>
            <w:rFonts w:ascii="Times New Roman" w:eastAsia="Times New Roman" w:hAnsi="Times New Roman" w:cs="Times New Roman"/>
            <w:color w:val="1155CC"/>
            <w:sz w:val="24"/>
            <w:szCs w:val="24"/>
            <w:u w:val="single"/>
          </w:rPr>
          <w:t>https://www.damemagazine.com/2019/03/20/the-hypocrisy-of-the-so-called-meritocracy/</w:t>
        </w:r>
      </w:hyperlink>
      <w:r>
        <w:rPr>
          <w:rFonts w:ascii="Times New Roman" w:eastAsia="Times New Roman" w:hAnsi="Times New Roman" w:cs="Times New Roman"/>
          <w:color w:val="000000"/>
          <w:sz w:val="24"/>
          <w:szCs w:val="24"/>
        </w:rPr>
        <w:t xml:space="preserve"> (Accessed March 5, 2023).</w:t>
      </w:r>
    </w:p>
    <w:p w14:paraId="113587A1"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Carvalho, J. P. (2022) ‘Markets and communities: the social cost of the meritocracy’, </w:t>
      </w:r>
      <w:r>
        <w:rPr>
          <w:rFonts w:ascii="Times New Roman" w:eastAsia="Times New Roman" w:hAnsi="Times New Roman" w:cs="Times New Roman"/>
          <w:i/>
          <w:color w:val="000000"/>
          <w:sz w:val="24"/>
          <w:szCs w:val="24"/>
        </w:rPr>
        <w:t>Journal of Institutional Economics</w:t>
      </w:r>
      <w:r>
        <w:rPr>
          <w:rFonts w:ascii="Times New Roman" w:eastAsia="Times New Roman" w:hAnsi="Times New Roman" w:cs="Times New Roman"/>
          <w:color w:val="000000"/>
          <w:sz w:val="24"/>
          <w:szCs w:val="24"/>
        </w:rPr>
        <w:t>, 18(3), pp. 501–519. Available at: 10.1017/S174413742100045X (Accessed March 3, 2023).</w:t>
      </w:r>
    </w:p>
    <w:p w14:paraId="4DA0E2A3"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Çırak, Y. (2016) ‘University entrance exams from the perspective of senior high school students’, </w:t>
      </w:r>
      <w:r>
        <w:rPr>
          <w:rFonts w:ascii="Times New Roman" w:eastAsia="Times New Roman" w:hAnsi="Times New Roman" w:cs="Times New Roman"/>
          <w:i/>
          <w:color w:val="000000"/>
          <w:sz w:val="24"/>
          <w:szCs w:val="24"/>
        </w:rPr>
        <w:t>Journal of Education and Training Studies</w:t>
      </w:r>
      <w:r>
        <w:rPr>
          <w:rFonts w:ascii="Times New Roman" w:eastAsia="Times New Roman" w:hAnsi="Times New Roman" w:cs="Times New Roman"/>
          <w:color w:val="000000"/>
          <w:sz w:val="24"/>
          <w:szCs w:val="24"/>
        </w:rPr>
        <w:t>, Vol. 4, No. 9. Available at: 10.11114/jets.v4i9.1773 (Accessed March 2, 2023).</w:t>
      </w:r>
    </w:p>
    <w:p w14:paraId="30235511"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Clifton, M. (2020) ‘A belief in meritocracy is not only false: it’s bad for you’, </w:t>
      </w:r>
      <w:r>
        <w:rPr>
          <w:rFonts w:ascii="Times New Roman" w:eastAsia="Times New Roman" w:hAnsi="Times New Roman" w:cs="Times New Roman"/>
          <w:i/>
          <w:color w:val="000000"/>
          <w:sz w:val="24"/>
          <w:szCs w:val="24"/>
        </w:rPr>
        <w:t>Princeton University Press</w:t>
      </w:r>
      <w:r>
        <w:rPr>
          <w:rFonts w:ascii="Times New Roman" w:eastAsia="Times New Roman" w:hAnsi="Times New Roman" w:cs="Times New Roman"/>
          <w:color w:val="000000"/>
          <w:sz w:val="24"/>
          <w:szCs w:val="24"/>
        </w:rPr>
        <w:t xml:space="preserve">, June 22. Available at: </w:t>
      </w:r>
      <w:hyperlink r:id="rId15">
        <w:r>
          <w:rPr>
            <w:rFonts w:ascii="Times New Roman" w:eastAsia="Times New Roman" w:hAnsi="Times New Roman" w:cs="Times New Roman"/>
            <w:color w:val="1155CC"/>
            <w:sz w:val="24"/>
            <w:szCs w:val="24"/>
            <w:u w:val="single"/>
          </w:rPr>
          <w:t>https://press.princeton.edu/ideas/a-belief-in-meritocracy-is-not-only-false-its-bad-for-you</w:t>
        </w:r>
      </w:hyperlink>
      <w:r>
        <w:rPr>
          <w:rFonts w:ascii="Times New Roman" w:eastAsia="Times New Roman" w:hAnsi="Times New Roman" w:cs="Times New Roman"/>
          <w:color w:val="000000"/>
          <w:sz w:val="24"/>
          <w:szCs w:val="24"/>
        </w:rPr>
        <w:t xml:space="preserve"> (Accessed March 5, 2023).</w:t>
      </w:r>
    </w:p>
    <w:p w14:paraId="56833C73"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Duong, H. (2023) ‘Vietnam and China's civil service merit-based policies: A comparative analysis from the policy transfer and historical institutionalism approaches’, </w:t>
      </w:r>
      <w:r>
        <w:rPr>
          <w:rFonts w:ascii="Times New Roman" w:eastAsia="Times New Roman" w:hAnsi="Times New Roman" w:cs="Times New Roman"/>
          <w:i/>
          <w:color w:val="000000"/>
          <w:sz w:val="24"/>
          <w:szCs w:val="24"/>
        </w:rPr>
        <w:t>Journal of Comparative Policy Analysis</w:t>
      </w:r>
      <w:r>
        <w:rPr>
          <w:rFonts w:ascii="Times New Roman" w:eastAsia="Times New Roman" w:hAnsi="Times New Roman" w:cs="Times New Roman"/>
          <w:color w:val="000000"/>
          <w:sz w:val="24"/>
          <w:szCs w:val="24"/>
        </w:rPr>
        <w:t xml:space="preserve">, Vol.25 (1), pp.63-81. Available at: </w:t>
      </w:r>
      <w:hyperlink r:id="rId16">
        <w:r>
          <w:rPr>
            <w:rFonts w:ascii="Times New Roman" w:eastAsia="Times New Roman" w:hAnsi="Times New Roman" w:cs="Times New Roman"/>
            <w:color w:val="1155CC"/>
            <w:sz w:val="24"/>
            <w:szCs w:val="24"/>
            <w:u w:val="single"/>
          </w:rPr>
          <w:t>https://doi.org/10.1080/13876988.2021.2000334</w:t>
        </w:r>
      </w:hyperlink>
      <w:r>
        <w:rPr>
          <w:rFonts w:ascii="Times New Roman" w:eastAsia="Times New Roman" w:hAnsi="Times New Roman" w:cs="Times New Roman"/>
          <w:color w:val="000000"/>
          <w:sz w:val="24"/>
          <w:szCs w:val="24"/>
        </w:rPr>
        <w:t xml:space="preserve"> (Accessed March 2, 2023).</w:t>
      </w:r>
    </w:p>
    <w:p w14:paraId="03B2E85D"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Endleman, S.; Brittain, H.; and Vaillancourt, T. (2022) ‘The longitudinal associations between perfectionism and academic achievement across adolescence’, </w:t>
      </w:r>
      <w:r>
        <w:rPr>
          <w:rFonts w:ascii="Times New Roman" w:eastAsia="Times New Roman" w:hAnsi="Times New Roman" w:cs="Times New Roman"/>
          <w:i/>
          <w:color w:val="000000"/>
          <w:sz w:val="24"/>
          <w:szCs w:val="24"/>
        </w:rPr>
        <w:t>International Journal of Behavioral Development</w:t>
      </w:r>
      <w:r>
        <w:rPr>
          <w:rFonts w:ascii="Times New Roman" w:eastAsia="Times New Roman" w:hAnsi="Times New Roman" w:cs="Times New Roman"/>
          <w:color w:val="000000"/>
          <w:sz w:val="24"/>
          <w:szCs w:val="24"/>
        </w:rPr>
        <w:t xml:space="preserve">, 46(2), pp. 91–100. Available at: </w:t>
      </w:r>
      <w:hyperlink r:id="rId17">
        <w:r>
          <w:rPr>
            <w:rFonts w:ascii="Times New Roman" w:eastAsia="Times New Roman" w:hAnsi="Times New Roman" w:cs="Times New Roman"/>
            <w:color w:val="1155CC"/>
            <w:sz w:val="24"/>
            <w:szCs w:val="24"/>
            <w:u w:val="single"/>
          </w:rPr>
          <w:t>https://doi.org/10.1177/01650254211037400</w:t>
        </w:r>
      </w:hyperlink>
      <w:r>
        <w:rPr>
          <w:rFonts w:ascii="Times New Roman" w:eastAsia="Times New Roman" w:hAnsi="Times New Roman" w:cs="Times New Roman"/>
          <w:color w:val="000000"/>
          <w:sz w:val="24"/>
          <w:szCs w:val="24"/>
        </w:rPr>
        <w:t xml:space="preserve"> (Accessed March 13, 2023).</w:t>
      </w:r>
    </w:p>
    <w:p w14:paraId="0188F06F"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Hermanowicz, J. C. (2019) ‘The degradation of merit’, </w:t>
      </w:r>
      <w:r>
        <w:rPr>
          <w:rFonts w:ascii="Times New Roman" w:eastAsia="Times New Roman" w:hAnsi="Times New Roman" w:cs="Times New Roman"/>
          <w:i/>
          <w:color w:val="000000"/>
          <w:sz w:val="24"/>
          <w:szCs w:val="24"/>
        </w:rPr>
        <w:t>Society (New Brunswick)</w:t>
      </w:r>
      <w:r>
        <w:rPr>
          <w:rFonts w:ascii="Times New Roman" w:eastAsia="Times New Roman" w:hAnsi="Times New Roman" w:cs="Times New Roman"/>
          <w:color w:val="000000"/>
          <w:sz w:val="24"/>
          <w:szCs w:val="24"/>
        </w:rPr>
        <w:t>, Vol.56 (4), pp.340-347. Available at: https://doi.org/10.1007/s12115-019-00378-1 (Accessed March 3, 2023).</w:t>
      </w:r>
    </w:p>
    <w:p w14:paraId="7D7C9216"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Markovits, D. (2019) </w:t>
      </w:r>
      <w:r>
        <w:rPr>
          <w:rFonts w:ascii="Times New Roman" w:eastAsia="Times New Roman" w:hAnsi="Times New Roman" w:cs="Times New Roman"/>
          <w:i/>
          <w:color w:val="000000"/>
          <w:sz w:val="24"/>
          <w:szCs w:val="24"/>
        </w:rPr>
        <w:t>The Meritocracy Trap: How America's Foundational Myth Feeds Inequality, Dismantles the Middle Class, And Devours the Elite</w:t>
      </w:r>
      <w:r>
        <w:rPr>
          <w:rFonts w:ascii="Times New Roman" w:eastAsia="Times New Roman" w:hAnsi="Times New Roman" w:cs="Times New Roman"/>
          <w:color w:val="000000"/>
          <w:sz w:val="24"/>
          <w:szCs w:val="24"/>
        </w:rPr>
        <w:t>. New York: Penguin Press.</w:t>
      </w:r>
    </w:p>
    <w:p w14:paraId="2EFD45F0"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McGlinn, J. (2004) ‘Rags to riches: The Horatio Alger theme in adolescent novels about the immigrant experience’, </w:t>
      </w:r>
      <w:r>
        <w:rPr>
          <w:rFonts w:ascii="Times New Roman" w:eastAsia="Times New Roman" w:hAnsi="Times New Roman" w:cs="Times New Roman"/>
          <w:i/>
          <w:color w:val="000000"/>
          <w:sz w:val="24"/>
          <w:szCs w:val="24"/>
        </w:rPr>
        <w:t>The Alan Review</w:t>
      </w:r>
      <w:r>
        <w:rPr>
          <w:rFonts w:ascii="Times New Roman" w:eastAsia="Times New Roman" w:hAnsi="Times New Roman" w:cs="Times New Roman"/>
          <w:color w:val="000000"/>
          <w:sz w:val="24"/>
          <w:szCs w:val="24"/>
        </w:rPr>
        <w:t xml:space="preserve">. Available at: </w:t>
      </w:r>
      <w:hyperlink r:id="rId18">
        <w:r>
          <w:rPr>
            <w:rFonts w:ascii="Times New Roman" w:eastAsia="Times New Roman" w:hAnsi="Times New Roman" w:cs="Times New Roman"/>
            <w:color w:val="1155CC"/>
            <w:sz w:val="24"/>
            <w:szCs w:val="24"/>
            <w:u w:val="single"/>
          </w:rPr>
          <w:t>https://scholar.lib.vt.edu/ejournals/ALAN/v31n3/pdf/mcglinn.pdf</w:t>
        </w:r>
      </w:hyperlink>
      <w:r>
        <w:rPr>
          <w:rFonts w:ascii="Times New Roman" w:eastAsia="Times New Roman" w:hAnsi="Times New Roman" w:cs="Times New Roman"/>
          <w:color w:val="000000"/>
          <w:sz w:val="24"/>
          <w:szCs w:val="24"/>
        </w:rPr>
        <w:t xml:space="preserve"> (Accessed March 13, 2023).</w:t>
      </w:r>
    </w:p>
    <w:p w14:paraId="4570D570"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Mijs, J. J. B. and Hoy, C. (2022) ‘How information about inequality impacts belief in meritocracy: evidence from a randomized survey experiment in Australia, Indonesia and Mexico’, </w:t>
      </w:r>
      <w:r>
        <w:rPr>
          <w:rFonts w:ascii="Times New Roman" w:eastAsia="Times New Roman" w:hAnsi="Times New Roman" w:cs="Times New Roman"/>
          <w:i/>
          <w:color w:val="000000"/>
          <w:sz w:val="24"/>
          <w:szCs w:val="24"/>
        </w:rPr>
        <w:t>Social Problems (Berkeley, Calif.)</w:t>
      </w:r>
      <w:r>
        <w:rPr>
          <w:rFonts w:ascii="Times New Roman" w:eastAsia="Times New Roman" w:hAnsi="Times New Roman" w:cs="Times New Roman"/>
          <w:color w:val="000000"/>
          <w:sz w:val="24"/>
          <w:szCs w:val="24"/>
        </w:rPr>
        <w:t>, Vol.69 (1), pp.91-122. Available at: 10.1093/socpro/spaa059 (Accessed March 3, 2023).</w:t>
      </w:r>
    </w:p>
    <w:p w14:paraId="14B90DF2"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Modestino, A. S. (2016) ‘The importance of middle-skill jobs’, </w:t>
      </w:r>
      <w:r>
        <w:rPr>
          <w:rFonts w:ascii="Times New Roman" w:eastAsia="Times New Roman" w:hAnsi="Times New Roman" w:cs="Times New Roman"/>
          <w:i/>
          <w:color w:val="000000"/>
          <w:sz w:val="24"/>
          <w:szCs w:val="24"/>
        </w:rPr>
        <w:t>Issues in Science and Technology</w:t>
      </w:r>
      <w:r>
        <w:rPr>
          <w:rFonts w:ascii="Times New Roman" w:eastAsia="Times New Roman" w:hAnsi="Times New Roman" w:cs="Times New Roman"/>
          <w:color w:val="000000"/>
          <w:sz w:val="24"/>
          <w:szCs w:val="24"/>
        </w:rPr>
        <w:t>, Vol. XXXIII, No. 1. Available at: https://issues.org/the-importance-of-middle-skill-jobs/#.ZA-ryD6xcTs.link (Accessed March 13, 2023).</w:t>
      </w:r>
    </w:p>
    <w:p w14:paraId="1A58B1BE"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Online Etymology Dictionary</w:t>
      </w:r>
      <w:r>
        <w:rPr>
          <w:rFonts w:ascii="Times New Roman" w:eastAsia="Times New Roman" w:hAnsi="Times New Roman" w:cs="Times New Roman"/>
          <w:color w:val="000000"/>
          <w:sz w:val="24"/>
          <w:szCs w:val="24"/>
        </w:rPr>
        <w:t xml:space="preserve"> (2020) ‘Meritocracy’. Available at:</w:t>
      </w:r>
      <w:r>
        <w:rPr>
          <w:rFonts w:ascii="Times New Roman" w:eastAsia="Times New Roman" w:hAnsi="Times New Roman" w:cs="Times New Roman"/>
          <w:sz w:val="24"/>
          <w:szCs w:val="24"/>
        </w:rPr>
        <w:t xml:space="preserve"> </w:t>
      </w:r>
      <w:hyperlink r:id="rId19">
        <w:r>
          <w:rPr>
            <w:rFonts w:ascii="Times New Roman" w:eastAsia="Times New Roman" w:hAnsi="Times New Roman" w:cs="Times New Roman"/>
            <w:color w:val="1155CC"/>
            <w:sz w:val="24"/>
            <w:szCs w:val="24"/>
            <w:u w:val="single"/>
          </w:rPr>
          <w:t>https://www.etymonline.com/word/meritocracy</w:t>
        </w:r>
      </w:hyperlink>
      <w:r>
        <w:rPr>
          <w:rFonts w:ascii="Times New Roman" w:eastAsia="Times New Roman" w:hAnsi="Times New Roman" w:cs="Times New Roman"/>
          <w:color w:val="000000"/>
          <w:sz w:val="24"/>
          <w:szCs w:val="24"/>
        </w:rPr>
        <w:t xml:space="preserve"> (Accessed March 3, 2023).</w:t>
      </w:r>
    </w:p>
    <w:p w14:paraId="57A77BAC"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Pascus, B. (2019) ‘Every charge and accusation facing the 33 parents in the college admissions scandal’, </w:t>
      </w:r>
      <w:r>
        <w:rPr>
          <w:rFonts w:ascii="Times New Roman" w:eastAsia="Times New Roman" w:hAnsi="Times New Roman" w:cs="Times New Roman"/>
          <w:i/>
          <w:color w:val="000000"/>
          <w:sz w:val="24"/>
          <w:szCs w:val="24"/>
        </w:rPr>
        <w:t>CBS News</w:t>
      </w:r>
      <w:r>
        <w:rPr>
          <w:rFonts w:ascii="Times New Roman" w:eastAsia="Times New Roman" w:hAnsi="Times New Roman" w:cs="Times New Roman"/>
          <w:color w:val="000000"/>
          <w:sz w:val="24"/>
          <w:szCs w:val="24"/>
        </w:rPr>
        <w:t>, May 16. Available at: https://www.cbsnews.com/news/college-admissions-scandal-list-operation-varsity-blues-every-charge-plea-accusation-facing-parents-2019-05-16/ (Accessed March 3, 2023).</w:t>
      </w:r>
    </w:p>
    <w:p w14:paraId="4F40516C" w14:textId="20761774"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Phan, T. T. T.; Nguyen, L. C.; Nguyen, N.Q.;</w:t>
      </w:r>
      <w:r w:rsidR="00F93777">
        <w:rPr>
          <w:rFonts w:ascii="Times New Roman" w:eastAsia="Times New Roman" w:hAnsi="Times New Roman" w:cs="Times New Roman"/>
          <w:color w:val="000000"/>
          <w:sz w:val="24"/>
          <w:szCs w:val="24"/>
        </w:rPr>
        <w:t xml:space="preserve"> and</w:t>
      </w:r>
      <w:r>
        <w:rPr>
          <w:rFonts w:ascii="Times New Roman" w:eastAsia="Times New Roman" w:hAnsi="Times New Roman" w:cs="Times New Roman"/>
          <w:color w:val="000000"/>
          <w:sz w:val="24"/>
          <w:szCs w:val="24"/>
        </w:rPr>
        <w:t xml:space="preserve"> Nguyen, Y. C. (2021) ‘Dataset of Vietnamese students’ academic perfectionism and school alienation’, </w:t>
      </w:r>
      <w:r>
        <w:rPr>
          <w:rFonts w:ascii="Times New Roman" w:eastAsia="Times New Roman" w:hAnsi="Times New Roman" w:cs="Times New Roman"/>
          <w:i/>
          <w:color w:val="000000"/>
          <w:sz w:val="24"/>
          <w:szCs w:val="24"/>
        </w:rPr>
        <w:t>Data in Brief</w:t>
      </w:r>
      <w:r>
        <w:rPr>
          <w:rFonts w:ascii="Times New Roman" w:eastAsia="Times New Roman" w:hAnsi="Times New Roman" w:cs="Times New Roman"/>
          <w:color w:val="000000"/>
          <w:sz w:val="24"/>
          <w:szCs w:val="24"/>
        </w:rPr>
        <w:t>, Vol.39, pp.107463-107463. Available at: https://doi.org/10.1016/j.dib.2021.107463 (Accessed March 2, 2023).</w:t>
      </w:r>
    </w:p>
    <w:p w14:paraId="71807133"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Poocharoen, O. and Brillantes, A. (2013) ‘Meritocracy in Asia Pacific: Status, issues, and challenges’, </w:t>
      </w:r>
      <w:r>
        <w:rPr>
          <w:rFonts w:ascii="Times New Roman" w:eastAsia="Times New Roman" w:hAnsi="Times New Roman" w:cs="Times New Roman"/>
          <w:i/>
          <w:color w:val="000000"/>
          <w:sz w:val="24"/>
          <w:szCs w:val="24"/>
        </w:rPr>
        <w:t>Review of Public Personnel Administration</w:t>
      </w:r>
      <w:r>
        <w:rPr>
          <w:rFonts w:ascii="Times New Roman" w:eastAsia="Times New Roman" w:hAnsi="Times New Roman" w:cs="Times New Roman"/>
          <w:color w:val="000000"/>
          <w:sz w:val="24"/>
          <w:szCs w:val="24"/>
        </w:rPr>
        <w:t>, Vol.33 (2), pp.140-163. Available at: https://doi.org/10.1177/0734371X13484829 (Accessed March 2, 2023).</w:t>
      </w:r>
    </w:p>
    <w:p w14:paraId="6783B0FA"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Rappleye, J. and Komatsu, H. (2018) ‘Stereotypes as Anglo-American exam ritual? Comparisons of students’ exam anxiety in East Asia, America, Australia, and the United Kingdom’, </w:t>
      </w:r>
      <w:r>
        <w:rPr>
          <w:rFonts w:ascii="Times New Roman" w:eastAsia="Times New Roman" w:hAnsi="Times New Roman" w:cs="Times New Roman"/>
          <w:i/>
          <w:color w:val="000000"/>
          <w:sz w:val="24"/>
          <w:szCs w:val="24"/>
        </w:rPr>
        <w:t>Oxford Review of Education</w:t>
      </w:r>
      <w:r>
        <w:rPr>
          <w:rFonts w:ascii="Times New Roman" w:eastAsia="Times New Roman" w:hAnsi="Times New Roman" w:cs="Times New Roman"/>
          <w:color w:val="000000"/>
          <w:sz w:val="24"/>
          <w:szCs w:val="24"/>
        </w:rPr>
        <w:t>, Volume 44, Issue 6, pp. 730-754. Available at: https://doi.org/10.1080/03054985.2018.1444598 (Accessed March 2, 2023).</w:t>
      </w:r>
    </w:p>
    <w:p w14:paraId="422965F9"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Sabic-El-Rayess, A. (2016) ‘Merit matters: Student perceptions of faculty quality and reward’, </w:t>
      </w:r>
      <w:r>
        <w:rPr>
          <w:rFonts w:ascii="Times New Roman" w:eastAsia="Times New Roman" w:hAnsi="Times New Roman" w:cs="Times New Roman"/>
          <w:i/>
          <w:color w:val="000000"/>
          <w:sz w:val="24"/>
          <w:szCs w:val="24"/>
        </w:rPr>
        <w:t>International Journal of Educational Development</w:t>
      </w:r>
      <w:r>
        <w:rPr>
          <w:rFonts w:ascii="Times New Roman" w:eastAsia="Times New Roman" w:hAnsi="Times New Roman" w:cs="Times New Roman"/>
          <w:color w:val="000000"/>
          <w:sz w:val="24"/>
          <w:szCs w:val="24"/>
        </w:rPr>
        <w:t>, Vol.47, p.1-19. Available at: http://dx.doi.org/10.1016/j.ijedudev.2015.11.004 (Accessed March 3, 2023).</w:t>
      </w:r>
    </w:p>
    <w:p w14:paraId="4939E4A9"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Sabic-El-Rayess, A. and Mansur, N. N. (2016) ‘Favor reciprocation theory in education: New corruption typology’, </w:t>
      </w:r>
      <w:r>
        <w:rPr>
          <w:rFonts w:ascii="Times New Roman" w:eastAsia="Times New Roman" w:hAnsi="Times New Roman" w:cs="Times New Roman"/>
          <w:i/>
          <w:color w:val="000000"/>
          <w:sz w:val="24"/>
          <w:szCs w:val="24"/>
        </w:rPr>
        <w:t>International Journal of Educational Development</w:t>
      </w:r>
      <w:r>
        <w:rPr>
          <w:rFonts w:ascii="Times New Roman" w:eastAsia="Times New Roman" w:hAnsi="Times New Roman" w:cs="Times New Roman"/>
          <w:color w:val="000000"/>
          <w:sz w:val="24"/>
          <w:szCs w:val="24"/>
        </w:rPr>
        <w:t>, Volume 50, pp.20-32. Available at: https://doi.org/10.1016/j.ijedudev.2016.04.005 (Accessed March 11, 2023).</w:t>
      </w:r>
    </w:p>
    <w:p w14:paraId="4D06141D"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Tašner, V. and Gaber, S. (2022) ‘Is it time for a new meritocracy?’, </w:t>
      </w:r>
      <w:r>
        <w:rPr>
          <w:rFonts w:ascii="Times New Roman" w:eastAsia="Times New Roman" w:hAnsi="Times New Roman" w:cs="Times New Roman"/>
          <w:i/>
          <w:color w:val="000000"/>
          <w:sz w:val="24"/>
          <w:szCs w:val="24"/>
        </w:rPr>
        <w:t>Theory and Research in Education</w:t>
      </w:r>
      <w:r>
        <w:rPr>
          <w:rFonts w:ascii="Times New Roman" w:eastAsia="Times New Roman" w:hAnsi="Times New Roman" w:cs="Times New Roman"/>
          <w:color w:val="000000"/>
          <w:sz w:val="24"/>
          <w:szCs w:val="24"/>
        </w:rPr>
        <w:t>, Vol.20 (2), pp.182-192. Available at: https://doi.org/10.1177/14778785221113619 (Accessed March 2, 2023).</w:t>
      </w:r>
    </w:p>
    <w:p w14:paraId="7D3E8BE0"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Tomusk, V. (2000) ‘Reproduction of the ‘state nobility’ in Eastern Europe: Past patterns and new practices’, </w:t>
      </w:r>
      <w:r>
        <w:rPr>
          <w:rFonts w:ascii="Times New Roman" w:eastAsia="Times New Roman" w:hAnsi="Times New Roman" w:cs="Times New Roman"/>
          <w:i/>
          <w:color w:val="000000"/>
          <w:sz w:val="24"/>
          <w:szCs w:val="24"/>
        </w:rPr>
        <w:t>British Journal of Sociology of Education</w:t>
      </w:r>
      <w:r>
        <w:rPr>
          <w:rFonts w:ascii="Times New Roman" w:eastAsia="Times New Roman" w:hAnsi="Times New Roman" w:cs="Times New Roman"/>
          <w:color w:val="000000"/>
          <w:sz w:val="24"/>
          <w:szCs w:val="24"/>
        </w:rPr>
        <w:t xml:space="preserve">, Vol. 21, No.2, pp. 269-282. Available at: </w:t>
      </w:r>
      <w:hyperlink r:id="rId20">
        <w:r>
          <w:rPr>
            <w:rFonts w:ascii="Times New Roman" w:eastAsia="Times New Roman" w:hAnsi="Times New Roman" w:cs="Times New Roman"/>
            <w:color w:val="1155CC"/>
            <w:sz w:val="24"/>
            <w:szCs w:val="24"/>
            <w:u w:val="single"/>
          </w:rPr>
          <w:t>https://www.tandfonline.com/doi/epdf/10.1080/713655347?src=getftr&amp;</w:t>
        </w:r>
      </w:hyperlink>
      <w:r>
        <w:rPr>
          <w:rFonts w:ascii="Times New Roman" w:eastAsia="Times New Roman" w:hAnsi="Times New Roman" w:cs="Times New Roman"/>
          <w:color w:val="000000"/>
          <w:sz w:val="24"/>
          <w:szCs w:val="24"/>
        </w:rPr>
        <w:t xml:space="preserve"> (Accessed March 13, 2023).</w:t>
      </w:r>
    </w:p>
    <w:p w14:paraId="63890D6E"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Viet Nam News</w:t>
      </w:r>
      <w:r>
        <w:rPr>
          <w:rFonts w:ascii="Times New Roman" w:eastAsia="Times New Roman" w:hAnsi="Times New Roman" w:cs="Times New Roman"/>
          <w:color w:val="000000"/>
          <w:sz w:val="24"/>
          <w:szCs w:val="24"/>
        </w:rPr>
        <w:t xml:space="preserve"> (2018) ‘Hà Giang exam cheating scandal be revealed’, July 16. Available at: https://vietnamnews.vn/society/451975/ha-giang-exam-cheating-scandal-be-revealed.html (Accessed March 13, 2023).</w:t>
      </w:r>
    </w:p>
    <w:p w14:paraId="1BD514F2" w14:textId="77777777" w:rsidR="00A33A03" w:rsidRDefault="00000000">
      <w:pPr>
        <w:spacing w:before="120" w:after="120" w:line="240" w:lineRule="auto"/>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VietnamPlus</w:t>
      </w:r>
      <w:r>
        <w:rPr>
          <w:rFonts w:ascii="Times New Roman" w:eastAsia="Times New Roman" w:hAnsi="Times New Roman" w:cs="Times New Roman"/>
          <w:color w:val="000000"/>
          <w:sz w:val="24"/>
          <w:szCs w:val="24"/>
        </w:rPr>
        <w:t xml:space="preserve"> (2020) ‘Court sentences 15 in exam cheating scandal in Hoa Binh’, May 21. Available at:</w:t>
      </w:r>
      <w:r>
        <w:rPr>
          <w:rFonts w:ascii="Times New Roman" w:eastAsia="Times New Roman" w:hAnsi="Times New Roman" w:cs="Times New Roman"/>
          <w:sz w:val="24"/>
          <w:szCs w:val="24"/>
        </w:rPr>
        <w:t xml:space="preserve"> </w:t>
      </w:r>
      <w:hyperlink r:id="rId21">
        <w:r>
          <w:rPr>
            <w:rFonts w:ascii="Times New Roman" w:eastAsia="Times New Roman" w:hAnsi="Times New Roman" w:cs="Times New Roman"/>
            <w:color w:val="1155CC"/>
            <w:sz w:val="24"/>
            <w:szCs w:val="24"/>
            <w:u w:val="single"/>
          </w:rPr>
          <w:t>https://en.vietnamplus.vn/court-sentences-15-in-exam-cheating-scandal-in-hoa-binh/173685.vnp</w:t>
        </w:r>
      </w:hyperlink>
      <w:r>
        <w:rPr>
          <w:rFonts w:ascii="Times New Roman" w:eastAsia="Times New Roman" w:hAnsi="Times New Roman" w:cs="Times New Roman"/>
          <w:color w:val="000000"/>
          <w:sz w:val="24"/>
          <w:szCs w:val="24"/>
        </w:rPr>
        <w:t xml:space="preserve"> (Accessed March 13, 2023).</w:t>
      </w:r>
    </w:p>
    <w:sectPr w:rsidR="00A33A03">
      <w:footerReference w:type="default" r:id="rId22"/>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7B2CF" w14:textId="77777777" w:rsidR="00241EA3" w:rsidRDefault="00241EA3">
      <w:pPr>
        <w:spacing w:after="0" w:line="240" w:lineRule="auto"/>
      </w:pPr>
      <w:r>
        <w:separator/>
      </w:r>
    </w:p>
  </w:endnote>
  <w:endnote w:type="continuationSeparator" w:id="0">
    <w:p w14:paraId="4877F860" w14:textId="77777777" w:rsidR="00241EA3" w:rsidRDefault="00241E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A4942" w14:textId="77777777" w:rsidR="00A33A03" w:rsidRDefault="00000000">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smallCaps/>
        <w:color w:val="000000"/>
        <w:sz w:val="24"/>
        <w:szCs w:val="24"/>
      </w:rPr>
    </w:pPr>
    <w:r>
      <w:rPr>
        <w:rFonts w:ascii="Times New Roman" w:eastAsia="Times New Roman" w:hAnsi="Times New Roman" w:cs="Times New Roman"/>
        <w:smallCaps/>
        <w:color w:val="000000"/>
        <w:sz w:val="24"/>
        <w:szCs w:val="24"/>
      </w:rPr>
      <w:fldChar w:fldCharType="begin"/>
    </w:r>
    <w:r>
      <w:rPr>
        <w:rFonts w:ascii="Times New Roman" w:eastAsia="Times New Roman" w:hAnsi="Times New Roman" w:cs="Times New Roman"/>
        <w:smallCaps/>
        <w:color w:val="000000"/>
        <w:sz w:val="24"/>
        <w:szCs w:val="24"/>
      </w:rPr>
      <w:instrText>PAGE</w:instrText>
    </w:r>
    <w:r>
      <w:rPr>
        <w:rFonts w:ascii="Times New Roman" w:eastAsia="Times New Roman" w:hAnsi="Times New Roman" w:cs="Times New Roman"/>
        <w:smallCaps/>
        <w:color w:val="000000"/>
        <w:sz w:val="24"/>
        <w:szCs w:val="24"/>
      </w:rPr>
      <w:fldChar w:fldCharType="separate"/>
    </w:r>
    <w:r w:rsidR="00F93777">
      <w:rPr>
        <w:rFonts w:ascii="Times New Roman" w:eastAsia="Times New Roman" w:hAnsi="Times New Roman" w:cs="Times New Roman"/>
        <w:smallCaps/>
        <w:noProof/>
        <w:color w:val="000000"/>
        <w:sz w:val="24"/>
        <w:szCs w:val="24"/>
      </w:rPr>
      <w:t>1</w:t>
    </w:r>
    <w:r>
      <w:rPr>
        <w:rFonts w:ascii="Times New Roman" w:eastAsia="Times New Roman" w:hAnsi="Times New Roman" w:cs="Times New Roman"/>
        <w:smallCaps/>
        <w:color w:val="000000"/>
        <w:sz w:val="24"/>
        <w:szCs w:val="24"/>
      </w:rPr>
      <w:fldChar w:fldCharType="end"/>
    </w:r>
  </w:p>
  <w:p w14:paraId="492952DA" w14:textId="77777777" w:rsidR="00A33A03" w:rsidRDefault="00A33A03">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CB471" w14:textId="77777777" w:rsidR="00A33A03" w:rsidRDefault="00A33A03">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6AB87" w14:textId="77777777" w:rsidR="00241EA3" w:rsidRDefault="00241EA3">
      <w:pPr>
        <w:spacing w:after="0" w:line="240" w:lineRule="auto"/>
      </w:pPr>
      <w:r>
        <w:separator/>
      </w:r>
    </w:p>
  </w:footnote>
  <w:footnote w:type="continuationSeparator" w:id="0">
    <w:p w14:paraId="603A1BB4" w14:textId="77777777" w:rsidR="00241EA3" w:rsidRDefault="00241E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E242F" w14:textId="061D2E08" w:rsidR="00F93777" w:rsidRDefault="00F93777" w:rsidP="00F93777">
    <w:pPr>
      <w:spacing w:after="0" w:line="360" w:lineRule="auto"/>
      <w:ind w:right="-90"/>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ECED7006 </w:t>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Assignment 1</w:t>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r>
    <w:r>
      <w:rPr>
        <w:rFonts w:ascii="Times New Roman" w:eastAsia="Times New Roman" w:hAnsi="Times New Roman" w:cs="Times New Roman"/>
        <w:b/>
        <w:color w:val="000000"/>
        <w:sz w:val="24"/>
        <w:szCs w:val="24"/>
      </w:rPr>
      <w:tab/>
      <w:t>2208575</w:t>
    </w:r>
  </w:p>
  <w:p w14:paraId="366776ED" w14:textId="0D6C6A13" w:rsidR="00F93777" w:rsidRPr="00F93777" w:rsidRDefault="00F93777" w:rsidP="00F93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3A03"/>
    <w:rsid w:val="00241EA3"/>
    <w:rsid w:val="00A33A03"/>
    <w:rsid w:val="00F937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8429E"/>
  <w15:docId w15:val="{17656036-8B8F-41E4-B9ED-213837F40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45456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54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456A"/>
  </w:style>
  <w:style w:type="paragraph" w:styleId="Footer">
    <w:name w:val="footer"/>
    <w:basedOn w:val="Normal"/>
    <w:link w:val="FooterChar"/>
    <w:uiPriority w:val="99"/>
    <w:unhideWhenUsed/>
    <w:rsid w:val="00454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456A"/>
  </w:style>
  <w:style w:type="character" w:styleId="Hyperlink">
    <w:name w:val="Hyperlink"/>
    <w:basedOn w:val="DefaultParagraphFont"/>
    <w:uiPriority w:val="99"/>
    <w:unhideWhenUsed/>
    <w:rsid w:val="007B47DE"/>
    <w:rPr>
      <w:color w:val="0000FF"/>
      <w:u w:val="single"/>
    </w:rPr>
  </w:style>
  <w:style w:type="character" w:styleId="UnresolvedMention">
    <w:name w:val="Unresolved Mention"/>
    <w:basedOn w:val="DefaultParagraphFont"/>
    <w:uiPriority w:val="99"/>
    <w:semiHidden/>
    <w:unhideWhenUsed/>
    <w:rsid w:val="007B47DE"/>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536504220950400" TargetMode="External"/><Relationship Id="rId18" Type="http://schemas.openxmlformats.org/officeDocument/2006/relationships/hyperlink" Target="https://scholar.lib.vt.edu/ejournals/ALAN/v31n3/pdf/mcglinn.pdf" TargetMode="External"/><Relationship Id="rId3" Type="http://schemas.openxmlformats.org/officeDocument/2006/relationships/settings" Target="settings.xml"/><Relationship Id="rId21" Type="http://schemas.openxmlformats.org/officeDocument/2006/relationships/hyperlink" Target="https://en.vietnamplus.vn/court-sentences-15-in-exam-cheating-scandal-in-hoa-binh/173685.vnp" TargetMode="External"/><Relationship Id="rId7" Type="http://schemas.openxmlformats.org/officeDocument/2006/relationships/image" Target="media/image1.png"/><Relationship Id="rId12" Type="http://schemas.openxmlformats.org/officeDocument/2006/relationships/hyperlink" Target="https://doi.org/10.1016/j.mathsocsci.2016.08.009" TargetMode="External"/><Relationship Id="rId17" Type="http://schemas.openxmlformats.org/officeDocument/2006/relationships/hyperlink" Target="https://doi.org/10.1177/01650254211037400" TargetMode="External"/><Relationship Id="rId2" Type="http://schemas.openxmlformats.org/officeDocument/2006/relationships/styles" Target="styles.xml"/><Relationship Id="rId16" Type="http://schemas.openxmlformats.org/officeDocument/2006/relationships/hyperlink" Target="https://doi.org/10.1080/13876988.2021.2000334" TargetMode="External"/><Relationship Id="rId20" Type="http://schemas.openxmlformats.org/officeDocument/2006/relationships/hyperlink" Target="https://www.tandfonline.com/doi/epdf/10.1080/713655347?src=getftr&am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ress.princeton.edu/ideas/a-belief-in-meritocracy-is-not-only-false-its-bad-for-you"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etymonline.com/word/meritocrac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amemagazine.com/2019/03/20/the-hypocrisy-of-the-so-called-meritocracy/"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DkijMDEOOB7vQDmPf8gQTvs9fZg==">AMUW2mXq5FaA7oWXgcA3pSQSqUQA7WfWsQp8jJP+Y6RbJCnT2ErMN7AXhU0prlyKdbYsMGDIMawVYcdDEm5ikDOBqaUbL3q0OEuVTAgzTDn2sF3JeFOnWOE=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4408</Words>
  <Characters>25127</Characters>
  <Application>Microsoft Office Word</Application>
  <DocSecurity>0</DocSecurity>
  <Lines>209</Lines>
  <Paragraphs>58</Paragraphs>
  <ScaleCrop>false</ScaleCrop>
  <Company/>
  <LinksUpToDate>false</LinksUpToDate>
  <CharactersWithSpaces>29477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Nguyen (2208575)</dc:creator>
  <cp:lastModifiedBy>Mi Nguyen (2208575)</cp:lastModifiedBy>
  <cp:revision>2</cp:revision>
  <dcterms:created xsi:type="dcterms:W3CDTF">2023-03-16T19:55:00Z</dcterms:created>
  <dcterms:modified xsi:type="dcterms:W3CDTF">2023-03-19T19:16:00Z</dcterms:modified>
</cp:coreProperties>
</file>