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3A83AC" w14:textId="62589012" w:rsidR="00C45B7C" w:rsidRPr="00FA5D98" w:rsidRDefault="00C45B7C" w:rsidP="00C45B7C">
      <w:pPr>
        <w:pStyle w:val="Heading1"/>
        <w:numPr>
          <w:ilvl w:val="0"/>
          <w:numId w:val="4"/>
        </w:numPr>
        <w:spacing w:line="360" w:lineRule="auto"/>
        <w:jc w:val="both"/>
        <w:rPr>
          <w:rFonts w:ascii="Arial" w:hAnsi="Arial" w:cs="Arial"/>
          <w:b/>
          <w:bCs/>
          <w:color w:val="auto"/>
          <w:sz w:val="32"/>
          <w:szCs w:val="32"/>
        </w:rPr>
      </w:pPr>
      <w:bookmarkStart w:id="0" w:name="_Toc238043866"/>
      <w:r w:rsidRPr="00FA5D98">
        <w:rPr>
          <w:rFonts w:ascii="Arial" w:hAnsi="Arial" w:cs="Arial"/>
          <w:b/>
          <w:bCs/>
          <w:color w:val="auto"/>
          <w:sz w:val="32"/>
          <w:szCs w:val="32"/>
        </w:rPr>
        <w:t>Literature Review</w:t>
      </w:r>
      <w:bookmarkEnd w:id="0"/>
      <w:r w:rsidRPr="00FA5D98">
        <w:rPr>
          <w:rFonts w:ascii="Arial" w:hAnsi="Arial" w:cs="Arial"/>
          <w:b/>
          <w:bCs/>
          <w:color w:val="auto"/>
          <w:sz w:val="32"/>
          <w:szCs w:val="32"/>
        </w:rPr>
        <w:t xml:space="preserve"> </w:t>
      </w:r>
    </w:p>
    <w:p w14:paraId="40DA3E11" w14:textId="77777777" w:rsidR="00C45B7C" w:rsidRPr="00FA5D98" w:rsidRDefault="00C45B7C" w:rsidP="00C45B7C">
      <w:pPr>
        <w:spacing w:line="360" w:lineRule="auto"/>
        <w:jc w:val="both"/>
        <w:rPr>
          <w:rFonts w:ascii="Arial" w:hAnsi="Arial" w:cs="Arial"/>
        </w:rPr>
      </w:pPr>
      <w:r w:rsidRPr="00FA5D98">
        <w:rPr>
          <w:rFonts w:ascii="Arial" w:hAnsi="Arial" w:cs="Arial"/>
        </w:rPr>
        <w:t xml:space="preserve">This proposal's analysis is founded upon five robust strategic frameworks. In this section, each framework is reviewed, its theoretical origins are discussed, and its relevance and limitation to The Pulse Corner is critically assessed. Two other tools are also considered, the VRIO framework and SWOT analysis. </w:t>
      </w:r>
    </w:p>
    <w:p w14:paraId="0F8BF130" w14:textId="77777777" w:rsidR="00C45B7C" w:rsidRPr="00FA5D98" w:rsidRDefault="00C45B7C" w:rsidP="00C45B7C">
      <w:pPr>
        <w:pStyle w:val="Heading2"/>
        <w:numPr>
          <w:ilvl w:val="0"/>
          <w:numId w:val="3"/>
        </w:numPr>
        <w:spacing w:line="360" w:lineRule="auto"/>
        <w:jc w:val="both"/>
        <w:rPr>
          <w:rFonts w:ascii="Arial" w:hAnsi="Arial" w:cs="Arial"/>
          <w:b/>
          <w:bCs/>
          <w:color w:val="auto"/>
          <w:sz w:val="28"/>
          <w:szCs w:val="28"/>
        </w:rPr>
      </w:pPr>
      <w:bookmarkStart w:id="1" w:name="_Toc238043867"/>
      <w:r w:rsidRPr="00FA5D98">
        <w:rPr>
          <w:rFonts w:ascii="Arial" w:hAnsi="Arial" w:cs="Arial"/>
          <w:b/>
          <w:bCs/>
          <w:color w:val="auto"/>
          <w:sz w:val="28"/>
          <w:szCs w:val="28"/>
        </w:rPr>
        <w:t>Job To Be Done (JTBD)</w:t>
      </w:r>
      <w:bookmarkEnd w:id="1"/>
    </w:p>
    <w:p w14:paraId="06B07E35" w14:textId="77777777" w:rsidR="00C45B7C" w:rsidRPr="00FA5D98" w:rsidRDefault="00C45B7C" w:rsidP="00C45B7C">
      <w:pPr>
        <w:spacing w:line="360" w:lineRule="auto"/>
        <w:jc w:val="both"/>
        <w:rPr>
          <w:rFonts w:ascii="Arial" w:hAnsi="Arial" w:cs="Arial"/>
        </w:rPr>
      </w:pPr>
      <w:r w:rsidRPr="00FA5D98">
        <w:rPr>
          <w:rFonts w:ascii="Arial" w:hAnsi="Arial" w:cs="Arial"/>
        </w:rPr>
        <w:t>The job to be done framework mainly associated with Christensen et al. (2016), States that customers do not buy products but rather “hire” them to do a certain functional, emotional or social job. Christensen maintained that demographic segmentation by itself is a less reliable basis for invention than understanding the job that the customer is trying to get done. Ulwick (2016) went further with this thinking by advocating an outcome driven approach, focusing on the specific outcome customers are seeking when performing a job.    But the limitation of this is that JTBD is diagnostic in nature. Eight points to what the customer is trying to do but offers little guidance on how to design the operational and financial architecture required to deliver the solution. As Johnson et al. (2020) warned, the framework must therefore be complemented with tools that can translate insight into business design.</w:t>
      </w:r>
    </w:p>
    <w:p w14:paraId="3BE65A79" w14:textId="77777777" w:rsidR="00C45B7C" w:rsidRPr="00FA5D98" w:rsidRDefault="00C45B7C" w:rsidP="00C45B7C">
      <w:pPr>
        <w:pStyle w:val="Heading2"/>
        <w:numPr>
          <w:ilvl w:val="0"/>
          <w:numId w:val="3"/>
        </w:numPr>
        <w:spacing w:line="360" w:lineRule="auto"/>
        <w:jc w:val="both"/>
        <w:rPr>
          <w:rFonts w:ascii="Arial" w:hAnsi="Arial" w:cs="Arial"/>
          <w:b/>
          <w:bCs/>
          <w:color w:val="auto"/>
          <w:sz w:val="28"/>
          <w:szCs w:val="28"/>
        </w:rPr>
      </w:pPr>
      <w:bookmarkStart w:id="2" w:name="_Toc238043868"/>
      <w:r w:rsidRPr="00FA5D98">
        <w:rPr>
          <w:rFonts w:ascii="Arial" w:hAnsi="Arial" w:cs="Arial"/>
          <w:b/>
          <w:bCs/>
          <w:color w:val="auto"/>
          <w:sz w:val="28"/>
          <w:szCs w:val="28"/>
        </w:rPr>
        <w:t>PESTLE Analysis</w:t>
      </w:r>
      <w:bookmarkEnd w:id="2"/>
    </w:p>
    <w:p w14:paraId="0F2995AC" w14:textId="77777777" w:rsidR="00C45B7C" w:rsidRPr="00FA5D98" w:rsidRDefault="00C45B7C" w:rsidP="00C45B7C">
      <w:pPr>
        <w:spacing w:line="360" w:lineRule="auto"/>
        <w:jc w:val="both"/>
        <w:rPr>
          <w:rFonts w:ascii="Arial" w:hAnsi="Arial" w:cs="Arial"/>
        </w:rPr>
      </w:pPr>
      <w:r w:rsidRPr="00FA5D98">
        <w:rPr>
          <w:rFonts w:ascii="Arial" w:hAnsi="Arial" w:cs="Arial"/>
        </w:rPr>
        <w:t xml:space="preserve">PESTLE analysis is a systematic method for examining the </w:t>
      </w:r>
      <w:proofErr w:type="gramStart"/>
      <w:r w:rsidRPr="00FA5D98">
        <w:rPr>
          <w:rFonts w:ascii="Arial" w:hAnsi="Arial" w:cs="Arial"/>
        </w:rPr>
        <w:t>micro environment</w:t>
      </w:r>
      <w:proofErr w:type="gramEnd"/>
      <w:r w:rsidRPr="00FA5D98">
        <w:rPr>
          <w:rFonts w:ascii="Arial" w:hAnsi="Arial" w:cs="Arial"/>
        </w:rPr>
        <w:t xml:space="preserve"> in which a business operates by looking at the Political, Economic, Social, Technological, Legal, and Environmental factors. It has been widely discussed in literature (Johnson et al., 2020) on framework for strategy, which is widely cited. As shown by Yuksel (2012), It can be applied in the context of hospitality and tourism. Given sensitivity of the sector to regulate and consumer confidence, </w:t>
      </w:r>
      <w:proofErr w:type="gramStart"/>
      <w:r w:rsidRPr="00FA5D98">
        <w:rPr>
          <w:rFonts w:ascii="Arial" w:hAnsi="Arial" w:cs="Arial"/>
        </w:rPr>
        <w:t>The</w:t>
      </w:r>
      <w:proofErr w:type="gramEnd"/>
      <w:r w:rsidRPr="00FA5D98">
        <w:rPr>
          <w:rFonts w:ascii="Arial" w:hAnsi="Arial" w:cs="Arial"/>
        </w:rPr>
        <w:t xml:space="preserve"> importance of external environment scanning cannot be overstated. </w:t>
      </w:r>
      <w:r w:rsidRPr="002C1224">
        <w:rPr>
          <w:rFonts w:ascii="Arial" w:hAnsi="Arial" w:cs="Arial"/>
        </w:rPr>
        <w:t xml:space="preserve">The PESTLE framework is </w:t>
      </w:r>
      <w:proofErr w:type="gramStart"/>
      <w:r w:rsidRPr="002C1224">
        <w:rPr>
          <w:rFonts w:ascii="Arial" w:hAnsi="Arial" w:cs="Arial"/>
        </w:rPr>
        <w:t>really useful</w:t>
      </w:r>
      <w:proofErr w:type="gramEnd"/>
      <w:r w:rsidRPr="002C1224">
        <w:rPr>
          <w:rFonts w:ascii="Arial" w:hAnsi="Arial" w:cs="Arial"/>
        </w:rPr>
        <w:t xml:space="preserve"> for The Pulse Corner; Political includes Richmond Council's Growth Plan and its support for Town-</w:t>
      </w:r>
      <w:proofErr w:type="spellStart"/>
      <w:r w:rsidRPr="002C1224">
        <w:rPr>
          <w:rFonts w:ascii="Arial" w:hAnsi="Arial" w:cs="Arial"/>
        </w:rPr>
        <w:t>centre</w:t>
      </w:r>
      <w:proofErr w:type="spellEnd"/>
      <w:r w:rsidRPr="002C1224">
        <w:rPr>
          <w:rFonts w:ascii="Arial" w:hAnsi="Arial" w:cs="Arial"/>
        </w:rPr>
        <w:t xml:space="preserve"> diversification (Richmond Council, 2022) Economic capture Inflation at 2.6% (ONS, 2026), National living wages at £12.70 per hour (GOV.UK, 2026) and Richmond's strong </w:t>
      </w:r>
      <w:r w:rsidRPr="002C1224">
        <w:rPr>
          <w:rFonts w:ascii="Arial" w:hAnsi="Arial" w:cs="Arial"/>
        </w:rPr>
        <w:lastRenderedPageBreak/>
        <w:t>earnings profile.</w:t>
      </w:r>
      <w:r>
        <w:rPr>
          <w:rFonts w:ascii="Arial" w:hAnsi="Arial" w:cs="Arial"/>
        </w:rPr>
        <w:t xml:space="preserve"> </w:t>
      </w:r>
      <w:r w:rsidRPr="00FA5D98">
        <w:rPr>
          <w:rFonts w:ascii="Arial" w:hAnsi="Arial" w:cs="Arial"/>
        </w:rPr>
        <w:t>One of the known limitations of PESTLE is that it is often wide rather than deep. The framework identifies factors but does not</w:t>
      </w:r>
      <w:proofErr w:type="gramStart"/>
      <w:r w:rsidRPr="00FA5D98">
        <w:rPr>
          <w:rFonts w:ascii="Arial" w:hAnsi="Arial" w:cs="Arial"/>
        </w:rPr>
        <w:t>, in itself, prioritize</w:t>
      </w:r>
      <w:proofErr w:type="gramEnd"/>
      <w:r w:rsidRPr="00FA5D98">
        <w:rPr>
          <w:rFonts w:ascii="Arial" w:hAnsi="Arial" w:cs="Arial"/>
        </w:rPr>
        <w:t xml:space="preserve"> them or model their interactions. As Yuksel (2012) suggests, PESTLE should be viewed as a scoping tool to be supplemented by more focused analytical techniques. </w:t>
      </w:r>
    </w:p>
    <w:p w14:paraId="495FA66D" w14:textId="77777777" w:rsidR="00C45B7C" w:rsidRPr="00FA5D98" w:rsidRDefault="00C45B7C" w:rsidP="00C45B7C">
      <w:pPr>
        <w:pStyle w:val="Heading2"/>
        <w:numPr>
          <w:ilvl w:val="0"/>
          <w:numId w:val="3"/>
        </w:numPr>
        <w:spacing w:line="360" w:lineRule="auto"/>
        <w:jc w:val="both"/>
        <w:rPr>
          <w:rFonts w:ascii="Arial" w:hAnsi="Arial" w:cs="Arial"/>
          <w:b/>
          <w:bCs/>
          <w:color w:val="auto"/>
          <w:sz w:val="28"/>
          <w:szCs w:val="28"/>
        </w:rPr>
      </w:pPr>
      <w:bookmarkStart w:id="3" w:name="_Toc238043869"/>
      <w:r w:rsidRPr="00FA5D98">
        <w:rPr>
          <w:rFonts w:ascii="Arial" w:hAnsi="Arial" w:cs="Arial"/>
          <w:b/>
          <w:bCs/>
          <w:color w:val="auto"/>
          <w:sz w:val="28"/>
          <w:szCs w:val="28"/>
        </w:rPr>
        <w:t>Porter’s Five Forces</w:t>
      </w:r>
      <w:bookmarkEnd w:id="3"/>
    </w:p>
    <w:p w14:paraId="75806D40" w14:textId="77777777" w:rsidR="00C45B7C" w:rsidRPr="00FA5D98" w:rsidRDefault="00C45B7C" w:rsidP="00C45B7C">
      <w:pPr>
        <w:spacing w:line="360" w:lineRule="auto"/>
        <w:jc w:val="both"/>
        <w:rPr>
          <w:rFonts w:ascii="Arial" w:hAnsi="Arial" w:cs="Arial"/>
        </w:rPr>
      </w:pPr>
      <w:r w:rsidRPr="00FA5D98">
        <w:rPr>
          <w:rFonts w:ascii="Arial" w:hAnsi="Arial" w:cs="Arial"/>
        </w:rPr>
        <w:t xml:space="preserve">The Five Forces framework was developed by Porter (1980) still is one of the most important tools for analyzing competition at the industry level. It considers the threat of new entrants, the bargaining power of suppliers and buyers, the threat of substitutes, and the intensity of competitive rivalry. Grundy (2006) re-examined and refined the framework for contemporary strategic practice, arguing that it still has diagnostic value, provided analysts take account of the dynamic, digital and platform-based nature of modern competition.  As Grundy (2006) observes, a weakness of Porter’s framework is that it is static and industry-based and therefore may downplay the role of innovation and business model design in shaping competitive outcomes. </w:t>
      </w:r>
    </w:p>
    <w:p w14:paraId="5AEC1F4B" w14:textId="77777777" w:rsidR="00C45B7C" w:rsidRPr="00FA5D98" w:rsidRDefault="00C45B7C" w:rsidP="00C45B7C">
      <w:pPr>
        <w:pStyle w:val="Heading2"/>
        <w:numPr>
          <w:ilvl w:val="0"/>
          <w:numId w:val="3"/>
        </w:numPr>
        <w:spacing w:line="360" w:lineRule="auto"/>
        <w:jc w:val="both"/>
        <w:rPr>
          <w:rFonts w:ascii="Arial" w:hAnsi="Arial" w:cs="Arial"/>
          <w:b/>
          <w:bCs/>
          <w:color w:val="auto"/>
          <w:sz w:val="28"/>
          <w:szCs w:val="28"/>
        </w:rPr>
      </w:pPr>
      <w:bookmarkStart w:id="4" w:name="_Toc238043870"/>
      <w:r w:rsidRPr="00FA5D98">
        <w:rPr>
          <w:rFonts w:ascii="Arial" w:hAnsi="Arial" w:cs="Arial"/>
          <w:b/>
          <w:bCs/>
          <w:color w:val="auto"/>
          <w:sz w:val="28"/>
          <w:szCs w:val="28"/>
        </w:rPr>
        <w:t>Value Proposition Canvas (VPC)</w:t>
      </w:r>
      <w:bookmarkEnd w:id="4"/>
    </w:p>
    <w:p w14:paraId="2F796194" w14:textId="77777777" w:rsidR="00C45B7C" w:rsidRPr="00FA5D98" w:rsidRDefault="00C45B7C" w:rsidP="00C45B7C">
      <w:pPr>
        <w:spacing w:line="360" w:lineRule="auto"/>
        <w:jc w:val="both"/>
        <w:rPr>
          <w:rFonts w:ascii="Arial" w:hAnsi="Arial" w:cs="Arial"/>
        </w:rPr>
      </w:pPr>
      <w:r w:rsidRPr="00FA5D98">
        <w:rPr>
          <w:rFonts w:ascii="Arial" w:hAnsi="Arial" w:cs="Arial"/>
        </w:rPr>
        <w:t xml:space="preserve">The Value Proposition Canvas, developed by Osterwalder et al, (2014), maps the relationship between a customer profile (jobs, </w:t>
      </w:r>
      <w:proofErr w:type="gramStart"/>
      <w:r w:rsidRPr="00FA5D98">
        <w:rPr>
          <w:rFonts w:ascii="Arial" w:hAnsi="Arial" w:cs="Arial"/>
        </w:rPr>
        <w:t>pains</w:t>
      </w:r>
      <w:proofErr w:type="gramEnd"/>
      <w:r w:rsidRPr="00FA5D98">
        <w:rPr>
          <w:rFonts w:ascii="Arial" w:hAnsi="Arial" w:cs="Arial"/>
        </w:rPr>
        <w:t xml:space="preserve"> and gains) and a value proposition (product and services, pain relievers and gain creators). It’s a way to test how well an offering from a business fits what customers really need. The strength of the framework is its customer centric focus and ability to reveal misalignment between offering and need. Its weakness is that it works at the level of the individual customer profile to proposition </w:t>
      </w:r>
      <w:proofErr w:type="gramStart"/>
      <w:r w:rsidRPr="00FA5D98">
        <w:rPr>
          <w:rFonts w:ascii="Arial" w:hAnsi="Arial" w:cs="Arial"/>
        </w:rPr>
        <w:t>dyad</w:t>
      </w:r>
      <w:proofErr w:type="gramEnd"/>
      <w:r w:rsidRPr="00FA5D98">
        <w:rPr>
          <w:rFonts w:ascii="Arial" w:hAnsi="Arial" w:cs="Arial"/>
        </w:rPr>
        <w:t xml:space="preserve"> and does not itself address how the value proposition is to be delivered, priced or sustained financially. It is therefore rightly used in conjunction with </w:t>
      </w:r>
      <w:proofErr w:type="gramStart"/>
      <w:r w:rsidRPr="00FA5D98">
        <w:rPr>
          <w:rFonts w:ascii="Arial" w:hAnsi="Arial" w:cs="Arial"/>
        </w:rPr>
        <w:t>the Business</w:t>
      </w:r>
      <w:proofErr w:type="gramEnd"/>
      <w:r w:rsidRPr="00FA5D98">
        <w:rPr>
          <w:rFonts w:ascii="Arial" w:hAnsi="Arial" w:cs="Arial"/>
        </w:rPr>
        <w:t xml:space="preserve"> Model Canvas.</w:t>
      </w:r>
    </w:p>
    <w:p w14:paraId="5EA142BB" w14:textId="77777777" w:rsidR="00C45B7C" w:rsidRPr="00FA5D98" w:rsidRDefault="00C45B7C" w:rsidP="00C45B7C">
      <w:pPr>
        <w:pStyle w:val="Heading2"/>
        <w:numPr>
          <w:ilvl w:val="0"/>
          <w:numId w:val="3"/>
        </w:numPr>
        <w:spacing w:line="360" w:lineRule="auto"/>
        <w:jc w:val="both"/>
        <w:rPr>
          <w:rFonts w:ascii="Arial" w:hAnsi="Arial" w:cs="Arial"/>
          <w:b/>
          <w:bCs/>
          <w:color w:val="auto"/>
          <w:sz w:val="28"/>
          <w:szCs w:val="28"/>
        </w:rPr>
      </w:pPr>
      <w:bookmarkStart w:id="5" w:name="_Toc238043871"/>
      <w:r w:rsidRPr="00FA5D98">
        <w:rPr>
          <w:rFonts w:ascii="Arial" w:hAnsi="Arial" w:cs="Arial"/>
          <w:b/>
          <w:bCs/>
          <w:color w:val="auto"/>
          <w:sz w:val="28"/>
          <w:szCs w:val="28"/>
        </w:rPr>
        <w:t>Business Model Canvas (BMC)</w:t>
      </w:r>
      <w:bookmarkEnd w:id="5"/>
    </w:p>
    <w:p w14:paraId="6B89E336" w14:textId="77777777" w:rsidR="00C45B7C" w:rsidRPr="00FA5D98" w:rsidRDefault="00C45B7C" w:rsidP="00C45B7C">
      <w:pPr>
        <w:spacing w:line="360" w:lineRule="auto"/>
        <w:jc w:val="both"/>
        <w:rPr>
          <w:rFonts w:ascii="Arial" w:hAnsi="Arial" w:cs="Arial"/>
        </w:rPr>
      </w:pPr>
      <w:r w:rsidRPr="00FA5D98">
        <w:rPr>
          <w:rFonts w:ascii="Arial" w:hAnsi="Arial" w:cs="Arial"/>
        </w:rPr>
        <w:t xml:space="preserve">Osterwalder and Pigneur (2010) has developed The Business Model Canvas which aggregates nine building blocks including customer segments, value propositions, channels, customer relationships, revenue sources, key resources, key activities, key partnerships and cost structure into a single visual template. It has become widely used </w:t>
      </w:r>
      <w:r w:rsidRPr="00FA5D98">
        <w:rPr>
          <w:rFonts w:ascii="Arial" w:hAnsi="Arial" w:cs="Arial"/>
        </w:rPr>
        <w:lastRenderedPageBreak/>
        <w:t xml:space="preserve">in entrepreneurial practice and in academic teaching. </w:t>
      </w:r>
      <w:r w:rsidRPr="002C1224">
        <w:rPr>
          <w:rFonts w:ascii="Arial" w:hAnsi="Arial" w:cs="Arial"/>
        </w:rPr>
        <w:t>Joyce and Paquin (2016) expanded the framework to include social and environment factors, developing a “triple-layered” business model canvas that is especially relevant for ventures like The Pulse Corner that specifically pursues social and sustainability goals as well as financial returns.</w:t>
      </w:r>
      <w:r>
        <w:rPr>
          <w:rFonts w:ascii="Arial" w:hAnsi="Arial" w:cs="Arial"/>
        </w:rPr>
        <w:t xml:space="preserve"> </w:t>
      </w:r>
      <w:r w:rsidRPr="00FA5D98">
        <w:rPr>
          <w:rFonts w:ascii="Arial" w:hAnsi="Arial" w:cs="Arial"/>
        </w:rPr>
        <w:t xml:space="preserve">The main limitation of this approach is that as a static template, it does not account for the evolution of a business model over time nor the sequence of activities during a start-up phase. It describes the model but does not prescribe a path to get there. </w:t>
      </w:r>
    </w:p>
    <w:p w14:paraId="23DE824F" w14:textId="77777777" w:rsidR="00C45B7C" w:rsidRPr="003C3FE2" w:rsidRDefault="00C45B7C" w:rsidP="00C45B7C">
      <w:pPr>
        <w:pStyle w:val="Heading3"/>
        <w:numPr>
          <w:ilvl w:val="0"/>
          <w:numId w:val="3"/>
        </w:numPr>
        <w:spacing w:line="360" w:lineRule="auto"/>
        <w:rPr>
          <w:rFonts w:ascii="Arial" w:hAnsi="Arial" w:cs="Arial"/>
          <w:b/>
          <w:bCs/>
          <w:color w:val="auto"/>
        </w:rPr>
      </w:pPr>
      <w:r w:rsidRPr="003C3FE2">
        <w:rPr>
          <w:rFonts w:ascii="Arial" w:hAnsi="Arial" w:cs="Arial"/>
          <w:b/>
          <w:bCs/>
          <w:color w:val="auto"/>
        </w:rPr>
        <w:t>Supplementary Framework: VRIO and SWOT</w:t>
      </w:r>
    </w:p>
    <w:p w14:paraId="2A39D58F" w14:textId="77777777" w:rsidR="00C45B7C" w:rsidRPr="00FA5D98" w:rsidRDefault="00C45B7C" w:rsidP="00C45B7C">
      <w:pPr>
        <w:spacing w:line="360" w:lineRule="auto"/>
        <w:jc w:val="both"/>
        <w:rPr>
          <w:rFonts w:ascii="Arial" w:hAnsi="Arial" w:cs="Arial"/>
        </w:rPr>
      </w:pPr>
      <w:r w:rsidRPr="00FA5D98">
        <w:rPr>
          <w:rFonts w:ascii="Arial" w:hAnsi="Arial" w:cs="Arial"/>
        </w:rPr>
        <w:t xml:space="preserve">The VRIO framework by Barney (1991) assesses whether a firm’s resources are Valuable, Rare, Inimitable and Organized to capture value, </w:t>
      </w:r>
      <w:proofErr w:type="gramStart"/>
      <w:r w:rsidRPr="00FA5D98">
        <w:rPr>
          <w:rFonts w:ascii="Arial" w:hAnsi="Arial" w:cs="Arial"/>
        </w:rPr>
        <w:t>Although</w:t>
      </w:r>
      <w:proofErr w:type="gramEnd"/>
      <w:r w:rsidRPr="00FA5D98">
        <w:rPr>
          <w:rFonts w:ascii="Arial" w:hAnsi="Arial" w:cs="Arial"/>
        </w:rPr>
        <w:t xml:space="preserve"> sometimes criticized for its simplicity, SWOT analysis provides a compact synthesis of internal strengths and weakness versus external opportunities and threats and is used here as a final integrative tool. </w:t>
      </w:r>
    </w:p>
    <w:p w14:paraId="07C2A605" w14:textId="77777777" w:rsidR="00C45B7C" w:rsidRPr="00FA5D98" w:rsidRDefault="00C45B7C" w:rsidP="00C45B7C">
      <w:pPr>
        <w:spacing w:line="360" w:lineRule="auto"/>
        <w:jc w:val="both"/>
        <w:rPr>
          <w:rFonts w:ascii="Arial" w:hAnsi="Arial" w:cs="Arial"/>
        </w:rPr>
      </w:pPr>
    </w:p>
    <w:p w14:paraId="5167C3D7" w14:textId="2DDE6DBD" w:rsidR="00C45B7C" w:rsidRPr="00FA5D98" w:rsidRDefault="00C45B7C" w:rsidP="00C45B7C">
      <w:pPr>
        <w:pStyle w:val="Heading1"/>
        <w:numPr>
          <w:ilvl w:val="0"/>
          <w:numId w:val="4"/>
        </w:numPr>
        <w:spacing w:line="360" w:lineRule="auto"/>
        <w:jc w:val="both"/>
        <w:rPr>
          <w:rFonts w:ascii="Arial" w:hAnsi="Arial" w:cs="Arial"/>
          <w:b/>
          <w:bCs/>
          <w:color w:val="auto"/>
          <w:sz w:val="32"/>
          <w:szCs w:val="32"/>
        </w:rPr>
      </w:pPr>
      <w:bookmarkStart w:id="6" w:name="_Toc238043872"/>
      <w:r w:rsidRPr="00FA5D98">
        <w:rPr>
          <w:rFonts w:ascii="Arial" w:hAnsi="Arial" w:cs="Arial"/>
          <w:b/>
          <w:bCs/>
          <w:color w:val="auto"/>
          <w:sz w:val="32"/>
          <w:szCs w:val="32"/>
        </w:rPr>
        <w:t>Methodology</w:t>
      </w:r>
      <w:bookmarkEnd w:id="6"/>
    </w:p>
    <w:p w14:paraId="14D0E786" w14:textId="77777777" w:rsidR="00C45B7C" w:rsidRPr="00FA5D98" w:rsidRDefault="00C45B7C" w:rsidP="00C45B7C">
      <w:pPr>
        <w:pStyle w:val="Heading3"/>
        <w:numPr>
          <w:ilvl w:val="0"/>
          <w:numId w:val="2"/>
        </w:numPr>
        <w:spacing w:line="360" w:lineRule="auto"/>
        <w:jc w:val="both"/>
        <w:rPr>
          <w:rFonts w:ascii="Arial" w:hAnsi="Arial" w:cs="Arial"/>
          <w:b/>
          <w:bCs/>
          <w:color w:val="auto"/>
        </w:rPr>
      </w:pPr>
      <w:bookmarkStart w:id="7" w:name="_Toc238043873"/>
      <w:r w:rsidRPr="00FA5D98">
        <w:rPr>
          <w:rFonts w:ascii="Arial" w:hAnsi="Arial" w:cs="Arial"/>
          <w:b/>
          <w:bCs/>
          <w:color w:val="auto"/>
        </w:rPr>
        <w:t>Research Approach</w:t>
      </w:r>
      <w:bookmarkEnd w:id="7"/>
    </w:p>
    <w:p w14:paraId="2D4EC00B" w14:textId="77777777" w:rsidR="00C45B7C" w:rsidRPr="00FA5D98" w:rsidRDefault="00C45B7C" w:rsidP="00C45B7C">
      <w:pPr>
        <w:spacing w:line="360" w:lineRule="auto"/>
        <w:jc w:val="both"/>
        <w:rPr>
          <w:rFonts w:ascii="Arial" w:hAnsi="Arial" w:cs="Arial"/>
        </w:rPr>
      </w:pPr>
      <w:r w:rsidRPr="00FA5D98">
        <w:rPr>
          <w:rFonts w:ascii="Arial" w:hAnsi="Arial" w:cs="Arial"/>
        </w:rPr>
        <w:t xml:space="preserve">The proposal is based on qualitative secondary research. Instead of collecting primary data through surveys, interviews or focus groups, the study is based on published data from official statistical </w:t>
      </w:r>
      <w:proofErr w:type="gramStart"/>
      <w:r w:rsidRPr="00FA5D98">
        <w:rPr>
          <w:rFonts w:ascii="Arial" w:hAnsi="Arial" w:cs="Arial"/>
        </w:rPr>
        <w:t>agency</w:t>
      </w:r>
      <w:proofErr w:type="gramEnd"/>
      <w:r w:rsidRPr="00FA5D98">
        <w:rPr>
          <w:rFonts w:ascii="Arial" w:hAnsi="Arial" w:cs="Arial"/>
        </w:rPr>
        <w:t>, industry reports, market research publications, and publicly available commercial databases. Secondary research is time and cost effective and therefore well suited to a student business development proposal with limited resources.  Saunders et al. (2019) argue that the Secondary data can provide a strong evidence base for exploratory and evaluative research, particularly when the proposal is to access market conditions rather than taste a particular causal hypothesis.</w:t>
      </w:r>
      <w:r>
        <w:rPr>
          <w:rFonts w:ascii="Arial" w:hAnsi="Arial" w:cs="Arial"/>
        </w:rPr>
        <w:t xml:space="preserve"> </w:t>
      </w:r>
      <w:r w:rsidRPr="002C1224">
        <w:rPr>
          <w:rFonts w:ascii="Arial" w:hAnsi="Arial" w:cs="Arial"/>
        </w:rPr>
        <w:t>The UK Café, Co working and labour market sector also have a wide range of reputed sources of information including Mintel, IBISWorld, Mordor Intelligence</w:t>
      </w:r>
      <w:r>
        <w:rPr>
          <w:rFonts w:ascii="Arial" w:hAnsi="Arial" w:cs="Arial"/>
        </w:rPr>
        <w:t>,</w:t>
      </w:r>
      <w:r w:rsidRPr="002C1224">
        <w:rPr>
          <w:rFonts w:ascii="Arial" w:hAnsi="Arial" w:cs="Arial"/>
        </w:rPr>
        <w:t xml:space="preserve"> JLL and the Office for National Statistics. </w:t>
      </w:r>
    </w:p>
    <w:p w14:paraId="412A40F6" w14:textId="77777777" w:rsidR="00C45B7C" w:rsidRPr="00FA5D98" w:rsidRDefault="00C45B7C" w:rsidP="00C45B7C">
      <w:pPr>
        <w:pStyle w:val="Heading3"/>
        <w:numPr>
          <w:ilvl w:val="0"/>
          <w:numId w:val="2"/>
        </w:numPr>
        <w:spacing w:line="360" w:lineRule="auto"/>
        <w:jc w:val="both"/>
        <w:rPr>
          <w:rFonts w:ascii="Arial" w:hAnsi="Arial" w:cs="Arial"/>
          <w:b/>
          <w:bCs/>
          <w:color w:val="auto"/>
        </w:rPr>
      </w:pPr>
      <w:bookmarkStart w:id="8" w:name="_Toc238043874"/>
      <w:r w:rsidRPr="00FA5D98">
        <w:rPr>
          <w:rFonts w:ascii="Arial" w:hAnsi="Arial" w:cs="Arial"/>
          <w:b/>
          <w:bCs/>
          <w:color w:val="auto"/>
        </w:rPr>
        <w:lastRenderedPageBreak/>
        <w:t>Opportunity Identification</w:t>
      </w:r>
      <w:bookmarkEnd w:id="8"/>
      <w:r w:rsidRPr="00FA5D98">
        <w:rPr>
          <w:rFonts w:ascii="Arial" w:hAnsi="Arial" w:cs="Arial"/>
          <w:b/>
          <w:bCs/>
          <w:color w:val="auto"/>
        </w:rPr>
        <w:t xml:space="preserve"> </w:t>
      </w:r>
    </w:p>
    <w:p w14:paraId="0D0AE47A" w14:textId="77777777" w:rsidR="00C45B7C" w:rsidRPr="00FA5D98" w:rsidRDefault="00C45B7C" w:rsidP="00C45B7C">
      <w:pPr>
        <w:spacing w:line="360" w:lineRule="auto"/>
        <w:jc w:val="both"/>
        <w:rPr>
          <w:rFonts w:ascii="Arial" w:hAnsi="Arial" w:cs="Arial"/>
        </w:rPr>
      </w:pPr>
      <w:r w:rsidRPr="00FA5D98">
        <w:rPr>
          <w:rFonts w:ascii="Arial" w:hAnsi="Arial" w:cs="Arial"/>
        </w:rPr>
        <w:t>The business opportunity was found based on the trend analysis and gap analysis. The gap analysis then tested when existing provision in the Richmond area met the convergence of these trends for working parents. The desk research did not identify any directly comparable family-friendly co-</w:t>
      </w:r>
      <w:proofErr w:type="gramStart"/>
      <w:r w:rsidRPr="00FA5D98">
        <w:rPr>
          <w:rFonts w:ascii="Arial" w:hAnsi="Arial" w:cs="Arial"/>
        </w:rPr>
        <w:t>working cafés</w:t>
      </w:r>
      <w:proofErr w:type="gramEnd"/>
      <w:r w:rsidRPr="00FA5D98">
        <w:rPr>
          <w:rFonts w:ascii="Arial" w:hAnsi="Arial" w:cs="Arial"/>
        </w:rPr>
        <w:t xml:space="preserve"> in Richmond and found two similar concepts described in the UK (KindHaus, 2024). This suggests a potential market gap but does not conclusively prove that no other providers exist.</w:t>
      </w:r>
    </w:p>
    <w:p w14:paraId="75EBDE41" w14:textId="77777777" w:rsidR="00C45B7C" w:rsidRPr="00FA5D98" w:rsidRDefault="00C45B7C" w:rsidP="00C45B7C">
      <w:pPr>
        <w:pStyle w:val="Heading3"/>
        <w:numPr>
          <w:ilvl w:val="0"/>
          <w:numId w:val="2"/>
        </w:numPr>
        <w:spacing w:line="360" w:lineRule="auto"/>
        <w:jc w:val="both"/>
        <w:rPr>
          <w:rFonts w:ascii="Arial" w:hAnsi="Arial" w:cs="Arial"/>
          <w:b/>
          <w:bCs/>
          <w:color w:val="auto"/>
        </w:rPr>
      </w:pPr>
      <w:bookmarkStart w:id="9" w:name="_Toc238043875"/>
      <w:r w:rsidRPr="00FA5D98">
        <w:rPr>
          <w:rFonts w:ascii="Arial" w:hAnsi="Arial" w:cs="Arial"/>
          <w:b/>
          <w:bCs/>
          <w:color w:val="auto"/>
        </w:rPr>
        <w:t>Market Insight Collection</w:t>
      </w:r>
      <w:bookmarkEnd w:id="9"/>
      <w:r w:rsidRPr="00FA5D98">
        <w:rPr>
          <w:rFonts w:ascii="Arial" w:hAnsi="Arial" w:cs="Arial"/>
          <w:b/>
          <w:bCs/>
          <w:color w:val="auto"/>
        </w:rPr>
        <w:t xml:space="preserve"> </w:t>
      </w:r>
    </w:p>
    <w:p w14:paraId="74BA5DD2" w14:textId="77777777" w:rsidR="00C45B7C" w:rsidRPr="00FA5D98" w:rsidRDefault="00C45B7C" w:rsidP="00C45B7C">
      <w:pPr>
        <w:spacing w:line="360" w:lineRule="auto"/>
        <w:jc w:val="both"/>
        <w:rPr>
          <w:rFonts w:ascii="Arial" w:hAnsi="Arial" w:cs="Arial"/>
        </w:rPr>
      </w:pPr>
      <w:r w:rsidRPr="00FA5D98">
        <w:rPr>
          <w:rFonts w:ascii="Arial" w:hAnsi="Arial" w:cs="Arial"/>
        </w:rPr>
        <w:t xml:space="preserve">We collected market insight through systematic desk research. This involved reviewing industry reports on UK café and Co-working markets (Mintel, 2025; Mordor Intelligence, 2025; Spacebring, 2026) Competitor analysis for existing cafés and Co-working operation in Richmond, regulatory guidance from the Food Standard Agency and the Development for Education, and Richmond Council’s Planning and the economic development documents. </w:t>
      </w:r>
    </w:p>
    <w:p w14:paraId="2CAE2505" w14:textId="77777777" w:rsidR="00C45B7C" w:rsidRPr="00FA5D98" w:rsidRDefault="00C45B7C" w:rsidP="00C45B7C">
      <w:pPr>
        <w:pStyle w:val="Heading3"/>
        <w:numPr>
          <w:ilvl w:val="0"/>
          <w:numId w:val="2"/>
        </w:numPr>
        <w:spacing w:line="360" w:lineRule="auto"/>
        <w:jc w:val="both"/>
        <w:rPr>
          <w:rFonts w:ascii="Arial" w:hAnsi="Arial" w:cs="Arial"/>
          <w:b/>
          <w:bCs/>
          <w:color w:val="auto"/>
        </w:rPr>
      </w:pPr>
      <w:bookmarkStart w:id="10" w:name="_Toc238043876"/>
      <w:r w:rsidRPr="00FA5D98">
        <w:rPr>
          <w:rFonts w:ascii="Arial" w:hAnsi="Arial" w:cs="Arial"/>
          <w:b/>
          <w:bCs/>
          <w:color w:val="auto"/>
        </w:rPr>
        <w:t>Market Data Gathering</w:t>
      </w:r>
      <w:bookmarkEnd w:id="10"/>
      <w:r w:rsidRPr="00FA5D98">
        <w:rPr>
          <w:rFonts w:ascii="Arial" w:hAnsi="Arial" w:cs="Arial"/>
          <w:b/>
          <w:bCs/>
          <w:color w:val="auto"/>
        </w:rPr>
        <w:t xml:space="preserve"> </w:t>
      </w:r>
    </w:p>
    <w:p w14:paraId="2FCF01AA" w14:textId="77777777" w:rsidR="00C45B7C" w:rsidRPr="00FA5D98" w:rsidRDefault="00C45B7C" w:rsidP="00C45B7C">
      <w:pPr>
        <w:spacing w:line="360" w:lineRule="auto"/>
        <w:jc w:val="both"/>
        <w:rPr>
          <w:rFonts w:ascii="Arial" w:hAnsi="Arial" w:cs="Arial"/>
        </w:rPr>
      </w:pPr>
      <w:r w:rsidRPr="00FA5D98">
        <w:rPr>
          <w:rFonts w:ascii="Arial" w:hAnsi="Arial" w:cs="Arial"/>
        </w:rPr>
        <w:t xml:space="preserve">The data sources used in this proposal were selected for their authority, currency and relevance. Data on demographics and the labour market were obtained from the Office for National Statistics, mainly from the 2021 Census, the Annual Population Survey and the Annual Survey of Hours and Earnings (GeraJobs, 2024; Nomis/ONS APS, 2024). National hybrid working statistics are from the ONS Options and Lifestyle Survey and from Finder UK's Working from Home Statistics report (Finder UK, 2025). Self-employment data was collected from the publication of GOV.UK (GOV.UK, 2025). Mintel (2025), Mordor Intelligence (2025), Market Data Forecast (2025) and JLL (2026) Café and co-working market sizing and forecasting data </w:t>
      </w:r>
      <w:proofErr w:type="gramStart"/>
      <w:r w:rsidRPr="00FA5D98">
        <w:rPr>
          <w:rFonts w:ascii="Arial" w:hAnsi="Arial" w:cs="Arial"/>
        </w:rPr>
        <w:t>was</w:t>
      </w:r>
      <w:proofErr w:type="gramEnd"/>
      <w:r w:rsidRPr="00FA5D98">
        <w:rPr>
          <w:rFonts w:ascii="Arial" w:hAnsi="Arial" w:cs="Arial"/>
        </w:rPr>
        <w:t xml:space="preserve"> obtained from. Local economic and planning data was sourced from Richmond Council’s Local Plan, Retail and Leisure Study and Growth Plan documents (Richmond Council, 2020; 2024). We obtained economic indicators such as inflation, interest rates and wage data from ONS and Bank of England publications (ONS, 2026; Bank of England, 2026).</w:t>
      </w:r>
    </w:p>
    <w:p w14:paraId="337FB039" w14:textId="77777777" w:rsidR="00C45B7C" w:rsidRPr="00FA5D98" w:rsidRDefault="00C45B7C" w:rsidP="00C45B7C">
      <w:pPr>
        <w:pStyle w:val="Heading3"/>
        <w:numPr>
          <w:ilvl w:val="0"/>
          <w:numId w:val="2"/>
        </w:numPr>
        <w:spacing w:line="360" w:lineRule="auto"/>
        <w:jc w:val="both"/>
        <w:rPr>
          <w:rFonts w:ascii="Arial" w:hAnsi="Arial" w:cs="Arial"/>
          <w:b/>
          <w:bCs/>
          <w:color w:val="auto"/>
        </w:rPr>
      </w:pPr>
      <w:bookmarkStart w:id="11" w:name="_Toc238043877"/>
      <w:r w:rsidRPr="00FA5D98">
        <w:rPr>
          <w:rFonts w:ascii="Arial" w:hAnsi="Arial" w:cs="Arial"/>
          <w:b/>
          <w:bCs/>
          <w:color w:val="auto"/>
        </w:rPr>
        <w:lastRenderedPageBreak/>
        <w:t>Data Analysis</w:t>
      </w:r>
      <w:bookmarkEnd w:id="11"/>
    </w:p>
    <w:p w14:paraId="44984FE7" w14:textId="77777777" w:rsidR="00C45B7C" w:rsidRPr="00FA5D98" w:rsidRDefault="00C45B7C" w:rsidP="00C45B7C">
      <w:pPr>
        <w:spacing w:line="360" w:lineRule="auto"/>
        <w:jc w:val="both"/>
        <w:rPr>
          <w:rFonts w:ascii="Arial" w:hAnsi="Arial" w:cs="Arial"/>
        </w:rPr>
      </w:pPr>
      <w:r w:rsidRPr="00FA5D98">
        <w:rPr>
          <w:rFonts w:ascii="Arial" w:hAnsi="Arial" w:cs="Arial"/>
        </w:rPr>
        <w:t xml:space="preserve">The </w:t>
      </w:r>
      <w:proofErr w:type="gramStart"/>
      <w:r w:rsidRPr="00FA5D98">
        <w:rPr>
          <w:rFonts w:ascii="Arial" w:hAnsi="Arial" w:cs="Arial"/>
        </w:rPr>
        <w:t>collected data</w:t>
      </w:r>
      <w:proofErr w:type="gramEnd"/>
      <w:r w:rsidRPr="00FA5D98">
        <w:rPr>
          <w:rFonts w:ascii="Arial" w:hAnsi="Arial" w:cs="Arial"/>
        </w:rPr>
        <w:t xml:space="preserve"> were </w:t>
      </w:r>
      <w:proofErr w:type="spellStart"/>
      <w:r w:rsidRPr="00FA5D98">
        <w:rPr>
          <w:rFonts w:ascii="Arial" w:hAnsi="Arial" w:cs="Arial"/>
        </w:rPr>
        <w:t>analysed</w:t>
      </w:r>
      <w:proofErr w:type="spellEnd"/>
      <w:r w:rsidRPr="00FA5D98">
        <w:rPr>
          <w:rFonts w:ascii="Arial" w:hAnsi="Arial" w:cs="Arial"/>
        </w:rPr>
        <w:t xml:space="preserve"> by three complementary techniques. Thematic analysis of quantitative sources such as competitor websites, customer reviews, and industry commentary was used to identify common themes in customer needs, competitive positioning, and market dynamics. Comparative </w:t>
      </w:r>
      <w:proofErr w:type="gramStart"/>
      <w:r w:rsidRPr="00FA5D98">
        <w:rPr>
          <w:rFonts w:ascii="Arial" w:hAnsi="Arial" w:cs="Arial"/>
        </w:rPr>
        <w:t>analysis</w:t>
      </w:r>
      <w:proofErr w:type="gramEnd"/>
      <w:r w:rsidRPr="00FA5D98">
        <w:rPr>
          <w:rFonts w:ascii="Arial" w:hAnsi="Arial" w:cs="Arial"/>
        </w:rPr>
        <w:t xml:space="preserve"> were conducted to benchmark The Pulse Corner’s proposed pricing, service model and value proposition against current competitors in both café and co-working segments and to test the distinctiveness of the three-in-one concept against nearest available alternative.</w:t>
      </w:r>
    </w:p>
    <w:p w14:paraId="223E188D" w14:textId="77777777" w:rsidR="00C45B7C" w:rsidRPr="00FA5D98" w:rsidRDefault="00C45B7C" w:rsidP="00C45B7C">
      <w:pPr>
        <w:pStyle w:val="Heading3"/>
        <w:numPr>
          <w:ilvl w:val="0"/>
          <w:numId w:val="2"/>
        </w:numPr>
        <w:spacing w:line="360" w:lineRule="auto"/>
        <w:jc w:val="both"/>
        <w:rPr>
          <w:rFonts w:ascii="Arial" w:hAnsi="Arial" w:cs="Arial"/>
          <w:b/>
          <w:bCs/>
          <w:color w:val="auto"/>
        </w:rPr>
      </w:pPr>
      <w:bookmarkStart w:id="12" w:name="_Toc238043878"/>
      <w:r w:rsidRPr="00FA5D98">
        <w:rPr>
          <w:rFonts w:ascii="Arial" w:hAnsi="Arial" w:cs="Arial"/>
          <w:b/>
          <w:bCs/>
          <w:color w:val="auto"/>
        </w:rPr>
        <w:t>Framework Applied</w:t>
      </w:r>
      <w:bookmarkEnd w:id="12"/>
    </w:p>
    <w:p w14:paraId="4340A593" w14:textId="77777777" w:rsidR="00C45B7C" w:rsidRPr="00FA5D98" w:rsidRDefault="00C45B7C" w:rsidP="00C45B7C">
      <w:pPr>
        <w:spacing w:line="360" w:lineRule="auto"/>
        <w:jc w:val="both"/>
        <w:rPr>
          <w:rFonts w:ascii="Arial" w:hAnsi="Arial" w:cs="Arial"/>
        </w:rPr>
      </w:pPr>
      <w:r w:rsidRPr="00FA5D98">
        <w:rPr>
          <w:rFonts w:ascii="Arial" w:hAnsi="Arial" w:cs="Arial"/>
        </w:rPr>
        <w:t xml:space="preserve">Each of the five frameworks reviewed in Section 4 was applied </w:t>
      </w:r>
      <w:proofErr w:type="gramStart"/>
      <w:r w:rsidRPr="00FA5D98">
        <w:rPr>
          <w:rFonts w:ascii="Arial" w:hAnsi="Arial" w:cs="Arial"/>
        </w:rPr>
        <w:t>to</w:t>
      </w:r>
      <w:proofErr w:type="gramEnd"/>
      <w:r w:rsidRPr="00FA5D98">
        <w:rPr>
          <w:rFonts w:ascii="Arial" w:hAnsi="Arial" w:cs="Arial"/>
        </w:rPr>
        <w:t xml:space="preserve"> a particular analytical purpose. </w:t>
      </w:r>
      <w:r w:rsidRPr="002C1224">
        <w:rPr>
          <w:rFonts w:ascii="Arial" w:hAnsi="Arial" w:cs="Arial"/>
        </w:rPr>
        <w:t xml:space="preserve">The jobs to be done framework was used to Articulate the functional, emotional, and social </w:t>
      </w:r>
      <w:proofErr w:type="gramStart"/>
      <w:r w:rsidRPr="002C1224">
        <w:rPr>
          <w:rFonts w:ascii="Arial" w:hAnsi="Arial" w:cs="Arial"/>
        </w:rPr>
        <w:t>job</w:t>
      </w:r>
      <w:proofErr w:type="gramEnd"/>
      <w:r w:rsidRPr="002C1224">
        <w:rPr>
          <w:rFonts w:ascii="Arial" w:hAnsi="Arial" w:cs="Arial"/>
        </w:rPr>
        <w:t xml:space="preserve"> that are trying to be accomplished by the target customer of The Pulse Corner and to test whether the proposed service model addresses them. </w:t>
      </w:r>
      <w:r w:rsidRPr="00FA5D98">
        <w:rPr>
          <w:rFonts w:ascii="Arial" w:hAnsi="Arial" w:cs="Arial"/>
        </w:rPr>
        <w:t>The micro-environmental scan was structured using a PESTLE analysis, ensuring that political, economic, social, technological, legal, and environmental factors were all systematically considered. We used Porter's Five Forces to assess the competitive dynamics at industry level, in the café and co-working segment and at their intersection.  As a final integrative synthesis, SWOT analysis was used.</w:t>
      </w:r>
    </w:p>
    <w:p w14:paraId="221CD5C4" w14:textId="77777777" w:rsidR="00C45B7C" w:rsidRPr="00FA5D98" w:rsidRDefault="00C45B7C" w:rsidP="00C45B7C">
      <w:pPr>
        <w:pStyle w:val="Heading3"/>
        <w:numPr>
          <w:ilvl w:val="0"/>
          <w:numId w:val="2"/>
        </w:numPr>
        <w:spacing w:line="360" w:lineRule="auto"/>
        <w:jc w:val="both"/>
        <w:rPr>
          <w:rFonts w:ascii="Arial" w:hAnsi="Arial" w:cs="Arial"/>
          <w:b/>
          <w:bCs/>
        </w:rPr>
      </w:pPr>
      <w:bookmarkStart w:id="13" w:name="_Toc238043879"/>
      <w:r w:rsidRPr="00FA5D98">
        <w:rPr>
          <w:rFonts w:ascii="Arial" w:hAnsi="Arial" w:cs="Arial"/>
          <w:b/>
          <w:bCs/>
          <w:color w:val="auto"/>
        </w:rPr>
        <w:t>Limitations and Ethical Considerations</w:t>
      </w:r>
      <w:bookmarkEnd w:id="13"/>
      <w:r w:rsidRPr="00FA5D98">
        <w:rPr>
          <w:rFonts w:ascii="Arial" w:hAnsi="Arial" w:cs="Arial"/>
          <w:b/>
          <w:bCs/>
          <w:color w:val="auto"/>
        </w:rPr>
        <w:t xml:space="preserve"> </w:t>
      </w:r>
    </w:p>
    <w:p w14:paraId="4741801E" w14:textId="77777777" w:rsidR="00C45B7C" w:rsidRPr="00FA5D98" w:rsidRDefault="00C45B7C" w:rsidP="00C45B7C">
      <w:pPr>
        <w:spacing w:line="360" w:lineRule="auto"/>
        <w:jc w:val="both"/>
        <w:rPr>
          <w:rFonts w:ascii="Arial" w:hAnsi="Arial" w:cs="Arial"/>
        </w:rPr>
      </w:pPr>
      <w:r w:rsidRPr="00FA5D98">
        <w:rPr>
          <w:rFonts w:ascii="Arial" w:hAnsi="Arial" w:cs="Arial"/>
        </w:rPr>
        <w:t xml:space="preserve">Several limitations should be acknowledged. Because secondary data is used, </w:t>
      </w:r>
      <w:proofErr w:type="gramStart"/>
      <w:r w:rsidRPr="00FA5D98">
        <w:rPr>
          <w:rFonts w:ascii="Arial" w:hAnsi="Arial" w:cs="Arial"/>
        </w:rPr>
        <w:t>The</w:t>
      </w:r>
      <w:proofErr w:type="gramEnd"/>
      <w:r w:rsidRPr="00FA5D98">
        <w:rPr>
          <w:rFonts w:ascii="Arial" w:hAnsi="Arial" w:cs="Arial"/>
        </w:rPr>
        <w:t xml:space="preserve"> analysis cannot capture primary customer attitudes, willingness to pay for behavioral intentions with the precision that would be possible with a survey or interview program. Some of the secondary sources may have a bias towards the point of view and commercial interest of their publishers, Particularly the commercial market reports. The lack of primary research also means that the financial projection later in this Proposal R based on benchmark assumptions and not empirically </w:t>
      </w:r>
      <w:proofErr w:type="gramStart"/>
      <w:r w:rsidRPr="00FA5D98">
        <w:rPr>
          <w:rFonts w:ascii="Arial" w:hAnsi="Arial" w:cs="Arial"/>
        </w:rPr>
        <w:t>validate</w:t>
      </w:r>
      <w:proofErr w:type="gramEnd"/>
      <w:r w:rsidRPr="00FA5D98">
        <w:rPr>
          <w:rFonts w:ascii="Arial" w:hAnsi="Arial" w:cs="Arial"/>
        </w:rPr>
        <w:t xml:space="preserve"> demand estimates and should be regulated as indicative.</w:t>
      </w:r>
    </w:p>
    <w:p w14:paraId="36DCD66A" w14:textId="77777777" w:rsidR="00C45B7C" w:rsidRPr="00FA5D98" w:rsidRDefault="00C45B7C" w:rsidP="00C45B7C">
      <w:pPr>
        <w:spacing w:line="360" w:lineRule="auto"/>
        <w:jc w:val="both"/>
        <w:rPr>
          <w:rFonts w:ascii="Arial" w:hAnsi="Arial" w:cs="Arial"/>
        </w:rPr>
      </w:pPr>
      <w:r w:rsidRPr="00FA5D98">
        <w:rPr>
          <w:rFonts w:ascii="Arial" w:hAnsi="Arial" w:cs="Arial"/>
        </w:rPr>
        <w:t xml:space="preserve">All data used </w:t>
      </w:r>
      <w:proofErr w:type="gramStart"/>
      <w:r w:rsidRPr="00FA5D98">
        <w:rPr>
          <w:rFonts w:ascii="Arial" w:hAnsi="Arial" w:cs="Arial"/>
        </w:rPr>
        <w:t>were</w:t>
      </w:r>
      <w:proofErr w:type="gramEnd"/>
      <w:r w:rsidRPr="00FA5D98">
        <w:rPr>
          <w:rFonts w:ascii="Arial" w:hAnsi="Arial" w:cs="Arial"/>
        </w:rPr>
        <w:t xml:space="preserve"> in the public domain and obtained from official or reputable commercial sources. No personal or personalized identifiable data was collected. All statistics, </w:t>
      </w:r>
      <w:proofErr w:type="gramStart"/>
      <w:r w:rsidRPr="00FA5D98">
        <w:rPr>
          <w:rFonts w:ascii="Arial" w:hAnsi="Arial" w:cs="Arial"/>
        </w:rPr>
        <w:lastRenderedPageBreak/>
        <w:t>quotation</w:t>
      </w:r>
      <w:proofErr w:type="gramEnd"/>
      <w:r w:rsidRPr="00FA5D98">
        <w:rPr>
          <w:rFonts w:ascii="Arial" w:hAnsi="Arial" w:cs="Arial"/>
        </w:rPr>
        <w:t xml:space="preserve">, and analytical claims taken from external sources are referred to using the Harvard Referencing System, and the full URLs are provided in the Research appendices to allow verification.  </w:t>
      </w:r>
    </w:p>
    <w:p w14:paraId="49F1AE6C" w14:textId="77777777" w:rsidR="00BF629A" w:rsidRDefault="00BF629A"/>
    <w:sectPr w:rsidR="00BF629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B0502040204020203"/>
    <w:charset w:val="01"/>
    <w:family w:val="auto"/>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01E18"/>
    <w:multiLevelType w:val="hybridMultilevel"/>
    <w:tmpl w:val="B9384AE2"/>
    <w:lvl w:ilvl="0" w:tplc="27A069F4">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0A01C55"/>
    <w:multiLevelType w:val="hybridMultilevel"/>
    <w:tmpl w:val="140C71A4"/>
    <w:lvl w:ilvl="0" w:tplc="F9CA7FB8">
      <w:start w:val="3"/>
      <w:numFmt w:val="decimal"/>
      <w:lvlText w:val="%1."/>
      <w:lvlJc w:val="left"/>
      <w:pPr>
        <w:ind w:left="1530" w:hanging="360"/>
      </w:pPr>
      <w:rPr>
        <w:rFonts w:hint="default"/>
      </w:rPr>
    </w:lvl>
    <w:lvl w:ilvl="1" w:tplc="04090019" w:tentative="1">
      <w:start w:val="1"/>
      <w:numFmt w:val="lowerLetter"/>
      <w:lvlText w:val="%2."/>
      <w:lvlJc w:val="left"/>
      <w:pPr>
        <w:ind w:left="2250" w:hanging="360"/>
      </w:pPr>
    </w:lvl>
    <w:lvl w:ilvl="2" w:tplc="0409001B" w:tentative="1">
      <w:start w:val="1"/>
      <w:numFmt w:val="lowerRoman"/>
      <w:lvlText w:val="%3."/>
      <w:lvlJc w:val="right"/>
      <w:pPr>
        <w:ind w:left="2970" w:hanging="180"/>
      </w:pPr>
    </w:lvl>
    <w:lvl w:ilvl="3" w:tplc="0409000F" w:tentative="1">
      <w:start w:val="1"/>
      <w:numFmt w:val="decimal"/>
      <w:lvlText w:val="%4."/>
      <w:lvlJc w:val="left"/>
      <w:pPr>
        <w:ind w:left="3690" w:hanging="360"/>
      </w:pPr>
    </w:lvl>
    <w:lvl w:ilvl="4" w:tplc="04090019" w:tentative="1">
      <w:start w:val="1"/>
      <w:numFmt w:val="lowerLetter"/>
      <w:lvlText w:val="%5."/>
      <w:lvlJc w:val="left"/>
      <w:pPr>
        <w:ind w:left="4410" w:hanging="360"/>
      </w:pPr>
    </w:lvl>
    <w:lvl w:ilvl="5" w:tplc="0409001B" w:tentative="1">
      <w:start w:val="1"/>
      <w:numFmt w:val="lowerRoman"/>
      <w:lvlText w:val="%6."/>
      <w:lvlJc w:val="right"/>
      <w:pPr>
        <w:ind w:left="5130" w:hanging="180"/>
      </w:pPr>
    </w:lvl>
    <w:lvl w:ilvl="6" w:tplc="0409000F" w:tentative="1">
      <w:start w:val="1"/>
      <w:numFmt w:val="decimal"/>
      <w:lvlText w:val="%7."/>
      <w:lvlJc w:val="left"/>
      <w:pPr>
        <w:ind w:left="5850" w:hanging="360"/>
      </w:pPr>
    </w:lvl>
    <w:lvl w:ilvl="7" w:tplc="04090019" w:tentative="1">
      <w:start w:val="1"/>
      <w:numFmt w:val="lowerLetter"/>
      <w:lvlText w:val="%8."/>
      <w:lvlJc w:val="left"/>
      <w:pPr>
        <w:ind w:left="6570" w:hanging="360"/>
      </w:pPr>
    </w:lvl>
    <w:lvl w:ilvl="8" w:tplc="0409001B" w:tentative="1">
      <w:start w:val="1"/>
      <w:numFmt w:val="lowerRoman"/>
      <w:lvlText w:val="%9."/>
      <w:lvlJc w:val="right"/>
      <w:pPr>
        <w:ind w:left="7290" w:hanging="180"/>
      </w:pPr>
    </w:lvl>
  </w:abstractNum>
  <w:abstractNum w:abstractNumId="2" w15:restartNumberingAfterBreak="0">
    <w:nsid w:val="6BED3EBF"/>
    <w:multiLevelType w:val="hybridMultilevel"/>
    <w:tmpl w:val="8DBCF916"/>
    <w:lvl w:ilvl="0" w:tplc="0409000F">
      <w:start w:val="1"/>
      <w:numFmt w:val="decimal"/>
      <w:lvlText w:val="%1."/>
      <w:lvlJc w:val="left"/>
      <w:pPr>
        <w:ind w:left="153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F466BDE"/>
    <w:multiLevelType w:val="hybridMultilevel"/>
    <w:tmpl w:val="85F0B94C"/>
    <w:lvl w:ilvl="0" w:tplc="11B4729A">
      <w:start w:val="1"/>
      <w:numFmt w:val="upperLetter"/>
      <w:lvlText w:val="%1."/>
      <w:lvlJc w:val="left"/>
      <w:pPr>
        <w:ind w:left="720" w:hanging="360"/>
      </w:pPr>
      <w:rPr>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68794992">
    <w:abstractNumId w:val="2"/>
  </w:num>
  <w:num w:numId="2" w16cid:durableId="1610427537">
    <w:abstractNumId w:val="3"/>
  </w:num>
  <w:num w:numId="3" w16cid:durableId="1124885710">
    <w:abstractNumId w:val="0"/>
  </w:num>
  <w:num w:numId="4" w16cid:durableId="14946362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5B7C"/>
    <w:rsid w:val="00177194"/>
    <w:rsid w:val="00686FF2"/>
    <w:rsid w:val="008536EF"/>
    <w:rsid w:val="009F203A"/>
    <w:rsid w:val="00BF629A"/>
    <w:rsid w:val="00C45B7C"/>
    <w:rsid w:val="00DF64C0"/>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6CFD6"/>
  <w15:chartTrackingRefBased/>
  <w15:docId w15:val="{E2B88138-94C4-494E-8287-CDD8A14D36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5B7C"/>
  </w:style>
  <w:style w:type="paragraph" w:styleId="Heading1">
    <w:name w:val="heading 1"/>
    <w:basedOn w:val="Normal"/>
    <w:next w:val="Normal"/>
    <w:link w:val="Heading1Char"/>
    <w:uiPriority w:val="9"/>
    <w:qFormat/>
    <w:rsid w:val="00C45B7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45B7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45B7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45B7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45B7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45B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5B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5B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5B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5B7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C45B7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C45B7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45B7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45B7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45B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5B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5B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5B7C"/>
    <w:rPr>
      <w:rFonts w:eastAsiaTheme="majorEastAsia" w:cstheme="majorBidi"/>
      <w:color w:val="272727" w:themeColor="text1" w:themeTint="D8"/>
    </w:rPr>
  </w:style>
  <w:style w:type="paragraph" w:styleId="Title">
    <w:name w:val="Title"/>
    <w:basedOn w:val="Normal"/>
    <w:next w:val="Normal"/>
    <w:link w:val="TitleChar"/>
    <w:uiPriority w:val="10"/>
    <w:qFormat/>
    <w:rsid w:val="00C45B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5B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5B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5B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5B7C"/>
    <w:pPr>
      <w:spacing w:before="160"/>
      <w:jc w:val="center"/>
    </w:pPr>
    <w:rPr>
      <w:i/>
      <w:iCs/>
      <w:color w:val="404040" w:themeColor="text1" w:themeTint="BF"/>
    </w:rPr>
  </w:style>
  <w:style w:type="character" w:customStyle="1" w:styleId="QuoteChar">
    <w:name w:val="Quote Char"/>
    <w:basedOn w:val="DefaultParagraphFont"/>
    <w:link w:val="Quote"/>
    <w:uiPriority w:val="29"/>
    <w:rsid w:val="00C45B7C"/>
    <w:rPr>
      <w:i/>
      <w:iCs/>
      <w:color w:val="404040" w:themeColor="text1" w:themeTint="BF"/>
    </w:rPr>
  </w:style>
  <w:style w:type="paragraph" w:styleId="ListParagraph">
    <w:name w:val="List Paragraph"/>
    <w:basedOn w:val="Normal"/>
    <w:uiPriority w:val="34"/>
    <w:qFormat/>
    <w:rsid w:val="00C45B7C"/>
    <w:pPr>
      <w:ind w:left="720"/>
      <w:contextualSpacing/>
    </w:pPr>
  </w:style>
  <w:style w:type="character" w:styleId="IntenseEmphasis">
    <w:name w:val="Intense Emphasis"/>
    <w:basedOn w:val="DefaultParagraphFont"/>
    <w:uiPriority w:val="21"/>
    <w:qFormat/>
    <w:rsid w:val="00C45B7C"/>
    <w:rPr>
      <w:i/>
      <w:iCs/>
      <w:color w:val="2F5496" w:themeColor="accent1" w:themeShade="BF"/>
    </w:rPr>
  </w:style>
  <w:style w:type="paragraph" w:styleId="IntenseQuote">
    <w:name w:val="Intense Quote"/>
    <w:basedOn w:val="Normal"/>
    <w:next w:val="Normal"/>
    <w:link w:val="IntenseQuoteChar"/>
    <w:uiPriority w:val="30"/>
    <w:qFormat/>
    <w:rsid w:val="00C45B7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45B7C"/>
    <w:rPr>
      <w:i/>
      <w:iCs/>
      <w:color w:val="2F5496" w:themeColor="accent1" w:themeShade="BF"/>
    </w:rPr>
  </w:style>
  <w:style w:type="character" w:styleId="IntenseReference">
    <w:name w:val="Intense Reference"/>
    <w:basedOn w:val="DefaultParagraphFont"/>
    <w:uiPriority w:val="32"/>
    <w:qFormat/>
    <w:rsid w:val="00C45B7C"/>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1594</Words>
  <Characters>9089</Characters>
  <Application>Microsoft Office Word</Application>
  <DocSecurity>0</DocSecurity>
  <Lines>75</Lines>
  <Paragraphs>21</Paragraphs>
  <ScaleCrop>false</ScaleCrop>
  <Company/>
  <LinksUpToDate>false</LinksUpToDate>
  <CharactersWithSpaces>10662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Shaunakkumar Patel (2504923)</dc:creator>
  <cp:keywords/>
  <dc:description/>
  <cp:lastModifiedBy>Shaunakkumar Patel (2504923)</cp:lastModifiedBy>
  <cp:revision>1</cp:revision>
  <dcterms:created xsi:type="dcterms:W3CDTF">2026-08-21T11:58:00Z</dcterms:created>
  <dcterms:modified xsi:type="dcterms:W3CDTF">2026-08-21T12:00:00Z</dcterms:modified>
</cp:coreProperties>
</file>