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597241857"/>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78750DA7" w14:textId="395A1863" w:rsidR="00DD5459" w:rsidRDefault="00DD5459">
          <w:pPr>
            <w:pStyle w:val="NoSpacing"/>
            <w:spacing w:before="1540" w:after="240"/>
            <w:jc w:val="center"/>
            <w:rPr>
              <w:color w:val="156082" w:themeColor="accent1"/>
            </w:rPr>
          </w:pPr>
          <w:r>
            <w:rPr>
              <w:noProof/>
              <w:color w:val="156082" w:themeColor="accent1"/>
            </w:rPr>
            <w:drawing>
              <wp:inline distT="0" distB="0" distL="0" distR="0" wp14:anchorId="728DF419" wp14:editId="4ADA5D5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E3D4184" w14:textId="4FA65BE6" w:rsidR="00DD5459" w:rsidRPr="00DD5459" w:rsidRDefault="00DD5459" w:rsidP="00DD5459">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4C94D8" w:themeColor="text2" w:themeTint="80"/>
              <w:sz w:val="32"/>
              <w:szCs w:val="32"/>
            </w:rPr>
          </w:pPr>
          <w:sdt>
            <w:sdtPr>
              <w:rPr>
                <w:rFonts w:ascii="Arial Black" w:eastAsiaTheme="minorHAnsi" w:hAnsi="Arial Black"/>
                <w:color w:val="4C94D8" w:themeColor="text2" w:themeTint="80"/>
                <w:kern w:val="2"/>
                <w:sz w:val="32"/>
                <w:szCs w:val="32"/>
                <w:lang w:val="en-GB"/>
                <w14:ligatures w14:val="standardContextual"/>
              </w:rPr>
              <w:alias w:val="Title"/>
              <w:tag w:val=""/>
              <w:id w:val="1735040861"/>
              <w:placeholder>
                <w:docPart w:val="4E0A9AECA2BA408880B7BB2E2D9F4A21"/>
              </w:placeholder>
              <w:dataBinding w:prefixMappings="xmlns:ns0='http://purl.org/dc/elements/1.1/' xmlns:ns1='http://schemas.openxmlformats.org/package/2006/metadata/core-properties' " w:xpath="/ns1:coreProperties[1]/ns0:title[1]" w:storeItemID="{6C3C8BC8-F283-45AE-878A-BAB7291924A1}"/>
              <w:text/>
            </w:sdtPr>
            <w:sdtContent>
              <w:r w:rsidRPr="00DD5459">
                <w:rPr>
                  <w:rFonts w:ascii="Arial Black" w:eastAsiaTheme="minorHAnsi" w:hAnsi="Arial Black"/>
                  <w:color w:val="4C94D8" w:themeColor="text2" w:themeTint="80"/>
                  <w:kern w:val="2"/>
                  <w:sz w:val="32"/>
                  <w:szCs w:val="32"/>
                  <w:lang w:val="en-GB"/>
                  <w14:ligatures w14:val="standardContextual"/>
                </w:rPr>
                <w:t>A</w:t>
              </w:r>
              <w:r>
                <w:rPr>
                  <w:rFonts w:ascii="Arial Black" w:eastAsiaTheme="minorHAnsi" w:hAnsi="Arial Black"/>
                  <w:color w:val="4C94D8" w:themeColor="text2" w:themeTint="80"/>
                  <w:kern w:val="2"/>
                  <w:sz w:val="32"/>
                  <w:szCs w:val="32"/>
                  <w:lang w:val="en-GB"/>
                  <w14:ligatures w14:val="standardContextual"/>
                </w:rPr>
                <w:t>SSIGNMENT</w:t>
              </w:r>
              <w:r w:rsidRPr="00DD5459">
                <w:rPr>
                  <w:rFonts w:ascii="Arial Black" w:eastAsiaTheme="minorHAnsi" w:hAnsi="Arial Black"/>
                  <w:color w:val="4C94D8" w:themeColor="text2" w:themeTint="80"/>
                  <w:kern w:val="2"/>
                  <w:sz w:val="32"/>
                  <w:szCs w:val="32"/>
                  <w:lang w:val="en-GB"/>
                  <w14:ligatures w14:val="standardContextual"/>
                </w:rPr>
                <w:t xml:space="preserve"> 2-</w:t>
              </w:r>
            </w:sdtContent>
          </w:sdt>
          <w:r w:rsidRPr="00DD5459">
            <w:rPr>
              <w:rFonts w:ascii="Arial Black" w:eastAsiaTheme="minorHAnsi" w:hAnsi="Arial Black"/>
              <w:color w:val="4C94D8" w:themeColor="text2" w:themeTint="80"/>
              <w:kern w:val="2"/>
              <w:sz w:val="32"/>
              <w:szCs w:val="32"/>
              <w:lang w:val="en-GB"/>
              <w14:ligatures w14:val="standardContextual"/>
            </w:rPr>
            <w:t xml:space="preserve"> </w:t>
          </w:r>
          <w:r w:rsidRPr="00DD5459">
            <w:rPr>
              <w:rFonts w:ascii="Arial Black" w:eastAsiaTheme="majorEastAsia" w:hAnsi="Arial Black" w:cstheme="majorBidi"/>
              <w:caps/>
              <w:color w:val="4C94D8" w:themeColor="text2" w:themeTint="80"/>
              <w:sz w:val="32"/>
              <w:szCs w:val="32"/>
              <w:lang w:val="en-GB"/>
            </w:rPr>
            <w:t>Analyzing the Port Talbot Community: Approaches to Fostering Growth and Development</w:t>
          </w:r>
        </w:p>
        <w:p w14:paraId="1F073521" w14:textId="77777777" w:rsidR="00DD5459" w:rsidRDefault="00DD545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63CA369" wp14:editId="4F55B8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20T00:00:00Z">
                                    <w:dateFormat w:val="MMMM d, yyyy"/>
                                    <w:lid w:val="en-US"/>
                                    <w:storeMappedDataAs w:val="dateTime"/>
                                    <w:calendar w:val="gregorian"/>
                                  </w:date>
                                </w:sdtPr>
                                <w:sdtContent>
                                  <w:p w14:paraId="52E62F2B" w14:textId="445508E4" w:rsidR="00DD5459" w:rsidRPr="00DD5459" w:rsidRDefault="00DD5459">
                                    <w:pPr>
                                      <w:pStyle w:val="NoSpacing"/>
                                      <w:spacing w:after="40"/>
                                      <w:jc w:val="center"/>
                                      <w:rPr>
                                        <w:rFonts w:ascii="Arial Black" w:hAnsi="Arial Black"/>
                                        <w:caps/>
                                        <w:color w:val="156082" w:themeColor="accent1"/>
                                        <w:sz w:val="28"/>
                                        <w:szCs w:val="28"/>
                                      </w:rPr>
                                    </w:pPr>
                                    <w:r w:rsidRPr="00DD5459">
                                      <w:rPr>
                                        <w:rFonts w:ascii="Arial Black" w:hAnsi="Arial Black"/>
                                        <w:caps/>
                                        <w:color w:val="156082" w:themeColor="accent1"/>
                                        <w:sz w:val="28"/>
                                        <w:szCs w:val="28"/>
                                      </w:rPr>
                                      <w:t>November 20, 2024</w:t>
                                    </w:r>
                                  </w:p>
                                </w:sdtContent>
                              </w:sdt>
                              <w:p w14:paraId="63AC67F9" w14:textId="7D4C9FAA" w:rsidR="00DD5459" w:rsidRPr="00DD5459" w:rsidRDefault="00DD5459">
                                <w:pPr>
                                  <w:pStyle w:val="NoSpacing"/>
                                  <w:jc w:val="center"/>
                                  <w:rPr>
                                    <w:rFonts w:ascii="Arial Black" w:hAnsi="Arial Black"/>
                                    <w:color w:val="156082" w:themeColor="accent1"/>
                                  </w:rPr>
                                </w:pPr>
                                <w:sdt>
                                  <w:sdtPr>
                                    <w:rPr>
                                      <w:rFonts w:ascii="Arial Black" w:hAnsi="Arial Black"/>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DD5459">
                                      <w:rPr>
                                        <w:rFonts w:ascii="Arial Black" w:hAnsi="Arial Black"/>
                                        <w:caps/>
                                        <w:color w:val="156082" w:themeColor="accent1"/>
                                      </w:rPr>
                                      <w:t>Tunde Beata Malutan (2325913)</w:t>
                                    </w:r>
                                  </w:sdtContent>
                                </w:sdt>
                              </w:p>
                              <w:p w14:paraId="681DB61D" w14:textId="447E6097" w:rsidR="00DD5459" w:rsidRPr="00DD5459" w:rsidRDefault="00DD5459">
                                <w:pPr>
                                  <w:pStyle w:val="NoSpacing"/>
                                  <w:jc w:val="center"/>
                                  <w:rPr>
                                    <w:rFonts w:ascii="Arial Black" w:hAnsi="Arial Black"/>
                                    <w:color w:val="156082" w:themeColor="accent1"/>
                                  </w:rPr>
                                </w:pPr>
                                <w:sdt>
                                  <w:sdtPr>
                                    <w:rPr>
                                      <w:rFonts w:ascii="Arial Black" w:hAnsi="Arial Black"/>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DD5459">
                                      <w:rPr>
                                        <w:rFonts w:ascii="Arial Black" w:hAnsi="Arial Black"/>
                                        <w:color w:val="156082" w:themeColor="accent1"/>
                                      </w:rPr>
                                      <w:t>Community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3CA36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20T00:00:00Z">
                              <w:dateFormat w:val="MMMM d, yyyy"/>
                              <w:lid w:val="en-US"/>
                              <w:storeMappedDataAs w:val="dateTime"/>
                              <w:calendar w:val="gregorian"/>
                            </w:date>
                          </w:sdtPr>
                          <w:sdtContent>
                            <w:p w14:paraId="52E62F2B" w14:textId="445508E4" w:rsidR="00DD5459" w:rsidRPr="00DD5459" w:rsidRDefault="00DD5459">
                              <w:pPr>
                                <w:pStyle w:val="NoSpacing"/>
                                <w:spacing w:after="40"/>
                                <w:jc w:val="center"/>
                                <w:rPr>
                                  <w:rFonts w:ascii="Arial Black" w:hAnsi="Arial Black"/>
                                  <w:caps/>
                                  <w:color w:val="156082" w:themeColor="accent1"/>
                                  <w:sz w:val="28"/>
                                  <w:szCs w:val="28"/>
                                </w:rPr>
                              </w:pPr>
                              <w:r w:rsidRPr="00DD5459">
                                <w:rPr>
                                  <w:rFonts w:ascii="Arial Black" w:hAnsi="Arial Black"/>
                                  <w:caps/>
                                  <w:color w:val="156082" w:themeColor="accent1"/>
                                  <w:sz w:val="28"/>
                                  <w:szCs w:val="28"/>
                                </w:rPr>
                                <w:t>November 20, 2024</w:t>
                              </w:r>
                            </w:p>
                          </w:sdtContent>
                        </w:sdt>
                        <w:p w14:paraId="63AC67F9" w14:textId="7D4C9FAA" w:rsidR="00DD5459" w:rsidRPr="00DD5459" w:rsidRDefault="00DD5459">
                          <w:pPr>
                            <w:pStyle w:val="NoSpacing"/>
                            <w:jc w:val="center"/>
                            <w:rPr>
                              <w:rFonts w:ascii="Arial Black" w:hAnsi="Arial Black"/>
                              <w:color w:val="156082" w:themeColor="accent1"/>
                            </w:rPr>
                          </w:pPr>
                          <w:sdt>
                            <w:sdtPr>
                              <w:rPr>
                                <w:rFonts w:ascii="Arial Black" w:hAnsi="Arial Black"/>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DD5459">
                                <w:rPr>
                                  <w:rFonts w:ascii="Arial Black" w:hAnsi="Arial Black"/>
                                  <w:caps/>
                                  <w:color w:val="156082" w:themeColor="accent1"/>
                                </w:rPr>
                                <w:t>Tunde Beata Malutan (2325913)</w:t>
                              </w:r>
                            </w:sdtContent>
                          </w:sdt>
                        </w:p>
                        <w:p w14:paraId="681DB61D" w14:textId="447E6097" w:rsidR="00DD5459" w:rsidRPr="00DD5459" w:rsidRDefault="00DD5459">
                          <w:pPr>
                            <w:pStyle w:val="NoSpacing"/>
                            <w:jc w:val="center"/>
                            <w:rPr>
                              <w:rFonts w:ascii="Arial Black" w:hAnsi="Arial Black"/>
                              <w:color w:val="156082" w:themeColor="accent1"/>
                            </w:rPr>
                          </w:pPr>
                          <w:sdt>
                            <w:sdtPr>
                              <w:rPr>
                                <w:rFonts w:ascii="Arial Black" w:hAnsi="Arial Black"/>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DD5459">
                                <w:rPr>
                                  <w:rFonts w:ascii="Arial Black" w:hAnsi="Arial Black"/>
                                  <w:color w:val="156082" w:themeColor="accent1"/>
                                </w:rPr>
                                <w:t>Community Development</w:t>
                              </w:r>
                            </w:sdtContent>
                          </w:sdt>
                        </w:p>
                      </w:txbxContent>
                    </v:textbox>
                    <w10:wrap anchorx="margin" anchory="page"/>
                  </v:shape>
                </w:pict>
              </mc:Fallback>
            </mc:AlternateContent>
          </w:r>
          <w:r>
            <w:rPr>
              <w:noProof/>
              <w:color w:val="156082" w:themeColor="accent1"/>
            </w:rPr>
            <w:drawing>
              <wp:inline distT="0" distB="0" distL="0" distR="0" wp14:anchorId="26A07402" wp14:editId="748F462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3AADB2" w14:textId="7F2C7257" w:rsidR="00DD5459" w:rsidRDefault="00DD5459">
          <w:pPr>
            <w:rPr>
              <w:rFonts w:ascii="Arial Black" w:hAnsi="Arial Black" w:cs="Arial"/>
            </w:rPr>
          </w:pPr>
          <w:r>
            <w:rPr>
              <w:rFonts w:ascii="Arial Black" w:hAnsi="Arial Black" w:cs="Arial"/>
            </w:rPr>
            <w:br w:type="page"/>
          </w:r>
        </w:p>
      </w:sdtContent>
    </w:sdt>
    <w:p w14:paraId="00B5FAFB" w14:textId="626985B0" w:rsidR="00DD5459" w:rsidRDefault="00DD5459" w:rsidP="00D7610B">
      <w:pPr>
        <w:spacing w:line="480" w:lineRule="auto"/>
        <w:jc w:val="both"/>
        <w:rPr>
          <w:rFonts w:ascii="Arial Black" w:hAnsi="Arial Black" w:cs="Arial"/>
        </w:rPr>
      </w:pPr>
      <w:r>
        <w:rPr>
          <w:rFonts w:ascii="Arial Black" w:hAnsi="Arial Black" w:cs="Arial"/>
        </w:rPr>
        <w:lastRenderedPageBreak/>
        <w:t>Executive Summary</w:t>
      </w:r>
    </w:p>
    <w:p w14:paraId="54271487" w14:textId="1EB45643" w:rsidR="00DD5459" w:rsidRPr="00DD5459" w:rsidRDefault="00DD5459" w:rsidP="00DD5459">
      <w:pPr>
        <w:spacing w:line="480" w:lineRule="auto"/>
        <w:jc w:val="both"/>
        <w:rPr>
          <w:rFonts w:ascii="Arial" w:hAnsi="Arial" w:cs="Arial"/>
        </w:rPr>
      </w:pPr>
      <w:r w:rsidRPr="00DD5459">
        <w:rPr>
          <w:rFonts w:ascii="Arial" w:hAnsi="Arial" w:cs="Arial"/>
        </w:rPr>
        <w:t>This re</w:t>
      </w:r>
      <w:r>
        <w:rPr>
          <w:rFonts w:ascii="Arial" w:hAnsi="Arial" w:cs="Arial"/>
        </w:rPr>
        <w:t>port</w:t>
      </w:r>
      <w:r w:rsidRPr="00DD5459">
        <w:rPr>
          <w:rFonts w:ascii="Arial" w:hAnsi="Arial" w:cs="Arial"/>
        </w:rPr>
        <w:t xml:space="preserve"> analyses the community development tactics employed in Port Talbot, Wales—a heterogeneous town distinguished by various ethnicity, age, and culture. Principal initiatives encompass the transformation of the Plaza Building into a multifunctional community centre, the Harbourside Regeneration project aimed at economic diversification, substantial investments in education via the modernisation of schools, and the creation of the Bay Technology Centre to foster sustainable technology enterprises. These initiatives utilise cultural heritage and inclusive communication to promote development, tackle unemployment, and improve social cohesion. Strategies for behavioural change encompass community involvement, education, and social marketing initiatives. Challenges include opposition to change, economic disparity, sustainability issues, and resource constraints are recognised. The paper states that although the development procedures have strengths in comprehensive and participatory planning, continuous efforts are required to improve inclusivity, guarantee long-term sustainability, and adapt to changing community demands to ensure a prosperous future for Port Talbot.</w:t>
      </w:r>
    </w:p>
    <w:p w14:paraId="39A5F355" w14:textId="77777777" w:rsidR="00DD5459" w:rsidRDefault="00DD5459" w:rsidP="00D7610B">
      <w:pPr>
        <w:spacing w:line="480" w:lineRule="auto"/>
        <w:jc w:val="both"/>
        <w:rPr>
          <w:rFonts w:ascii="Arial Black" w:hAnsi="Arial Black" w:cs="Arial"/>
        </w:rPr>
      </w:pPr>
    </w:p>
    <w:p w14:paraId="5F98C368" w14:textId="77777777" w:rsidR="00DD5459" w:rsidRDefault="00DD5459">
      <w:pPr>
        <w:rPr>
          <w:rFonts w:ascii="Arial Black" w:hAnsi="Arial Black" w:cs="Arial"/>
        </w:rPr>
      </w:pPr>
      <w:r>
        <w:rPr>
          <w:rFonts w:ascii="Arial Black" w:hAnsi="Arial Black" w:cs="Arial"/>
        </w:rPr>
        <w:br w:type="page"/>
      </w:r>
    </w:p>
    <w:p w14:paraId="065965AC" w14:textId="606A0D9A" w:rsidR="00D7610B" w:rsidRPr="005546C5" w:rsidRDefault="00D7610B" w:rsidP="00D7610B">
      <w:pPr>
        <w:spacing w:line="480" w:lineRule="auto"/>
        <w:jc w:val="both"/>
        <w:rPr>
          <w:rFonts w:ascii="Arial Black" w:hAnsi="Arial Black" w:cs="Arial"/>
        </w:rPr>
      </w:pPr>
      <w:r w:rsidRPr="005546C5">
        <w:rPr>
          <w:rFonts w:ascii="Arial Black" w:hAnsi="Arial Black" w:cs="Arial"/>
        </w:rPr>
        <w:lastRenderedPageBreak/>
        <w:t>Introduction</w:t>
      </w:r>
    </w:p>
    <w:p w14:paraId="04E5E7E8" w14:textId="1BF46DDF" w:rsidR="00D7610B" w:rsidRPr="00D7610B" w:rsidRDefault="00D7610B" w:rsidP="00D7610B">
      <w:pPr>
        <w:spacing w:line="480" w:lineRule="auto"/>
        <w:jc w:val="both"/>
        <w:rPr>
          <w:rFonts w:ascii="Arial" w:hAnsi="Arial" w:cs="Arial"/>
        </w:rPr>
      </w:pPr>
      <w:r w:rsidRPr="00D7610B">
        <w:rPr>
          <w:rFonts w:ascii="Arial" w:hAnsi="Arial" w:cs="Arial"/>
        </w:rPr>
        <w:t xml:space="preserve">Communities are dynamic and multifaceted entities characterized by a fluidity that encompasses various aspects such as ethnicity, race, class, age, and culture (Wilkinson, 1991). Individuals often belong to multiple communities simultaneously, each with unique binding characteristics and motivators that encourage participation and engagement (Green, 2008). Understanding these dynamics is crucial in </w:t>
      </w:r>
      <w:r w:rsidRPr="00D7610B">
        <w:rPr>
          <w:rFonts w:ascii="Arial" w:hAnsi="Arial" w:cs="Arial"/>
        </w:rPr>
        <w:t>analysing</w:t>
      </w:r>
      <w:r w:rsidRPr="00D7610B">
        <w:rPr>
          <w:rFonts w:ascii="Arial" w:hAnsi="Arial" w:cs="Arial"/>
        </w:rPr>
        <w:t xml:space="preserve"> how communities develop and grow. This report focuses on the community of Port Talbot in Neath Port Talbot County Borough, Wales—a region currently undergoing significant transformation through various development projects. The analysis explores the approaches taken to foster growth and development within this distinct community. It examines the use of imagery, cultural, societal, economic, political, and environmental impacts, and how messages are tailored to suit the community's context. The report also delves into the key concepts employed in approaches to </w:t>
      </w:r>
      <w:r w:rsidRPr="00D7610B">
        <w:rPr>
          <w:rFonts w:ascii="Arial" w:hAnsi="Arial" w:cs="Arial"/>
        </w:rPr>
        <w:t>behavioural</w:t>
      </w:r>
      <w:r w:rsidRPr="00D7610B">
        <w:rPr>
          <w:rFonts w:ascii="Arial" w:hAnsi="Arial" w:cs="Arial"/>
        </w:rPr>
        <w:t xml:space="preserve"> change within the community, challenges </w:t>
      </w:r>
      <w:r w:rsidRPr="00D7610B">
        <w:rPr>
          <w:rFonts w:ascii="Arial" w:hAnsi="Arial" w:cs="Arial"/>
        </w:rPr>
        <w:t>faced and</w:t>
      </w:r>
      <w:r w:rsidRPr="00D7610B">
        <w:rPr>
          <w:rFonts w:ascii="Arial" w:hAnsi="Arial" w:cs="Arial"/>
        </w:rPr>
        <w:t xml:space="preserve"> evaluates the community development processes for sustainable improvements.</w:t>
      </w:r>
    </w:p>
    <w:p w14:paraId="758B1DC9" w14:textId="77777777" w:rsidR="00D7610B" w:rsidRPr="00D7610B" w:rsidRDefault="00D7610B" w:rsidP="00D7610B">
      <w:pPr>
        <w:spacing w:line="480" w:lineRule="auto"/>
        <w:jc w:val="both"/>
        <w:rPr>
          <w:rFonts w:ascii="Arial Black" w:hAnsi="Arial Black" w:cs="Arial"/>
        </w:rPr>
      </w:pPr>
      <w:r w:rsidRPr="00D7610B">
        <w:rPr>
          <w:rFonts w:ascii="Arial Black" w:hAnsi="Arial Black" w:cs="Arial"/>
        </w:rPr>
        <w:t>Community Identification and Characteristics</w:t>
      </w:r>
    </w:p>
    <w:p w14:paraId="05A013F6" w14:textId="77777777" w:rsidR="00D7610B" w:rsidRDefault="00D7610B" w:rsidP="00D7610B">
      <w:pPr>
        <w:spacing w:line="480" w:lineRule="auto"/>
        <w:jc w:val="both"/>
        <w:rPr>
          <w:rFonts w:ascii="Arial" w:hAnsi="Arial" w:cs="Arial"/>
        </w:rPr>
      </w:pPr>
      <w:r w:rsidRPr="00D7610B">
        <w:rPr>
          <w:rFonts w:ascii="Arial" w:hAnsi="Arial" w:cs="Arial"/>
        </w:rPr>
        <w:t xml:space="preserve">Port Talbot is a coastal town in South Wales with a rich industrial heritage, predominantly known for its steel production at the Tata Steel plant, one of the largest in Europe (Wales Online, 2021). The community is diverse, comprising individuals of various ages, socio-economic backgrounds, and cultures. Historically, the town's economy was heavily reliant on heavy industry, particularly steel and manufacturing. The decline of traditional industries over the past few decades has led to economic challenges, including unemployment and social deprivation, necessitating initiatives to </w:t>
      </w:r>
      <w:r w:rsidRPr="00D7610B">
        <w:rPr>
          <w:rFonts w:ascii="Arial" w:hAnsi="Arial" w:cs="Arial"/>
        </w:rPr>
        <w:lastRenderedPageBreak/>
        <w:t>revitalize the area and foster community development (Neath Port Talbot Council, 2021a).</w:t>
      </w:r>
    </w:p>
    <w:p w14:paraId="7FA56569" w14:textId="542E0C70" w:rsidR="00D7610B" w:rsidRPr="00D7610B" w:rsidRDefault="00D7610B" w:rsidP="00D7610B">
      <w:pPr>
        <w:spacing w:line="480" w:lineRule="auto"/>
        <w:jc w:val="both"/>
        <w:rPr>
          <w:rFonts w:ascii="Arial" w:hAnsi="Arial" w:cs="Arial"/>
        </w:rPr>
      </w:pPr>
      <w:r w:rsidRPr="00D7610B">
        <w:rPr>
          <w:rFonts w:ascii="Arial" w:hAnsi="Arial" w:cs="Arial"/>
        </w:rPr>
        <w:t>The community's binding characteristics include a strong sense of local identity, pride in industrial heritage, and resilience in the face of economic adversity. These factors play a significant role in motivating community members to engage in development initiatives aimed at improving their socio-economic conditions.</w:t>
      </w:r>
    </w:p>
    <w:p w14:paraId="65602DE4" w14:textId="77777777" w:rsidR="00D7610B" w:rsidRPr="00D7610B" w:rsidRDefault="00D7610B" w:rsidP="00D7610B">
      <w:pPr>
        <w:spacing w:line="480" w:lineRule="auto"/>
        <w:jc w:val="both"/>
        <w:rPr>
          <w:rFonts w:ascii="Arial Black" w:hAnsi="Arial Black" w:cs="Arial"/>
        </w:rPr>
      </w:pPr>
      <w:r w:rsidRPr="00D7610B">
        <w:rPr>
          <w:rFonts w:ascii="Arial Black" w:hAnsi="Arial Black" w:cs="Arial"/>
        </w:rPr>
        <w:t>Approaches to Fostering Growth and Development</w:t>
      </w:r>
    </w:p>
    <w:p w14:paraId="237DD010" w14:textId="77777777" w:rsidR="00D7610B" w:rsidRPr="00D7610B" w:rsidRDefault="00D7610B" w:rsidP="00D7610B">
      <w:pPr>
        <w:spacing w:line="480" w:lineRule="auto"/>
        <w:jc w:val="both"/>
        <w:rPr>
          <w:rFonts w:ascii="Arial" w:hAnsi="Arial" w:cs="Arial"/>
        </w:rPr>
      </w:pPr>
      <w:r w:rsidRPr="00D7610B">
        <w:rPr>
          <w:rFonts w:ascii="Arial" w:hAnsi="Arial" w:cs="Arial"/>
        </w:rPr>
        <w:t>Several key projects have been initiated to stimulate growth and development in Port Talbot, each employing different strategies to address the community's needs:</w:t>
      </w:r>
    </w:p>
    <w:p w14:paraId="1E0CA8C6" w14:textId="3B6C0772" w:rsidR="00D7610B" w:rsidRPr="00D7610B" w:rsidRDefault="00D7610B" w:rsidP="00D7610B">
      <w:pPr>
        <w:pStyle w:val="ListParagraph"/>
        <w:numPr>
          <w:ilvl w:val="0"/>
          <w:numId w:val="1"/>
        </w:numPr>
        <w:spacing w:line="480" w:lineRule="auto"/>
        <w:jc w:val="both"/>
        <w:rPr>
          <w:rFonts w:ascii="Arial Black" w:hAnsi="Arial Black" w:cs="Arial"/>
        </w:rPr>
      </w:pPr>
      <w:r w:rsidRPr="00D7610B">
        <w:rPr>
          <w:rFonts w:ascii="Arial Black" w:hAnsi="Arial Black" w:cs="Arial"/>
        </w:rPr>
        <w:t>Redevelopment of the Plaza Building</w:t>
      </w:r>
    </w:p>
    <w:p w14:paraId="0BA6F18D" w14:textId="77777777" w:rsidR="00D7610B" w:rsidRPr="00D7610B" w:rsidRDefault="00D7610B" w:rsidP="00D7610B">
      <w:pPr>
        <w:spacing w:line="480" w:lineRule="auto"/>
        <w:jc w:val="both"/>
        <w:rPr>
          <w:rFonts w:ascii="Arial" w:hAnsi="Arial" w:cs="Arial"/>
        </w:rPr>
      </w:pPr>
      <w:r w:rsidRPr="00D7610B">
        <w:rPr>
          <w:rFonts w:ascii="Arial" w:hAnsi="Arial" w:cs="Arial"/>
        </w:rPr>
        <w:t>The iconic Plaza Cinema, an art-deco landmark closed since 1999, has been transformed into a multipurpose community hub operated by YMCA Port Talbot (YMCA Port Talbot, 2021). The redevelopment aims to provide cultural, educational, and recreational facilities, including a 240-seater theatre named the Anthony Hopkins Theatre, a community café, a fitness suite, and business incubation spaces. The project preserves the historical façade of the building, maintaining a connection to the town's heritage while repurposing it for contemporary use.</w:t>
      </w:r>
    </w:p>
    <w:p w14:paraId="3245B20D" w14:textId="77777777" w:rsidR="00D7610B" w:rsidRPr="00D7610B" w:rsidRDefault="00D7610B" w:rsidP="00D7610B">
      <w:pPr>
        <w:spacing w:line="480" w:lineRule="auto"/>
        <w:jc w:val="both"/>
        <w:rPr>
          <w:rFonts w:ascii="Arial" w:hAnsi="Arial" w:cs="Arial"/>
        </w:rPr>
      </w:pPr>
      <w:r w:rsidRPr="00D7610B">
        <w:rPr>
          <w:rFonts w:ascii="Arial" w:hAnsi="Arial" w:cs="Arial"/>
        </w:rPr>
        <w:t>This approach leverages the cultural significance of the Plaza to foster community engagement. By providing spaces for artistic expression, education, and entrepreneurship, the project addresses multiple aspects of community development, including social cohesion, cultural enrichment, and economic growth (YMCA Port Talbot, 2021).</w:t>
      </w:r>
    </w:p>
    <w:p w14:paraId="36CC7630" w14:textId="77777777" w:rsidR="00D7610B" w:rsidRPr="00D7610B" w:rsidRDefault="00D7610B" w:rsidP="00D7610B">
      <w:pPr>
        <w:spacing w:line="480" w:lineRule="auto"/>
        <w:jc w:val="both"/>
        <w:rPr>
          <w:rFonts w:ascii="Arial" w:hAnsi="Arial" w:cs="Arial"/>
        </w:rPr>
      </w:pPr>
    </w:p>
    <w:p w14:paraId="5CDEE4A1" w14:textId="1E2085CA" w:rsidR="00D7610B" w:rsidRPr="00D7610B" w:rsidRDefault="00D7610B" w:rsidP="00D7610B">
      <w:pPr>
        <w:pStyle w:val="ListParagraph"/>
        <w:numPr>
          <w:ilvl w:val="0"/>
          <w:numId w:val="1"/>
        </w:numPr>
        <w:spacing w:line="480" w:lineRule="auto"/>
        <w:jc w:val="both"/>
        <w:rPr>
          <w:rFonts w:ascii="Arial Black" w:hAnsi="Arial Black" w:cs="Arial"/>
        </w:rPr>
      </w:pPr>
      <w:r w:rsidRPr="00D7610B">
        <w:rPr>
          <w:rFonts w:ascii="Arial Black" w:hAnsi="Arial Black" w:cs="Arial"/>
        </w:rPr>
        <w:lastRenderedPageBreak/>
        <w:t>Harbourside Regeneration</w:t>
      </w:r>
    </w:p>
    <w:p w14:paraId="0CFE7B67" w14:textId="77777777" w:rsidR="00D7610B" w:rsidRPr="00D7610B" w:rsidRDefault="00D7610B" w:rsidP="00D7610B">
      <w:pPr>
        <w:spacing w:line="480" w:lineRule="auto"/>
        <w:jc w:val="both"/>
        <w:rPr>
          <w:rFonts w:ascii="Arial" w:hAnsi="Arial" w:cs="Arial"/>
        </w:rPr>
      </w:pPr>
      <w:r w:rsidRPr="00D7610B">
        <w:rPr>
          <w:rFonts w:ascii="Arial" w:hAnsi="Arial" w:cs="Arial"/>
        </w:rPr>
        <w:t>The Harbourside area, formerly docklands, is undergoing significant redevelopment to attract businesses and tourists. The project includes the creation of the Research and Development (R&amp;D) Village, targeting knowledge-based industries to create high-skilled jobs and stimulate economic growth (Neath Port Talbot Council, 2021b). The Harbourside Regeneration also aims to improve public spaces, enhance accessibility, and promote environmental sustainability through the incorporation of green spaces and eco-friendly infrastructure.</w:t>
      </w:r>
    </w:p>
    <w:p w14:paraId="7B9B09A7" w14:textId="77777777" w:rsidR="00D7610B" w:rsidRPr="00D7610B" w:rsidRDefault="00D7610B" w:rsidP="00D7610B">
      <w:pPr>
        <w:spacing w:line="480" w:lineRule="auto"/>
        <w:jc w:val="both"/>
        <w:rPr>
          <w:rFonts w:ascii="Arial" w:hAnsi="Arial" w:cs="Arial"/>
        </w:rPr>
      </w:pPr>
      <w:r w:rsidRPr="00D7610B">
        <w:rPr>
          <w:rFonts w:ascii="Arial" w:hAnsi="Arial" w:cs="Arial"/>
        </w:rPr>
        <w:t>This initiative addresses economic and environmental aspects of community development. By diversifying the local economy and reducing reliance on traditional industries, it aims to increase resilience and adaptability in the face of global economic shifts (Gutierrez-Montes, Emery, &amp; Fernandez-Baca, 2009).</w:t>
      </w:r>
    </w:p>
    <w:p w14:paraId="554A46E1" w14:textId="6032D217" w:rsidR="00D7610B" w:rsidRPr="00D7610B" w:rsidRDefault="00D7610B" w:rsidP="00D7610B">
      <w:pPr>
        <w:pStyle w:val="ListParagraph"/>
        <w:numPr>
          <w:ilvl w:val="0"/>
          <w:numId w:val="1"/>
        </w:numPr>
        <w:spacing w:line="480" w:lineRule="auto"/>
        <w:jc w:val="both"/>
        <w:rPr>
          <w:rFonts w:ascii="Arial Black" w:hAnsi="Arial Black" w:cs="Arial"/>
        </w:rPr>
      </w:pPr>
      <w:r w:rsidRPr="00D7610B">
        <w:rPr>
          <w:rFonts w:ascii="Arial Black" w:hAnsi="Arial Black" w:cs="Arial"/>
        </w:rPr>
        <w:t>Investment in Education</w:t>
      </w:r>
    </w:p>
    <w:p w14:paraId="6DEB6768" w14:textId="77777777" w:rsidR="00D7610B" w:rsidRPr="00D7610B" w:rsidRDefault="00D7610B" w:rsidP="00D7610B">
      <w:pPr>
        <w:spacing w:line="480" w:lineRule="auto"/>
        <w:jc w:val="both"/>
        <w:rPr>
          <w:rFonts w:ascii="Arial" w:hAnsi="Arial" w:cs="Arial"/>
        </w:rPr>
      </w:pPr>
      <w:r w:rsidRPr="00D7610B">
        <w:rPr>
          <w:rFonts w:ascii="Arial" w:hAnsi="Arial" w:cs="Arial"/>
        </w:rPr>
        <w:t>Modernization of educational facilities, such as the rebuilding of Cefn Saeson Comprehensive School, supports the Welsh Government's 21st Century Schools Programme (Welsh Government, 2021). The new school building provides state-of-the-art facilities, including modern classrooms, science laboratories, and sports amenities. By investing in education, the community is enhancing human capital, which is essential for long-term socio-economic development.</w:t>
      </w:r>
    </w:p>
    <w:p w14:paraId="21E85405" w14:textId="77777777" w:rsidR="00D7610B" w:rsidRPr="00D7610B" w:rsidRDefault="00D7610B" w:rsidP="00D7610B">
      <w:pPr>
        <w:spacing w:line="480" w:lineRule="auto"/>
        <w:jc w:val="both"/>
        <w:rPr>
          <w:rFonts w:ascii="Arial" w:hAnsi="Arial" w:cs="Arial"/>
        </w:rPr>
      </w:pPr>
      <w:r w:rsidRPr="00D7610B">
        <w:rPr>
          <w:rFonts w:ascii="Arial" w:hAnsi="Arial" w:cs="Arial"/>
        </w:rPr>
        <w:t>Educational improvements contribute to breaking cycles of deprivation by providing young people with the skills and qualifications needed to access better employment opportunities (Bridger, Brennan, &amp; Luloff, 2011).</w:t>
      </w:r>
    </w:p>
    <w:p w14:paraId="68EC1676" w14:textId="77777777" w:rsidR="00D7610B" w:rsidRPr="00D7610B" w:rsidRDefault="00D7610B" w:rsidP="00D7610B">
      <w:pPr>
        <w:spacing w:line="480" w:lineRule="auto"/>
        <w:jc w:val="both"/>
        <w:rPr>
          <w:rFonts w:ascii="Arial" w:hAnsi="Arial" w:cs="Arial"/>
        </w:rPr>
      </w:pPr>
    </w:p>
    <w:p w14:paraId="4426941E" w14:textId="043E98A9" w:rsidR="00D7610B" w:rsidRPr="00D7610B" w:rsidRDefault="00D7610B" w:rsidP="00D7610B">
      <w:pPr>
        <w:pStyle w:val="ListParagraph"/>
        <w:numPr>
          <w:ilvl w:val="0"/>
          <w:numId w:val="1"/>
        </w:numPr>
        <w:spacing w:line="480" w:lineRule="auto"/>
        <w:jc w:val="both"/>
        <w:rPr>
          <w:rFonts w:ascii="Arial Black" w:hAnsi="Arial Black" w:cs="Arial"/>
        </w:rPr>
      </w:pPr>
      <w:r w:rsidRPr="00D7610B">
        <w:rPr>
          <w:rFonts w:ascii="Arial Black" w:hAnsi="Arial Black" w:cs="Arial"/>
        </w:rPr>
        <w:lastRenderedPageBreak/>
        <w:t>Bay Technology Centre at Baglan Energy Park</w:t>
      </w:r>
    </w:p>
    <w:p w14:paraId="6ECEFC6A" w14:textId="77777777" w:rsidR="00D7610B" w:rsidRPr="00D7610B" w:rsidRDefault="00D7610B" w:rsidP="00D7610B">
      <w:pPr>
        <w:spacing w:line="480" w:lineRule="auto"/>
        <w:jc w:val="both"/>
        <w:rPr>
          <w:rFonts w:ascii="Arial" w:hAnsi="Arial" w:cs="Arial"/>
        </w:rPr>
      </w:pPr>
      <w:r w:rsidRPr="00D7610B">
        <w:rPr>
          <w:rFonts w:ascii="Arial" w:hAnsi="Arial" w:cs="Arial"/>
        </w:rPr>
        <w:t>The Bay Technology Centre is a cutting-edge facility designed to attract technology-driven businesses and startups to the region. It emphasizes sustainability, featuring eco-friendly designs and renewable energy sources (Neath Port Talbot Council, 2021c). The centre provides modern office and laboratory spaces, aiming to foster innovation, entrepreneurship, and the creation of high-skilled jobs.</w:t>
      </w:r>
    </w:p>
    <w:p w14:paraId="0F91B299" w14:textId="77777777" w:rsidR="00D7610B" w:rsidRPr="00D7610B" w:rsidRDefault="00D7610B" w:rsidP="00D7610B">
      <w:pPr>
        <w:spacing w:line="480" w:lineRule="auto"/>
        <w:jc w:val="both"/>
        <w:rPr>
          <w:rFonts w:ascii="Arial" w:hAnsi="Arial" w:cs="Arial"/>
        </w:rPr>
      </w:pPr>
      <w:r w:rsidRPr="00D7610B">
        <w:rPr>
          <w:rFonts w:ascii="Arial" w:hAnsi="Arial" w:cs="Arial"/>
        </w:rPr>
        <w:t>This project aligns with global trends towards a knowledge-based economy and supports the community in transitioning away from traditional manufacturing industries (Green, 2008). It also addresses environmental concerns by promoting sustainable business practices.</w:t>
      </w:r>
    </w:p>
    <w:p w14:paraId="56DB0575" w14:textId="6FF2782C" w:rsidR="00D7610B" w:rsidRPr="00D7610B" w:rsidRDefault="00D7610B" w:rsidP="00D7610B">
      <w:pPr>
        <w:pStyle w:val="ListParagraph"/>
        <w:numPr>
          <w:ilvl w:val="0"/>
          <w:numId w:val="1"/>
        </w:numPr>
        <w:spacing w:line="480" w:lineRule="auto"/>
        <w:jc w:val="both"/>
        <w:rPr>
          <w:rFonts w:ascii="Arial Black" w:hAnsi="Arial Black" w:cs="Arial"/>
        </w:rPr>
      </w:pPr>
      <w:r w:rsidRPr="00D7610B">
        <w:rPr>
          <w:rFonts w:ascii="Arial Black" w:hAnsi="Arial Black" w:cs="Arial"/>
        </w:rPr>
        <w:t>Use of Imagery and Cultural Impact</w:t>
      </w:r>
    </w:p>
    <w:p w14:paraId="1B70B970" w14:textId="77777777" w:rsidR="00D7610B" w:rsidRPr="00D7610B" w:rsidRDefault="00D7610B" w:rsidP="00D7610B">
      <w:pPr>
        <w:spacing w:line="480" w:lineRule="auto"/>
        <w:jc w:val="both"/>
        <w:rPr>
          <w:rFonts w:ascii="Arial" w:hAnsi="Arial" w:cs="Arial"/>
        </w:rPr>
      </w:pPr>
      <w:r w:rsidRPr="00D7610B">
        <w:rPr>
          <w:rFonts w:ascii="Arial" w:hAnsi="Arial" w:cs="Arial"/>
        </w:rPr>
        <w:t>The development projects make strategic use of imagery and cultural references to resonate with the community. The preservation of the Plaza's historical façade is a deliberate choice to maintain a visual connection to the town's past, evoking nostalgia and pride among residents (Wales Online, 2021). Similarly, the Harbourside Regeneration incorporates elements of the area's maritime history, reinforcing local identity.</w:t>
      </w:r>
    </w:p>
    <w:p w14:paraId="24C25655" w14:textId="77777777" w:rsidR="00D7610B" w:rsidRPr="00D7610B" w:rsidRDefault="00D7610B" w:rsidP="00D7610B">
      <w:pPr>
        <w:spacing w:line="480" w:lineRule="auto"/>
        <w:jc w:val="both"/>
        <w:rPr>
          <w:rFonts w:ascii="Arial" w:hAnsi="Arial" w:cs="Arial"/>
        </w:rPr>
      </w:pPr>
      <w:r w:rsidRPr="00D7610B">
        <w:rPr>
          <w:rFonts w:ascii="Arial" w:hAnsi="Arial" w:cs="Arial"/>
        </w:rPr>
        <w:t>Cultural impact is further enhanced through the provision of spaces for arts and cultural activities, such as the theatre in the Plaza. These spaces enable the community to celebrate local talent and heritage, fostering a sense of belonging and cohesion (YMCA Port Talbot, 2021).</w:t>
      </w:r>
    </w:p>
    <w:p w14:paraId="4E76B339" w14:textId="77777777" w:rsidR="00D7610B" w:rsidRPr="00D7610B" w:rsidRDefault="00D7610B" w:rsidP="00D7610B">
      <w:pPr>
        <w:spacing w:line="480" w:lineRule="auto"/>
        <w:jc w:val="both"/>
        <w:rPr>
          <w:rFonts w:ascii="Arial" w:hAnsi="Arial" w:cs="Arial"/>
        </w:rPr>
      </w:pPr>
    </w:p>
    <w:p w14:paraId="1110DED2" w14:textId="77777777" w:rsidR="00D7610B" w:rsidRDefault="00D7610B" w:rsidP="00D7610B">
      <w:pPr>
        <w:spacing w:line="480" w:lineRule="auto"/>
        <w:jc w:val="both"/>
        <w:rPr>
          <w:rFonts w:ascii="Arial" w:hAnsi="Arial" w:cs="Arial"/>
        </w:rPr>
      </w:pPr>
    </w:p>
    <w:p w14:paraId="3AC68253" w14:textId="1CC01C78" w:rsidR="00D7610B" w:rsidRPr="00D7610B" w:rsidRDefault="00D7610B" w:rsidP="00D7610B">
      <w:pPr>
        <w:spacing w:line="480" w:lineRule="auto"/>
        <w:jc w:val="both"/>
        <w:rPr>
          <w:rFonts w:ascii="Arial Black" w:hAnsi="Arial Black" w:cs="Arial"/>
        </w:rPr>
      </w:pPr>
      <w:r w:rsidRPr="00D7610B">
        <w:rPr>
          <w:rFonts w:ascii="Arial Black" w:hAnsi="Arial Black" w:cs="Arial"/>
        </w:rPr>
        <w:lastRenderedPageBreak/>
        <w:t>Societal and Economic Impact</w:t>
      </w:r>
    </w:p>
    <w:p w14:paraId="6617188E" w14:textId="77777777" w:rsidR="00D7610B" w:rsidRPr="00D7610B" w:rsidRDefault="00D7610B" w:rsidP="00D7610B">
      <w:pPr>
        <w:spacing w:line="480" w:lineRule="auto"/>
        <w:jc w:val="both"/>
        <w:rPr>
          <w:rFonts w:ascii="Arial" w:hAnsi="Arial" w:cs="Arial"/>
        </w:rPr>
      </w:pPr>
      <w:r w:rsidRPr="00D7610B">
        <w:rPr>
          <w:rFonts w:ascii="Arial" w:hAnsi="Arial" w:cs="Arial"/>
        </w:rPr>
        <w:t>The initiatives have significant societal and economic implications:</w:t>
      </w:r>
    </w:p>
    <w:p w14:paraId="281A100B" w14:textId="77777777" w:rsidR="00D7610B" w:rsidRPr="00D7610B" w:rsidRDefault="00D7610B" w:rsidP="00D7610B">
      <w:pPr>
        <w:pStyle w:val="ListParagraph"/>
        <w:numPr>
          <w:ilvl w:val="0"/>
          <w:numId w:val="2"/>
        </w:numPr>
        <w:spacing w:line="480" w:lineRule="auto"/>
        <w:jc w:val="both"/>
        <w:rPr>
          <w:rFonts w:ascii="Arial" w:hAnsi="Arial" w:cs="Arial"/>
        </w:rPr>
      </w:pPr>
      <w:r w:rsidRPr="00D7610B">
        <w:rPr>
          <w:rFonts w:ascii="Arial" w:hAnsi="Arial" w:cs="Arial"/>
        </w:rPr>
        <w:t>Job Creation: The projects are expected to create numerous jobs in construction, technology, education, and service sectors, addressing unemployment issues (Neath Port Talbot Council, 2021a).</w:t>
      </w:r>
    </w:p>
    <w:p w14:paraId="3C41C813" w14:textId="77777777" w:rsidR="00D7610B" w:rsidRPr="00D7610B" w:rsidRDefault="00D7610B" w:rsidP="00D7610B">
      <w:pPr>
        <w:pStyle w:val="ListParagraph"/>
        <w:numPr>
          <w:ilvl w:val="0"/>
          <w:numId w:val="2"/>
        </w:numPr>
        <w:spacing w:line="480" w:lineRule="auto"/>
        <w:jc w:val="both"/>
        <w:rPr>
          <w:rFonts w:ascii="Arial" w:hAnsi="Arial" w:cs="Arial"/>
        </w:rPr>
      </w:pPr>
      <w:r w:rsidRPr="00D7610B">
        <w:rPr>
          <w:rFonts w:ascii="Arial" w:hAnsi="Arial" w:cs="Arial"/>
        </w:rPr>
        <w:t>Social Cohesion: Community spaces like the Plaza and improved public areas in Harbourside provide venues for social interaction, reducing isolation and strengthening community ties (Bridger et al., 2011).</w:t>
      </w:r>
    </w:p>
    <w:p w14:paraId="5DF5ACEB" w14:textId="77777777" w:rsidR="00D7610B" w:rsidRPr="00D7610B" w:rsidRDefault="00D7610B" w:rsidP="00D7610B">
      <w:pPr>
        <w:pStyle w:val="ListParagraph"/>
        <w:numPr>
          <w:ilvl w:val="0"/>
          <w:numId w:val="2"/>
        </w:numPr>
        <w:spacing w:line="480" w:lineRule="auto"/>
        <w:jc w:val="both"/>
        <w:rPr>
          <w:rFonts w:ascii="Arial" w:hAnsi="Arial" w:cs="Arial"/>
        </w:rPr>
      </w:pPr>
      <w:r w:rsidRPr="00D7610B">
        <w:rPr>
          <w:rFonts w:ascii="Arial" w:hAnsi="Arial" w:cs="Arial"/>
        </w:rPr>
        <w:t>Economic Diversification: By attracting new industries, the community reduces its dependence on traditional sectors, increasing economic resilience (Gutierrez-Montes et al., 2009).</w:t>
      </w:r>
    </w:p>
    <w:p w14:paraId="1744AA0D" w14:textId="77777777" w:rsidR="00D7610B" w:rsidRPr="00D7610B" w:rsidRDefault="00D7610B" w:rsidP="00D7610B">
      <w:pPr>
        <w:pStyle w:val="ListParagraph"/>
        <w:numPr>
          <w:ilvl w:val="0"/>
          <w:numId w:val="2"/>
        </w:numPr>
        <w:spacing w:line="480" w:lineRule="auto"/>
        <w:jc w:val="both"/>
        <w:rPr>
          <w:rFonts w:ascii="Arial" w:hAnsi="Arial" w:cs="Arial"/>
        </w:rPr>
      </w:pPr>
      <w:r w:rsidRPr="00D7610B">
        <w:rPr>
          <w:rFonts w:ascii="Arial" w:hAnsi="Arial" w:cs="Arial"/>
        </w:rPr>
        <w:t>Improved Quality of Life: Enhanced facilities and services contribute to a better standard of living, potentially attracting new residents and investment (Green, 2008).</w:t>
      </w:r>
    </w:p>
    <w:p w14:paraId="6AF4617D" w14:textId="77777777" w:rsidR="00D7610B" w:rsidRPr="005546C5" w:rsidRDefault="00D7610B" w:rsidP="00D7610B">
      <w:pPr>
        <w:spacing w:line="480" w:lineRule="auto"/>
        <w:jc w:val="both"/>
        <w:rPr>
          <w:rFonts w:ascii="Arial Black" w:hAnsi="Arial Black" w:cs="Arial"/>
        </w:rPr>
      </w:pPr>
      <w:r w:rsidRPr="005546C5">
        <w:rPr>
          <w:rFonts w:ascii="Arial Black" w:hAnsi="Arial Black" w:cs="Arial"/>
        </w:rPr>
        <w:t>Political and Environmental Impact</w:t>
      </w:r>
    </w:p>
    <w:p w14:paraId="6AF9A9AF" w14:textId="77777777" w:rsidR="00D7610B" w:rsidRPr="00D7610B" w:rsidRDefault="00D7610B" w:rsidP="00D7610B">
      <w:pPr>
        <w:spacing w:line="480" w:lineRule="auto"/>
        <w:jc w:val="both"/>
        <w:rPr>
          <w:rFonts w:ascii="Arial" w:hAnsi="Arial" w:cs="Arial"/>
        </w:rPr>
      </w:pPr>
      <w:r w:rsidRPr="00D7610B">
        <w:rPr>
          <w:rFonts w:ascii="Arial" w:hAnsi="Arial" w:cs="Arial"/>
        </w:rPr>
        <w:t>Politically, the projects demonstrate a commitment by local authorities and the Welsh Government to invest in the community's future. They align with policy objectives aimed at regional development, social inclusion, and economic regeneration (Welsh Government, 2021).</w:t>
      </w:r>
    </w:p>
    <w:p w14:paraId="2E6C4F7E" w14:textId="77777777" w:rsidR="00D7610B" w:rsidRPr="00D7610B" w:rsidRDefault="00D7610B" w:rsidP="00D7610B">
      <w:pPr>
        <w:spacing w:line="480" w:lineRule="auto"/>
        <w:jc w:val="both"/>
        <w:rPr>
          <w:rFonts w:ascii="Arial" w:hAnsi="Arial" w:cs="Arial"/>
        </w:rPr>
      </w:pPr>
      <w:r w:rsidRPr="00D7610B">
        <w:rPr>
          <w:rFonts w:ascii="Arial" w:hAnsi="Arial" w:cs="Arial"/>
        </w:rPr>
        <w:t xml:space="preserve">Environmentally, projects like the Bay Technology Centre set a precedent for sustainable development. Incorporating renewable energy sources and eco-friendly designs reduces the community's carbon footprint and promotes environmental stewardship (Neath Port Talbot Council, 2021c). This approach reflects a growing </w:t>
      </w:r>
      <w:r w:rsidRPr="00D7610B">
        <w:rPr>
          <w:rFonts w:ascii="Arial" w:hAnsi="Arial" w:cs="Arial"/>
        </w:rPr>
        <w:lastRenderedPageBreak/>
        <w:t>recognition of the importance of sustainability in community development (Gutierrez-Montes et al., 2009).</w:t>
      </w:r>
    </w:p>
    <w:p w14:paraId="025216AC" w14:textId="77777777" w:rsidR="00D7610B" w:rsidRPr="005546C5" w:rsidRDefault="00D7610B" w:rsidP="00D7610B">
      <w:pPr>
        <w:spacing w:line="480" w:lineRule="auto"/>
        <w:jc w:val="both"/>
        <w:rPr>
          <w:rFonts w:ascii="Arial Black" w:hAnsi="Arial Black" w:cs="Arial"/>
        </w:rPr>
      </w:pPr>
      <w:r w:rsidRPr="005546C5">
        <w:rPr>
          <w:rFonts w:ascii="Arial Black" w:hAnsi="Arial Black" w:cs="Arial"/>
        </w:rPr>
        <w:t>Tailoring Messages to the Community Context</w:t>
      </w:r>
    </w:p>
    <w:p w14:paraId="05DE3E05" w14:textId="77777777" w:rsidR="00D7610B" w:rsidRPr="00D7610B" w:rsidRDefault="00D7610B" w:rsidP="00D7610B">
      <w:pPr>
        <w:spacing w:line="480" w:lineRule="auto"/>
        <w:jc w:val="both"/>
        <w:rPr>
          <w:rFonts w:ascii="Arial" w:hAnsi="Arial" w:cs="Arial"/>
        </w:rPr>
      </w:pPr>
      <w:r w:rsidRPr="00D7610B">
        <w:rPr>
          <w:rFonts w:ascii="Arial" w:hAnsi="Arial" w:cs="Arial"/>
        </w:rPr>
        <w:t>Effective communication is essential in fostering community support and participation. Messages are tailored to resonate with the community's values and aspirations:</w:t>
      </w:r>
    </w:p>
    <w:p w14:paraId="5D015E8F" w14:textId="77777777" w:rsidR="00D7610B" w:rsidRPr="005546C5" w:rsidRDefault="00D7610B" w:rsidP="005546C5">
      <w:pPr>
        <w:pStyle w:val="ListParagraph"/>
        <w:numPr>
          <w:ilvl w:val="0"/>
          <w:numId w:val="3"/>
        </w:numPr>
        <w:spacing w:line="480" w:lineRule="auto"/>
        <w:jc w:val="both"/>
        <w:rPr>
          <w:rFonts w:ascii="Arial" w:hAnsi="Arial" w:cs="Arial"/>
        </w:rPr>
      </w:pPr>
      <w:r w:rsidRPr="005546C5">
        <w:rPr>
          <w:rFonts w:ascii="Arial" w:hAnsi="Arial" w:cs="Arial"/>
        </w:rPr>
        <w:t>Emphasizing Heritage: Communications highlight the preservation of historical sites, appealing to the community's pride in its heritage (Wales Online, 2021).</w:t>
      </w:r>
    </w:p>
    <w:p w14:paraId="384E284C" w14:textId="77777777" w:rsidR="00D7610B" w:rsidRPr="005546C5" w:rsidRDefault="00D7610B" w:rsidP="005546C5">
      <w:pPr>
        <w:pStyle w:val="ListParagraph"/>
        <w:numPr>
          <w:ilvl w:val="0"/>
          <w:numId w:val="3"/>
        </w:numPr>
        <w:spacing w:line="480" w:lineRule="auto"/>
        <w:jc w:val="both"/>
        <w:rPr>
          <w:rFonts w:ascii="Arial" w:hAnsi="Arial" w:cs="Arial"/>
        </w:rPr>
      </w:pPr>
      <w:r w:rsidRPr="005546C5">
        <w:rPr>
          <w:rFonts w:ascii="Arial" w:hAnsi="Arial" w:cs="Arial"/>
        </w:rPr>
        <w:t>Focusing on Benefits: Messages emphasize tangible benefits such as job opportunities, improved facilities, and enhanced quality of life, addressing immediate concerns of residents (Neath Port Talbot Council, 2021a).</w:t>
      </w:r>
    </w:p>
    <w:p w14:paraId="4A3EFCB6" w14:textId="77777777" w:rsidR="00D7610B" w:rsidRPr="005546C5" w:rsidRDefault="00D7610B" w:rsidP="005546C5">
      <w:pPr>
        <w:pStyle w:val="ListParagraph"/>
        <w:numPr>
          <w:ilvl w:val="0"/>
          <w:numId w:val="3"/>
        </w:numPr>
        <w:spacing w:line="480" w:lineRule="auto"/>
        <w:jc w:val="both"/>
        <w:rPr>
          <w:rFonts w:ascii="Arial" w:hAnsi="Arial" w:cs="Arial"/>
        </w:rPr>
      </w:pPr>
      <w:r w:rsidRPr="005546C5">
        <w:rPr>
          <w:rFonts w:ascii="Arial" w:hAnsi="Arial" w:cs="Arial"/>
        </w:rPr>
        <w:t>Inclusive Language: Efforts are made to use language that is accessible and inclusive, ensuring that all community members understand and feel included in the initiatives (Green, 2008).</w:t>
      </w:r>
    </w:p>
    <w:p w14:paraId="3D969F66" w14:textId="77777777" w:rsidR="00D7610B" w:rsidRPr="005546C5" w:rsidRDefault="00D7610B" w:rsidP="005546C5">
      <w:pPr>
        <w:pStyle w:val="ListParagraph"/>
        <w:numPr>
          <w:ilvl w:val="0"/>
          <w:numId w:val="3"/>
        </w:numPr>
        <w:spacing w:line="480" w:lineRule="auto"/>
        <w:jc w:val="both"/>
        <w:rPr>
          <w:rFonts w:ascii="Arial" w:hAnsi="Arial" w:cs="Arial"/>
        </w:rPr>
      </w:pPr>
      <w:r w:rsidRPr="005546C5">
        <w:rPr>
          <w:rFonts w:ascii="Arial" w:hAnsi="Arial" w:cs="Arial"/>
        </w:rPr>
        <w:t>Engaging Local Influencers: Involving respected local figures, such as actor Michael Sheen, in promotional activities helps build trust and credibility (BBC News, 2019).</w:t>
      </w:r>
    </w:p>
    <w:p w14:paraId="51C5CC1A" w14:textId="524C8986" w:rsidR="00D7610B" w:rsidRPr="005546C5" w:rsidRDefault="00D7610B" w:rsidP="00D7610B">
      <w:pPr>
        <w:spacing w:line="480" w:lineRule="auto"/>
        <w:jc w:val="both"/>
        <w:rPr>
          <w:rFonts w:ascii="Arial Black" w:hAnsi="Arial Black" w:cs="Arial"/>
        </w:rPr>
      </w:pPr>
      <w:r w:rsidRPr="005546C5">
        <w:rPr>
          <w:rFonts w:ascii="Arial Black" w:hAnsi="Arial Black" w:cs="Arial"/>
        </w:rPr>
        <w:t xml:space="preserve">Approaches to </w:t>
      </w:r>
      <w:r w:rsidR="005546C5" w:rsidRPr="005546C5">
        <w:rPr>
          <w:rFonts w:ascii="Arial Black" w:hAnsi="Arial Black" w:cs="Arial"/>
        </w:rPr>
        <w:t>Behavioural</w:t>
      </w:r>
      <w:r w:rsidRPr="005546C5">
        <w:rPr>
          <w:rFonts w:ascii="Arial Black" w:hAnsi="Arial Black" w:cs="Arial"/>
        </w:rPr>
        <w:t xml:space="preserve"> Change</w:t>
      </w:r>
    </w:p>
    <w:p w14:paraId="5F8F6D3D" w14:textId="39348AEF" w:rsidR="00D7610B" w:rsidRPr="00D7610B" w:rsidRDefault="005546C5" w:rsidP="00D7610B">
      <w:pPr>
        <w:spacing w:line="480" w:lineRule="auto"/>
        <w:jc w:val="both"/>
        <w:rPr>
          <w:rFonts w:ascii="Arial" w:hAnsi="Arial" w:cs="Arial"/>
        </w:rPr>
      </w:pPr>
      <w:r w:rsidRPr="00D7610B">
        <w:rPr>
          <w:rFonts w:ascii="Arial" w:hAnsi="Arial" w:cs="Arial"/>
        </w:rPr>
        <w:t>Behavioural</w:t>
      </w:r>
      <w:r w:rsidR="00D7610B" w:rsidRPr="00D7610B">
        <w:rPr>
          <w:rFonts w:ascii="Arial" w:hAnsi="Arial" w:cs="Arial"/>
        </w:rPr>
        <w:t xml:space="preserve"> change is facilitated through several strategies:</w:t>
      </w:r>
    </w:p>
    <w:p w14:paraId="02EEEEDE" w14:textId="77777777" w:rsidR="005546C5" w:rsidRPr="005546C5" w:rsidRDefault="00D7610B" w:rsidP="005546C5">
      <w:pPr>
        <w:pStyle w:val="ListParagraph"/>
        <w:numPr>
          <w:ilvl w:val="0"/>
          <w:numId w:val="4"/>
        </w:numPr>
        <w:spacing w:line="480" w:lineRule="auto"/>
        <w:jc w:val="both"/>
        <w:rPr>
          <w:rFonts w:ascii="Arial" w:hAnsi="Arial" w:cs="Arial"/>
        </w:rPr>
      </w:pPr>
      <w:r w:rsidRPr="005546C5">
        <w:rPr>
          <w:rFonts w:ascii="Arial" w:hAnsi="Arial" w:cs="Arial"/>
        </w:rPr>
        <w:t>Community Engagement: Active involvement of residents in planning and decision-making processes increases ownership and reduces resistance to change (Bridger et al., 2011). Public consultations and workshops are held to gather input and feedback.</w:t>
      </w:r>
    </w:p>
    <w:p w14:paraId="12123BA8" w14:textId="39656C0D" w:rsidR="00D7610B" w:rsidRPr="005546C5" w:rsidRDefault="00D7610B" w:rsidP="005546C5">
      <w:pPr>
        <w:pStyle w:val="ListParagraph"/>
        <w:numPr>
          <w:ilvl w:val="0"/>
          <w:numId w:val="4"/>
        </w:numPr>
        <w:spacing w:line="480" w:lineRule="auto"/>
        <w:jc w:val="both"/>
        <w:rPr>
          <w:rFonts w:ascii="Arial" w:hAnsi="Arial" w:cs="Arial"/>
        </w:rPr>
      </w:pPr>
      <w:r w:rsidRPr="005546C5">
        <w:rPr>
          <w:rFonts w:ascii="Arial" w:hAnsi="Arial" w:cs="Arial"/>
        </w:rPr>
        <w:lastRenderedPageBreak/>
        <w:t>Education and Skills Training: Partnerships with educational institutions like Neath Port Talbot College provide training programs aligned with the needs of new industries, preparing the workforce for emerging opportunities (Neath Port Talbot College, 2021).</w:t>
      </w:r>
    </w:p>
    <w:p w14:paraId="073C2156" w14:textId="0D397830" w:rsidR="00D7610B" w:rsidRPr="005546C5" w:rsidRDefault="00D7610B" w:rsidP="00D7610B">
      <w:pPr>
        <w:pStyle w:val="ListParagraph"/>
        <w:numPr>
          <w:ilvl w:val="0"/>
          <w:numId w:val="4"/>
        </w:numPr>
        <w:spacing w:line="480" w:lineRule="auto"/>
        <w:jc w:val="both"/>
        <w:rPr>
          <w:rFonts w:ascii="Arial" w:hAnsi="Arial" w:cs="Arial"/>
        </w:rPr>
      </w:pPr>
      <w:r w:rsidRPr="005546C5">
        <w:rPr>
          <w:rFonts w:ascii="Arial" w:hAnsi="Arial" w:cs="Arial"/>
        </w:rPr>
        <w:t>Social Marketing Campaigns: Initiatives like the "Buy Local" campaign encourage residents to support local businesses, strengthening the local economy and fostering community solidarity (Neath Inspired, 2021).</w:t>
      </w:r>
    </w:p>
    <w:p w14:paraId="28D7A2DB" w14:textId="77777777" w:rsidR="00D7610B" w:rsidRPr="005546C5" w:rsidRDefault="00D7610B" w:rsidP="005546C5">
      <w:pPr>
        <w:pStyle w:val="ListParagraph"/>
        <w:numPr>
          <w:ilvl w:val="0"/>
          <w:numId w:val="4"/>
        </w:numPr>
        <w:spacing w:line="480" w:lineRule="auto"/>
        <w:jc w:val="both"/>
        <w:rPr>
          <w:rFonts w:ascii="Arial" w:hAnsi="Arial" w:cs="Arial"/>
        </w:rPr>
      </w:pPr>
      <w:r w:rsidRPr="005546C5">
        <w:rPr>
          <w:rFonts w:ascii="Arial" w:hAnsi="Arial" w:cs="Arial"/>
        </w:rPr>
        <w:t>Awareness Programs: Environmental awareness initiatives promote sustainable practices among residents, supporting the environmental objectives of the development projects (Neath Port Talbot Council, 2021c).</w:t>
      </w:r>
    </w:p>
    <w:p w14:paraId="60FDEE41" w14:textId="77777777" w:rsidR="00D7610B" w:rsidRPr="005546C5" w:rsidRDefault="00D7610B" w:rsidP="00D7610B">
      <w:pPr>
        <w:spacing w:line="480" w:lineRule="auto"/>
        <w:jc w:val="both"/>
        <w:rPr>
          <w:rFonts w:ascii="Arial Black" w:hAnsi="Arial Black" w:cs="Arial"/>
        </w:rPr>
      </w:pPr>
      <w:r w:rsidRPr="005546C5">
        <w:rPr>
          <w:rFonts w:ascii="Arial Black" w:hAnsi="Arial Black" w:cs="Arial"/>
        </w:rPr>
        <w:t>Challenges Faced</w:t>
      </w:r>
    </w:p>
    <w:p w14:paraId="02AFC054" w14:textId="77777777" w:rsidR="00D7610B" w:rsidRPr="00D7610B" w:rsidRDefault="00D7610B" w:rsidP="00D7610B">
      <w:pPr>
        <w:spacing w:line="480" w:lineRule="auto"/>
        <w:jc w:val="both"/>
        <w:rPr>
          <w:rFonts w:ascii="Arial" w:hAnsi="Arial" w:cs="Arial"/>
        </w:rPr>
      </w:pPr>
      <w:r w:rsidRPr="00D7610B">
        <w:rPr>
          <w:rFonts w:ascii="Arial" w:hAnsi="Arial" w:cs="Arial"/>
        </w:rPr>
        <w:t>Despite the positive impacts, the community faces several challenges:</w:t>
      </w:r>
    </w:p>
    <w:p w14:paraId="5129E49E" w14:textId="77777777" w:rsidR="00D7610B" w:rsidRPr="005546C5" w:rsidRDefault="00D7610B" w:rsidP="005546C5">
      <w:pPr>
        <w:pStyle w:val="ListParagraph"/>
        <w:numPr>
          <w:ilvl w:val="0"/>
          <w:numId w:val="5"/>
        </w:numPr>
        <w:spacing w:line="480" w:lineRule="auto"/>
        <w:jc w:val="both"/>
        <w:rPr>
          <w:rFonts w:ascii="Arial" w:hAnsi="Arial" w:cs="Arial"/>
        </w:rPr>
      </w:pPr>
      <w:r w:rsidRPr="005546C5">
        <w:rPr>
          <w:rFonts w:ascii="Arial" w:hAnsi="Arial" w:cs="Arial"/>
        </w:rPr>
        <w:t>Resistance to Change: Some residents may fear that developments will lead to gentrification or erode traditional community values. Addressing these concerns requires ongoing communication and efforts to demonstrate respect for local culture (Wilkinson, 1991).</w:t>
      </w:r>
    </w:p>
    <w:p w14:paraId="2A5FF982" w14:textId="77777777" w:rsidR="00D7610B" w:rsidRPr="005546C5" w:rsidRDefault="00D7610B" w:rsidP="005546C5">
      <w:pPr>
        <w:pStyle w:val="ListParagraph"/>
        <w:numPr>
          <w:ilvl w:val="0"/>
          <w:numId w:val="5"/>
        </w:numPr>
        <w:spacing w:line="480" w:lineRule="auto"/>
        <w:jc w:val="both"/>
        <w:rPr>
          <w:rFonts w:ascii="Arial" w:hAnsi="Arial" w:cs="Arial"/>
        </w:rPr>
      </w:pPr>
      <w:r w:rsidRPr="005546C5">
        <w:rPr>
          <w:rFonts w:ascii="Arial" w:hAnsi="Arial" w:cs="Arial"/>
        </w:rPr>
        <w:t>Economic Inequality: There is a risk that benefits may not be evenly distributed, with marginalized groups potentially missing out on new opportunities. Targeted interventions are necessary to ensure inclusivity (Green, 2008).</w:t>
      </w:r>
    </w:p>
    <w:p w14:paraId="299E9FB8" w14:textId="77777777" w:rsidR="00D7610B" w:rsidRPr="005546C5" w:rsidRDefault="00D7610B" w:rsidP="005546C5">
      <w:pPr>
        <w:pStyle w:val="ListParagraph"/>
        <w:numPr>
          <w:ilvl w:val="0"/>
          <w:numId w:val="5"/>
        </w:numPr>
        <w:spacing w:line="480" w:lineRule="auto"/>
        <w:jc w:val="both"/>
        <w:rPr>
          <w:rFonts w:ascii="Arial" w:hAnsi="Arial" w:cs="Arial"/>
        </w:rPr>
      </w:pPr>
      <w:r w:rsidRPr="005546C5">
        <w:rPr>
          <w:rFonts w:ascii="Arial" w:hAnsi="Arial" w:cs="Arial"/>
        </w:rPr>
        <w:t>Sustainability Issues: Balancing economic growth with environmental protection is complex. Continuous monitoring and adaptation are required to mitigate negative environmental impacts (Gutierrez-Montes et al., 2009).</w:t>
      </w:r>
    </w:p>
    <w:p w14:paraId="45622B1D" w14:textId="77777777" w:rsidR="00D7610B" w:rsidRPr="00D7610B" w:rsidRDefault="00D7610B" w:rsidP="00D7610B">
      <w:pPr>
        <w:spacing w:line="480" w:lineRule="auto"/>
        <w:jc w:val="both"/>
        <w:rPr>
          <w:rFonts w:ascii="Arial" w:hAnsi="Arial" w:cs="Arial"/>
        </w:rPr>
      </w:pPr>
    </w:p>
    <w:p w14:paraId="621CC622" w14:textId="77777777" w:rsidR="00D7610B" w:rsidRPr="005546C5" w:rsidRDefault="00D7610B" w:rsidP="005546C5">
      <w:pPr>
        <w:pStyle w:val="ListParagraph"/>
        <w:numPr>
          <w:ilvl w:val="0"/>
          <w:numId w:val="5"/>
        </w:numPr>
        <w:spacing w:line="480" w:lineRule="auto"/>
        <w:jc w:val="both"/>
        <w:rPr>
          <w:rFonts w:ascii="Arial" w:hAnsi="Arial" w:cs="Arial"/>
        </w:rPr>
      </w:pPr>
      <w:r w:rsidRPr="005546C5">
        <w:rPr>
          <w:rFonts w:ascii="Arial" w:hAnsi="Arial" w:cs="Arial"/>
        </w:rPr>
        <w:lastRenderedPageBreak/>
        <w:t>Resource Limitations: Funding constraints and resource allocation can impede project progress. Securing sufficient investment and managing resources effectively is critical (Neath Port Talbot Council, 2021a).</w:t>
      </w:r>
    </w:p>
    <w:p w14:paraId="1E66C5A7" w14:textId="77777777" w:rsidR="00D7610B" w:rsidRPr="005546C5" w:rsidRDefault="00D7610B" w:rsidP="00D7610B">
      <w:pPr>
        <w:spacing w:line="480" w:lineRule="auto"/>
        <w:jc w:val="both"/>
        <w:rPr>
          <w:rFonts w:ascii="Arial Black" w:hAnsi="Arial Black" w:cs="Arial"/>
        </w:rPr>
      </w:pPr>
      <w:r w:rsidRPr="005546C5">
        <w:rPr>
          <w:rFonts w:ascii="Arial Black" w:hAnsi="Arial Black" w:cs="Arial"/>
        </w:rPr>
        <w:t>Evaluation of Community Development Processes</w:t>
      </w:r>
    </w:p>
    <w:p w14:paraId="4BDAACB9" w14:textId="77777777" w:rsidR="00D7610B" w:rsidRPr="00D7610B" w:rsidRDefault="00D7610B" w:rsidP="00D7610B">
      <w:pPr>
        <w:spacing w:line="480" w:lineRule="auto"/>
        <w:jc w:val="both"/>
        <w:rPr>
          <w:rFonts w:ascii="Arial" w:hAnsi="Arial" w:cs="Arial"/>
        </w:rPr>
      </w:pPr>
      <w:r w:rsidRPr="00D7610B">
        <w:rPr>
          <w:rFonts w:ascii="Arial" w:hAnsi="Arial" w:cs="Arial"/>
        </w:rPr>
        <w:t>The community development processes exhibit strengths in several areas:</w:t>
      </w:r>
    </w:p>
    <w:p w14:paraId="5378E373" w14:textId="77777777" w:rsidR="00D7610B" w:rsidRPr="005546C5" w:rsidRDefault="00D7610B" w:rsidP="005546C5">
      <w:pPr>
        <w:pStyle w:val="ListParagraph"/>
        <w:numPr>
          <w:ilvl w:val="0"/>
          <w:numId w:val="6"/>
        </w:numPr>
        <w:spacing w:line="480" w:lineRule="auto"/>
        <w:jc w:val="both"/>
        <w:rPr>
          <w:rFonts w:ascii="Arial" w:hAnsi="Arial" w:cs="Arial"/>
        </w:rPr>
      </w:pPr>
      <w:r w:rsidRPr="005546C5">
        <w:rPr>
          <w:rFonts w:ascii="Arial" w:hAnsi="Arial" w:cs="Arial"/>
        </w:rPr>
        <w:t>Systems-Level Approach: By addressing multiple facets of community capital—human, social, financial, built, natural, and cultural—the initiatives align with the sustainable livelihoods approach, promoting holistic development (Gutierrez-Montes et al., 2009).</w:t>
      </w:r>
    </w:p>
    <w:p w14:paraId="16C4CC21" w14:textId="77777777" w:rsidR="00D7610B" w:rsidRPr="005546C5" w:rsidRDefault="00D7610B" w:rsidP="005546C5">
      <w:pPr>
        <w:pStyle w:val="ListParagraph"/>
        <w:numPr>
          <w:ilvl w:val="0"/>
          <w:numId w:val="6"/>
        </w:numPr>
        <w:spacing w:line="480" w:lineRule="auto"/>
        <w:jc w:val="both"/>
        <w:rPr>
          <w:rFonts w:ascii="Arial" w:hAnsi="Arial" w:cs="Arial"/>
        </w:rPr>
      </w:pPr>
      <w:r w:rsidRPr="005546C5">
        <w:rPr>
          <w:rFonts w:ascii="Arial" w:hAnsi="Arial" w:cs="Arial"/>
        </w:rPr>
        <w:t>Interactional Framework: The emphasis on social interactions and networks supports the development of community agency and collective action (Bridger et al., 2011).</w:t>
      </w:r>
    </w:p>
    <w:p w14:paraId="6E1D244A" w14:textId="77777777" w:rsidR="00D7610B" w:rsidRPr="005546C5" w:rsidRDefault="00D7610B" w:rsidP="005546C5">
      <w:pPr>
        <w:pStyle w:val="ListParagraph"/>
        <w:numPr>
          <w:ilvl w:val="0"/>
          <w:numId w:val="6"/>
        </w:numPr>
        <w:spacing w:line="480" w:lineRule="auto"/>
        <w:jc w:val="both"/>
        <w:rPr>
          <w:rFonts w:ascii="Arial" w:hAnsi="Arial" w:cs="Arial"/>
        </w:rPr>
      </w:pPr>
      <w:r w:rsidRPr="005546C5">
        <w:rPr>
          <w:rFonts w:ascii="Arial" w:hAnsi="Arial" w:cs="Arial"/>
        </w:rPr>
        <w:t>Participatory Planning: Involving community members in planning ensures that projects are responsive to local needs and priorities, enhancing legitimacy and effectiveness (Green, 2008).</w:t>
      </w:r>
    </w:p>
    <w:p w14:paraId="56B90A77" w14:textId="77777777" w:rsidR="00D7610B" w:rsidRPr="005546C5" w:rsidRDefault="00D7610B" w:rsidP="00D7610B">
      <w:pPr>
        <w:spacing w:line="480" w:lineRule="auto"/>
        <w:jc w:val="both"/>
        <w:rPr>
          <w:rFonts w:ascii="Arial Black" w:hAnsi="Arial Black" w:cs="Arial"/>
        </w:rPr>
      </w:pPr>
      <w:r w:rsidRPr="005546C5">
        <w:rPr>
          <w:rFonts w:ascii="Arial Black" w:hAnsi="Arial Black" w:cs="Arial"/>
        </w:rPr>
        <w:t>However, there are areas for improvement:</w:t>
      </w:r>
    </w:p>
    <w:p w14:paraId="2E6C5F1B" w14:textId="77777777" w:rsidR="00D7610B" w:rsidRPr="005546C5" w:rsidRDefault="00D7610B" w:rsidP="005546C5">
      <w:pPr>
        <w:pStyle w:val="ListParagraph"/>
        <w:numPr>
          <w:ilvl w:val="0"/>
          <w:numId w:val="7"/>
        </w:numPr>
        <w:spacing w:line="480" w:lineRule="auto"/>
        <w:jc w:val="both"/>
        <w:rPr>
          <w:rFonts w:ascii="Arial" w:hAnsi="Arial" w:cs="Arial"/>
        </w:rPr>
      </w:pPr>
      <w:r w:rsidRPr="005546C5">
        <w:rPr>
          <w:rFonts w:ascii="Arial" w:hAnsi="Arial" w:cs="Arial"/>
        </w:rPr>
        <w:t>Enhanced Inclusivity and Equity: Greater efforts are needed to engage underrepresented groups and address inequalities. This may involve outreach programs, tailored support, and policies that promote equitable access to opportunities (Green, 2008).</w:t>
      </w:r>
    </w:p>
    <w:p w14:paraId="0E8966B4" w14:textId="77777777" w:rsidR="00D7610B" w:rsidRPr="00D7610B" w:rsidRDefault="00D7610B" w:rsidP="00D7610B">
      <w:pPr>
        <w:spacing w:line="480" w:lineRule="auto"/>
        <w:jc w:val="both"/>
        <w:rPr>
          <w:rFonts w:ascii="Arial" w:hAnsi="Arial" w:cs="Arial"/>
        </w:rPr>
      </w:pPr>
    </w:p>
    <w:p w14:paraId="4835BD57" w14:textId="77777777" w:rsidR="00D7610B" w:rsidRPr="005546C5" w:rsidRDefault="00D7610B" w:rsidP="005546C5">
      <w:pPr>
        <w:pStyle w:val="ListParagraph"/>
        <w:numPr>
          <w:ilvl w:val="0"/>
          <w:numId w:val="7"/>
        </w:numPr>
        <w:spacing w:line="480" w:lineRule="auto"/>
        <w:jc w:val="both"/>
        <w:rPr>
          <w:rFonts w:ascii="Arial" w:hAnsi="Arial" w:cs="Arial"/>
        </w:rPr>
      </w:pPr>
      <w:r w:rsidRPr="005546C5">
        <w:rPr>
          <w:rFonts w:ascii="Arial" w:hAnsi="Arial" w:cs="Arial"/>
        </w:rPr>
        <w:lastRenderedPageBreak/>
        <w:t>Long-Term Sustainability: Establishing mechanisms for long-term monitoring and evaluation can help ensure that projects remain sustainable and continue to meet community needs over time (Gutierrez-Montes et al., 2009).</w:t>
      </w:r>
    </w:p>
    <w:p w14:paraId="2BAFD192" w14:textId="77777777" w:rsidR="00D7610B" w:rsidRPr="005546C5" w:rsidRDefault="00D7610B" w:rsidP="005546C5">
      <w:pPr>
        <w:pStyle w:val="ListParagraph"/>
        <w:numPr>
          <w:ilvl w:val="0"/>
          <w:numId w:val="7"/>
        </w:numPr>
        <w:spacing w:line="480" w:lineRule="auto"/>
        <w:jc w:val="both"/>
        <w:rPr>
          <w:rFonts w:ascii="Arial" w:hAnsi="Arial" w:cs="Arial"/>
        </w:rPr>
      </w:pPr>
      <w:r w:rsidRPr="005546C5">
        <w:rPr>
          <w:rFonts w:ascii="Arial" w:hAnsi="Arial" w:cs="Arial"/>
        </w:rPr>
        <w:t>Adaptability: Flexibility in project implementation allows for adjustments in response to changing circumstances or feedback, improving outcomes (Wilkinson, 1991).</w:t>
      </w:r>
    </w:p>
    <w:p w14:paraId="27DCF31E" w14:textId="77777777" w:rsidR="00D7610B" w:rsidRPr="005546C5" w:rsidRDefault="00D7610B" w:rsidP="00D7610B">
      <w:pPr>
        <w:spacing w:line="480" w:lineRule="auto"/>
        <w:jc w:val="both"/>
        <w:rPr>
          <w:rFonts w:ascii="Arial Black" w:hAnsi="Arial Black" w:cs="Arial"/>
        </w:rPr>
      </w:pPr>
      <w:r w:rsidRPr="005546C5">
        <w:rPr>
          <w:rFonts w:ascii="Arial Black" w:hAnsi="Arial Black" w:cs="Arial"/>
        </w:rPr>
        <w:t>Conclusion</w:t>
      </w:r>
    </w:p>
    <w:p w14:paraId="3BE96D06" w14:textId="77777777" w:rsidR="00D7610B" w:rsidRPr="00D7610B" w:rsidRDefault="00D7610B" w:rsidP="00D7610B">
      <w:pPr>
        <w:spacing w:line="480" w:lineRule="auto"/>
        <w:jc w:val="both"/>
        <w:rPr>
          <w:rFonts w:ascii="Arial" w:hAnsi="Arial" w:cs="Arial"/>
        </w:rPr>
      </w:pPr>
      <w:r w:rsidRPr="00D7610B">
        <w:rPr>
          <w:rFonts w:ascii="Arial" w:hAnsi="Arial" w:cs="Arial"/>
        </w:rPr>
        <w:t>The Port Talbot community's development initiatives represent a concerted effort to address economic, social, cultural, and environmental challenges. By leveraging historical and cultural assets, promoting economic diversification, and fostering community engagement, these projects aim to create a sustainable and prosperous future for residents. The approaches taken demonstrate an understanding of the complex dynamics within the community and the importance of tailoring strategies to local contexts.</w:t>
      </w:r>
    </w:p>
    <w:p w14:paraId="2AA8395F" w14:textId="77777777" w:rsidR="00D7610B" w:rsidRPr="00D7610B" w:rsidRDefault="00D7610B" w:rsidP="00D7610B">
      <w:pPr>
        <w:spacing w:line="480" w:lineRule="auto"/>
        <w:jc w:val="both"/>
        <w:rPr>
          <w:rFonts w:ascii="Arial" w:hAnsi="Arial" w:cs="Arial"/>
        </w:rPr>
      </w:pPr>
      <w:r w:rsidRPr="00D7610B">
        <w:rPr>
          <w:rFonts w:ascii="Arial" w:hAnsi="Arial" w:cs="Arial"/>
        </w:rPr>
        <w:t>Key concepts from community development theories, such as the interactional approach and the sustainable livelihoods framework, are evident in the processes employed (Bridger et al., 2011; Gutierrez-Montes et al., 2009). While challenges remain, particularly in ensuring inclusivity and sustainability, the initiatives provide a strong foundation for ongoing development.</w:t>
      </w:r>
    </w:p>
    <w:p w14:paraId="03A05230" w14:textId="7BBB332E" w:rsidR="00D7610B" w:rsidRDefault="00D7610B" w:rsidP="00D7610B">
      <w:pPr>
        <w:spacing w:line="480" w:lineRule="auto"/>
        <w:jc w:val="both"/>
        <w:rPr>
          <w:rFonts w:ascii="Arial" w:hAnsi="Arial" w:cs="Arial"/>
        </w:rPr>
      </w:pPr>
      <w:r w:rsidRPr="00D7610B">
        <w:rPr>
          <w:rFonts w:ascii="Arial" w:hAnsi="Arial" w:cs="Arial"/>
        </w:rPr>
        <w:t xml:space="preserve">Continued collaboration among stakeholders, responsive planning, and a commitment to addressing the needs of all community members will be essential in realizing the full potential of these projects. By embracing both the opportunities and challenges, Port Talbot can serve as a model for other communities seeking to navigate the complexities of modern development while </w:t>
      </w:r>
      <w:r w:rsidRPr="00D7610B">
        <w:rPr>
          <w:rFonts w:ascii="Arial" w:hAnsi="Arial" w:cs="Arial"/>
        </w:rPr>
        <w:t>honouring</w:t>
      </w:r>
      <w:r w:rsidRPr="00D7610B">
        <w:rPr>
          <w:rFonts w:ascii="Arial" w:hAnsi="Arial" w:cs="Arial"/>
        </w:rPr>
        <w:t xml:space="preserve"> their unique identities.</w:t>
      </w:r>
    </w:p>
    <w:p w14:paraId="176C1811" w14:textId="01E88EF5" w:rsidR="00DD5459" w:rsidRPr="00FB09C4" w:rsidRDefault="00DD5459" w:rsidP="00D7610B">
      <w:pPr>
        <w:spacing w:line="480" w:lineRule="auto"/>
        <w:jc w:val="both"/>
        <w:rPr>
          <w:rFonts w:ascii="Arial Black" w:hAnsi="Arial Black" w:cs="Arial"/>
        </w:rPr>
      </w:pPr>
      <w:r w:rsidRPr="00FB09C4">
        <w:rPr>
          <w:rFonts w:ascii="Arial Black" w:hAnsi="Arial Black" w:cs="Arial"/>
        </w:rPr>
        <w:lastRenderedPageBreak/>
        <w:t xml:space="preserve">References </w:t>
      </w:r>
    </w:p>
    <w:p w14:paraId="5DB26CE6" w14:textId="77777777" w:rsidR="00FB09C4" w:rsidRDefault="00FB09C4" w:rsidP="00FB09C4">
      <w:pPr>
        <w:spacing w:line="480" w:lineRule="auto"/>
        <w:jc w:val="both"/>
        <w:rPr>
          <w:rFonts w:ascii="Arial" w:hAnsi="Arial" w:cs="Arial"/>
        </w:rPr>
      </w:pPr>
      <w:r w:rsidRPr="00FB09C4">
        <w:rPr>
          <w:rFonts w:ascii="Arial" w:hAnsi="Arial" w:cs="Arial"/>
        </w:rPr>
        <w:t xml:space="preserve">Bridger, J. C., Brennan, M. A., &amp; Luloff, A. E. (2011). The interactional approach to community. In J. W. Robinson Jr. &amp; G. P. Green (Eds.), </w:t>
      </w:r>
      <w:r w:rsidRPr="00FB09C4">
        <w:rPr>
          <w:rFonts w:ascii="Arial" w:hAnsi="Arial" w:cs="Arial"/>
          <w:i/>
          <w:iCs/>
        </w:rPr>
        <w:t>Introduction to community development: Theory, practice, and service-learning</w:t>
      </w:r>
      <w:r w:rsidRPr="00FB09C4">
        <w:rPr>
          <w:rFonts w:ascii="Arial" w:hAnsi="Arial" w:cs="Arial"/>
        </w:rPr>
        <w:t xml:space="preserve"> (pp. 85–100). Sage.</w:t>
      </w:r>
    </w:p>
    <w:p w14:paraId="4CD01FE7" w14:textId="6764AEC4" w:rsidR="00FB09C4" w:rsidRDefault="00FB09C4" w:rsidP="00FB09C4">
      <w:pPr>
        <w:spacing w:line="480" w:lineRule="auto"/>
        <w:jc w:val="both"/>
        <w:rPr>
          <w:rFonts w:ascii="Arial" w:hAnsi="Arial" w:cs="Arial"/>
        </w:rPr>
      </w:pPr>
      <w:r w:rsidRPr="00FB09C4">
        <w:rPr>
          <w:rFonts w:ascii="Arial" w:hAnsi="Arial" w:cs="Arial"/>
        </w:rPr>
        <w:t xml:space="preserve">Emery M., Flora C. (2006). </w:t>
      </w:r>
      <w:r w:rsidRPr="00FB09C4">
        <w:rPr>
          <w:rFonts w:ascii="Arial" w:hAnsi="Arial" w:cs="Arial"/>
        </w:rPr>
        <w:t>Spiralling</w:t>
      </w:r>
      <w:r w:rsidRPr="00FB09C4">
        <w:rPr>
          <w:rFonts w:ascii="Arial" w:hAnsi="Arial" w:cs="Arial"/>
        </w:rPr>
        <w:t xml:space="preserve"> up: Mapping community transformation with the community capitals framework. </w:t>
      </w:r>
      <w:r w:rsidRPr="00FB09C4">
        <w:rPr>
          <w:rFonts w:ascii="Arial" w:hAnsi="Arial" w:cs="Arial"/>
          <w:i/>
          <w:iCs/>
        </w:rPr>
        <w:t>Community Development, 37</w:t>
      </w:r>
      <w:r w:rsidRPr="00FB09C4">
        <w:rPr>
          <w:rFonts w:ascii="Arial" w:hAnsi="Arial" w:cs="Arial"/>
        </w:rPr>
        <w:t>, 19–35. doi:10.1080/1557533060949015</w:t>
      </w:r>
      <w:r>
        <w:rPr>
          <w:rFonts w:ascii="Arial" w:hAnsi="Arial" w:cs="Arial"/>
        </w:rPr>
        <w:t>2</w:t>
      </w:r>
    </w:p>
    <w:p w14:paraId="2A2ED674" w14:textId="7612DDB3" w:rsidR="00FB09C4" w:rsidRDefault="00FB09C4" w:rsidP="00FB09C4">
      <w:pPr>
        <w:spacing w:line="480" w:lineRule="auto"/>
        <w:jc w:val="both"/>
        <w:rPr>
          <w:rFonts w:ascii="Arial" w:hAnsi="Arial" w:cs="Arial"/>
        </w:rPr>
      </w:pPr>
      <w:r w:rsidRPr="00FB09C4">
        <w:rPr>
          <w:rFonts w:ascii="Arial" w:hAnsi="Arial" w:cs="Arial"/>
        </w:rPr>
        <w:t xml:space="preserve">Green, J. J. (2008). Community development as social movement: A contribution to models of practice. </w:t>
      </w:r>
      <w:r w:rsidRPr="00FB09C4">
        <w:rPr>
          <w:rFonts w:ascii="Arial" w:hAnsi="Arial" w:cs="Arial"/>
          <w:i/>
          <w:iCs/>
        </w:rPr>
        <w:t>Community Development, 39</w:t>
      </w:r>
      <w:r w:rsidRPr="00FB09C4">
        <w:rPr>
          <w:rFonts w:ascii="Arial" w:hAnsi="Arial" w:cs="Arial"/>
        </w:rPr>
        <w:t xml:space="preserve">(1), 50–62. </w:t>
      </w:r>
      <w:hyperlink r:id="rId8" w:history="1">
        <w:r w:rsidRPr="008006A0">
          <w:rPr>
            <w:rStyle w:val="Hyperlink"/>
            <w:rFonts w:ascii="Arial" w:hAnsi="Arial" w:cs="Arial"/>
          </w:rPr>
          <w:t>https://doi.org/10.1080/15575330809489741</w:t>
        </w:r>
      </w:hyperlink>
    </w:p>
    <w:p w14:paraId="49BDB655" w14:textId="61DE2623" w:rsidR="00FB09C4" w:rsidRDefault="00FB09C4" w:rsidP="00FB09C4">
      <w:pPr>
        <w:spacing w:line="480" w:lineRule="auto"/>
        <w:jc w:val="both"/>
        <w:rPr>
          <w:rFonts w:ascii="Arial" w:hAnsi="Arial" w:cs="Arial"/>
        </w:rPr>
      </w:pPr>
      <w:r w:rsidRPr="00FB09C4">
        <w:rPr>
          <w:rFonts w:ascii="Arial" w:hAnsi="Arial" w:cs="Arial"/>
        </w:rPr>
        <w:t xml:space="preserve">Gutierrez-Montes, I., Emery, M., &amp; Fernandez-Baca, E. (2009). The sustainable livelihoods approach and the community capitals framework: The importance of systems-level approaches to community change efforts. </w:t>
      </w:r>
      <w:r w:rsidRPr="00FB09C4">
        <w:rPr>
          <w:rFonts w:ascii="Arial" w:hAnsi="Arial" w:cs="Arial"/>
          <w:i/>
          <w:iCs/>
        </w:rPr>
        <w:t>Community Development, 40</w:t>
      </w:r>
      <w:r w:rsidRPr="00FB09C4">
        <w:rPr>
          <w:rFonts w:ascii="Arial" w:hAnsi="Arial" w:cs="Arial"/>
        </w:rPr>
        <w:t xml:space="preserve">(2), 106–113. </w:t>
      </w:r>
      <w:hyperlink r:id="rId9" w:history="1">
        <w:r w:rsidRPr="008006A0">
          <w:rPr>
            <w:rStyle w:val="Hyperlink"/>
            <w:rFonts w:ascii="Arial" w:hAnsi="Arial" w:cs="Arial"/>
          </w:rPr>
          <w:t>https://doi.org/10.1080/15575330903011785</w:t>
        </w:r>
      </w:hyperlink>
    </w:p>
    <w:p w14:paraId="38AD0A67" w14:textId="0A1D4B08" w:rsidR="00FB09C4" w:rsidRDefault="00FB09C4" w:rsidP="00FB09C4">
      <w:pPr>
        <w:spacing w:line="480" w:lineRule="auto"/>
        <w:jc w:val="both"/>
        <w:rPr>
          <w:rFonts w:ascii="Arial" w:hAnsi="Arial" w:cs="Arial"/>
        </w:rPr>
      </w:pPr>
      <w:r w:rsidRPr="00FB09C4">
        <w:rPr>
          <w:rFonts w:ascii="Arial" w:hAnsi="Arial" w:cs="Arial"/>
        </w:rPr>
        <w:t xml:space="preserve">Neath Inspired. (2021). Buy Local Campaign. </w:t>
      </w:r>
      <w:hyperlink r:id="rId10" w:history="1">
        <w:r w:rsidRPr="008006A0">
          <w:rPr>
            <w:rStyle w:val="Hyperlink"/>
            <w:rFonts w:ascii="Arial" w:hAnsi="Arial" w:cs="Arial"/>
          </w:rPr>
          <w:t>https://www.neathinspired.co.uk</w:t>
        </w:r>
      </w:hyperlink>
    </w:p>
    <w:p w14:paraId="65E32857" w14:textId="018950BE" w:rsidR="00FB09C4" w:rsidRDefault="00FB09C4" w:rsidP="00FB09C4">
      <w:pPr>
        <w:spacing w:line="480" w:lineRule="auto"/>
        <w:jc w:val="both"/>
        <w:rPr>
          <w:rFonts w:ascii="Arial" w:hAnsi="Arial" w:cs="Arial"/>
        </w:rPr>
      </w:pPr>
      <w:r w:rsidRPr="00FB09C4">
        <w:rPr>
          <w:rFonts w:ascii="Arial" w:hAnsi="Arial" w:cs="Arial"/>
        </w:rPr>
        <w:t xml:space="preserve">Neath Port Talbot College. (2021). Courses and Training Opportunities. </w:t>
      </w:r>
      <w:hyperlink r:id="rId11" w:history="1">
        <w:r w:rsidRPr="008006A0">
          <w:rPr>
            <w:rStyle w:val="Hyperlink"/>
            <w:rFonts w:ascii="Arial" w:hAnsi="Arial" w:cs="Arial"/>
          </w:rPr>
          <w:t>https://www.nptcgroup.ac.uk</w:t>
        </w:r>
      </w:hyperlink>
    </w:p>
    <w:p w14:paraId="059F647F" w14:textId="78CD2C55" w:rsidR="00FB09C4" w:rsidRDefault="00FB09C4" w:rsidP="00FB09C4">
      <w:pPr>
        <w:spacing w:line="480" w:lineRule="auto"/>
        <w:jc w:val="both"/>
        <w:rPr>
          <w:rFonts w:ascii="Arial" w:hAnsi="Arial" w:cs="Arial"/>
        </w:rPr>
      </w:pPr>
      <w:r w:rsidRPr="00FB09C4">
        <w:rPr>
          <w:rFonts w:ascii="Arial" w:hAnsi="Arial" w:cs="Arial"/>
        </w:rPr>
        <w:t xml:space="preserve">Neath Port Talbot Council. (2021a). Major development projects. </w:t>
      </w:r>
      <w:hyperlink r:id="rId12" w:history="1">
        <w:r w:rsidRPr="008006A0">
          <w:rPr>
            <w:rStyle w:val="Hyperlink"/>
            <w:rFonts w:ascii="Arial" w:hAnsi="Arial" w:cs="Arial"/>
          </w:rPr>
          <w:t>https://www.npt.gov.uk/major-projects</w:t>
        </w:r>
      </w:hyperlink>
    </w:p>
    <w:p w14:paraId="4F9D1546" w14:textId="1E63D3AE" w:rsidR="00FB09C4" w:rsidRDefault="00FB09C4" w:rsidP="00FB09C4">
      <w:pPr>
        <w:spacing w:line="480" w:lineRule="auto"/>
        <w:jc w:val="both"/>
        <w:rPr>
          <w:rFonts w:ascii="Arial" w:hAnsi="Arial" w:cs="Arial"/>
        </w:rPr>
      </w:pPr>
      <w:r w:rsidRPr="00FB09C4">
        <w:rPr>
          <w:rFonts w:ascii="Arial" w:hAnsi="Arial" w:cs="Arial"/>
        </w:rPr>
        <w:t xml:space="preserve">Neath Port Talbot Council. (2021b). Harbourside Regeneration. </w:t>
      </w:r>
      <w:hyperlink r:id="rId13" w:history="1">
        <w:r w:rsidRPr="008006A0">
          <w:rPr>
            <w:rStyle w:val="Hyperlink"/>
            <w:rFonts w:ascii="Arial" w:hAnsi="Arial" w:cs="Arial"/>
          </w:rPr>
          <w:t>https://www.npt.gov.uk/harbourside</w:t>
        </w:r>
      </w:hyperlink>
    </w:p>
    <w:p w14:paraId="67E5C43C" w14:textId="69422E3F" w:rsidR="00FB09C4" w:rsidRDefault="00FB09C4" w:rsidP="00FB09C4">
      <w:pPr>
        <w:spacing w:line="480" w:lineRule="auto"/>
        <w:jc w:val="both"/>
        <w:rPr>
          <w:rFonts w:ascii="Arial" w:hAnsi="Arial" w:cs="Arial"/>
        </w:rPr>
      </w:pPr>
      <w:r w:rsidRPr="00FB09C4">
        <w:rPr>
          <w:rFonts w:ascii="Arial" w:hAnsi="Arial" w:cs="Arial"/>
        </w:rPr>
        <w:lastRenderedPageBreak/>
        <w:t xml:space="preserve">Neath Port Talbot Council. (2021c). Bay Technology Centre. </w:t>
      </w:r>
      <w:hyperlink r:id="rId14" w:history="1">
        <w:r w:rsidRPr="008006A0">
          <w:rPr>
            <w:rStyle w:val="Hyperlink"/>
            <w:rFonts w:ascii="Arial" w:hAnsi="Arial" w:cs="Arial"/>
          </w:rPr>
          <w:t>https://www.npt.gov.uk/bay-technology-centre</w:t>
        </w:r>
      </w:hyperlink>
    </w:p>
    <w:p w14:paraId="026B5A9E" w14:textId="1615959B" w:rsidR="00FB09C4" w:rsidRDefault="00FB09C4" w:rsidP="00FB09C4">
      <w:pPr>
        <w:spacing w:line="480" w:lineRule="auto"/>
        <w:jc w:val="both"/>
        <w:rPr>
          <w:rFonts w:ascii="Arial" w:hAnsi="Arial" w:cs="Arial"/>
        </w:rPr>
      </w:pPr>
      <w:r w:rsidRPr="00FB09C4">
        <w:rPr>
          <w:rFonts w:ascii="Arial" w:hAnsi="Arial" w:cs="Arial"/>
        </w:rPr>
        <w:t>Wales Online. (2021, November 6). Epic multi-</w:t>
      </w:r>
      <w:r w:rsidRPr="00FB09C4">
        <w:rPr>
          <w:rFonts w:ascii="Arial" w:hAnsi="Arial" w:cs="Arial"/>
        </w:rPr>
        <w:t>million-pound</w:t>
      </w:r>
      <w:r w:rsidRPr="00FB09C4">
        <w:rPr>
          <w:rFonts w:ascii="Arial" w:hAnsi="Arial" w:cs="Arial"/>
        </w:rPr>
        <w:t xml:space="preserve"> projects in Neath and Port Talbot. </w:t>
      </w:r>
      <w:hyperlink r:id="rId15" w:history="1">
        <w:r w:rsidRPr="008006A0">
          <w:rPr>
            <w:rStyle w:val="Hyperlink"/>
            <w:rFonts w:ascii="Arial" w:hAnsi="Arial" w:cs="Arial"/>
          </w:rPr>
          <w:t>https://www.walesonline.co.uk/news/wales-news/neath-port-talbot-development-projects-22074335</w:t>
        </w:r>
      </w:hyperlink>
    </w:p>
    <w:p w14:paraId="31CC4965" w14:textId="5C06DC75" w:rsidR="00FB09C4" w:rsidRDefault="00FB09C4" w:rsidP="00FB09C4">
      <w:pPr>
        <w:spacing w:line="480" w:lineRule="auto"/>
        <w:jc w:val="both"/>
        <w:rPr>
          <w:rFonts w:ascii="Arial" w:hAnsi="Arial" w:cs="Arial"/>
        </w:rPr>
      </w:pPr>
      <w:r w:rsidRPr="00FB09C4">
        <w:rPr>
          <w:rFonts w:ascii="Arial" w:hAnsi="Arial" w:cs="Arial"/>
        </w:rPr>
        <w:t xml:space="preserve">Welsh Government. (2021). 21st Century Schools Programme. </w:t>
      </w:r>
      <w:hyperlink r:id="rId16" w:history="1">
        <w:r w:rsidRPr="008006A0">
          <w:rPr>
            <w:rStyle w:val="Hyperlink"/>
            <w:rFonts w:ascii="Arial" w:hAnsi="Arial" w:cs="Arial"/>
          </w:rPr>
          <w:t>https://gov.wales/21st-century-schools-programme</w:t>
        </w:r>
      </w:hyperlink>
    </w:p>
    <w:p w14:paraId="48B21F43" w14:textId="4431490D" w:rsidR="00FB09C4" w:rsidRPr="00FB09C4" w:rsidRDefault="00FB09C4" w:rsidP="00FB09C4">
      <w:pPr>
        <w:spacing w:line="480" w:lineRule="auto"/>
        <w:jc w:val="both"/>
        <w:rPr>
          <w:rFonts w:ascii="Arial" w:hAnsi="Arial" w:cs="Arial"/>
        </w:rPr>
      </w:pPr>
      <w:r w:rsidRPr="00FB09C4">
        <w:rPr>
          <w:rFonts w:ascii="Arial" w:hAnsi="Arial" w:cs="Arial"/>
        </w:rPr>
        <w:t xml:space="preserve">Wilkinson, K. P. (1991). </w:t>
      </w:r>
      <w:r w:rsidRPr="00FB09C4">
        <w:rPr>
          <w:rFonts w:ascii="Arial" w:hAnsi="Arial" w:cs="Arial"/>
          <w:i/>
          <w:iCs/>
        </w:rPr>
        <w:t>The community in rural America</w:t>
      </w:r>
      <w:r w:rsidRPr="00FB09C4">
        <w:rPr>
          <w:rFonts w:ascii="Arial" w:hAnsi="Arial" w:cs="Arial"/>
        </w:rPr>
        <w:t>. Greenwood Press.</w:t>
      </w:r>
    </w:p>
    <w:p w14:paraId="760DEB67" w14:textId="2CC5EEF6" w:rsidR="00DD5459" w:rsidRDefault="00FB09C4" w:rsidP="00FB09C4">
      <w:pPr>
        <w:spacing w:line="480" w:lineRule="auto"/>
        <w:jc w:val="both"/>
        <w:rPr>
          <w:rFonts w:ascii="Arial" w:hAnsi="Arial" w:cs="Arial"/>
        </w:rPr>
      </w:pPr>
      <w:r w:rsidRPr="00FB09C4">
        <w:rPr>
          <w:rFonts w:ascii="Arial" w:hAnsi="Arial" w:cs="Arial"/>
        </w:rPr>
        <w:t xml:space="preserve">YMCA Port Talbot. (2021). The Plaza redevelopment project. </w:t>
      </w:r>
      <w:hyperlink r:id="rId17" w:history="1">
        <w:r w:rsidRPr="008006A0">
          <w:rPr>
            <w:rStyle w:val="Hyperlink"/>
            <w:rFonts w:ascii="Arial" w:hAnsi="Arial" w:cs="Arial"/>
          </w:rPr>
          <w:t>https://www.ymcaporttalbot.com/plaza-redevelopment</w:t>
        </w:r>
      </w:hyperlink>
    </w:p>
    <w:p w14:paraId="7C87E8D3" w14:textId="3455008B" w:rsidR="00FB09C4" w:rsidRDefault="00FB09C4" w:rsidP="00FB09C4">
      <w:pPr>
        <w:spacing w:line="480" w:lineRule="auto"/>
        <w:jc w:val="both"/>
        <w:rPr>
          <w:rFonts w:ascii="Arial" w:hAnsi="Arial" w:cs="Arial"/>
        </w:rPr>
      </w:pPr>
      <w:hyperlink r:id="rId18" w:history="1">
        <w:r w:rsidRPr="008006A0">
          <w:rPr>
            <w:rStyle w:val="Hyperlink"/>
            <w:rFonts w:ascii="Arial" w:hAnsi="Arial" w:cs="Arial"/>
          </w:rPr>
          <w:t>https://www.gov.uk/government/publications/community-development-handbook/community-development-handbook</w:t>
        </w:r>
      </w:hyperlink>
    </w:p>
    <w:p w14:paraId="014C5854" w14:textId="5DEF9C9C" w:rsidR="00FB09C4" w:rsidRDefault="00FB09C4" w:rsidP="00FB09C4">
      <w:pPr>
        <w:spacing w:line="480" w:lineRule="auto"/>
        <w:jc w:val="both"/>
        <w:rPr>
          <w:rFonts w:ascii="Arial" w:hAnsi="Arial" w:cs="Arial"/>
        </w:rPr>
      </w:pPr>
      <w:hyperlink r:id="rId19" w:history="1">
        <w:r w:rsidRPr="008006A0">
          <w:rPr>
            <w:rStyle w:val="Hyperlink"/>
            <w:rFonts w:ascii="Arial" w:hAnsi="Arial" w:cs="Arial"/>
          </w:rPr>
          <w:t>https://www.gov.uk/government/publications/community-development-handbook</w:t>
        </w:r>
      </w:hyperlink>
    </w:p>
    <w:p w14:paraId="4CB9EC5A" w14:textId="77777777" w:rsidR="00FB09C4" w:rsidRPr="00D7610B" w:rsidRDefault="00FB09C4" w:rsidP="00FB09C4">
      <w:pPr>
        <w:spacing w:line="480" w:lineRule="auto"/>
        <w:jc w:val="both"/>
        <w:rPr>
          <w:rFonts w:ascii="Arial" w:hAnsi="Arial" w:cs="Arial"/>
        </w:rPr>
      </w:pPr>
    </w:p>
    <w:sectPr w:rsidR="00FB09C4" w:rsidRPr="00D7610B" w:rsidSect="00DD54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5A56A7"/>
    <w:multiLevelType w:val="hybridMultilevel"/>
    <w:tmpl w:val="32D2F3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60892"/>
    <w:multiLevelType w:val="hybridMultilevel"/>
    <w:tmpl w:val="42844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307C83"/>
    <w:multiLevelType w:val="hybridMultilevel"/>
    <w:tmpl w:val="EBE0AA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F30D3"/>
    <w:multiLevelType w:val="hybridMultilevel"/>
    <w:tmpl w:val="B69C2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7D794D"/>
    <w:multiLevelType w:val="hybridMultilevel"/>
    <w:tmpl w:val="AF9226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B83C75"/>
    <w:multiLevelType w:val="hybridMultilevel"/>
    <w:tmpl w:val="278A2F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0B7857"/>
    <w:multiLevelType w:val="hybridMultilevel"/>
    <w:tmpl w:val="E084B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0118756">
    <w:abstractNumId w:val="1"/>
  </w:num>
  <w:num w:numId="2" w16cid:durableId="1818498205">
    <w:abstractNumId w:val="6"/>
  </w:num>
  <w:num w:numId="3" w16cid:durableId="343291134">
    <w:abstractNumId w:val="0"/>
  </w:num>
  <w:num w:numId="4" w16cid:durableId="336661970">
    <w:abstractNumId w:val="4"/>
  </w:num>
  <w:num w:numId="5" w16cid:durableId="90010701">
    <w:abstractNumId w:val="5"/>
  </w:num>
  <w:num w:numId="6" w16cid:durableId="438178981">
    <w:abstractNumId w:val="2"/>
  </w:num>
  <w:num w:numId="7" w16cid:durableId="1829369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10B"/>
    <w:rsid w:val="005546C5"/>
    <w:rsid w:val="00930CF1"/>
    <w:rsid w:val="00D7610B"/>
    <w:rsid w:val="00DD5459"/>
    <w:rsid w:val="00FB0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F545C"/>
  <w15:chartTrackingRefBased/>
  <w15:docId w15:val="{56B2A865-1ABF-4362-840D-C8D74AD62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1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61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61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61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61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61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1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1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1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1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61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61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61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61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61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1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1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10B"/>
    <w:rPr>
      <w:rFonts w:eastAsiaTheme="majorEastAsia" w:cstheme="majorBidi"/>
      <w:color w:val="272727" w:themeColor="text1" w:themeTint="D8"/>
    </w:rPr>
  </w:style>
  <w:style w:type="paragraph" w:styleId="Title">
    <w:name w:val="Title"/>
    <w:basedOn w:val="Normal"/>
    <w:next w:val="Normal"/>
    <w:link w:val="TitleChar"/>
    <w:uiPriority w:val="10"/>
    <w:qFormat/>
    <w:rsid w:val="00D761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1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1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1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10B"/>
    <w:pPr>
      <w:spacing w:before="160"/>
      <w:jc w:val="center"/>
    </w:pPr>
    <w:rPr>
      <w:i/>
      <w:iCs/>
      <w:color w:val="404040" w:themeColor="text1" w:themeTint="BF"/>
    </w:rPr>
  </w:style>
  <w:style w:type="character" w:customStyle="1" w:styleId="QuoteChar">
    <w:name w:val="Quote Char"/>
    <w:basedOn w:val="DefaultParagraphFont"/>
    <w:link w:val="Quote"/>
    <w:uiPriority w:val="29"/>
    <w:rsid w:val="00D7610B"/>
    <w:rPr>
      <w:i/>
      <w:iCs/>
      <w:color w:val="404040" w:themeColor="text1" w:themeTint="BF"/>
    </w:rPr>
  </w:style>
  <w:style w:type="paragraph" w:styleId="ListParagraph">
    <w:name w:val="List Paragraph"/>
    <w:basedOn w:val="Normal"/>
    <w:uiPriority w:val="34"/>
    <w:qFormat/>
    <w:rsid w:val="00D7610B"/>
    <w:pPr>
      <w:ind w:left="720"/>
      <w:contextualSpacing/>
    </w:pPr>
  </w:style>
  <w:style w:type="character" w:styleId="IntenseEmphasis">
    <w:name w:val="Intense Emphasis"/>
    <w:basedOn w:val="DefaultParagraphFont"/>
    <w:uiPriority w:val="21"/>
    <w:qFormat/>
    <w:rsid w:val="00D7610B"/>
    <w:rPr>
      <w:i/>
      <w:iCs/>
      <w:color w:val="0F4761" w:themeColor="accent1" w:themeShade="BF"/>
    </w:rPr>
  </w:style>
  <w:style w:type="paragraph" w:styleId="IntenseQuote">
    <w:name w:val="Intense Quote"/>
    <w:basedOn w:val="Normal"/>
    <w:next w:val="Normal"/>
    <w:link w:val="IntenseQuoteChar"/>
    <w:uiPriority w:val="30"/>
    <w:qFormat/>
    <w:rsid w:val="00D761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610B"/>
    <w:rPr>
      <w:i/>
      <w:iCs/>
      <w:color w:val="0F4761" w:themeColor="accent1" w:themeShade="BF"/>
    </w:rPr>
  </w:style>
  <w:style w:type="character" w:styleId="IntenseReference">
    <w:name w:val="Intense Reference"/>
    <w:basedOn w:val="DefaultParagraphFont"/>
    <w:uiPriority w:val="32"/>
    <w:qFormat/>
    <w:rsid w:val="00D7610B"/>
    <w:rPr>
      <w:b/>
      <w:bCs/>
      <w:smallCaps/>
      <w:color w:val="0F4761" w:themeColor="accent1" w:themeShade="BF"/>
      <w:spacing w:val="5"/>
    </w:rPr>
  </w:style>
  <w:style w:type="paragraph" w:styleId="NoSpacing">
    <w:name w:val="No Spacing"/>
    <w:link w:val="NoSpacingChar"/>
    <w:uiPriority w:val="1"/>
    <w:qFormat/>
    <w:rsid w:val="00DD545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D5459"/>
    <w:rPr>
      <w:rFonts w:eastAsiaTheme="minorEastAsia"/>
      <w:kern w:val="0"/>
      <w:sz w:val="22"/>
      <w:szCs w:val="22"/>
      <w:lang w:val="en-US"/>
      <w14:ligatures w14:val="none"/>
    </w:rPr>
  </w:style>
  <w:style w:type="character" w:styleId="Hyperlink">
    <w:name w:val="Hyperlink"/>
    <w:basedOn w:val="DefaultParagraphFont"/>
    <w:uiPriority w:val="99"/>
    <w:unhideWhenUsed/>
    <w:rsid w:val="00FB09C4"/>
    <w:rPr>
      <w:color w:val="467886" w:themeColor="hyperlink"/>
      <w:u w:val="single"/>
    </w:rPr>
  </w:style>
  <w:style w:type="character" w:styleId="UnresolvedMention">
    <w:name w:val="Unresolved Mention"/>
    <w:basedOn w:val="DefaultParagraphFont"/>
    <w:uiPriority w:val="99"/>
    <w:semiHidden/>
    <w:unhideWhenUsed/>
    <w:rsid w:val="00FB09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6110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575330809489741" TargetMode="External"/><Relationship Id="rId13" Type="http://schemas.openxmlformats.org/officeDocument/2006/relationships/hyperlink" Target="https://www.npt.gov.uk/harbourside" TargetMode="External"/><Relationship Id="rId18" Type="http://schemas.openxmlformats.org/officeDocument/2006/relationships/hyperlink" Target="https://www.gov.uk/government/publications/community-development-handbook/community-development-handbook"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hyperlink" Target="https://www.npt.gov.uk/major-projects" TargetMode="External"/><Relationship Id="rId17" Type="http://schemas.openxmlformats.org/officeDocument/2006/relationships/hyperlink" Target="https://www.ymcaporttalbot.com/plaza-redevelopment" TargetMode="External"/><Relationship Id="rId2" Type="http://schemas.openxmlformats.org/officeDocument/2006/relationships/numbering" Target="numbering.xml"/><Relationship Id="rId16" Type="http://schemas.openxmlformats.org/officeDocument/2006/relationships/hyperlink" Target="https://gov.wales/21st-century-schools-programm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ptcgroup.ac.uk" TargetMode="External"/><Relationship Id="rId5" Type="http://schemas.openxmlformats.org/officeDocument/2006/relationships/webSettings" Target="webSettings.xml"/><Relationship Id="rId15" Type="http://schemas.openxmlformats.org/officeDocument/2006/relationships/hyperlink" Target="https://www.walesonline.co.uk/news/wales-news/neath-port-talbot-development-projects-22074335" TargetMode="External"/><Relationship Id="rId10" Type="http://schemas.openxmlformats.org/officeDocument/2006/relationships/hyperlink" Target="https://www.neathinspired.co.uk" TargetMode="External"/><Relationship Id="rId19" Type="http://schemas.openxmlformats.org/officeDocument/2006/relationships/hyperlink" Target="https://www.gov.uk/government/publications/community-development-handbook" TargetMode="External"/><Relationship Id="rId4" Type="http://schemas.openxmlformats.org/officeDocument/2006/relationships/settings" Target="settings.xml"/><Relationship Id="rId9" Type="http://schemas.openxmlformats.org/officeDocument/2006/relationships/hyperlink" Target="https://doi.org/10.1080/15575330903011785" TargetMode="External"/><Relationship Id="rId14" Type="http://schemas.openxmlformats.org/officeDocument/2006/relationships/hyperlink" Target="https://www.npt.gov.uk/bay-technology-centr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E0A9AECA2BA408880B7BB2E2D9F4A21"/>
        <w:category>
          <w:name w:val="General"/>
          <w:gallery w:val="placeholder"/>
        </w:category>
        <w:types>
          <w:type w:val="bbPlcHdr"/>
        </w:types>
        <w:behaviors>
          <w:behavior w:val="content"/>
        </w:behaviors>
        <w:guid w:val="{246A5040-63C2-460C-85D4-2246EEA31105}"/>
      </w:docPartPr>
      <w:docPartBody>
        <w:p w:rsidR="00000000" w:rsidRDefault="00FD7C26" w:rsidP="00FD7C26">
          <w:pPr>
            <w:pStyle w:val="4E0A9AECA2BA408880B7BB2E2D9F4A2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26"/>
    <w:rsid w:val="0043727A"/>
    <w:rsid w:val="00930CF1"/>
    <w:rsid w:val="00FD7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0A9AECA2BA408880B7BB2E2D9F4A21">
    <w:name w:val="4E0A9AECA2BA408880B7BB2E2D9F4A21"/>
    <w:rsid w:val="00FD7C26"/>
  </w:style>
  <w:style w:type="paragraph" w:customStyle="1" w:styleId="34BF30ADD790447D9A76241D6F60498F">
    <w:name w:val="34BF30ADD790447D9A76241D6F60498F"/>
    <w:rsid w:val="00FD7C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2024-11-20T00:00:00</PublishDate>
  <Abstract/>
  <CompanyAddress>Community Development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Tunde Beata Malutan (2325913)</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Mirabela Voican (1907947)</dc:creator>
  <cp:keywords/>
  <dc:description/>
  <cp:lastModifiedBy>Mirabela Voican (1907947)</cp:lastModifiedBy>
  <cp:revision>1</cp:revision>
  <dcterms:created xsi:type="dcterms:W3CDTF">2024-11-09T20:18:00Z</dcterms:created>
  <dcterms:modified xsi:type="dcterms:W3CDTF">2024-11-09T20:54:00Z</dcterms:modified>
</cp:coreProperties>
</file>