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1190623B" w14:textId="77777777" w:rsidR="00B322E0" w:rsidRPr="00752C57" w:rsidRDefault="00B322E0" w:rsidP="009C2D59">
      <w:pPr>
        <w:rPr>
          <w:b/>
          <w:i/>
          <w:color w:val="auto"/>
          <w:sz w:val="88"/>
          <w:szCs w:val="88"/>
        </w:rPr>
      </w:pPr>
      <w:bookmarkStart w:id="0" w:name="__RefHeading___Toc82856599"/>
      <w:bookmarkEnd w:id="0"/>
    </w:p>
    <w:p w14:paraId="6B151ED6" w14:textId="77777777" w:rsidR="00B322E0" w:rsidRPr="00752C57" w:rsidRDefault="00B322E0">
      <w:pPr>
        <w:jc w:val="center"/>
        <w:rPr>
          <w:b/>
          <w:i/>
          <w:color w:val="auto"/>
          <w:sz w:val="88"/>
          <w:szCs w:val="88"/>
        </w:rPr>
      </w:pPr>
    </w:p>
    <w:p w14:paraId="244CFACB" w14:textId="77777777" w:rsidR="00793373" w:rsidRPr="00752C57" w:rsidRDefault="00974D0D">
      <w:pPr>
        <w:jc w:val="center"/>
        <w:rPr>
          <w:b/>
          <w:i/>
          <w:color w:val="auto"/>
          <w:sz w:val="72"/>
          <w:szCs w:val="72"/>
        </w:rPr>
      </w:pPr>
      <w:r w:rsidRPr="00974D0D">
        <w:rPr>
          <w:b/>
          <w:bCs/>
          <w:i/>
          <w:color w:val="auto"/>
          <w:sz w:val="72"/>
          <w:szCs w:val="72"/>
        </w:rPr>
        <w:t>Creative Leadership and Value Creation in Health and Social Care</w:t>
      </w:r>
      <w:r w:rsidR="009C2D59" w:rsidRPr="00752C57">
        <w:rPr>
          <w:b/>
          <w:bCs/>
          <w:i/>
          <w:color w:val="auto"/>
          <w:sz w:val="72"/>
          <w:szCs w:val="72"/>
        </w:rPr>
        <w:t> </w:t>
      </w:r>
      <w:r w:rsidR="00B57A65" w:rsidRPr="00752C57">
        <w:rPr>
          <w:b/>
          <w:i/>
          <w:color w:val="auto"/>
          <w:sz w:val="72"/>
          <w:szCs w:val="72"/>
        </w:rPr>
        <w:t xml:space="preserve"> </w:t>
      </w:r>
    </w:p>
    <w:p w14:paraId="383E0BBF" w14:textId="77777777" w:rsidR="00793373" w:rsidRPr="00752C57" w:rsidRDefault="00793373">
      <w:pPr>
        <w:pStyle w:val="ContentsHeading"/>
        <w:pageBreakBefore/>
        <w:rPr>
          <w:color w:val="auto"/>
        </w:rPr>
      </w:pPr>
      <w:r w:rsidRPr="00752C57">
        <w:rPr>
          <w:color w:val="auto"/>
        </w:rPr>
        <w:t>Table of Contents</w:t>
      </w:r>
    </w:p>
    <w:p w14:paraId="3F557B99" w14:textId="77777777" w:rsidR="00561F6B" w:rsidRPr="001F2716" w:rsidRDefault="00793373">
      <w:pPr>
        <w:pStyle w:val="Obsah1"/>
        <w:rPr>
          <w:rFonts w:ascii="Calibri" w:eastAsia="Times New Roman" w:hAnsi="Calibri" w:cs="Times New Roman"/>
          <w:noProof/>
          <w:color w:val="auto"/>
          <w:sz w:val="22"/>
          <w:lang w:eastAsia="en-GB"/>
        </w:rPr>
      </w:pPr>
      <w:r w:rsidRPr="00752C57">
        <w:rPr>
          <w:rFonts w:cs="Times New Roman"/>
          <w:color w:val="auto"/>
        </w:rPr>
        <w:fldChar w:fldCharType="begin"/>
      </w:r>
      <w:r w:rsidRPr="00752C57">
        <w:rPr>
          <w:rFonts w:cs="Times New Roman"/>
          <w:color w:val="auto"/>
        </w:rPr>
        <w:instrText xml:space="preserve"> TOC \f \o "1-9" \o "1-9" </w:instrText>
      </w:r>
      <w:r w:rsidRPr="00752C57">
        <w:rPr>
          <w:rFonts w:cs="Times New Roman"/>
          <w:color w:val="auto"/>
        </w:rPr>
        <w:fldChar w:fldCharType="separate"/>
      </w:r>
      <w:r w:rsidR="00561F6B">
        <w:rPr>
          <w:noProof/>
        </w:rPr>
        <w:t>Introduction</w:t>
      </w:r>
      <w:r w:rsidR="00561F6B">
        <w:rPr>
          <w:noProof/>
        </w:rPr>
        <w:tab/>
      </w:r>
      <w:r w:rsidR="00561F6B">
        <w:rPr>
          <w:noProof/>
        </w:rPr>
        <w:fldChar w:fldCharType="begin"/>
      </w:r>
      <w:r w:rsidR="00561F6B">
        <w:rPr>
          <w:noProof/>
        </w:rPr>
        <w:instrText xml:space="preserve"> PAGEREF _Toc225439602 \h </w:instrText>
      </w:r>
      <w:r w:rsidR="00561F6B">
        <w:rPr>
          <w:noProof/>
        </w:rPr>
      </w:r>
      <w:r w:rsidR="00561F6B">
        <w:rPr>
          <w:noProof/>
        </w:rPr>
        <w:fldChar w:fldCharType="separate"/>
      </w:r>
      <w:r w:rsidR="00561F6B">
        <w:rPr>
          <w:noProof/>
        </w:rPr>
        <w:t>3</w:t>
      </w:r>
      <w:r w:rsidR="00561F6B">
        <w:rPr>
          <w:noProof/>
        </w:rPr>
        <w:fldChar w:fldCharType="end"/>
      </w:r>
    </w:p>
    <w:p w14:paraId="4D7374EC" w14:textId="77777777" w:rsidR="00561F6B" w:rsidRPr="001F2716" w:rsidRDefault="00561F6B">
      <w:pPr>
        <w:pStyle w:val="Obsah1"/>
        <w:rPr>
          <w:rFonts w:ascii="Calibri" w:eastAsia="Times New Roman" w:hAnsi="Calibri" w:cs="Times New Roman"/>
          <w:noProof/>
          <w:color w:val="auto"/>
          <w:sz w:val="22"/>
          <w:lang w:eastAsia="en-GB"/>
        </w:rPr>
      </w:pPr>
      <w:r>
        <w:rPr>
          <w:noProof/>
        </w:rPr>
        <w:t>Creativity and Innovation in Health and Social Care</w:t>
      </w:r>
      <w:r>
        <w:rPr>
          <w:noProof/>
        </w:rPr>
        <w:tab/>
      </w:r>
      <w:r>
        <w:rPr>
          <w:noProof/>
        </w:rPr>
        <w:fldChar w:fldCharType="begin"/>
      </w:r>
      <w:r>
        <w:rPr>
          <w:noProof/>
        </w:rPr>
        <w:instrText xml:space="preserve"> PAGEREF _Toc225439603 \h </w:instrText>
      </w:r>
      <w:r>
        <w:rPr>
          <w:noProof/>
        </w:rPr>
      </w:r>
      <w:r>
        <w:rPr>
          <w:noProof/>
        </w:rPr>
        <w:fldChar w:fldCharType="separate"/>
      </w:r>
      <w:r>
        <w:rPr>
          <w:noProof/>
        </w:rPr>
        <w:t>3</w:t>
      </w:r>
      <w:r>
        <w:rPr>
          <w:noProof/>
        </w:rPr>
        <w:fldChar w:fldCharType="end"/>
      </w:r>
    </w:p>
    <w:p w14:paraId="6159617E" w14:textId="77777777" w:rsidR="00561F6B" w:rsidRPr="001F2716" w:rsidRDefault="00561F6B">
      <w:pPr>
        <w:pStyle w:val="Obsah2"/>
        <w:rPr>
          <w:rFonts w:ascii="Calibri" w:eastAsia="Times New Roman" w:hAnsi="Calibri" w:cs="Times New Roman"/>
          <w:noProof/>
          <w:color w:val="auto"/>
          <w:sz w:val="22"/>
          <w:lang w:eastAsia="en-GB"/>
        </w:rPr>
      </w:pPr>
      <w:r>
        <w:rPr>
          <w:noProof/>
        </w:rPr>
        <w:t>Creativity Models</w:t>
      </w:r>
      <w:r>
        <w:rPr>
          <w:noProof/>
        </w:rPr>
        <w:tab/>
      </w:r>
      <w:r>
        <w:rPr>
          <w:noProof/>
        </w:rPr>
        <w:fldChar w:fldCharType="begin"/>
      </w:r>
      <w:r>
        <w:rPr>
          <w:noProof/>
        </w:rPr>
        <w:instrText xml:space="preserve"> PAGEREF _Toc225439604 \h </w:instrText>
      </w:r>
      <w:r>
        <w:rPr>
          <w:noProof/>
        </w:rPr>
      </w:r>
      <w:r>
        <w:rPr>
          <w:noProof/>
        </w:rPr>
        <w:fldChar w:fldCharType="separate"/>
      </w:r>
      <w:r>
        <w:rPr>
          <w:noProof/>
        </w:rPr>
        <w:t>3</w:t>
      </w:r>
      <w:r>
        <w:rPr>
          <w:noProof/>
        </w:rPr>
        <w:fldChar w:fldCharType="end"/>
      </w:r>
    </w:p>
    <w:p w14:paraId="3CFDFDDC" w14:textId="77777777" w:rsidR="00561F6B" w:rsidRPr="001F2716" w:rsidRDefault="00561F6B">
      <w:pPr>
        <w:pStyle w:val="Obsah2"/>
        <w:rPr>
          <w:rFonts w:ascii="Calibri" w:eastAsia="Times New Roman" w:hAnsi="Calibri" w:cs="Times New Roman"/>
          <w:noProof/>
          <w:color w:val="auto"/>
          <w:sz w:val="22"/>
          <w:lang w:eastAsia="en-GB"/>
        </w:rPr>
      </w:pPr>
      <w:r>
        <w:rPr>
          <w:noProof/>
        </w:rPr>
        <w:t>Applications in Health and Social Care</w:t>
      </w:r>
      <w:r>
        <w:rPr>
          <w:noProof/>
        </w:rPr>
        <w:tab/>
      </w:r>
      <w:r>
        <w:rPr>
          <w:noProof/>
        </w:rPr>
        <w:fldChar w:fldCharType="begin"/>
      </w:r>
      <w:r>
        <w:rPr>
          <w:noProof/>
        </w:rPr>
        <w:instrText xml:space="preserve"> PAGEREF _Toc225439605 \h </w:instrText>
      </w:r>
      <w:r>
        <w:rPr>
          <w:noProof/>
        </w:rPr>
      </w:r>
      <w:r>
        <w:rPr>
          <w:noProof/>
        </w:rPr>
        <w:fldChar w:fldCharType="separate"/>
      </w:r>
      <w:r>
        <w:rPr>
          <w:noProof/>
        </w:rPr>
        <w:t>4</w:t>
      </w:r>
      <w:r>
        <w:rPr>
          <w:noProof/>
        </w:rPr>
        <w:fldChar w:fldCharType="end"/>
      </w:r>
    </w:p>
    <w:p w14:paraId="7700A7A7" w14:textId="77777777" w:rsidR="00561F6B" w:rsidRPr="001F2716" w:rsidRDefault="00561F6B">
      <w:pPr>
        <w:pStyle w:val="Obsah2"/>
        <w:rPr>
          <w:rFonts w:ascii="Calibri" w:eastAsia="Times New Roman" w:hAnsi="Calibri" w:cs="Times New Roman"/>
          <w:noProof/>
          <w:color w:val="auto"/>
          <w:sz w:val="22"/>
          <w:lang w:eastAsia="en-GB"/>
        </w:rPr>
      </w:pPr>
      <w:r>
        <w:rPr>
          <w:noProof/>
        </w:rPr>
        <w:t>Reflection</w:t>
      </w:r>
      <w:r>
        <w:rPr>
          <w:noProof/>
        </w:rPr>
        <w:tab/>
      </w:r>
      <w:r>
        <w:rPr>
          <w:noProof/>
        </w:rPr>
        <w:fldChar w:fldCharType="begin"/>
      </w:r>
      <w:r>
        <w:rPr>
          <w:noProof/>
        </w:rPr>
        <w:instrText xml:space="preserve"> PAGEREF _Toc225439606 \h </w:instrText>
      </w:r>
      <w:r>
        <w:rPr>
          <w:noProof/>
        </w:rPr>
      </w:r>
      <w:r>
        <w:rPr>
          <w:noProof/>
        </w:rPr>
        <w:fldChar w:fldCharType="separate"/>
      </w:r>
      <w:r>
        <w:rPr>
          <w:noProof/>
        </w:rPr>
        <w:t>5</w:t>
      </w:r>
      <w:r>
        <w:rPr>
          <w:noProof/>
        </w:rPr>
        <w:fldChar w:fldCharType="end"/>
      </w:r>
    </w:p>
    <w:p w14:paraId="6F2C9D7D" w14:textId="77777777" w:rsidR="00561F6B" w:rsidRPr="001F2716" w:rsidRDefault="00561F6B">
      <w:pPr>
        <w:pStyle w:val="Obsah1"/>
        <w:rPr>
          <w:rFonts w:ascii="Calibri" w:eastAsia="Times New Roman" w:hAnsi="Calibri" w:cs="Times New Roman"/>
          <w:noProof/>
          <w:color w:val="auto"/>
          <w:sz w:val="22"/>
          <w:lang w:eastAsia="en-GB"/>
        </w:rPr>
      </w:pPr>
      <w:r>
        <w:rPr>
          <w:noProof/>
        </w:rPr>
        <w:t>Leadership in Health and Social Care</w:t>
      </w:r>
      <w:r>
        <w:rPr>
          <w:noProof/>
        </w:rPr>
        <w:tab/>
      </w:r>
      <w:r>
        <w:rPr>
          <w:noProof/>
        </w:rPr>
        <w:fldChar w:fldCharType="begin"/>
      </w:r>
      <w:r>
        <w:rPr>
          <w:noProof/>
        </w:rPr>
        <w:instrText xml:space="preserve"> PAGEREF _Toc225439607 \h </w:instrText>
      </w:r>
      <w:r>
        <w:rPr>
          <w:noProof/>
        </w:rPr>
      </w:r>
      <w:r>
        <w:rPr>
          <w:noProof/>
        </w:rPr>
        <w:fldChar w:fldCharType="separate"/>
      </w:r>
      <w:r>
        <w:rPr>
          <w:noProof/>
        </w:rPr>
        <w:t>5</w:t>
      </w:r>
      <w:r>
        <w:rPr>
          <w:noProof/>
        </w:rPr>
        <w:fldChar w:fldCharType="end"/>
      </w:r>
    </w:p>
    <w:p w14:paraId="1DA2ACF0" w14:textId="77777777" w:rsidR="00561F6B" w:rsidRPr="001F2716" w:rsidRDefault="00561F6B">
      <w:pPr>
        <w:pStyle w:val="Obsah2"/>
        <w:rPr>
          <w:rFonts w:ascii="Calibri" w:eastAsia="Times New Roman" w:hAnsi="Calibri" w:cs="Times New Roman"/>
          <w:noProof/>
          <w:color w:val="auto"/>
          <w:sz w:val="22"/>
          <w:lang w:eastAsia="en-GB"/>
        </w:rPr>
      </w:pPr>
      <w:r>
        <w:rPr>
          <w:noProof/>
        </w:rPr>
        <w:t>Leadership Models Relevant to Healthcare</w:t>
      </w:r>
      <w:r>
        <w:rPr>
          <w:noProof/>
        </w:rPr>
        <w:tab/>
      </w:r>
      <w:r>
        <w:rPr>
          <w:noProof/>
        </w:rPr>
        <w:fldChar w:fldCharType="begin"/>
      </w:r>
      <w:r>
        <w:rPr>
          <w:noProof/>
        </w:rPr>
        <w:instrText xml:space="preserve"> PAGEREF _Toc225439608 \h </w:instrText>
      </w:r>
      <w:r>
        <w:rPr>
          <w:noProof/>
        </w:rPr>
      </w:r>
      <w:r>
        <w:rPr>
          <w:noProof/>
        </w:rPr>
        <w:fldChar w:fldCharType="separate"/>
      </w:r>
      <w:r>
        <w:rPr>
          <w:noProof/>
        </w:rPr>
        <w:t>5</w:t>
      </w:r>
      <w:r>
        <w:rPr>
          <w:noProof/>
        </w:rPr>
        <w:fldChar w:fldCharType="end"/>
      </w:r>
    </w:p>
    <w:p w14:paraId="04D135A7" w14:textId="77777777" w:rsidR="00561F6B" w:rsidRPr="001F2716" w:rsidRDefault="00561F6B">
      <w:pPr>
        <w:pStyle w:val="Obsah2"/>
        <w:rPr>
          <w:rFonts w:ascii="Calibri" w:eastAsia="Times New Roman" w:hAnsi="Calibri" w:cs="Times New Roman"/>
          <w:noProof/>
          <w:color w:val="auto"/>
          <w:sz w:val="22"/>
          <w:lang w:eastAsia="en-GB"/>
        </w:rPr>
      </w:pPr>
      <w:r>
        <w:rPr>
          <w:noProof/>
        </w:rPr>
        <w:t>Applications in Practice and Ethical Leadership</w:t>
      </w:r>
      <w:r>
        <w:rPr>
          <w:noProof/>
        </w:rPr>
        <w:tab/>
      </w:r>
      <w:r>
        <w:rPr>
          <w:noProof/>
        </w:rPr>
        <w:fldChar w:fldCharType="begin"/>
      </w:r>
      <w:r>
        <w:rPr>
          <w:noProof/>
        </w:rPr>
        <w:instrText xml:space="preserve"> PAGEREF _Toc225439609 \h </w:instrText>
      </w:r>
      <w:r>
        <w:rPr>
          <w:noProof/>
        </w:rPr>
      </w:r>
      <w:r>
        <w:rPr>
          <w:noProof/>
        </w:rPr>
        <w:fldChar w:fldCharType="separate"/>
      </w:r>
      <w:r>
        <w:rPr>
          <w:noProof/>
        </w:rPr>
        <w:t>6</w:t>
      </w:r>
      <w:r>
        <w:rPr>
          <w:noProof/>
        </w:rPr>
        <w:fldChar w:fldCharType="end"/>
      </w:r>
    </w:p>
    <w:p w14:paraId="6903FF90" w14:textId="77777777" w:rsidR="00561F6B" w:rsidRPr="001F2716" w:rsidRDefault="00561F6B">
      <w:pPr>
        <w:pStyle w:val="Obsah2"/>
        <w:rPr>
          <w:rFonts w:ascii="Calibri" w:eastAsia="Times New Roman" w:hAnsi="Calibri" w:cs="Times New Roman"/>
          <w:noProof/>
          <w:color w:val="auto"/>
          <w:sz w:val="22"/>
          <w:lang w:eastAsia="en-GB"/>
        </w:rPr>
      </w:pPr>
      <w:r>
        <w:rPr>
          <w:noProof/>
        </w:rPr>
        <w:t>Reflection</w:t>
      </w:r>
      <w:r>
        <w:rPr>
          <w:noProof/>
        </w:rPr>
        <w:tab/>
      </w:r>
      <w:r>
        <w:rPr>
          <w:noProof/>
        </w:rPr>
        <w:fldChar w:fldCharType="begin"/>
      </w:r>
      <w:r>
        <w:rPr>
          <w:noProof/>
        </w:rPr>
        <w:instrText xml:space="preserve"> PAGEREF _Toc225439610 \h </w:instrText>
      </w:r>
      <w:r>
        <w:rPr>
          <w:noProof/>
        </w:rPr>
      </w:r>
      <w:r>
        <w:rPr>
          <w:noProof/>
        </w:rPr>
        <w:fldChar w:fldCharType="separate"/>
      </w:r>
      <w:r>
        <w:rPr>
          <w:noProof/>
        </w:rPr>
        <w:t>6</w:t>
      </w:r>
      <w:r>
        <w:rPr>
          <w:noProof/>
        </w:rPr>
        <w:fldChar w:fldCharType="end"/>
      </w:r>
    </w:p>
    <w:p w14:paraId="5970247B" w14:textId="77777777" w:rsidR="00561F6B" w:rsidRPr="001F2716" w:rsidRDefault="00561F6B">
      <w:pPr>
        <w:pStyle w:val="Obsah1"/>
        <w:rPr>
          <w:rFonts w:ascii="Calibri" w:eastAsia="Times New Roman" w:hAnsi="Calibri" w:cs="Times New Roman"/>
          <w:noProof/>
          <w:color w:val="auto"/>
          <w:sz w:val="22"/>
          <w:lang w:eastAsia="en-GB"/>
        </w:rPr>
      </w:pPr>
      <w:r>
        <w:rPr>
          <w:noProof/>
        </w:rPr>
        <w:t>Value Creation in Health and Social Care</w:t>
      </w:r>
      <w:r>
        <w:rPr>
          <w:noProof/>
        </w:rPr>
        <w:tab/>
      </w:r>
      <w:r>
        <w:rPr>
          <w:noProof/>
        </w:rPr>
        <w:fldChar w:fldCharType="begin"/>
      </w:r>
      <w:r>
        <w:rPr>
          <w:noProof/>
        </w:rPr>
        <w:instrText xml:space="preserve"> PAGEREF _Toc225439611 \h </w:instrText>
      </w:r>
      <w:r>
        <w:rPr>
          <w:noProof/>
        </w:rPr>
      </w:r>
      <w:r>
        <w:rPr>
          <w:noProof/>
        </w:rPr>
        <w:fldChar w:fldCharType="separate"/>
      </w:r>
      <w:r>
        <w:rPr>
          <w:noProof/>
        </w:rPr>
        <w:t>7</w:t>
      </w:r>
      <w:r>
        <w:rPr>
          <w:noProof/>
        </w:rPr>
        <w:fldChar w:fldCharType="end"/>
      </w:r>
    </w:p>
    <w:p w14:paraId="3E347579" w14:textId="77777777" w:rsidR="00561F6B" w:rsidRPr="001F2716" w:rsidRDefault="00561F6B">
      <w:pPr>
        <w:pStyle w:val="Obsah2"/>
        <w:rPr>
          <w:rFonts w:ascii="Calibri" w:eastAsia="Times New Roman" w:hAnsi="Calibri" w:cs="Times New Roman"/>
          <w:noProof/>
          <w:color w:val="auto"/>
          <w:sz w:val="22"/>
          <w:lang w:eastAsia="en-GB"/>
        </w:rPr>
      </w:pPr>
      <w:r>
        <w:rPr>
          <w:noProof/>
        </w:rPr>
        <w:t>Examples of Value Creation through Innovation</w:t>
      </w:r>
      <w:r>
        <w:rPr>
          <w:noProof/>
        </w:rPr>
        <w:tab/>
      </w:r>
      <w:r>
        <w:rPr>
          <w:noProof/>
        </w:rPr>
        <w:fldChar w:fldCharType="begin"/>
      </w:r>
      <w:r>
        <w:rPr>
          <w:noProof/>
        </w:rPr>
        <w:instrText xml:space="preserve"> PAGEREF _Toc225439612 \h </w:instrText>
      </w:r>
      <w:r>
        <w:rPr>
          <w:noProof/>
        </w:rPr>
      </w:r>
      <w:r>
        <w:rPr>
          <w:noProof/>
        </w:rPr>
        <w:fldChar w:fldCharType="separate"/>
      </w:r>
      <w:r>
        <w:rPr>
          <w:noProof/>
        </w:rPr>
        <w:t>7</w:t>
      </w:r>
      <w:r>
        <w:rPr>
          <w:noProof/>
        </w:rPr>
        <w:fldChar w:fldCharType="end"/>
      </w:r>
    </w:p>
    <w:p w14:paraId="7D8B8748" w14:textId="77777777" w:rsidR="00561F6B" w:rsidRPr="001F2716" w:rsidRDefault="00561F6B">
      <w:pPr>
        <w:pStyle w:val="Obsah2"/>
        <w:rPr>
          <w:rFonts w:ascii="Calibri" w:eastAsia="Times New Roman" w:hAnsi="Calibri" w:cs="Times New Roman"/>
          <w:noProof/>
          <w:color w:val="auto"/>
          <w:sz w:val="22"/>
          <w:lang w:eastAsia="en-GB"/>
        </w:rPr>
      </w:pPr>
      <w:r>
        <w:rPr>
          <w:noProof/>
        </w:rPr>
        <w:t>Reflection</w:t>
      </w:r>
      <w:r>
        <w:rPr>
          <w:noProof/>
        </w:rPr>
        <w:tab/>
      </w:r>
      <w:r>
        <w:rPr>
          <w:noProof/>
        </w:rPr>
        <w:fldChar w:fldCharType="begin"/>
      </w:r>
      <w:r>
        <w:rPr>
          <w:noProof/>
        </w:rPr>
        <w:instrText xml:space="preserve"> PAGEREF _Toc225439613 \h </w:instrText>
      </w:r>
      <w:r>
        <w:rPr>
          <w:noProof/>
        </w:rPr>
      </w:r>
      <w:r>
        <w:rPr>
          <w:noProof/>
        </w:rPr>
        <w:fldChar w:fldCharType="separate"/>
      </w:r>
      <w:r>
        <w:rPr>
          <w:noProof/>
        </w:rPr>
        <w:t>8</w:t>
      </w:r>
      <w:r>
        <w:rPr>
          <w:noProof/>
        </w:rPr>
        <w:fldChar w:fldCharType="end"/>
      </w:r>
    </w:p>
    <w:p w14:paraId="6CD1DDAC" w14:textId="77777777" w:rsidR="00561F6B" w:rsidRPr="001F2716" w:rsidRDefault="00561F6B">
      <w:pPr>
        <w:pStyle w:val="Obsah1"/>
        <w:rPr>
          <w:rFonts w:ascii="Calibri" w:eastAsia="Times New Roman" w:hAnsi="Calibri" w:cs="Times New Roman"/>
          <w:noProof/>
          <w:color w:val="auto"/>
          <w:sz w:val="22"/>
          <w:lang w:eastAsia="en-GB"/>
        </w:rPr>
      </w:pPr>
      <w:r>
        <w:rPr>
          <w:noProof/>
        </w:rPr>
        <w:t>Contemporary Technologies in Health and Social Care</w:t>
      </w:r>
      <w:r>
        <w:rPr>
          <w:noProof/>
        </w:rPr>
        <w:tab/>
      </w:r>
      <w:r>
        <w:rPr>
          <w:noProof/>
        </w:rPr>
        <w:fldChar w:fldCharType="begin"/>
      </w:r>
      <w:r>
        <w:rPr>
          <w:noProof/>
        </w:rPr>
        <w:instrText xml:space="preserve"> PAGEREF _Toc225439614 \h </w:instrText>
      </w:r>
      <w:r>
        <w:rPr>
          <w:noProof/>
        </w:rPr>
      </w:r>
      <w:r>
        <w:rPr>
          <w:noProof/>
        </w:rPr>
        <w:fldChar w:fldCharType="separate"/>
      </w:r>
      <w:r>
        <w:rPr>
          <w:noProof/>
        </w:rPr>
        <w:t>8</w:t>
      </w:r>
      <w:r>
        <w:rPr>
          <w:noProof/>
        </w:rPr>
        <w:fldChar w:fldCharType="end"/>
      </w:r>
    </w:p>
    <w:p w14:paraId="4A320DBD" w14:textId="77777777" w:rsidR="00561F6B" w:rsidRPr="001F2716" w:rsidRDefault="00561F6B">
      <w:pPr>
        <w:pStyle w:val="Obsah2"/>
        <w:rPr>
          <w:rFonts w:ascii="Calibri" w:eastAsia="Times New Roman" w:hAnsi="Calibri" w:cs="Times New Roman"/>
          <w:noProof/>
          <w:color w:val="auto"/>
          <w:sz w:val="22"/>
          <w:lang w:eastAsia="en-GB"/>
        </w:rPr>
      </w:pPr>
      <w:r>
        <w:rPr>
          <w:noProof/>
        </w:rPr>
        <w:t>Overview of Contemporary Technologies</w:t>
      </w:r>
      <w:r>
        <w:rPr>
          <w:noProof/>
        </w:rPr>
        <w:tab/>
      </w:r>
      <w:r>
        <w:rPr>
          <w:noProof/>
        </w:rPr>
        <w:fldChar w:fldCharType="begin"/>
      </w:r>
      <w:r>
        <w:rPr>
          <w:noProof/>
        </w:rPr>
        <w:instrText xml:space="preserve"> PAGEREF _Toc225439615 \h </w:instrText>
      </w:r>
      <w:r>
        <w:rPr>
          <w:noProof/>
        </w:rPr>
      </w:r>
      <w:r>
        <w:rPr>
          <w:noProof/>
        </w:rPr>
        <w:fldChar w:fldCharType="separate"/>
      </w:r>
      <w:r>
        <w:rPr>
          <w:noProof/>
        </w:rPr>
        <w:t>8</w:t>
      </w:r>
      <w:r>
        <w:rPr>
          <w:noProof/>
        </w:rPr>
        <w:fldChar w:fldCharType="end"/>
      </w:r>
    </w:p>
    <w:p w14:paraId="7D45E80B" w14:textId="77777777" w:rsidR="00561F6B" w:rsidRPr="001F2716" w:rsidRDefault="00561F6B">
      <w:pPr>
        <w:pStyle w:val="Obsah2"/>
        <w:rPr>
          <w:rFonts w:ascii="Calibri" w:eastAsia="Times New Roman" w:hAnsi="Calibri" w:cs="Times New Roman"/>
          <w:noProof/>
          <w:color w:val="auto"/>
          <w:sz w:val="22"/>
          <w:lang w:eastAsia="en-GB"/>
        </w:rPr>
      </w:pPr>
      <w:r>
        <w:rPr>
          <w:noProof/>
        </w:rPr>
        <w:t>Impacts on Health and Social Care</w:t>
      </w:r>
      <w:r>
        <w:rPr>
          <w:noProof/>
        </w:rPr>
        <w:tab/>
      </w:r>
      <w:r>
        <w:rPr>
          <w:noProof/>
        </w:rPr>
        <w:fldChar w:fldCharType="begin"/>
      </w:r>
      <w:r>
        <w:rPr>
          <w:noProof/>
        </w:rPr>
        <w:instrText xml:space="preserve"> PAGEREF _Toc225439616 \h </w:instrText>
      </w:r>
      <w:r>
        <w:rPr>
          <w:noProof/>
        </w:rPr>
      </w:r>
      <w:r>
        <w:rPr>
          <w:noProof/>
        </w:rPr>
        <w:fldChar w:fldCharType="separate"/>
      </w:r>
      <w:r>
        <w:rPr>
          <w:noProof/>
        </w:rPr>
        <w:t>8</w:t>
      </w:r>
      <w:r>
        <w:rPr>
          <w:noProof/>
        </w:rPr>
        <w:fldChar w:fldCharType="end"/>
      </w:r>
    </w:p>
    <w:p w14:paraId="7DE3ECC5" w14:textId="77777777" w:rsidR="00561F6B" w:rsidRPr="001F2716" w:rsidRDefault="00561F6B">
      <w:pPr>
        <w:pStyle w:val="Obsah2"/>
        <w:rPr>
          <w:rFonts w:ascii="Calibri" w:eastAsia="Times New Roman" w:hAnsi="Calibri" w:cs="Times New Roman"/>
          <w:noProof/>
          <w:color w:val="auto"/>
          <w:sz w:val="22"/>
          <w:lang w:eastAsia="en-GB"/>
        </w:rPr>
      </w:pPr>
      <w:r>
        <w:rPr>
          <w:noProof/>
        </w:rPr>
        <w:t>Reflection</w:t>
      </w:r>
      <w:r>
        <w:rPr>
          <w:noProof/>
        </w:rPr>
        <w:tab/>
      </w:r>
      <w:r>
        <w:rPr>
          <w:noProof/>
        </w:rPr>
        <w:fldChar w:fldCharType="begin"/>
      </w:r>
      <w:r>
        <w:rPr>
          <w:noProof/>
        </w:rPr>
        <w:instrText xml:space="preserve"> PAGEREF _Toc225439617 \h </w:instrText>
      </w:r>
      <w:r>
        <w:rPr>
          <w:noProof/>
        </w:rPr>
      </w:r>
      <w:r>
        <w:rPr>
          <w:noProof/>
        </w:rPr>
        <w:fldChar w:fldCharType="separate"/>
      </w:r>
      <w:r>
        <w:rPr>
          <w:noProof/>
        </w:rPr>
        <w:t>9</w:t>
      </w:r>
      <w:r>
        <w:rPr>
          <w:noProof/>
        </w:rPr>
        <w:fldChar w:fldCharType="end"/>
      </w:r>
    </w:p>
    <w:p w14:paraId="2BFF4EA8" w14:textId="77777777" w:rsidR="00561F6B" w:rsidRPr="001F2716" w:rsidRDefault="00561F6B">
      <w:pPr>
        <w:pStyle w:val="Obsah1"/>
        <w:rPr>
          <w:rFonts w:ascii="Calibri" w:eastAsia="Times New Roman" w:hAnsi="Calibri" w:cs="Times New Roman"/>
          <w:noProof/>
          <w:color w:val="auto"/>
          <w:sz w:val="22"/>
          <w:lang w:eastAsia="en-GB"/>
        </w:rPr>
      </w:pPr>
      <w:r>
        <w:rPr>
          <w:noProof/>
        </w:rPr>
        <w:t>Conclusion</w:t>
      </w:r>
      <w:r>
        <w:rPr>
          <w:noProof/>
        </w:rPr>
        <w:tab/>
      </w:r>
      <w:r>
        <w:rPr>
          <w:noProof/>
        </w:rPr>
        <w:fldChar w:fldCharType="begin"/>
      </w:r>
      <w:r>
        <w:rPr>
          <w:noProof/>
        </w:rPr>
        <w:instrText xml:space="preserve"> PAGEREF _Toc225439618 \h </w:instrText>
      </w:r>
      <w:r>
        <w:rPr>
          <w:noProof/>
        </w:rPr>
      </w:r>
      <w:r>
        <w:rPr>
          <w:noProof/>
        </w:rPr>
        <w:fldChar w:fldCharType="separate"/>
      </w:r>
      <w:r>
        <w:rPr>
          <w:noProof/>
        </w:rPr>
        <w:t>9</w:t>
      </w:r>
      <w:r>
        <w:rPr>
          <w:noProof/>
        </w:rPr>
        <w:fldChar w:fldCharType="end"/>
      </w:r>
    </w:p>
    <w:p w14:paraId="7C795E11" w14:textId="77777777" w:rsidR="00561F6B" w:rsidRPr="001F2716" w:rsidRDefault="00561F6B">
      <w:pPr>
        <w:pStyle w:val="Obsah1"/>
        <w:rPr>
          <w:rFonts w:ascii="Calibri" w:eastAsia="Times New Roman" w:hAnsi="Calibri" w:cs="Times New Roman"/>
          <w:noProof/>
          <w:color w:val="auto"/>
          <w:sz w:val="22"/>
          <w:lang w:eastAsia="en-GB"/>
        </w:rPr>
      </w:pPr>
      <w:r>
        <w:rPr>
          <w:noProof/>
        </w:rPr>
        <w:t>References</w:t>
      </w:r>
      <w:r>
        <w:rPr>
          <w:noProof/>
        </w:rPr>
        <w:tab/>
      </w:r>
      <w:r>
        <w:rPr>
          <w:noProof/>
        </w:rPr>
        <w:fldChar w:fldCharType="begin"/>
      </w:r>
      <w:r>
        <w:rPr>
          <w:noProof/>
        </w:rPr>
        <w:instrText xml:space="preserve"> PAGEREF _Toc225439619 \h </w:instrText>
      </w:r>
      <w:r>
        <w:rPr>
          <w:noProof/>
        </w:rPr>
      </w:r>
      <w:r>
        <w:rPr>
          <w:noProof/>
        </w:rPr>
        <w:fldChar w:fldCharType="separate"/>
      </w:r>
      <w:r>
        <w:rPr>
          <w:noProof/>
        </w:rPr>
        <w:t>10</w:t>
      </w:r>
      <w:r>
        <w:rPr>
          <w:noProof/>
        </w:rPr>
        <w:fldChar w:fldCharType="end"/>
      </w:r>
    </w:p>
    <w:p w14:paraId="571AA69D" w14:textId="77777777" w:rsidR="005901D0" w:rsidRPr="00752C57" w:rsidRDefault="00793373" w:rsidP="005901D0">
      <w:pPr>
        <w:pStyle w:val="Obsah1"/>
        <w:rPr>
          <w:rFonts w:cs="Times New Roman"/>
          <w:color w:val="auto"/>
          <w:szCs w:val="24"/>
        </w:rPr>
      </w:pPr>
      <w:r w:rsidRPr="00752C57">
        <w:rPr>
          <w:rFonts w:cs="Times New Roman"/>
          <w:color w:val="auto"/>
        </w:rPr>
        <w:fldChar w:fldCharType="end"/>
      </w:r>
    </w:p>
    <w:p w14:paraId="3476B937" w14:textId="77777777" w:rsidR="00793373" w:rsidRPr="00752C57" w:rsidRDefault="00793373">
      <w:pPr>
        <w:rPr>
          <w:color w:val="auto"/>
          <w:szCs w:val="24"/>
        </w:rPr>
      </w:pPr>
    </w:p>
    <w:p w14:paraId="49AC4733" w14:textId="77777777" w:rsidR="00FA3835" w:rsidRPr="00752C57" w:rsidRDefault="00FA3835">
      <w:pPr>
        <w:rPr>
          <w:color w:val="auto"/>
          <w:szCs w:val="24"/>
        </w:rPr>
      </w:pPr>
    </w:p>
    <w:p w14:paraId="71344FA8" w14:textId="77777777" w:rsidR="00FA3835" w:rsidRPr="00752C57" w:rsidRDefault="00FA3835">
      <w:pPr>
        <w:rPr>
          <w:color w:val="auto"/>
          <w:szCs w:val="24"/>
        </w:rPr>
      </w:pPr>
    </w:p>
    <w:p w14:paraId="7EE0E1F4" w14:textId="77777777" w:rsidR="0093725C" w:rsidRPr="00752C57" w:rsidRDefault="006407FE" w:rsidP="00607926">
      <w:pPr>
        <w:pStyle w:val="Nadpis1"/>
      </w:pPr>
      <w:r w:rsidRPr="00752C57">
        <w:br w:type="page"/>
      </w:r>
      <w:bookmarkStart w:id="1" w:name="_Toc225439602"/>
      <w:r w:rsidR="00607926" w:rsidRPr="00752C57">
        <w:t>Introduction</w:t>
      </w:r>
      <w:bookmarkEnd w:id="1"/>
    </w:p>
    <w:p w14:paraId="14494C7F" w14:textId="77777777" w:rsidR="00A654E6" w:rsidRDefault="00127FDE" w:rsidP="00A654E6">
      <w:r w:rsidRPr="00127FDE">
        <w:t>This portfolio is an attempt at critically studying innovation as being based on creativity, leadership, and value creation in the health and social care environment and how these aspects are applicable to enhancing quality, outcomes, and service delivery. Being used in the complex healthcare setting, creativity helps practitioners to develop new and practical solutions to the current and arising issues and boost the clinical problem solving and organisational performance (e.g. develop new approaches to patient care and service efficiencies)</w:t>
      </w:r>
      <w:r w:rsidR="004458C1">
        <w:t xml:space="preserve"> </w:t>
      </w:r>
      <w:r w:rsidR="004458C1" w:rsidRPr="004458C1">
        <w:t>(Brewster et al., 2021)</w:t>
      </w:r>
      <w:r w:rsidRPr="00127FDE">
        <w:t xml:space="preserve">. Leadership is the driving force behind shaping cultures that embrace creativity and innovation; and successful leaders provide an environment where teams find the courage to explore, improve, and introduce change that could result in a significant changes in the provision of care deliverables. Creation of value in health and social care indicates a combination of resources, services and technologies that generate relevant benefits to patients, providers and even stakeholders. The modern technologies </w:t>
      </w:r>
      <w:r>
        <w:t>r</w:t>
      </w:r>
      <w:r w:rsidRPr="00127FDE">
        <w:t>eflect the use of digital tools and data systems that are redefining the concept of co-created and delivered values throughout the health and social care system</w:t>
      </w:r>
      <w:r w:rsidR="004458C1">
        <w:t xml:space="preserve"> </w:t>
      </w:r>
      <w:r w:rsidR="004458C1" w:rsidRPr="004458C1">
        <w:t>(Paul, 2024)</w:t>
      </w:r>
      <w:r w:rsidRPr="00127FDE">
        <w:t>.</w:t>
      </w:r>
    </w:p>
    <w:p w14:paraId="5B086B8B" w14:textId="77777777" w:rsidR="00127FDE" w:rsidRPr="00752C57" w:rsidRDefault="00127FDE" w:rsidP="00A654E6"/>
    <w:p w14:paraId="6D12914E" w14:textId="77777777" w:rsidR="00784EBE" w:rsidRPr="00752C57" w:rsidRDefault="00127FDE" w:rsidP="00127FDE">
      <w:pPr>
        <w:pStyle w:val="Nadpis1"/>
      </w:pPr>
      <w:bookmarkStart w:id="2" w:name="_Toc225439603"/>
      <w:r w:rsidRPr="00127FDE">
        <w:t>Creativity and Innovation in Health and Social Care</w:t>
      </w:r>
      <w:bookmarkEnd w:id="2"/>
    </w:p>
    <w:p w14:paraId="7C5D470E" w14:textId="77777777" w:rsidR="00127FDE" w:rsidRDefault="00127FDE" w:rsidP="00127FDE">
      <w:r>
        <w:t>Creativity is the process of coming up with new ideas, products, or methods that solve a certain problem or enhance the practices. Creativity, in a health and a social care context is not limited to the artistic domain, but encompasses the cognitive processes that result in significant change in care processes, service architecture, or work process (e.g. the development of novel care pathways that yield better patient outcomes)</w:t>
      </w:r>
      <w:r w:rsidR="00AF64A6">
        <w:t xml:space="preserve"> </w:t>
      </w:r>
      <w:r w:rsidR="00AF64A6" w:rsidRPr="00AF64A6">
        <w:t>(Schubert, 2021)</w:t>
      </w:r>
      <w:r>
        <w:t>. Creativity in its essence is about generating original and valuable ideas, which in a specific situation prove to be useful. The above definition is compatible with psychological approaches that point out that creativity depicts the production of outputs that are novel and suitable in reference to the physical world requirements.</w:t>
      </w:r>
    </w:p>
    <w:p w14:paraId="217BEFAE" w14:textId="77777777" w:rsidR="00127FDE" w:rsidRDefault="00127FDE" w:rsidP="00127FDE"/>
    <w:p w14:paraId="2AA6A8F9" w14:textId="77777777" w:rsidR="00127FDE" w:rsidRDefault="00127FDE" w:rsidP="00127FDE">
      <w:pPr>
        <w:pStyle w:val="Nadpis2"/>
      </w:pPr>
      <w:bookmarkStart w:id="3" w:name="_Toc225439604"/>
      <w:r>
        <w:t>Creativity Models</w:t>
      </w:r>
      <w:bookmarkEnd w:id="3"/>
    </w:p>
    <w:p w14:paraId="56AD2C3A" w14:textId="77777777" w:rsidR="00127FDE" w:rsidRDefault="00127FDE" w:rsidP="00127FDE">
      <w:r>
        <w:t xml:space="preserve">The 4P's model (Person, Process, Product, Press) can be seen as one of the mostly used theories on comprehending creativity. </w:t>
      </w:r>
      <w:r w:rsidR="004458C1">
        <w:t>C</w:t>
      </w:r>
      <w:r>
        <w:t>reativity was conceptualised as:</w:t>
      </w:r>
    </w:p>
    <w:p w14:paraId="4C8689C2" w14:textId="77777777" w:rsidR="00127FDE" w:rsidRDefault="00127FDE" w:rsidP="00127FDE">
      <w:pPr>
        <w:numPr>
          <w:ilvl w:val="0"/>
          <w:numId w:val="30"/>
        </w:numPr>
      </w:pPr>
      <w:r>
        <w:t>Person - characteristics or qualities of personalities that create thoughts,</w:t>
      </w:r>
    </w:p>
    <w:p w14:paraId="605FA566" w14:textId="77777777" w:rsidR="00127FDE" w:rsidRDefault="00127FDE" w:rsidP="00127FDE">
      <w:pPr>
        <w:numPr>
          <w:ilvl w:val="0"/>
          <w:numId w:val="30"/>
        </w:numPr>
      </w:pPr>
      <w:r>
        <w:t>Process - stages and mental operations in the generation of ideas,</w:t>
      </w:r>
    </w:p>
    <w:p w14:paraId="505936A9" w14:textId="77777777" w:rsidR="00127FDE" w:rsidRDefault="00127FDE" w:rsidP="00127FDE">
      <w:pPr>
        <w:numPr>
          <w:ilvl w:val="0"/>
          <w:numId w:val="30"/>
        </w:numPr>
      </w:pPr>
      <w:r>
        <w:t>Product - the good itself, or production,</w:t>
      </w:r>
    </w:p>
    <w:p w14:paraId="0992CDDC" w14:textId="77777777" w:rsidR="00127FDE" w:rsidRDefault="00127FDE" w:rsidP="004458C1">
      <w:pPr>
        <w:numPr>
          <w:ilvl w:val="0"/>
          <w:numId w:val="30"/>
        </w:numPr>
      </w:pPr>
      <w:r>
        <w:t>Press - environment in which creativity is either facilitated or hampered</w:t>
      </w:r>
      <w:r w:rsidR="004458C1">
        <w:t xml:space="preserve"> </w:t>
      </w:r>
      <w:r w:rsidR="004458C1" w:rsidRPr="004458C1">
        <w:t>(Tang and Gruszka , 2017)</w:t>
      </w:r>
      <w:r>
        <w:t>.</w:t>
      </w:r>
    </w:p>
    <w:p w14:paraId="5FF029F1" w14:textId="77777777" w:rsidR="00127FDE" w:rsidRDefault="00127FDE" w:rsidP="00127FDE">
      <w:pPr>
        <w:ind w:left="360"/>
      </w:pPr>
      <w:r>
        <w:t>The model offers a wholesome perspective in the study of how creative results are as a result of interaction of people, the way they think, the resultant product, and the environment that they operate within.</w:t>
      </w:r>
    </w:p>
    <w:p w14:paraId="1B85E529" w14:textId="77777777" w:rsidR="00127FDE" w:rsidRDefault="00127FDE" w:rsidP="00127FDE">
      <w:r>
        <w:t>Design Thinking is another powerful model that is used in human-centred, iterative problem-solving schemes and is widely used in healthcare innovation. The Design Thinking theory can be applied through empathy (knowing the needs of the users), ideation, prototyping and testing the solutions. Design Thinking can enable innovation in health and social care through developing innovative, feasible, and relevant interventions to patients in a setting that involves patients, clinicians, and other stakeholders during the process of innovation (e.g., a digital tool based on the input of the clinician)</w:t>
      </w:r>
      <w:r w:rsidR="00AF64A6">
        <w:t xml:space="preserve"> </w:t>
      </w:r>
      <w:r w:rsidR="00AF64A6" w:rsidRPr="00AF64A6">
        <w:t>(Altman, Huang and Breland, 2018)</w:t>
      </w:r>
      <w:r>
        <w:t>.</w:t>
      </w:r>
    </w:p>
    <w:p w14:paraId="7AB50ADE" w14:textId="77777777" w:rsidR="00127FDE" w:rsidRDefault="00127FDE" w:rsidP="00127FDE"/>
    <w:p w14:paraId="0E6ED09A" w14:textId="77777777" w:rsidR="00127FDE" w:rsidRDefault="00127FDE" w:rsidP="00127FDE">
      <w:pPr>
        <w:pStyle w:val="Nadpis2"/>
      </w:pPr>
      <w:bookmarkStart w:id="4" w:name="_Toc225439605"/>
      <w:r w:rsidRPr="00127FDE">
        <w:t>Applications in Health and Social Care</w:t>
      </w:r>
      <w:bookmarkEnd w:id="4"/>
    </w:p>
    <w:p w14:paraId="4C455147" w14:textId="77777777" w:rsidR="00127FDE" w:rsidRDefault="00127FDE" w:rsidP="00127FDE">
      <w:r>
        <w:t>Diversity and creativity can make innovations in health and social care which could transform care situations, technologies, and models of services delivery. For example:</w:t>
      </w:r>
    </w:p>
    <w:p w14:paraId="1A4BE683" w14:textId="77777777" w:rsidR="00127FDE" w:rsidRDefault="00127FDE" w:rsidP="00127FDE">
      <w:pPr>
        <w:numPr>
          <w:ilvl w:val="0"/>
          <w:numId w:val="31"/>
        </w:numPr>
      </w:pPr>
      <w:r>
        <w:t>Imaginative design can be applied to convert the concept of dementia friendly spaces in which cognitive overload is minimized and personality affected by dementia find solace in orientation and autonomy.</w:t>
      </w:r>
    </w:p>
    <w:p w14:paraId="6CD701A2" w14:textId="77777777" w:rsidR="00127FDE" w:rsidRDefault="00127FDE" w:rsidP="00127FDE">
      <w:pPr>
        <w:numPr>
          <w:ilvl w:val="0"/>
          <w:numId w:val="31"/>
        </w:numPr>
      </w:pPr>
      <w:r>
        <w:t>A smart biosensor is an example of wearable technology that offers real-time health results to patients with chronic illnesses by creating the opportunity to intervene earlier and treat the patient in unique ways.</w:t>
      </w:r>
    </w:p>
    <w:p w14:paraId="0F66A016" w14:textId="77777777" w:rsidR="00127FDE" w:rsidRDefault="00127FDE" w:rsidP="00127FDE">
      <w:pPr>
        <w:numPr>
          <w:ilvl w:val="0"/>
          <w:numId w:val="31"/>
        </w:numPr>
      </w:pPr>
      <w:r>
        <w:t>AI-based diagnostics can assist clinicians by identifying artistic patterns in the imaging or clinical data which might be overlooked through traditional methods thus enhancing human diagnostics and response time.</w:t>
      </w:r>
    </w:p>
    <w:p w14:paraId="6F18259C" w14:textId="77777777" w:rsidR="00127FDE" w:rsidRDefault="00127FDE" w:rsidP="00127FDE">
      <w:r>
        <w:t>These instances reveal how innovative creativity can result in patient experience improvement innovations, clinical outcome improvement innovations and efficiency enhancing innovations in an organisation</w:t>
      </w:r>
      <w:r w:rsidR="00AF64A6">
        <w:t xml:space="preserve"> </w:t>
      </w:r>
      <w:r w:rsidR="00AF64A6" w:rsidRPr="00AF64A6">
        <w:t>(Waller and Masterson, 2015)</w:t>
      </w:r>
      <w:r>
        <w:t>.</w:t>
      </w:r>
    </w:p>
    <w:p w14:paraId="0C67C5AA" w14:textId="77777777" w:rsidR="00127FDE" w:rsidRDefault="00127FDE" w:rsidP="00127FDE"/>
    <w:p w14:paraId="0416C522" w14:textId="77777777" w:rsidR="00127FDE" w:rsidRDefault="00127FDE" w:rsidP="00127FDE">
      <w:pPr>
        <w:pStyle w:val="Nadpis2"/>
      </w:pPr>
      <w:bookmarkStart w:id="5" w:name="_Toc225439606"/>
      <w:r>
        <w:t>Reflection</w:t>
      </w:r>
      <w:bookmarkEnd w:id="5"/>
    </w:p>
    <w:p w14:paraId="78954991" w14:textId="77777777" w:rsidR="00F17CBC" w:rsidRDefault="00127FDE" w:rsidP="00127FDE">
      <w:r>
        <w:t>I have developed a new concept of creativity in health and social care, focusing on how to frame the problem and to engage with users. Creativity is not a gift but a process that appear to be modified in specific environments to be formed and through problem-solving schemes such as Design Thinking. Practically, the most effective creative solutions tend to mitigate genuine need and are created through the system of trial and error during which reception and value addition transpire.</w:t>
      </w:r>
    </w:p>
    <w:p w14:paraId="123443ED" w14:textId="77777777" w:rsidR="00127FDE" w:rsidRDefault="00127FDE" w:rsidP="00607926"/>
    <w:p w14:paraId="7A1EA580" w14:textId="77777777" w:rsidR="00127FDE" w:rsidRDefault="00127FDE" w:rsidP="00127FDE">
      <w:pPr>
        <w:pStyle w:val="Nadpis1"/>
      </w:pPr>
      <w:bookmarkStart w:id="6" w:name="_Toc225439607"/>
      <w:r>
        <w:t>Leadership in Health and Social Care</w:t>
      </w:r>
      <w:bookmarkEnd w:id="6"/>
    </w:p>
    <w:p w14:paraId="04C00781" w14:textId="77777777" w:rsidR="00127FDE" w:rsidRDefault="00127FDE" w:rsidP="00127FDE">
      <w:r>
        <w:t>As a concept, leadership describes the capacity to exert influence and motivation as well as guide others or teams to reach a common goal or result in whatever the context (organisational, clinical, or service-delivery). Leadership is crucial in the field of health and social care since the industry is highly complex and fast changing coupled with great ethical requirements, where choices made at the top may have a direct influence on patient safety and care</w:t>
      </w:r>
      <w:r w:rsidR="00AF64A6">
        <w:t xml:space="preserve"> </w:t>
      </w:r>
      <w:r w:rsidR="00AF64A6" w:rsidRPr="00AF64A6">
        <w:t>(Singh et al., 2024)</w:t>
      </w:r>
      <w:r>
        <w:t>. Leaders in the field of health care are pivotal in providing direction, resiliency cultures, and facilitating multidisciplinary teams to provide their patients with patient-centred and high quality care under the challenges of an organisation like limited resources and complexity in regulations. The management of effective leadership also affects the staff morale, retention, as well as professional development in a stressful environment with high workloads that is attributed to situations</w:t>
      </w:r>
      <w:r w:rsidR="00AF64A6">
        <w:t xml:space="preserve"> </w:t>
      </w:r>
      <w:r w:rsidR="00AF64A6" w:rsidRPr="00AF64A6">
        <w:t>(Sikalgar et al., 2025)</w:t>
      </w:r>
      <w:r>
        <w:t>.</w:t>
      </w:r>
    </w:p>
    <w:p w14:paraId="55EC97D5" w14:textId="77777777" w:rsidR="00127FDE" w:rsidRDefault="00127FDE" w:rsidP="00127FDE"/>
    <w:p w14:paraId="7089BA84" w14:textId="77777777" w:rsidR="00127FDE" w:rsidRDefault="00127FDE" w:rsidP="00127FDE">
      <w:pPr>
        <w:pStyle w:val="Nadpis2"/>
      </w:pPr>
      <w:bookmarkStart w:id="7" w:name="_Toc225439608"/>
      <w:r w:rsidRPr="00127FDE">
        <w:t>Leadership Models Relevant to Healthcare</w:t>
      </w:r>
      <w:bookmarkEnd w:id="7"/>
    </w:p>
    <w:p w14:paraId="6EC5489F" w14:textId="77777777" w:rsidR="00127FDE" w:rsidRDefault="00127FDE" w:rsidP="00127FDE">
      <w:r>
        <w:t>Situational Leadership and Transformational Leadership are two leadership approaches that are of special significance to health and social care:</w:t>
      </w:r>
    </w:p>
    <w:p w14:paraId="217FE08B" w14:textId="77777777" w:rsidR="00127FDE" w:rsidRDefault="00127FDE" w:rsidP="00127FDE">
      <w:pPr>
        <w:numPr>
          <w:ilvl w:val="0"/>
          <w:numId w:val="32"/>
        </w:numPr>
      </w:pPr>
      <w:r>
        <w:t xml:space="preserve">In </w:t>
      </w:r>
      <w:r w:rsidRPr="00127FDE">
        <w:rPr>
          <w:b/>
        </w:rPr>
        <w:t>situational Leadership</w:t>
      </w:r>
      <w:r>
        <w:t>, no one good style exists; fresh and good leaders should change their approach towards their subordinates and situation at a particular time depending on their competence and motivation, and also the situation and task at hand. A leader could, as an example, provide directive assistance to newly certified personnel and be more supportive and grant more autonomy to seasoned clinicians. Such flexibility improves the response of the teams to different clinical situations and their effectiveness.</w:t>
      </w:r>
    </w:p>
    <w:p w14:paraId="41D5F3D0" w14:textId="77777777" w:rsidR="00127FDE" w:rsidRDefault="00127FDE" w:rsidP="00127FDE">
      <w:pPr>
        <w:numPr>
          <w:ilvl w:val="0"/>
          <w:numId w:val="32"/>
        </w:numPr>
      </w:pPr>
      <w:r w:rsidRPr="00127FDE">
        <w:rPr>
          <w:b/>
        </w:rPr>
        <w:t>Transformational Leadership</w:t>
      </w:r>
      <w:r>
        <w:t xml:space="preserve"> is aimed at inspirational and motivational work with teams around a common vision to promote innovation, cooperation, and self-improvement. Transformational leaders enable leaders within healthcare delivery space to innovate culture in which employees feel free to reinforce ideas, be enterprising, and advance a common objective regarding service quality improvement and patient care. Transformational leadership has been related to a better team morale, staff engagement, and patient safety outcomes due to alignment of organisational vision and the individual development and team purpose.</w:t>
      </w:r>
    </w:p>
    <w:p w14:paraId="47F738B2" w14:textId="77777777" w:rsidR="00127FDE" w:rsidRDefault="00127FDE" w:rsidP="00127FDE"/>
    <w:p w14:paraId="7246DF1A" w14:textId="77777777" w:rsidR="00127FDE" w:rsidRDefault="00127FDE" w:rsidP="00127FDE">
      <w:pPr>
        <w:pStyle w:val="Nadpis2"/>
      </w:pPr>
      <w:bookmarkStart w:id="8" w:name="_Toc225439609"/>
      <w:r w:rsidRPr="00127FDE">
        <w:t>Applications in Practice and Ethical Leadership</w:t>
      </w:r>
      <w:bookmarkEnd w:id="8"/>
    </w:p>
    <w:p w14:paraId="23E9CB81" w14:textId="77777777" w:rsidR="00127FDE" w:rsidRDefault="00127FDE" w:rsidP="00127FDE">
      <w:r>
        <w:t>There is the leadership that affects day-to-day healthcare practice. As an example, leaders who use situational styles can learn to enhance performance of the surgical team by varying the degree of direction in the pre-operative planning versus intra-operative emergencies. Quality improvement programs are commonly facilitated by transformational leaders and these leaders motivate clinical teams to redesign processes of care that minimize errors or allow them to work more efficiently. Ethical leadership within the healthcare sector focuses on normably correct behaviour, fairness, integrity and adherence to dignity, which have direct impacts with patient trust, as well as organisational culture. Ethical leaders serve patient-centred and equitable consistency, as well as provide ideal behaviour to uphold professional standards, which strengthens continuity of quality care and diminishes ethical conflict risks.</w:t>
      </w:r>
    </w:p>
    <w:p w14:paraId="5B30CC48" w14:textId="77777777" w:rsidR="00127FDE" w:rsidRDefault="00127FDE" w:rsidP="00127FDE"/>
    <w:p w14:paraId="7A19DDBD" w14:textId="77777777" w:rsidR="00127FDE" w:rsidRDefault="00127FDE" w:rsidP="00127FDE">
      <w:pPr>
        <w:pStyle w:val="Nadpis2"/>
      </w:pPr>
      <w:bookmarkStart w:id="9" w:name="_Toc225439610"/>
      <w:r>
        <w:t>Reflection</w:t>
      </w:r>
      <w:bookmarkEnd w:id="9"/>
    </w:p>
    <w:p w14:paraId="4D5C97F7" w14:textId="77777777" w:rsidR="00127FDE" w:rsidRDefault="00127FDE" w:rsidP="00127FDE">
      <w:r>
        <w:t>Both situational and transformational leadership models would be used in case of innovation and change management in my future practice in health and social care. The adoption of situational leadership style could enable me to align leadership behavior to those of the team and clinical practices, and the use of transformational leadership encourage a culture of shared vision and never-ending improvement. The integration of the ethical leadership values would further make sure that the decisions are patient-centred and are informed by professional standards especially when introducing novel solutions that need to balance risks, non-risk factors, and varied stakeholder concerns.</w:t>
      </w:r>
    </w:p>
    <w:p w14:paraId="743EC5C1" w14:textId="77777777" w:rsidR="00127FDE" w:rsidRDefault="00127FDE" w:rsidP="00607926"/>
    <w:p w14:paraId="273573F4" w14:textId="77777777" w:rsidR="00127FDE" w:rsidRDefault="00974D0D" w:rsidP="00974D0D">
      <w:pPr>
        <w:pStyle w:val="Nadpis1"/>
      </w:pPr>
      <w:bookmarkStart w:id="10" w:name="_Toc225439611"/>
      <w:r>
        <w:t>Value Creation in Health and Social Care</w:t>
      </w:r>
      <w:bookmarkEnd w:id="10"/>
    </w:p>
    <w:p w14:paraId="48AE0E43" w14:textId="77777777" w:rsidR="00974D0D" w:rsidRDefault="00974D0D" w:rsidP="00974D0D">
      <w:r>
        <w:t>Value creation in health and social care can be used to describe the process of achieving significant benefits, in terms of health outcomes, for the patients, the provider, and other stakeholders when compared to the costs and resources involved in the process. Cost reduction does not define value but instilling enhancement of clinical effectiveness, patient experience, equity, efficiency, and a central tenet of value-based health care which highlights better health outcomes with a unit of cost</w:t>
      </w:r>
      <w:r w:rsidR="00AF64A6">
        <w:t xml:space="preserve"> </w:t>
      </w:r>
      <w:r w:rsidR="00AF64A6" w:rsidRPr="00AF64A6">
        <w:t>(Hlongwane and Grobbelaar, 2022)</w:t>
      </w:r>
      <w:r>
        <w:t>. This model re-arranges services to put in priority those things that most matter to the patients and provide efficiency in the utilisation of resources so that they can deliver quality care.</w:t>
      </w:r>
    </w:p>
    <w:p w14:paraId="58660A23" w14:textId="77777777" w:rsidR="00974D0D" w:rsidRDefault="00974D0D" w:rsidP="00974D0D"/>
    <w:p w14:paraId="5D9FCCD6" w14:textId="77777777" w:rsidR="00974D0D" w:rsidRDefault="00974D0D" w:rsidP="00974D0D">
      <w:pPr>
        <w:pStyle w:val="Nadpis2"/>
      </w:pPr>
      <w:bookmarkStart w:id="11" w:name="_Toc225439612"/>
      <w:r w:rsidRPr="00974D0D">
        <w:t>Examples of Value Creation through Innovation</w:t>
      </w:r>
      <w:bookmarkEnd w:id="11"/>
    </w:p>
    <w:p w14:paraId="56820BB4" w14:textId="77777777" w:rsidR="00974D0D" w:rsidRDefault="00974D0D" w:rsidP="00974D0D">
      <w:r>
        <w:t>The value creation in health and social care is based on creativity and innovation. Among the notable ones is the application of artificial intelligence (AI) to early diagnosis and decision support- Artificial intelligence (AI) systems are able to understand in-depth clinical scenarios (e.g., imaging or electronic health records data) to determine subtle patterns that a human would be unable to find, allowing better diagnostic quality and raw time. The innovations have the ability to create earlier interventions and improved patient outcomes</w:t>
      </w:r>
      <w:r w:rsidR="009A112F">
        <w:t xml:space="preserve"> </w:t>
      </w:r>
      <w:r w:rsidR="009A112F" w:rsidRPr="009A112F">
        <w:t>(Bajwa et al., 2021)</w:t>
      </w:r>
      <w:r>
        <w:t>.</w:t>
      </w:r>
    </w:p>
    <w:p w14:paraId="5607C9B0" w14:textId="77777777" w:rsidR="00974D0D" w:rsidRDefault="00974D0D" w:rsidP="00974D0D">
      <w:pPr>
        <w:ind w:firstLine="720"/>
      </w:pPr>
      <w:r>
        <w:t>Remote patient monitoring (RPM) and telemedicine is another important example. Telemedicine allows patients, especially in rural or underserved nations, to seek care without travel, whereas RPM systems have connected gadgets and sensors, which measure vital signs continuously and alert clinicians about the risk of worsen. Research indicates that RPM has the potential to minimize rehospitalization, enable upcoming medication errors, and manage chronic illnesses more effectively as compared to conventional face-to-face care given in isolation.</w:t>
      </w:r>
    </w:p>
    <w:p w14:paraId="03D141DA" w14:textId="77777777" w:rsidR="00974D0D" w:rsidRDefault="00974D0D" w:rsidP="00974D0D">
      <w:pPr>
        <w:ind w:firstLine="720"/>
      </w:pPr>
      <w:r>
        <w:t>Telemedicine, AI, and connected technology municipalities combine to carve out health ecosystems versions, not only can help to improve clinical workflows, but by enabling patients to engage in their care, they can enhance accessibility as well as continuity</w:t>
      </w:r>
      <w:r w:rsidR="009A112F">
        <w:t xml:space="preserve"> </w:t>
      </w:r>
      <w:r w:rsidR="009A112F" w:rsidRPr="009A112F">
        <w:t>(Sarkar, Dey and Mia, 2025)</w:t>
      </w:r>
      <w:r>
        <w:t>.</w:t>
      </w:r>
    </w:p>
    <w:p w14:paraId="0DD804AA" w14:textId="77777777" w:rsidR="00974D0D" w:rsidRDefault="00974D0D" w:rsidP="00974D0D"/>
    <w:p w14:paraId="3337B7A3" w14:textId="77777777" w:rsidR="00974D0D" w:rsidRDefault="00974D0D" w:rsidP="00974D0D">
      <w:pPr>
        <w:pStyle w:val="Nadpis2"/>
      </w:pPr>
      <w:bookmarkStart w:id="12" w:name="_Toc225439613"/>
      <w:r>
        <w:t>Reflection</w:t>
      </w:r>
      <w:bookmarkEnd w:id="12"/>
    </w:p>
    <w:p w14:paraId="7B8CC5CC" w14:textId="77777777" w:rsidR="00127FDE" w:rsidRDefault="00974D0D" w:rsidP="00974D0D">
      <w:r>
        <w:t>Such innovations act to add value by ensuring that the healthcare delivery and sustainability of the system meet the needs of the patients. AI-based diagnostics increases clinical decision-making and lowers the delays, whereas telemedicine and RPM increases access, continuity, and prevention care. Together, these innovative solutions augment performance and productivity of service delivery and precious care that give more value to individuals and the health system at large.</w:t>
      </w:r>
    </w:p>
    <w:p w14:paraId="628D1E4A" w14:textId="77777777" w:rsidR="00974D0D" w:rsidRDefault="00974D0D" w:rsidP="00607926"/>
    <w:p w14:paraId="5ACFEE66" w14:textId="77777777" w:rsidR="00974D0D" w:rsidRDefault="00974D0D" w:rsidP="00974D0D">
      <w:pPr>
        <w:pStyle w:val="Nadpis1"/>
      </w:pPr>
      <w:bookmarkStart w:id="13" w:name="_Toc225439614"/>
      <w:r>
        <w:t>Contemporary Technologies in Health and Social Care</w:t>
      </w:r>
      <w:bookmarkEnd w:id="13"/>
    </w:p>
    <w:p w14:paraId="75F9A002" w14:textId="77777777" w:rsidR="00974D0D" w:rsidRDefault="00974D0D" w:rsidP="00974D0D">
      <w:pPr>
        <w:pStyle w:val="Nadpis2"/>
      </w:pPr>
      <w:bookmarkStart w:id="14" w:name="_Toc225439615"/>
      <w:r w:rsidRPr="00974D0D">
        <w:t>Overview of Contemporary Technologies</w:t>
      </w:r>
      <w:bookmarkEnd w:id="14"/>
    </w:p>
    <w:p w14:paraId="047C6E95" w14:textId="77777777" w:rsidR="00974D0D" w:rsidRDefault="00974D0D" w:rsidP="00974D0D">
      <w:r>
        <w:t>Modern technologies including telemedicine, artificial intelligence (AI), and wearable health technology are changes in the way healthcare is conducted, administered, and experienced. With telemedicine patients are able to see clinicians remotely through digital technology thereby enhancing care accessibility and minimizing the need to visit the clinician in person, a fact that has demonstrated to deliver healthier service provision besides reducing travelling</w:t>
      </w:r>
      <w:r w:rsidR="009A112F">
        <w:t xml:space="preserve"> time and costs </w:t>
      </w:r>
      <w:r w:rsidR="009A112F" w:rsidRPr="009A112F">
        <w:t>(Akila et al., 2025)</w:t>
      </w:r>
      <w:r w:rsidR="009A112F">
        <w:t>.</w:t>
      </w:r>
      <w:r>
        <w:t xml:space="preserve"> Diagnostic support and predictive analytics, as well as clinical decision-making are increasingly being performed with the assistance of AI, e.g., AI-enhanced tools have the ability to examine large datasets (including imaging) to identify patterns that can help the clinician to detect the condition early and plan the effective treatment</w:t>
      </w:r>
      <w:r w:rsidR="009A112F">
        <w:t xml:space="preserve"> </w:t>
      </w:r>
      <w:r w:rsidR="009A112F" w:rsidRPr="009A112F">
        <w:t>(LaBoone and Marques, 2024)</w:t>
      </w:r>
      <w:r>
        <w:t>.</w:t>
      </w:r>
    </w:p>
    <w:p w14:paraId="34AAF55D" w14:textId="77777777" w:rsidR="00974D0D" w:rsidRDefault="00974D0D" w:rsidP="00974D0D"/>
    <w:p w14:paraId="1D93C335" w14:textId="77777777" w:rsidR="00974D0D" w:rsidRDefault="00974D0D" w:rsidP="00974D0D">
      <w:pPr>
        <w:pStyle w:val="Nadpis2"/>
      </w:pPr>
      <w:bookmarkStart w:id="15" w:name="_Toc225439616"/>
      <w:r w:rsidRPr="00974D0D">
        <w:t>Impacts on Health and Social Care</w:t>
      </w:r>
      <w:bookmarkEnd w:id="15"/>
    </w:p>
    <w:p w14:paraId="48B49A9A" w14:textId="77777777" w:rsidR="00974D0D" w:rsidRDefault="00974D0D" w:rsidP="00974D0D">
      <w:r>
        <w:t>Personal technologies can enhance the work with patients, allowing to intervene earlier and increase the interaction levels with the patient. As an example, wearables and telemedicine could be used together in managing chronic diseases beyond clinical contexts which could help minimize hospital readmission.  They also enhance efficiency of the system through simplification of work processes, minimization of administrative overheads, and enhancement of remote monitoring.  Nonetheless, there exist adverse issues and among these are the possibility of data privacy concern, lack of digital literacy and the potentiality of data saturation among clinicians, challenging integration of such data into workflow</w:t>
      </w:r>
      <w:r w:rsidR="009A112F">
        <w:t xml:space="preserve"> </w:t>
      </w:r>
      <w:r w:rsidR="009A112F" w:rsidRPr="009A112F">
        <w:t>(Khan, Badole and Shaikh, 2026)</w:t>
      </w:r>
      <w:r>
        <w:t xml:space="preserve">. </w:t>
      </w:r>
    </w:p>
    <w:p w14:paraId="539BD153" w14:textId="77777777" w:rsidR="00974D0D" w:rsidRDefault="00974D0D" w:rsidP="00974D0D"/>
    <w:p w14:paraId="1BBA2CA7" w14:textId="77777777" w:rsidR="00974D0D" w:rsidRDefault="00974D0D" w:rsidP="00974D0D">
      <w:pPr>
        <w:pStyle w:val="Nadpis2"/>
      </w:pPr>
      <w:bookmarkStart w:id="16" w:name="_Toc225439617"/>
      <w:r>
        <w:t>Reflection</w:t>
      </w:r>
      <w:bookmarkEnd w:id="16"/>
    </w:p>
    <w:p w14:paraId="504FD1CB" w14:textId="77777777" w:rsidR="00974D0D" w:rsidRDefault="00974D0D" w:rsidP="00974D0D">
      <w:r>
        <w:t>In the future, these technologies will further develop as integrated digital health ecosystems where AI, telemedicine, and wearables interact near more effectively to achieve better outcomes, more access, and lower costs (assuming obstacles in this relationship such as interoperability and privacy are overcome).</w:t>
      </w:r>
    </w:p>
    <w:p w14:paraId="21302B65" w14:textId="77777777" w:rsidR="00974D0D" w:rsidRPr="00752C57" w:rsidRDefault="00974D0D" w:rsidP="00607926"/>
    <w:p w14:paraId="4FFD8294" w14:textId="77777777" w:rsidR="00607926" w:rsidRPr="00752C57" w:rsidRDefault="00127FDE" w:rsidP="00607926">
      <w:pPr>
        <w:pStyle w:val="Nadpis1"/>
      </w:pPr>
      <w:bookmarkStart w:id="17" w:name="_Toc225439618"/>
      <w:r w:rsidRPr="00752C57">
        <w:t>Conclusion</w:t>
      </w:r>
      <w:bookmarkEnd w:id="17"/>
    </w:p>
    <w:p w14:paraId="4B874D25" w14:textId="77777777" w:rsidR="0074789A" w:rsidRDefault="00974D0D" w:rsidP="00974D0D">
      <w:r w:rsidRPr="00974D0D">
        <w:t>This portfolio has revealed that modern health and social care must be creative, lead, and innovative to improve service delivery, patient outcomes and organisational performance. Innovation problem solving and the invention of new solutions is part of creativity; cultures which are culture friendly towards innovation are part of leadership; and the present-day technologies do add value by improving accessibility and efficiency. The combination of these concepts can be used to tackle the problems of the sector like complexity, a lack of resources and increased demand by empowering staff, enhancing quality of care, and creating susta</w:t>
      </w:r>
      <w:r w:rsidR="009A112F">
        <w:t>inable patient centred systems.</w:t>
      </w:r>
    </w:p>
    <w:p w14:paraId="20A75511" w14:textId="77777777" w:rsidR="009A112F" w:rsidRDefault="009A112F" w:rsidP="009A112F">
      <w:pPr>
        <w:pStyle w:val="Nadpis1"/>
      </w:pPr>
      <w:r>
        <w:br w:type="page"/>
      </w:r>
      <w:bookmarkStart w:id="18" w:name="_Toc225439619"/>
      <w:r>
        <w:t>References</w:t>
      </w:r>
      <w:bookmarkEnd w:id="18"/>
    </w:p>
    <w:p w14:paraId="4E7731BC" w14:textId="77777777" w:rsidR="009A112F" w:rsidRPr="009A112F" w:rsidRDefault="009A112F" w:rsidP="009A112F">
      <w:pPr>
        <w:numPr>
          <w:ilvl w:val="0"/>
          <w:numId w:val="1"/>
        </w:numPr>
        <w:suppressAutoHyphens w:val="0"/>
        <w:spacing w:after="240" w:line="240" w:lineRule="auto"/>
        <w:rPr>
          <w:rFonts w:eastAsia="Times New Roman"/>
          <w:color w:val="auto"/>
          <w:szCs w:val="24"/>
          <w:lang w:eastAsia="en-GB"/>
        </w:rPr>
      </w:pPr>
      <w:r w:rsidRPr="009A112F">
        <w:rPr>
          <w:rFonts w:eastAsia="Times New Roman"/>
          <w:color w:val="auto"/>
          <w:szCs w:val="24"/>
          <w:lang w:eastAsia="en-GB"/>
        </w:rPr>
        <w:t xml:space="preserve">Akila, K., Gopinathan, R., Arunkumar, J. and Malar, B.S.B. (2025). The Role of Artificial Intelligence in Modern Healthcare: Advances, Challenges, and Future Prospects. </w:t>
      </w:r>
      <w:r w:rsidRPr="009A112F">
        <w:rPr>
          <w:rFonts w:eastAsia="Times New Roman"/>
          <w:i/>
          <w:iCs/>
          <w:color w:val="auto"/>
          <w:szCs w:val="24"/>
          <w:lang w:eastAsia="en-GB"/>
        </w:rPr>
        <w:t>European Journal of Cardiovascular Medicine</w:t>
      </w:r>
      <w:r w:rsidRPr="009A112F">
        <w:rPr>
          <w:rFonts w:eastAsia="Times New Roman"/>
          <w:color w:val="auto"/>
          <w:szCs w:val="24"/>
          <w:lang w:eastAsia="en-GB"/>
        </w:rPr>
        <w:t>, [online] 15, pp.615–624. doi:</w:t>
      </w:r>
      <w:r>
        <w:rPr>
          <w:rFonts w:eastAsia="Times New Roman"/>
          <w:color w:val="auto"/>
          <w:szCs w:val="24"/>
          <w:lang w:eastAsia="en-GB"/>
        </w:rPr>
        <w:t xml:space="preserve"> </w:t>
      </w:r>
      <w:hyperlink r:id="rId8" w:history="1">
        <w:r w:rsidRPr="00591A05">
          <w:rPr>
            <w:rStyle w:val="Hypertextovodkaz"/>
            <w:rFonts w:eastAsia="Times New Roman"/>
            <w:szCs w:val="24"/>
            <w:lang w:val="en-GB" w:eastAsia="en-GB" w:bidi="ar-SA"/>
          </w:rPr>
          <w:t>https://doi.org/10.61336/ejcm/25-04-94</w:t>
        </w:r>
      </w:hyperlink>
      <w:r w:rsidRPr="009A112F">
        <w:rPr>
          <w:rFonts w:eastAsia="Times New Roman"/>
          <w:color w:val="auto"/>
          <w:szCs w:val="24"/>
          <w:lang w:eastAsia="en-GB"/>
        </w:rPr>
        <w:t>.</w:t>
      </w:r>
      <w:r>
        <w:rPr>
          <w:rFonts w:eastAsia="Times New Roman"/>
          <w:color w:val="auto"/>
          <w:szCs w:val="24"/>
          <w:lang w:eastAsia="en-GB"/>
        </w:rPr>
        <w:t xml:space="preserve"> </w:t>
      </w:r>
    </w:p>
    <w:p w14:paraId="4DBBDADA" w14:textId="77777777" w:rsidR="009A112F" w:rsidRPr="009A112F" w:rsidRDefault="009A112F" w:rsidP="009A112F">
      <w:pPr>
        <w:numPr>
          <w:ilvl w:val="0"/>
          <w:numId w:val="1"/>
        </w:numPr>
        <w:suppressAutoHyphens w:val="0"/>
        <w:spacing w:after="240" w:line="240" w:lineRule="auto"/>
        <w:rPr>
          <w:rFonts w:eastAsia="Times New Roman"/>
          <w:color w:val="auto"/>
          <w:szCs w:val="24"/>
          <w:lang w:eastAsia="en-GB"/>
        </w:rPr>
      </w:pPr>
      <w:r w:rsidRPr="009A112F">
        <w:rPr>
          <w:rFonts w:eastAsia="Times New Roman"/>
          <w:color w:val="auto"/>
          <w:szCs w:val="24"/>
          <w:lang w:eastAsia="en-GB"/>
        </w:rPr>
        <w:t xml:space="preserve">Altman, M., Huang, T.T.K. and Breland, J.Y. (2018). Design Thinking in Health Care. </w:t>
      </w:r>
      <w:r w:rsidRPr="009A112F">
        <w:rPr>
          <w:rFonts w:eastAsia="Times New Roman"/>
          <w:i/>
          <w:iCs/>
          <w:color w:val="auto"/>
          <w:szCs w:val="24"/>
          <w:lang w:eastAsia="en-GB"/>
        </w:rPr>
        <w:t>Preventing Chronic Disease</w:t>
      </w:r>
      <w:r w:rsidRPr="009A112F">
        <w:rPr>
          <w:rFonts w:eastAsia="Times New Roman"/>
          <w:color w:val="auto"/>
          <w:szCs w:val="24"/>
          <w:lang w:eastAsia="en-GB"/>
        </w:rPr>
        <w:t>, [online] 15(15). doi:</w:t>
      </w:r>
      <w:r>
        <w:rPr>
          <w:rFonts w:eastAsia="Times New Roman"/>
          <w:color w:val="auto"/>
          <w:szCs w:val="24"/>
          <w:lang w:eastAsia="en-GB"/>
        </w:rPr>
        <w:t xml:space="preserve"> </w:t>
      </w:r>
      <w:hyperlink r:id="rId9" w:history="1">
        <w:r w:rsidRPr="00591A05">
          <w:rPr>
            <w:rStyle w:val="Hypertextovodkaz"/>
            <w:rFonts w:eastAsia="Times New Roman"/>
            <w:szCs w:val="24"/>
            <w:lang w:val="en-GB" w:eastAsia="en-GB" w:bidi="ar-SA"/>
          </w:rPr>
          <w:t>https://doi.org/10.5888/pcd15.180128</w:t>
        </w:r>
      </w:hyperlink>
      <w:r w:rsidRPr="009A112F">
        <w:rPr>
          <w:rFonts w:eastAsia="Times New Roman"/>
          <w:color w:val="auto"/>
          <w:szCs w:val="24"/>
          <w:lang w:eastAsia="en-GB"/>
        </w:rPr>
        <w:t>.</w:t>
      </w:r>
      <w:r>
        <w:rPr>
          <w:rFonts w:eastAsia="Times New Roman"/>
          <w:color w:val="auto"/>
          <w:szCs w:val="24"/>
          <w:lang w:eastAsia="en-GB"/>
        </w:rPr>
        <w:t xml:space="preserve"> </w:t>
      </w:r>
    </w:p>
    <w:p w14:paraId="3AC7CA11" w14:textId="77777777" w:rsidR="009A112F" w:rsidRPr="009A112F" w:rsidRDefault="009A112F" w:rsidP="009A112F">
      <w:pPr>
        <w:numPr>
          <w:ilvl w:val="0"/>
          <w:numId w:val="1"/>
        </w:numPr>
        <w:suppressAutoHyphens w:val="0"/>
        <w:spacing w:after="240" w:line="240" w:lineRule="auto"/>
        <w:rPr>
          <w:rFonts w:eastAsia="Times New Roman"/>
          <w:color w:val="auto"/>
          <w:szCs w:val="24"/>
          <w:lang w:eastAsia="en-GB"/>
        </w:rPr>
      </w:pPr>
      <w:r w:rsidRPr="009A112F">
        <w:rPr>
          <w:rFonts w:eastAsia="Times New Roman"/>
          <w:color w:val="auto"/>
          <w:szCs w:val="24"/>
          <w:lang w:eastAsia="en-GB"/>
        </w:rPr>
        <w:t xml:space="preserve">Bajwa, J., Munir, U., Nori, A. and Williams, B. (2021). Artificial intelligence in healthcare: Transforming the practice of medicine. </w:t>
      </w:r>
      <w:r w:rsidRPr="009A112F">
        <w:rPr>
          <w:rFonts w:eastAsia="Times New Roman"/>
          <w:i/>
          <w:iCs/>
          <w:color w:val="auto"/>
          <w:szCs w:val="24"/>
          <w:lang w:eastAsia="en-GB"/>
        </w:rPr>
        <w:t>Future Healthcare Journal</w:t>
      </w:r>
      <w:r w:rsidRPr="009A112F">
        <w:rPr>
          <w:rFonts w:eastAsia="Times New Roman"/>
          <w:color w:val="auto"/>
          <w:szCs w:val="24"/>
          <w:lang w:eastAsia="en-GB"/>
        </w:rPr>
        <w:t>, [online] 8(2), pp.188–194. doi:</w:t>
      </w:r>
      <w:r>
        <w:rPr>
          <w:rFonts w:eastAsia="Times New Roman"/>
          <w:color w:val="auto"/>
          <w:szCs w:val="24"/>
          <w:lang w:eastAsia="en-GB"/>
        </w:rPr>
        <w:t xml:space="preserve"> </w:t>
      </w:r>
      <w:hyperlink r:id="rId10" w:history="1">
        <w:r w:rsidRPr="00591A05">
          <w:rPr>
            <w:rStyle w:val="Hypertextovodkaz"/>
            <w:rFonts w:eastAsia="Times New Roman"/>
            <w:szCs w:val="24"/>
            <w:lang w:val="en-GB" w:eastAsia="en-GB" w:bidi="ar-SA"/>
          </w:rPr>
          <w:t>https://doi.org/10.7861/fhj.2021-0095</w:t>
        </w:r>
      </w:hyperlink>
      <w:r w:rsidRPr="009A112F">
        <w:rPr>
          <w:rFonts w:eastAsia="Times New Roman"/>
          <w:color w:val="auto"/>
          <w:szCs w:val="24"/>
          <w:lang w:eastAsia="en-GB"/>
        </w:rPr>
        <w:t>.</w:t>
      </w:r>
      <w:r>
        <w:rPr>
          <w:rFonts w:eastAsia="Times New Roman"/>
          <w:color w:val="auto"/>
          <w:szCs w:val="24"/>
          <w:lang w:eastAsia="en-GB"/>
        </w:rPr>
        <w:t xml:space="preserve"> </w:t>
      </w:r>
    </w:p>
    <w:p w14:paraId="1D9FC518" w14:textId="77777777" w:rsidR="009A112F" w:rsidRPr="009A112F" w:rsidRDefault="009A112F" w:rsidP="009A112F">
      <w:pPr>
        <w:numPr>
          <w:ilvl w:val="0"/>
          <w:numId w:val="1"/>
        </w:numPr>
        <w:suppressAutoHyphens w:val="0"/>
        <w:spacing w:after="240" w:line="240" w:lineRule="auto"/>
        <w:rPr>
          <w:rFonts w:eastAsia="Times New Roman"/>
          <w:color w:val="auto"/>
          <w:szCs w:val="24"/>
          <w:lang w:eastAsia="en-GB"/>
        </w:rPr>
      </w:pPr>
      <w:r w:rsidRPr="009A112F">
        <w:rPr>
          <w:rFonts w:eastAsia="Times New Roman"/>
          <w:color w:val="auto"/>
          <w:szCs w:val="24"/>
          <w:lang w:eastAsia="en-GB"/>
        </w:rPr>
        <w:t xml:space="preserve">Brewster, A.L., Lee, Y.S.H., Linnander, E.L. and Curry, L.A. (2021). Creativity in problem solving to improve complex health outcomes: Insights from hospitals seeking to improve cardiovascular care. </w:t>
      </w:r>
      <w:r w:rsidRPr="009A112F">
        <w:rPr>
          <w:rFonts w:eastAsia="Times New Roman"/>
          <w:i/>
          <w:iCs/>
          <w:color w:val="auto"/>
          <w:szCs w:val="24"/>
          <w:lang w:eastAsia="en-GB"/>
        </w:rPr>
        <w:t>Learning Health Systems</w:t>
      </w:r>
      <w:r w:rsidRPr="009A112F">
        <w:rPr>
          <w:rFonts w:eastAsia="Times New Roman"/>
          <w:color w:val="auto"/>
          <w:szCs w:val="24"/>
          <w:lang w:eastAsia="en-GB"/>
        </w:rPr>
        <w:t>, 6(2). doi:</w:t>
      </w:r>
      <w:r>
        <w:rPr>
          <w:rFonts w:eastAsia="Times New Roman"/>
          <w:color w:val="auto"/>
          <w:szCs w:val="24"/>
          <w:lang w:eastAsia="en-GB"/>
        </w:rPr>
        <w:t xml:space="preserve"> </w:t>
      </w:r>
      <w:hyperlink r:id="rId11" w:history="1">
        <w:r w:rsidRPr="00591A05">
          <w:rPr>
            <w:rStyle w:val="Hypertextovodkaz"/>
            <w:rFonts w:eastAsia="Times New Roman"/>
            <w:szCs w:val="24"/>
            <w:lang w:val="en-GB" w:eastAsia="en-GB" w:bidi="ar-SA"/>
          </w:rPr>
          <w:t>https://doi.org/10.1002/lrh2.10283</w:t>
        </w:r>
      </w:hyperlink>
      <w:r w:rsidRPr="009A112F">
        <w:rPr>
          <w:rFonts w:eastAsia="Times New Roman"/>
          <w:color w:val="auto"/>
          <w:szCs w:val="24"/>
          <w:lang w:eastAsia="en-GB"/>
        </w:rPr>
        <w:t>.</w:t>
      </w:r>
      <w:r>
        <w:rPr>
          <w:rFonts w:eastAsia="Times New Roman"/>
          <w:color w:val="auto"/>
          <w:szCs w:val="24"/>
          <w:lang w:eastAsia="en-GB"/>
        </w:rPr>
        <w:t xml:space="preserve"> </w:t>
      </w:r>
    </w:p>
    <w:p w14:paraId="1558F82C" w14:textId="77777777" w:rsidR="009A112F" w:rsidRPr="009A112F" w:rsidRDefault="009A112F" w:rsidP="009A112F">
      <w:pPr>
        <w:numPr>
          <w:ilvl w:val="0"/>
          <w:numId w:val="1"/>
        </w:numPr>
        <w:suppressAutoHyphens w:val="0"/>
        <w:spacing w:after="240" w:line="240" w:lineRule="auto"/>
        <w:rPr>
          <w:rFonts w:eastAsia="Times New Roman"/>
          <w:color w:val="auto"/>
          <w:szCs w:val="24"/>
          <w:lang w:eastAsia="en-GB"/>
        </w:rPr>
      </w:pPr>
      <w:r w:rsidRPr="009A112F">
        <w:rPr>
          <w:rFonts w:eastAsia="Times New Roman"/>
          <w:color w:val="auto"/>
          <w:szCs w:val="24"/>
          <w:lang w:eastAsia="en-GB"/>
        </w:rPr>
        <w:t xml:space="preserve">Hlongwane, S. and Grobbelaar, S.S. (2022). A Practical Framework for Value Creation in Health Information Systems From an Ecosystem Perspective: Evaluated in the South African Context. </w:t>
      </w:r>
      <w:r w:rsidRPr="009A112F">
        <w:rPr>
          <w:rFonts w:eastAsia="Times New Roman"/>
          <w:i/>
          <w:iCs/>
          <w:color w:val="auto"/>
          <w:szCs w:val="24"/>
          <w:lang w:eastAsia="en-GB"/>
        </w:rPr>
        <w:t>Frontiers in Psychology</w:t>
      </w:r>
      <w:r w:rsidRPr="009A112F">
        <w:rPr>
          <w:rFonts w:eastAsia="Times New Roman"/>
          <w:color w:val="auto"/>
          <w:szCs w:val="24"/>
          <w:lang w:eastAsia="en-GB"/>
        </w:rPr>
        <w:t>, 13. doi:</w:t>
      </w:r>
      <w:r>
        <w:rPr>
          <w:rFonts w:eastAsia="Times New Roman"/>
          <w:color w:val="auto"/>
          <w:szCs w:val="24"/>
          <w:lang w:eastAsia="en-GB"/>
        </w:rPr>
        <w:t xml:space="preserve"> </w:t>
      </w:r>
      <w:hyperlink r:id="rId12" w:history="1">
        <w:r w:rsidRPr="00591A05">
          <w:rPr>
            <w:rStyle w:val="Hypertextovodkaz"/>
            <w:rFonts w:eastAsia="Times New Roman"/>
            <w:szCs w:val="24"/>
            <w:lang w:val="en-GB" w:eastAsia="en-GB" w:bidi="ar-SA"/>
          </w:rPr>
          <w:t>https://doi.org/10.3389/fpsyg.2022.637883</w:t>
        </w:r>
      </w:hyperlink>
      <w:r w:rsidRPr="009A112F">
        <w:rPr>
          <w:rFonts w:eastAsia="Times New Roman"/>
          <w:color w:val="auto"/>
          <w:szCs w:val="24"/>
          <w:lang w:eastAsia="en-GB"/>
        </w:rPr>
        <w:t>.</w:t>
      </w:r>
      <w:r>
        <w:rPr>
          <w:rFonts w:eastAsia="Times New Roman"/>
          <w:color w:val="auto"/>
          <w:szCs w:val="24"/>
          <w:lang w:eastAsia="en-GB"/>
        </w:rPr>
        <w:t xml:space="preserve"> </w:t>
      </w:r>
    </w:p>
    <w:p w14:paraId="11356A48" w14:textId="77777777" w:rsidR="009A112F" w:rsidRPr="009A112F" w:rsidRDefault="009A112F" w:rsidP="009A112F">
      <w:pPr>
        <w:numPr>
          <w:ilvl w:val="0"/>
          <w:numId w:val="1"/>
        </w:numPr>
        <w:suppressAutoHyphens w:val="0"/>
        <w:spacing w:after="240" w:line="240" w:lineRule="auto"/>
        <w:rPr>
          <w:rFonts w:eastAsia="Times New Roman"/>
          <w:color w:val="auto"/>
          <w:szCs w:val="24"/>
          <w:lang w:eastAsia="en-GB"/>
        </w:rPr>
      </w:pPr>
      <w:r w:rsidRPr="009A112F">
        <w:rPr>
          <w:rFonts w:eastAsia="Times New Roman"/>
          <w:color w:val="auto"/>
          <w:szCs w:val="24"/>
          <w:lang w:eastAsia="en-GB"/>
        </w:rPr>
        <w:t xml:space="preserve">Khan, P.A., Badole, P.J. and Shaikh, D. (2026). Telemedicine and digital health: The future for pharmaceutical companies and health care. </w:t>
      </w:r>
      <w:r w:rsidRPr="009A112F">
        <w:rPr>
          <w:rFonts w:eastAsia="Times New Roman"/>
          <w:i/>
          <w:iCs/>
          <w:color w:val="auto"/>
          <w:szCs w:val="24"/>
          <w:lang w:eastAsia="en-GB"/>
        </w:rPr>
        <w:t>Indian Journal of Pharmacology</w:t>
      </w:r>
      <w:r w:rsidRPr="009A112F">
        <w:rPr>
          <w:rFonts w:eastAsia="Times New Roman"/>
          <w:color w:val="auto"/>
          <w:szCs w:val="24"/>
          <w:lang w:eastAsia="en-GB"/>
        </w:rPr>
        <w:t>, [online] 58(1), pp.24–34. doi:</w:t>
      </w:r>
      <w:r>
        <w:rPr>
          <w:rFonts w:eastAsia="Times New Roman"/>
          <w:color w:val="auto"/>
          <w:szCs w:val="24"/>
          <w:lang w:eastAsia="en-GB"/>
        </w:rPr>
        <w:t xml:space="preserve"> </w:t>
      </w:r>
      <w:hyperlink r:id="rId13" w:history="1">
        <w:r w:rsidRPr="00591A05">
          <w:rPr>
            <w:rStyle w:val="Hypertextovodkaz"/>
            <w:rFonts w:eastAsia="Times New Roman"/>
            <w:szCs w:val="24"/>
            <w:lang w:val="en-GB" w:eastAsia="en-GB" w:bidi="ar-SA"/>
          </w:rPr>
          <w:t>https://doi.org/10.4103/ijp.ijp_452_24</w:t>
        </w:r>
      </w:hyperlink>
      <w:r w:rsidRPr="009A112F">
        <w:rPr>
          <w:rFonts w:eastAsia="Times New Roman"/>
          <w:color w:val="auto"/>
          <w:szCs w:val="24"/>
          <w:lang w:eastAsia="en-GB"/>
        </w:rPr>
        <w:t>.</w:t>
      </w:r>
      <w:r>
        <w:rPr>
          <w:rFonts w:eastAsia="Times New Roman"/>
          <w:color w:val="auto"/>
          <w:szCs w:val="24"/>
          <w:lang w:eastAsia="en-GB"/>
        </w:rPr>
        <w:t xml:space="preserve"> </w:t>
      </w:r>
    </w:p>
    <w:p w14:paraId="493B0BC5" w14:textId="77777777" w:rsidR="009A112F" w:rsidRPr="009A112F" w:rsidRDefault="009A112F" w:rsidP="009A112F">
      <w:pPr>
        <w:numPr>
          <w:ilvl w:val="0"/>
          <w:numId w:val="1"/>
        </w:numPr>
        <w:suppressAutoHyphens w:val="0"/>
        <w:spacing w:after="240" w:line="240" w:lineRule="auto"/>
        <w:rPr>
          <w:rFonts w:eastAsia="Times New Roman"/>
          <w:color w:val="auto"/>
          <w:szCs w:val="24"/>
          <w:lang w:eastAsia="en-GB"/>
        </w:rPr>
      </w:pPr>
      <w:r w:rsidRPr="009A112F">
        <w:rPr>
          <w:rFonts w:eastAsia="Times New Roman"/>
          <w:color w:val="auto"/>
          <w:szCs w:val="24"/>
          <w:lang w:eastAsia="en-GB"/>
        </w:rPr>
        <w:t xml:space="preserve">LaBoone, P.A. and Marques, O. (2024). Overview of the future impact of wearables and artificial intelligence in healthcare workflows and technology. </w:t>
      </w:r>
      <w:r w:rsidRPr="009A112F">
        <w:rPr>
          <w:rFonts w:eastAsia="Times New Roman"/>
          <w:i/>
          <w:iCs/>
          <w:color w:val="auto"/>
          <w:szCs w:val="24"/>
          <w:lang w:eastAsia="en-GB"/>
        </w:rPr>
        <w:t>International Journal of Information Management Data Insights</w:t>
      </w:r>
      <w:r w:rsidRPr="009A112F">
        <w:rPr>
          <w:rFonts w:eastAsia="Times New Roman"/>
          <w:color w:val="auto"/>
          <w:szCs w:val="24"/>
          <w:lang w:eastAsia="en-GB"/>
        </w:rPr>
        <w:t>, [online] 4(2). doi:</w:t>
      </w:r>
      <w:r>
        <w:rPr>
          <w:rFonts w:eastAsia="Times New Roman"/>
          <w:color w:val="auto"/>
          <w:szCs w:val="24"/>
          <w:lang w:eastAsia="en-GB"/>
        </w:rPr>
        <w:t xml:space="preserve"> </w:t>
      </w:r>
      <w:hyperlink r:id="rId14" w:history="1">
        <w:r w:rsidRPr="00591A05">
          <w:rPr>
            <w:rStyle w:val="Hypertextovodkaz"/>
            <w:rFonts w:eastAsia="Times New Roman"/>
            <w:szCs w:val="24"/>
            <w:lang w:val="en-GB" w:eastAsia="en-GB" w:bidi="ar-SA"/>
          </w:rPr>
          <w:t>https://doi.org/10.1016/j.jjimei.2024.100294</w:t>
        </w:r>
      </w:hyperlink>
      <w:r w:rsidRPr="009A112F">
        <w:rPr>
          <w:rFonts w:eastAsia="Times New Roman"/>
          <w:color w:val="auto"/>
          <w:szCs w:val="24"/>
          <w:lang w:eastAsia="en-GB"/>
        </w:rPr>
        <w:t>.</w:t>
      </w:r>
      <w:r>
        <w:rPr>
          <w:rFonts w:eastAsia="Times New Roman"/>
          <w:color w:val="auto"/>
          <w:szCs w:val="24"/>
          <w:lang w:eastAsia="en-GB"/>
        </w:rPr>
        <w:t xml:space="preserve"> </w:t>
      </w:r>
    </w:p>
    <w:p w14:paraId="793F6692" w14:textId="77777777" w:rsidR="009A112F" w:rsidRPr="009A112F" w:rsidRDefault="009A112F" w:rsidP="009A112F">
      <w:pPr>
        <w:numPr>
          <w:ilvl w:val="0"/>
          <w:numId w:val="1"/>
        </w:numPr>
        <w:suppressAutoHyphens w:val="0"/>
        <w:spacing w:after="240" w:line="240" w:lineRule="auto"/>
        <w:rPr>
          <w:rFonts w:eastAsia="Times New Roman"/>
          <w:color w:val="auto"/>
          <w:szCs w:val="24"/>
          <w:lang w:eastAsia="en-GB"/>
        </w:rPr>
      </w:pPr>
      <w:r w:rsidRPr="009A112F">
        <w:rPr>
          <w:rFonts w:eastAsia="Times New Roman"/>
          <w:color w:val="auto"/>
          <w:szCs w:val="24"/>
          <w:lang w:eastAsia="en-GB"/>
        </w:rPr>
        <w:t xml:space="preserve">Paul, J. (2024). Healthcare Leadership: Leading for Creativity, Innovation, and Performance by Changing Organizational Culture in Healthcare. </w:t>
      </w:r>
      <w:r w:rsidRPr="009A112F">
        <w:rPr>
          <w:rFonts w:eastAsia="Times New Roman"/>
          <w:i/>
          <w:iCs/>
          <w:color w:val="auto"/>
          <w:szCs w:val="24"/>
          <w:lang w:eastAsia="en-GB"/>
        </w:rPr>
        <w:t>Medical Research Archives</w:t>
      </w:r>
      <w:r w:rsidRPr="009A112F">
        <w:rPr>
          <w:rFonts w:eastAsia="Times New Roman"/>
          <w:color w:val="auto"/>
          <w:szCs w:val="24"/>
          <w:lang w:eastAsia="en-GB"/>
        </w:rPr>
        <w:t>, 12(10). doi:</w:t>
      </w:r>
      <w:r>
        <w:rPr>
          <w:rFonts w:eastAsia="Times New Roman"/>
          <w:color w:val="auto"/>
          <w:szCs w:val="24"/>
          <w:lang w:eastAsia="en-GB"/>
        </w:rPr>
        <w:t xml:space="preserve"> </w:t>
      </w:r>
      <w:hyperlink r:id="rId15" w:history="1">
        <w:r w:rsidRPr="00591A05">
          <w:rPr>
            <w:rStyle w:val="Hypertextovodkaz"/>
            <w:rFonts w:eastAsia="Times New Roman"/>
            <w:szCs w:val="24"/>
            <w:lang w:val="en-GB" w:eastAsia="en-GB" w:bidi="ar-SA"/>
          </w:rPr>
          <w:t>https://doi.org/10.18103/mra.v12i10.5909</w:t>
        </w:r>
      </w:hyperlink>
      <w:r w:rsidRPr="009A112F">
        <w:rPr>
          <w:rFonts w:eastAsia="Times New Roman"/>
          <w:color w:val="auto"/>
          <w:szCs w:val="24"/>
          <w:lang w:eastAsia="en-GB"/>
        </w:rPr>
        <w:t>.</w:t>
      </w:r>
      <w:r>
        <w:rPr>
          <w:rFonts w:eastAsia="Times New Roman"/>
          <w:color w:val="auto"/>
          <w:szCs w:val="24"/>
          <w:lang w:eastAsia="en-GB"/>
        </w:rPr>
        <w:t xml:space="preserve"> </w:t>
      </w:r>
    </w:p>
    <w:p w14:paraId="104EDF5C" w14:textId="77777777" w:rsidR="009A112F" w:rsidRPr="009A112F" w:rsidRDefault="009A112F" w:rsidP="009A112F">
      <w:pPr>
        <w:numPr>
          <w:ilvl w:val="0"/>
          <w:numId w:val="1"/>
        </w:numPr>
        <w:suppressAutoHyphens w:val="0"/>
        <w:spacing w:after="240" w:line="240" w:lineRule="auto"/>
        <w:rPr>
          <w:rFonts w:eastAsia="Times New Roman"/>
          <w:color w:val="auto"/>
          <w:szCs w:val="24"/>
          <w:lang w:eastAsia="en-GB"/>
        </w:rPr>
      </w:pPr>
      <w:r w:rsidRPr="009A112F">
        <w:rPr>
          <w:rFonts w:eastAsia="Times New Roman"/>
          <w:color w:val="auto"/>
          <w:szCs w:val="24"/>
          <w:lang w:eastAsia="en-GB"/>
        </w:rPr>
        <w:t xml:space="preserve">Sarkar, M., Dey, R. and Mia, M.T. (2025). Artificial Intelligence in telemedicine and remote patient monitoring: Enhancing virtual healthcare through AI-driven diagnostic and predictive technologies. </w:t>
      </w:r>
      <w:r w:rsidRPr="009A112F">
        <w:rPr>
          <w:rFonts w:eastAsia="Times New Roman"/>
          <w:i/>
          <w:iCs/>
          <w:color w:val="auto"/>
          <w:szCs w:val="24"/>
          <w:lang w:eastAsia="en-GB"/>
        </w:rPr>
        <w:t>International Journal of Science and Research Archive</w:t>
      </w:r>
      <w:r w:rsidRPr="009A112F">
        <w:rPr>
          <w:rFonts w:eastAsia="Times New Roman"/>
          <w:color w:val="auto"/>
          <w:szCs w:val="24"/>
          <w:lang w:eastAsia="en-GB"/>
        </w:rPr>
        <w:t>, 15(2), pp.1046–1055. doi:</w:t>
      </w:r>
      <w:r>
        <w:rPr>
          <w:rFonts w:eastAsia="Times New Roman"/>
          <w:color w:val="auto"/>
          <w:szCs w:val="24"/>
          <w:lang w:eastAsia="en-GB"/>
        </w:rPr>
        <w:t xml:space="preserve"> </w:t>
      </w:r>
      <w:hyperlink r:id="rId16" w:history="1">
        <w:r w:rsidRPr="00591A05">
          <w:rPr>
            <w:rStyle w:val="Hypertextovodkaz"/>
            <w:rFonts w:eastAsia="Times New Roman"/>
            <w:szCs w:val="24"/>
            <w:lang w:val="en-GB" w:eastAsia="en-GB" w:bidi="ar-SA"/>
          </w:rPr>
          <w:t>https://doi.org/10.30574/ijsra.2025.15.2.1402</w:t>
        </w:r>
      </w:hyperlink>
      <w:r w:rsidRPr="009A112F">
        <w:rPr>
          <w:rFonts w:eastAsia="Times New Roman"/>
          <w:color w:val="auto"/>
          <w:szCs w:val="24"/>
          <w:lang w:eastAsia="en-GB"/>
        </w:rPr>
        <w:t>.</w:t>
      </w:r>
      <w:r>
        <w:rPr>
          <w:rFonts w:eastAsia="Times New Roman"/>
          <w:color w:val="auto"/>
          <w:szCs w:val="24"/>
          <w:lang w:eastAsia="en-GB"/>
        </w:rPr>
        <w:t xml:space="preserve"> </w:t>
      </w:r>
    </w:p>
    <w:p w14:paraId="3CDB8AB0" w14:textId="77777777" w:rsidR="009A112F" w:rsidRPr="009A112F" w:rsidRDefault="009A112F" w:rsidP="009A112F">
      <w:pPr>
        <w:numPr>
          <w:ilvl w:val="0"/>
          <w:numId w:val="1"/>
        </w:numPr>
        <w:suppressAutoHyphens w:val="0"/>
        <w:spacing w:after="240" w:line="240" w:lineRule="auto"/>
        <w:rPr>
          <w:rFonts w:eastAsia="Times New Roman"/>
          <w:color w:val="auto"/>
          <w:szCs w:val="24"/>
          <w:lang w:eastAsia="en-GB"/>
        </w:rPr>
      </w:pPr>
      <w:r w:rsidRPr="009A112F">
        <w:rPr>
          <w:rFonts w:eastAsia="Times New Roman"/>
          <w:color w:val="auto"/>
          <w:szCs w:val="24"/>
          <w:lang w:eastAsia="en-GB"/>
        </w:rPr>
        <w:t xml:space="preserve">Schubert, E. (2021). Creativity Is Optimal Novelty and Maximal Positive Affect: A New Definition Based on the Spreading Activation Model. </w:t>
      </w:r>
      <w:r w:rsidRPr="009A112F">
        <w:rPr>
          <w:rFonts w:eastAsia="Times New Roman"/>
          <w:i/>
          <w:iCs/>
          <w:color w:val="auto"/>
          <w:szCs w:val="24"/>
          <w:lang w:eastAsia="en-GB"/>
        </w:rPr>
        <w:t>Frontiers in Neuroscience</w:t>
      </w:r>
      <w:r w:rsidRPr="009A112F">
        <w:rPr>
          <w:rFonts w:eastAsia="Times New Roman"/>
          <w:color w:val="auto"/>
          <w:szCs w:val="24"/>
          <w:lang w:eastAsia="en-GB"/>
        </w:rPr>
        <w:t>, [online] 15. doi:</w:t>
      </w:r>
      <w:r>
        <w:rPr>
          <w:rFonts w:eastAsia="Times New Roman"/>
          <w:color w:val="auto"/>
          <w:szCs w:val="24"/>
          <w:lang w:eastAsia="en-GB"/>
        </w:rPr>
        <w:t xml:space="preserve"> </w:t>
      </w:r>
      <w:hyperlink r:id="rId17" w:history="1">
        <w:r w:rsidRPr="00591A05">
          <w:rPr>
            <w:rStyle w:val="Hypertextovodkaz"/>
            <w:rFonts w:eastAsia="Times New Roman"/>
            <w:szCs w:val="24"/>
            <w:lang w:val="en-GB" w:eastAsia="en-GB" w:bidi="ar-SA"/>
          </w:rPr>
          <w:t>https://doi.org/10.3389/fnins.2021.612379</w:t>
        </w:r>
      </w:hyperlink>
      <w:r w:rsidRPr="009A112F">
        <w:rPr>
          <w:rFonts w:eastAsia="Times New Roman"/>
          <w:color w:val="auto"/>
          <w:szCs w:val="24"/>
          <w:lang w:eastAsia="en-GB"/>
        </w:rPr>
        <w:t>.</w:t>
      </w:r>
      <w:r>
        <w:rPr>
          <w:rFonts w:eastAsia="Times New Roman"/>
          <w:color w:val="auto"/>
          <w:szCs w:val="24"/>
          <w:lang w:eastAsia="en-GB"/>
        </w:rPr>
        <w:t xml:space="preserve"> </w:t>
      </w:r>
    </w:p>
    <w:p w14:paraId="4D64599A" w14:textId="77777777" w:rsidR="009A112F" w:rsidRPr="009A112F" w:rsidRDefault="009A112F" w:rsidP="009A112F">
      <w:pPr>
        <w:numPr>
          <w:ilvl w:val="0"/>
          <w:numId w:val="1"/>
        </w:numPr>
        <w:suppressAutoHyphens w:val="0"/>
        <w:spacing w:after="240" w:line="240" w:lineRule="auto"/>
        <w:rPr>
          <w:rFonts w:eastAsia="Times New Roman"/>
          <w:color w:val="auto"/>
          <w:szCs w:val="24"/>
          <w:lang w:eastAsia="en-GB"/>
        </w:rPr>
      </w:pPr>
      <w:r w:rsidRPr="009A112F">
        <w:rPr>
          <w:rFonts w:eastAsia="Times New Roman"/>
          <w:color w:val="auto"/>
          <w:szCs w:val="24"/>
          <w:lang w:eastAsia="en-GB"/>
        </w:rPr>
        <w:t xml:space="preserve">Sikalgar, F.R., Bangera, D., Kumar, M.P., Bhuvaneshwari , Paul, Y. and Muralidharan, S. (2025). A Review of Leadership Theories in Healthcare : Journal of Pharmacy and Bioallied Sciences. </w:t>
      </w:r>
      <w:r w:rsidRPr="009A112F">
        <w:rPr>
          <w:rFonts w:eastAsia="Times New Roman"/>
          <w:i/>
          <w:iCs/>
          <w:color w:val="auto"/>
          <w:szCs w:val="24"/>
          <w:lang w:eastAsia="en-GB"/>
        </w:rPr>
        <w:t>LWW</w:t>
      </w:r>
      <w:r w:rsidRPr="009A112F">
        <w:rPr>
          <w:rFonts w:eastAsia="Times New Roman"/>
          <w:color w:val="auto"/>
          <w:szCs w:val="24"/>
          <w:lang w:eastAsia="en-GB"/>
        </w:rPr>
        <w:t>. [online] doi:</w:t>
      </w:r>
      <w:r>
        <w:rPr>
          <w:rFonts w:eastAsia="Times New Roman"/>
          <w:color w:val="auto"/>
          <w:szCs w:val="24"/>
          <w:lang w:eastAsia="en-GB"/>
        </w:rPr>
        <w:t xml:space="preserve"> </w:t>
      </w:r>
      <w:hyperlink r:id="rId18" w:history="1">
        <w:r w:rsidRPr="00591A05">
          <w:rPr>
            <w:rStyle w:val="Hypertextovodkaz"/>
            <w:rFonts w:eastAsia="Times New Roman"/>
            <w:szCs w:val="24"/>
            <w:lang w:val="en-GB" w:eastAsia="en-GB" w:bidi="ar-SA"/>
          </w:rPr>
          <w:t>https://doi.org/10.4103/jpbs.jpbs_1907_24</w:t>
        </w:r>
      </w:hyperlink>
      <w:r w:rsidRPr="009A112F">
        <w:rPr>
          <w:rFonts w:eastAsia="Times New Roman"/>
          <w:color w:val="auto"/>
          <w:szCs w:val="24"/>
          <w:lang w:eastAsia="en-GB"/>
        </w:rPr>
        <w:t>.</w:t>
      </w:r>
      <w:r>
        <w:rPr>
          <w:rFonts w:eastAsia="Times New Roman"/>
          <w:color w:val="auto"/>
          <w:szCs w:val="24"/>
          <w:lang w:eastAsia="en-GB"/>
        </w:rPr>
        <w:t xml:space="preserve"> </w:t>
      </w:r>
    </w:p>
    <w:p w14:paraId="1DCE56B8" w14:textId="77777777" w:rsidR="009A112F" w:rsidRPr="009A112F" w:rsidRDefault="009A112F" w:rsidP="009A112F">
      <w:pPr>
        <w:numPr>
          <w:ilvl w:val="0"/>
          <w:numId w:val="1"/>
        </w:numPr>
        <w:suppressAutoHyphens w:val="0"/>
        <w:spacing w:after="240" w:line="240" w:lineRule="auto"/>
        <w:rPr>
          <w:rFonts w:eastAsia="Times New Roman"/>
          <w:color w:val="auto"/>
          <w:szCs w:val="24"/>
          <w:lang w:eastAsia="en-GB"/>
        </w:rPr>
      </w:pPr>
      <w:r w:rsidRPr="009A112F">
        <w:rPr>
          <w:rFonts w:eastAsia="Times New Roman"/>
          <w:color w:val="auto"/>
          <w:szCs w:val="24"/>
          <w:lang w:eastAsia="en-GB"/>
        </w:rPr>
        <w:t xml:space="preserve">Singh, P., Singh, S., Kumari, V. and Tiwari, M. (2024). Navigating healthcare leadership: Theories, challenges, and practical insights for the future. </w:t>
      </w:r>
      <w:r w:rsidRPr="009A112F">
        <w:rPr>
          <w:rFonts w:eastAsia="Times New Roman"/>
          <w:i/>
          <w:iCs/>
          <w:color w:val="auto"/>
          <w:szCs w:val="24"/>
          <w:lang w:eastAsia="en-GB"/>
        </w:rPr>
        <w:t>Journal of Postgraduate Medicine</w:t>
      </w:r>
      <w:r w:rsidRPr="009A112F">
        <w:rPr>
          <w:rFonts w:eastAsia="Times New Roman"/>
          <w:color w:val="auto"/>
          <w:szCs w:val="24"/>
          <w:lang w:eastAsia="en-GB"/>
        </w:rPr>
        <w:t>, [online] 70(4), pp.232–241. doi:</w:t>
      </w:r>
      <w:r>
        <w:rPr>
          <w:rFonts w:eastAsia="Times New Roman"/>
          <w:color w:val="auto"/>
          <w:szCs w:val="24"/>
          <w:lang w:eastAsia="en-GB"/>
        </w:rPr>
        <w:t xml:space="preserve"> </w:t>
      </w:r>
      <w:hyperlink r:id="rId19" w:history="1">
        <w:r w:rsidRPr="00591A05">
          <w:rPr>
            <w:rStyle w:val="Hypertextovodkaz"/>
            <w:rFonts w:eastAsia="Times New Roman"/>
            <w:szCs w:val="24"/>
            <w:lang w:val="en-GB" w:eastAsia="en-GB" w:bidi="ar-SA"/>
          </w:rPr>
          <w:t>https://doi.org/10.4103/jpgm.jpgm_533_24</w:t>
        </w:r>
      </w:hyperlink>
      <w:r w:rsidRPr="009A112F">
        <w:rPr>
          <w:rFonts w:eastAsia="Times New Roman"/>
          <w:color w:val="auto"/>
          <w:szCs w:val="24"/>
          <w:lang w:eastAsia="en-GB"/>
        </w:rPr>
        <w:t>.</w:t>
      </w:r>
      <w:r>
        <w:rPr>
          <w:rFonts w:eastAsia="Times New Roman"/>
          <w:color w:val="auto"/>
          <w:szCs w:val="24"/>
          <w:lang w:eastAsia="en-GB"/>
        </w:rPr>
        <w:t xml:space="preserve"> </w:t>
      </w:r>
    </w:p>
    <w:p w14:paraId="0FE1884B" w14:textId="77777777" w:rsidR="009A112F" w:rsidRPr="009A112F" w:rsidRDefault="009A112F" w:rsidP="009A112F">
      <w:pPr>
        <w:numPr>
          <w:ilvl w:val="0"/>
          <w:numId w:val="1"/>
        </w:numPr>
        <w:suppressAutoHyphens w:val="0"/>
        <w:spacing w:after="240" w:line="240" w:lineRule="auto"/>
        <w:rPr>
          <w:rFonts w:eastAsia="Times New Roman"/>
          <w:color w:val="auto"/>
          <w:szCs w:val="24"/>
          <w:lang w:eastAsia="en-GB"/>
        </w:rPr>
      </w:pPr>
      <w:r w:rsidRPr="009A112F">
        <w:rPr>
          <w:rFonts w:eastAsia="Times New Roman"/>
          <w:color w:val="auto"/>
          <w:szCs w:val="24"/>
          <w:lang w:eastAsia="en-GB"/>
        </w:rPr>
        <w:t xml:space="preserve">Tang, M. and Gruszka , A. (2017). </w:t>
      </w:r>
      <w:r w:rsidRPr="009A112F">
        <w:rPr>
          <w:rFonts w:eastAsia="Times New Roman"/>
          <w:i/>
          <w:iCs/>
          <w:color w:val="auto"/>
          <w:szCs w:val="24"/>
          <w:lang w:eastAsia="en-GB"/>
        </w:rPr>
        <w:t>(PDF) The 4P’s Creativity Model and its application in different fields.</w:t>
      </w:r>
      <w:r w:rsidRPr="009A112F">
        <w:rPr>
          <w:rFonts w:eastAsia="Times New Roman"/>
          <w:color w:val="auto"/>
          <w:szCs w:val="24"/>
          <w:lang w:eastAsia="en-GB"/>
        </w:rPr>
        <w:t xml:space="preserve"> [online] ResearchGate. Available at: </w:t>
      </w:r>
      <w:r>
        <w:rPr>
          <w:rFonts w:eastAsia="Times New Roman"/>
          <w:color w:val="auto"/>
          <w:szCs w:val="24"/>
          <w:lang w:eastAsia="en-GB"/>
        </w:rPr>
        <w:t xml:space="preserve"> </w:t>
      </w:r>
      <w:hyperlink r:id="rId20" w:history="1">
        <w:r w:rsidRPr="00591A05">
          <w:rPr>
            <w:rStyle w:val="Hypertextovodkaz"/>
            <w:rFonts w:eastAsia="Times New Roman"/>
            <w:szCs w:val="24"/>
            <w:lang w:val="en-GB" w:eastAsia="en-GB" w:bidi="ar-SA"/>
          </w:rPr>
          <w:t>https://www.researchgate.net/publication/316644392_The_4P</w:t>
        </w:r>
      </w:hyperlink>
      <w:r w:rsidRPr="009A112F">
        <w:rPr>
          <w:rFonts w:eastAsia="Times New Roman"/>
          <w:color w:val="auto"/>
          <w:szCs w:val="24"/>
          <w:lang w:eastAsia="en-GB"/>
        </w:rPr>
        <w:t>.</w:t>
      </w:r>
      <w:r>
        <w:rPr>
          <w:rFonts w:eastAsia="Times New Roman"/>
          <w:color w:val="auto"/>
          <w:szCs w:val="24"/>
          <w:lang w:eastAsia="en-GB"/>
        </w:rPr>
        <w:t xml:space="preserve"> </w:t>
      </w:r>
    </w:p>
    <w:p w14:paraId="5A36689B" w14:textId="77777777" w:rsidR="009A112F" w:rsidRPr="009A112F" w:rsidRDefault="009A112F" w:rsidP="009A112F">
      <w:pPr>
        <w:numPr>
          <w:ilvl w:val="0"/>
          <w:numId w:val="1"/>
        </w:numPr>
        <w:suppressAutoHyphens w:val="0"/>
        <w:spacing w:after="240" w:line="240" w:lineRule="auto"/>
        <w:rPr>
          <w:rFonts w:eastAsia="Times New Roman"/>
          <w:color w:val="auto"/>
          <w:szCs w:val="24"/>
          <w:lang w:eastAsia="en-GB"/>
        </w:rPr>
      </w:pPr>
      <w:r w:rsidRPr="009A112F">
        <w:rPr>
          <w:rFonts w:eastAsia="Times New Roman"/>
          <w:color w:val="auto"/>
          <w:szCs w:val="24"/>
          <w:lang w:eastAsia="en-GB"/>
        </w:rPr>
        <w:t xml:space="preserve">Waller, S. and Masterson, A. (2015). Designing dementia-friendly hospital environments. </w:t>
      </w:r>
      <w:r w:rsidRPr="009A112F">
        <w:rPr>
          <w:rFonts w:eastAsia="Times New Roman"/>
          <w:i/>
          <w:iCs/>
          <w:color w:val="auto"/>
          <w:szCs w:val="24"/>
          <w:lang w:eastAsia="en-GB"/>
        </w:rPr>
        <w:t>Future Hospital Journal</w:t>
      </w:r>
      <w:r w:rsidRPr="009A112F">
        <w:rPr>
          <w:rFonts w:eastAsia="Times New Roman"/>
          <w:color w:val="auto"/>
          <w:szCs w:val="24"/>
          <w:lang w:eastAsia="en-GB"/>
        </w:rPr>
        <w:t>, [online] 2(1), pp.63–68. doi:</w:t>
      </w:r>
      <w:r>
        <w:rPr>
          <w:rFonts w:eastAsia="Times New Roman"/>
          <w:color w:val="auto"/>
          <w:szCs w:val="24"/>
          <w:lang w:eastAsia="en-GB"/>
        </w:rPr>
        <w:t xml:space="preserve"> </w:t>
      </w:r>
      <w:hyperlink r:id="rId21" w:history="1">
        <w:r w:rsidRPr="00591A05">
          <w:rPr>
            <w:rStyle w:val="Hypertextovodkaz"/>
            <w:rFonts w:eastAsia="Times New Roman"/>
            <w:szCs w:val="24"/>
            <w:lang w:val="en-GB" w:eastAsia="en-GB" w:bidi="ar-SA"/>
          </w:rPr>
          <w:t>https://doi.org/10.7861/futurehosp.2-1-63</w:t>
        </w:r>
      </w:hyperlink>
      <w:r w:rsidRPr="009A112F">
        <w:rPr>
          <w:rFonts w:eastAsia="Times New Roman"/>
          <w:color w:val="auto"/>
          <w:szCs w:val="24"/>
          <w:lang w:eastAsia="en-GB"/>
        </w:rPr>
        <w:t>.</w:t>
      </w:r>
      <w:r>
        <w:rPr>
          <w:rFonts w:eastAsia="Times New Roman"/>
          <w:color w:val="auto"/>
          <w:szCs w:val="24"/>
          <w:lang w:eastAsia="en-GB"/>
        </w:rPr>
        <w:t xml:space="preserve"> </w:t>
      </w:r>
    </w:p>
    <w:p w14:paraId="7457E775" w14:textId="77777777" w:rsidR="009A112F" w:rsidRPr="009A112F" w:rsidRDefault="009A112F" w:rsidP="009A112F"/>
    <w:sectPr w:rsidR="009A112F" w:rsidRPr="009A112F">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5DF00F" w14:textId="77777777" w:rsidR="001F2716" w:rsidRDefault="001F2716" w:rsidP="00A87747">
      <w:pPr>
        <w:spacing w:line="240" w:lineRule="auto"/>
      </w:pPr>
      <w:r>
        <w:separator/>
      </w:r>
    </w:p>
  </w:endnote>
  <w:endnote w:type="continuationSeparator" w:id="0">
    <w:p w14:paraId="1FF3BC4D" w14:textId="77777777" w:rsidR="001F2716" w:rsidRDefault="001F2716"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roid Sans">
    <w:panose1 w:val="020B0604020202020204"/>
    <w:charset w:val="80"/>
    <w:family w:val="auto"/>
    <w:pitch w:val="variable"/>
  </w:font>
  <w:font w:name="OpenSymbol">
    <w:altName w:val="Arial Unicode MS"/>
    <w:panose1 w:val="020B0604020202020204"/>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jaVu Sans">
    <w:altName w:val="Yu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panose1 w:val="020B0604020202020204"/>
    <w:charset w:val="80"/>
    <w:family w:val="roman"/>
    <w:pitch w:val="variable"/>
  </w:font>
  <w:font w:name="DejaVu Sans Mono">
    <w:panose1 w:val="020B0604020202020204"/>
    <w:charset w:val="80"/>
    <w:family w:val="modern"/>
    <w:pitch w:val="default"/>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94053D" w14:textId="77777777" w:rsidR="00AC37DE" w:rsidRDefault="00AC37DE">
    <w:pPr>
      <w:pStyle w:val="Zpa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A5FFAF" w14:textId="77777777" w:rsidR="00A87747" w:rsidRDefault="00A87747">
    <w:pPr>
      <w:pStyle w:val="Zpat"/>
      <w:jc w:val="center"/>
    </w:pPr>
    <w:r>
      <w:fldChar w:fldCharType="begin"/>
    </w:r>
    <w:r>
      <w:instrText xml:space="preserve"> PAGE   \* MERGEFORMAT </w:instrText>
    </w:r>
    <w:r>
      <w:fldChar w:fldCharType="separate"/>
    </w:r>
    <w:r w:rsidR="00561F6B">
      <w:rPr>
        <w:noProof/>
      </w:rPr>
      <w:t>2</w:t>
    </w:r>
    <w:r>
      <w:rPr>
        <w:noProof/>
      </w:rPr>
      <w:fldChar w:fldCharType="end"/>
    </w:r>
  </w:p>
  <w:p w14:paraId="074ED55D" w14:textId="77777777" w:rsidR="00A87747" w:rsidRDefault="00A87747">
    <w:pPr>
      <w:pStyle w:val="Zpa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B754A1" w14:textId="77777777" w:rsidR="00AC37DE" w:rsidRDefault="00AC37DE">
    <w:pPr>
      <w:pStyle w:val="Zpa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3A66E7" w14:textId="77777777" w:rsidR="001F2716" w:rsidRDefault="001F2716" w:rsidP="00A87747">
      <w:pPr>
        <w:spacing w:line="240" w:lineRule="auto"/>
      </w:pPr>
      <w:r>
        <w:separator/>
      </w:r>
    </w:p>
  </w:footnote>
  <w:footnote w:type="continuationSeparator" w:id="0">
    <w:p w14:paraId="0616DD27" w14:textId="77777777" w:rsidR="001F2716" w:rsidRDefault="001F2716" w:rsidP="00A8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7DC2EE" w14:textId="77777777" w:rsidR="00AC37DE" w:rsidRDefault="00AC37DE">
    <w:pPr>
      <w:pStyle w:val="Zhlav"/>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D75B2F" w14:textId="77777777" w:rsidR="00AC37DE" w:rsidRDefault="00AC37DE">
    <w:pPr>
      <w:pStyle w:val="Zhlav"/>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FCDCF2" w14:textId="77777777" w:rsidR="00AC37DE" w:rsidRDefault="00AC37DE">
    <w:pPr>
      <w:pStyle w:val="Zhlav"/>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0ABF03A4"/>
    <w:multiLevelType w:val="hybridMultilevel"/>
    <w:tmpl w:val="D50E0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C8C6906"/>
    <w:multiLevelType w:val="hybridMultilevel"/>
    <w:tmpl w:val="B0EA6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5"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DB6111B"/>
    <w:multiLevelType w:val="hybridMultilevel"/>
    <w:tmpl w:val="C1963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3882684">
    <w:abstractNumId w:val="0"/>
  </w:num>
  <w:num w:numId="2" w16cid:durableId="607810863">
    <w:abstractNumId w:val="1"/>
  </w:num>
  <w:num w:numId="3" w16cid:durableId="1877958967">
    <w:abstractNumId w:val="12"/>
  </w:num>
  <w:num w:numId="4" w16cid:durableId="1329334237">
    <w:abstractNumId w:val="26"/>
  </w:num>
  <w:num w:numId="5" w16cid:durableId="1588729929">
    <w:abstractNumId w:val="10"/>
  </w:num>
  <w:num w:numId="6" w16cid:durableId="1571962219">
    <w:abstractNumId w:val="25"/>
  </w:num>
  <w:num w:numId="7" w16cid:durableId="1866402603">
    <w:abstractNumId w:val="29"/>
  </w:num>
  <w:num w:numId="8" w16cid:durableId="711926332">
    <w:abstractNumId w:val="21"/>
  </w:num>
  <w:num w:numId="9" w16cid:durableId="475223911">
    <w:abstractNumId w:val="7"/>
  </w:num>
  <w:num w:numId="10" w16cid:durableId="1623417232">
    <w:abstractNumId w:val="18"/>
  </w:num>
  <w:num w:numId="11" w16cid:durableId="587621869">
    <w:abstractNumId w:val="22"/>
  </w:num>
  <w:num w:numId="12" w16cid:durableId="2119720048">
    <w:abstractNumId w:val="13"/>
  </w:num>
  <w:num w:numId="13" w16cid:durableId="1884170907">
    <w:abstractNumId w:val="4"/>
  </w:num>
  <w:num w:numId="14" w16cid:durableId="948854183">
    <w:abstractNumId w:val="19"/>
  </w:num>
  <w:num w:numId="15" w16cid:durableId="466169299">
    <w:abstractNumId w:val="6"/>
  </w:num>
  <w:num w:numId="16" w16cid:durableId="1106653466">
    <w:abstractNumId w:val="24"/>
  </w:num>
  <w:num w:numId="17" w16cid:durableId="1638608856">
    <w:abstractNumId w:val="3"/>
  </w:num>
  <w:num w:numId="18" w16cid:durableId="897546165">
    <w:abstractNumId w:val="20"/>
  </w:num>
  <w:num w:numId="19" w16cid:durableId="983241041">
    <w:abstractNumId w:val="2"/>
  </w:num>
  <w:num w:numId="20" w16cid:durableId="1976832077">
    <w:abstractNumId w:val="28"/>
  </w:num>
  <w:num w:numId="21" w16cid:durableId="2108186782">
    <w:abstractNumId w:val="15"/>
  </w:num>
  <w:num w:numId="22" w16cid:durableId="1498770502">
    <w:abstractNumId w:val="14"/>
  </w:num>
  <w:num w:numId="23" w16cid:durableId="336541426">
    <w:abstractNumId w:val="27"/>
  </w:num>
  <w:num w:numId="24" w16cid:durableId="569121057">
    <w:abstractNumId w:val="31"/>
  </w:num>
  <w:num w:numId="25" w16cid:durableId="735854588">
    <w:abstractNumId w:val="8"/>
  </w:num>
  <w:num w:numId="26" w16cid:durableId="2036927911">
    <w:abstractNumId w:val="17"/>
  </w:num>
  <w:num w:numId="27" w16cid:durableId="32047913">
    <w:abstractNumId w:val="16"/>
  </w:num>
  <w:num w:numId="28" w16cid:durableId="1613898351">
    <w:abstractNumId w:val="23"/>
  </w:num>
  <w:num w:numId="29" w16cid:durableId="676155952">
    <w:abstractNumId w:val="9"/>
  </w:num>
  <w:num w:numId="30" w16cid:durableId="1392774202">
    <w:abstractNumId w:val="11"/>
  </w:num>
  <w:num w:numId="31" w16cid:durableId="832916476">
    <w:abstractNumId w:val="5"/>
  </w:num>
  <w:num w:numId="32" w16cid:durableId="89682124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ln"/>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yNbcwNTM0BXKMLJV0lIJTi4sz8/NACsxqAbKCQ3wsAAAA"/>
  </w:docVars>
  <w:rsids>
    <w:rsidRoot w:val="008D09FF"/>
    <w:rsid w:val="000143B4"/>
    <w:rsid w:val="000157F7"/>
    <w:rsid w:val="000169FC"/>
    <w:rsid w:val="00026F62"/>
    <w:rsid w:val="0003210E"/>
    <w:rsid w:val="00033E1E"/>
    <w:rsid w:val="00043DD1"/>
    <w:rsid w:val="00044E03"/>
    <w:rsid w:val="00051B13"/>
    <w:rsid w:val="0005499F"/>
    <w:rsid w:val="00073CCE"/>
    <w:rsid w:val="00077B6D"/>
    <w:rsid w:val="000824D7"/>
    <w:rsid w:val="0009752E"/>
    <w:rsid w:val="000A0300"/>
    <w:rsid w:val="000A2736"/>
    <w:rsid w:val="000A693F"/>
    <w:rsid w:val="000B55F1"/>
    <w:rsid w:val="000B7C25"/>
    <w:rsid w:val="000C54FA"/>
    <w:rsid w:val="000D13F2"/>
    <w:rsid w:val="000D1E89"/>
    <w:rsid w:val="000D5F91"/>
    <w:rsid w:val="000E3657"/>
    <w:rsid w:val="000E5B1D"/>
    <w:rsid w:val="000E7C63"/>
    <w:rsid w:val="000F7A29"/>
    <w:rsid w:val="0010080F"/>
    <w:rsid w:val="001127EC"/>
    <w:rsid w:val="00115FA2"/>
    <w:rsid w:val="0011725C"/>
    <w:rsid w:val="0012311E"/>
    <w:rsid w:val="00124129"/>
    <w:rsid w:val="00127FDE"/>
    <w:rsid w:val="00131CE2"/>
    <w:rsid w:val="00135FA8"/>
    <w:rsid w:val="0014081F"/>
    <w:rsid w:val="0014236D"/>
    <w:rsid w:val="001543C4"/>
    <w:rsid w:val="00155DFF"/>
    <w:rsid w:val="00171AB7"/>
    <w:rsid w:val="001959E7"/>
    <w:rsid w:val="001A2386"/>
    <w:rsid w:val="001A6CE4"/>
    <w:rsid w:val="001B148D"/>
    <w:rsid w:val="001B293F"/>
    <w:rsid w:val="001B2B71"/>
    <w:rsid w:val="001B3DA5"/>
    <w:rsid w:val="001C4B30"/>
    <w:rsid w:val="001C6C19"/>
    <w:rsid w:val="001C7C69"/>
    <w:rsid w:val="001D1CAC"/>
    <w:rsid w:val="001D46FF"/>
    <w:rsid w:val="001F2716"/>
    <w:rsid w:val="001F2F9D"/>
    <w:rsid w:val="002037AB"/>
    <w:rsid w:val="00203ADA"/>
    <w:rsid w:val="00207BF7"/>
    <w:rsid w:val="0021152B"/>
    <w:rsid w:val="00214B85"/>
    <w:rsid w:val="002157B6"/>
    <w:rsid w:val="00245957"/>
    <w:rsid w:val="00245FD9"/>
    <w:rsid w:val="0024714F"/>
    <w:rsid w:val="00251842"/>
    <w:rsid w:val="00255300"/>
    <w:rsid w:val="00267D0D"/>
    <w:rsid w:val="00273F83"/>
    <w:rsid w:val="002923C2"/>
    <w:rsid w:val="0029461D"/>
    <w:rsid w:val="002A218E"/>
    <w:rsid w:val="002B1C88"/>
    <w:rsid w:val="002B6D16"/>
    <w:rsid w:val="002C58C6"/>
    <w:rsid w:val="002C5976"/>
    <w:rsid w:val="002C5AFE"/>
    <w:rsid w:val="002C5DF6"/>
    <w:rsid w:val="002C6FE9"/>
    <w:rsid w:val="002D5608"/>
    <w:rsid w:val="002E2445"/>
    <w:rsid w:val="002F3715"/>
    <w:rsid w:val="002F4C8F"/>
    <w:rsid w:val="00306373"/>
    <w:rsid w:val="003347F4"/>
    <w:rsid w:val="003407C3"/>
    <w:rsid w:val="00341F1F"/>
    <w:rsid w:val="00352949"/>
    <w:rsid w:val="00354A83"/>
    <w:rsid w:val="003559FD"/>
    <w:rsid w:val="00355AA6"/>
    <w:rsid w:val="0035740A"/>
    <w:rsid w:val="00363625"/>
    <w:rsid w:val="003644F3"/>
    <w:rsid w:val="00371215"/>
    <w:rsid w:val="0037352A"/>
    <w:rsid w:val="00377720"/>
    <w:rsid w:val="00380505"/>
    <w:rsid w:val="00390787"/>
    <w:rsid w:val="003915E6"/>
    <w:rsid w:val="003A21CE"/>
    <w:rsid w:val="003B2223"/>
    <w:rsid w:val="003D2B08"/>
    <w:rsid w:val="003D6472"/>
    <w:rsid w:val="003E3CE3"/>
    <w:rsid w:val="003F321A"/>
    <w:rsid w:val="003F58CF"/>
    <w:rsid w:val="003F652C"/>
    <w:rsid w:val="003F6A34"/>
    <w:rsid w:val="004001C6"/>
    <w:rsid w:val="0040516B"/>
    <w:rsid w:val="00406F8A"/>
    <w:rsid w:val="004118BC"/>
    <w:rsid w:val="00412D04"/>
    <w:rsid w:val="00426EFB"/>
    <w:rsid w:val="004275E6"/>
    <w:rsid w:val="00430271"/>
    <w:rsid w:val="0043392D"/>
    <w:rsid w:val="00435F23"/>
    <w:rsid w:val="004458C1"/>
    <w:rsid w:val="00454D5E"/>
    <w:rsid w:val="00455304"/>
    <w:rsid w:val="00460545"/>
    <w:rsid w:val="0046208D"/>
    <w:rsid w:val="0047293C"/>
    <w:rsid w:val="00480840"/>
    <w:rsid w:val="004836C4"/>
    <w:rsid w:val="0049537E"/>
    <w:rsid w:val="00496C57"/>
    <w:rsid w:val="004A17F2"/>
    <w:rsid w:val="004A42D9"/>
    <w:rsid w:val="004A6F78"/>
    <w:rsid w:val="004A78C8"/>
    <w:rsid w:val="004B2DC1"/>
    <w:rsid w:val="004B6253"/>
    <w:rsid w:val="004B637E"/>
    <w:rsid w:val="004D5B16"/>
    <w:rsid w:val="004D5BFC"/>
    <w:rsid w:val="004E44CC"/>
    <w:rsid w:val="004F372C"/>
    <w:rsid w:val="00500202"/>
    <w:rsid w:val="005007FB"/>
    <w:rsid w:val="005025FB"/>
    <w:rsid w:val="0050612C"/>
    <w:rsid w:val="00514B64"/>
    <w:rsid w:val="00514C27"/>
    <w:rsid w:val="005244D0"/>
    <w:rsid w:val="00526156"/>
    <w:rsid w:val="00526B25"/>
    <w:rsid w:val="00531793"/>
    <w:rsid w:val="005363C9"/>
    <w:rsid w:val="00545BE1"/>
    <w:rsid w:val="005466F4"/>
    <w:rsid w:val="00556141"/>
    <w:rsid w:val="005575BB"/>
    <w:rsid w:val="00561F6B"/>
    <w:rsid w:val="00563005"/>
    <w:rsid w:val="00565E1A"/>
    <w:rsid w:val="00572E0C"/>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F292C"/>
    <w:rsid w:val="0060463A"/>
    <w:rsid w:val="00607926"/>
    <w:rsid w:val="0061173B"/>
    <w:rsid w:val="00615B24"/>
    <w:rsid w:val="00621B9C"/>
    <w:rsid w:val="006237FB"/>
    <w:rsid w:val="006302B6"/>
    <w:rsid w:val="006407FE"/>
    <w:rsid w:val="006438EC"/>
    <w:rsid w:val="006475FF"/>
    <w:rsid w:val="00654A6E"/>
    <w:rsid w:val="00661773"/>
    <w:rsid w:val="0066496D"/>
    <w:rsid w:val="00671F66"/>
    <w:rsid w:val="00674A76"/>
    <w:rsid w:val="00682A76"/>
    <w:rsid w:val="00682D74"/>
    <w:rsid w:val="00684916"/>
    <w:rsid w:val="006948E8"/>
    <w:rsid w:val="00697727"/>
    <w:rsid w:val="006A724A"/>
    <w:rsid w:val="006B65D2"/>
    <w:rsid w:val="006C51DB"/>
    <w:rsid w:val="006C5469"/>
    <w:rsid w:val="006C5728"/>
    <w:rsid w:val="006D07E0"/>
    <w:rsid w:val="006D6837"/>
    <w:rsid w:val="006D7C5E"/>
    <w:rsid w:val="006E177F"/>
    <w:rsid w:val="00705F33"/>
    <w:rsid w:val="007130F3"/>
    <w:rsid w:val="00720A6F"/>
    <w:rsid w:val="0072548E"/>
    <w:rsid w:val="00732B9B"/>
    <w:rsid w:val="00746466"/>
    <w:rsid w:val="0074789A"/>
    <w:rsid w:val="007515C4"/>
    <w:rsid w:val="00752C57"/>
    <w:rsid w:val="0075424F"/>
    <w:rsid w:val="00755616"/>
    <w:rsid w:val="00755E7B"/>
    <w:rsid w:val="007626C2"/>
    <w:rsid w:val="00764092"/>
    <w:rsid w:val="00772400"/>
    <w:rsid w:val="007739F9"/>
    <w:rsid w:val="00777727"/>
    <w:rsid w:val="00781B1F"/>
    <w:rsid w:val="007847BC"/>
    <w:rsid w:val="00784EBE"/>
    <w:rsid w:val="00793373"/>
    <w:rsid w:val="00796A0C"/>
    <w:rsid w:val="007B6BA5"/>
    <w:rsid w:val="007C0686"/>
    <w:rsid w:val="007C1004"/>
    <w:rsid w:val="007C3193"/>
    <w:rsid w:val="007D0A05"/>
    <w:rsid w:val="007D1B17"/>
    <w:rsid w:val="007D4E7D"/>
    <w:rsid w:val="007D6079"/>
    <w:rsid w:val="007E5D62"/>
    <w:rsid w:val="007E61B3"/>
    <w:rsid w:val="007E79B8"/>
    <w:rsid w:val="007F543B"/>
    <w:rsid w:val="007F5B80"/>
    <w:rsid w:val="007F654B"/>
    <w:rsid w:val="00814EE5"/>
    <w:rsid w:val="0082293E"/>
    <w:rsid w:val="0083045C"/>
    <w:rsid w:val="0083094A"/>
    <w:rsid w:val="008309B1"/>
    <w:rsid w:val="00831ABD"/>
    <w:rsid w:val="00841350"/>
    <w:rsid w:val="00853117"/>
    <w:rsid w:val="008645D9"/>
    <w:rsid w:val="0087207B"/>
    <w:rsid w:val="00872FDC"/>
    <w:rsid w:val="00884801"/>
    <w:rsid w:val="008934D6"/>
    <w:rsid w:val="008A4FEE"/>
    <w:rsid w:val="008A5AAC"/>
    <w:rsid w:val="008B1D5E"/>
    <w:rsid w:val="008B6785"/>
    <w:rsid w:val="008C4464"/>
    <w:rsid w:val="008C5894"/>
    <w:rsid w:val="008D09FF"/>
    <w:rsid w:val="008E6B1D"/>
    <w:rsid w:val="008F29E6"/>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64B2F"/>
    <w:rsid w:val="00970C40"/>
    <w:rsid w:val="00974D0D"/>
    <w:rsid w:val="00975F56"/>
    <w:rsid w:val="009812B8"/>
    <w:rsid w:val="00982038"/>
    <w:rsid w:val="00991B22"/>
    <w:rsid w:val="00993BA5"/>
    <w:rsid w:val="009A112F"/>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522A"/>
    <w:rsid w:val="00A06682"/>
    <w:rsid w:val="00A2542B"/>
    <w:rsid w:val="00A31089"/>
    <w:rsid w:val="00A60F2E"/>
    <w:rsid w:val="00A62491"/>
    <w:rsid w:val="00A630B9"/>
    <w:rsid w:val="00A654E6"/>
    <w:rsid w:val="00A7011E"/>
    <w:rsid w:val="00A70CE1"/>
    <w:rsid w:val="00A73945"/>
    <w:rsid w:val="00A75675"/>
    <w:rsid w:val="00A801A0"/>
    <w:rsid w:val="00A82125"/>
    <w:rsid w:val="00A87747"/>
    <w:rsid w:val="00A90D99"/>
    <w:rsid w:val="00A9411B"/>
    <w:rsid w:val="00A954C7"/>
    <w:rsid w:val="00A97BE1"/>
    <w:rsid w:val="00AA470E"/>
    <w:rsid w:val="00AB326F"/>
    <w:rsid w:val="00AB5583"/>
    <w:rsid w:val="00AB5B5E"/>
    <w:rsid w:val="00AB73A8"/>
    <w:rsid w:val="00AC37DE"/>
    <w:rsid w:val="00AC3A95"/>
    <w:rsid w:val="00AC52A2"/>
    <w:rsid w:val="00AD0E28"/>
    <w:rsid w:val="00AD2CBF"/>
    <w:rsid w:val="00AD2D58"/>
    <w:rsid w:val="00AD58AA"/>
    <w:rsid w:val="00AD7F58"/>
    <w:rsid w:val="00AE6BC8"/>
    <w:rsid w:val="00AF1F9B"/>
    <w:rsid w:val="00AF526C"/>
    <w:rsid w:val="00AF6143"/>
    <w:rsid w:val="00AF64A6"/>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5F"/>
    <w:rsid w:val="00B322E0"/>
    <w:rsid w:val="00B34CA4"/>
    <w:rsid w:val="00B462F2"/>
    <w:rsid w:val="00B465CF"/>
    <w:rsid w:val="00B46E41"/>
    <w:rsid w:val="00B51613"/>
    <w:rsid w:val="00B56352"/>
    <w:rsid w:val="00B57A65"/>
    <w:rsid w:val="00B61DB0"/>
    <w:rsid w:val="00B61FED"/>
    <w:rsid w:val="00B671A3"/>
    <w:rsid w:val="00B7065F"/>
    <w:rsid w:val="00B71230"/>
    <w:rsid w:val="00B74848"/>
    <w:rsid w:val="00B87943"/>
    <w:rsid w:val="00B91486"/>
    <w:rsid w:val="00B97BB3"/>
    <w:rsid w:val="00BA2FDA"/>
    <w:rsid w:val="00BA45F5"/>
    <w:rsid w:val="00BA67AD"/>
    <w:rsid w:val="00BC3B3A"/>
    <w:rsid w:val="00BD180E"/>
    <w:rsid w:val="00BD411F"/>
    <w:rsid w:val="00BE6EAE"/>
    <w:rsid w:val="00BF4E4E"/>
    <w:rsid w:val="00BF5CCF"/>
    <w:rsid w:val="00BF6034"/>
    <w:rsid w:val="00C00C12"/>
    <w:rsid w:val="00C106CE"/>
    <w:rsid w:val="00C14BE6"/>
    <w:rsid w:val="00C24BF1"/>
    <w:rsid w:val="00C41329"/>
    <w:rsid w:val="00C42CEC"/>
    <w:rsid w:val="00C433FF"/>
    <w:rsid w:val="00C47BCC"/>
    <w:rsid w:val="00C52007"/>
    <w:rsid w:val="00C53CCD"/>
    <w:rsid w:val="00C57D30"/>
    <w:rsid w:val="00C66F95"/>
    <w:rsid w:val="00C73ADD"/>
    <w:rsid w:val="00C74D7D"/>
    <w:rsid w:val="00C8669D"/>
    <w:rsid w:val="00C8743A"/>
    <w:rsid w:val="00C919FB"/>
    <w:rsid w:val="00CA59F2"/>
    <w:rsid w:val="00CC3413"/>
    <w:rsid w:val="00CC671B"/>
    <w:rsid w:val="00CD2539"/>
    <w:rsid w:val="00CE4E4E"/>
    <w:rsid w:val="00CE5BDB"/>
    <w:rsid w:val="00CF15D8"/>
    <w:rsid w:val="00CF5F42"/>
    <w:rsid w:val="00D20ECD"/>
    <w:rsid w:val="00D2166C"/>
    <w:rsid w:val="00D23569"/>
    <w:rsid w:val="00D30910"/>
    <w:rsid w:val="00D35421"/>
    <w:rsid w:val="00D4151E"/>
    <w:rsid w:val="00D444CD"/>
    <w:rsid w:val="00D50037"/>
    <w:rsid w:val="00D73C7F"/>
    <w:rsid w:val="00D81130"/>
    <w:rsid w:val="00D942AF"/>
    <w:rsid w:val="00D9463B"/>
    <w:rsid w:val="00DA3189"/>
    <w:rsid w:val="00DA3A21"/>
    <w:rsid w:val="00DA5D0B"/>
    <w:rsid w:val="00DB19D0"/>
    <w:rsid w:val="00DB5216"/>
    <w:rsid w:val="00DC13DA"/>
    <w:rsid w:val="00DC49BD"/>
    <w:rsid w:val="00DC5F06"/>
    <w:rsid w:val="00DD45E3"/>
    <w:rsid w:val="00DD6A76"/>
    <w:rsid w:val="00DE0958"/>
    <w:rsid w:val="00DE64C4"/>
    <w:rsid w:val="00DF037E"/>
    <w:rsid w:val="00DF2060"/>
    <w:rsid w:val="00DF6304"/>
    <w:rsid w:val="00E000B9"/>
    <w:rsid w:val="00E039C5"/>
    <w:rsid w:val="00E03A4B"/>
    <w:rsid w:val="00E27145"/>
    <w:rsid w:val="00E315EE"/>
    <w:rsid w:val="00E37264"/>
    <w:rsid w:val="00E41AB6"/>
    <w:rsid w:val="00E5396E"/>
    <w:rsid w:val="00E61475"/>
    <w:rsid w:val="00E62EF6"/>
    <w:rsid w:val="00E71F36"/>
    <w:rsid w:val="00E811C1"/>
    <w:rsid w:val="00E859FA"/>
    <w:rsid w:val="00E85B3F"/>
    <w:rsid w:val="00E90A5A"/>
    <w:rsid w:val="00E928CA"/>
    <w:rsid w:val="00E94410"/>
    <w:rsid w:val="00E9780D"/>
    <w:rsid w:val="00EA0745"/>
    <w:rsid w:val="00EA2106"/>
    <w:rsid w:val="00EA7C96"/>
    <w:rsid w:val="00EB02D9"/>
    <w:rsid w:val="00EB0C0B"/>
    <w:rsid w:val="00EB32F9"/>
    <w:rsid w:val="00EB6093"/>
    <w:rsid w:val="00EC3B38"/>
    <w:rsid w:val="00EC3CED"/>
    <w:rsid w:val="00EC74AE"/>
    <w:rsid w:val="00ED6A6B"/>
    <w:rsid w:val="00EE04C1"/>
    <w:rsid w:val="00EE2BBA"/>
    <w:rsid w:val="00EE58F1"/>
    <w:rsid w:val="00EF0350"/>
    <w:rsid w:val="00F05440"/>
    <w:rsid w:val="00F10C64"/>
    <w:rsid w:val="00F16569"/>
    <w:rsid w:val="00F17CBC"/>
    <w:rsid w:val="00F31831"/>
    <w:rsid w:val="00F320B3"/>
    <w:rsid w:val="00F35020"/>
    <w:rsid w:val="00F42555"/>
    <w:rsid w:val="00F52B0E"/>
    <w:rsid w:val="00F71CCB"/>
    <w:rsid w:val="00FA1905"/>
    <w:rsid w:val="00FA3835"/>
    <w:rsid w:val="00FB012C"/>
    <w:rsid w:val="00FB44DD"/>
    <w:rsid w:val="00FB5913"/>
    <w:rsid w:val="00FB636C"/>
    <w:rsid w:val="00FD08F7"/>
    <w:rsid w:val="00FE007F"/>
    <w:rsid w:val="00FE1106"/>
    <w:rsid w:val="00FE22D5"/>
    <w:rsid w:val="00FE2AD0"/>
    <w:rsid w:val="00FE3A7A"/>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cs-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465EF5A1"/>
  <w15:chartTrackingRefBased/>
  <w15:docId w15:val="{21EFDC44-1470-6A40-8E56-0C57549A9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cs-GB" w:eastAsia="cs-CZ"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pPr>
      <w:suppressAutoHyphens/>
      <w:spacing w:line="360" w:lineRule="auto"/>
      <w:jc w:val="both"/>
    </w:pPr>
    <w:rPr>
      <w:rFonts w:eastAsia="Calibri"/>
      <w:color w:val="000000"/>
      <w:sz w:val="24"/>
      <w:szCs w:val="22"/>
      <w:lang w:val="en-GB" w:eastAsia="ar-SA"/>
    </w:rPr>
  </w:style>
  <w:style w:type="paragraph" w:styleId="Nadpis1">
    <w:name w:val="heading 1"/>
    <w:basedOn w:val="Normln"/>
    <w:next w:val="Normln"/>
    <w:qFormat/>
    <w:pPr>
      <w:keepNext/>
      <w:keepLines/>
      <w:numPr>
        <w:numId w:val="1"/>
      </w:numPr>
      <w:spacing w:before="113"/>
      <w:outlineLvl w:val="0"/>
    </w:pPr>
    <w:rPr>
      <w:rFonts w:eastAsia="Times New Roman"/>
      <w:b/>
      <w:bCs/>
      <w:sz w:val="28"/>
      <w:szCs w:val="28"/>
    </w:rPr>
  </w:style>
  <w:style w:type="paragraph" w:styleId="Nadpis2">
    <w:name w:val="heading 2"/>
    <w:basedOn w:val="Normln"/>
    <w:next w:val="Normln"/>
    <w:qFormat/>
    <w:rsid w:val="00127FDE"/>
    <w:pPr>
      <w:keepNext/>
      <w:keepLines/>
      <w:numPr>
        <w:ilvl w:val="1"/>
        <w:numId w:val="1"/>
      </w:numPr>
      <w:spacing w:before="113"/>
      <w:outlineLvl w:val="1"/>
    </w:pPr>
    <w:rPr>
      <w:rFonts w:eastAsia="Times New Roman"/>
      <w:b/>
      <w:bCs/>
      <w:szCs w:val="26"/>
    </w:rPr>
  </w:style>
  <w:style w:type="paragraph" w:styleId="Nadpis3">
    <w:name w:val="heading 3"/>
    <w:basedOn w:val="Heading"/>
    <w:next w:val="Zkladntext"/>
    <w:qFormat/>
    <w:pPr>
      <w:numPr>
        <w:ilvl w:val="2"/>
        <w:numId w:val="1"/>
      </w:numPr>
      <w:outlineLvl w:val="2"/>
    </w:pPr>
    <w:rPr>
      <w:b/>
      <w:bCs/>
    </w:rPr>
  </w:style>
  <w:style w:type="paragraph" w:styleId="Nadpis4">
    <w:name w:val="heading 4"/>
    <w:basedOn w:val="Heading"/>
    <w:next w:val="Zkladntext"/>
    <w:qFormat/>
    <w:pPr>
      <w:numPr>
        <w:ilvl w:val="3"/>
        <w:numId w:val="1"/>
      </w:numPr>
      <w:outlineLvl w:val="3"/>
    </w:pPr>
    <w:rPr>
      <w:b/>
      <w:bCs/>
      <w:i/>
      <w:iCs/>
      <w:sz w:val="24"/>
      <w:szCs w:val="24"/>
    </w:rPr>
  </w:style>
  <w:style w:type="paragraph" w:styleId="Nadpis5">
    <w:name w:val="heading 5"/>
    <w:basedOn w:val="Heading"/>
    <w:next w:val="Zkladntext"/>
    <w:qFormat/>
    <w:pPr>
      <w:numPr>
        <w:ilvl w:val="4"/>
        <w:numId w:val="1"/>
      </w:numPr>
      <w:outlineLvl w:val="4"/>
    </w:pPr>
    <w:rPr>
      <w:b/>
      <w:bCs/>
      <w:sz w:val="24"/>
      <w:szCs w:val="24"/>
    </w:rPr>
  </w:style>
  <w:style w:type="paragraph" w:styleId="Nadpis6">
    <w:name w:val="heading 6"/>
    <w:basedOn w:val="Heading"/>
    <w:next w:val="Zkladntext"/>
    <w:qFormat/>
    <w:pPr>
      <w:numPr>
        <w:ilvl w:val="5"/>
        <w:numId w:val="1"/>
      </w:numPr>
      <w:outlineLvl w:val="5"/>
    </w:pPr>
    <w:rPr>
      <w:b/>
      <w:bCs/>
      <w:sz w:val="21"/>
      <w:szCs w:val="21"/>
    </w:rPr>
  </w:style>
  <w:style w:type="paragraph" w:styleId="Nadpis7">
    <w:name w:val="heading 7"/>
    <w:basedOn w:val="Heading"/>
    <w:next w:val="Zkladntext"/>
    <w:qFormat/>
    <w:pPr>
      <w:numPr>
        <w:ilvl w:val="6"/>
        <w:numId w:val="1"/>
      </w:numPr>
      <w:outlineLvl w:val="6"/>
    </w:pPr>
    <w:rPr>
      <w:b/>
      <w:bCs/>
      <w:sz w:val="21"/>
      <w:szCs w:val="21"/>
    </w:rPr>
  </w:style>
  <w:style w:type="paragraph" w:styleId="Nadpis8">
    <w:name w:val="heading 8"/>
    <w:basedOn w:val="Heading"/>
    <w:next w:val="Zkladntext"/>
    <w:qFormat/>
    <w:pPr>
      <w:numPr>
        <w:ilvl w:val="7"/>
        <w:numId w:val="1"/>
      </w:numPr>
      <w:outlineLvl w:val="7"/>
    </w:pPr>
    <w:rPr>
      <w:b/>
      <w:bCs/>
      <w:sz w:val="21"/>
      <w:szCs w:val="21"/>
    </w:rPr>
  </w:style>
  <w:style w:type="paragraph" w:styleId="Nadpis9">
    <w:name w:val="heading 9"/>
    <w:basedOn w:val="Heading"/>
    <w:next w:val="Zkladntext"/>
    <w:qFormat/>
    <w:pPr>
      <w:numPr>
        <w:ilvl w:val="8"/>
        <w:numId w:val="1"/>
      </w:numPr>
      <w:outlineLvl w:val="8"/>
    </w:pPr>
    <w:rPr>
      <w:b/>
      <w:bCs/>
      <w:sz w:val="21"/>
      <w:szCs w:val="21"/>
    </w:rPr>
  </w:style>
  <w:style w:type="character" w:default="1" w:styleId="Standardnpsmoodstavce">
    <w:name w:val="Default Paragraph Font"/>
    <w:uiPriority w:val="1"/>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styleId="Standardnpsmoodstavce0">
    <w:name w:val="Default Paragraph Font"/>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textovodkaz">
    <w:name w:val="Hyperlink"/>
    <w:uiPriority w:val="99"/>
    <w:rPr>
      <w:color w:val="000080"/>
      <w:u w:val="single"/>
      <w:lang/>
    </w:rPr>
  </w:style>
  <w:style w:type="character" w:styleId="Odkaznakoment">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iln">
    <w:name w:val="Strong"/>
    <w:uiPriority w:val="22"/>
    <w:qFormat/>
    <w:rPr>
      <w:b/>
      <w:bCs/>
    </w:rPr>
  </w:style>
  <w:style w:type="character" w:customStyle="1" w:styleId="FootnoteCharacters">
    <w:name w:val="Footnote Characters"/>
  </w:style>
  <w:style w:type="character" w:styleId="Znakapoznpodarou">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ln"/>
    <w:next w:val="Zkladntext"/>
    <w:pPr>
      <w:keepNext/>
      <w:spacing w:before="240" w:after="120"/>
    </w:pPr>
    <w:rPr>
      <w:rFonts w:ascii="Arial" w:eastAsia="Droid Sans" w:hAnsi="Arial" w:cs="DejaVu Sans"/>
      <w:sz w:val="28"/>
      <w:szCs w:val="28"/>
    </w:rPr>
  </w:style>
  <w:style w:type="paragraph" w:styleId="Zkladntext">
    <w:name w:val="Body Text"/>
    <w:basedOn w:val="Normln"/>
  </w:style>
  <w:style w:type="paragraph" w:styleId="Seznam">
    <w:name w:val="List"/>
    <w:basedOn w:val="Zkladntext"/>
    <w:rPr>
      <w:rFonts w:cs="DejaVu Sans"/>
    </w:rPr>
  </w:style>
  <w:style w:type="paragraph" w:styleId="Titulek">
    <w:name w:val="caption"/>
    <w:basedOn w:val="Normln"/>
    <w:qFormat/>
    <w:pPr>
      <w:suppressLineNumbers/>
      <w:spacing w:before="120" w:after="120"/>
    </w:pPr>
    <w:rPr>
      <w:rFonts w:cs="DejaVu Sans"/>
      <w:i/>
      <w:iCs/>
      <w:szCs w:val="24"/>
    </w:rPr>
  </w:style>
  <w:style w:type="paragraph" w:customStyle="1" w:styleId="Index">
    <w:name w:val="Index"/>
    <w:basedOn w:val="Normln"/>
    <w:pPr>
      <w:suppressLineNumbers/>
    </w:pPr>
    <w:rPr>
      <w:rFonts w:cs="DejaVu Sans"/>
    </w:rPr>
  </w:style>
  <w:style w:type="paragraph" w:styleId="Zhlav">
    <w:name w:val="header"/>
    <w:basedOn w:val="Normln"/>
    <w:pPr>
      <w:tabs>
        <w:tab w:val="center" w:pos="4680"/>
        <w:tab w:val="right" w:pos="9360"/>
      </w:tabs>
      <w:spacing w:line="240" w:lineRule="auto"/>
    </w:pPr>
  </w:style>
  <w:style w:type="paragraph" w:styleId="Zpat">
    <w:name w:val="footer"/>
    <w:basedOn w:val="Normln"/>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Bezmezer">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ln"/>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ln"/>
    <w:rPr>
      <w:rFonts w:ascii="DejaVu Sans Mono" w:eastAsia="Droid Sans" w:hAnsi="DejaVu Sans Mono" w:cs="DejaVu Sans Mono"/>
      <w:sz w:val="20"/>
      <w:szCs w:val="20"/>
    </w:rPr>
  </w:style>
  <w:style w:type="paragraph" w:styleId="Odstavecseseznamem">
    <w:name w:val="List Paragraph"/>
    <w:basedOn w:val="Normln"/>
    <w:qFormat/>
  </w:style>
  <w:style w:type="paragraph" w:styleId="Obsah1">
    <w:name w:val="toc 1"/>
    <w:basedOn w:val="Index"/>
    <w:uiPriority w:val="39"/>
    <w:pPr>
      <w:tabs>
        <w:tab w:val="right" w:leader="dot" w:pos="9360"/>
      </w:tabs>
    </w:pPr>
  </w:style>
  <w:style w:type="paragraph" w:styleId="Obsah2">
    <w:name w:val="toc 2"/>
    <w:basedOn w:val="Index"/>
    <w:uiPriority w:val="39"/>
    <w:pPr>
      <w:tabs>
        <w:tab w:val="right" w:leader="dot" w:pos="9077"/>
      </w:tabs>
      <w:ind w:left="283"/>
    </w:pPr>
  </w:style>
  <w:style w:type="paragraph" w:styleId="Obsah3">
    <w:name w:val="toc 3"/>
    <w:basedOn w:val="Index"/>
    <w:pPr>
      <w:tabs>
        <w:tab w:val="right" w:leader="dot" w:pos="9072"/>
      </w:tabs>
      <w:ind w:left="566"/>
    </w:pPr>
  </w:style>
  <w:style w:type="paragraph" w:styleId="Obsah4">
    <w:name w:val="toc 4"/>
    <w:basedOn w:val="Index"/>
    <w:pPr>
      <w:tabs>
        <w:tab w:val="right" w:leader="dot" w:pos="8789"/>
      </w:tabs>
      <w:ind w:left="849"/>
    </w:pPr>
  </w:style>
  <w:style w:type="paragraph" w:styleId="Obsah5">
    <w:name w:val="toc 5"/>
    <w:basedOn w:val="Index"/>
    <w:pPr>
      <w:tabs>
        <w:tab w:val="right" w:leader="dot" w:pos="8506"/>
      </w:tabs>
      <w:ind w:left="1132"/>
    </w:pPr>
  </w:style>
  <w:style w:type="paragraph" w:styleId="Obsah6">
    <w:name w:val="toc 6"/>
    <w:basedOn w:val="Index"/>
    <w:pPr>
      <w:tabs>
        <w:tab w:val="right" w:leader="dot" w:pos="8223"/>
      </w:tabs>
      <w:ind w:left="1415"/>
    </w:pPr>
  </w:style>
  <w:style w:type="paragraph" w:styleId="Obsah7">
    <w:name w:val="toc 7"/>
    <w:basedOn w:val="Index"/>
    <w:pPr>
      <w:tabs>
        <w:tab w:val="right" w:leader="dot" w:pos="7940"/>
      </w:tabs>
      <w:ind w:left="1698"/>
    </w:pPr>
  </w:style>
  <w:style w:type="paragraph" w:styleId="Obsah8">
    <w:name w:val="toc 8"/>
    <w:basedOn w:val="Index"/>
    <w:pPr>
      <w:tabs>
        <w:tab w:val="right" w:leader="dot" w:pos="7657"/>
      </w:tabs>
      <w:ind w:left="1981"/>
    </w:pPr>
  </w:style>
  <w:style w:type="paragraph" w:styleId="Obsah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Textpoznpodarou">
    <w:name w:val="footnote text"/>
    <w:basedOn w:val="Normln"/>
    <w:pPr>
      <w:suppressLineNumbers/>
      <w:ind w:left="283" w:hanging="283"/>
    </w:pPr>
    <w:rPr>
      <w:sz w:val="20"/>
      <w:szCs w:val="20"/>
    </w:rPr>
  </w:style>
  <w:style w:type="paragraph" w:styleId="Nzev">
    <w:name w:val="Title"/>
    <w:basedOn w:val="Normln"/>
    <w:next w:val="Normln"/>
    <w:qFormat/>
    <w:pPr>
      <w:spacing w:before="240" w:after="60"/>
      <w:jc w:val="center"/>
    </w:pPr>
    <w:rPr>
      <w:rFonts w:ascii="Cambria" w:eastAsia="Times New Roman" w:hAnsi="Cambria"/>
      <w:b/>
      <w:bCs/>
      <w:kern w:val="1"/>
      <w:sz w:val="32"/>
      <w:szCs w:val="32"/>
    </w:rPr>
  </w:style>
  <w:style w:type="paragraph" w:styleId="Podnadpis">
    <w:name w:val="Subtitle"/>
    <w:basedOn w:val="Heading"/>
    <w:next w:val="Zkladntext"/>
    <w:qFormat/>
    <w:pPr>
      <w:jc w:val="center"/>
    </w:pPr>
    <w:rPr>
      <w:i/>
      <w:iCs/>
    </w:rPr>
  </w:style>
  <w:style w:type="paragraph" w:styleId="Normlnweb">
    <w:name w:val="Normal (Web)"/>
    <w:basedOn w:val="Normln"/>
    <w:uiPriority w:val="99"/>
    <w:pPr>
      <w:spacing w:line="100" w:lineRule="atLeast"/>
    </w:pPr>
    <w:rPr>
      <w:szCs w:val="24"/>
    </w:rPr>
  </w:style>
  <w:style w:type="paragraph" w:customStyle="1" w:styleId="Heading10">
    <w:name w:val="Heading 10"/>
    <w:basedOn w:val="Heading"/>
    <w:next w:val="Zkladntext"/>
    <w:pPr>
      <w:numPr>
        <w:numId w:val="2"/>
      </w:numPr>
    </w:pPr>
    <w:rPr>
      <w:b/>
      <w:bCs/>
      <w:sz w:val="21"/>
      <w:szCs w:val="21"/>
    </w:rPr>
  </w:style>
  <w:style w:type="table" w:styleId="Mkatabulky">
    <w:name w:val="Table Grid"/>
    <w:basedOn w:val="Normlntabulka"/>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rosttabulka1">
    <w:name w:val="Plain Table 1"/>
    <w:basedOn w:val="Normlntabulka"/>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Zdraznn">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customStyle="1" w:styleId="UnresolvedMention">
    <w:name w:val="Unresolved Mention"/>
    <w:uiPriority w:val="99"/>
    <w:semiHidden/>
    <w:unhideWhenUsed/>
    <w:rsid w:val="003F6A34"/>
    <w:rPr>
      <w:color w:val="605E5C"/>
      <w:shd w:val="clear" w:color="auto" w:fill="E1DFDD"/>
    </w:rPr>
  </w:style>
  <w:style w:type="paragraph" w:styleId="Seznamobrzk">
    <w:name w:val="table of figures"/>
    <w:basedOn w:val="Normln"/>
    <w:next w:val="Normln"/>
    <w:uiPriority w:val="99"/>
    <w:unhideWhenUsed/>
    <w:rsid w:val="00DE64C4"/>
  </w:style>
  <w:style w:type="character" w:styleId="Sledovanodkaz">
    <w:name w:val="FollowedHyperlink"/>
    <w:uiPriority w:val="99"/>
    <w:semiHidden/>
    <w:unhideWhenUsed/>
    <w:rsid w:val="00171AB7"/>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0085702">
      <w:bodyDiv w:val="1"/>
      <w:marLeft w:val="0"/>
      <w:marRight w:val="0"/>
      <w:marTop w:val="0"/>
      <w:marBottom w:val="0"/>
      <w:divBdr>
        <w:top w:val="none" w:sz="0" w:space="0" w:color="auto"/>
        <w:left w:val="none" w:sz="0" w:space="0" w:color="auto"/>
        <w:bottom w:val="none" w:sz="0" w:space="0" w:color="auto"/>
        <w:right w:val="none" w:sz="0" w:space="0" w:color="auto"/>
      </w:divBdr>
      <w:divsChild>
        <w:div w:id="22638400">
          <w:marLeft w:val="0"/>
          <w:marRight w:val="0"/>
          <w:marTop w:val="0"/>
          <w:marBottom w:val="0"/>
          <w:divBdr>
            <w:top w:val="none" w:sz="0" w:space="0" w:color="auto"/>
            <w:left w:val="none" w:sz="0" w:space="0" w:color="auto"/>
            <w:bottom w:val="none" w:sz="0" w:space="0" w:color="auto"/>
            <w:right w:val="none" w:sz="0" w:space="0" w:color="auto"/>
          </w:divBdr>
        </w:div>
      </w:divsChild>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61336/ejcm/25-04-94" TargetMode="External"/><Relationship Id="rId13" Type="http://schemas.openxmlformats.org/officeDocument/2006/relationships/hyperlink" Target="https://doi.org/10.4103/ijp.ijp_452_24" TargetMode="External"/><Relationship Id="rId18" Type="http://schemas.openxmlformats.org/officeDocument/2006/relationships/hyperlink" Target="https://doi.org/10.4103/jpbs.jpbs_1907_24"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doi.org/10.7861/futurehosp.2-1-63" TargetMode="External"/><Relationship Id="rId7" Type="http://schemas.openxmlformats.org/officeDocument/2006/relationships/endnotes" Target="endnotes.xml"/><Relationship Id="rId12" Type="http://schemas.openxmlformats.org/officeDocument/2006/relationships/hyperlink" Target="https://doi.org/10.3389/fpsyg.2022.637883" TargetMode="External"/><Relationship Id="rId17" Type="http://schemas.openxmlformats.org/officeDocument/2006/relationships/hyperlink" Target="https://doi.org/10.3389/fnins.2021.612379"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doi.org/10.30574/ijsra.2025.15.2.1402" TargetMode="External"/><Relationship Id="rId20" Type="http://schemas.openxmlformats.org/officeDocument/2006/relationships/hyperlink" Target="https://www.researchgate.net/publication/316644392_The_4P"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lrh2.10283"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8103/mra.v12i10.5909"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doi.org/10.7861/fhj.2021-0095" TargetMode="External"/><Relationship Id="rId19" Type="http://schemas.openxmlformats.org/officeDocument/2006/relationships/hyperlink" Target="https://doi.org/10.4103/jpgm.jpgm_533_24" TargetMode="External"/><Relationship Id="rId4" Type="http://schemas.openxmlformats.org/officeDocument/2006/relationships/settings" Target="settings.xml"/><Relationship Id="rId9" Type="http://schemas.openxmlformats.org/officeDocument/2006/relationships/hyperlink" Target="https://doi.org/10.5888/pcd15.180128" TargetMode="External"/><Relationship Id="rId14" Type="http://schemas.openxmlformats.org/officeDocument/2006/relationships/hyperlink" Target="https://doi.org/10.1016/j.jjimei.2024.100294"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Motiv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29B07F-F679-4224-B59E-FD4ECDEEA3C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2894</Words>
  <Characters>17079</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19934</CharactersWithSpaces>
  <SharedDoc>false</SharedDoc>
  <HLinks>
    <vt:vector size="84" baseType="variant">
      <vt:variant>
        <vt:i4>6029318</vt:i4>
      </vt:variant>
      <vt:variant>
        <vt:i4>96</vt:i4>
      </vt:variant>
      <vt:variant>
        <vt:i4>0</vt:i4>
      </vt:variant>
      <vt:variant>
        <vt:i4>5</vt:i4>
      </vt:variant>
      <vt:variant>
        <vt:lpwstr>https://doi.org/10.7861/futurehosp.2-1-63</vt:lpwstr>
      </vt:variant>
      <vt:variant>
        <vt:lpwstr/>
      </vt:variant>
      <vt:variant>
        <vt:i4>4456472</vt:i4>
      </vt:variant>
      <vt:variant>
        <vt:i4>93</vt:i4>
      </vt:variant>
      <vt:variant>
        <vt:i4>0</vt:i4>
      </vt:variant>
      <vt:variant>
        <vt:i4>5</vt:i4>
      </vt:variant>
      <vt:variant>
        <vt:lpwstr>https://www.researchgate.net/publication/316644392_The_4P</vt:lpwstr>
      </vt:variant>
      <vt:variant>
        <vt:lpwstr/>
      </vt:variant>
      <vt:variant>
        <vt:i4>65618</vt:i4>
      </vt:variant>
      <vt:variant>
        <vt:i4>90</vt:i4>
      </vt:variant>
      <vt:variant>
        <vt:i4>0</vt:i4>
      </vt:variant>
      <vt:variant>
        <vt:i4>5</vt:i4>
      </vt:variant>
      <vt:variant>
        <vt:lpwstr>https://doi.org/10.4103/jpgm.jpgm_533_24</vt:lpwstr>
      </vt:variant>
      <vt:variant>
        <vt:lpwstr/>
      </vt:variant>
      <vt:variant>
        <vt:i4>8257571</vt:i4>
      </vt:variant>
      <vt:variant>
        <vt:i4>87</vt:i4>
      </vt:variant>
      <vt:variant>
        <vt:i4>0</vt:i4>
      </vt:variant>
      <vt:variant>
        <vt:i4>5</vt:i4>
      </vt:variant>
      <vt:variant>
        <vt:lpwstr>https://doi.org/10.4103/jpbs.jpbs_1907_24</vt:lpwstr>
      </vt:variant>
      <vt:variant>
        <vt:lpwstr/>
      </vt:variant>
      <vt:variant>
        <vt:i4>327680</vt:i4>
      </vt:variant>
      <vt:variant>
        <vt:i4>84</vt:i4>
      </vt:variant>
      <vt:variant>
        <vt:i4>0</vt:i4>
      </vt:variant>
      <vt:variant>
        <vt:i4>5</vt:i4>
      </vt:variant>
      <vt:variant>
        <vt:lpwstr>https://doi.org/10.3389/fnins.2021.612379</vt:lpwstr>
      </vt:variant>
      <vt:variant>
        <vt:lpwstr/>
      </vt:variant>
      <vt:variant>
        <vt:i4>6029380</vt:i4>
      </vt:variant>
      <vt:variant>
        <vt:i4>81</vt:i4>
      </vt:variant>
      <vt:variant>
        <vt:i4>0</vt:i4>
      </vt:variant>
      <vt:variant>
        <vt:i4>5</vt:i4>
      </vt:variant>
      <vt:variant>
        <vt:lpwstr>https://doi.org/10.30574/ijsra.2025.15.2.1402</vt:lpwstr>
      </vt:variant>
      <vt:variant>
        <vt:lpwstr/>
      </vt:variant>
      <vt:variant>
        <vt:i4>5832780</vt:i4>
      </vt:variant>
      <vt:variant>
        <vt:i4>78</vt:i4>
      </vt:variant>
      <vt:variant>
        <vt:i4>0</vt:i4>
      </vt:variant>
      <vt:variant>
        <vt:i4>5</vt:i4>
      </vt:variant>
      <vt:variant>
        <vt:lpwstr>https://doi.org/10.18103/mra.v12i10.5909</vt:lpwstr>
      </vt:variant>
      <vt:variant>
        <vt:lpwstr/>
      </vt:variant>
      <vt:variant>
        <vt:i4>4849730</vt:i4>
      </vt:variant>
      <vt:variant>
        <vt:i4>75</vt:i4>
      </vt:variant>
      <vt:variant>
        <vt:i4>0</vt:i4>
      </vt:variant>
      <vt:variant>
        <vt:i4>5</vt:i4>
      </vt:variant>
      <vt:variant>
        <vt:lpwstr>https://doi.org/10.1016/j.jjimei.2024.100294</vt:lpwstr>
      </vt:variant>
      <vt:variant>
        <vt:lpwstr/>
      </vt:variant>
      <vt:variant>
        <vt:i4>3735660</vt:i4>
      </vt:variant>
      <vt:variant>
        <vt:i4>72</vt:i4>
      </vt:variant>
      <vt:variant>
        <vt:i4>0</vt:i4>
      </vt:variant>
      <vt:variant>
        <vt:i4>5</vt:i4>
      </vt:variant>
      <vt:variant>
        <vt:lpwstr>https://doi.org/10.4103/ijp.ijp_452_24</vt:lpwstr>
      </vt:variant>
      <vt:variant>
        <vt:lpwstr/>
      </vt:variant>
      <vt:variant>
        <vt:i4>327687</vt:i4>
      </vt:variant>
      <vt:variant>
        <vt:i4>69</vt:i4>
      </vt:variant>
      <vt:variant>
        <vt:i4>0</vt:i4>
      </vt:variant>
      <vt:variant>
        <vt:i4>5</vt:i4>
      </vt:variant>
      <vt:variant>
        <vt:lpwstr>https://doi.org/10.3389/fpsyg.2022.637883</vt:lpwstr>
      </vt:variant>
      <vt:variant>
        <vt:lpwstr/>
      </vt:variant>
      <vt:variant>
        <vt:i4>6488186</vt:i4>
      </vt:variant>
      <vt:variant>
        <vt:i4>66</vt:i4>
      </vt:variant>
      <vt:variant>
        <vt:i4>0</vt:i4>
      </vt:variant>
      <vt:variant>
        <vt:i4>5</vt:i4>
      </vt:variant>
      <vt:variant>
        <vt:lpwstr>https://doi.org/10.1002/lrh2.10283</vt:lpwstr>
      </vt:variant>
      <vt:variant>
        <vt:lpwstr/>
      </vt:variant>
      <vt:variant>
        <vt:i4>6094914</vt:i4>
      </vt:variant>
      <vt:variant>
        <vt:i4>63</vt:i4>
      </vt:variant>
      <vt:variant>
        <vt:i4>0</vt:i4>
      </vt:variant>
      <vt:variant>
        <vt:i4>5</vt:i4>
      </vt:variant>
      <vt:variant>
        <vt:lpwstr>https://doi.org/10.7861/fhj.2021-0095</vt:lpwstr>
      </vt:variant>
      <vt:variant>
        <vt:lpwstr/>
      </vt:variant>
      <vt:variant>
        <vt:i4>5374024</vt:i4>
      </vt:variant>
      <vt:variant>
        <vt:i4>60</vt:i4>
      </vt:variant>
      <vt:variant>
        <vt:i4>0</vt:i4>
      </vt:variant>
      <vt:variant>
        <vt:i4>5</vt:i4>
      </vt:variant>
      <vt:variant>
        <vt:lpwstr>https://doi.org/10.5888/pcd15.180128</vt:lpwstr>
      </vt:variant>
      <vt:variant>
        <vt:lpwstr/>
      </vt:variant>
      <vt:variant>
        <vt:i4>3866722</vt:i4>
      </vt:variant>
      <vt:variant>
        <vt:i4>57</vt:i4>
      </vt:variant>
      <vt:variant>
        <vt:i4>0</vt:i4>
      </vt:variant>
      <vt:variant>
        <vt:i4>5</vt:i4>
      </vt:variant>
      <vt:variant>
        <vt:lpwstr>https://doi.org/10.61336/ejcm/25-04-94</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Karin Tokarova (2414165)</cp:lastModifiedBy>
  <cp:revision>2</cp:revision>
  <cp:lastPrinted>1601-01-01T00:00:00Z</cp:lastPrinted>
  <dcterms:created xsi:type="dcterms:W3CDTF">2026-03-26T15:48:00Z</dcterms:created>
  <dcterms:modified xsi:type="dcterms:W3CDTF">2026-03-26T15:48:00Z</dcterms:modified>
</cp:coreProperties>
</file>