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D10E8" w14:textId="0931E93E" w:rsidR="00673269" w:rsidRDefault="00E35156" w:rsidP="00E35156">
      <w:pPr>
        <w:pStyle w:val="Title"/>
        <w:jc w:val="center"/>
      </w:pPr>
      <w:r>
        <w:t>Advise Ava and Mason on the merits of bringing a claim of negligence</w:t>
      </w:r>
    </w:p>
    <w:p w14:paraId="32730061" w14:textId="77777777" w:rsidR="001A60EA" w:rsidRDefault="001A60EA" w:rsidP="001A60EA"/>
    <w:p w14:paraId="5C046174" w14:textId="7502C861" w:rsidR="00AE1948" w:rsidRDefault="00174781" w:rsidP="001A60EA">
      <w:r>
        <w:t xml:space="preserve">Under the </w:t>
      </w:r>
      <w:r>
        <w:rPr>
          <w:i/>
          <w:iCs/>
        </w:rPr>
        <w:t>Employment Rights Act 1996</w:t>
      </w:r>
      <w:r>
        <w:t xml:space="preserve">, an employee is </w:t>
      </w:r>
      <w:r w:rsidR="00572590">
        <w:t>an “individual who has entered into or works under</w:t>
      </w:r>
      <w:r w:rsidR="00C447D8">
        <w:t xml:space="preserve"> a contract of employment”. </w:t>
      </w:r>
      <w:r w:rsidR="003011A8">
        <w:t xml:space="preserve">A contract of employment is </w:t>
      </w:r>
      <w:r w:rsidR="007A4EAB">
        <w:t>a contract of “service or appren</w:t>
      </w:r>
      <w:r w:rsidR="00D028E9">
        <w:t xml:space="preserve">ticeship, whether express or implied, an whether oral or in writing”, </w:t>
      </w:r>
      <w:r w:rsidR="00D028E9">
        <w:rPr>
          <w:i/>
          <w:iCs/>
        </w:rPr>
        <w:t xml:space="preserve">Legislation.gov.uk, </w:t>
      </w:r>
      <w:r w:rsidR="009C5E5E">
        <w:rPr>
          <w:i/>
          <w:iCs/>
        </w:rPr>
        <w:t>2023</w:t>
      </w:r>
      <w:r w:rsidR="00D028E9">
        <w:t>.</w:t>
      </w:r>
      <w:r w:rsidR="00AD35B9">
        <w:t xml:space="preserve"> As an employer, under the United Kingdoms legislation, you must </w:t>
      </w:r>
      <w:r w:rsidR="00F54003">
        <w:t>provide a written statement of employment, pay the statutory minimum of holiday</w:t>
      </w:r>
      <w:r w:rsidR="007D5F51">
        <w:t xml:space="preserve"> pay, ensure that a payslip is given to the employee</w:t>
      </w:r>
      <w:r w:rsidR="007D559E">
        <w:t xml:space="preserve"> which includes all tax deductions, </w:t>
      </w:r>
      <w:r w:rsidR="00266AEB">
        <w:t xml:space="preserve">provide the statutory minimum or higher for rest breaks, and pay </w:t>
      </w:r>
      <w:r w:rsidR="00DD374F">
        <w:t>sick days, maternity, paternity, and adoption leave</w:t>
      </w:r>
      <w:r w:rsidR="000B3C39">
        <w:t xml:space="preserve">, </w:t>
      </w:r>
      <w:r w:rsidR="000B3C39">
        <w:rPr>
          <w:i/>
          <w:iCs/>
        </w:rPr>
        <w:t>Gov.uk, 2023</w:t>
      </w:r>
      <w:r w:rsidR="000B3C39">
        <w:t>.</w:t>
      </w:r>
      <w:r w:rsidR="00D72863">
        <w:t xml:space="preserve"> Furthermore, under the </w:t>
      </w:r>
      <w:r w:rsidR="00D72863">
        <w:rPr>
          <w:i/>
          <w:iCs/>
        </w:rPr>
        <w:t xml:space="preserve">Employment Rights Act 1996 </w:t>
      </w:r>
      <w:r w:rsidR="00D72863" w:rsidRPr="00D72863">
        <w:t>also states t</w:t>
      </w:r>
      <w:r w:rsidR="00D72863">
        <w:t xml:space="preserve">hat </w:t>
      </w:r>
      <w:r w:rsidR="00C77329">
        <w:t xml:space="preserve">as an employer, one must ensure </w:t>
      </w:r>
      <w:r w:rsidR="0033688A">
        <w:t xml:space="preserve">that their employees do not work longer than the maximum working hours, are paid at least minimum wage or higher, </w:t>
      </w:r>
      <w:r w:rsidR="00854A60">
        <w:t>and ensure a safe working environment</w:t>
      </w:r>
      <w:r w:rsidR="00AE1948">
        <w:t>.</w:t>
      </w:r>
      <w:r w:rsidR="00B653CA">
        <w:t xml:space="preserve"> Employment liability comes under statute law, common </w:t>
      </w:r>
      <w:proofErr w:type="gramStart"/>
      <w:r w:rsidR="00B653CA">
        <w:t>law</w:t>
      </w:r>
      <w:proofErr w:type="gramEnd"/>
      <w:r w:rsidR="00B653CA">
        <w:t xml:space="preserve"> and </w:t>
      </w:r>
      <w:r w:rsidR="004A4CEF">
        <w:t>contract law.</w:t>
      </w:r>
    </w:p>
    <w:p w14:paraId="2E53EE92" w14:textId="58BE9026" w:rsidR="00DA60E3" w:rsidRDefault="008740B9" w:rsidP="001A60EA">
      <w:r>
        <w:t>In t</w:t>
      </w:r>
      <w:r w:rsidR="00DA60E3">
        <w:t xml:space="preserve">he case </w:t>
      </w:r>
      <w:r w:rsidR="001F0355">
        <w:rPr>
          <w:i/>
          <w:iCs/>
        </w:rPr>
        <w:t>Wils</w:t>
      </w:r>
      <w:r w:rsidR="00452D99">
        <w:rPr>
          <w:i/>
          <w:iCs/>
        </w:rPr>
        <w:t>on and Clyde Coal v English 1937¸</w:t>
      </w:r>
      <w:r w:rsidR="00452D99">
        <w:t xml:space="preserve"> it was established that an employer owes a </w:t>
      </w:r>
      <w:r w:rsidR="0002519D">
        <w:t>d</w:t>
      </w:r>
      <w:r w:rsidR="00452D99">
        <w:t xml:space="preserve">uty of care to their employees to ensure a safe system of work </w:t>
      </w:r>
      <w:r w:rsidR="0002519D">
        <w:t xml:space="preserve">and that the duty of care cannot be delegated to employees. This was established after </w:t>
      </w:r>
      <w:r w:rsidR="00F86FDA">
        <w:t xml:space="preserve">the claimant was working on an airway in a mine, when </w:t>
      </w:r>
      <w:r w:rsidR="00A0427C">
        <w:t xml:space="preserve">a haulage at started. This resulted in the claimant having to quickly find cover </w:t>
      </w:r>
      <w:r w:rsidR="00282C44">
        <w:t xml:space="preserve">in a manhole, however, he was still trapped by machinery and was crushed to death. The defendants argued that </w:t>
      </w:r>
      <w:r w:rsidR="005765C6">
        <w:t xml:space="preserve">the claimant could have hidden in a different location and was experienced enough to </w:t>
      </w:r>
      <w:r w:rsidR="0058526D">
        <w:t xml:space="preserve">have known the risks and should have prevented them himself. The House of Lords appealed this </w:t>
      </w:r>
      <w:r w:rsidR="002B24E5">
        <w:t xml:space="preserve">and stated that duty of care cannot be delegated. As we can see from this case, </w:t>
      </w:r>
      <w:r w:rsidR="00283513">
        <w:t xml:space="preserve">both Mason and Ava have a contract with their employee at the Crown Inn, this </w:t>
      </w:r>
      <w:r w:rsidR="00703FE9">
        <w:t>fact means that the employers of the Crown Inn owe both Mason and Ava a standard duty of care.</w:t>
      </w:r>
    </w:p>
    <w:p w14:paraId="489EEDA8" w14:textId="70C60A94" w:rsidR="00C309A0" w:rsidRDefault="001106CF" w:rsidP="001A60EA">
      <w:r>
        <w:t xml:space="preserve">A duty of care means that </w:t>
      </w:r>
      <w:r w:rsidR="004361C4">
        <w:t xml:space="preserve">an individual or organisation has a legal responsibility </w:t>
      </w:r>
      <w:r w:rsidR="00D6558E">
        <w:t xml:space="preserve">to act in a </w:t>
      </w:r>
      <w:r w:rsidR="007A7BD0">
        <w:t>responsible way and to avoid any omission that could be reasonably foreseen to harm others</w:t>
      </w:r>
      <w:r w:rsidR="007A7BD0">
        <w:rPr>
          <w:i/>
          <w:iCs/>
        </w:rPr>
        <w:t>, Legal Dictionary, 2017</w:t>
      </w:r>
      <w:r w:rsidR="003F45C9">
        <w:rPr>
          <w:i/>
          <w:iCs/>
        </w:rPr>
        <w:t xml:space="preserve">. </w:t>
      </w:r>
      <w:r w:rsidR="003F45C9" w:rsidRPr="003F45C9">
        <w:t>Duty of care was further developed in the</w:t>
      </w:r>
      <w:r w:rsidR="003F45C9">
        <w:rPr>
          <w:i/>
          <w:iCs/>
        </w:rPr>
        <w:t xml:space="preserve"> </w:t>
      </w:r>
      <w:r w:rsidR="00434C91">
        <w:t xml:space="preserve">case of </w:t>
      </w:r>
      <w:r w:rsidR="00434C91">
        <w:rPr>
          <w:i/>
          <w:iCs/>
        </w:rPr>
        <w:t>Donoghue v Stevenson 1932</w:t>
      </w:r>
      <w:r w:rsidR="00434C91">
        <w:t xml:space="preserve">. In this case it was established </w:t>
      </w:r>
      <w:r w:rsidR="001F1FAB">
        <w:t>what a neighbour was, and to whom an individual or organisation owed a duty of care to based on the proximity of their relationship.</w:t>
      </w:r>
    </w:p>
    <w:p w14:paraId="3C5F6172" w14:textId="6D2EA3E0" w:rsidR="001E015B" w:rsidRPr="00251EF7" w:rsidRDefault="0062297B" w:rsidP="001A60EA">
      <w:r>
        <w:t xml:space="preserve">The reasonable man </w:t>
      </w:r>
      <w:r w:rsidR="00F53B85">
        <w:t xml:space="preserve">test was established in the case of </w:t>
      </w:r>
      <w:r w:rsidR="00E7385C">
        <w:rPr>
          <w:i/>
          <w:iCs/>
        </w:rPr>
        <w:t>Vaughn v Menlove</w:t>
      </w:r>
      <w:r w:rsidR="00251EF7">
        <w:rPr>
          <w:i/>
          <w:iCs/>
        </w:rPr>
        <w:t xml:space="preserve"> 1837</w:t>
      </w:r>
      <w:r w:rsidR="00251EF7">
        <w:t xml:space="preserve">, where </w:t>
      </w:r>
      <w:r w:rsidR="002C5C97">
        <w:t xml:space="preserve">a man of lower intelligence was </w:t>
      </w:r>
      <w:r w:rsidR="00EF118E">
        <w:t xml:space="preserve">in charge of building a haystack. The defendant built the haystack too close to the claimants land, where it combusted and </w:t>
      </w:r>
      <w:r w:rsidR="008A487A">
        <w:t>damaged the claimants property. It was then decided that all cases, a regard to caution as a man of ordinary prudence would observe</w:t>
      </w:r>
      <w:r w:rsidR="0000089F">
        <w:t>.</w:t>
      </w:r>
    </w:p>
    <w:p w14:paraId="3205B085" w14:textId="6F1DAA88" w:rsidR="00DD0A58" w:rsidRPr="00B702C4" w:rsidRDefault="00DD0A58" w:rsidP="001A60EA">
      <w:r>
        <w:t>When dealing with Mason</w:t>
      </w:r>
      <w:r w:rsidR="001F7B13">
        <w:t>, although he had negligently misjudged where he placed his</w:t>
      </w:r>
      <w:r w:rsidR="00697A29">
        <w:t xml:space="preserve"> towel, it could be argued by the reasonable man that it would be reasonably foreseeable for </w:t>
      </w:r>
      <w:r w:rsidR="00420611">
        <w:t>fires to start in the kitchen</w:t>
      </w:r>
      <w:r w:rsidR="009C7B42">
        <w:t xml:space="preserve">. This is why reasonable fire preventative and stopping measures such as the fire blanket </w:t>
      </w:r>
      <w:r w:rsidR="00771E3D">
        <w:t xml:space="preserve">are required to be in place. The </w:t>
      </w:r>
      <w:r w:rsidR="00964D28">
        <w:rPr>
          <w:i/>
          <w:iCs/>
        </w:rPr>
        <w:t>Health and Safety at work Act 1974</w:t>
      </w:r>
      <w:r w:rsidR="00964D28">
        <w:t xml:space="preserve">, was created to ensure that </w:t>
      </w:r>
      <w:r w:rsidR="00327E55">
        <w:t xml:space="preserve">employers are providing safe working environments and equipment </w:t>
      </w:r>
      <w:r w:rsidR="00527140">
        <w:t xml:space="preserve">and ensures that they provide safety measures </w:t>
      </w:r>
      <w:r w:rsidR="00415413">
        <w:t>such as first aid kits and fire blankets.</w:t>
      </w:r>
      <w:r w:rsidR="00173D2C">
        <w:t xml:space="preserve"> This means that under the </w:t>
      </w:r>
      <w:r w:rsidR="00173D2C">
        <w:rPr>
          <w:i/>
          <w:iCs/>
        </w:rPr>
        <w:t>Health and Safety Act 1974</w:t>
      </w:r>
      <w:r w:rsidR="00564747">
        <w:t xml:space="preserve">, the employers are the Crown Inn must ensure that </w:t>
      </w:r>
      <w:r w:rsidR="004F48B8">
        <w:t xml:space="preserve">provisions and safety equipment such as fire blankets be replaced </w:t>
      </w:r>
      <w:r w:rsidR="004F48B8">
        <w:lastRenderedPageBreak/>
        <w:t>immediately after use</w:t>
      </w:r>
      <w:r w:rsidR="00B83C41">
        <w:t xml:space="preserve">, making them readily available for the next time an accident takes place. </w:t>
      </w:r>
      <w:r w:rsidR="00531A7B">
        <w:t xml:space="preserve">The </w:t>
      </w:r>
      <w:r w:rsidR="00531A7B">
        <w:rPr>
          <w:i/>
          <w:iCs/>
        </w:rPr>
        <w:t>Provisions and Use of Work Equipment Regulations Act 1999</w:t>
      </w:r>
      <w:r w:rsidR="00531A7B">
        <w:t xml:space="preserve"> further enforces </w:t>
      </w:r>
      <w:r w:rsidR="00D20D65">
        <w:t xml:space="preserve">and regulates the law around the standard of safety equipment in place to prevent and stop </w:t>
      </w:r>
      <w:r w:rsidR="00913C42">
        <w:t xml:space="preserve">injuries and accidents in the workplace. </w:t>
      </w:r>
      <w:r w:rsidR="00BA7095">
        <w:t xml:space="preserve">Had the </w:t>
      </w:r>
      <w:r w:rsidR="001259C4">
        <w:t xml:space="preserve">employers at Crown Inn had followed the guidance under the </w:t>
      </w:r>
      <w:r w:rsidR="001259C4" w:rsidRPr="001259C4">
        <w:rPr>
          <w:i/>
          <w:iCs/>
        </w:rPr>
        <w:t>Provisions and Use of Work Equipment Regulations Act 1999</w:t>
      </w:r>
      <w:r w:rsidR="001259C4">
        <w:t xml:space="preserve">, then they will have provided a replacement fire blanket and could even have </w:t>
      </w:r>
      <w:r w:rsidR="00373E7E">
        <w:t>installed fire extinguishers in place to put out any fires that may occur within the kitchen.</w:t>
      </w:r>
      <w:r w:rsidR="00BB412B">
        <w:t xml:space="preserve"> A case where this legislation was used was </w:t>
      </w:r>
      <w:r w:rsidR="00BB412B">
        <w:rPr>
          <w:i/>
          <w:iCs/>
        </w:rPr>
        <w:t xml:space="preserve">Amnah v Kuehne </w:t>
      </w:r>
      <w:r w:rsidR="00B702C4">
        <w:rPr>
          <w:i/>
          <w:iCs/>
        </w:rPr>
        <w:t>and Nagel Logistics LTD, 2009</w:t>
      </w:r>
      <w:r w:rsidR="00B702C4">
        <w:t>. In this case</w:t>
      </w:r>
      <w:r w:rsidR="00CC0FFD">
        <w:t xml:space="preserve"> Amnah had tried to use a plastic box to step on to reach up higher to grab something off a shelf. The box subsequently broke, making Amnah fall and injure themself. </w:t>
      </w:r>
      <w:r w:rsidR="00164A17">
        <w:t xml:space="preserve">Amnah tried to claim for </w:t>
      </w:r>
      <w:r w:rsidR="00850527">
        <w:t>damages,</w:t>
      </w:r>
      <w:r w:rsidR="00164A17">
        <w:t xml:space="preserve"> but it was determined that due to employers providing the correct equipment to </w:t>
      </w:r>
      <w:r w:rsidR="00446ACB">
        <w:t xml:space="preserve">step on safely and proving a </w:t>
      </w:r>
      <w:r w:rsidR="00E62E02">
        <w:t xml:space="preserve">manual on how to use the equipment properly that they were not liable for Amnah’s injuries. </w:t>
      </w:r>
    </w:p>
    <w:p w14:paraId="1220F190" w14:textId="2E71801B" w:rsidR="007A184E" w:rsidRDefault="007A184E" w:rsidP="001A60EA">
      <w:r>
        <w:t xml:space="preserve">Similarly, in the case of </w:t>
      </w:r>
      <w:r w:rsidR="00F311F5">
        <w:t>A</w:t>
      </w:r>
      <w:r>
        <w:t xml:space="preserve">va, </w:t>
      </w:r>
      <w:r w:rsidR="00EE0112">
        <w:t>but for</w:t>
      </w:r>
      <w:r>
        <w:t xml:space="preserve"> Jack not hav</w:t>
      </w:r>
      <w:r w:rsidR="00FC5B7C">
        <w:t>ing</w:t>
      </w:r>
      <w:r>
        <w:t xml:space="preserve"> spilt food on the floor and left it unattended whilst trying to find </w:t>
      </w:r>
      <w:r w:rsidR="00EE0112">
        <w:t xml:space="preserve">cleaner, </w:t>
      </w:r>
      <w:r w:rsidR="00F311F5">
        <w:t>A</w:t>
      </w:r>
      <w:r w:rsidR="00EE0112">
        <w:t xml:space="preserve">va may not have slipped on the stairs causing her to </w:t>
      </w:r>
      <w:r w:rsidR="003A60AF">
        <w:t xml:space="preserve">break her collar bone. However, </w:t>
      </w:r>
      <w:r w:rsidR="003D00D5">
        <w:t xml:space="preserve">alike to Masons case, if the correct </w:t>
      </w:r>
      <w:r w:rsidR="00FE5072">
        <w:t>workplace</w:t>
      </w:r>
      <w:r w:rsidR="00B108E2">
        <w:t xml:space="preserve"> protocols had been followed, then the handrailing Ava trie</w:t>
      </w:r>
      <w:r w:rsidR="00F311F5">
        <w:t xml:space="preserve">d to use to steady herself would not have collapsed. Furthermore, it could be argued that </w:t>
      </w:r>
      <w:r w:rsidR="003C4E76">
        <w:t xml:space="preserve">if the events had not happened, and another member of staff used the stairs in the future and slipped or tripped, then they may </w:t>
      </w:r>
      <w:r w:rsidR="00B02D9A">
        <w:t>have also experienced injuries due to the handrail failing.</w:t>
      </w:r>
    </w:p>
    <w:p w14:paraId="07673A6B" w14:textId="47F2DE34" w:rsidR="00D318D3" w:rsidRPr="00611888" w:rsidRDefault="00DA4463" w:rsidP="001A60EA">
      <w:r>
        <w:t>When under review, the court is likely to refer to</w:t>
      </w:r>
      <w:r w:rsidR="000318E5">
        <w:t xml:space="preserve"> the </w:t>
      </w:r>
      <w:r w:rsidR="000318E5">
        <w:rPr>
          <w:i/>
          <w:iCs/>
        </w:rPr>
        <w:t>Employer’s Liability (Defective equipment) Act 1969</w:t>
      </w:r>
      <w:r w:rsidR="00611888">
        <w:t xml:space="preserve"> where the legislation states that </w:t>
      </w:r>
      <w:r w:rsidR="00BA2B96">
        <w:t xml:space="preserve">employers are strictly liable for any defective equipment that causes an injury. This means that the employers of </w:t>
      </w:r>
      <w:r w:rsidR="004313D9">
        <w:t xml:space="preserve">Ava at the Crown Inn would likely be held liable for the damages Ava </w:t>
      </w:r>
      <w:r w:rsidR="00D318D3">
        <w:t>sustained as they had not properly maintained and repaired the handrailing she used to support herself from falling.</w:t>
      </w:r>
    </w:p>
    <w:p w14:paraId="20E74752" w14:textId="3C186685" w:rsidR="00DD374F" w:rsidRPr="008A1BDF" w:rsidRDefault="006F33F4" w:rsidP="001A60EA">
      <w:r>
        <w:t xml:space="preserve">We can see that due to the legislation in place requiring the employers of the Crown Inn, that they owe a duty of care to both Ava and </w:t>
      </w:r>
      <w:r w:rsidR="007B2A80">
        <w:t xml:space="preserve">Mason, and that in both situations have breached the duty of care that they owe to them by not providing </w:t>
      </w:r>
      <w:r w:rsidR="003F2B7B">
        <w:t>or replacing the appropriate health and safety equipment and by not repairing fault handrails.</w:t>
      </w:r>
      <w:r w:rsidR="00B04587">
        <w:t xml:space="preserve"> Had the employers followed the correct procedure laid out by the </w:t>
      </w:r>
      <w:r w:rsidR="00C51FCA">
        <w:rPr>
          <w:i/>
          <w:iCs/>
        </w:rPr>
        <w:t xml:space="preserve">Health and Safety at Work Act 1974 </w:t>
      </w:r>
      <w:r w:rsidR="00C51FCA">
        <w:t xml:space="preserve">and the </w:t>
      </w:r>
      <w:r w:rsidR="008A1BDF">
        <w:rPr>
          <w:i/>
          <w:iCs/>
        </w:rPr>
        <w:t>Provisions and Use of Work Equipment Regulations Act 1998</w:t>
      </w:r>
      <w:r w:rsidR="008A1BDF">
        <w:t xml:space="preserve">, then they would have installed a new fire blanket </w:t>
      </w:r>
      <w:r w:rsidR="00867484">
        <w:t xml:space="preserve">straight after the previous one was used, and they would have repaired the handrail before someone used it to support their weight. </w:t>
      </w:r>
    </w:p>
    <w:p w14:paraId="5B0725A7" w14:textId="4D9E0668" w:rsidR="002A7C15" w:rsidRDefault="00455D70" w:rsidP="001A60EA">
      <w:r>
        <w:t xml:space="preserve">Differently to this, it can be seen in the case of </w:t>
      </w:r>
      <w:r w:rsidRPr="00455D70">
        <w:rPr>
          <w:i/>
          <w:iCs/>
        </w:rPr>
        <w:t>Jebson v Ministry of Defence</w:t>
      </w:r>
      <w:r w:rsidR="00DB58E1">
        <w:rPr>
          <w:i/>
          <w:iCs/>
        </w:rPr>
        <w:t>, 2000</w:t>
      </w:r>
      <w:r w:rsidR="00DB58E1">
        <w:t xml:space="preserve">, </w:t>
      </w:r>
      <w:r>
        <w:t xml:space="preserve"> </w:t>
      </w:r>
      <w:r w:rsidR="00DB58E1">
        <w:t xml:space="preserve">that the </w:t>
      </w:r>
      <w:r w:rsidR="009D2504">
        <w:t xml:space="preserve">circumstances of an accident do not have to be predicted to enable a claim for compensation </w:t>
      </w:r>
      <w:r w:rsidR="000F3A53">
        <w:t>when questioning an incidents foreseeability.</w:t>
      </w:r>
    </w:p>
    <w:p w14:paraId="06D022A2" w14:textId="16628D13" w:rsidR="002A7C15" w:rsidRDefault="0054516B" w:rsidP="001A60EA">
      <w:r>
        <w:t>I</w:t>
      </w:r>
      <w:r w:rsidR="00F459DC">
        <w:t xml:space="preserve">n the case of Mason, it could be argued that but for his actions of placing the towel onto </w:t>
      </w:r>
      <w:r w:rsidR="0024356C">
        <w:t>a fire, he would not have suffered the burns on his arms</w:t>
      </w:r>
      <w:r w:rsidR="00181EAE">
        <w:t xml:space="preserve">. However, </w:t>
      </w:r>
      <w:r w:rsidR="00097FA9">
        <w:t xml:space="preserve">it can be reasonably foreseen that if </w:t>
      </w:r>
      <w:r w:rsidR="004D3268">
        <w:t>a fire had occurred for other reasons, then the correct safety equipment would not be in place to put it out either way</w:t>
      </w:r>
      <w:r w:rsidR="002E3629">
        <w:t xml:space="preserve">, and he only burnt himself due to a lack of fire blanket. </w:t>
      </w:r>
      <w:r w:rsidR="00676750">
        <w:t>This could equally be argued in the case of Ava, where eve</w:t>
      </w:r>
      <w:r w:rsidR="00574815">
        <w:t>n though it was the actions of Jack which led her to fall</w:t>
      </w:r>
      <w:r w:rsidR="00991C86">
        <w:t xml:space="preserve">, </w:t>
      </w:r>
      <w:r w:rsidR="0014798C">
        <w:t xml:space="preserve">she may only have suffered minor injuries, or even no injuries at all if the </w:t>
      </w:r>
      <w:r w:rsidR="00DB7F12">
        <w:t xml:space="preserve">handrail had been properly fixed to the wall. </w:t>
      </w:r>
    </w:p>
    <w:p w14:paraId="7D01002A" w14:textId="20BDF634" w:rsidR="0042358D" w:rsidRDefault="009E5018" w:rsidP="001A60EA">
      <w:r>
        <w:t xml:space="preserve">Within </w:t>
      </w:r>
      <w:r w:rsidR="004D04B8">
        <w:t>contract law there are very few defences that a</w:t>
      </w:r>
      <w:r w:rsidR="0021295D">
        <w:t>n employer can use</w:t>
      </w:r>
      <w:r w:rsidR="00C45D55">
        <w:t xml:space="preserve">. However, the defences that are available to them are consent and </w:t>
      </w:r>
      <w:r w:rsidR="00F70B8C">
        <w:t xml:space="preserve">contributory negligence. The defence of consent means that the </w:t>
      </w:r>
      <w:r w:rsidR="00F70B8C">
        <w:lastRenderedPageBreak/>
        <w:t xml:space="preserve">claimant knew </w:t>
      </w:r>
      <w:r w:rsidR="00CA193A">
        <w:t xml:space="preserve">about any risks that may come with completing the task that they were going to </w:t>
      </w:r>
      <w:r w:rsidR="00250643">
        <w:t>do but</w:t>
      </w:r>
      <w:r w:rsidR="00CA193A">
        <w:t xml:space="preserve"> consented to them and proceeded to complete the task anyway. This defence would not apply in either Mason or Ava</w:t>
      </w:r>
      <w:r w:rsidR="00250643">
        <w:t>’</w:t>
      </w:r>
      <w:r w:rsidR="00CA193A">
        <w:t xml:space="preserve">s </w:t>
      </w:r>
      <w:r w:rsidR="00250643">
        <w:t>cases for the employers.</w:t>
      </w:r>
      <w:r w:rsidR="00CA193A">
        <w:t xml:space="preserve"> </w:t>
      </w:r>
      <w:r w:rsidR="00250643">
        <w:t>Differently, the defence of contributory negligence</w:t>
      </w:r>
      <w:r w:rsidR="005F4A5B">
        <w:t xml:space="preserve"> acknowledges that both parties contributed to the act leading to the claimants injuries. In Mason’s claim, the employers of Crown Inn could use this defence as if it weren’t for Mason’s own negligence of putting the towel down in a fire, then he would not have needed a fire blanket and would not have sustained the injuries and burns to his arm.</w:t>
      </w:r>
      <w:r w:rsidR="00E17FD6">
        <w:t xml:space="preserve"> Furthermore, it could be argued that in the case of Ava, both Jack and </w:t>
      </w:r>
      <w:r w:rsidR="000A257F">
        <w:t>the employers of Crown Inn share negligence in</w:t>
      </w:r>
      <w:r w:rsidR="00290468">
        <w:t xml:space="preserve"> the injuries that Ava sustained as if Jack had left a </w:t>
      </w:r>
      <w:r w:rsidR="00D83878">
        <w:t xml:space="preserve">wet surfaces sign or a sign which acknowledged the food on the floor, then Ava may have avoided the food, resulting in her not falling. </w:t>
      </w:r>
      <w:r w:rsidR="0042358D">
        <w:br/>
      </w:r>
    </w:p>
    <w:p w14:paraId="7A4410F9" w14:textId="4EC16D31" w:rsidR="0042358D" w:rsidRDefault="0042358D" w:rsidP="001A60EA">
      <w:r>
        <w:t>Another argument that could be made is one with vicarious liability</w:t>
      </w:r>
      <w:r w:rsidR="00953D2A">
        <w:t xml:space="preserve">, and if the employer is responsible for the actions of the employer. In the case of </w:t>
      </w:r>
      <w:r w:rsidR="00271383">
        <w:t>Mason</w:t>
      </w:r>
      <w:r w:rsidR="00953D2A">
        <w:t xml:space="preserve"> the judge would have to </w:t>
      </w:r>
      <w:r w:rsidR="00F5553E">
        <w:t xml:space="preserve">discover whether </w:t>
      </w:r>
      <w:r w:rsidR="00271383">
        <w:t>Mason</w:t>
      </w:r>
      <w:r w:rsidR="00F5553E">
        <w:t xml:space="preserve"> had received proper training for working in the kitchen within the Crown Inn and would also have to discover whether </w:t>
      </w:r>
      <w:r w:rsidR="00271383">
        <w:t>Mason</w:t>
      </w:r>
      <w:r w:rsidR="00F5553E">
        <w:t xml:space="preserve"> had been made aware of the risks of working in an area with fire hazards and what can happen if he were to leave flammable materials next to a flame. If </w:t>
      </w:r>
      <w:r w:rsidR="00271383">
        <w:t>Mason</w:t>
      </w:r>
      <w:r w:rsidR="00F5553E">
        <w:t xml:space="preserve"> had not received this training </w:t>
      </w:r>
      <w:r w:rsidR="00FB0CFD">
        <w:t xml:space="preserve">from the employers of the Crown Inn, then under the rules of vicarious liability, the employers would be responsible for the actions of </w:t>
      </w:r>
      <w:r w:rsidR="00271383">
        <w:t>Mason</w:t>
      </w:r>
      <w:r w:rsidR="00FB0CFD">
        <w:t xml:space="preserve">. However, if </w:t>
      </w:r>
      <w:r w:rsidR="00271383">
        <w:t>Mason</w:t>
      </w:r>
      <w:r w:rsidR="00FB0CFD">
        <w:t xml:space="preserve"> had been given the correct the</w:t>
      </w:r>
      <w:r w:rsidR="00F022AD">
        <w:t xml:space="preserve"> training to ensure that he was aware of the risks of working in a kitchen and with fire, </w:t>
      </w:r>
      <w:r w:rsidR="00092E31">
        <w:t>and the damage that a fire can cause, then the employers would not be liable for Mason’s actions</w:t>
      </w:r>
      <w:r w:rsidR="00271383">
        <w:t xml:space="preserve">. </w:t>
      </w:r>
    </w:p>
    <w:p w14:paraId="66862DD8" w14:textId="34630365" w:rsidR="00271383" w:rsidRDefault="00271383" w:rsidP="001A60EA">
      <w:r>
        <w:t xml:space="preserve">Vicarious liability could also be applied to the actions of Jack. The judge would need to question whether Jack had had sufficient training by the employers of Crown Inn to ensure that he was aware of correct procedure after an item of food or drink has been spilled on the floor, and whether or not he was made aware of the risk of injury that could result as an outcome of an individual slipping on it. </w:t>
      </w:r>
    </w:p>
    <w:p w14:paraId="561D4132" w14:textId="2993673C" w:rsidR="002A7C15" w:rsidRDefault="008810D1" w:rsidP="001A60EA">
      <w:r>
        <w:t xml:space="preserve">In conclusion, </w:t>
      </w:r>
      <w:r w:rsidR="00F661FA">
        <w:t>it could be</w:t>
      </w:r>
      <w:r>
        <w:t xml:space="preserve"> see</w:t>
      </w:r>
      <w:r w:rsidR="00F661FA">
        <w:t>n</w:t>
      </w:r>
      <w:r>
        <w:t xml:space="preserve"> that under the </w:t>
      </w:r>
      <w:r w:rsidR="00574B06">
        <w:rPr>
          <w:i/>
          <w:iCs/>
        </w:rPr>
        <w:t xml:space="preserve">Health and Safety at Work Act 1974, </w:t>
      </w:r>
      <w:r w:rsidR="00574B06">
        <w:t xml:space="preserve">the </w:t>
      </w:r>
      <w:r w:rsidR="00574B06">
        <w:rPr>
          <w:i/>
          <w:iCs/>
        </w:rPr>
        <w:t xml:space="preserve">Provisions and Use of Work Equipment </w:t>
      </w:r>
      <w:r w:rsidR="00734492">
        <w:rPr>
          <w:i/>
          <w:iCs/>
        </w:rPr>
        <w:t>Regulations 1998</w:t>
      </w:r>
      <w:r w:rsidR="00734492">
        <w:t xml:space="preserve"> and the </w:t>
      </w:r>
      <w:r w:rsidR="00734492">
        <w:rPr>
          <w:i/>
          <w:iCs/>
        </w:rPr>
        <w:t xml:space="preserve">Employers Liability (Defective Equipment) Act </w:t>
      </w:r>
      <w:r w:rsidR="00F661FA">
        <w:rPr>
          <w:i/>
          <w:iCs/>
        </w:rPr>
        <w:t xml:space="preserve">1969, </w:t>
      </w:r>
      <w:r w:rsidR="00F661FA">
        <w:t xml:space="preserve">the employers of the Crown Inn would be liable for not </w:t>
      </w:r>
      <w:r w:rsidR="00F76359">
        <w:t xml:space="preserve">supplying the correct health and safety equipment and not ensuring a safe working environment for their employees. Depending on the training that Jack and Mason have received from the Crown Inn employers, they may also be liable for the </w:t>
      </w:r>
      <w:r w:rsidR="00FD6D8C">
        <w:t xml:space="preserve">actions of their employees under the principles of vicarious liability. However, they may be able to argue the defence of </w:t>
      </w:r>
      <w:r w:rsidR="006F64F4">
        <w:t xml:space="preserve">contributory negligence in both Mason and Ava’s cases </w:t>
      </w:r>
      <w:r w:rsidR="00C753BF">
        <w:t>so that they have a decreased blame in the liability of their injuries.</w:t>
      </w:r>
      <w:r w:rsidR="00CB59FE">
        <w:t xml:space="preserve"> This means that both Mason and Ava would likely be successful in a claim </w:t>
      </w:r>
      <w:r w:rsidR="00454D3E">
        <w:t>against the employers of the Crown Inn, and as a result, there would be a high chance that the judge would award them damages as compensation for the injuries that they have sustained.</w:t>
      </w:r>
    </w:p>
    <w:p w14:paraId="2AA70259" w14:textId="77777777" w:rsidR="002A7C15" w:rsidRDefault="002A7C15" w:rsidP="001A60EA"/>
    <w:p w14:paraId="1CB93E06" w14:textId="77777777" w:rsidR="002A7C15" w:rsidRDefault="002A7C15" w:rsidP="001A60EA"/>
    <w:p w14:paraId="0768B1AC" w14:textId="77777777" w:rsidR="002A7C15" w:rsidRDefault="002A7C15" w:rsidP="001A60EA"/>
    <w:p w14:paraId="727B5980" w14:textId="2EE65312" w:rsidR="002A7C15" w:rsidRDefault="002A7C15" w:rsidP="002A7C15">
      <w:pPr>
        <w:pStyle w:val="Heading1"/>
      </w:pPr>
      <w:r>
        <w:t>References</w:t>
      </w:r>
    </w:p>
    <w:p w14:paraId="7848C972" w14:textId="1B6516F3" w:rsidR="00850527" w:rsidRPr="00850527" w:rsidRDefault="00850527" w:rsidP="00D028E9">
      <w:r w:rsidRPr="00850527">
        <w:t>Amnah v Kuehne and Nagel Logistics LTD, 2009</w:t>
      </w:r>
    </w:p>
    <w:p w14:paraId="6425CA41" w14:textId="6226744E" w:rsidR="001F1FAB" w:rsidRDefault="001F1FAB" w:rsidP="00D028E9">
      <w:r>
        <w:lastRenderedPageBreak/>
        <w:t>Donoghue v Stevenson 1932</w:t>
      </w:r>
    </w:p>
    <w:p w14:paraId="2E19C7E6" w14:textId="2E168611" w:rsidR="00611888" w:rsidRPr="00611888" w:rsidRDefault="00611888" w:rsidP="00D028E9">
      <w:r w:rsidRPr="00611888">
        <w:t>Employer’s Liability (Defective equipment) Act 1969</w:t>
      </w:r>
    </w:p>
    <w:p w14:paraId="59C7F0A8" w14:textId="071AE6ED" w:rsidR="00277761" w:rsidRDefault="00277761" w:rsidP="00D028E9">
      <w:r>
        <w:t>Employment Rights Act 1996</w:t>
      </w:r>
    </w:p>
    <w:p w14:paraId="7898A964" w14:textId="13A75D7D" w:rsidR="00B1353C" w:rsidRPr="00742054" w:rsidRDefault="00B1353C" w:rsidP="00D028E9">
      <w:r w:rsidRPr="00742054">
        <w:t>Jebson v Ministry of Defence, 2000</w:t>
      </w:r>
    </w:p>
    <w:p w14:paraId="23D8A272" w14:textId="3CCBFC3E" w:rsidR="004361C4" w:rsidRPr="004361C4" w:rsidRDefault="004361C4" w:rsidP="00D028E9">
      <w:r w:rsidRPr="004361C4">
        <w:t>Wilson and Clyde Coal v English 1937</w:t>
      </w:r>
    </w:p>
    <w:p w14:paraId="46B10ED2" w14:textId="2BA2CA65" w:rsidR="000B3C39" w:rsidRDefault="000B3C39" w:rsidP="00D028E9">
      <w:r>
        <w:t xml:space="preserve">Gov.uk, 2023: Contract types and employers responsibilities: </w:t>
      </w:r>
      <w:r w:rsidR="00D72863" w:rsidRPr="00D72863">
        <w:t>https://www.gov.uk/contract-types-and-employer-responsibilities/fulltime-and-parttime-contract</w:t>
      </w:r>
      <w:r w:rsidR="00D72863">
        <w:t>s</w:t>
      </w:r>
    </w:p>
    <w:p w14:paraId="3E9D00CC" w14:textId="20EE4798" w:rsidR="00687305" w:rsidRDefault="00687305" w:rsidP="00D028E9">
      <w:r>
        <w:t>Legal Dictionary</w:t>
      </w:r>
      <w:r w:rsidR="00434C91">
        <w:t xml:space="preserve">, 2017: Duty of Care: </w:t>
      </w:r>
      <w:r w:rsidR="00434C91" w:rsidRPr="00434C91">
        <w:t>https://legaldictionary.net/duty-of-care</w:t>
      </w:r>
      <w:r w:rsidR="00434C91">
        <w:t>/</w:t>
      </w:r>
    </w:p>
    <w:p w14:paraId="65BDA507" w14:textId="6DB83F4A" w:rsidR="00277761" w:rsidRDefault="00D028E9" w:rsidP="00D028E9">
      <w:r>
        <w:t>Legislation</w:t>
      </w:r>
      <w:r w:rsidR="009C5E5E">
        <w:t xml:space="preserve">.gov.uk, 2023: Employment Rights Act 1996: </w:t>
      </w:r>
      <w:r w:rsidR="00913C42" w:rsidRPr="00A31EDA">
        <w:t>https://www.legislation.gov.uk/ukpga/1996/18/section/23</w:t>
      </w:r>
      <w:r w:rsidR="00913C42" w:rsidRPr="00A31EDA">
        <w:t>0</w:t>
      </w:r>
    </w:p>
    <w:p w14:paraId="715BF285" w14:textId="60B0C91E" w:rsidR="00913C42" w:rsidRPr="00D028E9" w:rsidRDefault="00913C42" w:rsidP="00D028E9">
      <w:r>
        <w:t xml:space="preserve">Provisions and Use of Work Equipment </w:t>
      </w:r>
      <w:r w:rsidR="00A31EDA">
        <w:t>Regulations Act 1999</w:t>
      </w:r>
    </w:p>
    <w:sectPr w:rsidR="00913C42" w:rsidRPr="00D028E9">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3F13C" w14:textId="77777777" w:rsidR="00E35156" w:rsidRDefault="00E35156" w:rsidP="00E35156">
      <w:pPr>
        <w:spacing w:after="0" w:line="240" w:lineRule="auto"/>
      </w:pPr>
      <w:r>
        <w:separator/>
      </w:r>
    </w:p>
  </w:endnote>
  <w:endnote w:type="continuationSeparator" w:id="0">
    <w:p w14:paraId="091B5430" w14:textId="77777777" w:rsidR="00E35156" w:rsidRDefault="00E35156" w:rsidP="00E35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7119302"/>
      <w:docPartObj>
        <w:docPartGallery w:val="Page Numbers (Bottom of Page)"/>
        <w:docPartUnique/>
      </w:docPartObj>
    </w:sdtPr>
    <w:sdtEndPr>
      <w:rPr>
        <w:noProof/>
      </w:rPr>
    </w:sdtEndPr>
    <w:sdtContent>
      <w:p w14:paraId="49B19DEA" w14:textId="365018CB" w:rsidR="00E35156" w:rsidRDefault="00E35156">
        <w:pPr>
          <w:pStyle w:val="Footer"/>
        </w:pPr>
        <w:r>
          <w:fldChar w:fldCharType="begin"/>
        </w:r>
        <w:r>
          <w:instrText xml:space="preserve"> PAGE   \* MERGEFORMAT </w:instrText>
        </w:r>
        <w:r>
          <w:fldChar w:fldCharType="separate"/>
        </w:r>
        <w:r>
          <w:rPr>
            <w:noProof/>
          </w:rPr>
          <w:t>2</w:t>
        </w:r>
        <w:r>
          <w:rPr>
            <w:noProof/>
          </w:rPr>
          <w:fldChar w:fldCharType="end"/>
        </w:r>
      </w:p>
    </w:sdtContent>
  </w:sdt>
  <w:p w14:paraId="5CFCE7EE" w14:textId="77777777" w:rsidR="00E35156" w:rsidRDefault="00E35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9F8DB" w14:textId="77777777" w:rsidR="00E35156" w:rsidRDefault="00E35156" w:rsidP="00E35156">
      <w:pPr>
        <w:spacing w:after="0" w:line="240" w:lineRule="auto"/>
      </w:pPr>
      <w:r>
        <w:separator/>
      </w:r>
    </w:p>
  </w:footnote>
  <w:footnote w:type="continuationSeparator" w:id="0">
    <w:p w14:paraId="205C6B90" w14:textId="77777777" w:rsidR="00E35156" w:rsidRDefault="00E35156" w:rsidP="00E35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C3A33" w14:textId="78A1248C" w:rsidR="00E35156" w:rsidRDefault="00E35156">
    <w:pPr>
      <w:pStyle w:val="Header"/>
    </w:pPr>
    <w:r>
      <w:t>Matthew Bollington</w:t>
    </w:r>
    <w:r>
      <w:ptab w:relativeTo="margin" w:alignment="center" w:leader="none"/>
    </w:r>
    <w:r>
      <w:t>Tort Law</w:t>
    </w:r>
    <w:r>
      <w:ptab w:relativeTo="margin" w:alignment="right" w:leader="none"/>
    </w:r>
  </w:p>
  <w:p w14:paraId="59041A13" w14:textId="77777777" w:rsidR="00E35156" w:rsidRDefault="00E351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CzMDE0NzYxM7E0NzRV0lEKTi0uzszPAykwrAUAXan+SSwAAAA="/>
  </w:docVars>
  <w:rsids>
    <w:rsidRoot w:val="00E35156"/>
    <w:rsid w:val="0000089F"/>
    <w:rsid w:val="0002519D"/>
    <w:rsid w:val="000318E5"/>
    <w:rsid w:val="00092E31"/>
    <w:rsid w:val="00097FA9"/>
    <w:rsid w:val="000A257F"/>
    <w:rsid w:val="000B3C39"/>
    <w:rsid w:val="000F3A53"/>
    <w:rsid w:val="001106CF"/>
    <w:rsid w:val="001259C4"/>
    <w:rsid w:val="0014798C"/>
    <w:rsid w:val="00164A17"/>
    <w:rsid w:val="00173D2C"/>
    <w:rsid w:val="00174781"/>
    <w:rsid w:val="00181EAE"/>
    <w:rsid w:val="001A60EA"/>
    <w:rsid w:val="001E015B"/>
    <w:rsid w:val="001F0355"/>
    <w:rsid w:val="001F1FAB"/>
    <w:rsid w:val="001F7B13"/>
    <w:rsid w:val="0021295D"/>
    <w:rsid w:val="0024356C"/>
    <w:rsid w:val="00250643"/>
    <w:rsid w:val="00251EF7"/>
    <w:rsid w:val="00266AEB"/>
    <w:rsid w:val="00271383"/>
    <w:rsid w:val="00277761"/>
    <w:rsid w:val="00282C44"/>
    <w:rsid w:val="00283513"/>
    <w:rsid w:val="00290468"/>
    <w:rsid w:val="002A7C15"/>
    <w:rsid w:val="002B24E5"/>
    <w:rsid w:val="002C5C97"/>
    <w:rsid w:val="002E3629"/>
    <w:rsid w:val="003011A8"/>
    <w:rsid w:val="00327E55"/>
    <w:rsid w:val="0033688A"/>
    <w:rsid w:val="00373E7E"/>
    <w:rsid w:val="003A60AF"/>
    <w:rsid w:val="003C4E76"/>
    <w:rsid w:val="003D00D5"/>
    <w:rsid w:val="003D0793"/>
    <w:rsid w:val="003F2B7B"/>
    <w:rsid w:val="003F45C9"/>
    <w:rsid w:val="00415413"/>
    <w:rsid w:val="00420611"/>
    <w:rsid w:val="0042358D"/>
    <w:rsid w:val="004313D9"/>
    <w:rsid w:val="00434C91"/>
    <w:rsid w:val="004361C4"/>
    <w:rsid w:val="00446ACB"/>
    <w:rsid w:val="00452D99"/>
    <w:rsid w:val="00454D3E"/>
    <w:rsid w:val="00455D70"/>
    <w:rsid w:val="004A4CEF"/>
    <w:rsid w:val="004D04B8"/>
    <w:rsid w:val="004D3268"/>
    <w:rsid w:val="004F48B8"/>
    <w:rsid w:val="00527140"/>
    <w:rsid w:val="00531A7B"/>
    <w:rsid w:val="0054516B"/>
    <w:rsid w:val="00564747"/>
    <w:rsid w:val="00572590"/>
    <w:rsid w:val="00574815"/>
    <w:rsid w:val="00574B06"/>
    <w:rsid w:val="005765C6"/>
    <w:rsid w:val="0058526D"/>
    <w:rsid w:val="005F1F33"/>
    <w:rsid w:val="005F4A5B"/>
    <w:rsid w:val="00611888"/>
    <w:rsid w:val="0062297B"/>
    <w:rsid w:val="00676750"/>
    <w:rsid w:val="00687305"/>
    <w:rsid w:val="00697A29"/>
    <w:rsid w:val="006F33F4"/>
    <w:rsid w:val="006F64F4"/>
    <w:rsid w:val="00703FE9"/>
    <w:rsid w:val="00734492"/>
    <w:rsid w:val="00742054"/>
    <w:rsid w:val="00771E3D"/>
    <w:rsid w:val="007A184E"/>
    <w:rsid w:val="007A4EAB"/>
    <w:rsid w:val="007A7BD0"/>
    <w:rsid w:val="007B2A80"/>
    <w:rsid w:val="007D559E"/>
    <w:rsid w:val="007D5F51"/>
    <w:rsid w:val="00850527"/>
    <w:rsid w:val="00854A60"/>
    <w:rsid w:val="00867484"/>
    <w:rsid w:val="008740B9"/>
    <w:rsid w:val="008810D1"/>
    <w:rsid w:val="008A1BDF"/>
    <w:rsid w:val="008A487A"/>
    <w:rsid w:val="00913C42"/>
    <w:rsid w:val="00953D2A"/>
    <w:rsid w:val="00964D28"/>
    <w:rsid w:val="00991C86"/>
    <w:rsid w:val="009B56FD"/>
    <w:rsid w:val="009C5E5E"/>
    <w:rsid w:val="009C7B42"/>
    <w:rsid w:val="009D2504"/>
    <w:rsid w:val="009E5018"/>
    <w:rsid w:val="00A0427C"/>
    <w:rsid w:val="00A31EDA"/>
    <w:rsid w:val="00AD35B9"/>
    <w:rsid w:val="00AE1948"/>
    <w:rsid w:val="00B02D9A"/>
    <w:rsid w:val="00B04587"/>
    <w:rsid w:val="00B108E2"/>
    <w:rsid w:val="00B1353C"/>
    <w:rsid w:val="00B653CA"/>
    <w:rsid w:val="00B702C4"/>
    <w:rsid w:val="00B83C41"/>
    <w:rsid w:val="00BA2B96"/>
    <w:rsid w:val="00BA7095"/>
    <w:rsid w:val="00BB412B"/>
    <w:rsid w:val="00C05320"/>
    <w:rsid w:val="00C309A0"/>
    <w:rsid w:val="00C447D8"/>
    <w:rsid w:val="00C45D55"/>
    <w:rsid w:val="00C51FCA"/>
    <w:rsid w:val="00C753BF"/>
    <w:rsid w:val="00C77329"/>
    <w:rsid w:val="00CA193A"/>
    <w:rsid w:val="00CB59FE"/>
    <w:rsid w:val="00CC0FFD"/>
    <w:rsid w:val="00D028E9"/>
    <w:rsid w:val="00D20D65"/>
    <w:rsid w:val="00D21495"/>
    <w:rsid w:val="00D318D3"/>
    <w:rsid w:val="00D6558E"/>
    <w:rsid w:val="00D72863"/>
    <w:rsid w:val="00D83878"/>
    <w:rsid w:val="00DA4463"/>
    <w:rsid w:val="00DA60E3"/>
    <w:rsid w:val="00DB58E1"/>
    <w:rsid w:val="00DB7F12"/>
    <w:rsid w:val="00DD0A58"/>
    <w:rsid w:val="00DD374F"/>
    <w:rsid w:val="00DF7117"/>
    <w:rsid w:val="00E17FD6"/>
    <w:rsid w:val="00E35156"/>
    <w:rsid w:val="00E62E02"/>
    <w:rsid w:val="00E7385C"/>
    <w:rsid w:val="00EE0112"/>
    <w:rsid w:val="00EF118E"/>
    <w:rsid w:val="00F022AD"/>
    <w:rsid w:val="00F311F5"/>
    <w:rsid w:val="00F459DC"/>
    <w:rsid w:val="00F53B85"/>
    <w:rsid w:val="00F54003"/>
    <w:rsid w:val="00F5553E"/>
    <w:rsid w:val="00F661FA"/>
    <w:rsid w:val="00F70B8C"/>
    <w:rsid w:val="00F76359"/>
    <w:rsid w:val="00F86FDA"/>
    <w:rsid w:val="00FB0CFD"/>
    <w:rsid w:val="00FC5B7C"/>
    <w:rsid w:val="00FD6D8C"/>
    <w:rsid w:val="00FE50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212C1"/>
  <w15:chartTrackingRefBased/>
  <w15:docId w15:val="{9B977783-C304-4D31-A524-BD5677DED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A7C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351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156"/>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E351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5156"/>
    <w:rPr>
      <w:lang w:val="en-GB"/>
    </w:rPr>
  </w:style>
  <w:style w:type="paragraph" w:styleId="Footer">
    <w:name w:val="footer"/>
    <w:basedOn w:val="Normal"/>
    <w:link w:val="FooterChar"/>
    <w:uiPriority w:val="99"/>
    <w:unhideWhenUsed/>
    <w:rsid w:val="00E351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5156"/>
    <w:rPr>
      <w:lang w:val="en-GB"/>
    </w:rPr>
  </w:style>
  <w:style w:type="character" w:customStyle="1" w:styleId="Heading1Char">
    <w:name w:val="Heading 1 Char"/>
    <w:basedOn w:val="DefaultParagraphFont"/>
    <w:link w:val="Heading1"/>
    <w:uiPriority w:val="9"/>
    <w:rsid w:val="002A7C15"/>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277761"/>
    <w:rPr>
      <w:color w:val="0563C1" w:themeColor="hyperlink"/>
      <w:u w:val="single"/>
    </w:rPr>
  </w:style>
  <w:style w:type="character" w:styleId="UnresolvedMention">
    <w:name w:val="Unresolved Mention"/>
    <w:basedOn w:val="DefaultParagraphFont"/>
    <w:uiPriority w:val="99"/>
    <w:semiHidden/>
    <w:unhideWhenUsed/>
    <w:rsid w:val="002777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4</Pages>
  <Words>1684</Words>
  <Characters>9600</Characters>
  <Application>Microsoft Office Word</Application>
  <DocSecurity>0</DocSecurity>
  <Lines>80</Lines>
  <Paragraphs>22</Paragraphs>
  <ScaleCrop>false</ScaleCrop>
  <Company/>
  <LinksUpToDate>false</LinksUpToDate>
  <CharactersWithSpaces>11262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bollington</dc:creator>
  <cp:keywords/>
  <dc:description/>
  <cp:lastModifiedBy>matthew bollington</cp:lastModifiedBy>
  <cp:revision>158</cp:revision>
  <dcterms:created xsi:type="dcterms:W3CDTF">2023-01-10T12:35:00Z</dcterms:created>
  <dcterms:modified xsi:type="dcterms:W3CDTF">2023-01-20T17:52:00Z</dcterms:modified>
</cp:coreProperties>
</file>