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F70B4" w14:textId="3BD38E3C" w:rsidR="00424C99" w:rsidRDefault="00424C99" w:rsidP="00B457E3">
      <w:pPr>
        <w:spacing w:line="480" w:lineRule="auto"/>
        <w:jc w:val="center"/>
        <w:rPr>
          <w:rFonts w:ascii="Arial" w:hAnsi="Arial" w:cs="Arial"/>
          <w:b/>
          <w:bCs/>
          <w:sz w:val="72"/>
          <w:szCs w:val="72"/>
        </w:rPr>
      </w:pPr>
    </w:p>
    <w:p w14:paraId="6C549787" w14:textId="77777777" w:rsidR="00B457E3" w:rsidRDefault="00B457E3" w:rsidP="00B457E3">
      <w:pPr>
        <w:spacing w:line="480" w:lineRule="auto"/>
        <w:jc w:val="center"/>
        <w:rPr>
          <w:rFonts w:ascii="Arial" w:hAnsi="Arial" w:cs="Arial"/>
          <w:b/>
          <w:bCs/>
          <w:sz w:val="72"/>
          <w:szCs w:val="72"/>
        </w:rPr>
      </w:pPr>
    </w:p>
    <w:p w14:paraId="3E045C07" w14:textId="04460DB5" w:rsidR="00B457E3" w:rsidRDefault="00B457E3" w:rsidP="00B457E3">
      <w:pPr>
        <w:spacing w:line="480" w:lineRule="auto"/>
        <w:jc w:val="center"/>
        <w:rPr>
          <w:rFonts w:ascii="Arial" w:hAnsi="Arial" w:cs="Arial"/>
          <w:b/>
          <w:bCs/>
          <w:sz w:val="72"/>
          <w:szCs w:val="72"/>
        </w:rPr>
      </w:pPr>
      <w:r>
        <w:rPr>
          <w:rFonts w:ascii="Arial" w:hAnsi="Arial" w:cs="Arial"/>
          <w:b/>
          <w:bCs/>
          <w:sz w:val="72"/>
          <w:szCs w:val="72"/>
        </w:rPr>
        <w:t>Tort Law – Assignment 1: Rules of Causation</w:t>
      </w:r>
    </w:p>
    <w:p w14:paraId="0E888F61" w14:textId="0D374E3C" w:rsidR="00B457E3" w:rsidRDefault="00B457E3" w:rsidP="00B457E3">
      <w:pPr>
        <w:spacing w:line="480" w:lineRule="auto"/>
        <w:jc w:val="center"/>
        <w:rPr>
          <w:rFonts w:ascii="Arial" w:hAnsi="Arial" w:cs="Arial"/>
          <w:sz w:val="44"/>
          <w:szCs w:val="44"/>
        </w:rPr>
      </w:pPr>
      <w:r>
        <w:rPr>
          <w:rFonts w:ascii="Arial" w:hAnsi="Arial" w:cs="Arial"/>
          <w:sz w:val="44"/>
          <w:szCs w:val="44"/>
        </w:rPr>
        <w:t xml:space="preserve">By George </w:t>
      </w:r>
      <w:proofErr w:type="spellStart"/>
      <w:r>
        <w:rPr>
          <w:rFonts w:ascii="Arial" w:hAnsi="Arial" w:cs="Arial"/>
          <w:sz w:val="44"/>
          <w:szCs w:val="44"/>
        </w:rPr>
        <w:t>Lovering</w:t>
      </w:r>
      <w:proofErr w:type="spellEnd"/>
    </w:p>
    <w:p w14:paraId="1DC10C98" w14:textId="120CF0EC" w:rsidR="00B457E3" w:rsidRDefault="00B457E3">
      <w:pPr>
        <w:rPr>
          <w:rFonts w:ascii="Arial" w:hAnsi="Arial" w:cs="Arial"/>
          <w:sz w:val="44"/>
          <w:szCs w:val="44"/>
        </w:rPr>
      </w:pPr>
      <w:r>
        <w:rPr>
          <w:rFonts w:ascii="Arial" w:hAnsi="Arial" w:cs="Arial"/>
          <w:sz w:val="44"/>
          <w:szCs w:val="44"/>
        </w:rPr>
        <w:br w:type="page"/>
      </w:r>
    </w:p>
    <w:p w14:paraId="3C4EA9C1" w14:textId="3CF97841" w:rsidR="00BB7AA2" w:rsidRDefault="00BB7AA2" w:rsidP="000E7F03">
      <w:pPr>
        <w:spacing w:line="480" w:lineRule="auto"/>
        <w:rPr>
          <w:rFonts w:ascii="Arial" w:hAnsi="Arial" w:cs="Arial"/>
          <w:sz w:val="24"/>
          <w:szCs w:val="24"/>
        </w:rPr>
      </w:pPr>
      <w:r>
        <w:rPr>
          <w:rFonts w:ascii="Arial" w:hAnsi="Arial" w:cs="Arial"/>
          <w:sz w:val="24"/>
          <w:szCs w:val="24"/>
        </w:rPr>
        <w:lastRenderedPageBreak/>
        <w:t xml:space="preserve">In this essay there will be an examination of causation, the rules of causation, </w:t>
      </w:r>
      <w:proofErr w:type="spellStart"/>
      <w:r>
        <w:rPr>
          <w:rFonts w:ascii="Arial" w:hAnsi="Arial" w:cs="Arial"/>
          <w:sz w:val="24"/>
          <w:szCs w:val="24"/>
        </w:rPr>
        <w:t>novus</w:t>
      </w:r>
      <w:proofErr w:type="spellEnd"/>
      <w:r>
        <w:rPr>
          <w:rFonts w:ascii="Arial" w:hAnsi="Arial" w:cs="Arial"/>
          <w:sz w:val="24"/>
          <w:szCs w:val="24"/>
        </w:rPr>
        <w:t xml:space="preserve"> actus interveniens and the case law surrounding causation. Additionally, when breaking down and analysing these cases that are relevant, circumstances that may contribute towards the decision whether or not the defendants are liable will be noted and also how actions break the chain of causation will be presented. Along</w:t>
      </w:r>
      <w:r w:rsidR="00B67D1C">
        <w:rPr>
          <w:rFonts w:ascii="Arial" w:hAnsi="Arial" w:cs="Arial"/>
          <w:sz w:val="24"/>
          <w:szCs w:val="24"/>
        </w:rPr>
        <w:t xml:space="preserve">side this, </w:t>
      </w:r>
      <w:r w:rsidR="005E2BFC">
        <w:rPr>
          <w:rFonts w:ascii="Arial" w:hAnsi="Arial" w:cs="Arial"/>
          <w:sz w:val="24"/>
          <w:szCs w:val="24"/>
        </w:rPr>
        <w:t>arguments and criticism against current rules of causation will be looked at.</w:t>
      </w:r>
    </w:p>
    <w:p w14:paraId="3581D2B2" w14:textId="7B851A4B" w:rsidR="00587B22" w:rsidRDefault="00270584" w:rsidP="000E7F03">
      <w:pPr>
        <w:spacing w:line="480" w:lineRule="auto"/>
        <w:rPr>
          <w:rFonts w:ascii="Arial" w:hAnsi="Arial" w:cs="Arial"/>
          <w:sz w:val="24"/>
          <w:szCs w:val="24"/>
        </w:rPr>
      </w:pPr>
      <w:r>
        <w:rPr>
          <w:rFonts w:ascii="Arial" w:hAnsi="Arial" w:cs="Arial"/>
          <w:sz w:val="24"/>
          <w:szCs w:val="24"/>
        </w:rPr>
        <w:t xml:space="preserve">In order to look at the rules of causation and examine cases where the chain of causation has been broken in terms of liability, there has to be a clear understanding that is established in regards to the definition of causation, which is also coupled with analysing the core principles that a </w:t>
      </w:r>
      <w:r w:rsidR="00587B22">
        <w:rPr>
          <w:rFonts w:ascii="Arial" w:hAnsi="Arial" w:cs="Arial"/>
          <w:sz w:val="24"/>
          <w:szCs w:val="24"/>
        </w:rPr>
        <w:t xml:space="preserve">causation element </w:t>
      </w:r>
      <w:r>
        <w:rPr>
          <w:rFonts w:ascii="Arial" w:hAnsi="Arial" w:cs="Arial"/>
          <w:sz w:val="24"/>
          <w:szCs w:val="24"/>
        </w:rPr>
        <w:t>such as ‘</w:t>
      </w:r>
      <w:proofErr w:type="spellStart"/>
      <w:r>
        <w:rPr>
          <w:rFonts w:ascii="Arial" w:hAnsi="Arial" w:cs="Arial"/>
          <w:sz w:val="24"/>
          <w:szCs w:val="24"/>
        </w:rPr>
        <w:t>n</w:t>
      </w:r>
      <w:r w:rsidRPr="00270584">
        <w:rPr>
          <w:rFonts w:ascii="Arial" w:hAnsi="Arial" w:cs="Arial"/>
          <w:sz w:val="24"/>
          <w:szCs w:val="24"/>
        </w:rPr>
        <w:t>ovus</w:t>
      </w:r>
      <w:proofErr w:type="spellEnd"/>
      <w:r w:rsidRPr="00270584">
        <w:rPr>
          <w:rFonts w:ascii="Arial" w:hAnsi="Arial" w:cs="Arial"/>
          <w:sz w:val="24"/>
          <w:szCs w:val="24"/>
        </w:rPr>
        <w:t xml:space="preserve"> actus interveniens</w:t>
      </w:r>
      <w:r>
        <w:rPr>
          <w:rFonts w:ascii="Arial" w:hAnsi="Arial" w:cs="Arial"/>
          <w:sz w:val="24"/>
          <w:szCs w:val="24"/>
        </w:rPr>
        <w:t>’ is based on. First</w:t>
      </w:r>
      <w:r w:rsidR="00F965BD">
        <w:rPr>
          <w:rFonts w:ascii="Arial" w:hAnsi="Arial" w:cs="Arial"/>
          <w:sz w:val="24"/>
          <w:szCs w:val="24"/>
        </w:rPr>
        <w:t>l</w:t>
      </w:r>
      <w:r>
        <w:rPr>
          <w:rFonts w:ascii="Arial" w:hAnsi="Arial" w:cs="Arial"/>
          <w:sz w:val="24"/>
          <w:szCs w:val="24"/>
        </w:rPr>
        <w:t>y,</w:t>
      </w:r>
      <w:r w:rsidR="00587B22">
        <w:rPr>
          <w:rFonts w:ascii="Arial" w:hAnsi="Arial" w:cs="Arial"/>
          <w:sz w:val="24"/>
          <w:szCs w:val="24"/>
        </w:rPr>
        <w:t xml:space="preserve"> the definitions of causation can be found in cases where it is outlined. For example, in case</w:t>
      </w:r>
      <w:r w:rsidR="00AD6F09">
        <w:rPr>
          <w:rFonts w:ascii="Arial" w:hAnsi="Arial" w:cs="Arial"/>
          <w:sz w:val="24"/>
          <w:szCs w:val="24"/>
        </w:rPr>
        <w:t>s</w:t>
      </w:r>
      <w:r w:rsidR="00587B22">
        <w:rPr>
          <w:rFonts w:ascii="Arial" w:hAnsi="Arial" w:cs="Arial"/>
          <w:sz w:val="24"/>
          <w:szCs w:val="24"/>
        </w:rPr>
        <w:t xml:space="preserve"> </w:t>
      </w:r>
      <w:r w:rsidR="00AD6F09">
        <w:rPr>
          <w:rFonts w:ascii="Arial" w:hAnsi="Arial" w:cs="Arial"/>
          <w:sz w:val="24"/>
          <w:szCs w:val="24"/>
        </w:rPr>
        <w:t>such as</w:t>
      </w:r>
      <w:r w:rsidR="00587B22">
        <w:rPr>
          <w:rFonts w:ascii="Arial" w:hAnsi="Arial" w:cs="Arial"/>
          <w:sz w:val="24"/>
          <w:szCs w:val="24"/>
        </w:rPr>
        <w:t xml:space="preserve"> </w:t>
      </w:r>
      <w:r w:rsidR="00587B22" w:rsidRPr="00587B22">
        <w:rPr>
          <w:rFonts w:ascii="Arial" w:hAnsi="Arial" w:cs="Arial"/>
          <w:sz w:val="24"/>
          <w:szCs w:val="24"/>
        </w:rPr>
        <w:t xml:space="preserve">Groenewald v Groenewald </w:t>
      </w:r>
      <w:r w:rsidR="00587B22">
        <w:rPr>
          <w:rFonts w:ascii="Arial" w:hAnsi="Arial" w:cs="Arial"/>
          <w:sz w:val="24"/>
          <w:szCs w:val="24"/>
        </w:rPr>
        <w:t>(</w:t>
      </w:r>
      <w:r w:rsidR="00587B22" w:rsidRPr="00587B22">
        <w:rPr>
          <w:rFonts w:ascii="Arial" w:hAnsi="Arial" w:cs="Arial"/>
          <w:sz w:val="24"/>
          <w:szCs w:val="24"/>
        </w:rPr>
        <w:t>1998</w:t>
      </w:r>
      <w:r w:rsidR="00587B22">
        <w:rPr>
          <w:rFonts w:ascii="Arial" w:hAnsi="Arial" w:cs="Arial"/>
          <w:sz w:val="24"/>
          <w:szCs w:val="24"/>
        </w:rPr>
        <w:t>)</w:t>
      </w:r>
      <w:r w:rsidR="00AD6F09">
        <w:rPr>
          <w:rFonts w:ascii="Arial" w:hAnsi="Arial" w:cs="Arial"/>
          <w:sz w:val="24"/>
          <w:szCs w:val="24"/>
        </w:rPr>
        <w:t xml:space="preserve"> and </w:t>
      </w:r>
      <w:bookmarkStart w:id="0" w:name="_Hlk54637553"/>
      <w:r w:rsidR="00AD6F09">
        <w:rPr>
          <w:rFonts w:ascii="Arial" w:hAnsi="Arial" w:cs="Arial"/>
          <w:sz w:val="24"/>
          <w:szCs w:val="24"/>
        </w:rPr>
        <w:t xml:space="preserve">Standard Chartered Bank of Canada v </w:t>
      </w:r>
      <w:proofErr w:type="spellStart"/>
      <w:r w:rsidR="00AD6F09">
        <w:rPr>
          <w:rFonts w:ascii="Arial" w:hAnsi="Arial" w:cs="Arial"/>
          <w:sz w:val="24"/>
          <w:szCs w:val="24"/>
        </w:rPr>
        <w:t>Nedperm</w:t>
      </w:r>
      <w:proofErr w:type="spellEnd"/>
      <w:r w:rsidR="00AD6F09">
        <w:rPr>
          <w:rFonts w:ascii="Arial" w:hAnsi="Arial" w:cs="Arial"/>
          <w:sz w:val="24"/>
          <w:szCs w:val="24"/>
        </w:rPr>
        <w:t xml:space="preserve"> Bank Ltd. (1994)</w:t>
      </w:r>
      <w:bookmarkEnd w:id="0"/>
      <w:r w:rsidR="00587B22">
        <w:rPr>
          <w:rFonts w:ascii="Arial" w:hAnsi="Arial" w:cs="Arial"/>
          <w:sz w:val="24"/>
          <w:szCs w:val="24"/>
        </w:rPr>
        <w:t xml:space="preserve">, the meaning behind factual causation and legal causation is outlined. </w:t>
      </w:r>
      <w:r w:rsidR="00AD6F09">
        <w:rPr>
          <w:rFonts w:ascii="Arial" w:hAnsi="Arial" w:cs="Arial"/>
          <w:sz w:val="24"/>
          <w:szCs w:val="24"/>
        </w:rPr>
        <w:t xml:space="preserve">In terms of legal causation, in the case of </w:t>
      </w:r>
      <w:r w:rsidR="00AD6F09" w:rsidRPr="00AD6F09">
        <w:rPr>
          <w:rFonts w:ascii="Arial" w:hAnsi="Arial" w:cs="Arial"/>
          <w:sz w:val="24"/>
          <w:szCs w:val="24"/>
        </w:rPr>
        <w:t xml:space="preserve">Standard Chartered Bank of Canada v </w:t>
      </w:r>
      <w:proofErr w:type="spellStart"/>
      <w:r w:rsidR="00AD6F09" w:rsidRPr="00AD6F09">
        <w:rPr>
          <w:rFonts w:ascii="Arial" w:hAnsi="Arial" w:cs="Arial"/>
          <w:sz w:val="24"/>
          <w:szCs w:val="24"/>
        </w:rPr>
        <w:t>Nedperm</w:t>
      </w:r>
      <w:proofErr w:type="spellEnd"/>
      <w:r w:rsidR="00AD6F09" w:rsidRPr="00AD6F09">
        <w:rPr>
          <w:rFonts w:ascii="Arial" w:hAnsi="Arial" w:cs="Arial"/>
          <w:sz w:val="24"/>
          <w:szCs w:val="24"/>
        </w:rPr>
        <w:t xml:space="preserve"> Bank Ltd. (1994)</w:t>
      </w:r>
      <w:r w:rsidR="00AD6F09">
        <w:rPr>
          <w:rFonts w:ascii="Arial" w:hAnsi="Arial" w:cs="Arial"/>
          <w:sz w:val="24"/>
          <w:szCs w:val="24"/>
        </w:rPr>
        <w:t xml:space="preserve">, Corbett shed light on the test for legal causation and also factored in </w:t>
      </w:r>
      <w:proofErr w:type="spellStart"/>
      <w:r w:rsidR="00AD6F09">
        <w:rPr>
          <w:rFonts w:ascii="Arial" w:hAnsi="Arial" w:cs="Arial"/>
          <w:sz w:val="24"/>
          <w:szCs w:val="24"/>
        </w:rPr>
        <w:t>novus</w:t>
      </w:r>
      <w:proofErr w:type="spellEnd"/>
      <w:r w:rsidR="00AD6F09">
        <w:rPr>
          <w:rFonts w:ascii="Arial" w:hAnsi="Arial" w:cs="Arial"/>
          <w:sz w:val="24"/>
          <w:szCs w:val="24"/>
        </w:rPr>
        <w:t xml:space="preserve"> actus interveniens by stating, “</w:t>
      </w:r>
      <w:r w:rsidR="00AD6F09" w:rsidRPr="00AD6F09">
        <w:rPr>
          <w:rFonts w:ascii="Arial" w:hAnsi="Arial" w:cs="Arial"/>
          <w:sz w:val="24"/>
          <w:szCs w:val="24"/>
        </w:rPr>
        <w:t xml:space="preserve">reasonable foreseeability, directness, the absence or </w:t>
      </w:r>
      <w:r w:rsidR="00AD6F09" w:rsidRPr="004657A8">
        <w:rPr>
          <w:rFonts w:ascii="Arial" w:hAnsi="Arial" w:cs="Arial"/>
          <w:i/>
          <w:iCs/>
          <w:sz w:val="24"/>
          <w:szCs w:val="24"/>
        </w:rPr>
        <w:t>presence</w:t>
      </w:r>
      <w:r w:rsidR="00AD6F09" w:rsidRPr="00AD6F09">
        <w:rPr>
          <w:rFonts w:ascii="Arial" w:hAnsi="Arial" w:cs="Arial"/>
          <w:sz w:val="24"/>
          <w:szCs w:val="24"/>
        </w:rPr>
        <w:t xml:space="preserve"> of a </w:t>
      </w:r>
      <w:proofErr w:type="spellStart"/>
      <w:r w:rsidR="00AD6F09" w:rsidRPr="00AD6F09">
        <w:rPr>
          <w:rFonts w:ascii="Arial" w:hAnsi="Arial" w:cs="Arial"/>
          <w:sz w:val="24"/>
          <w:szCs w:val="24"/>
        </w:rPr>
        <w:t>novus</w:t>
      </w:r>
      <w:proofErr w:type="spellEnd"/>
      <w:r w:rsidR="00AD6F09" w:rsidRPr="00AD6F09">
        <w:rPr>
          <w:rFonts w:ascii="Arial" w:hAnsi="Arial" w:cs="Arial"/>
          <w:sz w:val="24"/>
          <w:szCs w:val="24"/>
        </w:rPr>
        <w:t xml:space="preserve"> actus interveniens, legal policy, reasonability, fairness and justice all play their part".</w:t>
      </w:r>
      <w:r w:rsidR="00AD6F09">
        <w:rPr>
          <w:rFonts w:ascii="Arial" w:hAnsi="Arial" w:cs="Arial"/>
          <w:sz w:val="24"/>
          <w:szCs w:val="24"/>
        </w:rPr>
        <w:t xml:space="preserve"> </w:t>
      </w:r>
    </w:p>
    <w:p w14:paraId="2356A7AF" w14:textId="00ABC42C" w:rsidR="004910B2" w:rsidRPr="004657A8" w:rsidRDefault="00AD6F09" w:rsidP="000E7F03">
      <w:pPr>
        <w:spacing w:line="480" w:lineRule="auto"/>
        <w:rPr>
          <w:rFonts w:ascii="Arial" w:hAnsi="Arial" w:cs="Arial"/>
          <w:sz w:val="24"/>
          <w:szCs w:val="24"/>
          <w:shd w:val="clear" w:color="auto" w:fill="F2F3F3"/>
        </w:rPr>
      </w:pPr>
      <w:r>
        <w:rPr>
          <w:rFonts w:ascii="Arial" w:hAnsi="Arial" w:cs="Arial"/>
          <w:sz w:val="24"/>
          <w:szCs w:val="24"/>
        </w:rPr>
        <w:t xml:space="preserve">In the above statement where Corbett declares what exactly needs to be taken into account when determining if there is legal causation, it’s important to look at the use of </w:t>
      </w:r>
      <w:proofErr w:type="spellStart"/>
      <w:r>
        <w:rPr>
          <w:rFonts w:ascii="Arial" w:hAnsi="Arial" w:cs="Arial"/>
          <w:sz w:val="24"/>
          <w:szCs w:val="24"/>
        </w:rPr>
        <w:t>novus</w:t>
      </w:r>
      <w:proofErr w:type="spellEnd"/>
      <w:r>
        <w:rPr>
          <w:rFonts w:ascii="Arial" w:hAnsi="Arial" w:cs="Arial"/>
          <w:sz w:val="24"/>
          <w:szCs w:val="24"/>
        </w:rPr>
        <w:t xml:space="preserve"> actus interveniens. Now, </w:t>
      </w:r>
      <w:r w:rsidR="00270584">
        <w:rPr>
          <w:rFonts w:ascii="Arial" w:hAnsi="Arial" w:cs="Arial"/>
          <w:sz w:val="24"/>
          <w:szCs w:val="24"/>
        </w:rPr>
        <w:t xml:space="preserve">the </w:t>
      </w:r>
      <w:r w:rsidR="004910B2">
        <w:rPr>
          <w:rFonts w:ascii="Arial" w:hAnsi="Arial" w:cs="Arial"/>
          <w:sz w:val="24"/>
          <w:szCs w:val="24"/>
        </w:rPr>
        <w:t>meaning behind ‘</w:t>
      </w:r>
      <w:proofErr w:type="spellStart"/>
      <w:r w:rsidR="004910B2">
        <w:rPr>
          <w:rFonts w:ascii="Arial" w:hAnsi="Arial" w:cs="Arial"/>
          <w:sz w:val="24"/>
          <w:szCs w:val="24"/>
        </w:rPr>
        <w:t>novus</w:t>
      </w:r>
      <w:proofErr w:type="spellEnd"/>
      <w:r w:rsidR="004910B2">
        <w:rPr>
          <w:rFonts w:ascii="Arial" w:hAnsi="Arial" w:cs="Arial"/>
          <w:sz w:val="24"/>
          <w:szCs w:val="24"/>
        </w:rPr>
        <w:t xml:space="preserve"> actus interveniens’</w:t>
      </w:r>
      <w:r w:rsidR="00270584">
        <w:rPr>
          <w:rFonts w:ascii="Arial" w:hAnsi="Arial" w:cs="Arial"/>
          <w:sz w:val="24"/>
          <w:szCs w:val="24"/>
        </w:rPr>
        <w:t xml:space="preserve">, </w:t>
      </w:r>
      <w:r w:rsidR="00F965BD">
        <w:rPr>
          <w:rFonts w:ascii="Arial" w:hAnsi="Arial" w:cs="Arial"/>
          <w:sz w:val="24"/>
          <w:szCs w:val="24"/>
        </w:rPr>
        <w:t xml:space="preserve">according to Law (2009) in </w:t>
      </w:r>
      <w:r w:rsidR="00F965BD" w:rsidRPr="004910B2">
        <w:rPr>
          <w:rFonts w:ascii="Arial" w:hAnsi="Arial" w:cs="Arial"/>
          <w:i/>
          <w:iCs/>
          <w:sz w:val="24"/>
          <w:szCs w:val="24"/>
        </w:rPr>
        <w:t>A Dictionary of Law (7</w:t>
      </w:r>
      <w:r w:rsidR="00F965BD" w:rsidRPr="004910B2">
        <w:rPr>
          <w:rFonts w:ascii="Arial" w:hAnsi="Arial" w:cs="Arial"/>
          <w:i/>
          <w:iCs/>
          <w:sz w:val="24"/>
          <w:szCs w:val="24"/>
          <w:vertAlign w:val="superscript"/>
        </w:rPr>
        <w:t>th</w:t>
      </w:r>
      <w:r w:rsidR="00F965BD" w:rsidRPr="004910B2">
        <w:rPr>
          <w:rFonts w:ascii="Arial" w:hAnsi="Arial" w:cs="Arial"/>
          <w:i/>
          <w:iCs/>
          <w:sz w:val="24"/>
          <w:szCs w:val="24"/>
        </w:rPr>
        <w:t xml:space="preserve"> ed.)</w:t>
      </w:r>
      <w:r w:rsidR="004910B2">
        <w:rPr>
          <w:rFonts w:ascii="Arial" w:hAnsi="Arial" w:cs="Arial"/>
          <w:sz w:val="24"/>
          <w:szCs w:val="24"/>
        </w:rPr>
        <w:t xml:space="preserve"> is</w:t>
      </w:r>
      <w:r w:rsidR="00F965BD">
        <w:rPr>
          <w:rFonts w:ascii="Arial" w:hAnsi="Arial" w:cs="Arial"/>
          <w:sz w:val="24"/>
          <w:szCs w:val="24"/>
        </w:rPr>
        <w:t xml:space="preserve"> </w:t>
      </w:r>
      <w:r w:rsidR="00F965BD" w:rsidRPr="004910B2">
        <w:rPr>
          <w:rFonts w:ascii="Arial" w:hAnsi="Arial" w:cs="Arial"/>
          <w:sz w:val="24"/>
          <w:szCs w:val="24"/>
        </w:rPr>
        <w:t>“</w:t>
      </w:r>
      <w:r w:rsidR="004910B2" w:rsidRPr="004910B2">
        <w:rPr>
          <w:rFonts w:ascii="Arial" w:hAnsi="Arial" w:cs="Arial"/>
          <w:color w:val="000000"/>
          <w:sz w:val="24"/>
          <w:szCs w:val="24"/>
          <w:shd w:val="clear" w:color="auto" w:fill="FFFFFF"/>
        </w:rPr>
        <w:t xml:space="preserve">An act or event that breaks the causal connection between a wrong or crime committed by the defendant and subsequent happenings and therefore relieves the defendant from responsibility </w:t>
      </w:r>
      <w:r w:rsidR="004910B2" w:rsidRPr="004910B2">
        <w:rPr>
          <w:rFonts w:ascii="Arial" w:hAnsi="Arial" w:cs="Arial"/>
          <w:color w:val="000000"/>
          <w:sz w:val="24"/>
          <w:szCs w:val="24"/>
          <w:shd w:val="clear" w:color="auto" w:fill="FFFFFF"/>
        </w:rPr>
        <w:lastRenderedPageBreak/>
        <w:t>for these happenings.</w:t>
      </w:r>
      <w:r w:rsidR="004910B2">
        <w:rPr>
          <w:rFonts w:ascii="Arial" w:hAnsi="Arial" w:cs="Arial"/>
          <w:color w:val="000000"/>
          <w:sz w:val="24"/>
          <w:szCs w:val="24"/>
          <w:shd w:val="clear" w:color="auto" w:fill="FFFFFF"/>
        </w:rPr>
        <w:t xml:space="preserve">” </w:t>
      </w:r>
      <w:r w:rsidR="00C76989">
        <w:rPr>
          <w:rFonts w:ascii="Arial" w:hAnsi="Arial" w:cs="Arial"/>
          <w:color w:val="000000"/>
          <w:sz w:val="24"/>
          <w:szCs w:val="24"/>
          <w:shd w:val="clear" w:color="auto" w:fill="FFFFFF"/>
        </w:rPr>
        <w:t>To expand on what was</w:t>
      </w:r>
      <w:r w:rsidR="004910B2">
        <w:rPr>
          <w:rFonts w:ascii="Arial" w:hAnsi="Arial" w:cs="Arial"/>
          <w:color w:val="000000"/>
          <w:sz w:val="24"/>
          <w:szCs w:val="24"/>
          <w:shd w:val="clear" w:color="auto" w:fill="FFFFFF"/>
        </w:rPr>
        <w:t xml:space="preserve"> </w:t>
      </w:r>
      <w:r w:rsidR="00C76989">
        <w:rPr>
          <w:rFonts w:ascii="Arial" w:hAnsi="Arial" w:cs="Arial"/>
          <w:color w:val="000000"/>
          <w:sz w:val="24"/>
          <w:szCs w:val="24"/>
          <w:shd w:val="clear" w:color="auto" w:fill="FFFFFF"/>
        </w:rPr>
        <w:t xml:space="preserve">previously </w:t>
      </w:r>
      <w:r w:rsidR="004910B2">
        <w:rPr>
          <w:rFonts w:ascii="Arial" w:hAnsi="Arial" w:cs="Arial"/>
          <w:color w:val="000000"/>
          <w:sz w:val="24"/>
          <w:szCs w:val="24"/>
          <w:shd w:val="clear" w:color="auto" w:fill="FFFFFF"/>
        </w:rPr>
        <w:t xml:space="preserve">stated by Law, </w:t>
      </w:r>
      <w:proofErr w:type="spellStart"/>
      <w:r w:rsidR="004910B2">
        <w:rPr>
          <w:rFonts w:ascii="Arial" w:hAnsi="Arial" w:cs="Arial"/>
          <w:color w:val="000000"/>
          <w:sz w:val="24"/>
          <w:szCs w:val="24"/>
          <w:shd w:val="clear" w:color="auto" w:fill="FFFFFF"/>
        </w:rPr>
        <w:t>novus</w:t>
      </w:r>
      <w:proofErr w:type="spellEnd"/>
      <w:r w:rsidR="004910B2">
        <w:rPr>
          <w:rFonts w:ascii="Arial" w:hAnsi="Arial" w:cs="Arial"/>
          <w:color w:val="000000"/>
          <w:sz w:val="24"/>
          <w:szCs w:val="24"/>
          <w:shd w:val="clear" w:color="auto" w:fill="FFFFFF"/>
        </w:rPr>
        <w:t xml:space="preserve"> actus interveniens is a break in the chain of causation which is significant because it can potentially take away the responsibility that a defendant has in the crime that has</w:t>
      </w:r>
      <w:r w:rsidR="005F49DF">
        <w:rPr>
          <w:rFonts w:ascii="Arial" w:hAnsi="Arial" w:cs="Arial"/>
          <w:color w:val="000000"/>
          <w:sz w:val="24"/>
          <w:szCs w:val="24"/>
          <w:shd w:val="clear" w:color="auto" w:fill="FFFFFF"/>
        </w:rPr>
        <w:t xml:space="preserve"> </w:t>
      </w:r>
      <w:r w:rsidR="005E2F32">
        <w:rPr>
          <w:rFonts w:ascii="Arial" w:hAnsi="Arial" w:cs="Arial"/>
          <w:color w:val="000000"/>
          <w:sz w:val="24"/>
          <w:szCs w:val="24"/>
          <w:shd w:val="clear" w:color="auto" w:fill="FFFFFF"/>
        </w:rPr>
        <w:t>occurred</w:t>
      </w:r>
      <w:r w:rsidR="004910B2">
        <w:rPr>
          <w:rFonts w:ascii="Arial" w:hAnsi="Arial" w:cs="Arial"/>
          <w:color w:val="000000"/>
          <w:sz w:val="24"/>
          <w:szCs w:val="24"/>
          <w:shd w:val="clear" w:color="auto" w:fill="FFFFFF"/>
        </w:rPr>
        <w:t xml:space="preserve">. </w:t>
      </w:r>
      <w:r w:rsidR="00185F79">
        <w:rPr>
          <w:rFonts w:ascii="Arial" w:hAnsi="Arial" w:cs="Arial"/>
          <w:color w:val="000000"/>
          <w:sz w:val="24"/>
          <w:szCs w:val="24"/>
          <w:shd w:val="clear" w:color="auto" w:fill="FFFFFF"/>
        </w:rPr>
        <w:t xml:space="preserve">Additionally, when looking at how </w:t>
      </w:r>
      <w:proofErr w:type="spellStart"/>
      <w:r w:rsidR="00185F79">
        <w:rPr>
          <w:rFonts w:ascii="Arial" w:hAnsi="Arial" w:cs="Arial"/>
          <w:color w:val="000000"/>
          <w:sz w:val="24"/>
          <w:szCs w:val="24"/>
          <w:shd w:val="clear" w:color="auto" w:fill="FFFFFF"/>
        </w:rPr>
        <w:t>novus</w:t>
      </w:r>
      <w:proofErr w:type="spellEnd"/>
      <w:r w:rsidR="00185F79">
        <w:rPr>
          <w:rFonts w:ascii="Arial" w:hAnsi="Arial" w:cs="Arial"/>
          <w:color w:val="000000"/>
          <w:sz w:val="24"/>
          <w:szCs w:val="24"/>
          <w:shd w:val="clear" w:color="auto" w:fill="FFFFFF"/>
        </w:rPr>
        <w:t xml:space="preserve"> actus interveniens came to be with the principles that it is based on, it can be traced back to Latin where it translates to “new intervening act”. Alternatively, looking at </w:t>
      </w:r>
      <w:proofErr w:type="spellStart"/>
      <w:r w:rsidR="00185F79">
        <w:rPr>
          <w:rFonts w:ascii="Arial" w:hAnsi="Arial" w:cs="Arial"/>
          <w:color w:val="000000"/>
          <w:sz w:val="24"/>
          <w:szCs w:val="24"/>
          <w:shd w:val="clear" w:color="auto" w:fill="FFFFFF"/>
        </w:rPr>
        <w:t>novus</w:t>
      </w:r>
      <w:proofErr w:type="spellEnd"/>
      <w:r w:rsidR="00185F79">
        <w:rPr>
          <w:rFonts w:ascii="Arial" w:hAnsi="Arial" w:cs="Arial"/>
          <w:color w:val="000000"/>
          <w:sz w:val="24"/>
          <w:szCs w:val="24"/>
          <w:shd w:val="clear" w:color="auto" w:fill="FFFFFF"/>
        </w:rPr>
        <w:t xml:space="preserve"> actus interveniens from another perspective, Neethling (2012) defines it as </w:t>
      </w:r>
      <w:r w:rsidR="00185F79" w:rsidRPr="0036005D">
        <w:rPr>
          <w:rFonts w:ascii="Arial" w:hAnsi="Arial" w:cs="Arial"/>
          <w:sz w:val="24"/>
          <w:szCs w:val="24"/>
          <w:shd w:val="clear" w:color="auto" w:fill="FFFFFF"/>
        </w:rPr>
        <w:t>“</w:t>
      </w:r>
      <w:r w:rsidR="0036005D" w:rsidRPr="004657A8">
        <w:rPr>
          <w:rFonts w:ascii="Arial" w:hAnsi="Arial" w:cs="Arial"/>
          <w:sz w:val="24"/>
          <w:szCs w:val="24"/>
          <w:shd w:val="clear" w:color="auto" w:fill="F2F3F3"/>
        </w:rPr>
        <w:t>an independent event which, after the wrongdoer's act has been concluded either caused or contributed to the consequence concerned”.</w:t>
      </w:r>
    </w:p>
    <w:p w14:paraId="65018178" w14:textId="34A1A3BE" w:rsidR="00403863" w:rsidRDefault="00AC533D" w:rsidP="000E7F03">
      <w:pPr>
        <w:spacing w:line="480" w:lineRule="auto"/>
        <w:rPr>
          <w:rFonts w:ascii="Arial" w:hAnsi="Arial" w:cs="Arial"/>
          <w:sz w:val="24"/>
          <w:szCs w:val="24"/>
        </w:rPr>
      </w:pPr>
      <w:r>
        <w:rPr>
          <w:rFonts w:ascii="Arial" w:hAnsi="Arial" w:cs="Arial"/>
          <w:sz w:val="24"/>
          <w:szCs w:val="24"/>
        </w:rPr>
        <w:t xml:space="preserve">Revisiting causation, factual causation is determined by applying a test that was established in the R v White (1910), known as the ‘but for’ test. </w:t>
      </w:r>
      <w:r w:rsidR="00E17FAC">
        <w:rPr>
          <w:rFonts w:ascii="Arial" w:hAnsi="Arial" w:cs="Arial"/>
          <w:sz w:val="24"/>
          <w:szCs w:val="24"/>
        </w:rPr>
        <w:t xml:space="preserve">The ‘but for’ test </w:t>
      </w:r>
      <w:r w:rsidR="00995CB1">
        <w:rPr>
          <w:rFonts w:ascii="Arial" w:hAnsi="Arial" w:cs="Arial"/>
          <w:sz w:val="24"/>
          <w:szCs w:val="24"/>
        </w:rPr>
        <w:t xml:space="preserve">came about from this case after the defendant poisoned the victim’s milk, the victim later went to sleep and died, however it was determined that the defendant was not liable for murder because the victim died after suffering a heart attack which didn’t come as a result of the poison, although the defendant was liable for attempted murder. Looking at R v White, the outcome was that the victim would’ve died regardless of the defendant’s actions, therefore </w:t>
      </w:r>
      <w:r w:rsidR="00B6103B">
        <w:rPr>
          <w:rFonts w:ascii="Arial" w:hAnsi="Arial" w:cs="Arial"/>
          <w:sz w:val="24"/>
          <w:szCs w:val="24"/>
        </w:rPr>
        <w:t xml:space="preserve">using the but for test, this takes away liability. </w:t>
      </w:r>
    </w:p>
    <w:p w14:paraId="6D12A3E4" w14:textId="15BAB323" w:rsidR="008029E8" w:rsidRDefault="00403863" w:rsidP="000E7F03">
      <w:pPr>
        <w:spacing w:line="480" w:lineRule="auto"/>
        <w:rPr>
          <w:rFonts w:ascii="Arial" w:hAnsi="Arial" w:cs="Arial"/>
          <w:sz w:val="24"/>
          <w:szCs w:val="24"/>
        </w:rPr>
      </w:pPr>
      <w:r>
        <w:rPr>
          <w:rFonts w:ascii="Arial" w:hAnsi="Arial" w:cs="Arial"/>
          <w:sz w:val="24"/>
          <w:szCs w:val="24"/>
        </w:rPr>
        <w:t xml:space="preserve">Using the rules of causation and some of the case law that has been established already, now this can be applied to other cases where the chain of causation has been broken, furthermore, looking at additional factors such as negligence and </w:t>
      </w:r>
      <w:r w:rsidR="00E916AE">
        <w:rPr>
          <w:rFonts w:ascii="Arial" w:hAnsi="Arial" w:cs="Arial"/>
          <w:sz w:val="24"/>
          <w:szCs w:val="24"/>
        </w:rPr>
        <w:t xml:space="preserve">duty of care that relate to </w:t>
      </w:r>
      <w:r>
        <w:rPr>
          <w:rFonts w:ascii="Arial" w:hAnsi="Arial" w:cs="Arial"/>
          <w:sz w:val="24"/>
          <w:szCs w:val="24"/>
        </w:rPr>
        <w:t xml:space="preserve">the actions of the claimants that may impact the liability of the defendant. </w:t>
      </w:r>
      <w:r w:rsidR="008029E8">
        <w:rPr>
          <w:rFonts w:ascii="Arial" w:hAnsi="Arial" w:cs="Arial"/>
          <w:sz w:val="24"/>
          <w:szCs w:val="24"/>
        </w:rPr>
        <w:t>Looking at the duty of care, using this definition provided by Stewart (2006)</w:t>
      </w:r>
      <w:r w:rsidR="0042518D">
        <w:rPr>
          <w:rFonts w:ascii="Arial" w:hAnsi="Arial" w:cs="Arial"/>
          <w:sz w:val="24"/>
          <w:szCs w:val="24"/>
        </w:rPr>
        <w:t xml:space="preserve"> “</w:t>
      </w:r>
      <w:r w:rsidR="0042518D" w:rsidRPr="0042518D">
        <w:rPr>
          <w:rFonts w:ascii="Arial" w:hAnsi="Arial" w:cs="Arial"/>
          <w:sz w:val="24"/>
          <w:szCs w:val="24"/>
        </w:rPr>
        <w:t xml:space="preserve">a requirement that a person act toward others and the public with </w:t>
      </w:r>
      <w:r w:rsidR="0042518D" w:rsidRPr="0042518D">
        <w:rPr>
          <w:rFonts w:ascii="Arial" w:hAnsi="Arial" w:cs="Arial"/>
          <w:sz w:val="24"/>
          <w:szCs w:val="24"/>
        </w:rPr>
        <w:lastRenderedPageBreak/>
        <w:t>watchfulness, attention, caution and prudence that a reasonable person in the circumstances would.</w:t>
      </w:r>
      <w:r w:rsidR="0042518D">
        <w:rPr>
          <w:rFonts w:ascii="Arial" w:hAnsi="Arial" w:cs="Arial"/>
          <w:sz w:val="24"/>
          <w:szCs w:val="24"/>
        </w:rPr>
        <w:t>”</w:t>
      </w:r>
      <w:r w:rsidR="00300D57">
        <w:rPr>
          <w:rFonts w:ascii="Arial" w:hAnsi="Arial" w:cs="Arial"/>
          <w:sz w:val="24"/>
          <w:szCs w:val="24"/>
        </w:rPr>
        <w:t xml:space="preserve"> </w:t>
      </w:r>
    </w:p>
    <w:p w14:paraId="1F363484" w14:textId="19F0D2B4" w:rsidR="00261B06" w:rsidRDefault="00257E90" w:rsidP="000E7F03">
      <w:pPr>
        <w:spacing w:line="480" w:lineRule="auto"/>
        <w:rPr>
          <w:rFonts w:ascii="Arial" w:hAnsi="Arial" w:cs="Arial"/>
          <w:bCs/>
          <w:sz w:val="24"/>
          <w:szCs w:val="24"/>
        </w:rPr>
      </w:pPr>
      <w:r>
        <w:rPr>
          <w:rFonts w:ascii="Arial" w:hAnsi="Arial" w:cs="Arial"/>
          <w:sz w:val="24"/>
          <w:szCs w:val="24"/>
        </w:rPr>
        <w:t xml:space="preserve">A case that relates to the issues surrounding causation and whether or not the chain of causation has been broken is the case of </w:t>
      </w:r>
      <w:r w:rsidRPr="00257E90">
        <w:rPr>
          <w:rFonts w:ascii="Arial" w:hAnsi="Arial" w:cs="Arial"/>
          <w:bCs/>
          <w:sz w:val="24"/>
          <w:szCs w:val="24"/>
        </w:rPr>
        <w:t xml:space="preserve">McKew v Holland &amp; </w:t>
      </w:r>
      <w:proofErr w:type="spellStart"/>
      <w:r w:rsidRPr="00257E90">
        <w:rPr>
          <w:rFonts w:ascii="Arial" w:hAnsi="Arial" w:cs="Arial"/>
          <w:bCs/>
          <w:sz w:val="24"/>
          <w:szCs w:val="24"/>
        </w:rPr>
        <w:t>Hannen</w:t>
      </w:r>
      <w:proofErr w:type="spellEnd"/>
      <w:r w:rsidRPr="00257E90">
        <w:rPr>
          <w:rFonts w:ascii="Arial" w:hAnsi="Arial" w:cs="Arial"/>
          <w:bCs/>
          <w:sz w:val="24"/>
          <w:szCs w:val="24"/>
        </w:rPr>
        <w:t xml:space="preserve"> &amp; </w:t>
      </w:r>
      <w:proofErr w:type="spellStart"/>
      <w:r w:rsidRPr="00257E90">
        <w:rPr>
          <w:rFonts w:ascii="Arial" w:hAnsi="Arial" w:cs="Arial"/>
          <w:bCs/>
          <w:sz w:val="24"/>
          <w:szCs w:val="24"/>
        </w:rPr>
        <w:t>Cubitts</w:t>
      </w:r>
      <w:proofErr w:type="spellEnd"/>
      <w:r w:rsidRPr="00257E90">
        <w:rPr>
          <w:rFonts w:ascii="Arial" w:hAnsi="Arial" w:cs="Arial"/>
          <w:bCs/>
          <w:sz w:val="24"/>
          <w:szCs w:val="24"/>
        </w:rPr>
        <w:t xml:space="preserve"> (Scotland) Ltd (1969)</w:t>
      </w:r>
      <w:r>
        <w:rPr>
          <w:rFonts w:ascii="Arial" w:hAnsi="Arial" w:cs="Arial"/>
          <w:bCs/>
          <w:sz w:val="24"/>
          <w:szCs w:val="24"/>
        </w:rPr>
        <w:t xml:space="preserve">, </w:t>
      </w:r>
      <w:r w:rsidR="00BD4A3F">
        <w:rPr>
          <w:rFonts w:ascii="Arial" w:hAnsi="Arial" w:cs="Arial"/>
          <w:bCs/>
          <w:sz w:val="24"/>
          <w:szCs w:val="24"/>
        </w:rPr>
        <w:t xml:space="preserve">a key point of relevance in regards to the causation aspect is that it had to be determined whether or not a ‘new intervening act’ broke the chain of causation. </w:t>
      </w:r>
      <w:r w:rsidR="00A00620">
        <w:rPr>
          <w:rFonts w:ascii="Arial" w:hAnsi="Arial" w:cs="Arial"/>
          <w:bCs/>
          <w:sz w:val="24"/>
          <w:szCs w:val="24"/>
        </w:rPr>
        <w:t xml:space="preserve">In this case an employee (complainant) sustained a leg injury whilst at work which meant his leg was compromised, then whilst recovering out of work the employee </w:t>
      </w:r>
      <w:r w:rsidR="00D76878">
        <w:rPr>
          <w:rFonts w:ascii="Arial" w:hAnsi="Arial" w:cs="Arial"/>
          <w:bCs/>
          <w:sz w:val="24"/>
          <w:szCs w:val="24"/>
        </w:rPr>
        <w:t xml:space="preserve">further damaged his leg after attempting to jump down 10 steps. </w:t>
      </w:r>
      <w:r w:rsidR="00C62FE4">
        <w:rPr>
          <w:rFonts w:ascii="Arial" w:hAnsi="Arial" w:cs="Arial"/>
          <w:bCs/>
          <w:sz w:val="24"/>
          <w:szCs w:val="24"/>
        </w:rPr>
        <w:t xml:space="preserve">The court determined that whilst the employer would be liable for the initial injury that the </w:t>
      </w:r>
      <w:r w:rsidR="00C62FE4" w:rsidRPr="00C62FE4">
        <w:rPr>
          <w:rFonts w:ascii="Arial" w:hAnsi="Arial" w:cs="Arial"/>
          <w:bCs/>
          <w:sz w:val="24"/>
          <w:szCs w:val="24"/>
        </w:rPr>
        <w:t xml:space="preserve">employee suffered, it was determined that when the employee worsened their leg injury jumping down the steps, this was a </w:t>
      </w:r>
      <w:proofErr w:type="spellStart"/>
      <w:r w:rsidR="00C62FE4" w:rsidRPr="00C62FE4">
        <w:rPr>
          <w:rFonts w:ascii="Arial" w:hAnsi="Arial" w:cs="Arial"/>
          <w:bCs/>
          <w:sz w:val="24"/>
          <w:szCs w:val="24"/>
        </w:rPr>
        <w:t>novus</w:t>
      </w:r>
      <w:proofErr w:type="spellEnd"/>
      <w:r w:rsidR="00C62FE4" w:rsidRPr="00C62FE4">
        <w:rPr>
          <w:rFonts w:ascii="Arial" w:hAnsi="Arial" w:cs="Arial"/>
          <w:bCs/>
          <w:sz w:val="24"/>
          <w:szCs w:val="24"/>
        </w:rPr>
        <w:t xml:space="preserve"> actus </w:t>
      </w:r>
      <w:r w:rsidR="00C62FE4" w:rsidRPr="00C62FE4">
        <w:rPr>
          <w:rFonts w:ascii="Arial" w:hAnsi="Arial" w:cs="Arial"/>
          <w:sz w:val="24"/>
          <w:szCs w:val="24"/>
          <w:shd w:val="clear" w:color="auto" w:fill="FFFFFF"/>
        </w:rPr>
        <w:t>interveniens</w:t>
      </w:r>
      <w:r w:rsidR="00C62FE4" w:rsidRPr="00C62FE4">
        <w:rPr>
          <w:rFonts w:ascii="Arial" w:hAnsi="Arial" w:cs="Arial"/>
          <w:sz w:val="24"/>
          <w:szCs w:val="24"/>
          <w:shd w:val="clear" w:color="auto" w:fill="FFFFFF"/>
        </w:rPr>
        <w:t>.</w:t>
      </w:r>
      <w:r w:rsidR="00C62FE4" w:rsidRPr="00C62FE4">
        <w:rPr>
          <w:rFonts w:ascii="Segoe UI" w:hAnsi="Segoe UI" w:cs="Segoe UI"/>
          <w:shd w:val="clear" w:color="auto" w:fill="FFFFFF"/>
        </w:rPr>
        <w:t xml:space="preserve"> </w:t>
      </w:r>
      <w:r w:rsidR="00C8017C">
        <w:rPr>
          <w:rFonts w:ascii="Arial" w:hAnsi="Arial" w:cs="Arial"/>
          <w:sz w:val="24"/>
          <w:szCs w:val="24"/>
          <w:shd w:val="clear" w:color="auto" w:fill="FFFFFF"/>
        </w:rPr>
        <w:t xml:space="preserve">When discussing the decision of the court in the verdict of </w:t>
      </w:r>
      <w:r w:rsidR="00C8017C" w:rsidRPr="00257E90">
        <w:rPr>
          <w:rFonts w:ascii="Arial" w:hAnsi="Arial" w:cs="Arial"/>
          <w:bCs/>
          <w:sz w:val="24"/>
          <w:szCs w:val="24"/>
        </w:rPr>
        <w:t xml:space="preserve">McKew v Holland &amp; </w:t>
      </w:r>
      <w:proofErr w:type="spellStart"/>
      <w:r w:rsidR="00C8017C" w:rsidRPr="00257E90">
        <w:rPr>
          <w:rFonts w:ascii="Arial" w:hAnsi="Arial" w:cs="Arial"/>
          <w:bCs/>
          <w:sz w:val="24"/>
          <w:szCs w:val="24"/>
        </w:rPr>
        <w:t>Hannen</w:t>
      </w:r>
      <w:proofErr w:type="spellEnd"/>
      <w:r w:rsidR="00C8017C" w:rsidRPr="00257E90">
        <w:rPr>
          <w:rFonts w:ascii="Arial" w:hAnsi="Arial" w:cs="Arial"/>
          <w:bCs/>
          <w:sz w:val="24"/>
          <w:szCs w:val="24"/>
        </w:rPr>
        <w:t xml:space="preserve"> &amp; </w:t>
      </w:r>
      <w:proofErr w:type="spellStart"/>
      <w:r w:rsidR="00C8017C" w:rsidRPr="00257E90">
        <w:rPr>
          <w:rFonts w:ascii="Arial" w:hAnsi="Arial" w:cs="Arial"/>
          <w:bCs/>
          <w:sz w:val="24"/>
          <w:szCs w:val="24"/>
        </w:rPr>
        <w:t>Cubitts</w:t>
      </w:r>
      <w:proofErr w:type="spellEnd"/>
      <w:r w:rsidR="00C8017C" w:rsidRPr="00257E90">
        <w:rPr>
          <w:rFonts w:ascii="Arial" w:hAnsi="Arial" w:cs="Arial"/>
          <w:bCs/>
          <w:sz w:val="24"/>
          <w:szCs w:val="24"/>
        </w:rPr>
        <w:t xml:space="preserve"> (Scotland) Ltd (1969)</w:t>
      </w:r>
      <w:r w:rsidR="00C8017C">
        <w:rPr>
          <w:rFonts w:ascii="Arial" w:hAnsi="Arial" w:cs="Arial"/>
          <w:bCs/>
          <w:sz w:val="24"/>
          <w:szCs w:val="24"/>
        </w:rPr>
        <w:t xml:space="preserve">, it is important to note that the complainant tried placing liability on their employer after the second action which injured his leg further, where there was a risk taken when attempting to jump down the steps that could not have been foreseen, therefore the defendant was not liable. </w:t>
      </w:r>
    </w:p>
    <w:p w14:paraId="46D01224" w14:textId="3754C53F" w:rsidR="00261B06" w:rsidRDefault="00261B06" w:rsidP="000E7F03">
      <w:pPr>
        <w:spacing w:line="480" w:lineRule="auto"/>
        <w:rPr>
          <w:rFonts w:ascii="Arial" w:hAnsi="Arial" w:cs="Arial"/>
          <w:bCs/>
          <w:sz w:val="24"/>
          <w:szCs w:val="24"/>
        </w:rPr>
      </w:pPr>
    </w:p>
    <w:p w14:paraId="7C834273" w14:textId="5F74309C" w:rsidR="006E7F9F" w:rsidRPr="006E7F9F" w:rsidRDefault="00261B06" w:rsidP="000E7F03">
      <w:pPr>
        <w:spacing w:line="480" w:lineRule="auto"/>
        <w:rPr>
          <w:rFonts w:ascii="Arial" w:hAnsi="Arial" w:cs="Arial"/>
          <w:bCs/>
          <w:sz w:val="24"/>
          <w:szCs w:val="24"/>
        </w:rPr>
      </w:pPr>
      <w:r>
        <w:rPr>
          <w:rFonts w:ascii="Arial" w:hAnsi="Arial" w:cs="Arial"/>
          <w:bCs/>
          <w:sz w:val="24"/>
          <w:szCs w:val="24"/>
        </w:rPr>
        <w:t xml:space="preserve">Analysing more decisions made in similar cases to </w:t>
      </w:r>
      <w:r w:rsidRPr="00257E90">
        <w:rPr>
          <w:rFonts w:ascii="Arial" w:hAnsi="Arial" w:cs="Arial"/>
          <w:bCs/>
          <w:sz w:val="24"/>
          <w:szCs w:val="24"/>
        </w:rPr>
        <w:t xml:space="preserve">McKew v Holland &amp; </w:t>
      </w:r>
      <w:proofErr w:type="spellStart"/>
      <w:r w:rsidRPr="00257E90">
        <w:rPr>
          <w:rFonts w:ascii="Arial" w:hAnsi="Arial" w:cs="Arial"/>
          <w:bCs/>
          <w:sz w:val="24"/>
          <w:szCs w:val="24"/>
        </w:rPr>
        <w:t>Hannen</w:t>
      </w:r>
      <w:proofErr w:type="spellEnd"/>
      <w:r w:rsidRPr="00257E90">
        <w:rPr>
          <w:rFonts w:ascii="Arial" w:hAnsi="Arial" w:cs="Arial"/>
          <w:bCs/>
          <w:sz w:val="24"/>
          <w:szCs w:val="24"/>
        </w:rPr>
        <w:t xml:space="preserve"> &amp; </w:t>
      </w:r>
      <w:proofErr w:type="spellStart"/>
      <w:r w:rsidRPr="00257E90">
        <w:rPr>
          <w:rFonts w:ascii="Arial" w:hAnsi="Arial" w:cs="Arial"/>
          <w:bCs/>
          <w:sz w:val="24"/>
          <w:szCs w:val="24"/>
        </w:rPr>
        <w:t>Cubitts</w:t>
      </w:r>
      <w:proofErr w:type="spellEnd"/>
      <w:r>
        <w:rPr>
          <w:rFonts w:ascii="Arial" w:hAnsi="Arial" w:cs="Arial"/>
          <w:bCs/>
          <w:sz w:val="24"/>
          <w:szCs w:val="24"/>
        </w:rPr>
        <w:t xml:space="preserve"> and the reasoning behind verdicts, </w:t>
      </w:r>
      <w:r w:rsidR="006E7F9F" w:rsidRPr="006E7F9F">
        <w:rPr>
          <w:rStyle w:val="Strong"/>
          <w:rFonts w:ascii="Arial" w:hAnsi="Arial" w:cs="Arial"/>
          <w:b w:val="0"/>
          <w:bCs w:val="0"/>
          <w:color w:val="111111"/>
          <w:sz w:val="24"/>
          <w:szCs w:val="24"/>
          <w:shd w:val="clear" w:color="auto" w:fill="FFFFFF"/>
        </w:rPr>
        <w:t>Baker</w:t>
      </w:r>
      <w:r w:rsidR="006E7F9F" w:rsidRPr="006E7F9F">
        <w:rPr>
          <w:rFonts w:ascii="Arial" w:hAnsi="Arial" w:cs="Arial"/>
          <w:b/>
          <w:bCs/>
          <w:color w:val="111111"/>
          <w:sz w:val="24"/>
          <w:szCs w:val="24"/>
          <w:shd w:val="clear" w:color="auto" w:fill="FFFFFF"/>
        </w:rPr>
        <w:t> </w:t>
      </w:r>
      <w:r w:rsidR="006E7F9F" w:rsidRPr="006E7F9F">
        <w:rPr>
          <w:rStyle w:val="Strong"/>
          <w:rFonts w:ascii="Arial" w:hAnsi="Arial" w:cs="Arial"/>
          <w:b w:val="0"/>
          <w:bCs w:val="0"/>
          <w:color w:val="111111"/>
          <w:sz w:val="24"/>
          <w:szCs w:val="24"/>
          <w:shd w:val="clear" w:color="auto" w:fill="FFFFFF"/>
        </w:rPr>
        <w:t>v</w:t>
      </w:r>
      <w:r w:rsidR="006E7F9F" w:rsidRPr="006E7F9F">
        <w:rPr>
          <w:rFonts w:ascii="Arial" w:hAnsi="Arial" w:cs="Arial"/>
          <w:b/>
          <w:bCs/>
          <w:color w:val="111111"/>
          <w:sz w:val="24"/>
          <w:szCs w:val="24"/>
          <w:shd w:val="clear" w:color="auto" w:fill="FFFFFF"/>
        </w:rPr>
        <w:t> </w:t>
      </w:r>
      <w:r w:rsidR="006E7F9F" w:rsidRPr="006E7F9F">
        <w:rPr>
          <w:rStyle w:val="Strong"/>
          <w:rFonts w:ascii="Arial" w:hAnsi="Arial" w:cs="Arial"/>
          <w:b w:val="0"/>
          <w:bCs w:val="0"/>
          <w:color w:val="111111"/>
          <w:sz w:val="24"/>
          <w:szCs w:val="24"/>
          <w:shd w:val="clear" w:color="auto" w:fill="FFFFFF"/>
        </w:rPr>
        <w:t>Willoughby</w:t>
      </w:r>
      <w:r w:rsidR="006E7F9F" w:rsidRPr="006E7F9F">
        <w:rPr>
          <w:rFonts w:ascii="Arial" w:hAnsi="Arial" w:cs="Arial"/>
          <w:color w:val="111111"/>
          <w:sz w:val="24"/>
          <w:szCs w:val="24"/>
          <w:shd w:val="clear" w:color="auto" w:fill="FFFFFF"/>
        </w:rPr>
        <w:t> (1969)</w:t>
      </w:r>
      <w:r w:rsidR="006E7F9F">
        <w:rPr>
          <w:rFonts w:ascii="Arial" w:hAnsi="Arial" w:cs="Arial"/>
          <w:color w:val="111111"/>
          <w:sz w:val="24"/>
          <w:szCs w:val="24"/>
          <w:shd w:val="clear" w:color="auto" w:fill="FFFFFF"/>
        </w:rPr>
        <w:t xml:space="preserve"> is relevant due to it being used as a test for causation, but in the case of </w:t>
      </w:r>
      <w:r w:rsidR="006E7F9F" w:rsidRPr="00CC6FE5">
        <w:rPr>
          <w:rFonts w:ascii="Arial" w:hAnsi="Arial" w:cs="Arial"/>
          <w:bCs/>
          <w:i/>
          <w:iCs/>
          <w:sz w:val="24"/>
          <w:szCs w:val="24"/>
        </w:rPr>
        <w:t>Jobling v Associated Dairies Ltd (1981</w:t>
      </w:r>
      <w:r w:rsidR="006E7F9F">
        <w:rPr>
          <w:rFonts w:ascii="Arial" w:hAnsi="Arial" w:cs="Arial"/>
          <w:bCs/>
          <w:i/>
          <w:iCs/>
          <w:sz w:val="24"/>
          <w:szCs w:val="24"/>
        </w:rPr>
        <w:t xml:space="preserve">), </w:t>
      </w:r>
      <w:r w:rsidR="006E7F9F">
        <w:rPr>
          <w:rFonts w:ascii="Arial" w:hAnsi="Arial" w:cs="Arial"/>
          <w:bCs/>
          <w:sz w:val="24"/>
          <w:szCs w:val="24"/>
        </w:rPr>
        <w:t xml:space="preserve">the test was used in claiming compensation for the complainant who sustained a spinal injury who worked for the defendant, however this decision was successfully appealed by the defendant because the court ruled that this case </w:t>
      </w:r>
      <w:r w:rsidR="006E7F9F">
        <w:rPr>
          <w:rFonts w:ascii="Arial" w:hAnsi="Arial" w:cs="Arial"/>
          <w:bCs/>
          <w:sz w:val="24"/>
          <w:szCs w:val="24"/>
        </w:rPr>
        <w:lastRenderedPageBreak/>
        <w:t xml:space="preserve">was an exception to the test for causation brought about from </w:t>
      </w:r>
      <w:r w:rsidR="006E7F9F" w:rsidRPr="006E7F9F">
        <w:rPr>
          <w:rStyle w:val="Strong"/>
          <w:rFonts w:ascii="Arial" w:hAnsi="Arial" w:cs="Arial"/>
          <w:b w:val="0"/>
          <w:bCs w:val="0"/>
          <w:color w:val="111111"/>
          <w:sz w:val="24"/>
          <w:szCs w:val="24"/>
          <w:shd w:val="clear" w:color="auto" w:fill="FFFFFF"/>
        </w:rPr>
        <w:t>Baker</w:t>
      </w:r>
      <w:r w:rsidR="006E7F9F" w:rsidRPr="006E7F9F">
        <w:rPr>
          <w:rFonts w:ascii="Arial" w:hAnsi="Arial" w:cs="Arial"/>
          <w:b/>
          <w:bCs/>
          <w:color w:val="111111"/>
          <w:sz w:val="24"/>
          <w:szCs w:val="24"/>
          <w:shd w:val="clear" w:color="auto" w:fill="FFFFFF"/>
        </w:rPr>
        <w:t> </w:t>
      </w:r>
      <w:r w:rsidR="006E7F9F" w:rsidRPr="006E7F9F">
        <w:rPr>
          <w:rStyle w:val="Strong"/>
          <w:rFonts w:ascii="Arial" w:hAnsi="Arial" w:cs="Arial"/>
          <w:b w:val="0"/>
          <w:bCs w:val="0"/>
          <w:color w:val="111111"/>
          <w:sz w:val="24"/>
          <w:szCs w:val="24"/>
          <w:shd w:val="clear" w:color="auto" w:fill="FFFFFF"/>
        </w:rPr>
        <w:t>v</w:t>
      </w:r>
      <w:r w:rsidR="006E7F9F" w:rsidRPr="006E7F9F">
        <w:rPr>
          <w:rFonts w:ascii="Arial" w:hAnsi="Arial" w:cs="Arial"/>
          <w:b/>
          <w:bCs/>
          <w:color w:val="111111"/>
          <w:sz w:val="24"/>
          <w:szCs w:val="24"/>
          <w:shd w:val="clear" w:color="auto" w:fill="FFFFFF"/>
        </w:rPr>
        <w:t> </w:t>
      </w:r>
      <w:r w:rsidR="006E7F9F" w:rsidRPr="006E7F9F">
        <w:rPr>
          <w:rStyle w:val="Strong"/>
          <w:rFonts w:ascii="Arial" w:hAnsi="Arial" w:cs="Arial"/>
          <w:b w:val="0"/>
          <w:bCs w:val="0"/>
          <w:color w:val="111111"/>
          <w:sz w:val="24"/>
          <w:szCs w:val="24"/>
          <w:shd w:val="clear" w:color="auto" w:fill="FFFFFF"/>
        </w:rPr>
        <w:t>Willoughby</w:t>
      </w:r>
      <w:r w:rsidR="006E7F9F">
        <w:rPr>
          <w:rStyle w:val="Strong"/>
          <w:rFonts w:ascii="Arial" w:hAnsi="Arial" w:cs="Arial"/>
          <w:b w:val="0"/>
          <w:bCs w:val="0"/>
          <w:color w:val="111111"/>
          <w:sz w:val="24"/>
          <w:szCs w:val="24"/>
          <w:shd w:val="clear" w:color="auto" w:fill="FFFFFF"/>
        </w:rPr>
        <w:t xml:space="preserve">. The defendant was liable for the loss of earnings that incurred whilst the complainant was employed there, but not after this period which the complainant originally claimed compensation for. </w:t>
      </w:r>
    </w:p>
    <w:p w14:paraId="4A1FD761" w14:textId="52992D70" w:rsidR="00261B06" w:rsidRPr="00261B06" w:rsidRDefault="00261B06" w:rsidP="000E7F03">
      <w:pPr>
        <w:spacing w:line="480" w:lineRule="auto"/>
        <w:rPr>
          <w:rFonts w:ascii="Arial" w:hAnsi="Arial" w:cs="Arial"/>
          <w:bCs/>
          <w:sz w:val="24"/>
          <w:szCs w:val="24"/>
        </w:rPr>
      </w:pPr>
    </w:p>
    <w:p w14:paraId="0AA31F9B" w14:textId="77777777" w:rsidR="005900CF" w:rsidRDefault="005900CF" w:rsidP="000E7F03">
      <w:pPr>
        <w:spacing w:line="480" w:lineRule="auto"/>
        <w:rPr>
          <w:rFonts w:ascii="Arial" w:hAnsi="Arial" w:cs="Arial"/>
          <w:sz w:val="24"/>
          <w:szCs w:val="24"/>
        </w:rPr>
      </w:pPr>
    </w:p>
    <w:p w14:paraId="381390D5" w14:textId="74646A6A" w:rsidR="001F4CC1" w:rsidRDefault="008C2E57" w:rsidP="000E7F03">
      <w:pPr>
        <w:spacing w:line="480" w:lineRule="auto"/>
        <w:rPr>
          <w:rFonts w:ascii="Arial" w:hAnsi="Arial" w:cs="Arial"/>
          <w:sz w:val="24"/>
          <w:szCs w:val="24"/>
        </w:rPr>
      </w:pPr>
      <w:r>
        <w:rPr>
          <w:rFonts w:ascii="Arial" w:hAnsi="Arial" w:cs="Arial"/>
          <w:sz w:val="24"/>
          <w:szCs w:val="24"/>
        </w:rPr>
        <w:t xml:space="preserve">A case that relates </w:t>
      </w:r>
      <w:r w:rsidR="005900CF">
        <w:rPr>
          <w:rFonts w:ascii="Arial" w:hAnsi="Arial" w:cs="Arial"/>
          <w:sz w:val="24"/>
          <w:szCs w:val="24"/>
        </w:rPr>
        <w:t>to the issue of breaking the duty of care</w:t>
      </w:r>
      <w:r>
        <w:rPr>
          <w:rFonts w:ascii="Arial" w:hAnsi="Arial" w:cs="Arial"/>
          <w:sz w:val="24"/>
          <w:szCs w:val="24"/>
        </w:rPr>
        <w:t xml:space="preserve"> is the case is </w:t>
      </w:r>
      <w:proofErr w:type="spellStart"/>
      <w:r>
        <w:rPr>
          <w:rFonts w:ascii="Arial" w:hAnsi="Arial" w:cs="Arial"/>
          <w:sz w:val="24"/>
          <w:szCs w:val="24"/>
        </w:rPr>
        <w:t>Corr</w:t>
      </w:r>
      <w:proofErr w:type="spellEnd"/>
      <w:r>
        <w:rPr>
          <w:rFonts w:ascii="Arial" w:hAnsi="Arial" w:cs="Arial"/>
          <w:sz w:val="24"/>
          <w:szCs w:val="24"/>
        </w:rPr>
        <w:t xml:space="preserve"> v IBC Vehicles (2008)</w:t>
      </w:r>
      <w:r w:rsidR="005900CF">
        <w:rPr>
          <w:rFonts w:ascii="Arial" w:hAnsi="Arial" w:cs="Arial"/>
          <w:sz w:val="24"/>
          <w:szCs w:val="24"/>
        </w:rPr>
        <w:t xml:space="preserve">. </w:t>
      </w:r>
      <w:r w:rsidR="00AA5FF0">
        <w:rPr>
          <w:rFonts w:ascii="Arial" w:hAnsi="Arial" w:cs="Arial"/>
          <w:sz w:val="24"/>
          <w:szCs w:val="24"/>
        </w:rPr>
        <w:t xml:space="preserve">In </w:t>
      </w:r>
      <w:proofErr w:type="spellStart"/>
      <w:r w:rsidR="00AA5FF0">
        <w:rPr>
          <w:rFonts w:ascii="Arial" w:hAnsi="Arial" w:cs="Arial"/>
          <w:sz w:val="24"/>
          <w:szCs w:val="24"/>
        </w:rPr>
        <w:t>Corr</w:t>
      </w:r>
      <w:proofErr w:type="spellEnd"/>
      <w:r w:rsidR="00AA5FF0">
        <w:rPr>
          <w:rFonts w:ascii="Arial" w:hAnsi="Arial" w:cs="Arial"/>
          <w:sz w:val="24"/>
          <w:szCs w:val="24"/>
        </w:rPr>
        <w:t xml:space="preserve"> v IBC Vehicles, the claimant suffered head injuries whilst working for the defendant (IBC) that came as a result of a malfunctioning piece of machinery that he was operating, six years after this incident </w:t>
      </w:r>
      <w:r w:rsidR="00FE39DD">
        <w:rPr>
          <w:rFonts w:ascii="Arial" w:hAnsi="Arial" w:cs="Arial"/>
          <w:sz w:val="24"/>
          <w:szCs w:val="24"/>
        </w:rPr>
        <w:t xml:space="preserve">Mr. </w:t>
      </w:r>
      <w:proofErr w:type="spellStart"/>
      <w:r w:rsidR="00FE39DD">
        <w:rPr>
          <w:rFonts w:ascii="Arial" w:hAnsi="Arial" w:cs="Arial"/>
          <w:sz w:val="24"/>
          <w:szCs w:val="24"/>
        </w:rPr>
        <w:t>Corr</w:t>
      </w:r>
      <w:proofErr w:type="spellEnd"/>
      <w:r w:rsidR="00FE39DD">
        <w:rPr>
          <w:rFonts w:ascii="Arial" w:hAnsi="Arial" w:cs="Arial"/>
          <w:sz w:val="24"/>
          <w:szCs w:val="24"/>
        </w:rPr>
        <w:t xml:space="preserve"> committed suicide. The court</w:t>
      </w:r>
      <w:r w:rsidR="008307DC">
        <w:rPr>
          <w:rFonts w:ascii="Arial" w:hAnsi="Arial" w:cs="Arial"/>
          <w:sz w:val="24"/>
          <w:szCs w:val="24"/>
        </w:rPr>
        <w:t xml:space="preserve"> (House of lords)</w:t>
      </w:r>
      <w:r w:rsidR="00FE39DD">
        <w:rPr>
          <w:rFonts w:ascii="Arial" w:hAnsi="Arial" w:cs="Arial"/>
          <w:sz w:val="24"/>
          <w:szCs w:val="24"/>
        </w:rPr>
        <w:t xml:space="preserve"> ruled that</w:t>
      </w:r>
      <w:r w:rsidR="008307DC">
        <w:rPr>
          <w:rFonts w:ascii="Arial" w:hAnsi="Arial" w:cs="Arial"/>
          <w:sz w:val="24"/>
          <w:szCs w:val="24"/>
        </w:rPr>
        <w:t xml:space="preserve"> it was a foreseeable consequence that</w:t>
      </w:r>
      <w:r w:rsidR="00FE39DD">
        <w:rPr>
          <w:rFonts w:ascii="Arial" w:hAnsi="Arial" w:cs="Arial"/>
          <w:sz w:val="24"/>
          <w:szCs w:val="24"/>
        </w:rPr>
        <w:t xml:space="preserve"> Mr. </w:t>
      </w:r>
      <w:proofErr w:type="spellStart"/>
      <w:r w:rsidR="00FE39DD">
        <w:rPr>
          <w:rFonts w:ascii="Arial" w:hAnsi="Arial" w:cs="Arial"/>
          <w:sz w:val="24"/>
          <w:szCs w:val="24"/>
        </w:rPr>
        <w:t>Corr</w:t>
      </w:r>
      <w:proofErr w:type="spellEnd"/>
      <w:r w:rsidR="00FE39DD">
        <w:rPr>
          <w:rFonts w:ascii="Arial" w:hAnsi="Arial" w:cs="Arial"/>
          <w:sz w:val="24"/>
          <w:szCs w:val="24"/>
        </w:rPr>
        <w:t xml:space="preserve"> ended his life after suffering with depression and PTSD due to the incident and IBC vehicles had breached the duty of care as an employer</w:t>
      </w:r>
      <w:r w:rsidR="001D4615">
        <w:rPr>
          <w:rFonts w:ascii="Arial" w:hAnsi="Arial" w:cs="Arial"/>
          <w:sz w:val="24"/>
          <w:szCs w:val="24"/>
        </w:rPr>
        <w:t xml:space="preserve">, therefore </w:t>
      </w:r>
      <w:r w:rsidR="008307DC">
        <w:rPr>
          <w:rFonts w:ascii="Arial" w:hAnsi="Arial" w:cs="Arial"/>
          <w:sz w:val="24"/>
          <w:szCs w:val="24"/>
        </w:rPr>
        <w:t xml:space="preserve">IBC were liable for negligence. </w:t>
      </w:r>
      <w:r w:rsidR="0060704A">
        <w:rPr>
          <w:rFonts w:ascii="Arial" w:hAnsi="Arial" w:cs="Arial"/>
          <w:sz w:val="24"/>
          <w:szCs w:val="24"/>
        </w:rPr>
        <w:t xml:space="preserve">In order for the verdict of the case to be reached in the house of lords, it first had to go through the court of appeal as originally, the court accepted the defence of IBC that it couldn’t be proved the incident led to Mr. </w:t>
      </w:r>
      <w:proofErr w:type="spellStart"/>
      <w:r w:rsidR="0060704A">
        <w:rPr>
          <w:rFonts w:ascii="Arial" w:hAnsi="Arial" w:cs="Arial"/>
          <w:sz w:val="24"/>
          <w:szCs w:val="24"/>
        </w:rPr>
        <w:t>Corr’s</w:t>
      </w:r>
      <w:proofErr w:type="spellEnd"/>
      <w:r w:rsidR="0060704A">
        <w:rPr>
          <w:rFonts w:ascii="Arial" w:hAnsi="Arial" w:cs="Arial"/>
          <w:sz w:val="24"/>
          <w:szCs w:val="24"/>
        </w:rPr>
        <w:t xml:space="preserve"> suicide. Ultimately, IBC Vehicles Ltd. did acknowledge that there was a breach of a duty of care in regards to their responsibility in </w:t>
      </w:r>
      <w:proofErr w:type="spellStart"/>
      <w:r w:rsidR="0060704A">
        <w:rPr>
          <w:rFonts w:ascii="Arial" w:hAnsi="Arial" w:cs="Arial"/>
          <w:sz w:val="24"/>
          <w:szCs w:val="24"/>
        </w:rPr>
        <w:t>Corr’s</w:t>
      </w:r>
      <w:proofErr w:type="spellEnd"/>
      <w:r w:rsidR="0060704A">
        <w:rPr>
          <w:rFonts w:ascii="Arial" w:hAnsi="Arial" w:cs="Arial"/>
          <w:sz w:val="24"/>
          <w:szCs w:val="24"/>
        </w:rPr>
        <w:t xml:space="preserve"> accident, however disputed having liability in his suicide. </w:t>
      </w:r>
      <w:r w:rsidR="00797F61">
        <w:rPr>
          <w:rFonts w:ascii="Arial" w:hAnsi="Arial" w:cs="Arial"/>
          <w:sz w:val="24"/>
          <w:szCs w:val="24"/>
        </w:rPr>
        <w:t xml:space="preserve">Expanding on this case, it is interesting to note that the court reached this verdict because it was ruled that </w:t>
      </w:r>
      <w:proofErr w:type="spellStart"/>
      <w:r w:rsidR="00797F61">
        <w:rPr>
          <w:rFonts w:ascii="Arial" w:hAnsi="Arial" w:cs="Arial"/>
          <w:sz w:val="24"/>
          <w:szCs w:val="24"/>
        </w:rPr>
        <w:t>Corr</w:t>
      </w:r>
      <w:proofErr w:type="spellEnd"/>
      <w:r w:rsidR="00797F61">
        <w:rPr>
          <w:rFonts w:ascii="Arial" w:hAnsi="Arial" w:cs="Arial"/>
          <w:sz w:val="24"/>
          <w:szCs w:val="24"/>
        </w:rPr>
        <w:t xml:space="preserve"> committing suicide was foreseeable after these events and his mental health, therefore making IBC liable. </w:t>
      </w:r>
    </w:p>
    <w:p w14:paraId="4B536B3B" w14:textId="505798BB" w:rsidR="007512CD" w:rsidRDefault="007512CD" w:rsidP="000E7F03">
      <w:pPr>
        <w:spacing w:line="480" w:lineRule="auto"/>
        <w:rPr>
          <w:rFonts w:ascii="Arial" w:hAnsi="Arial" w:cs="Arial"/>
          <w:sz w:val="24"/>
          <w:szCs w:val="24"/>
        </w:rPr>
      </w:pPr>
      <w:r>
        <w:rPr>
          <w:rFonts w:ascii="Arial" w:hAnsi="Arial" w:cs="Arial"/>
          <w:sz w:val="24"/>
          <w:szCs w:val="24"/>
        </w:rPr>
        <w:t xml:space="preserve">There </w:t>
      </w:r>
      <w:r w:rsidR="00A65DA9">
        <w:rPr>
          <w:rFonts w:ascii="Arial" w:hAnsi="Arial" w:cs="Arial"/>
          <w:sz w:val="24"/>
          <w:szCs w:val="24"/>
        </w:rPr>
        <w:t xml:space="preserve">is criticism </w:t>
      </w:r>
      <w:r>
        <w:rPr>
          <w:rFonts w:ascii="Arial" w:hAnsi="Arial" w:cs="Arial"/>
          <w:sz w:val="24"/>
          <w:szCs w:val="24"/>
        </w:rPr>
        <w:t>of</w:t>
      </w:r>
      <w:r w:rsidR="000E7F03">
        <w:rPr>
          <w:rFonts w:ascii="Arial" w:hAnsi="Arial" w:cs="Arial"/>
          <w:sz w:val="24"/>
          <w:szCs w:val="24"/>
        </w:rPr>
        <w:t xml:space="preserve"> the current conditions that constitute causation, which as has been displayed </w:t>
      </w:r>
      <w:r>
        <w:rPr>
          <w:rFonts w:ascii="Arial" w:hAnsi="Arial" w:cs="Arial"/>
          <w:sz w:val="24"/>
          <w:szCs w:val="24"/>
        </w:rPr>
        <w:t>is</w:t>
      </w:r>
      <w:r w:rsidR="000E7F03">
        <w:rPr>
          <w:rFonts w:ascii="Arial" w:hAnsi="Arial" w:cs="Arial"/>
          <w:sz w:val="24"/>
          <w:szCs w:val="24"/>
        </w:rPr>
        <w:t xml:space="preserve"> significant in rulings in previous cases discussed,</w:t>
      </w:r>
      <w:r>
        <w:rPr>
          <w:rFonts w:ascii="Arial" w:hAnsi="Arial" w:cs="Arial"/>
          <w:sz w:val="24"/>
          <w:szCs w:val="24"/>
        </w:rPr>
        <w:t xml:space="preserve"> Norrie (1991),</w:t>
      </w:r>
      <w:r w:rsidR="000E7F03">
        <w:rPr>
          <w:rFonts w:ascii="Arial" w:hAnsi="Arial" w:cs="Arial"/>
          <w:sz w:val="24"/>
          <w:szCs w:val="24"/>
        </w:rPr>
        <w:t xml:space="preserve"> </w:t>
      </w:r>
      <w:r w:rsidR="00AB4678">
        <w:rPr>
          <w:rFonts w:ascii="Arial" w:hAnsi="Arial" w:cs="Arial"/>
          <w:sz w:val="24"/>
          <w:szCs w:val="24"/>
        </w:rPr>
        <w:t xml:space="preserve">argues that the Law Commission’s analysis of causation </w:t>
      </w:r>
      <w:r w:rsidR="00A65DA9">
        <w:rPr>
          <w:rFonts w:ascii="Arial" w:hAnsi="Arial" w:cs="Arial"/>
          <w:sz w:val="24"/>
          <w:szCs w:val="24"/>
        </w:rPr>
        <w:t xml:space="preserve">only “succeeds in </w:t>
      </w:r>
      <w:r w:rsidR="00A65DA9">
        <w:rPr>
          <w:rFonts w:ascii="Arial" w:hAnsi="Arial" w:cs="Arial"/>
          <w:sz w:val="24"/>
          <w:szCs w:val="24"/>
        </w:rPr>
        <w:lastRenderedPageBreak/>
        <w:t>replicating it’s confusions.”</w:t>
      </w:r>
      <w:r w:rsidR="000E7F03">
        <w:rPr>
          <w:rFonts w:ascii="Arial" w:hAnsi="Arial" w:cs="Arial"/>
          <w:sz w:val="24"/>
          <w:szCs w:val="24"/>
        </w:rPr>
        <w:t xml:space="preserve">, whilst Norrie largely focuses on criminal law, this statement can be applied to tort law, as proved in </w:t>
      </w:r>
      <w:proofErr w:type="spellStart"/>
      <w:r w:rsidR="000E7F03">
        <w:rPr>
          <w:rFonts w:ascii="Arial" w:hAnsi="Arial" w:cs="Arial"/>
          <w:sz w:val="24"/>
          <w:szCs w:val="24"/>
        </w:rPr>
        <w:t>Corr</w:t>
      </w:r>
      <w:proofErr w:type="spellEnd"/>
      <w:r w:rsidR="000E7F03">
        <w:rPr>
          <w:rFonts w:ascii="Arial" w:hAnsi="Arial" w:cs="Arial"/>
          <w:sz w:val="24"/>
          <w:szCs w:val="24"/>
        </w:rPr>
        <w:t xml:space="preserve"> v IBC where confusion arose over the use of the test for causation. </w:t>
      </w:r>
    </w:p>
    <w:p w14:paraId="785B139F" w14:textId="34877DEB" w:rsidR="000E7F03" w:rsidRDefault="001B4B51" w:rsidP="000E7F03">
      <w:pPr>
        <w:spacing w:line="480" w:lineRule="auto"/>
        <w:rPr>
          <w:rFonts w:ascii="Arial" w:hAnsi="Arial" w:cs="Arial"/>
          <w:sz w:val="24"/>
          <w:szCs w:val="24"/>
        </w:rPr>
      </w:pPr>
      <w:r>
        <w:rPr>
          <w:rFonts w:ascii="Arial" w:hAnsi="Arial" w:cs="Arial"/>
          <w:sz w:val="24"/>
          <w:szCs w:val="24"/>
        </w:rPr>
        <w:t xml:space="preserve">To conclude this analysis, it is important to recap what has already been discussed and the significance of this. </w:t>
      </w:r>
      <w:r w:rsidR="00DC5DC3">
        <w:rPr>
          <w:rFonts w:ascii="Arial" w:hAnsi="Arial" w:cs="Arial"/>
          <w:sz w:val="24"/>
          <w:szCs w:val="24"/>
        </w:rPr>
        <w:t xml:space="preserve">The definition of causation has been established and the test for causation can be found. Novus actus interveniens has also been defined as a ‘new intervening act’ that breaks the chain of causation. </w:t>
      </w:r>
      <w:r w:rsidR="00A24194">
        <w:rPr>
          <w:rFonts w:ascii="Arial" w:hAnsi="Arial" w:cs="Arial"/>
          <w:sz w:val="24"/>
          <w:szCs w:val="24"/>
        </w:rPr>
        <w:t xml:space="preserve">It has previously been shown the actions of the claimants in cases has resulted in them being unsuccessful against claimants due to a </w:t>
      </w:r>
      <w:proofErr w:type="spellStart"/>
      <w:r w:rsidR="00A24194">
        <w:rPr>
          <w:rFonts w:ascii="Arial" w:hAnsi="Arial" w:cs="Arial"/>
          <w:sz w:val="24"/>
          <w:szCs w:val="24"/>
        </w:rPr>
        <w:t>novus</w:t>
      </w:r>
      <w:proofErr w:type="spellEnd"/>
      <w:r w:rsidR="00A24194">
        <w:rPr>
          <w:rFonts w:ascii="Arial" w:hAnsi="Arial" w:cs="Arial"/>
          <w:sz w:val="24"/>
          <w:szCs w:val="24"/>
        </w:rPr>
        <w:t xml:space="preserve"> actus interveniens or break in the chain of causation. For example, in the case of </w:t>
      </w:r>
      <w:r w:rsidR="00A24194" w:rsidRPr="00A24194">
        <w:rPr>
          <w:rFonts w:ascii="Arial" w:hAnsi="Arial" w:cs="Arial"/>
          <w:bCs/>
          <w:i/>
          <w:iCs/>
          <w:sz w:val="24"/>
          <w:szCs w:val="24"/>
        </w:rPr>
        <w:t xml:space="preserve">McKew v Holland &amp; </w:t>
      </w:r>
      <w:proofErr w:type="spellStart"/>
      <w:r w:rsidR="00A24194" w:rsidRPr="00A24194">
        <w:rPr>
          <w:rFonts w:ascii="Arial" w:hAnsi="Arial" w:cs="Arial"/>
          <w:bCs/>
          <w:i/>
          <w:iCs/>
          <w:sz w:val="24"/>
          <w:szCs w:val="24"/>
        </w:rPr>
        <w:t>Hannen</w:t>
      </w:r>
      <w:proofErr w:type="spellEnd"/>
      <w:r w:rsidR="00A24194" w:rsidRPr="00A24194">
        <w:rPr>
          <w:rFonts w:ascii="Arial" w:hAnsi="Arial" w:cs="Arial"/>
          <w:bCs/>
          <w:i/>
          <w:iCs/>
          <w:sz w:val="24"/>
          <w:szCs w:val="24"/>
        </w:rPr>
        <w:t xml:space="preserve"> &amp; </w:t>
      </w:r>
      <w:proofErr w:type="spellStart"/>
      <w:r w:rsidR="00A24194" w:rsidRPr="00A24194">
        <w:rPr>
          <w:rFonts w:ascii="Arial" w:hAnsi="Arial" w:cs="Arial"/>
          <w:bCs/>
          <w:i/>
          <w:iCs/>
          <w:sz w:val="24"/>
          <w:szCs w:val="24"/>
        </w:rPr>
        <w:t>Cubitts</w:t>
      </w:r>
      <w:proofErr w:type="spellEnd"/>
      <w:r w:rsidR="00A24194" w:rsidRPr="00A24194">
        <w:rPr>
          <w:rFonts w:ascii="Arial" w:hAnsi="Arial" w:cs="Arial"/>
          <w:bCs/>
          <w:i/>
          <w:iCs/>
          <w:sz w:val="24"/>
          <w:szCs w:val="24"/>
        </w:rPr>
        <w:t xml:space="preserve"> (Scotland) Ltd (1969)</w:t>
      </w:r>
      <w:r w:rsidR="00A24194">
        <w:rPr>
          <w:rFonts w:ascii="Arial" w:hAnsi="Arial" w:cs="Arial"/>
          <w:sz w:val="24"/>
          <w:szCs w:val="24"/>
        </w:rPr>
        <w:t>,</w:t>
      </w:r>
      <w:r w:rsidR="004C59B1">
        <w:rPr>
          <w:rFonts w:ascii="Arial" w:hAnsi="Arial" w:cs="Arial"/>
          <w:sz w:val="24"/>
          <w:szCs w:val="24"/>
        </w:rPr>
        <w:t xml:space="preserve"> there was a </w:t>
      </w:r>
      <w:proofErr w:type="spellStart"/>
      <w:r w:rsidR="004C59B1">
        <w:rPr>
          <w:rFonts w:ascii="Arial" w:hAnsi="Arial" w:cs="Arial"/>
          <w:sz w:val="24"/>
          <w:szCs w:val="24"/>
        </w:rPr>
        <w:t>novus</w:t>
      </w:r>
      <w:proofErr w:type="spellEnd"/>
      <w:r w:rsidR="004C59B1">
        <w:rPr>
          <w:rFonts w:ascii="Arial" w:hAnsi="Arial" w:cs="Arial"/>
          <w:sz w:val="24"/>
          <w:szCs w:val="24"/>
        </w:rPr>
        <w:t xml:space="preserve"> actus interveniens that took place where the defendant took a risk that was unforeseeable that worsened his injury therefore the court ruled that the defendant was not liable. </w:t>
      </w:r>
      <w:r w:rsidR="00C61F73">
        <w:rPr>
          <w:rFonts w:ascii="Arial" w:hAnsi="Arial" w:cs="Arial"/>
          <w:sz w:val="24"/>
          <w:szCs w:val="24"/>
        </w:rPr>
        <w:t xml:space="preserve">Additionally, </w:t>
      </w:r>
      <w:proofErr w:type="spellStart"/>
      <w:r w:rsidR="00C61F73">
        <w:rPr>
          <w:rFonts w:ascii="Arial" w:hAnsi="Arial" w:cs="Arial"/>
          <w:sz w:val="24"/>
          <w:szCs w:val="24"/>
        </w:rPr>
        <w:t>Corr</w:t>
      </w:r>
      <w:proofErr w:type="spellEnd"/>
      <w:r w:rsidR="00C61F73">
        <w:rPr>
          <w:rFonts w:ascii="Arial" w:hAnsi="Arial" w:cs="Arial"/>
          <w:sz w:val="24"/>
          <w:szCs w:val="24"/>
        </w:rPr>
        <w:t xml:space="preserve"> v IBC revealed foreseeable circumstances can contribute towards a ruling and also the significance and meaning of the ‘duty of care’ principle. </w:t>
      </w:r>
      <w:r w:rsidR="00B639E3">
        <w:rPr>
          <w:rFonts w:ascii="Arial" w:hAnsi="Arial" w:cs="Arial"/>
          <w:sz w:val="24"/>
          <w:szCs w:val="24"/>
        </w:rPr>
        <w:t xml:space="preserve">After examining these cases and looking at causation and other key principles, an observation is that the impact that circumstances have on a defendant’s liability differ on a case-to-case basis and the test for causation cannot be applied to every case because there are exceptions to the rule, which was seen in </w:t>
      </w:r>
      <w:r w:rsidR="00B639E3" w:rsidRPr="00CC6FE5">
        <w:rPr>
          <w:rFonts w:ascii="Arial" w:hAnsi="Arial" w:cs="Arial"/>
          <w:bCs/>
          <w:i/>
          <w:iCs/>
          <w:sz w:val="24"/>
          <w:szCs w:val="24"/>
        </w:rPr>
        <w:t>Jobling v Associated Dairies Ltd (1981</w:t>
      </w:r>
      <w:r w:rsidR="00B639E3">
        <w:rPr>
          <w:rFonts w:ascii="Arial" w:hAnsi="Arial" w:cs="Arial"/>
          <w:bCs/>
          <w:i/>
          <w:iCs/>
          <w:sz w:val="24"/>
          <w:szCs w:val="24"/>
        </w:rPr>
        <w:t>)</w:t>
      </w:r>
      <w:r w:rsidR="00B639E3">
        <w:rPr>
          <w:rFonts w:ascii="Arial" w:hAnsi="Arial" w:cs="Arial"/>
          <w:bCs/>
          <w:i/>
          <w:iCs/>
          <w:sz w:val="24"/>
          <w:szCs w:val="24"/>
        </w:rPr>
        <w:t xml:space="preserve"> </w:t>
      </w:r>
      <w:r w:rsidR="00BB58DF">
        <w:rPr>
          <w:rFonts w:ascii="Arial" w:hAnsi="Arial" w:cs="Arial"/>
          <w:bCs/>
          <w:sz w:val="24"/>
          <w:szCs w:val="24"/>
        </w:rPr>
        <w:t xml:space="preserve">where this exact observation was made by the court when making a decision. </w:t>
      </w:r>
      <w:r w:rsidR="0018114F">
        <w:rPr>
          <w:rFonts w:ascii="Arial" w:hAnsi="Arial" w:cs="Arial"/>
          <w:bCs/>
          <w:sz w:val="24"/>
          <w:szCs w:val="24"/>
        </w:rPr>
        <w:t xml:space="preserve">Lastly, the case law that is has been discussed relevant to causation and the issues that causation surrounds is vast, however </w:t>
      </w:r>
      <w:r w:rsidR="00F5466C">
        <w:rPr>
          <w:rFonts w:ascii="Arial" w:hAnsi="Arial" w:cs="Arial"/>
          <w:bCs/>
          <w:sz w:val="24"/>
          <w:szCs w:val="24"/>
        </w:rPr>
        <w:t xml:space="preserve">there should be caution taken applying the test for causation as seen in </w:t>
      </w:r>
      <w:r w:rsidR="00F5466C" w:rsidRPr="00CC6FE5">
        <w:rPr>
          <w:rFonts w:ascii="Arial" w:hAnsi="Arial" w:cs="Arial"/>
          <w:bCs/>
          <w:i/>
          <w:iCs/>
          <w:sz w:val="24"/>
          <w:szCs w:val="24"/>
        </w:rPr>
        <w:t>Jobling v Associated Dairies Ltd</w:t>
      </w:r>
      <w:r w:rsidR="00F5466C">
        <w:rPr>
          <w:rFonts w:ascii="Arial" w:hAnsi="Arial" w:cs="Arial"/>
          <w:bCs/>
          <w:i/>
          <w:iCs/>
          <w:sz w:val="24"/>
          <w:szCs w:val="24"/>
        </w:rPr>
        <w:t xml:space="preserve"> </w:t>
      </w:r>
      <w:r w:rsidR="00F5466C">
        <w:rPr>
          <w:rFonts w:ascii="Arial" w:hAnsi="Arial" w:cs="Arial"/>
          <w:bCs/>
          <w:sz w:val="24"/>
          <w:szCs w:val="24"/>
        </w:rPr>
        <w:t xml:space="preserve">where the court criticised the use of it here, and also the critique of </w:t>
      </w:r>
      <w:r w:rsidR="00775658">
        <w:rPr>
          <w:rFonts w:ascii="Arial" w:hAnsi="Arial" w:cs="Arial"/>
          <w:bCs/>
          <w:sz w:val="24"/>
          <w:szCs w:val="24"/>
        </w:rPr>
        <w:t>the rules of causation</w:t>
      </w:r>
      <w:r w:rsidR="00F5466C">
        <w:rPr>
          <w:rFonts w:ascii="Arial" w:hAnsi="Arial" w:cs="Arial"/>
          <w:bCs/>
          <w:sz w:val="24"/>
          <w:szCs w:val="24"/>
        </w:rPr>
        <w:t xml:space="preserve"> by Norrie (1991) as previously mentioned should be taken into account. </w:t>
      </w:r>
    </w:p>
    <w:p w14:paraId="58C96356" w14:textId="77777777" w:rsidR="000E7F03" w:rsidRDefault="000E7F03" w:rsidP="004657A8">
      <w:pPr>
        <w:rPr>
          <w:rFonts w:ascii="Arial" w:hAnsi="Arial" w:cs="Arial"/>
          <w:sz w:val="24"/>
          <w:szCs w:val="24"/>
        </w:rPr>
      </w:pPr>
    </w:p>
    <w:p w14:paraId="0AE34ACF" w14:textId="77777777" w:rsidR="000E7F03" w:rsidRDefault="000E7F03" w:rsidP="004657A8">
      <w:pPr>
        <w:rPr>
          <w:rFonts w:ascii="Arial" w:hAnsi="Arial" w:cs="Arial"/>
          <w:sz w:val="24"/>
          <w:szCs w:val="24"/>
        </w:rPr>
      </w:pPr>
    </w:p>
    <w:p w14:paraId="05BDA40D" w14:textId="77777777" w:rsidR="000E7F03" w:rsidRDefault="000E7F03" w:rsidP="004657A8">
      <w:pPr>
        <w:rPr>
          <w:rFonts w:ascii="Arial" w:hAnsi="Arial" w:cs="Arial"/>
          <w:sz w:val="24"/>
          <w:szCs w:val="24"/>
        </w:rPr>
      </w:pPr>
    </w:p>
    <w:p w14:paraId="7D381A5C" w14:textId="77777777" w:rsidR="000E7F03" w:rsidRDefault="000E7F03" w:rsidP="004657A8">
      <w:pPr>
        <w:rPr>
          <w:rFonts w:ascii="Arial" w:hAnsi="Arial" w:cs="Arial"/>
          <w:sz w:val="24"/>
          <w:szCs w:val="24"/>
        </w:rPr>
      </w:pPr>
    </w:p>
    <w:p w14:paraId="0D0BBC4C" w14:textId="77777777" w:rsidR="000E7F03" w:rsidRDefault="000E7F03" w:rsidP="004657A8">
      <w:pPr>
        <w:rPr>
          <w:rFonts w:ascii="Arial" w:hAnsi="Arial" w:cs="Arial"/>
          <w:sz w:val="24"/>
          <w:szCs w:val="24"/>
        </w:rPr>
      </w:pPr>
    </w:p>
    <w:p w14:paraId="6F5560D8" w14:textId="77777777" w:rsidR="000E7F03" w:rsidRDefault="000E7F03" w:rsidP="004657A8">
      <w:pPr>
        <w:rPr>
          <w:rFonts w:ascii="Arial" w:hAnsi="Arial" w:cs="Arial"/>
          <w:sz w:val="24"/>
          <w:szCs w:val="24"/>
          <w:u w:val="single"/>
        </w:rPr>
      </w:pPr>
    </w:p>
    <w:p w14:paraId="46985429" w14:textId="77777777" w:rsidR="000E7F03" w:rsidRDefault="000E7F03" w:rsidP="004657A8">
      <w:pPr>
        <w:rPr>
          <w:rFonts w:ascii="Arial" w:hAnsi="Arial" w:cs="Arial"/>
          <w:sz w:val="24"/>
          <w:szCs w:val="24"/>
          <w:u w:val="single"/>
        </w:rPr>
      </w:pPr>
    </w:p>
    <w:p w14:paraId="5549B679" w14:textId="77777777" w:rsidR="000E7F03" w:rsidRDefault="000E7F03" w:rsidP="004657A8">
      <w:pPr>
        <w:rPr>
          <w:rFonts w:ascii="Arial" w:hAnsi="Arial" w:cs="Arial"/>
          <w:sz w:val="24"/>
          <w:szCs w:val="24"/>
          <w:u w:val="single"/>
        </w:rPr>
      </w:pPr>
    </w:p>
    <w:p w14:paraId="3F2B1794" w14:textId="111A07E9" w:rsidR="004657A8" w:rsidRDefault="004657A8" w:rsidP="004657A8">
      <w:pPr>
        <w:rPr>
          <w:rFonts w:ascii="Arial" w:hAnsi="Arial" w:cs="Arial"/>
          <w:sz w:val="24"/>
          <w:szCs w:val="24"/>
          <w:u w:val="single"/>
        </w:rPr>
      </w:pPr>
      <w:r>
        <w:rPr>
          <w:rFonts w:ascii="Arial" w:hAnsi="Arial" w:cs="Arial"/>
          <w:sz w:val="24"/>
          <w:szCs w:val="24"/>
          <w:u w:val="single"/>
        </w:rPr>
        <w:t>Reference List</w:t>
      </w:r>
    </w:p>
    <w:p w14:paraId="6BE7CADC" w14:textId="77777777" w:rsidR="00314D81" w:rsidRDefault="00314D81" w:rsidP="00314D81">
      <w:pPr>
        <w:rPr>
          <w:rFonts w:ascii="Arial" w:hAnsi="Arial" w:cs="Arial"/>
          <w:color w:val="000000"/>
          <w:sz w:val="24"/>
          <w:szCs w:val="24"/>
        </w:rPr>
      </w:pPr>
      <w:proofErr w:type="spellStart"/>
      <w:r w:rsidRPr="00402935">
        <w:rPr>
          <w:rFonts w:ascii="Arial" w:hAnsi="Arial" w:cs="Arial"/>
          <w:color w:val="000000"/>
          <w:sz w:val="24"/>
          <w:szCs w:val="24"/>
        </w:rPr>
        <w:t>Hopcraft</w:t>
      </w:r>
      <w:proofErr w:type="spellEnd"/>
      <w:r w:rsidRPr="00402935">
        <w:rPr>
          <w:rFonts w:ascii="Arial" w:hAnsi="Arial" w:cs="Arial"/>
          <w:color w:val="000000"/>
          <w:sz w:val="24"/>
          <w:szCs w:val="24"/>
        </w:rPr>
        <w:t>, S. (2020). </w:t>
      </w:r>
      <w:r w:rsidRPr="00402935">
        <w:rPr>
          <w:rFonts w:ascii="Arial" w:hAnsi="Arial" w:cs="Arial"/>
          <w:i/>
          <w:iCs/>
          <w:color w:val="000000"/>
          <w:sz w:val="24"/>
          <w:szCs w:val="24"/>
        </w:rPr>
        <w:t>What is the definition of negligence?.</w:t>
      </w:r>
      <w:r w:rsidRPr="00402935">
        <w:rPr>
          <w:rFonts w:ascii="Arial" w:hAnsi="Arial" w:cs="Arial"/>
          <w:color w:val="000000"/>
          <w:sz w:val="24"/>
          <w:szCs w:val="24"/>
        </w:rPr>
        <w:t> Available: https://www.wrighthassall.co.uk/knowledge-base/what-is-the-definition-of-negligence. Last accessed 1st November 2020.</w:t>
      </w:r>
    </w:p>
    <w:p w14:paraId="2EAE3303" w14:textId="77777777" w:rsidR="00314D81" w:rsidRPr="000E7F03" w:rsidRDefault="00314D81" w:rsidP="004657A8">
      <w:pPr>
        <w:rPr>
          <w:rFonts w:ascii="Arial" w:hAnsi="Arial" w:cs="Arial"/>
          <w:sz w:val="24"/>
          <w:szCs w:val="24"/>
        </w:rPr>
      </w:pPr>
    </w:p>
    <w:p w14:paraId="0EEB8057" w14:textId="61ED049B" w:rsidR="00314D81" w:rsidRDefault="004657A8" w:rsidP="004657A8">
      <w:pPr>
        <w:rPr>
          <w:rFonts w:ascii="Arial" w:hAnsi="Arial" w:cs="Arial"/>
          <w:sz w:val="24"/>
          <w:szCs w:val="24"/>
        </w:rPr>
      </w:pPr>
      <w:r w:rsidRPr="00A05629">
        <w:rPr>
          <w:rFonts w:ascii="Arial" w:hAnsi="Arial" w:cs="Arial"/>
          <w:sz w:val="24"/>
          <w:szCs w:val="24"/>
        </w:rPr>
        <w:t>Law, J. (2009). A Dictionary of Law.</w:t>
      </w:r>
      <w:r>
        <w:rPr>
          <w:rFonts w:ascii="Arial" w:hAnsi="Arial" w:cs="Arial"/>
          <w:sz w:val="24"/>
          <w:szCs w:val="24"/>
        </w:rPr>
        <w:t xml:space="preserve"> 7</w:t>
      </w:r>
      <w:r w:rsidRPr="00DD07F6">
        <w:rPr>
          <w:rFonts w:ascii="Arial" w:hAnsi="Arial" w:cs="Arial"/>
          <w:sz w:val="24"/>
          <w:szCs w:val="24"/>
          <w:vertAlign w:val="superscript"/>
        </w:rPr>
        <w:t>th</w:t>
      </w:r>
      <w:r>
        <w:rPr>
          <w:rFonts w:ascii="Arial" w:hAnsi="Arial" w:cs="Arial"/>
          <w:sz w:val="24"/>
          <w:szCs w:val="24"/>
        </w:rPr>
        <w:t xml:space="preserve"> ed.</w:t>
      </w:r>
      <w:r w:rsidRPr="00A05629">
        <w:rPr>
          <w:rFonts w:ascii="Arial" w:hAnsi="Arial" w:cs="Arial"/>
          <w:sz w:val="24"/>
          <w:szCs w:val="24"/>
        </w:rPr>
        <w:t xml:space="preserve"> Oxford: Oxford University Press. p140-141.</w:t>
      </w:r>
    </w:p>
    <w:p w14:paraId="5CD69F00" w14:textId="77777777" w:rsidR="00314D81" w:rsidRDefault="00314D81" w:rsidP="004657A8">
      <w:pPr>
        <w:rPr>
          <w:rFonts w:ascii="Arial" w:hAnsi="Arial" w:cs="Arial"/>
          <w:sz w:val="24"/>
          <w:szCs w:val="24"/>
        </w:rPr>
      </w:pPr>
    </w:p>
    <w:p w14:paraId="55614695" w14:textId="325BE15D" w:rsidR="00314D81" w:rsidRDefault="00314D81" w:rsidP="004657A8">
      <w:pPr>
        <w:rPr>
          <w:rFonts w:ascii="Arial" w:hAnsi="Arial" w:cs="Arial"/>
          <w:sz w:val="24"/>
          <w:szCs w:val="24"/>
        </w:rPr>
      </w:pPr>
      <w:r w:rsidRPr="00A05629">
        <w:rPr>
          <w:rFonts w:ascii="Arial" w:hAnsi="Arial" w:cs="Arial"/>
          <w:sz w:val="24"/>
          <w:szCs w:val="24"/>
        </w:rPr>
        <w:t>Law, J. (2009). A Dictionary of Law.</w:t>
      </w:r>
      <w:r>
        <w:rPr>
          <w:rFonts w:ascii="Arial" w:hAnsi="Arial" w:cs="Arial"/>
          <w:sz w:val="24"/>
          <w:szCs w:val="24"/>
        </w:rPr>
        <w:t xml:space="preserve"> 7</w:t>
      </w:r>
      <w:r w:rsidRPr="00DD07F6">
        <w:rPr>
          <w:rFonts w:ascii="Arial" w:hAnsi="Arial" w:cs="Arial"/>
          <w:sz w:val="24"/>
          <w:szCs w:val="24"/>
          <w:vertAlign w:val="superscript"/>
        </w:rPr>
        <w:t>th</w:t>
      </w:r>
      <w:r>
        <w:rPr>
          <w:rFonts w:ascii="Arial" w:hAnsi="Arial" w:cs="Arial"/>
          <w:sz w:val="24"/>
          <w:szCs w:val="24"/>
        </w:rPr>
        <w:t xml:space="preserve"> ed.</w:t>
      </w:r>
      <w:r w:rsidRPr="00A05629">
        <w:rPr>
          <w:rFonts w:ascii="Arial" w:hAnsi="Arial" w:cs="Arial"/>
          <w:sz w:val="24"/>
          <w:szCs w:val="24"/>
        </w:rPr>
        <w:t xml:space="preserve"> Oxford: Oxford University Press. P</w:t>
      </w:r>
      <w:r>
        <w:rPr>
          <w:rFonts w:ascii="Arial" w:hAnsi="Arial" w:cs="Arial"/>
          <w:sz w:val="24"/>
          <w:szCs w:val="24"/>
        </w:rPr>
        <w:t>28</w:t>
      </w:r>
      <w:r w:rsidRPr="00A05629">
        <w:rPr>
          <w:rFonts w:ascii="Arial" w:hAnsi="Arial" w:cs="Arial"/>
          <w:sz w:val="24"/>
          <w:szCs w:val="24"/>
        </w:rPr>
        <w:t>-</w:t>
      </w:r>
      <w:r>
        <w:rPr>
          <w:rFonts w:ascii="Arial" w:hAnsi="Arial" w:cs="Arial"/>
          <w:sz w:val="24"/>
          <w:szCs w:val="24"/>
        </w:rPr>
        <w:t>29</w:t>
      </w:r>
      <w:r w:rsidRPr="00A05629">
        <w:rPr>
          <w:rFonts w:ascii="Arial" w:hAnsi="Arial" w:cs="Arial"/>
          <w:sz w:val="24"/>
          <w:szCs w:val="24"/>
        </w:rPr>
        <w:t>.</w:t>
      </w:r>
    </w:p>
    <w:p w14:paraId="09E173E5" w14:textId="77777777" w:rsidR="00314D81" w:rsidRDefault="00314D81" w:rsidP="004657A8">
      <w:pPr>
        <w:rPr>
          <w:rFonts w:ascii="Arial" w:hAnsi="Arial" w:cs="Arial"/>
          <w:sz w:val="24"/>
          <w:szCs w:val="24"/>
        </w:rPr>
      </w:pPr>
    </w:p>
    <w:p w14:paraId="5C91FFB8" w14:textId="309AAC35" w:rsidR="00314D81" w:rsidRDefault="00314D81" w:rsidP="004657A8">
      <w:pPr>
        <w:rPr>
          <w:rFonts w:ascii="Arial" w:hAnsi="Arial" w:cs="Arial"/>
          <w:color w:val="000000"/>
          <w:sz w:val="24"/>
          <w:szCs w:val="24"/>
        </w:rPr>
      </w:pPr>
      <w:r w:rsidRPr="003E11D9">
        <w:rPr>
          <w:rFonts w:ascii="Arial" w:hAnsi="Arial" w:cs="Arial"/>
          <w:color w:val="000000"/>
          <w:sz w:val="24"/>
          <w:szCs w:val="24"/>
        </w:rPr>
        <w:t>Labour &amp; European Law Review. (2008). A Breach of Duty. </w:t>
      </w:r>
      <w:r w:rsidRPr="003E11D9">
        <w:rPr>
          <w:rFonts w:ascii="Arial" w:hAnsi="Arial" w:cs="Arial"/>
          <w:i/>
          <w:iCs/>
          <w:color w:val="000000"/>
          <w:sz w:val="24"/>
          <w:szCs w:val="24"/>
        </w:rPr>
        <w:t>Labour &amp; European Law Review </w:t>
      </w:r>
      <w:r w:rsidRPr="003E11D9">
        <w:rPr>
          <w:rFonts w:ascii="Arial" w:hAnsi="Arial" w:cs="Arial"/>
          <w:color w:val="000000"/>
          <w:sz w:val="24"/>
          <w:szCs w:val="24"/>
        </w:rPr>
        <w:t>. 61</w:t>
      </w:r>
      <w:r>
        <w:rPr>
          <w:rFonts w:ascii="Arial" w:hAnsi="Arial" w:cs="Arial"/>
          <w:color w:val="000000"/>
          <w:sz w:val="24"/>
          <w:szCs w:val="24"/>
        </w:rPr>
        <w:t>.</w:t>
      </w:r>
    </w:p>
    <w:p w14:paraId="38CD2D9E" w14:textId="77777777" w:rsidR="00314D81" w:rsidRDefault="00314D81" w:rsidP="004657A8">
      <w:pPr>
        <w:rPr>
          <w:rFonts w:ascii="Arial" w:hAnsi="Arial" w:cs="Arial"/>
          <w:color w:val="000000"/>
          <w:sz w:val="24"/>
          <w:szCs w:val="24"/>
        </w:rPr>
      </w:pPr>
    </w:p>
    <w:p w14:paraId="39D151B2" w14:textId="650FF3E4" w:rsidR="00314D81" w:rsidRDefault="00314D81" w:rsidP="004657A8">
      <w:pPr>
        <w:rPr>
          <w:rFonts w:ascii="Arial" w:hAnsi="Arial" w:cs="Arial"/>
          <w:color w:val="000000"/>
          <w:sz w:val="24"/>
          <w:szCs w:val="24"/>
        </w:rPr>
      </w:pPr>
      <w:r w:rsidRPr="00F6493C">
        <w:rPr>
          <w:rFonts w:ascii="Arial" w:hAnsi="Arial" w:cs="Arial"/>
          <w:color w:val="000000"/>
          <w:sz w:val="24"/>
          <w:szCs w:val="24"/>
        </w:rPr>
        <w:t>Lucid Law. (1970). </w:t>
      </w:r>
      <w:r w:rsidRPr="00F6493C">
        <w:rPr>
          <w:rFonts w:ascii="Arial" w:hAnsi="Arial" w:cs="Arial"/>
          <w:i/>
          <w:iCs/>
          <w:color w:val="000000"/>
          <w:sz w:val="24"/>
          <w:szCs w:val="24"/>
        </w:rPr>
        <w:t>Baker v Willoughby [1970] AC 467.</w:t>
      </w:r>
      <w:r w:rsidRPr="00F6493C">
        <w:rPr>
          <w:rFonts w:ascii="Arial" w:hAnsi="Arial" w:cs="Arial"/>
          <w:color w:val="000000"/>
          <w:sz w:val="24"/>
          <w:szCs w:val="24"/>
        </w:rPr>
        <w:t xml:space="preserve"> Available: </w:t>
      </w:r>
      <w:hyperlink r:id="rId4" w:history="1">
        <w:r w:rsidRPr="002B2278">
          <w:rPr>
            <w:rStyle w:val="Hyperlink"/>
            <w:rFonts w:ascii="Arial" w:hAnsi="Arial" w:cs="Arial"/>
            <w:sz w:val="24"/>
            <w:szCs w:val="24"/>
          </w:rPr>
          <w:t>https://lucidlaw.co.uk/tort-law/tort-of-negligence/causation/baker-v-willoughby/</w:t>
        </w:r>
      </w:hyperlink>
      <w:r w:rsidRPr="00F6493C">
        <w:rPr>
          <w:rFonts w:ascii="Arial" w:hAnsi="Arial" w:cs="Arial"/>
          <w:color w:val="000000"/>
          <w:sz w:val="24"/>
          <w:szCs w:val="24"/>
        </w:rPr>
        <w:t>.</w:t>
      </w:r>
      <w:r>
        <w:rPr>
          <w:rFonts w:ascii="Arial" w:hAnsi="Arial" w:cs="Arial"/>
          <w:color w:val="000000"/>
          <w:sz w:val="24"/>
          <w:szCs w:val="24"/>
        </w:rPr>
        <w:t xml:space="preserve"> </w:t>
      </w:r>
      <w:r w:rsidRPr="00F6493C">
        <w:rPr>
          <w:rFonts w:ascii="Arial" w:hAnsi="Arial" w:cs="Arial"/>
          <w:color w:val="000000"/>
          <w:sz w:val="24"/>
          <w:szCs w:val="24"/>
        </w:rPr>
        <w:t>Last accessed 18</w:t>
      </w:r>
      <w:r w:rsidR="0099607A" w:rsidRPr="0099607A">
        <w:rPr>
          <w:rFonts w:ascii="Arial" w:hAnsi="Arial" w:cs="Arial"/>
          <w:color w:val="000000"/>
          <w:sz w:val="24"/>
          <w:szCs w:val="24"/>
          <w:vertAlign w:val="superscript"/>
        </w:rPr>
        <w:t>th</w:t>
      </w:r>
      <w:r w:rsidR="0099607A">
        <w:rPr>
          <w:rFonts w:ascii="Arial" w:hAnsi="Arial" w:cs="Arial"/>
          <w:color w:val="000000"/>
          <w:sz w:val="24"/>
          <w:szCs w:val="24"/>
        </w:rPr>
        <w:t xml:space="preserve"> Jul </w:t>
      </w:r>
      <w:r w:rsidRPr="00F6493C">
        <w:rPr>
          <w:rFonts w:ascii="Arial" w:hAnsi="Arial" w:cs="Arial"/>
          <w:color w:val="000000"/>
          <w:sz w:val="24"/>
          <w:szCs w:val="24"/>
        </w:rPr>
        <w:t>2021.</w:t>
      </w:r>
    </w:p>
    <w:p w14:paraId="300C5290" w14:textId="77777777" w:rsidR="0099607A" w:rsidRDefault="0099607A" w:rsidP="004657A8">
      <w:pPr>
        <w:rPr>
          <w:rFonts w:ascii="Arial" w:hAnsi="Arial" w:cs="Arial"/>
          <w:color w:val="000000"/>
          <w:sz w:val="24"/>
          <w:szCs w:val="24"/>
        </w:rPr>
      </w:pPr>
    </w:p>
    <w:p w14:paraId="104DAC0F" w14:textId="1080DDF9" w:rsidR="0099607A" w:rsidRDefault="0099607A" w:rsidP="004657A8">
      <w:pPr>
        <w:rPr>
          <w:rFonts w:ascii="Arial" w:hAnsi="Arial" w:cs="Arial"/>
          <w:sz w:val="24"/>
          <w:szCs w:val="24"/>
        </w:rPr>
      </w:pPr>
      <w:r w:rsidRPr="00316507">
        <w:rPr>
          <w:rFonts w:ascii="Arial" w:hAnsi="Arial" w:cs="Arial"/>
          <w:sz w:val="24"/>
          <w:szCs w:val="24"/>
        </w:rPr>
        <w:t>Neethling, T (2012). Law of Delict. 6th ed. South Africa: LexisNexis. p140-141.</w:t>
      </w:r>
    </w:p>
    <w:p w14:paraId="3E49A1C8" w14:textId="77777777" w:rsidR="0099607A" w:rsidRDefault="0099607A" w:rsidP="0099607A">
      <w:pPr>
        <w:rPr>
          <w:rFonts w:ascii="Arial" w:hAnsi="Arial" w:cs="Arial"/>
          <w:color w:val="000000"/>
          <w:sz w:val="24"/>
          <w:szCs w:val="24"/>
        </w:rPr>
      </w:pPr>
    </w:p>
    <w:p w14:paraId="72E62097" w14:textId="017D4841" w:rsidR="0099607A" w:rsidRPr="00314D81" w:rsidRDefault="0099607A" w:rsidP="0099607A">
      <w:pPr>
        <w:rPr>
          <w:rFonts w:ascii="Arial" w:hAnsi="Arial" w:cs="Arial"/>
          <w:sz w:val="24"/>
          <w:szCs w:val="24"/>
          <w:u w:val="single"/>
        </w:rPr>
      </w:pPr>
      <w:r w:rsidRPr="005E2BFC">
        <w:rPr>
          <w:rFonts w:ascii="Arial" w:hAnsi="Arial" w:cs="Arial"/>
          <w:color w:val="000000"/>
          <w:sz w:val="24"/>
          <w:szCs w:val="24"/>
        </w:rPr>
        <w:t>Norrie, A. (1991). A Critique of Criminal Causation. </w:t>
      </w:r>
      <w:r w:rsidRPr="005E2BFC">
        <w:rPr>
          <w:rFonts w:ascii="Arial" w:hAnsi="Arial" w:cs="Arial"/>
          <w:i/>
          <w:iCs/>
          <w:color w:val="000000"/>
          <w:sz w:val="24"/>
          <w:szCs w:val="24"/>
        </w:rPr>
        <w:t>Modern Law Review</w:t>
      </w:r>
      <w:r w:rsidRPr="005E2BFC">
        <w:rPr>
          <w:rFonts w:ascii="Arial" w:hAnsi="Arial" w:cs="Arial"/>
          <w:color w:val="000000"/>
          <w:sz w:val="24"/>
          <w:szCs w:val="24"/>
        </w:rPr>
        <w:t>. 54 (1), p685-701.</w:t>
      </w:r>
    </w:p>
    <w:p w14:paraId="3AD05314" w14:textId="77777777" w:rsidR="0099607A" w:rsidRPr="0099607A" w:rsidRDefault="0099607A" w:rsidP="004657A8">
      <w:pPr>
        <w:rPr>
          <w:rFonts w:ascii="Arial" w:hAnsi="Arial" w:cs="Arial"/>
          <w:sz w:val="24"/>
          <w:szCs w:val="24"/>
        </w:rPr>
      </w:pPr>
    </w:p>
    <w:p w14:paraId="49A15744" w14:textId="77777777" w:rsidR="00314D81" w:rsidRDefault="00314D81" w:rsidP="00314D81">
      <w:pPr>
        <w:rPr>
          <w:rFonts w:ascii="Arial" w:hAnsi="Arial" w:cs="Arial"/>
          <w:color w:val="000000"/>
          <w:sz w:val="24"/>
          <w:szCs w:val="24"/>
        </w:rPr>
      </w:pPr>
      <w:r w:rsidRPr="00517115">
        <w:rPr>
          <w:rFonts w:ascii="Arial" w:hAnsi="Arial" w:cs="Arial"/>
          <w:color w:val="000000"/>
          <w:sz w:val="24"/>
          <w:szCs w:val="24"/>
        </w:rPr>
        <w:t>Professional Negligence Specialist Legal Advice. (2021). </w:t>
      </w:r>
      <w:r w:rsidRPr="00517115">
        <w:rPr>
          <w:rFonts w:ascii="Arial" w:hAnsi="Arial" w:cs="Arial"/>
          <w:i/>
          <w:iCs/>
          <w:color w:val="000000"/>
          <w:sz w:val="24"/>
          <w:szCs w:val="24"/>
        </w:rPr>
        <w:t>Jobling v Associated Dairies [1982]: Case Analysis.</w:t>
      </w:r>
      <w:r w:rsidRPr="00517115">
        <w:rPr>
          <w:rFonts w:ascii="Arial" w:hAnsi="Arial" w:cs="Arial"/>
          <w:color w:val="000000"/>
          <w:sz w:val="24"/>
          <w:szCs w:val="24"/>
        </w:rPr>
        <w:t xml:space="preserve"> Available: </w:t>
      </w:r>
      <w:hyperlink r:id="rId5" w:history="1">
        <w:r w:rsidRPr="002B2278">
          <w:rPr>
            <w:rStyle w:val="Hyperlink"/>
            <w:rFonts w:ascii="Arial" w:hAnsi="Arial" w:cs="Arial"/>
            <w:sz w:val="24"/>
            <w:szCs w:val="24"/>
          </w:rPr>
          <w:t>https://professionalnegligenceclaimsolicitors.co.uk/causation-key-tort-law-judgment-jobling-associated-diaries/</w:t>
        </w:r>
      </w:hyperlink>
      <w:r w:rsidRPr="00517115">
        <w:rPr>
          <w:rFonts w:ascii="Arial" w:hAnsi="Arial" w:cs="Arial"/>
          <w:color w:val="000000"/>
          <w:sz w:val="24"/>
          <w:szCs w:val="24"/>
        </w:rPr>
        <w:t>.</w:t>
      </w:r>
      <w:r>
        <w:rPr>
          <w:rFonts w:ascii="Arial" w:hAnsi="Arial" w:cs="Arial"/>
          <w:color w:val="000000"/>
          <w:sz w:val="24"/>
          <w:szCs w:val="24"/>
        </w:rPr>
        <w:t xml:space="preserve"> </w:t>
      </w:r>
      <w:r w:rsidRPr="00517115">
        <w:rPr>
          <w:rFonts w:ascii="Arial" w:hAnsi="Arial" w:cs="Arial"/>
          <w:color w:val="000000"/>
          <w:sz w:val="24"/>
          <w:szCs w:val="24"/>
        </w:rPr>
        <w:t>Last accessed 18th Jul 2021.</w:t>
      </w:r>
    </w:p>
    <w:p w14:paraId="5AFB5476" w14:textId="77777777" w:rsidR="004657A8" w:rsidRDefault="004657A8" w:rsidP="004657A8">
      <w:pPr>
        <w:rPr>
          <w:rFonts w:ascii="Arial" w:hAnsi="Arial" w:cs="Arial"/>
          <w:sz w:val="24"/>
          <w:szCs w:val="24"/>
          <w:u w:val="single"/>
        </w:rPr>
      </w:pPr>
    </w:p>
    <w:p w14:paraId="717F889F" w14:textId="103C4314" w:rsidR="00134D10" w:rsidRPr="00517115" w:rsidRDefault="004657A8" w:rsidP="004657A8">
      <w:pPr>
        <w:rPr>
          <w:rFonts w:ascii="Arial" w:hAnsi="Arial" w:cs="Arial"/>
          <w:sz w:val="24"/>
          <w:szCs w:val="24"/>
          <w:u w:val="single"/>
        </w:rPr>
      </w:pPr>
      <w:r w:rsidRPr="00A95331">
        <w:rPr>
          <w:rFonts w:ascii="Arial" w:hAnsi="Arial" w:cs="Arial"/>
          <w:color w:val="000000"/>
          <w:sz w:val="24"/>
          <w:szCs w:val="24"/>
        </w:rPr>
        <w:t>Stewar</w:t>
      </w:r>
      <w:r>
        <w:rPr>
          <w:rFonts w:ascii="Arial" w:hAnsi="Arial" w:cs="Arial"/>
          <w:color w:val="000000"/>
          <w:sz w:val="24"/>
          <w:szCs w:val="24"/>
        </w:rPr>
        <w:t>t</w:t>
      </w:r>
      <w:r w:rsidRPr="00A95331">
        <w:rPr>
          <w:rFonts w:ascii="Arial" w:hAnsi="Arial" w:cs="Arial"/>
          <w:color w:val="000000"/>
          <w:sz w:val="24"/>
          <w:szCs w:val="24"/>
        </w:rPr>
        <w:t>, J. (2006). </w:t>
      </w:r>
      <w:r w:rsidRPr="00A95331">
        <w:rPr>
          <w:rFonts w:ascii="Arial" w:hAnsi="Arial" w:cs="Arial"/>
          <w:i/>
          <w:iCs/>
          <w:color w:val="000000"/>
          <w:sz w:val="24"/>
          <w:szCs w:val="24"/>
        </w:rPr>
        <w:t>Duty of care.</w:t>
      </w:r>
      <w:r w:rsidRPr="00A95331">
        <w:rPr>
          <w:rFonts w:ascii="Arial" w:hAnsi="Arial" w:cs="Arial"/>
          <w:color w:val="000000"/>
          <w:sz w:val="24"/>
          <w:szCs w:val="24"/>
        </w:rPr>
        <w:t> Available:</w:t>
      </w:r>
      <w:r>
        <w:rPr>
          <w:rFonts w:ascii="Arial" w:hAnsi="Arial" w:cs="Arial"/>
          <w:color w:val="000000"/>
          <w:sz w:val="24"/>
          <w:szCs w:val="24"/>
        </w:rPr>
        <w:t xml:space="preserve"> </w:t>
      </w:r>
      <w:hyperlink r:id="rId6" w:history="1">
        <w:r w:rsidRPr="00686CCA">
          <w:rPr>
            <w:rStyle w:val="Hyperlink"/>
            <w:rFonts w:ascii="Arial" w:hAnsi="Arial" w:cs="Arial"/>
            <w:sz w:val="24"/>
            <w:szCs w:val="24"/>
          </w:rPr>
          <w:t>https://legal-dictionary.thefreedictionary.com/duty+of+care</w:t>
        </w:r>
      </w:hyperlink>
      <w:r w:rsidRPr="00A95331">
        <w:rPr>
          <w:rFonts w:ascii="Arial" w:hAnsi="Arial" w:cs="Arial"/>
          <w:color w:val="000000"/>
          <w:sz w:val="24"/>
          <w:szCs w:val="24"/>
        </w:rPr>
        <w:t>.</w:t>
      </w:r>
      <w:r>
        <w:rPr>
          <w:rFonts w:ascii="Arial" w:hAnsi="Arial" w:cs="Arial"/>
          <w:color w:val="000000"/>
          <w:sz w:val="24"/>
          <w:szCs w:val="24"/>
        </w:rPr>
        <w:t xml:space="preserve"> </w:t>
      </w:r>
      <w:r w:rsidRPr="00A95331">
        <w:rPr>
          <w:rFonts w:ascii="Arial" w:hAnsi="Arial" w:cs="Arial"/>
          <w:color w:val="000000"/>
          <w:sz w:val="24"/>
          <w:szCs w:val="24"/>
        </w:rPr>
        <w:t>Last accessed 1st November 2020.</w:t>
      </w:r>
    </w:p>
    <w:p w14:paraId="45800A38" w14:textId="77777777" w:rsidR="004657A8" w:rsidRDefault="004657A8" w:rsidP="004657A8">
      <w:pPr>
        <w:rPr>
          <w:rFonts w:ascii="Arial" w:hAnsi="Arial" w:cs="Arial"/>
          <w:sz w:val="24"/>
          <w:szCs w:val="24"/>
          <w:u w:val="single"/>
        </w:rPr>
      </w:pPr>
      <w:r>
        <w:rPr>
          <w:rFonts w:ascii="Arial" w:hAnsi="Arial" w:cs="Arial"/>
          <w:sz w:val="24"/>
          <w:szCs w:val="24"/>
          <w:u w:val="single"/>
        </w:rPr>
        <w:t>Case List</w:t>
      </w:r>
    </w:p>
    <w:p w14:paraId="5C14D431" w14:textId="77777777" w:rsidR="004657A8" w:rsidRDefault="004657A8" w:rsidP="004657A8">
      <w:pPr>
        <w:rPr>
          <w:rFonts w:ascii="Arial" w:hAnsi="Arial" w:cs="Arial"/>
          <w:bCs/>
          <w:sz w:val="24"/>
          <w:szCs w:val="24"/>
        </w:rPr>
      </w:pPr>
      <w:proofErr w:type="spellStart"/>
      <w:r w:rsidRPr="00CC6FE5">
        <w:rPr>
          <w:rFonts w:ascii="Arial" w:hAnsi="Arial" w:cs="Arial"/>
          <w:bCs/>
          <w:i/>
          <w:iCs/>
          <w:sz w:val="24"/>
          <w:szCs w:val="24"/>
        </w:rPr>
        <w:t>Corr</w:t>
      </w:r>
      <w:proofErr w:type="spellEnd"/>
      <w:r w:rsidRPr="00CC6FE5">
        <w:rPr>
          <w:rFonts w:ascii="Arial" w:hAnsi="Arial" w:cs="Arial"/>
          <w:bCs/>
          <w:i/>
          <w:iCs/>
          <w:sz w:val="24"/>
          <w:szCs w:val="24"/>
        </w:rPr>
        <w:t xml:space="preserve"> v IBC vehicles (2008)</w:t>
      </w:r>
    </w:p>
    <w:p w14:paraId="261D5171" w14:textId="77777777" w:rsidR="004657A8" w:rsidRDefault="004657A8" w:rsidP="004657A8">
      <w:pPr>
        <w:rPr>
          <w:rFonts w:ascii="Arial" w:hAnsi="Arial" w:cs="Arial"/>
          <w:bCs/>
          <w:sz w:val="24"/>
          <w:szCs w:val="24"/>
        </w:rPr>
      </w:pPr>
      <w:r w:rsidRPr="00CC6FE5">
        <w:rPr>
          <w:rFonts w:ascii="Arial" w:hAnsi="Arial" w:cs="Arial"/>
          <w:bCs/>
          <w:i/>
          <w:iCs/>
          <w:sz w:val="24"/>
          <w:szCs w:val="24"/>
        </w:rPr>
        <w:t xml:space="preserve">McKew v Holland &amp; </w:t>
      </w:r>
      <w:proofErr w:type="spellStart"/>
      <w:r w:rsidRPr="00CC6FE5">
        <w:rPr>
          <w:rFonts w:ascii="Arial" w:hAnsi="Arial" w:cs="Arial"/>
          <w:bCs/>
          <w:i/>
          <w:iCs/>
          <w:sz w:val="24"/>
          <w:szCs w:val="24"/>
        </w:rPr>
        <w:t>Hannen</w:t>
      </w:r>
      <w:proofErr w:type="spellEnd"/>
      <w:r w:rsidRPr="00CC6FE5">
        <w:rPr>
          <w:rFonts w:ascii="Arial" w:hAnsi="Arial" w:cs="Arial"/>
          <w:bCs/>
          <w:i/>
          <w:iCs/>
          <w:sz w:val="24"/>
          <w:szCs w:val="24"/>
        </w:rPr>
        <w:t xml:space="preserve"> &amp; </w:t>
      </w:r>
      <w:proofErr w:type="spellStart"/>
      <w:r w:rsidRPr="00CC6FE5">
        <w:rPr>
          <w:rFonts w:ascii="Arial" w:hAnsi="Arial" w:cs="Arial"/>
          <w:bCs/>
          <w:i/>
          <w:iCs/>
          <w:sz w:val="24"/>
          <w:szCs w:val="24"/>
        </w:rPr>
        <w:t>Cubitts</w:t>
      </w:r>
      <w:proofErr w:type="spellEnd"/>
      <w:r w:rsidRPr="00CC6FE5">
        <w:rPr>
          <w:rFonts w:ascii="Arial" w:hAnsi="Arial" w:cs="Arial"/>
          <w:bCs/>
          <w:i/>
          <w:iCs/>
          <w:sz w:val="24"/>
          <w:szCs w:val="24"/>
        </w:rPr>
        <w:t xml:space="preserve"> (Scotland) Ltd (1969)</w:t>
      </w:r>
      <w:r w:rsidRPr="00CC6FE5">
        <w:rPr>
          <w:rFonts w:ascii="Arial" w:hAnsi="Arial" w:cs="Arial"/>
          <w:bCs/>
          <w:sz w:val="24"/>
          <w:szCs w:val="24"/>
        </w:rPr>
        <w:t xml:space="preserve"> </w:t>
      </w:r>
    </w:p>
    <w:p w14:paraId="4DCA1645" w14:textId="77777777" w:rsidR="004657A8" w:rsidRDefault="004657A8" w:rsidP="004657A8">
      <w:pPr>
        <w:rPr>
          <w:rFonts w:ascii="Arial" w:hAnsi="Arial" w:cs="Arial"/>
          <w:bCs/>
          <w:i/>
          <w:iCs/>
          <w:sz w:val="24"/>
          <w:szCs w:val="24"/>
        </w:rPr>
      </w:pPr>
      <w:r w:rsidRPr="00CC6FE5">
        <w:rPr>
          <w:rFonts w:ascii="Arial" w:hAnsi="Arial" w:cs="Arial"/>
          <w:bCs/>
          <w:i/>
          <w:iCs/>
          <w:sz w:val="24"/>
          <w:szCs w:val="24"/>
        </w:rPr>
        <w:t>Jobling v Associated Dairies Ltd (1981).</w:t>
      </w:r>
    </w:p>
    <w:p w14:paraId="5CC53413" w14:textId="77777777" w:rsidR="004657A8" w:rsidRPr="00D52C70" w:rsidRDefault="004657A8" w:rsidP="004657A8">
      <w:pPr>
        <w:rPr>
          <w:rFonts w:ascii="Arial" w:hAnsi="Arial" w:cs="Arial"/>
          <w:bCs/>
          <w:i/>
          <w:iCs/>
          <w:sz w:val="24"/>
          <w:szCs w:val="24"/>
        </w:rPr>
      </w:pPr>
      <w:r w:rsidRPr="00D52C70">
        <w:rPr>
          <w:rStyle w:val="Emphasis"/>
          <w:rFonts w:ascii="Arial" w:hAnsi="Arial" w:cs="Arial"/>
          <w:sz w:val="24"/>
          <w:szCs w:val="24"/>
          <w:bdr w:val="none" w:sz="0" w:space="0" w:color="auto" w:frame="1"/>
          <w:shd w:val="clear" w:color="auto" w:fill="F2F3F3"/>
        </w:rPr>
        <w:t>Groenewald v Groenewald 1998 (2) SA 1106 SCA</w:t>
      </w:r>
    </w:p>
    <w:p w14:paraId="146BA308" w14:textId="77777777" w:rsidR="004657A8" w:rsidRDefault="004657A8" w:rsidP="004657A8">
      <w:pPr>
        <w:rPr>
          <w:rFonts w:ascii="Arial" w:hAnsi="Arial" w:cs="Arial"/>
          <w:i/>
          <w:iCs/>
          <w:sz w:val="24"/>
          <w:szCs w:val="24"/>
        </w:rPr>
      </w:pPr>
      <w:r w:rsidRPr="005C3A67">
        <w:rPr>
          <w:rFonts w:ascii="Arial" w:hAnsi="Arial" w:cs="Arial"/>
          <w:i/>
          <w:iCs/>
          <w:sz w:val="24"/>
          <w:szCs w:val="24"/>
        </w:rPr>
        <w:t xml:space="preserve">Standard Chartered Bank of Canada v </w:t>
      </w:r>
      <w:proofErr w:type="spellStart"/>
      <w:r w:rsidRPr="005C3A67">
        <w:rPr>
          <w:rFonts w:ascii="Arial" w:hAnsi="Arial" w:cs="Arial"/>
          <w:i/>
          <w:iCs/>
          <w:sz w:val="24"/>
          <w:szCs w:val="24"/>
        </w:rPr>
        <w:t>Nedperm</w:t>
      </w:r>
      <w:proofErr w:type="spellEnd"/>
      <w:r w:rsidRPr="005C3A67">
        <w:rPr>
          <w:rFonts w:ascii="Arial" w:hAnsi="Arial" w:cs="Arial"/>
          <w:i/>
          <w:iCs/>
          <w:sz w:val="24"/>
          <w:szCs w:val="24"/>
        </w:rPr>
        <w:t xml:space="preserve"> Bank Ltd (320/93) [1994] ZASCA 146; 1994 (4) SA 747 (AD); [1994] 2 All SA 524 (A)</w:t>
      </w:r>
    </w:p>
    <w:p w14:paraId="005A337D" w14:textId="77777777" w:rsidR="004657A8" w:rsidRDefault="004657A8" w:rsidP="004657A8">
      <w:pPr>
        <w:rPr>
          <w:rFonts w:ascii="Arial" w:hAnsi="Arial" w:cs="Arial"/>
          <w:sz w:val="24"/>
          <w:szCs w:val="24"/>
        </w:rPr>
      </w:pPr>
      <w:r>
        <w:rPr>
          <w:rFonts w:ascii="Arial" w:hAnsi="Arial" w:cs="Arial"/>
          <w:sz w:val="24"/>
          <w:szCs w:val="24"/>
        </w:rPr>
        <w:t>R v White (1910)</w:t>
      </w:r>
    </w:p>
    <w:p w14:paraId="0B15EFC2" w14:textId="77777777" w:rsidR="00403863" w:rsidRDefault="00403863" w:rsidP="00B457E3">
      <w:pPr>
        <w:spacing w:line="480" w:lineRule="auto"/>
        <w:rPr>
          <w:rFonts w:ascii="Arial" w:hAnsi="Arial" w:cs="Arial"/>
          <w:sz w:val="24"/>
          <w:szCs w:val="24"/>
        </w:rPr>
      </w:pPr>
    </w:p>
    <w:p w14:paraId="760D6828" w14:textId="054D4447" w:rsidR="00CE0BFA" w:rsidRPr="0036005D" w:rsidRDefault="00CE0BFA" w:rsidP="00B457E3">
      <w:pPr>
        <w:spacing w:line="480" w:lineRule="auto"/>
        <w:rPr>
          <w:rFonts w:ascii="Arial" w:hAnsi="Arial" w:cs="Arial"/>
          <w:sz w:val="24"/>
          <w:szCs w:val="24"/>
        </w:rPr>
      </w:pPr>
    </w:p>
    <w:sectPr w:rsidR="00CE0BFA" w:rsidRPr="003600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4A8"/>
    <w:rsid w:val="000068CC"/>
    <w:rsid w:val="000314A8"/>
    <w:rsid w:val="0007750F"/>
    <w:rsid w:val="000A7B61"/>
    <w:rsid w:val="000C5EED"/>
    <w:rsid w:val="000E3BB4"/>
    <w:rsid w:val="000E7F03"/>
    <w:rsid w:val="00134D10"/>
    <w:rsid w:val="0018114F"/>
    <w:rsid w:val="00185F79"/>
    <w:rsid w:val="001B4B51"/>
    <w:rsid w:val="001D4615"/>
    <w:rsid w:val="001F4CC1"/>
    <w:rsid w:val="00241459"/>
    <w:rsid w:val="00257320"/>
    <w:rsid w:val="00257E90"/>
    <w:rsid w:val="00261B06"/>
    <w:rsid w:val="00270584"/>
    <w:rsid w:val="002E5109"/>
    <w:rsid w:val="00300D57"/>
    <w:rsid w:val="00314D81"/>
    <w:rsid w:val="0036005D"/>
    <w:rsid w:val="00403863"/>
    <w:rsid w:val="00424C99"/>
    <w:rsid w:val="0042518D"/>
    <w:rsid w:val="00434D61"/>
    <w:rsid w:val="004657A8"/>
    <w:rsid w:val="004910B2"/>
    <w:rsid w:val="004C59B1"/>
    <w:rsid w:val="00517115"/>
    <w:rsid w:val="00587B22"/>
    <w:rsid w:val="005900CF"/>
    <w:rsid w:val="005E2BFC"/>
    <w:rsid w:val="005E2F32"/>
    <w:rsid w:val="005E7A3B"/>
    <w:rsid w:val="005E7AAE"/>
    <w:rsid w:val="005F49DF"/>
    <w:rsid w:val="0060704A"/>
    <w:rsid w:val="00647411"/>
    <w:rsid w:val="00653941"/>
    <w:rsid w:val="006C639F"/>
    <w:rsid w:val="006E7F9F"/>
    <w:rsid w:val="007512CD"/>
    <w:rsid w:val="00775658"/>
    <w:rsid w:val="00797F61"/>
    <w:rsid w:val="008029E8"/>
    <w:rsid w:val="008307DC"/>
    <w:rsid w:val="00863F5B"/>
    <w:rsid w:val="008C2E57"/>
    <w:rsid w:val="009168FF"/>
    <w:rsid w:val="00995CB1"/>
    <w:rsid w:val="0099607A"/>
    <w:rsid w:val="00A00620"/>
    <w:rsid w:val="00A24194"/>
    <w:rsid w:val="00A40B08"/>
    <w:rsid w:val="00A65DA9"/>
    <w:rsid w:val="00AA5FF0"/>
    <w:rsid w:val="00AB4678"/>
    <w:rsid w:val="00AC533D"/>
    <w:rsid w:val="00AD6F09"/>
    <w:rsid w:val="00B457E3"/>
    <w:rsid w:val="00B50DC1"/>
    <w:rsid w:val="00B6103B"/>
    <w:rsid w:val="00B639E3"/>
    <w:rsid w:val="00B67D1C"/>
    <w:rsid w:val="00BB58DF"/>
    <w:rsid w:val="00BB7AA2"/>
    <w:rsid w:val="00BD4A3F"/>
    <w:rsid w:val="00C06D4D"/>
    <w:rsid w:val="00C21EEE"/>
    <w:rsid w:val="00C43198"/>
    <w:rsid w:val="00C61F73"/>
    <w:rsid w:val="00C62FE4"/>
    <w:rsid w:val="00C76989"/>
    <w:rsid w:val="00C8017C"/>
    <w:rsid w:val="00CE0BFA"/>
    <w:rsid w:val="00D743F3"/>
    <w:rsid w:val="00D76878"/>
    <w:rsid w:val="00D84994"/>
    <w:rsid w:val="00DC5DC3"/>
    <w:rsid w:val="00E17FAC"/>
    <w:rsid w:val="00E916AE"/>
    <w:rsid w:val="00EC7732"/>
    <w:rsid w:val="00F5466C"/>
    <w:rsid w:val="00F6493C"/>
    <w:rsid w:val="00F965BD"/>
    <w:rsid w:val="00FE39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50739"/>
  <w15:chartTrackingRefBased/>
  <w15:docId w15:val="{F904E5E1-6CC3-4F9E-A9CB-8A99CA6CC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D6F09"/>
    <w:rPr>
      <w:i/>
      <w:iCs/>
    </w:rPr>
  </w:style>
  <w:style w:type="character" w:customStyle="1" w:styleId="hvr">
    <w:name w:val="hvr"/>
    <w:basedOn w:val="DefaultParagraphFont"/>
    <w:rsid w:val="00C43198"/>
  </w:style>
  <w:style w:type="character" w:styleId="Hyperlink">
    <w:name w:val="Hyperlink"/>
    <w:basedOn w:val="DefaultParagraphFont"/>
    <w:uiPriority w:val="99"/>
    <w:unhideWhenUsed/>
    <w:rsid w:val="004657A8"/>
    <w:rPr>
      <w:color w:val="0563C1" w:themeColor="hyperlink"/>
      <w:u w:val="single"/>
    </w:rPr>
  </w:style>
  <w:style w:type="character" w:styleId="Strong">
    <w:name w:val="Strong"/>
    <w:basedOn w:val="DefaultParagraphFont"/>
    <w:uiPriority w:val="22"/>
    <w:qFormat/>
    <w:rsid w:val="006E7F9F"/>
    <w:rPr>
      <w:b/>
      <w:bCs/>
    </w:rPr>
  </w:style>
  <w:style w:type="character" w:styleId="UnresolvedMention">
    <w:name w:val="Unresolved Mention"/>
    <w:basedOn w:val="DefaultParagraphFont"/>
    <w:uiPriority w:val="99"/>
    <w:semiHidden/>
    <w:unhideWhenUsed/>
    <w:rsid w:val="00EC77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064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egal-dictionary.thefreedictionary.com/duty+of+care" TargetMode="External"/><Relationship Id="rId5" Type="http://schemas.openxmlformats.org/officeDocument/2006/relationships/hyperlink" Target="https://professionalnegligenceclaimsolicitors.co.uk/causation-key-tort-law-judgment-jobling-associated-diaries/" TargetMode="External"/><Relationship Id="rId4" Type="http://schemas.openxmlformats.org/officeDocument/2006/relationships/hyperlink" Target="https://lucidlaw.co.uk/tort-law/tort-of-negligence/causation/baker-v-willoughb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2334</TotalTime>
  <Pages>8</Pages>
  <Words>1700</Words>
  <Characters>9693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Spencer</dc:creator>
  <cp:keywords/>
  <dc:description/>
  <cp:lastModifiedBy>Kirsty Spencer</cp:lastModifiedBy>
  <cp:revision>463</cp:revision>
  <dcterms:created xsi:type="dcterms:W3CDTF">2020-10-25T16:46:00Z</dcterms:created>
  <dcterms:modified xsi:type="dcterms:W3CDTF">2021-07-18T20:15:00Z</dcterms:modified>
</cp:coreProperties>
</file>