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C4888" w14:textId="77777777" w:rsidR="00C636BF" w:rsidRPr="009713B3" w:rsidRDefault="00C636BF" w:rsidP="009713B3">
      <w:pPr>
        <w:spacing w:line="360" w:lineRule="auto"/>
        <w:jc w:val="both"/>
        <w:rPr>
          <w:rFonts w:ascii="Arial" w:eastAsia="Arial" w:hAnsi="Arial" w:cs="Arial"/>
          <w:b/>
          <w:bCs/>
        </w:rPr>
      </w:pPr>
    </w:p>
    <w:p w14:paraId="4B1739E2" w14:textId="77777777" w:rsidR="00C636BF" w:rsidRPr="009713B3" w:rsidRDefault="00C636BF" w:rsidP="009713B3">
      <w:pPr>
        <w:spacing w:line="360" w:lineRule="auto"/>
        <w:jc w:val="both"/>
        <w:rPr>
          <w:rFonts w:ascii="Arial" w:eastAsia="Arial" w:hAnsi="Arial" w:cs="Arial"/>
          <w:b/>
          <w:bCs/>
        </w:rPr>
      </w:pPr>
      <w:r w:rsidRPr="009713B3">
        <w:rPr>
          <w:rFonts w:ascii="Arial" w:hAnsi="Arial" w:cs="Arial"/>
          <w:noProof/>
        </w:rPr>
        <w:drawing>
          <wp:inline distT="0" distB="0" distL="85723" distR="85723" wp14:anchorId="5E48CB0B" wp14:editId="01201A6E">
            <wp:extent cx="2650417" cy="969560"/>
            <wp:effectExtent l="0" t="0" r="0" b="0"/>
            <wp:docPr id="1" name="图片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 black background with white text&#10;&#10;AI-generated content may be incorrect."/>
                    <pic:cNvPicPr/>
                  </pic:nvPicPr>
                  <pic:blipFill>
                    <a:blip r:embed="rId6"/>
                    <a:stretch>
                      <a:fillRect/>
                    </a:stretch>
                  </pic:blipFill>
                  <pic:spPr>
                    <a:xfrm>
                      <a:off x="0" y="0"/>
                      <a:ext cx="2650417" cy="969560"/>
                    </a:xfrm>
                    <a:prstGeom prst="rect">
                      <a:avLst/>
                    </a:prstGeom>
                    <a:noFill/>
                    <a:ln w="12700" cap="flat" cmpd="sng">
                      <a:noFill/>
                      <a:prstDash val="solid"/>
                      <a:miter/>
                    </a:ln>
                  </pic:spPr>
                </pic:pic>
              </a:graphicData>
            </a:graphic>
          </wp:inline>
        </w:drawing>
      </w:r>
    </w:p>
    <w:p w14:paraId="551480F2" w14:textId="77777777" w:rsidR="00C636BF" w:rsidRPr="009713B3" w:rsidRDefault="00C636BF" w:rsidP="009713B3">
      <w:pPr>
        <w:spacing w:line="360" w:lineRule="auto"/>
        <w:jc w:val="both"/>
        <w:rPr>
          <w:rFonts w:ascii="Arial" w:eastAsia="Arial" w:hAnsi="Arial" w:cs="Arial"/>
          <w:b/>
          <w:bCs/>
        </w:rPr>
      </w:pPr>
    </w:p>
    <w:p w14:paraId="0EA3A8B2" w14:textId="77777777" w:rsidR="00C636BF" w:rsidRPr="009713B3" w:rsidRDefault="00C636BF" w:rsidP="009713B3">
      <w:pPr>
        <w:spacing w:line="360" w:lineRule="auto"/>
        <w:jc w:val="both"/>
        <w:rPr>
          <w:rFonts w:ascii="Arial" w:eastAsia="Arial" w:hAnsi="Arial" w:cs="Arial"/>
          <w:b/>
          <w:bCs/>
        </w:rPr>
      </w:pPr>
    </w:p>
    <w:p w14:paraId="378B73E8" w14:textId="77777777" w:rsidR="00C636BF" w:rsidRPr="009713B3" w:rsidRDefault="00C636BF" w:rsidP="009713B3">
      <w:pPr>
        <w:spacing w:line="360" w:lineRule="auto"/>
        <w:jc w:val="both"/>
        <w:rPr>
          <w:rFonts w:ascii="Arial" w:eastAsia="Arial" w:hAnsi="Arial" w:cs="Arial"/>
          <w:b/>
          <w:bCs/>
        </w:rPr>
      </w:pPr>
    </w:p>
    <w:p w14:paraId="7BEA4A71" w14:textId="77777777" w:rsidR="00C636BF" w:rsidRPr="009713B3" w:rsidRDefault="00C636BF" w:rsidP="009713B3">
      <w:pPr>
        <w:spacing w:line="360" w:lineRule="auto"/>
        <w:jc w:val="both"/>
        <w:rPr>
          <w:rFonts w:ascii="Arial" w:eastAsia="Arial" w:hAnsi="Arial" w:cs="Arial"/>
          <w:b/>
          <w:bCs/>
        </w:rPr>
      </w:pPr>
    </w:p>
    <w:p w14:paraId="6636D5F9" w14:textId="77777777" w:rsidR="00C636BF" w:rsidRPr="009713B3" w:rsidRDefault="00C636BF" w:rsidP="009713B3">
      <w:pPr>
        <w:spacing w:line="360" w:lineRule="auto"/>
        <w:jc w:val="both"/>
        <w:rPr>
          <w:rFonts w:ascii="Arial" w:eastAsia="Arial" w:hAnsi="Arial" w:cs="Arial"/>
          <w:b/>
          <w:bCs/>
        </w:rPr>
      </w:pPr>
    </w:p>
    <w:p w14:paraId="60BB9449" w14:textId="77777777" w:rsidR="00C636BF" w:rsidRPr="009713B3" w:rsidRDefault="00C636BF" w:rsidP="009713B3">
      <w:pPr>
        <w:spacing w:line="360" w:lineRule="auto"/>
        <w:jc w:val="both"/>
        <w:rPr>
          <w:rFonts w:ascii="Arial" w:eastAsia="Arial" w:hAnsi="Arial" w:cs="Arial"/>
          <w:b/>
          <w:bCs/>
        </w:rPr>
      </w:pPr>
    </w:p>
    <w:p w14:paraId="1734A4C4" w14:textId="33B15A73" w:rsidR="00C636BF" w:rsidRPr="009713B3" w:rsidRDefault="00BE0C9A" w:rsidP="009713B3">
      <w:pPr>
        <w:spacing w:line="360" w:lineRule="auto"/>
        <w:jc w:val="center"/>
        <w:rPr>
          <w:rFonts w:ascii="Arial" w:eastAsia="Arial" w:hAnsi="Arial" w:cs="Arial"/>
          <w:b/>
          <w:bCs/>
        </w:rPr>
      </w:pPr>
      <w:r>
        <w:rPr>
          <w:rFonts w:ascii="Arial" w:eastAsia="Arial" w:hAnsi="Arial" w:cs="Arial"/>
          <w:b/>
          <w:bCs/>
        </w:rPr>
        <w:t>CASE STUDY ANALYSIS REPORT: COMPARATIVE REPORT ON COVID 19 LEADERSHIP RESPONSES</w:t>
      </w:r>
    </w:p>
    <w:p w14:paraId="59A1AA6D" w14:textId="77777777" w:rsidR="00C636BF" w:rsidRPr="009713B3" w:rsidRDefault="00C636BF" w:rsidP="009713B3">
      <w:pPr>
        <w:spacing w:line="360" w:lineRule="auto"/>
        <w:jc w:val="center"/>
        <w:rPr>
          <w:rFonts w:ascii="Arial" w:eastAsia="Arial" w:hAnsi="Arial" w:cs="Arial"/>
          <w:b/>
          <w:bCs/>
        </w:rPr>
      </w:pPr>
    </w:p>
    <w:p w14:paraId="2A13EC6B" w14:textId="77777777" w:rsidR="00C636BF" w:rsidRPr="009713B3" w:rsidRDefault="00C636BF" w:rsidP="009713B3">
      <w:pPr>
        <w:spacing w:line="360" w:lineRule="auto"/>
        <w:jc w:val="both"/>
        <w:rPr>
          <w:rFonts w:ascii="Arial" w:eastAsia="Arial" w:hAnsi="Arial" w:cs="Arial"/>
          <w:b/>
          <w:bCs/>
        </w:rPr>
      </w:pPr>
    </w:p>
    <w:p w14:paraId="59619006" w14:textId="77777777" w:rsidR="00C636BF" w:rsidRPr="009713B3" w:rsidRDefault="00C636BF" w:rsidP="009713B3">
      <w:pPr>
        <w:spacing w:line="360" w:lineRule="auto"/>
        <w:jc w:val="both"/>
        <w:rPr>
          <w:rFonts w:ascii="Arial" w:eastAsia="Arial" w:hAnsi="Arial" w:cs="Arial"/>
          <w:b/>
          <w:bCs/>
        </w:rPr>
      </w:pPr>
    </w:p>
    <w:p w14:paraId="0EDF1724" w14:textId="77777777" w:rsidR="00C636BF" w:rsidRPr="009713B3" w:rsidRDefault="00C636BF" w:rsidP="009713B3">
      <w:pPr>
        <w:spacing w:line="360" w:lineRule="auto"/>
        <w:jc w:val="both"/>
        <w:rPr>
          <w:rFonts w:ascii="Arial" w:eastAsia="Arial" w:hAnsi="Arial" w:cs="Arial"/>
          <w:b/>
          <w:bCs/>
        </w:rPr>
      </w:pPr>
    </w:p>
    <w:p w14:paraId="1F877534" w14:textId="77777777" w:rsidR="00C636BF" w:rsidRPr="009713B3" w:rsidRDefault="00C636BF" w:rsidP="009713B3">
      <w:pPr>
        <w:spacing w:line="360" w:lineRule="auto"/>
        <w:jc w:val="both"/>
        <w:rPr>
          <w:rFonts w:ascii="Arial" w:eastAsia="Arial" w:hAnsi="Arial" w:cs="Arial"/>
          <w:b/>
          <w:bCs/>
        </w:rPr>
      </w:pPr>
    </w:p>
    <w:p w14:paraId="2AA81D6A" w14:textId="77777777" w:rsidR="00C636BF" w:rsidRPr="009713B3" w:rsidRDefault="00C636BF" w:rsidP="009713B3">
      <w:pPr>
        <w:spacing w:line="360" w:lineRule="auto"/>
        <w:jc w:val="both"/>
        <w:rPr>
          <w:rFonts w:ascii="Arial" w:eastAsia="Arial" w:hAnsi="Arial" w:cs="Arial"/>
          <w:b/>
          <w:bCs/>
        </w:rPr>
      </w:pPr>
    </w:p>
    <w:p w14:paraId="0E7D36F7" w14:textId="77777777" w:rsidR="00C636BF" w:rsidRPr="009713B3" w:rsidRDefault="00C636BF" w:rsidP="009713B3">
      <w:pPr>
        <w:spacing w:line="360" w:lineRule="auto"/>
        <w:jc w:val="both"/>
        <w:rPr>
          <w:rFonts w:ascii="Arial" w:hAnsi="Arial" w:cs="Arial"/>
        </w:rPr>
      </w:pPr>
      <w:r w:rsidRPr="009713B3">
        <w:rPr>
          <w:rFonts w:ascii="Arial" w:hAnsi="Arial" w:cs="Arial"/>
        </w:rPr>
        <w:t>Programme: MSc Public Health and Social Care in Practice</w:t>
      </w:r>
    </w:p>
    <w:p w14:paraId="74B251D5" w14:textId="77777777" w:rsidR="00C636BF" w:rsidRPr="009713B3" w:rsidRDefault="00C636BF" w:rsidP="009713B3">
      <w:pPr>
        <w:spacing w:line="360" w:lineRule="auto"/>
        <w:jc w:val="both"/>
        <w:rPr>
          <w:rFonts w:ascii="Arial" w:hAnsi="Arial" w:cs="Arial"/>
        </w:rPr>
      </w:pPr>
      <w:r w:rsidRPr="009713B3">
        <w:rPr>
          <w:rFonts w:ascii="Arial" w:hAnsi="Arial" w:cs="Arial"/>
        </w:rPr>
        <w:t>Module name: Health Care System Organisation and Leadership</w:t>
      </w:r>
    </w:p>
    <w:p w14:paraId="77FA49BE" w14:textId="2CC68622" w:rsidR="00C636BF" w:rsidRPr="009713B3" w:rsidRDefault="00C636BF" w:rsidP="009713B3">
      <w:pPr>
        <w:spacing w:line="360" w:lineRule="auto"/>
        <w:jc w:val="both"/>
        <w:rPr>
          <w:rFonts w:ascii="Arial" w:hAnsi="Arial" w:cs="Arial"/>
        </w:rPr>
      </w:pPr>
      <w:r w:rsidRPr="009713B3">
        <w:rPr>
          <w:rFonts w:ascii="Arial" w:hAnsi="Arial" w:cs="Arial"/>
        </w:rPr>
        <w:t xml:space="preserve">Module code: </w:t>
      </w:r>
      <w:r w:rsidR="00BE0C9A">
        <w:rPr>
          <w:rFonts w:ascii="Arial" w:hAnsi="Arial" w:cs="Arial"/>
        </w:rPr>
        <w:t>LCHS7002</w:t>
      </w:r>
    </w:p>
    <w:p w14:paraId="57EBF77B" w14:textId="1909016E" w:rsidR="00C636BF" w:rsidRPr="009713B3" w:rsidRDefault="00C636BF" w:rsidP="009713B3">
      <w:pPr>
        <w:spacing w:line="360" w:lineRule="auto"/>
        <w:jc w:val="both"/>
        <w:rPr>
          <w:rFonts w:ascii="Arial" w:hAnsi="Arial" w:cs="Arial"/>
        </w:rPr>
      </w:pPr>
      <w:r w:rsidRPr="009713B3">
        <w:rPr>
          <w:rFonts w:ascii="Arial" w:hAnsi="Arial" w:cs="Arial"/>
        </w:rPr>
        <w:t xml:space="preserve">Student name: </w:t>
      </w:r>
      <w:r w:rsidR="00BE0C9A">
        <w:rPr>
          <w:rFonts w:ascii="Arial" w:hAnsi="Arial" w:cs="Arial"/>
        </w:rPr>
        <w:t>DISHALI RAMESHBHAI BHUVA</w:t>
      </w:r>
    </w:p>
    <w:p w14:paraId="12821476" w14:textId="1C63F09D" w:rsidR="00C636BF" w:rsidRPr="009713B3" w:rsidRDefault="00C636BF" w:rsidP="009713B3">
      <w:pPr>
        <w:spacing w:line="360" w:lineRule="auto"/>
        <w:jc w:val="both"/>
        <w:rPr>
          <w:rFonts w:ascii="Arial" w:hAnsi="Arial" w:cs="Arial"/>
        </w:rPr>
      </w:pPr>
      <w:r w:rsidRPr="009713B3">
        <w:rPr>
          <w:rFonts w:ascii="Arial" w:hAnsi="Arial" w:cs="Arial"/>
        </w:rPr>
        <w:t xml:space="preserve">Student ID: </w:t>
      </w:r>
      <w:r w:rsidR="00BE0C9A">
        <w:rPr>
          <w:rFonts w:ascii="Arial" w:hAnsi="Arial" w:cs="Arial"/>
        </w:rPr>
        <w:t>2437480</w:t>
      </w:r>
    </w:p>
    <w:p w14:paraId="1985B7D9" w14:textId="48F93B24" w:rsidR="007D5BB9" w:rsidRDefault="00C636BF" w:rsidP="009713B3">
      <w:pPr>
        <w:spacing w:line="360" w:lineRule="auto"/>
        <w:jc w:val="both"/>
        <w:rPr>
          <w:rFonts w:ascii="Arial" w:hAnsi="Arial" w:cs="Arial"/>
        </w:rPr>
      </w:pPr>
      <w:r w:rsidRPr="009713B3">
        <w:rPr>
          <w:rFonts w:ascii="Arial" w:hAnsi="Arial" w:cs="Arial"/>
        </w:rPr>
        <w:t xml:space="preserve">Lecturer: </w:t>
      </w:r>
      <w:r w:rsidR="00BE0C9A">
        <w:rPr>
          <w:rFonts w:ascii="Arial" w:hAnsi="Arial" w:cs="Arial"/>
        </w:rPr>
        <w:t>DR.CHRISTOPHER MAFUVA</w:t>
      </w:r>
    </w:p>
    <w:sdt>
      <w:sdtPr>
        <w:rPr>
          <w:rFonts w:ascii="Arial" w:eastAsiaTheme="minorHAnsi" w:hAnsi="Arial" w:cs="Arial"/>
          <w:color w:val="auto"/>
          <w:kern w:val="2"/>
          <w:sz w:val="24"/>
          <w:szCs w:val="24"/>
          <w:lang w:eastAsia="en-US"/>
          <w14:ligatures w14:val="standardContextual"/>
        </w:rPr>
        <w:id w:val="-2145959740"/>
        <w:docPartObj>
          <w:docPartGallery w:val="Table of Contents"/>
          <w:docPartUnique/>
        </w:docPartObj>
      </w:sdtPr>
      <w:sdtEndPr>
        <w:rPr>
          <w:b/>
          <w:bCs/>
        </w:rPr>
      </w:sdtEndPr>
      <w:sdtContent>
        <w:p w14:paraId="7FDB6652" w14:textId="0462094F" w:rsidR="009713B3" w:rsidRPr="00A45A35" w:rsidRDefault="009713B3">
          <w:pPr>
            <w:pStyle w:val="TOCHeading"/>
            <w:rPr>
              <w:rFonts w:ascii="Arial" w:hAnsi="Arial" w:cs="Arial"/>
              <w:sz w:val="24"/>
              <w:szCs w:val="24"/>
            </w:rPr>
          </w:pPr>
          <w:r w:rsidRPr="00A45A35">
            <w:rPr>
              <w:rFonts w:ascii="Arial" w:hAnsi="Arial" w:cs="Arial"/>
              <w:sz w:val="24"/>
              <w:szCs w:val="24"/>
            </w:rPr>
            <w:t>Table of Contents</w:t>
          </w:r>
        </w:p>
        <w:p w14:paraId="2AAC2662" w14:textId="1719B0C3" w:rsidR="00A45A35" w:rsidRPr="00A45A35" w:rsidRDefault="009713B3">
          <w:pPr>
            <w:pStyle w:val="TOC1"/>
            <w:tabs>
              <w:tab w:val="right" w:leader="dot" w:pos="9016"/>
            </w:tabs>
            <w:rPr>
              <w:rFonts w:ascii="Arial" w:eastAsiaTheme="minorEastAsia" w:hAnsi="Arial" w:cs="Arial"/>
              <w:noProof/>
              <w:lang w:eastAsia="en-GB"/>
            </w:rPr>
          </w:pPr>
          <w:r w:rsidRPr="00A45A35">
            <w:rPr>
              <w:rFonts w:ascii="Arial" w:hAnsi="Arial" w:cs="Arial"/>
            </w:rPr>
            <w:fldChar w:fldCharType="begin"/>
          </w:r>
          <w:r w:rsidRPr="00A45A35">
            <w:rPr>
              <w:rFonts w:ascii="Arial" w:hAnsi="Arial" w:cs="Arial"/>
            </w:rPr>
            <w:instrText xml:space="preserve"> TOC \o "1-3" \h \z \u </w:instrText>
          </w:r>
          <w:r w:rsidRPr="00A45A35">
            <w:rPr>
              <w:rFonts w:ascii="Arial" w:hAnsi="Arial" w:cs="Arial"/>
            </w:rPr>
            <w:fldChar w:fldCharType="separate"/>
          </w:r>
          <w:hyperlink w:anchor="_Toc216684741" w:history="1">
            <w:r w:rsidR="00A45A35" w:rsidRPr="00A45A35">
              <w:rPr>
                <w:rStyle w:val="Hyperlink"/>
                <w:rFonts w:ascii="Arial" w:hAnsi="Arial" w:cs="Arial"/>
                <w:noProof/>
              </w:rPr>
              <w:t>1. Introduction</w:t>
            </w:r>
            <w:r w:rsidR="00A45A35" w:rsidRPr="00A45A35">
              <w:rPr>
                <w:rFonts w:ascii="Arial" w:hAnsi="Arial" w:cs="Arial"/>
                <w:noProof/>
                <w:webHidden/>
              </w:rPr>
              <w:tab/>
            </w:r>
            <w:r w:rsidR="00A45A35" w:rsidRPr="00A45A35">
              <w:rPr>
                <w:rFonts w:ascii="Arial" w:hAnsi="Arial" w:cs="Arial"/>
                <w:noProof/>
                <w:webHidden/>
              </w:rPr>
              <w:fldChar w:fldCharType="begin"/>
            </w:r>
            <w:r w:rsidR="00A45A35" w:rsidRPr="00A45A35">
              <w:rPr>
                <w:rFonts w:ascii="Arial" w:hAnsi="Arial" w:cs="Arial"/>
                <w:noProof/>
                <w:webHidden/>
              </w:rPr>
              <w:instrText xml:space="preserve"> PAGEREF _Toc216684741 \h </w:instrText>
            </w:r>
            <w:r w:rsidR="00A45A35" w:rsidRPr="00A45A35">
              <w:rPr>
                <w:rFonts w:ascii="Arial" w:hAnsi="Arial" w:cs="Arial"/>
                <w:noProof/>
                <w:webHidden/>
              </w:rPr>
            </w:r>
            <w:r w:rsidR="00A45A35" w:rsidRPr="00A45A35">
              <w:rPr>
                <w:rFonts w:ascii="Arial" w:hAnsi="Arial" w:cs="Arial"/>
                <w:noProof/>
                <w:webHidden/>
              </w:rPr>
              <w:fldChar w:fldCharType="separate"/>
            </w:r>
            <w:r w:rsidR="009B5F98">
              <w:rPr>
                <w:rFonts w:ascii="Arial" w:hAnsi="Arial" w:cs="Arial"/>
                <w:noProof/>
                <w:webHidden/>
              </w:rPr>
              <w:t>3</w:t>
            </w:r>
            <w:r w:rsidR="00A45A35" w:rsidRPr="00A45A35">
              <w:rPr>
                <w:rFonts w:ascii="Arial" w:hAnsi="Arial" w:cs="Arial"/>
                <w:noProof/>
                <w:webHidden/>
              </w:rPr>
              <w:fldChar w:fldCharType="end"/>
            </w:r>
          </w:hyperlink>
        </w:p>
        <w:p w14:paraId="2949411D" w14:textId="1DAA7343" w:rsidR="00A45A35" w:rsidRPr="00A45A35" w:rsidRDefault="00A45A35">
          <w:pPr>
            <w:pStyle w:val="TOC1"/>
            <w:tabs>
              <w:tab w:val="right" w:leader="dot" w:pos="9016"/>
            </w:tabs>
            <w:rPr>
              <w:rFonts w:ascii="Arial" w:eastAsiaTheme="minorEastAsia" w:hAnsi="Arial" w:cs="Arial"/>
              <w:noProof/>
              <w:lang w:eastAsia="en-GB"/>
            </w:rPr>
          </w:pPr>
          <w:hyperlink w:anchor="_Toc216684742" w:history="1">
            <w:r w:rsidRPr="00A45A35">
              <w:rPr>
                <w:rStyle w:val="Hyperlink"/>
                <w:rFonts w:ascii="Arial" w:hAnsi="Arial" w:cs="Arial"/>
                <w:noProof/>
              </w:rPr>
              <w:t>2. Critical Analysis of each country's Centralised/Decentralised approaches to the pandemic</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_Toc216684742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4</w:t>
            </w:r>
            <w:r w:rsidRPr="00A45A35">
              <w:rPr>
                <w:rFonts w:ascii="Arial" w:hAnsi="Arial" w:cs="Arial"/>
                <w:noProof/>
                <w:webHidden/>
              </w:rPr>
              <w:fldChar w:fldCharType="end"/>
            </w:r>
          </w:hyperlink>
        </w:p>
        <w:p w14:paraId="7A53C242" w14:textId="440F56E1" w:rsidR="00A45A35" w:rsidRPr="00A45A35" w:rsidRDefault="00A45A35">
          <w:pPr>
            <w:pStyle w:val="TOC1"/>
            <w:tabs>
              <w:tab w:val="right" w:leader="dot" w:pos="9016"/>
            </w:tabs>
            <w:rPr>
              <w:rFonts w:ascii="Arial" w:eastAsiaTheme="minorEastAsia" w:hAnsi="Arial" w:cs="Arial"/>
              <w:noProof/>
              <w:lang w:eastAsia="en-GB"/>
            </w:rPr>
          </w:pPr>
          <w:hyperlink w:anchor="_Toc216684743" w:history="1">
            <w:r w:rsidRPr="00A45A35">
              <w:rPr>
                <w:rStyle w:val="Hyperlink"/>
                <w:rFonts w:ascii="Arial" w:hAnsi="Arial" w:cs="Arial"/>
                <w:noProof/>
              </w:rPr>
              <w:t>2.1 Spain</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_Toc216684743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4</w:t>
            </w:r>
            <w:r w:rsidRPr="00A45A35">
              <w:rPr>
                <w:rFonts w:ascii="Arial" w:hAnsi="Arial" w:cs="Arial"/>
                <w:noProof/>
                <w:webHidden/>
              </w:rPr>
              <w:fldChar w:fldCharType="end"/>
            </w:r>
          </w:hyperlink>
        </w:p>
        <w:p w14:paraId="7A505E2D" w14:textId="50055EFB" w:rsidR="00A45A35" w:rsidRPr="00A45A35" w:rsidRDefault="00A45A35">
          <w:pPr>
            <w:pStyle w:val="TOC2"/>
            <w:tabs>
              <w:tab w:val="right" w:leader="dot" w:pos="9016"/>
            </w:tabs>
            <w:rPr>
              <w:rFonts w:ascii="Arial" w:eastAsiaTheme="minorEastAsia" w:hAnsi="Arial" w:cs="Arial"/>
              <w:noProof/>
              <w:lang w:eastAsia="en-GB"/>
            </w:rPr>
          </w:pPr>
          <w:hyperlink w:anchor="_Toc216684744" w:history="1">
            <w:r w:rsidRPr="00A45A35">
              <w:rPr>
                <w:rStyle w:val="Hyperlink"/>
                <w:rFonts w:ascii="Arial" w:hAnsi="Arial" w:cs="Arial"/>
                <w:noProof/>
              </w:rPr>
              <w:t>2.1.1 Overview of Spain’s Healthcare System and COVID-19 Response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_Toc216684744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4</w:t>
            </w:r>
            <w:r w:rsidRPr="00A45A35">
              <w:rPr>
                <w:rFonts w:ascii="Arial" w:hAnsi="Arial" w:cs="Arial"/>
                <w:noProof/>
                <w:webHidden/>
              </w:rPr>
              <w:fldChar w:fldCharType="end"/>
            </w:r>
          </w:hyperlink>
        </w:p>
        <w:p w14:paraId="7839DC74" w14:textId="690285D2" w:rsidR="00A45A35" w:rsidRPr="00A45A35" w:rsidRDefault="00A45A35">
          <w:pPr>
            <w:pStyle w:val="TOC2"/>
            <w:tabs>
              <w:tab w:val="right" w:leader="dot" w:pos="9016"/>
            </w:tabs>
            <w:rPr>
              <w:rFonts w:ascii="Arial" w:eastAsiaTheme="minorEastAsia" w:hAnsi="Arial" w:cs="Arial"/>
              <w:noProof/>
              <w:lang w:eastAsia="en-GB"/>
            </w:rPr>
          </w:pPr>
          <w:hyperlink w:anchor="_Toc216684745" w:history="1">
            <w:r w:rsidRPr="00A45A35">
              <w:rPr>
                <w:rStyle w:val="Hyperlink"/>
                <w:rFonts w:ascii="Arial" w:hAnsi="Arial" w:cs="Arial"/>
                <w:noProof/>
              </w:rPr>
              <w:t>2.1.2 Advantages of Spain’s Systems Approach</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_Toc216684745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5</w:t>
            </w:r>
            <w:r w:rsidRPr="00A45A35">
              <w:rPr>
                <w:rFonts w:ascii="Arial" w:hAnsi="Arial" w:cs="Arial"/>
                <w:noProof/>
                <w:webHidden/>
              </w:rPr>
              <w:fldChar w:fldCharType="end"/>
            </w:r>
          </w:hyperlink>
        </w:p>
        <w:p w14:paraId="5ECB54EF" w14:textId="1B9C56F8" w:rsidR="00A45A35" w:rsidRPr="00A45A35" w:rsidRDefault="00A45A35">
          <w:pPr>
            <w:pStyle w:val="TOC2"/>
            <w:tabs>
              <w:tab w:val="right" w:leader="dot" w:pos="9016"/>
            </w:tabs>
            <w:rPr>
              <w:rFonts w:ascii="Arial" w:eastAsiaTheme="minorEastAsia" w:hAnsi="Arial" w:cs="Arial"/>
              <w:noProof/>
              <w:lang w:eastAsia="en-GB"/>
            </w:rPr>
          </w:pPr>
          <w:hyperlink w:anchor="_Toc216684746" w:history="1">
            <w:r w:rsidRPr="00A45A35">
              <w:rPr>
                <w:rStyle w:val="Hyperlink"/>
                <w:rFonts w:ascii="Arial" w:hAnsi="Arial" w:cs="Arial"/>
                <w:noProof/>
              </w:rPr>
              <w:t>2.1.3 Disadvantages and Challenges of the Approach</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_Toc216684746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5</w:t>
            </w:r>
            <w:r w:rsidRPr="00A45A35">
              <w:rPr>
                <w:rFonts w:ascii="Arial" w:hAnsi="Arial" w:cs="Arial"/>
                <w:noProof/>
                <w:webHidden/>
              </w:rPr>
              <w:fldChar w:fldCharType="end"/>
            </w:r>
          </w:hyperlink>
        </w:p>
        <w:p w14:paraId="39864C56" w14:textId="283FAB36" w:rsidR="00A45A35" w:rsidRPr="00A45A35" w:rsidRDefault="00A45A35">
          <w:pPr>
            <w:pStyle w:val="TOC1"/>
            <w:tabs>
              <w:tab w:val="right" w:leader="dot" w:pos="9016"/>
            </w:tabs>
            <w:rPr>
              <w:rFonts w:ascii="Arial" w:eastAsiaTheme="minorEastAsia" w:hAnsi="Arial" w:cs="Arial"/>
              <w:noProof/>
              <w:lang w:eastAsia="en-GB"/>
            </w:rPr>
          </w:pPr>
          <w:hyperlink w:anchor="_Toc216684747" w:history="1">
            <w:r w:rsidRPr="00A45A35">
              <w:rPr>
                <w:rStyle w:val="Hyperlink"/>
                <w:rFonts w:ascii="Arial" w:hAnsi="Arial" w:cs="Arial"/>
                <w:noProof/>
              </w:rPr>
              <w:t>2.2 South Korea</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_Toc216684747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6</w:t>
            </w:r>
            <w:r w:rsidRPr="00A45A35">
              <w:rPr>
                <w:rFonts w:ascii="Arial" w:hAnsi="Arial" w:cs="Arial"/>
                <w:noProof/>
                <w:webHidden/>
              </w:rPr>
              <w:fldChar w:fldCharType="end"/>
            </w:r>
          </w:hyperlink>
        </w:p>
        <w:p w14:paraId="702B4E37" w14:textId="39B158BC" w:rsidR="00A45A35" w:rsidRPr="00A45A35" w:rsidRDefault="00A45A35">
          <w:pPr>
            <w:pStyle w:val="TOC2"/>
            <w:tabs>
              <w:tab w:val="right" w:leader="dot" w:pos="9016"/>
            </w:tabs>
            <w:rPr>
              <w:rFonts w:ascii="Arial" w:eastAsiaTheme="minorEastAsia" w:hAnsi="Arial" w:cs="Arial"/>
              <w:noProof/>
              <w:lang w:eastAsia="en-GB"/>
            </w:rPr>
          </w:pPr>
          <w:hyperlink w:anchor="_Toc216684748" w:history="1">
            <w:r w:rsidRPr="00A45A35">
              <w:rPr>
                <w:rStyle w:val="Hyperlink"/>
                <w:rFonts w:ascii="Arial" w:hAnsi="Arial" w:cs="Arial"/>
                <w:noProof/>
              </w:rPr>
              <w:t>2.2.1 Overview of South Korea’s Healthcare System and COVID-19 Response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_Toc216684748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6</w:t>
            </w:r>
            <w:r w:rsidRPr="00A45A35">
              <w:rPr>
                <w:rFonts w:ascii="Arial" w:hAnsi="Arial" w:cs="Arial"/>
                <w:noProof/>
                <w:webHidden/>
              </w:rPr>
              <w:fldChar w:fldCharType="end"/>
            </w:r>
          </w:hyperlink>
        </w:p>
        <w:p w14:paraId="48647F0E" w14:textId="701F2CE3" w:rsidR="00A45A35" w:rsidRPr="00A45A35" w:rsidRDefault="00A45A35">
          <w:pPr>
            <w:pStyle w:val="TOC2"/>
            <w:tabs>
              <w:tab w:val="right" w:leader="dot" w:pos="9016"/>
            </w:tabs>
            <w:rPr>
              <w:rFonts w:ascii="Arial" w:eastAsiaTheme="minorEastAsia" w:hAnsi="Arial" w:cs="Arial"/>
              <w:noProof/>
              <w:lang w:eastAsia="en-GB"/>
            </w:rPr>
          </w:pPr>
          <w:hyperlink w:anchor="_Toc216684749" w:history="1">
            <w:r w:rsidRPr="00A45A35">
              <w:rPr>
                <w:rStyle w:val="Hyperlink"/>
                <w:rFonts w:ascii="Arial" w:hAnsi="Arial" w:cs="Arial"/>
                <w:noProof/>
              </w:rPr>
              <w:t>2.2.2 Advantages of South Korea’s Systems Approach</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_Toc216684749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7</w:t>
            </w:r>
            <w:r w:rsidRPr="00A45A35">
              <w:rPr>
                <w:rFonts w:ascii="Arial" w:hAnsi="Arial" w:cs="Arial"/>
                <w:noProof/>
                <w:webHidden/>
              </w:rPr>
              <w:fldChar w:fldCharType="end"/>
            </w:r>
          </w:hyperlink>
        </w:p>
        <w:p w14:paraId="526B054A" w14:textId="53F10714" w:rsidR="00A45A35" w:rsidRPr="00A45A35" w:rsidRDefault="00A45A35">
          <w:pPr>
            <w:pStyle w:val="TOC2"/>
            <w:tabs>
              <w:tab w:val="right" w:leader="dot" w:pos="9016"/>
            </w:tabs>
            <w:rPr>
              <w:rFonts w:ascii="Arial" w:eastAsiaTheme="minorEastAsia" w:hAnsi="Arial" w:cs="Arial"/>
              <w:noProof/>
              <w:lang w:eastAsia="en-GB"/>
            </w:rPr>
          </w:pPr>
          <w:hyperlink w:anchor="_Toc216684750" w:history="1">
            <w:r w:rsidRPr="00A45A35">
              <w:rPr>
                <w:rStyle w:val="Hyperlink"/>
                <w:rFonts w:ascii="Arial" w:hAnsi="Arial" w:cs="Arial"/>
                <w:noProof/>
              </w:rPr>
              <w:t>2.2.3 Disadvantages and Challenges of the Approach</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_Toc216684750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8</w:t>
            </w:r>
            <w:r w:rsidRPr="00A45A35">
              <w:rPr>
                <w:rFonts w:ascii="Arial" w:hAnsi="Arial" w:cs="Arial"/>
                <w:noProof/>
                <w:webHidden/>
              </w:rPr>
              <w:fldChar w:fldCharType="end"/>
            </w:r>
          </w:hyperlink>
        </w:p>
        <w:p w14:paraId="6EB6D37A" w14:textId="5C3BBF72" w:rsidR="00A45A35" w:rsidRPr="00A45A35" w:rsidRDefault="00A45A35">
          <w:pPr>
            <w:pStyle w:val="TOC1"/>
            <w:tabs>
              <w:tab w:val="right" w:leader="dot" w:pos="9016"/>
            </w:tabs>
            <w:rPr>
              <w:rFonts w:ascii="Arial" w:eastAsiaTheme="minorEastAsia" w:hAnsi="Arial" w:cs="Arial"/>
              <w:noProof/>
              <w:lang w:eastAsia="en-GB"/>
            </w:rPr>
          </w:pPr>
          <w:hyperlink w:anchor="_Toc216684751" w:history="1">
            <w:r w:rsidRPr="00A45A35">
              <w:rPr>
                <w:rStyle w:val="Hyperlink"/>
                <w:rFonts w:ascii="Arial" w:hAnsi="Arial" w:cs="Arial"/>
                <w:noProof/>
              </w:rPr>
              <w:t>2.3 Canada</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_Toc216684751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9</w:t>
            </w:r>
            <w:r w:rsidRPr="00A45A35">
              <w:rPr>
                <w:rFonts w:ascii="Arial" w:hAnsi="Arial" w:cs="Arial"/>
                <w:noProof/>
                <w:webHidden/>
              </w:rPr>
              <w:fldChar w:fldCharType="end"/>
            </w:r>
          </w:hyperlink>
        </w:p>
        <w:p w14:paraId="76DBE93A" w14:textId="71C0723A" w:rsidR="00A45A35" w:rsidRPr="00A45A35" w:rsidRDefault="00A45A35">
          <w:pPr>
            <w:pStyle w:val="TOC2"/>
            <w:tabs>
              <w:tab w:val="right" w:leader="dot" w:pos="9016"/>
            </w:tabs>
            <w:rPr>
              <w:rFonts w:ascii="Arial" w:eastAsiaTheme="minorEastAsia" w:hAnsi="Arial" w:cs="Arial"/>
              <w:noProof/>
              <w:lang w:eastAsia="en-GB"/>
            </w:rPr>
          </w:pPr>
          <w:hyperlink w:anchor="_Toc216684752" w:history="1">
            <w:r w:rsidRPr="00A45A35">
              <w:rPr>
                <w:rStyle w:val="Hyperlink"/>
                <w:rFonts w:ascii="Arial" w:hAnsi="Arial" w:cs="Arial"/>
                <w:noProof/>
              </w:rPr>
              <w:t>2.3.1 Overview of Canada’s Healthcare System and COVID-19 Response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_Toc216684752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9</w:t>
            </w:r>
            <w:r w:rsidRPr="00A45A35">
              <w:rPr>
                <w:rFonts w:ascii="Arial" w:hAnsi="Arial" w:cs="Arial"/>
                <w:noProof/>
                <w:webHidden/>
              </w:rPr>
              <w:fldChar w:fldCharType="end"/>
            </w:r>
          </w:hyperlink>
        </w:p>
        <w:p w14:paraId="6D8F444A" w14:textId="19E73C2F" w:rsidR="00A45A35" w:rsidRPr="00A45A35" w:rsidRDefault="00A45A35">
          <w:pPr>
            <w:pStyle w:val="TOC2"/>
            <w:tabs>
              <w:tab w:val="right" w:leader="dot" w:pos="9016"/>
            </w:tabs>
            <w:rPr>
              <w:rFonts w:ascii="Arial" w:eastAsiaTheme="minorEastAsia" w:hAnsi="Arial" w:cs="Arial"/>
              <w:noProof/>
              <w:lang w:eastAsia="en-GB"/>
            </w:rPr>
          </w:pPr>
          <w:hyperlink w:anchor="_Toc216684753" w:history="1">
            <w:r w:rsidRPr="00A45A35">
              <w:rPr>
                <w:rStyle w:val="Hyperlink"/>
                <w:rFonts w:ascii="Arial" w:hAnsi="Arial" w:cs="Arial"/>
                <w:noProof/>
              </w:rPr>
              <w:t>2.3.2 Advantages of Canada’s Systems Approach</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_Toc216684753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10</w:t>
            </w:r>
            <w:r w:rsidRPr="00A45A35">
              <w:rPr>
                <w:rFonts w:ascii="Arial" w:hAnsi="Arial" w:cs="Arial"/>
                <w:noProof/>
                <w:webHidden/>
              </w:rPr>
              <w:fldChar w:fldCharType="end"/>
            </w:r>
          </w:hyperlink>
        </w:p>
        <w:p w14:paraId="2C3BAC37" w14:textId="31E60EB0" w:rsidR="00A45A35" w:rsidRPr="00A45A35" w:rsidRDefault="00A45A35">
          <w:pPr>
            <w:pStyle w:val="TOC2"/>
            <w:tabs>
              <w:tab w:val="right" w:leader="dot" w:pos="9016"/>
            </w:tabs>
            <w:rPr>
              <w:rFonts w:ascii="Arial" w:eastAsiaTheme="minorEastAsia" w:hAnsi="Arial" w:cs="Arial"/>
              <w:noProof/>
              <w:lang w:eastAsia="en-GB"/>
            </w:rPr>
          </w:pPr>
          <w:hyperlink w:anchor="_Toc216684754" w:history="1">
            <w:r w:rsidRPr="00A45A35">
              <w:rPr>
                <w:rStyle w:val="Hyperlink"/>
                <w:rFonts w:ascii="Arial" w:hAnsi="Arial" w:cs="Arial"/>
                <w:noProof/>
              </w:rPr>
              <w:t>2.3.3 Disadvantages and Challenges of the Approach</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_Toc216684754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11</w:t>
            </w:r>
            <w:r w:rsidRPr="00A45A35">
              <w:rPr>
                <w:rFonts w:ascii="Arial" w:hAnsi="Arial" w:cs="Arial"/>
                <w:noProof/>
                <w:webHidden/>
              </w:rPr>
              <w:fldChar w:fldCharType="end"/>
            </w:r>
          </w:hyperlink>
        </w:p>
        <w:p w14:paraId="084A9206" w14:textId="41E02216" w:rsidR="00A45A35" w:rsidRPr="00A45A35" w:rsidRDefault="00A45A35">
          <w:pPr>
            <w:pStyle w:val="TOC1"/>
            <w:tabs>
              <w:tab w:val="right" w:leader="dot" w:pos="9016"/>
            </w:tabs>
            <w:rPr>
              <w:rFonts w:ascii="Arial" w:eastAsiaTheme="minorEastAsia" w:hAnsi="Arial" w:cs="Arial"/>
              <w:noProof/>
              <w:lang w:eastAsia="en-GB"/>
            </w:rPr>
          </w:pPr>
          <w:hyperlink w:anchor="_Toc216684755" w:history="1">
            <w:r w:rsidRPr="00A45A35">
              <w:rPr>
                <w:rStyle w:val="Hyperlink"/>
                <w:rFonts w:ascii="Arial" w:hAnsi="Arial" w:cs="Arial"/>
                <w:noProof/>
              </w:rPr>
              <w:t>3. Critical Analysis of the Leadership Styles taken in each Country</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_Toc216684755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12</w:t>
            </w:r>
            <w:r w:rsidRPr="00A45A35">
              <w:rPr>
                <w:rFonts w:ascii="Arial" w:hAnsi="Arial" w:cs="Arial"/>
                <w:noProof/>
                <w:webHidden/>
              </w:rPr>
              <w:fldChar w:fldCharType="end"/>
            </w:r>
          </w:hyperlink>
        </w:p>
        <w:p w14:paraId="2FD0B411" w14:textId="66EA510C" w:rsidR="00A45A35" w:rsidRPr="00A45A35" w:rsidRDefault="00A45A35">
          <w:pPr>
            <w:pStyle w:val="TOC1"/>
            <w:tabs>
              <w:tab w:val="right" w:leader="dot" w:pos="9016"/>
            </w:tabs>
            <w:rPr>
              <w:rFonts w:ascii="Arial" w:eastAsiaTheme="minorEastAsia" w:hAnsi="Arial" w:cs="Arial"/>
              <w:noProof/>
              <w:lang w:eastAsia="en-GB"/>
            </w:rPr>
          </w:pPr>
          <w:hyperlink w:anchor="_Toc216684756" w:history="1">
            <w:r w:rsidRPr="00A45A35">
              <w:rPr>
                <w:rStyle w:val="Hyperlink"/>
                <w:rFonts w:ascii="Arial" w:hAnsi="Arial" w:cs="Arial"/>
                <w:noProof/>
              </w:rPr>
              <w:t>3.1 Leadership Styles in Spain</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_Toc216684756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12</w:t>
            </w:r>
            <w:r w:rsidRPr="00A45A35">
              <w:rPr>
                <w:rFonts w:ascii="Arial" w:hAnsi="Arial" w:cs="Arial"/>
                <w:noProof/>
                <w:webHidden/>
              </w:rPr>
              <w:fldChar w:fldCharType="end"/>
            </w:r>
          </w:hyperlink>
        </w:p>
        <w:p w14:paraId="7498B961" w14:textId="59D97A48" w:rsidR="00A45A35" w:rsidRPr="00A45A35" w:rsidRDefault="00A45A35">
          <w:pPr>
            <w:pStyle w:val="TOC2"/>
            <w:tabs>
              <w:tab w:val="right" w:leader="dot" w:pos="9016"/>
            </w:tabs>
            <w:rPr>
              <w:rFonts w:ascii="Arial" w:eastAsiaTheme="minorEastAsia" w:hAnsi="Arial" w:cs="Arial"/>
              <w:noProof/>
              <w:lang w:eastAsia="en-GB"/>
            </w:rPr>
          </w:pPr>
          <w:hyperlink w:anchor="_Toc216684757" w:history="1">
            <w:r w:rsidRPr="00A45A35">
              <w:rPr>
                <w:rStyle w:val="Hyperlink"/>
                <w:rFonts w:ascii="Arial" w:hAnsi="Arial" w:cs="Arial"/>
                <w:noProof/>
              </w:rPr>
              <w:t>3.1.1 Advantages of Spain’s Leadership Style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_Toc216684757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12</w:t>
            </w:r>
            <w:r w:rsidRPr="00A45A35">
              <w:rPr>
                <w:rFonts w:ascii="Arial" w:hAnsi="Arial" w:cs="Arial"/>
                <w:noProof/>
                <w:webHidden/>
              </w:rPr>
              <w:fldChar w:fldCharType="end"/>
            </w:r>
          </w:hyperlink>
        </w:p>
        <w:p w14:paraId="220CA9D6" w14:textId="15B70A59" w:rsidR="00A45A35" w:rsidRPr="00A45A35" w:rsidRDefault="00A45A35">
          <w:pPr>
            <w:pStyle w:val="TOC2"/>
            <w:tabs>
              <w:tab w:val="right" w:leader="dot" w:pos="9016"/>
            </w:tabs>
            <w:rPr>
              <w:rFonts w:ascii="Arial" w:eastAsiaTheme="minorEastAsia" w:hAnsi="Arial" w:cs="Arial"/>
              <w:noProof/>
              <w:lang w:eastAsia="en-GB"/>
            </w:rPr>
          </w:pPr>
          <w:hyperlink w:anchor="_Toc216684758" w:history="1">
            <w:r w:rsidRPr="00A45A35">
              <w:rPr>
                <w:rStyle w:val="Hyperlink"/>
                <w:rFonts w:ascii="Arial" w:hAnsi="Arial" w:cs="Arial"/>
                <w:noProof/>
              </w:rPr>
              <w:t>3.1.2 Disadvantages and Limitations of Spain’s Leadership Style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_Toc216684758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13</w:t>
            </w:r>
            <w:r w:rsidRPr="00A45A35">
              <w:rPr>
                <w:rFonts w:ascii="Arial" w:hAnsi="Arial" w:cs="Arial"/>
                <w:noProof/>
                <w:webHidden/>
              </w:rPr>
              <w:fldChar w:fldCharType="end"/>
            </w:r>
          </w:hyperlink>
        </w:p>
        <w:p w14:paraId="5ADC4A49" w14:textId="752FBFF5" w:rsidR="00A45A35" w:rsidRPr="00A45A35" w:rsidRDefault="00A45A35">
          <w:pPr>
            <w:pStyle w:val="TOC1"/>
            <w:tabs>
              <w:tab w:val="right" w:leader="dot" w:pos="9016"/>
            </w:tabs>
            <w:rPr>
              <w:rFonts w:ascii="Arial" w:eastAsiaTheme="minorEastAsia" w:hAnsi="Arial" w:cs="Arial"/>
              <w:noProof/>
              <w:lang w:eastAsia="en-GB"/>
            </w:rPr>
          </w:pPr>
          <w:hyperlink w:anchor="_Toc216684759" w:history="1">
            <w:r w:rsidRPr="00A45A35">
              <w:rPr>
                <w:rStyle w:val="Hyperlink"/>
                <w:rFonts w:ascii="Arial" w:hAnsi="Arial" w:cs="Arial"/>
                <w:noProof/>
              </w:rPr>
              <w:t>3.2 Leadership Styles in South Korea</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_Toc216684759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14</w:t>
            </w:r>
            <w:r w:rsidRPr="00A45A35">
              <w:rPr>
                <w:rFonts w:ascii="Arial" w:hAnsi="Arial" w:cs="Arial"/>
                <w:noProof/>
                <w:webHidden/>
              </w:rPr>
              <w:fldChar w:fldCharType="end"/>
            </w:r>
          </w:hyperlink>
        </w:p>
        <w:p w14:paraId="501AC0AA" w14:textId="1D2ADEE8" w:rsidR="00A45A35" w:rsidRPr="00A45A35" w:rsidRDefault="00A45A35">
          <w:pPr>
            <w:pStyle w:val="TOC2"/>
            <w:tabs>
              <w:tab w:val="right" w:leader="dot" w:pos="9016"/>
            </w:tabs>
            <w:rPr>
              <w:rFonts w:ascii="Arial" w:eastAsiaTheme="minorEastAsia" w:hAnsi="Arial" w:cs="Arial"/>
              <w:noProof/>
              <w:lang w:eastAsia="en-GB"/>
            </w:rPr>
          </w:pPr>
          <w:hyperlink w:anchor="_Toc216684760" w:history="1">
            <w:r w:rsidRPr="00A45A35">
              <w:rPr>
                <w:rStyle w:val="Hyperlink"/>
                <w:rFonts w:ascii="Arial" w:hAnsi="Arial" w:cs="Arial"/>
                <w:noProof/>
              </w:rPr>
              <w:t>3.2.1 Advantages of South Korea’s Leadership Style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_Toc216684760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14</w:t>
            </w:r>
            <w:r w:rsidRPr="00A45A35">
              <w:rPr>
                <w:rFonts w:ascii="Arial" w:hAnsi="Arial" w:cs="Arial"/>
                <w:noProof/>
                <w:webHidden/>
              </w:rPr>
              <w:fldChar w:fldCharType="end"/>
            </w:r>
          </w:hyperlink>
        </w:p>
        <w:p w14:paraId="2D5E140C" w14:textId="357B0ED5" w:rsidR="00A45A35" w:rsidRPr="00A45A35" w:rsidRDefault="00A45A35">
          <w:pPr>
            <w:pStyle w:val="TOC2"/>
            <w:tabs>
              <w:tab w:val="right" w:leader="dot" w:pos="9016"/>
            </w:tabs>
            <w:rPr>
              <w:rFonts w:ascii="Arial" w:eastAsiaTheme="minorEastAsia" w:hAnsi="Arial" w:cs="Arial"/>
              <w:noProof/>
              <w:lang w:eastAsia="en-GB"/>
            </w:rPr>
          </w:pPr>
          <w:hyperlink w:anchor="_Toc216684761" w:history="1">
            <w:r w:rsidRPr="00A45A35">
              <w:rPr>
                <w:rStyle w:val="Hyperlink"/>
                <w:rFonts w:ascii="Arial" w:hAnsi="Arial" w:cs="Arial"/>
                <w:noProof/>
              </w:rPr>
              <w:t>3.2.2 Disadvantages and Limitations of South Korea’s Leadership Style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_Toc216684761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15</w:t>
            </w:r>
            <w:r w:rsidRPr="00A45A35">
              <w:rPr>
                <w:rFonts w:ascii="Arial" w:hAnsi="Arial" w:cs="Arial"/>
                <w:noProof/>
                <w:webHidden/>
              </w:rPr>
              <w:fldChar w:fldCharType="end"/>
            </w:r>
          </w:hyperlink>
        </w:p>
        <w:p w14:paraId="0D33E57B" w14:textId="65014DC0" w:rsidR="00A45A35" w:rsidRPr="00A45A35" w:rsidRDefault="00A45A35">
          <w:pPr>
            <w:pStyle w:val="TOC1"/>
            <w:tabs>
              <w:tab w:val="right" w:leader="dot" w:pos="9016"/>
            </w:tabs>
            <w:rPr>
              <w:rFonts w:ascii="Arial" w:eastAsiaTheme="minorEastAsia" w:hAnsi="Arial" w:cs="Arial"/>
              <w:noProof/>
              <w:lang w:eastAsia="en-GB"/>
            </w:rPr>
          </w:pPr>
          <w:hyperlink w:anchor="_Toc216684762" w:history="1">
            <w:r w:rsidRPr="00A45A35">
              <w:rPr>
                <w:rStyle w:val="Hyperlink"/>
                <w:rFonts w:ascii="Arial" w:hAnsi="Arial" w:cs="Arial"/>
                <w:noProof/>
              </w:rPr>
              <w:t>3.3 Leadership Styles in Canada</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_Toc216684762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16</w:t>
            </w:r>
            <w:r w:rsidRPr="00A45A35">
              <w:rPr>
                <w:rFonts w:ascii="Arial" w:hAnsi="Arial" w:cs="Arial"/>
                <w:noProof/>
                <w:webHidden/>
              </w:rPr>
              <w:fldChar w:fldCharType="end"/>
            </w:r>
          </w:hyperlink>
        </w:p>
        <w:p w14:paraId="1AF76059" w14:textId="627A93D2" w:rsidR="00A45A35" w:rsidRPr="00A45A35" w:rsidRDefault="00A45A35">
          <w:pPr>
            <w:pStyle w:val="TOC2"/>
            <w:tabs>
              <w:tab w:val="right" w:leader="dot" w:pos="9016"/>
            </w:tabs>
            <w:rPr>
              <w:rFonts w:ascii="Arial" w:eastAsiaTheme="minorEastAsia" w:hAnsi="Arial" w:cs="Arial"/>
              <w:noProof/>
              <w:lang w:eastAsia="en-GB"/>
            </w:rPr>
          </w:pPr>
          <w:hyperlink w:anchor="_Toc216684763" w:history="1">
            <w:r w:rsidRPr="00A45A35">
              <w:rPr>
                <w:rStyle w:val="Hyperlink"/>
                <w:rFonts w:ascii="Arial" w:hAnsi="Arial" w:cs="Arial"/>
                <w:noProof/>
              </w:rPr>
              <w:t>3.3.1 Advantages of Canada’s Leadership Style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_Toc216684763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17</w:t>
            </w:r>
            <w:r w:rsidRPr="00A45A35">
              <w:rPr>
                <w:rFonts w:ascii="Arial" w:hAnsi="Arial" w:cs="Arial"/>
                <w:noProof/>
                <w:webHidden/>
              </w:rPr>
              <w:fldChar w:fldCharType="end"/>
            </w:r>
          </w:hyperlink>
        </w:p>
        <w:p w14:paraId="1F3806CF" w14:textId="0F469432" w:rsidR="00A45A35" w:rsidRPr="00A45A35" w:rsidRDefault="00A45A35">
          <w:pPr>
            <w:pStyle w:val="TOC2"/>
            <w:tabs>
              <w:tab w:val="right" w:leader="dot" w:pos="9016"/>
            </w:tabs>
            <w:rPr>
              <w:rFonts w:ascii="Arial" w:eastAsiaTheme="minorEastAsia" w:hAnsi="Arial" w:cs="Arial"/>
              <w:noProof/>
              <w:lang w:eastAsia="en-GB"/>
            </w:rPr>
          </w:pPr>
          <w:hyperlink w:anchor="_Toc216684764" w:history="1">
            <w:r w:rsidRPr="00A45A35">
              <w:rPr>
                <w:rStyle w:val="Hyperlink"/>
                <w:rFonts w:ascii="Arial" w:hAnsi="Arial" w:cs="Arial"/>
                <w:noProof/>
              </w:rPr>
              <w:t>3.3.2 Disadvantages and Limitations of Canada’s Leadership Style</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_Toc216684764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17</w:t>
            </w:r>
            <w:r w:rsidRPr="00A45A35">
              <w:rPr>
                <w:rFonts w:ascii="Arial" w:hAnsi="Arial" w:cs="Arial"/>
                <w:noProof/>
                <w:webHidden/>
              </w:rPr>
              <w:fldChar w:fldCharType="end"/>
            </w:r>
          </w:hyperlink>
        </w:p>
        <w:p w14:paraId="4369E9D2" w14:textId="74AEFA6C" w:rsidR="00A45A35" w:rsidRPr="00A45A35" w:rsidRDefault="00A45A35">
          <w:pPr>
            <w:pStyle w:val="TOC1"/>
            <w:tabs>
              <w:tab w:val="right" w:leader="dot" w:pos="9016"/>
            </w:tabs>
            <w:rPr>
              <w:rFonts w:ascii="Arial" w:eastAsiaTheme="minorEastAsia" w:hAnsi="Arial" w:cs="Arial"/>
              <w:noProof/>
              <w:lang w:eastAsia="en-GB"/>
            </w:rPr>
          </w:pPr>
          <w:hyperlink w:anchor="_Toc216684765" w:history="1">
            <w:r w:rsidRPr="00A45A35">
              <w:rPr>
                <w:rStyle w:val="Hyperlink"/>
                <w:rFonts w:ascii="Arial" w:hAnsi="Arial" w:cs="Arial"/>
                <w:noProof/>
              </w:rPr>
              <w:t>4. Conclusion</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_Toc216684765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18</w:t>
            </w:r>
            <w:r w:rsidRPr="00A45A35">
              <w:rPr>
                <w:rFonts w:ascii="Arial" w:hAnsi="Arial" w:cs="Arial"/>
                <w:noProof/>
                <w:webHidden/>
              </w:rPr>
              <w:fldChar w:fldCharType="end"/>
            </w:r>
          </w:hyperlink>
        </w:p>
        <w:p w14:paraId="513C0716" w14:textId="1A304840" w:rsidR="00A45A35" w:rsidRPr="00A45A35" w:rsidRDefault="00A45A35">
          <w:pPr>
            <w:pStyle w:val="TOC1"/>
            <w:tabs>
              <w:tab w:val="right" w:leader="dot" w:pos="9016"/>
            </w:tabs>
            <w:rPr>
              <w:rFonts w:ascii="Arial" w:eastAsiaTheme="minorEastAsia" w:hAnsi="Arial" w:cs="Arial"/>
              <w:noProof/>
              <w:lang w:eastAsia="en-GB"/>
            </w:rPr>
          </w:pPr>
          <w:hyperlink w:anchor="_Toc216684766" w:history="1">
            <w:r w:rsidRPr="00A45A35">
              <w:rPr>
                <w:rStyle w:val="Hyperlink"/>
                <w:rFonts w:ascii="Arial" w:hAnsi="Arial" w:cs="Arial"/>
                <w:noProof/>
              </w:rPr>
              <w:t>References</w:t>
            </w:r>
            <w:r w:rsidRPr="00A45A35">
              <w:rPr>
                <w:rFonts w:ascii="Arial" w:hAnsi="Arial" w:cs="Arial"/>
                <w:noProof/>
                <w:webHidden/>
              </w:rPr>
              <w:tab/>
            </w:r>
            <w:r w:rsidRPr="00A45A35">
              <w:rPr>
                <w:rFonts w:ascii="Arial" w:hAnsi="Arial" w:cs="Arial"/>
                <w:noProof/>
                <w:webHidden/>
              </w:rPr>
              <w:fldChar w:fldCharType="begin"/>
            </w:r>
            <w:r w:rsidRPr="00A45A35">
              <w:rPr>
                <w:rFonts w:ascii="Arial" w:hAnsi="Arial" w:cs="Arial"/>
                <w:noProof/>
                <w:webHidden/>
              </w:rPr>
              <w:instrText xml:space="preserve"> PAGEREF _Toc216684766 \h </w:instrText>
            </w:r>
            <w:r w:rsidRPr="00A45A35">
              <w:rPr>
                <w:rFonts w:ascii="Arial" w:hAnsi="Arial" w:cs="Arial"/>
                <w:noProof/>
                <w:webHidden/>
              </w:rPr>
            </w:r>
            <w:r w:rsidRPr="00A45A35">
              <w:rPr>
                <w:rFonts w:ascii="Arial" w:hAnsi="Arial" w:cs="Arial"/>
                <w:noProof/>
                <w:webHidden/>
              </w:rPr>
              <w:fldChar w:fldCharType="separate"/>
            </w:r>
            <w:r w:rsidR="009B5F98">
              <w:rPr>
                <w:rFonts w:ascii="Arial" w:hAnsi="Arial" w:cs="Arial"/>
                <w:noProof/>
                <w:webHidden/>
              </w:rPr>
              <w:t>19</w:t>
            </w:r>
            <w:r w:rsidRPr="00A45A35">
              <w:rPr>
                <w:rFonts w:ascii="Arial" w:hAnsi="Arial" w:cs="Arial"/>
                <w:noProof/>
                <w:webHidden/>
              </w:rPr>
              <w:fldChar w:fldCharType="end"/>
            </w:r>
          </w:hyperlink>
        </w:p>
        <w:p w14:paraId="1EF157EB" w14:textId="06E8C31E" w:rsidR="009713B3" w:rsidRPr="00A45A35" w:rsidRDefault="009713B3">
          <w:pPr>
            <w:rPr>
              <w:rFonts w:ascii="Arial" w:hAnsi="Arial" w:cs="Arial"/>
            </w:rPr>
          </w:pPr>
          <w:r w:rsidRPr="00A45A35">
            <w:rPr>
              <w:rFonts w:ascii="Arial" w:hAnsi="Arial" w:cs="Arial"/>
              <w:b/>
              <w:bCs/>
            </w:rPr>
            <w:fldChar w:fldCharType="end"/>
          </w:r>
        </w:p>
      </w:sdtContent>
    </w:sdt>
    <w:p w14:paraId="43B2004F" w14:textId="77777777" w:rsidR="009713B3" w:rsidRPr="00A45A35" w:rsidRDefault="009713B3" w:rsidP="009713B3">
      <w:pPr>
        <w:spacing w:line="360" w:lineRule="auto"/>
        <w:jc w:val="both"/>
        <w:rPr>
          <w:rFonts w:ascii="Arial" w:hAnsi="Arial" w:cs="Arial"/>
        </w:rPr>
      </w:pPr>
    </w:p>
    <w:p w14:paraId="498D693E" w14:textId="77777777" w:rsidR="009713B3" w:rsidRDefault="009713B3" w:rsidP="009713B3">
      <w:pPr>
        <w:spacing w:line="360" w:lineRule="auto"/>
        <w:jc w:val="both"/>
        <w:rPr>
          <w:rFonts w:ascii="Arial" w:hAnsi="Arial" w:cs="Arial"/>
        </w:rPr>
      </w:pPr>
    </w:p>
    <w:p w14:paraId="7759B347" w14:textId="77777777" w:rsidR="009713B3" w:rsidRPr="009713B3" w:rsidRDefault="009713B3" w:rsidP="009713B3">
      <w:pPr>
        <w:spacing w:line="360" w:lineRule="auto"/>
        <w:jc w:val="both"/>
        <w:rPr>
          <w:rFonts w:ascii="Arial" w:hAnsi="Arial" w:cs="Arial"/>
        </w:rPr>
      </w:pPr>
    </w:p>
    <w:p w14:paraId="114BF039" w14:textId="22C7D14F" w:rsidR="000232B3" w:rsidRPr="009713B3" w:rsidRDefault="007D5BB9" w:rsidP="009713B3">
      <w:pPr>
        <w:pStyle w:val="Heading1"/>
        <w:spacing w:line="360" w:lineRule="auto"/>
        <w:jc w:val="both"/>
        <w:rPr>
          <w:rFonts w:cs="Arial"/>
        </w:rPr>
      </w:pPr>
      <w:bookmarkStart w:id="0" w:name="_Toc216684741"/>
      <w:r w:rsidRPr="009713B3">
        <w:rPr>
          <w:rFonts w:cs="Arial"/>
        </w:rPr>
        <w:lastRenderedPageBreak/>
        <w:t xml:space="preserve">1. </w:t>
      </w:r>
      <w:r w:rsidR="00C9578D" w:rsidRPr="009713B3">
        <w:rPr>
          <w:rFonts w:cs="Arial"/>
        </w:rPr>
        <w:t>Introduction</w:t>
      </w:r>
      <w:bookmarkEnd w:id="0"/>
      <w:r w:rsidR="00C9578D" w:rsidRPr="009713B3">
        <w:rPr>
          <w:rFonts w:cs="Arial"/>
        </w:rPr>
        <w:t xml:space="preserve"> </w:t>
      </w:r>
    </w:p>
    <w:p w14:paraId="4DE010E4" w14:textId="017BE052" w:rsidR="00C9578D" w:rsidRPr="00C9578D" w:rsidRDefault="00C9578D" w:rsidP="009713B3">
      <w:pPr>
        <w:spacing w:line="360" w:lineRule="auto"/>
        <w:jc w:val="both"/>
        <w:rPr>
          <w:rFonts w:ascii="Arial" w:hAnsi="Arial" w:cs="Arial"/>
        </w:rPr>
      </w:pPr>
      <w:r w:rsidRPr="00C9578D">
        <w:rPr>
          <w:rFonts w:ascii="Arial" w:hAnsi="Arial" w:cs="Arial"/>
        </w:rPr>
        <w:t>The COVID-19 pandemic prompted governments across the world to implement unique public health strategies shaped by their existing healthcare structures, governance models, and leadership styles</w:t>
      </w:r>
      <w:r w:rsidR="00D400F8" w:rsidRPr="009713B3">
        <w:rPr>
          <w:rFonts w:ascii="Arial" w:hAnsi="Arial" w:cs="Arial"/>
        </w:rPr>
        <w:t xml:space="preserve"> (DeSalvo et al, 2021)</w:t>
      </w:r>
      <w:r w:rsidRPr="00C9578D">
        <w:rPr>
          <w:rFonts w:ascii="Arial" w:hAnsi="Arial" w:cs="Arial"/>
        </w:rPr>
        <w:t xml:space="preserve">. This report </w:t>
      </w:r>
      <w:r w:rsidR="000A05F0" w:rsidRPr="009713B3">
        <w:rPr>
          <w:rFonts w:ascii="Arial" w:hAnsi="Arial" w:cs="Arial"/>
        </w:rPr>
        <w:t>compares</w:t>
      </w:r>
      <w:r w:rsidRPr="00C9578D">
        <w:rPr>
          <w:rFonts w:ascii="Arial" w:hAnsi="Arial" w:cs="Arial"/>
        </w:rPr>
        <w:t xml:space="preserve"> the pandemic response in Spain, South Korea, and Canada, focusing on how their healthcare systems influenced decision-making, implementation of public health measures, and vaccination rollouts. Each of the three countries represents a distinct health governance model: Spain with its nationally funded but regionally administered system; South Korea with a highly centralised and technologically integrated healthcare administration; and Canada with a decentralised provincial delivery system under national guidance</w:t>
      </w:r>
      <w:r w:rsidR="007D522C">
        <w:rPr>
          <w:rFonts w:ascii="Arial" w:hAnsi="Arial" w:cs="Arial"/>
        </w:rPr>
        <w:t xml:space="preserve"> (</w:t>
      </w:r>
      <w:r w:rsidR="007D522C" w:rsidRPr="007D522C">
        <w:rPr>
          <w:rFonts w:ascii="Arial" w:hAnsi="Arial" w:cs="Arial"/>
        </w:rPr>
        <w:t>Ohrling</w:t>
      </w:r>
      <w:r w:rsidR="007D522C">
        <w:rPr>
          <w:rFonts w:ascii="Arial" w:hAnsi="Arial" w:cs="Arial"/>
        </w:rPr>
        <w:t xml:space="preserve"> et al, 2022)</w:t>
      </w:r>
      <w:r w:rsidRPr="00C9578D">
        <w:rPr>
          <w:rFonts w:ascii="Arial" w:hAnsi="Arial" w:cs="Arial"/>
        </w:rPr>
        <w:t xml:space="preserve">. The report further examines how these differences impacted testing strategies, contact tracing, public communication, and overall pandemic preparedness. Through comparison, the report highlights how </w:t>
      </w:r>
      <w:r w:rsidR="00D400F8" w:rsidRPr="009713B3">
        <w:rPr>
          <w:rFonts w:ascii="Arial" w:hAnsi="Arial" w:cs="Arial"/>
        </w:rPr>
        <w:t xml:space="preserve">the </w:t>
      </w:r>
      <w:r w:rsidRPr="00C9578D">
        <w:rPr>
          <w:rFonts w:ascii="Arial" w:hAnsi="Arial" w:cs="Arial"/>
        </w:rPr>
        <w:t>governance structure either facilitated or challenged timely and coordinated action during a global health crisis.</w:t>
      </w:r>
    </w:p>
    <w:p w14:paraId="27F4CAEE" w14:textId="62610306" w:rsidR="00C9578D" w:rsidRPr="00C9578D" w:rsidRDefault="00C9578D" w:rsidP="009713B3">
      <w:pPr>
        <w:spacing w:line="360" w:lineRule="auto"/>
        <w:jc w:val="both"/>
        <w:rPr>
          <w:rFonts w:ascii="Arial" w:hAnsi="Arial" w:cs="Arial"/>
        </w:rPr>
      </w:pPr>
      <w:r w:rsidRPr="00C9578D">
        <w:rPr>
          <w:rFonts w:ascii="Arial" w:hAnsi="Arial" w:cs="Arial"/>
        </w:rPr>
        <w:t>Centralisation and decentralisation are key concepts in understanding the variation in COVID-19 responses</w:t>
      </w:r>
      <w:r w:rsidR="006F785D">
        <w:rPr>
          <w:rFonts w:ascii="Arial" w:hAnsi="Arial" w:cs="Arial"/>
        </w:rPr>
        <w:t xml:space="preserve"> (</w:t>
      </w:r>
      <w:r w:rsidR="006F785D" w:rsidRPr="006F785D">
        <w:rPr>
          <w:rFonts w:ascii="Arial" w:hAnsi="Arial" w:cs="Arial"/>
        </w:rPr>
        <w:t>Ohrling</w:t>
      </w:r>
      <w:r w:rsidR="006F785D">
        <w:rPr>
          <w:rFonts w:ascii="Arial" w:hAnsi="Arial" w:cs="Arial"/>
        </w:rPr>
        <w:t xml:space="preserve"> et al, 2022)</w:t>
      </w:r>
      <w:r w:rsidRPr="00C9578D">
        <w:rPr>
          <w:rFonts w:ascii="Arial" w:hAnsi="Arial" w:cs="Arial"/>
        </w:rPr>
        <w:t>. A centralised health system concentrates decision-making and resource allocation under a single governing authority, often enabling unified policies and rapid national coordination</w:t>
      </w:r>
      <w:r w:rsidR="00056CD5" w:rsidRPr="009713B3">
        <w:rPr>
          <w:rFonts w:ascii="Arial" w:hAnsi="Arial" w:cs="Arial"/>
        </w:rPr>
        <w:t xml:space="preserve"> (Khatri et al, 2025)</w:t>
      </w:r>
      <w:r w:rsidRPr="00C9578D">
        <w:rPr>
          <w:rFonts w:ascii="Arial" w:hAnsi="Arial" w:cs="Arial"/>
        </w:rPr>
        <w:t>. In contrast, a decentralised system distributes authority across multiple regional or local bodies, which can allow tailored responses but may slow national standardisation</w:t>
      </w:r>
      <w:r w:rsidR="00145682" w:rsidRPr="009713B3">
        <w:rPr>
          <w:rFonts w:ascii="Arial" w:hAnsi="Arial" w:cs="Arial"/>
        </w:rPr>
        <w:t xml:space="preserve"> (As-Siddiqi and El-Bukhary, 2025)</w:t>
      </w:r>
      <w:r w:rsidRPr="00C9578D">
        <w:rPr>
          <w:rFonts w:ascii="Arial" w:hAnsi="Arial" w:cs="Arial"/>
        </w:rPr>
        <w:t>. Leadership style also played a crucial role in pandemic management. Approaches such as authoritative, collaborative, and science-driven leadership significantly shaped public compliance, communication strategies, and trust in government decisions</w:t>
      </w:r>
      <w:r w:rsidR="00A77DB6" w:rsidRPr="009713B3">
        <w:rPr>
          <w:rFonts w:ascii="Arial" w:hAnsi="Arial" w:cs="Arial"/>
        </w:rPr>
        <w:t xml:space="preserve"> (Olkowicz et al, 2022)</w:t>
      </w:r>
      <w:r w:rsidRPr="00C9578D">
        <w:rPr>
          <w:rFonts w:ascii="Arial" w:hAnsi="Arial" w:cs="Arial"/>
        </w:rPr>
        <w:t>. By analysing these three countries, the discussion aims to illustrate how organisational structure and leadership approaches contributed to successes and challenges in managing the COVID-19 crisis.</w:t>
      </w:r>
    </w:p>
    <w:p w14:paraId="4B5BBC00" w14:textId="3339D0F6" w:rsidR="007D5BB9" w:rsidRPr="009713B3" w:rsidRDefault="007D5BB9" w:rsidP="009713B3">
      <w:pPr>
        <w:pStyle w:val="Heading1"/>
        <w:spacing w:line="360" w:lineRule="auto"/>
        <w:jc w:val="both"/>
        <w:rPr>
          <w:rFonts w:cs="Arial"/>
        </w:rPr>
      </w:pPr>
      <w:bookmarkStart w:id="1" w:name="_Toc216684742"/>
      <w:r w:rsidRPr="009713B3">
        <w:rPr>
          <w:rFonts w:cs="Arial"/>
        </w:rPr>
        <w:lastRenderedPageBreak/>
        <w:t>2. Critical Analysis of each country's Centralised/Decentralised approaches to the pandemic</w:t>
      </w:r>
      <w:bookmarkEnd w:id="1"/>
    </w:p>
    <w:p w14:paraId="6705A80B" w14:textId="0497B732" w:rsidR="000A05F0" w:rsidRPr="009713B3" w:rsidRDefault="000A05F0" w:rsidP="009713B3">
      <w:pPr>
        <w:pStyle w:val="Heading1"/>
        <w:spacing w:line="360" w:lineRule="auto"/>
        <w:jc w:val="both"/>
        <w:rPr>
          <w:rFonts w:cs="Arial"/>
        </w:rPr>
      </w:pPr>
      <w:bookmarkStart w:id="2" w:name="_Toc216684743"/>
      <w:r w:rsidRPr="009713B3">
        <w:rPr>
          <w:rFonts w:cs="Arial"/>
        </w:rPr>
        <w:t>2.1 Spain</w:t>
      </w:r>
      <w:bookmarkEnd w:id="2"/>
    </w:p>
    <w:p w14:paraId="5F0C977E" w14:textId="56F38FBF" w:rsidR="000A05F0" w:rsidRPr="009713B3" w:rsidRDefault="000A05F0" w:rsidP="009713B3">
      <w:pPr>
        <w:pStyle w:val="Heading2"/>
        <w:spacing w:line="360" w:lineRule="auto"/>
        <w:jc w:val="both"/>
        <w:rPr>
          <w:rFonts w:cs="Arial"/>
        </w:rPr>
      </w:pPr>
      <w:bookmarkStart w:id="3" w:name="_Toc216684744"/>
      <w:r w:rsidRPr="009713B3">
        <w:rPr>
          <w:rFonts w:cs="Arial"/>
        </w:rPr>
        <w:t>2.1.1 Overview of Spain’s Healthcare System and COVID-19 Response</w:t>
      </w:r>
      <w:bookmarkEnd w:id="3"/>
      <w:r w:rsidRPr="009713B3">
        <w:rPr>
          <w:rFonts w:cs="Arial"/>
        </w:rPr>
        <w:t xml:space="preserve"> </w:t>
      </w:r>
    </w:p>
    <w:p w14:paraId="011CB364" w14:textId="34A6D96D" w:rsidR="000A05F0" w:rsidRPr="000A05F0" w:rsidRDefault="000A05F0" w:rsidP="009713B3">
      <w:pPr>
        <w:spacing w:line="360" w:lineRule="auto"/>
        <w:jc w:val="both"/>
        <w:rPr>
          <w:rFonts w:ascii="Arial" w:hAnsi="Arial" w:cs="Arial"/>
        </w:rPr>
      </w:pPr>
      <w:r w:rsidRPr="000A05F0">
        <w:rPr>
          <w:rFonts w:ascii="Arial" w:hAnsi="Arial" w:cs="Arial"/>
        </w:rPr>
        <w:t>Spain operates a universal public healthcare system known as the National Health System (Sistema Nacional de Salud – SNS), primarily funded through taxation and administered through its 17 autonomous regional governments</w:t>
      </w:r>
      <w:r w:rsidR="00CF6553" w:rsidRPr="009713B3">
        <w:rPr>
          <w:rFonts w:ascii="Arial" w:hAnsi="Arial" w:cs="Arial"/>
        </w:rPr>
        <w:t xml:space="preserve"> (</w:t>
      </w:r>
      <w:r w:rsidR="00CF6553" w:rsidRPr="009713B3">
        <w:rPr>
          <w:rFonts w:ascii="Arial" w:hAnsi="Arial" w:cs="Arial"/>
          <w:lang w:eastAsia="en-GB"/>
        </w:rPr>
        <w:t>Carta et al, 2023)</w:t>
      </w:r>
      <w:r w:rsidRPr="000A05F0">
        <w:rPr>
          <w:rFonts w:ascii="Arial" w:hAnsi="Arial" w:cs="Arial"/>
        </w:rPr>
        <w:t>. Although policy direction and resource allocation originate from the central government, day-to-day operations and strategic health planning depend heavily on the regional authorities</w:t>
      </w:r>
      <w:r w:rsidR="0067331D" w:rsidRPr="009713B3">
        <w:rPr>
          <w:rFonts w:ascii="Arial" w:hAnsi="Arial" w:cs="Arial"/>
        </w:rPr>
        <w:t xml:space="preserve"> (Goberna-Tricas et al, 2021)</w:t>
      </w:r>
      <w:r w:rsidRPr="000A05F0">
        <w:rPr>
          <w:rFonts w:ascii="Arial" w:hAnsi="Arial" w:cs="Arial"/>
        </w:rPr>
        <w:t>. This decentralised structure is designed to allow responsiveness to local population needs, but during the COVID-19 pandemic, it became an important factor influencing coordination, decision-making capacity, and the speed of response across the country</w:t>
      </w:r>
      <w:r w:rsidR="003E4AF4" w:rsidRPr="009713B3">
        <w:rPr>
          <w:rFonts w:ascii="Arial" w:hAnsi="Arial" w:cs="Arial"/>
        </w:rPr>
        <w:t xml:space="preserve"> (Ruiz-Hornillos et al, 2021)</w:t>
      </w:r>
      <w:r w:rsidRPr="000A05F0">
        <w:rPr>
          <w:rFonts w:ascii="Arial" w:hAnsi="Arial" w:cs="Arial"/>
        </w:rPr>
        <w:t>.</w:t>
      </w:r>
    </w:p>
    <w:p w14:paraId="451AA50C" w14:textId="27749178" w:rsidR="000A05F0" w:rsidRPr="000A05F0" w:rsidRDefault="000A05F0" w:rsidP="009713B3">
      <w:pPr>
        <w:spacing w:line="360" w:lineRule="auto"/>
        <w:jc w:val="both"/>
        <w:rPr>
          <w:rFonts w:ascii="Arial" w:hAnsi="Arial" w:cs="Arial"/>
        </w:rPr>
      </w:pPr>
      <w:r w:rsidRPr="000A05F0">
        <w:rPr>
          <w:rFonts w:ascii="Arial" w:hAnsi="Arial" w:cs="Arial"/>
        </w:rPr>
        <w:t>When the pandemic emerged in early 2020, Spain experienced one of the earliest and most severe outbreaks in Europe</w:t>
      </w:r>
      <w:r w:rsidR="00264614" w:rsidRPr="009713B3">
        <w:rPr>
          <w:rFonts w:ascii="Arial" w:hAnsi="Arial" w:cs="Arial"/>
        </w:rPr>
        <w:t xml:space="preserve"> (Biernacki, 2025)</w:t>
      </w:r>
      <w:r w:rsidRPr="000A05F0">
        <w:rPr>
          <w:rFonts w:ascii="Arial" w:hAnsi="Arial" w:cs="Arial"/>
        </w:rPr>
        <w:t xml:space="preserve">. The government responded by temporarily </w:t>
      </w:r>
      <w:r w:rsidR="00D04A49" w:rsidRPr="009713B3">
        <w:rPr>
          <w:rFonts w:ascii="Arial" w:hAnsi="Arial" w:cs="Arial"/>
        </w:rPr>
        <w:t>re-centralising</w:t>
      </w:r>
      <w:r w:rsidRPr="000A05F0">
        <w:rPr>
          <w:rFonts w:ascii="Arial" w:hAnsi="Arial" w:cs="Arial"/>
        </w:rPr>
        <w:t xml:space="preserve"> health governance through a national state of emergency, giving the Ministry of Health exclusive authority over public health decision-making, hospital coordination, and procurement of equipment such as ventilators, PPE, and testing kits</w:t>
      </w:r>
      <w:r w:rsidR="000C12D5" w:rsidRPr="009713B3">
        <w:rPr>
          <w:rFonts w:ascii="Arial" w:hAnsi="Arial" w:cs="Arial"/>
        </w:rPr>
        <w:t xml:space="preserve"> (Goberna-Tricas et al, 2021)</w:t>
      </w:r>
      <w:r w:rsidRPr="000A05F0">
        <w:rPr>
          <w:rFonts w:ascii="Arial" w:hAnsi="Arial" w:cs="Arial"/>
        </w:rPr>
        <w:t>. This centralisation aimed to ensure national consistency and prevent competition between regions for scarce medical supplies</w:t>
      </w:r>
      <w:r w:rsidR="000C12D5" w:rsidRPr="009713B3">
        <w:rPr>
          <w:rFonts w:ascii="Arial" w:hAnsi="Arial" w:cs="Arial"/>
        </w:rPr>
        <w:t xml:space="preserve"> (Ruiz-Hornillos et al, 2021)</w:t>
      </w:r>
      <w:r w:rsidRPr="000A05F0">
        <w:rPr>
          <w:rFonts w:ascii="Arial" w:hAnsi="Arial" w:cs="Arial"/>
        </w:rPr>
        <w:t>. Spain implemented strict nationwide lockdowns, suspended non-essential services, expanded testing capacity, and mobilised the military and private healthcare facilities</w:t>
      </w:r>
      <w:r w:rsidR="00426DE7" w:rsidRPr="009713B3">
        <w:rPr>
          <w:rFonts w:ascii="Arial" w:hAnsi="Arial" w:cs="Arial"/>
        </w:rPr>
        <w:t xml:space="preserve"> (</w:t>
      </w:r>
      <w:r w:rsidR="00426DE7" w:rsidRPr="009713B3">
        <w:rPr>
          <w:rFonts w:ascii="Arial" w:hAnsi="Arial" w:cs="Arial"/>
          <w:lang w:eastAsia="en-GB"/>
        </w:rPr>
        <w:t>Carta et al, 2023)</w:t>
      </w:r>
      <w:r w:rsidRPr="000A05F0">
        <w:rPr>
          <w:rFonts w:ascii="Arial" w:hAnsi="Arial" w:cs="Arial"/>
        </w:rPr>
        <w:t>.</w:t>
      </w:r>
    </w:p>
    <w:p w14:paraId="23462DFF" w14:textId="67ACCC0C" w:rsidR="000A05F0" w:rsidRPr="000A05F0" w:rsidRDefault="000A05F0" w:rsidP="009713B3">
      <w:pPr>
        <w:spacing w:line="360" w:lineRule="auto"/>
        <w:jc w:val="both"/>
        <w:rPr>
          <w:rFonts w:ascii="Arial" w:hAnsi="Arial" w:cs="Arial"/>
        </w:rPr>
      </w:pPr>
      <w:r w:rsidRPr="000A05F0">
        <w:rPr>
          <w:rFonts w:ascii="Arial" w:hAnsi="Arial" w:cs="Arial"/>
        </w:rPr>
        <w:t>However, as infection control improved, governance gradually shifted back to a decentralised mode</w:t>
      </w:r>
      <w:r w:rsidR="00C803C1" w:rsidRPr="009713B3">
        <w:rPr>
          <w:rFonts w:ascii="Arial" w:hAnsi="Arial" w:cs="Arial"/>
        </w:rPr>
        <w:t xml:space="preserve"> (Biernacki, 2025)</w:t>
      </w:r>
      <w:r w:rsidRPr="000A05F0">
        <w:rPr>
          <w:rFonts w:ascii="Arial" w:hAnsi="Arial" w:cs="Arial"/>
        </w:rPr>
        <w:t>. Regions were allowed to manage reopening stages, adjust health measures, and coordinate vaccination strategies based on local epidemiological data</w:t>
      </w:r>
      <w:r w:rsidR="000C12D5" w:rsidRPr="009713B3">
        <w:rPr>
          <w:rFonts w:ascii="Arial" w:hAnsi="Arial" w:cs="Arial"/>
        </w:rPr>
        <w:t xml:space="preserve"> (Ruiz-Hornillos et al, 2021)</w:t>
      </w:r>
      <w:r w:rsidRPr="000A05F0">
        <w:rPr>
          <w:rFonts w:ascii="Arial" w:hAnsi="Arial" w:cs="Arial"/>
        </w:rPr>
        <w:t>. This alternating pattern between centralised and decentralised control became a defining feature of Spain’s systems approach during the pandemic response, demonstrating both flexibility and structural tension across jurisdictions</w:t>
      </w:r>
      <w:r w:rsidR="000C12D5" w:rsidRPr="009713B3">
        <w:rPr>
          <w:rFonts w:ascii="Arial" w:hAnsi="Arial" w:cs="Arial"/>
        </w:rPr>
        <w:t xml:space="preserve"> (Ruiz-Hornillos et al, 2021)</w:t>
      </w:r>
      <w:r w:rsidRPr="000A05F0">
        <w:rPr>
          <w:rFonts w:ascii="Arial" w:hAnsi="Arial" w:cs="Arial"/>
        </w:rPr>
        <w:t>.</w:t>
      </w:r>
    </w:p>
    <w:p w14:paraId="565F49C8" w14:textId="1F03AA88" w:rsidR="000A05F0" w:rsidRPr="009713B3" w:rsidRDefault="000A05F0" w:rsidP="009713B3">
      <w:pPr>
        <w:pStyle w:val="Heading2"/>
        <w:spacing w:line="360" w:lineRule="auto"/>
        <w:jc w:val="both"/>
        <w:rPr>
          <w:rFonts w:cs="Arial"/>
        </w:rPr>
      </w:pPr>
      <w:bookmarkStart w:id="4" w:name="_Toc216684745"/>
      <w:r w:rsidRPr="009713B3">
        <w:rPr>
          <w:rFonts w:cs="Arial"/>
        </w:rPr>
        <w:lastRenderedPageBreak/>
        <w:t>2.1.2 Advantages of Spain’s Systems Approach</w:t>
      </w:r>
      <w:bookmarkEnd w:id="4"/>
      <w:r w:rsidRPr="009713B3">
        <w:rPr>
          <w:rFonts w:cs="Arial"/>
        </w:rPr>
        <w:t xml:space="preserve"> </w:t>
      </w:r>
    </w:p>
    <w:p w14:paraId="209E55B3" w14:textId="6DD2D787" w:rsidR="000A05F0" w:rsidRPr="000A05F0" w:rsidRDefault="000A05F0" w:rsidP="009713B3">
      <w:pPr>
        <w:spacing w:line="360" w:lineRule="auto"/>
        <w:jc w:val="both"/>
        <w:rPr>
          <w:rFonts w:ascii="Arial" w:hAnsi="Arial" w:cs="Arial"/>
        </w:rPr>
      </w:pPr>
      <w:r w:rsidRPr="000A05F0">
        <w:rPr>
          <w:rFonts w:ascii="Arial" w:hAnsi="Arial" w:cs="Arial"/>
        </w:rPr>
        <w:t>One of the key advantages of Spain’s approach was the temporary centralisation of decision-making during the first wave</w:t>
      </w:r>
      <w:r w:rsidR="00426DE7" w:rsidRPr="009713B3">
        <w:rPr>
          <w:rFonts w:ascii="Arial" w:hAnsi="Arial" w:cs="Arial"/>
        </w:rPr>
        <w:t xml:space="preserve"> (Goberna-Tricas et al, 2021)</w:t>
      </w:r>
      <w:r w:rsidRPr="000A05F0">
        <w:rPr>
          <w:rFonts w:ascii="Arial" w:hAnsi="Arial" w:cs="Arial"/>
        </w:rPr>
        <w:t>. This move enabled rapid national action and avoided fragmented responses that could have resulted from regional variation</w:t>
      </w:r>
      <w:r w:rsidR="00426DE7" w:rsidRPr="009713B3">
        <w:rPr>
          <w:rFonts w:ascii="Arial" w:hAnsi="Arial" w:cs="Arial"/>
        </w:rPr>
        <w:t xml:space="preserve"> (Goberna-Tricas et al, 2021)</w:t>
      </w:r>
      <w:r w:rsidRPr="000A05F0">
        <w:rPr>
          <w:rFonts w:ascii="Arial" w:hAnsi="Arial" w:cs="Arial"/>
        </w:rPr>
        <w:t>. Centralised procurement allowed healthcare facilities to share resources more equitably and prevented internal market competition for essential supplies during a period of acute scarcity</w:t>
      </w:r>
      <w:r w:rsidR="000C12D5" w:rsidRPr="009713B3">
        <w:rPr>
          <w:rFonts w:ascii="Arial" w:hAnsi="Arial" w:cs="Arial"/>
        </w:rPr>
        <w:t xml:space="preserve"> (Ruiz-Hornillos et al, 2021)</w:t>
      </w:r>
      <w:r w:rsidRPr="000A05F0">
        <w:rPr>
          <w:rFonts w:ascii="Arial" w:hAnsi="Arial" w:cs="Arial"/>
        </w:rPr>
        <w:t>. The central government’s enforcement of a national lockdown ensured a consistent and strict containment strategy, which likely contributed to the reduction of transmission rates after the initial surge</w:t>
      </w:r>
      <w:r w:rsidR="00426DE7" w:rsidRPr="009713B3">
        <w:rPr>
          <w:rFonts w:ascii="Arial" w:hAnsi="Arial" w:cs="Arial"/>
        </w:rPr>
        <w:t xml:space="preserve"> (</w:t>
      </w:r>
      <w:r w:rsidR="00426DE7" w:rsidRPr="009713B3">
        <w:rPr>
          <w:rFonts w:ascii="Arial" w:hAnsi="Arial" w:cs="Arial"/>
          <w:lang w:eastAsia="en-GB"/>
        </w:rPr>
        <w:t>Carta et al, 2023)</w:t>
      </w:r>
      <w:r w:rsidRPr="000A05F0">
        <w:rPr>
          <w:rFonts w:ascii="Arial" w:hAnsi="Arial" w:cs="Arial"/>
        </w:rPr>
        <w:t>.</w:t>
      </w:r>
    </w:p>
    <w:p w14:paraId="754A77E9" w14:textId="4D946AA6" w:rsidR="000A05F0" w:rsidRPr="000A05F0" w:rsidRDefault="000A05F0" w:rsidP="009713B3">
      <w:pPr>
        <w:spacing w:line="360" w:lineRule="auto"/>
        <w:jc w:val="both"/>
        <w:rPr>
          <w:rFonts w:ascii="Arial" w:hAnsi="Arial" w:cs="Arial"/>
        </w:rPr>
      </w:pPr>
      <w:r w:rsidRPr="000A05F0">
        <w:rPr>
          <w:rFonts w:ascii="Arial" w:hAnsi="Arial" w:cs="Arial"/>
        </w:rPr>
        <w:t>Another strength was the flexibility of the system to later return to decentralisation. After the initial emergency phase, devolving authority back to regional governments made it possible to adjust restrictions and resource allocation based on local epidemiology rather than applying uniform measures across the country</w:t>
      </w:r>
      <w:r w:rsidR="00426DE7" w:rsidRPr="009713B3">
        <w:rPr>
          <w:rFonts w:ascii="Arial" w:hAnsi="Arial" w:cs="Arial"/>
        </w:rPr>
        <w:t xml:space="preserve"> (</w:t>
      </w:r>
      <w:r w:rsidR="00426DE7" w:rsidRPr="009713B3">
        <w:rPr>
          <w:rFonts w:ascii="Arial" w:hAnsi="Arial" w:cs="Arial"/>
          <w:lang w:eastAsia="en-GB"/>
        </w:rPr>
        <w:t>Carta et al, 2023)</w:t>
      </w:r>
      <w:r w:rsidRPr="000A05F0">
        <w:rPr>
          <w:rFonts w:ascii="Arial" w:hAnsi="Arial" w:cs="Arial"/>
        </w:rPr>
        <w:t>. Regions with lower case numbers could reopen earlier, reducing unnecessary economic strain</w:t>
      </w:r>
      <w:r w:rsidR="00C803C1" w:rsidRPr="009713B3">
        <w:rPr>
          <w:rFonts w:ascii="Arial" w:hAnsi="Arial" w:cs="Arial"/>
        </w:rPr>
        <w:t xml:space="preserve"> (Biernacki, 2025)</w:t>
      </w:r>
      <w:r w:rsidRPr="000A05F0">
        <w:rPr>
          <w:rFonts w:ascii="Arial" w:hAnsi="Arial" w:cs="Arial"/>
        </w:rPr>
        <w:t>. The decentralised vaccination rollout also demonstrated efficiency; some regional health authorities used digital health infrastructure and established community-based vaccination centres, which increased accessibility and encouraged rapid uptake</w:t>
      </w:r>
      <w:r w:rsidR="00426DE7" w:rsidRPr="009713B3">
        <w:rPr>
          <w:rFonts w:ascii="Arial" w:hAnsi="Arial" w:cs="Arial"/>
        </w:rPr>
        <w:t xml:space="preserve"> (Goberna-Tricas et al, 2021)</w:t>
      </w:r>
      <w:r w:rsidRPr="000A05F0">
        <w:rPr>
          <w:rFonts w:ascii="Arial" w:hAnsi="Arial" w:cs="Arial"/>
        </w:rPr>
        <w:t>.</w:t>
      </w:r>
    </w:p>
    <w:p w14:paraId="7025A449" w14:textId="778F7602" w:rsidR="000A05F0" w:rsidRPr="000A05F0" w:rsidRDefault="000A05F0" w:rsidP="009713B3">
      <w:pPr>
        <w:spacing w:line="360" w:lineRule="auto"/>
        <w:jc w:val="both"/>
        <w:rPr>
          <w:rFonts w:ascii="Arial" w:hAnsi="Arial" w:cs="Arial"/>
        </w:rPr>
      </w:pPr>
      <w:r w:rsidRPr="000A05F0">
        <w:rPr>
          <w:rFonts w:ascii="Arial" w:hAnsi="Arial" w:cs="Arial"/>
        </w:rPr>
        <w:t>Spain’s hybrid approach also fostered coordination between public and private healthcare sectors</w:t>
      </w:r>
      <w:r w:rsidR="00426DE7" w:rsidRPr="009713B3">
        <w:rPr>
          <w:rFonts w:ascii="Arial" w:hAnsi="Arial" w:cs="Arial"/>
        </w:rPr>
        <w:t xml:space="preserve"> (Goberna-Tricas et al, 2021)</w:t>
      </w:r>
      <w:r w:rsidRPr="000A05F0">
        <w:rPr>
          <w:rFonts w:ascii="Arial" w:hAnsi="Arial" w:cs="Arial"/>
        </w:rPr>
        <w:t>. During the peak of the pandemic, the government temporarily integrated private hospitals into the national emergency response network, increasing bed capacity and reducing pressure on public hospitals</w:t>
      </w:r>
      <w:r w:rsidR="00426DE7" w:rsidRPr="009713B3">
        <w:rPr>
          <w:rFonts w:ascii="Arial" w:hAnsi="Arial" w:cs="Arial"/>
        </w:rPr>
        <w:t xml:space="preserve"> (</w:t>
      </w:r>
      <w:r w:rsidR="00426DE7" w:rsidRPr="009713B3">
        <w:rPr>
          <w:rFonts w:ascii="Arial" w:hAnsi="Arial" w:cs="Arial"/>
          <w:lang w:eastAsia="en-GB"/>
        </w:rPr>
        <w:t>Carta et al, 2023)</w:t>
      </w:r>
      <w:r w:rsidRPr="000A05F0">
        <w:rPr>
          <w:rFonts w:ascii="Arial" w:hAnsi="Arial" w:cs="Arial"/>
        </w:rPr>
        <w:t>. The country also strengthened community care and primary healthcare coordination, supporting home-based monitoring for mild cases and reducing hospital overload</w:t>
      </w:r>
      <w:r w:rsidR="000C12D5" w:rsidRPr="009713B3">
        <w:rPr>
          <w:rFonts w:ascii="Arial" w:hAnsi="Arial" w:cs="Arial"/>
        </w:rPr>
        <w:t xml:space="preserve"> (Ruiz-Hornillos et al, 2021).</w:t>
      </w:r>
    </w:p>
    <w:p w14:paraId="6F1C8565" w14:textId="30EA3DA9" w:rsidR="000A05F0" w:rsidRPr="009713B3" w:rsidRDefault="000A05F0" w:rsidP="009713B3">
      <w:pPr>
        <w:pStyle w:val="Heading2"/>
        <w:spacing w:line="360" w:lineRule="auto"/>
        <w:jc w:val="both"/>
        <w:rPr>
          <w:rFonts w:cs="Arial"/>
        </w:rPr>
      </w:pPr>
      <w:bookmarkStart w:id="5" w:name="_Toc216684746"/>
      <w:r w:rsidRPr="009713B3">
        <w:rPr>
          <w:rFonts w:cs="Arial"/>
        </w:rPr>
        <w:t>2.1.3 Disadvantages and Challenges of the Approach</w:t>
      </w:r>
      <w:bookmarkEnd w:id="5"/>
      <w:r w:rsidRPr="009713B3">
        <w:rPr>
          <w:rFonts w:cs="Arial"/>
        </w:rPr>
        <w:t xml:space="preserve"> </w:t>
      </w:r>
    </w:p>
    <w:p w14:paraId="34365DB7" w14:textId="2393A476" w:rsidR="000A05F0" w:rsidRPr="000A05F0" w:rsidRDefault="000A05F0" w:rsidP="009713B3">
      <w:pPr>
        <w:spacing w:line="360" w:lineRule="auto"/>
        <w:jc w:val="both"/>
        <w:rPr>
          <w:rFonts w:ascii="Arial" w:hAnsi="Arial" w:cs="Arial"/>
        </w:rPr>
      </w:pPr>
      <w:r w:rsidRPr="000A05F0">
        <w:rPr>
          <w:rFonts w:ascii="Arial" w:hAnsi="Arial" w:cs="Arial"/>
        </w:rPr>
        <w:t>Despite notable strengths, Spain’s response faced critical challenges linked to its governance structure. The sudden shift to centralisation revealed gaps in communication and coordination between the national government and regions</w:t>
      </w:r>
      <w:r w:rsidR="00C803C1" w:rsidRPr="009713B3">
        <w:rPr>
          <w:rFonts w:ascii="Arial" w:hAnsi="Arial" w:cs="Arial"/>
        </w:rPr>
        <w:t xml:space="preserve"> (Biernacki, 2025)</w:t>
      </w:r>
      <w:r w:rsidRPr="000A05F0">
        <w:rPr>
          <w:rFonts w:ascii="Arial" w:hAnsi="Arial" w:cs="Arial"/>
        </w:rPr>
        <w:t xml:space="preserve">. Some regional authorities perceived the temporary central takeover as politically intrusive, resulting in disagreements and delays in implementing unified </w:t>
      </w:r>
      <w:r w:rsidRPr="000A05F0">
        <w:rPr>
          <w:rFonts w:ascii="Arial" w:hAnsi="Arial" w:cs="Arial"/>
        </w:rPr>
        <w:lastRenderedPageBreak/>
        <w:t>measures</w:t>
      </w:r>
      <w:r w:rsidR="00426DE7" w:rsidRPr="009713B3">
        <w:rPr>
          <w:rFonts w:ascii="Arial" w:hAnsi="Arial" w:cs="Arial"/>
        </w:rPr>
        <w:t xml:space="preserve"> (Goberna-Tricas et al, 2021)</w:t>
      </w:r>
      <w:r w:rsidRPr="000A05F0">
        <w:rPr>
          <w:rFonts w:ascii="Arial" w:hAnsi="Arial" w:cs="Arial"/>
        </w:rPr>
        <w:t>. The restructuring of authority also exposed pre-existing fragmentation in data systems, as regional reporting formats were inconsistent, making national surveillance and case tracking initially difficult</w:t>
      </w:r>
      <w:r w:rsidR="00426DE7" w:rsidRPr="009713B3">
        <w:rPr>
          <w:rFonts w:ascii="Arial" w:hAnsi="Arial" w:cs="Arial"/>
        </w:rPr>
        <w:t xml:space="preserve"> (</w:t>
      </w:r>
      <w:r w:rsidR="00426DE7" w:rsidRPr="009713B3">
        <w:rPr>
          <w:rFonts w:ascii="Arial" w:hAnsi="Arial" w:cs="Arial"/>
          <w:lang w:eastAsia="en-GB"/>
        </w:rPr>
        <w:t>Carta et al, 2023)</w:t>
      </w:r>
      <w:r w:rsidRPr="000A05F0">
        <w:rPr>
          <w:rFonts w:ascii="Arial" w:hAnsi="Arial" w:cs="Arial"/>
        </w:rPr>
        <w:t>.</w:t>
      </w:r>
    </w:p>
    <w:p w14:paraId="24B61038" w14:textId="7B1898B2" w:rsidR="000A05F0" w:rsidRPr="000A05F0" w:rsidRDefault="000A05F0" w:rsidP="009713B3">
      <w:pPr>
        <w:spacing w:line="360" w:lineRule="auto"/>
        <w:jc w:val="both"/>
        <w:rPr>
          <w:rFonts w:ascii="Arial" w:hAnsi="Arial" w:cs="Arial"/>
        </w:rPr>
      </w:pPr>
      <w:r w:rsidRPr="000A05F0">
        <w:rPr>
          <w:rFonts w:ascii="Arial" w:hAnsi="Arial" w:cs="Arial"/>
        </w:rPr>
        <w:t>Another disadvantage was the uneven capacity of regional health systems. Although decentralisation allows tailoring of health policy, it also means that resource distribution, staffing capacity, and digital health infrastructure vary across regions</w:t>
      </w:r>
      <w:r w:rsidR="00C65B4E" w:rsidRPr="009713B3">
        <w:rPr>
          <w:rFonts w:ascii="Arial" w:hAnsi="Arial" w:cs="Arial"/>
        </w:rPr>
        <w:t xml:space="preserve"> (Ruiz-Hornillos et al, 2021)</w:t>
      </w:r>
      <w:r w:rsidRPr="000A05F0">
        <w:rPr>
          <w:rFonts w:ascii="Arial" w:hAnsi="Arial" w:cs="Arial"/>
        </w:rPr>
        <w:t>. Some areas struggled with insufficient intensive care capacity, slow adoption of digital contact tracing tools, and limited stockpiles of emergency supplies</w:t>
      </w:r>
      <w:r w:rsidR="00C65B4E" w:rsidRPr="009713B3">
        <w:rPr>
          <w:rFonts w:ascii="Arial" w:hAnsi="Arial" w:cs="Arial"/>
        </w:rPr>
        <w:t xml:space="preserve"> (Ruiz-Hornillos et al, 2021)</w:t>
      </w:r>
      <w:r w:rsidRPr="000A05F0">
        <w:rPr>
          <w:rFonts w:ascii="Arial" w:hAnsi="Arial" w:cs="Arial"/>
        </w:rPr>
        <w:t>. These disparities contributed to inconsistency in outbreak control measures and unequal population health outcomes</w:t>
      </w:r>
      <w:r w:rsidR="00426DE7" w:rsidRPr="009713B3">
        <w:rPr>
          <w:rFonts w:ascii="Arial" w:hAnsi="Arial" w:cs="Arial"/>
        </w:rPr>
        <w:t xml:space="preserve"> (</w:t>
      </w:r>
      <w:r w:rsidR="00426DE7" w:rsidRPr="009713B3">
        <w:rPr>
          <w:rFonts w:ascii="Arial" w:hAnsi="Arial" w:cs="Arial"/>
          <w:lang w:eastAsia="en-GB"/>
        </w:rPr>
        <w:t>Carta et al, 2023)</w:t>
      </w:r>
      <w:r w:rsidRPr="000A05F0">
        <w:rPr>
          <w:rFonts w:ascii="Arial" w:hAnsi="Arial" w:cs="Arial"/>
        </w:rPr>
        <w:t>.</w:t>
      </w:r>
    </w:p>
    <w:p w14:paraId="459114F2" w14:textId="082237E5" w:rsidR="000A05F0" w:rsidRPr="009713B3" w:rsidRDefault="000A05F0" w:rsidP="009713B3">
      <w:pPr>
        <w:spacing w:line="360" w:lineRule="auto"/>
        <w:jc w:val="both"/>
        <w:rPr>
          <w:rFonts w:ascii="Arial" w:hAnsi="Arial" w:cs="Arial"/>
        </w:rPr>
      </w:pPr>
      <w:r w:rsidRPr="000A05F0">
        <w:rPr>
          <w:rFonts w:ascii="Arial" w:hAnsi="Arial" w:cs="Arial"/>
        </w:rPr>
        <w:t>Public communication also became fragmented as responsibilities moved between central and regional governments. Conflicting messaging around restrictions, mask mandates, and reopening timelines occasionally resulted in public confusion and reduced trust in authorities</w:t>
      </w:r>
      <w:r w:rsidR="00226887" w:rsidRPr="009713B3">
        <w:rPr>
          <w:rFonts w:ascii="Arial" w:hAnsi="Arial" w:cs="Arial"/>
        </w:rPr>
        <w:t xml:space="preserve"> (Ruiz-Hornillos et al, 2021)</w:t>
      </w:r>
      <w:r w:rsidRPr="000A05F0">
        <w:rPr>
          <w:rFonts w:ascii="Arial" w:hAnsi="Arial" w:cs="Arial"/>
        </w:rPr>
        <w:t>. As the pandemic progressed, debates over responsibility for failures led to political tension, particularly during later infection waves</w:t>
      </w:r>
      <w:r w:rsidR="00426DE7" w:rsidRPr="009713B3">
        <w:rPr>
          <w:rFonts w:ascii="Arial" w:hAnsi="Arial" w:cs="Arial"/>
        </w:rPr>
        <w:t xml:space="preserve"> (Goberna-Tricas et al, 2021)</w:t>
      </w:r>
      <w:r w:rsidRPr="000A05F0">
        <w:rPr>
          <w:rFonts w:ascii="Arial" w:hAnsi="Arial" w:cs="Arial"/>
        </w:rPr>
        <w:t>.</w:t>
      </w:r>
      <w:r w:rsidR="006A3C72" w:rsidRPr="009713B3">
        <w:rPr>
          <w:rFonts w:ascii="Arial" w:hAnsi="Arial" w:cs="Arial"/>
        </w:rPr>
        <w:t xml:space="preserve"> </w:t>
      </w:r>
      <w:r w:rsidRPr="000A05F0">
        <w:rPr>
          <w:rFonts w:ascii="Arial" w:hAnsi="Arial" w:cs="Arial"/>
        </w:rPr>
        <w:t xml:space="preserve">Finally, although Spain successfully implemented vaccination, </w:t>
      </w:r>
      <w:r w:rsidR="00BC1C35" w:rsidRPr="009713B3">
        <w:rPr>
          <w:rFonts w:ascii="Arial" w:hAnsi="Arial" w:cs="Arial"/>
        </w:rPr>
        <w:t xml:space="preserve">the </w:t>
      </w:r>
      <w:r w:rsidRPr="000A05F0">
        <w:rPr>
          <w:rFonts w:ascii="Arial" w:hAnsi="Arial" w:cs="Arial"/>
        </w:rPr>
        <w:t>initial vaccine rollout faced delays due to the complexity of coordinating regional logistics</w:t>
      </w:r>
      <w:r w:rsidR="00C803C1" w:rsidRPr="009713B3">
        <w:rPr>
          <w:rFonts w:ascii="Arial" w:hAnsi="Arial" w:cs="Arial"/>
        </w:rPr>
        <w:t xml:space="preserve"> (Biernacki, 2025)</w:t>
      </w:r>
      <w:r w:rsidRPr="000A05F0">
        <w:rPr>
          <w:rFonts w:ascii="Arial" w:hAnsi="Arial" w:cs="Arial"/>
        </w:rPr>
        <w:t>. These challenges demonstrated that while decentralisation can offer flexibility, it also requires strong intergovernmental coordination mechanisms</w:t>
      </w:r>
      <w:r w:rsidR="00BC1C35" w:rsidRPr="009713B3">
        <w:rPr>
          <w:rFonts w:ascii="Arial" w:hAnsi="Arial" w:cs="Arial"/>
        </w:rPr>
        <w:t xml:space="preserve">, </w:t>
      </w:r>
      <w:r w:rsidRPr="000A05F0">
        <w:rPr>
          <w:rFonts w:ascii="Arial" w:hAnsi="Arial" w:cs="Arial"/>
        </w:rPr>
        <w:t>something Spain had to develop reactively rather than proactively during the pandemic</w:t>
      </w:r>
      <w:r w:rsidR="00426DE7" w:rsidRPr="009713B3">
        <w:rPr>
          <w:rFonts w:ascii="Arial" w:hAnsi="Arial" w:cs="Arial"/>
        </w:rPr>
        <w:t xml:space="preserve"> (Goberna-Tricas et al, 2021)</w:t>
      </w:r>
      <w:r w:rsidRPr="000A05F0">
        <w:rPr>
          <w:rFonts w:ascii="Arial" w:hAnsi="Arial" w:cs="Arial"/>
        </w:rPr>
        <w:t>.</w:t>
      </w:r>
    </w:p>
    <w:p w14:paraId="515CB77C" w14:textId="77777777" w:rsidR="00BC1C35" w:rsidRPr="009713B3" w:rsidRDefault="00BC1C35" w:rsidP="009713B3">
      <w:pPr>
        <w:pStyle w:val="Heading1"/>
        <w:spacing w:line="360" w:lineRule="auto"/>
        <w:jc w:val="both"/>
        <w:rPr>
          <w:rFonts w:cs="Arial"/>
        </w:rPr>
      </w:pPr>
      <w:bookmarkStart w:id="6" w:name="_Toc216684747"/>
      <w:r w:rsidRPr="009713B3">
        <w:rPr>
          <w:rFonts w:cs="Arial"/>
        </w:rPr>
        <w:t>2.2 South Korea</w:t>
      </w:r>
      <w:bookmarkEnd w:id="6"/>
    </w:p>
    <w:p w14:paraId="6CF7F8CB" w14:textId="7CBBF7FF" w:rsidR="00BC1C35" w:rsidRPr="009713B3" w:rsidRDefault="00BC1C35" w:rsidP="009713B3">
      <w:pPr>
        <w:pStyle w:val="Heading2"/>
        <w:spacing w:line="360" w:lineRule="auto"/>
        <w:jc w:val="both"/>
        <w:rPr>
          <w:rFonts w:cs="Arial"/>
        </w:rPr>
      </w:pPr>
      <w:bookmarkStart w:id="7" w:name="_Toc216684748"/>
      <w:r w:rsidRPr="009713B3">
        <w:rPr>
          <w:rFonts w:cs="Arial"/>
        </w:rPr>
        <w:t>2.2.1 Overview of South Korea’s Healthcare System and COVID-19 Response</w:t>
      </w:r>
      <w:bookmarkEnd w:id="7"/>
      <w:r w:rsidRPr="009713B3">
        <w:rPr>
          <w:rFonts w:cs="Arial"/>
        </w:rPr>
        <w:t xml:space="preserve"> </w:t>
      </w:r>
    </w:p>
    <w:p w14:paraId="00108168" w14:textId="2C96C52A" w:rsidR="00BC1C35" w:rsidRPr="00BC1C35" w:rsidRDefault="00BC1C35" w:rsidP="009713B3">
      <w:pPr>
        <w:spacing w:line="360" w:lineRule="auto"/>
        <w:jc w:val="both"/>
        <w:rPr>
          <w:rFonts w:ascii="Arial" w:hAnsi="Arial" w:cs="Arial"/>
        </w:rPr>
      </w:pPr>
      <w:r w:rsidRPr="00BC1C35">
        <w:rPr>
          <w:rFonts w:ascii="Arial" w:hAnsi="Arial" w:cs="Arial"/>
        </w:rPr>
        <w:t>South Korea operates a universal healthcare system funded through a compulsory National Health Insurance (NHI) model</w:t>
      </w:r>
      <w:r w:rsidR="004B72A4" w:rsidRPr="009713B3">
        <w:rPr>
          <w:rFonts w:ascii="Arial" w:hAnsi="Arial" w:cs="Arial"/>
        </w:rPr>
        <w:t xml:space="preserve"> (</w:t>
      </w:r>
      <w:r w:rsidR="004B72A4" w:rsidRPr="009713B3">
        <w:rPr>
          <w:rFonts w:ascii="Arial" w:hAnsi="Arial" w:cs="Arial"/>
          <w:lang w:eastAsia="en-GB"/>
        </w:rPr>
        <w:t>Chang et al, 2023)</w:t>
      </w:r>
      <w:r w:rsidRPr="00BC1C35">
        <w:rPr>
          <w:rFonts w:ascii="Arial" w:hAnsi="Arial" w:cs="Arial"/>
        </w:rPr>
        <w:t>. The system is overseen by the central government, particularly the Ministry of Health and Welfare, but healthcare delivery involves both public and private providers</w:t>
      </w:r>
      <w:r w:rsidR="00D75D45" w:rsidRPr="009713B3">
        <w:rPr>
          <w:rFonts w:ascii="Arial" w:hAnsi="Arial" w:cs="Arial"/>
        </w:rPr>
        <w:t xml:space="preserve"> (Park et al, 2023)</w:t>
      </w:r>
      <w:r w:rsidRPr="00BC1C35">
        <w:rPr>
          <w:rFonts w:ascii="Arial" w:hAnsi="Arial" w:cs="Arial"/>
        </w:rPr>
        <w:t xml:space="preserve">. The Korean healthcare system is highly technologically integrated, with advanced digital health infrastructure, electronic health records, and nationalised data surveillance </w:t>
      </w:r>
      <w:r w:rsidRPr="00BC1C35">
        <w:rPr>
          <w:rFonts w:ascii="Arial" w:hAnsi="Arial" w:cs="Arial"/>
        </w:rPr>
        <w:lastRenderedPageBreak/>
        <w:t>systems. This level of integration played a crucial role in shaping the country’s response to COVID-19</w:t>
      </w:r>
      <w:r w:rsidR="00784D8E" w:rsidRPr="009713B3">
        <w:rPr>
          <w:rFonts w:ascii="Arial" w:hAnsi="Arial" w:cs="Arial"/>
        </w:rPr>
        <w:t xml:space="preserve"> (</w:t>
      </w:r>
      <w:r w:rsidR="00784D8E" w:rsidRPr="009713B3">
        <w:rPr>
          <w:rFonts w:ascii="Arial" w:hAnsi="Arial" w:cs="Arial"/>
          <w:lang w:eastAsia="en-GB"/>
        </w:rPr>
        <w:t>Choi</w:t>
      </w:r>
      <w:r w:rsidR="0089210D" w:rsidRPr="009713B3">
        <w:rPr>
          <w:rFonts w:ascii="Arial" w:hAnsi="Arial" w:cs="Arial"/>
          <w:lang w:eastAsia="en-GB"/>
        </w:rPr>
        <w:t xml:space="preserve"> </w:t>
      </w:r>
      <w:r w:rsidR="00784D8E" w:rsidRPr="009713B3">
        <w:rPr>
          <w:rFonts w:ascii="Arial" w:hAnsi="Arial" w:cs="Arial"/>
          <w:lang w:eastAsia="en-GB"/>
        </w:rPr>
        <w:t>and Kim, 2024)</w:t>
      </w:r>
      <w:r w:rsidRPr="00BC1C35">
        <w:rPr>
          <w:rFonts w:ascii="Arial" w:hAnsi="Arial" w:cs="Arial"/>
        </w:rPr>
        <w:t>.</w:t>
      </w:r>
    </w:p>
    <w:p w14:paraId="1441176D" w14:textId="2120F076" w:rsidR="00BC1C35" w:rsidRPr="00BC1C35" w:rsidRDefault="00BC1C35" w:rsidP="009713B3">
      <w:pPr>
        <w:spacing w:line="360" w:lineRule="auto"/>
        <w:jc w:val="both"/>
        <w:rPr>
          <w:rFonts w:ascii="Arial" w:hAnsi="Arial" w:cs="Arial"/>
        </w:rPr>
      </w:pPr>
      <w:r w:rsidRPr="00BC1C35">
        <w:rPr>
          <w:rFonts w:ascii="Arial" w:hAnsi="Arial" w:cs="Arial"/>
        </w:rPr>
        <w:t>South Korea’s approach to the pandemic was characterised by rapid mobilisation, extensive testing, and proactive contact tracing rather than full nationwide lockdowns</w:t>
      </w:r>
      <w:r w:rsidR="002E416A" w:rsidRPr="009713B3">
        <w:rPr>
          <w:rFonts w:ascii="Arial" w:hAnsi="Arial" w:cs="Arial"/>
        </w:rPr>
        <w:t xml:space="preserve"> (</w:t>
      </w:r>
      <w:r w:rsidR="002E416A" w:rsidRPr="009713B3">
        <w:rPr>
          <w:rFonts w:ascii="Arial" w:hAnsi="Arial" w:cs="Arial"/>
          <w:lang w:eastAsia="en-GB"/>
        </w:rPr>
        <w:t>Choi and Kim, 2024)</w:t>
      </w:r>
      <w:r w:rsidRPr="00BC1C35">
        <w:rPr>
          <w:rFonts w:ascii="Arial" w:hAnsi="Arial" w:cs="Arial"/>
        </w:rPr>
        <w:t>. Learning from the 2015 MERS outbreak, South Korea already had legal frameworks in place allowing the government to access mobile data, CCTV footage, and financial transaction records for public health monitoring</w:t>
      </w:r>
      <w:r w:rsidR="00A33594" w:rsidRPr="009713B3">
        <w:rPr>
          <w:rFonts w:ascii="Arial" w:hAnsi="Arial" w:cs="Arial"/>
        </w:rPr>
        <w:t xml:space="preserve"> (</w:t>
      </w:r>
      <w:r w:rsidR="00A33594" w:rsidRPr="009713B3">
        <w:rPr>
          <w:rFonts w:ascii="Arial" w:hAnsi="Arial" w:cs="Arial"/>
          <w:lang w:eastAsia="en-GB"/>
        </w:rPr>
        <w:t>Chang et al, 2023)</w:t>
      </w:r>
      <w:r w:rsidRPr="00BC1C35">
        <w:rPr>
          <w:rFonts w:ascii="Arial" w:hAnsi="Arial" w:cs="Arial"/>
        </w:rPr>
        <w:t>. As a result, when COVID-19 emerged, the government swiftly implemented a nationwide testing strategy, including drive-through and mobile testing clinics</w:t>
      </w:r>
      <w:r w:rsidR="00DA2884" w:rsidRPr="009713B3">
        <w:rPr>
          <w:rFonts w:ascii="Arial" w:hAnsi="Arial" w:cs="Arial"/>
        </w:rPr>
        <w:t xml:space="preserve"> </w:t>
      </w:r>
      <w:r w:rsidR="002E416A" w:rsidRPr="009713B3">
        <w:rPr>
          <w:rFonts w:ascii="Arial" w:hAnsi="Arial" w:cs="Arial"/>
        </w:rPr>
        <w:t xml:space="preserve"> (Chung and Yi, 2021)</w:t>
      </w:r>
      <w:r w:rsidRPr="00BC1C35">
        <w:rPr>
          <w:rFonts w:ascii="Arial" w:hAnsi="Arial" w:cs="Arial"/>
        </w:rPr>
        <w:t>.</w:t>
      </w:r>
    </w:p>
    <w:p w14:paraId="610277FF" w14:textId="5B8B2DD6" w:rsidR="00BC1C35" w:rsidRPr="00BC1C35" w:rsidRDefault="00BC1C35" w:rsidP="009713B3">
      <w:pPr>
        <w:spacing w:line="360" w:lineRule="auto"/>
        <w:jc w:val="both"/>
        <w:rPr>
          <w:rFonts w:ascii="Arial" w:hAnsi="Arial" w:cs="Arial"/>
        </w:rPr>
      </w:pPr>
      <w:r w:rsidRPr="00BC1C35">
        <w:rPr>
          <w:rFonts w:ascii="Arial" w:hAnsi="Arial" w:cs="Arial"/>
        </w:rPr>
        <w:t>The response was predominantly centralised, with national authorities coordinating testing protocols, vaccine procurement, public communication and border controls</w:t>
      </w:r>
      <w:r w:rsidR="00FB24C1" w:rsidRPr="009713B3">
        <w:rPr>
          <w:rFonts w:ascii="Arial" w:hAnsi="Arial" w:cs="Arial"/>
        </w:rPr>
        <w:t xml:space="preserve"> (Park et al, 2023)</w:t>
      </w:r>
      <w:r w:rsidRPr="00BC1C35">
        <w:rPr>
          <w:rFonts w:ascii="Arial" w:hAnsi="Arial" w:cs="Arial"/>
        </w:rPr>
        <w:t xml:space="preserve">. However, aspects of health service delivery, including hospital capacity management and quarantine measures, </w:t>
      </w:r>
      <w:r w:rsidR="007D5BB9" w:rsidRPr="009713B3">
        <w:rPr>
          <w:rFonts w:ascii="Arial" w:hAnsi="Arial" w:cs="Arial"/>
        </w:rPr>
        <w:t xml:space="preserve">were </w:t>
      </w:r>
      <w:r w:rsidRPr="00BC1C35">
        <w:rPr>
          <w:rFonts w:ascii="Arial" w:hAnsi="Arial" w:cs="Arial"/>
        </w:rPr>
        <w:t xml:space="preserve">involved </w:t>
      </w:r>
      <w:r w:rsidR="007D5BB9" w:rsidRPr="009713B3">
        <w:rPr>
          <w:rFonts w:ascii="Arial" w:hAnsi="Arial" w:cs="Arial"/>
        </w:rPr>
        <w:t xml:space="preserve">with </w:t>
      </w:r>
      <w:r w:rsidRPr="00BC1C35">
        <w:rPr>
          <w:rFonts w:ascii="Arial" w:hAnsi="Arial" w:cs="Arial"/>
        </w:rPr>
        <w:t>regional and local authorities</w:t>
      </w:r>
      <w:r w:rsidR="002E416A" w:rsidRPr="009713B3">
        <w:rPr>
          <w:rFonts w:ascii="Arial" w:hAnsi="Arial" w:cs="Arial"/>
        </w:rPr>
        <w:t xml:space="preserve"> (Chung and Yi, 2021)</w:t>
      </w:r>
      <w:r w:rsidRPr="00BC1C35">
        <w:rPr>
          <w:rFonts w:ascii="Arial" w:hAnsi="Arial" w:cs="Arial"/>
        </w:rPr>
        <w:t>. The national alert system ensured that citizens received real-time updates on local outbreaks through mobile notifications, enabling targeted rather than broad restrictions</w:t>
      </w:r>
      <w:r w:rsidR="00A33594" w:rsidRPr="009713B3">
        <w:rPr>
          <w:rFonts w:ascii="Arial" w:hAnsi="Arial" w:cs="Arial"/>
        </w:rPr>
        <w:t xml:space="preserve"> (</w:t>
      </w:r>
      <w:r w:rsidR="00A33594" w:rsidRPr="009713B3">
        <w:rPr>
          <w:rFonts w:ascii="Arial" w:hAnsi="Arial" w:cs="Arial"/>
          <w:lang w:eastAsia="en-GB"/>
        </w:rPr>
        <w:t>Chang et al, 2023)</w:t>
      </w:r>
      <w:r w:rsidRPr="00BC1C35">
        <w:rPr>
          <w:rFonts w:ascii="Arial" w:hAnsi="Arial" w:cs="Arial"/>
        </w:rPr>
        <w:t>. South Korea’s early and coordinated response led to relatively low mortality rates compared to many Western countries, without imposing large-scale or prolonged lockdowns. The integration of central authority with local responsiveness became a defining feature of its systems approach</w:t>
      </w:r>
      <w:r w:rsidR="002E416A" w:rsidRPr="009713B3">
        <w:rPr>
          <w:rFonts w:ascii="Arial" w:hAnsi="Arial" w:cs="Arial"/>
        </w:rPr>
        <w:t xml:space="preserve"> (</w:t>
      </w:r>
      <w:r w:rsidR="002E416A" w:rsidRPr="009713B3">
        <w:rPr>
          <w:rFonts w:ascii="Arial" w:hAnsi="Arial" w:cs="Arial"/>
          <w:lang w:eastAsia="en-GB"/>
        </w:rPr>
        <w:t>Choi and Kim, 2024)</w:t>
      </w:r>
      <w:r w:rsidRPr="00BC1C35">
        <w:rPr>
          <w:rFonts w:ascii="Arial" w:hAnsi="Arial" w:cs="Arial"/>
        </w:rPr>
        <w:t>.</w:t>
      </w:r>
    </w:p>
    <w:p w14:paraId="36C26327" w14:textId="7CB20C48" w:rsidR="00BC1C35" w:rsidRPr="009713B3" w:rsidRDefault="00BC1C35" w:rsidP="009713B3">
      <w:pPr>
        <w:pStyle w:val="Heading2"/>
        <w:spacing w:line="360" w:lineRule="auto"/>
        <w:jc w:val="both"/>
        <w:rPr>
          <w:rFonts w:cs="Arial"/>
        </w:rPr>
      </w:pPr>
      <w:bookmarkStart w:id="8" w:name="_Toc216684749"/>
      <w:r w:rsidRPr="009713B3">
        <w:rPr>
          <w:rFonts w:cs="Arial"/>
        </w:rPr>
        <w:t>2.2.2 Advantages of South Korea’s Systems Approach</w:t>
      </w:r>
      <w:bookmarkEnd w:id="8"/>
      <w:r w:rsidRPr="009713B3">
        <w:rPr>
          <w:rFonts w:cs="Arial"/>
        </w:rPr>
        <w:t xml:space="preserve"> </w:t>
      </w:r>
    </w:p>
    <w:p w14:paraId="5A62B020" w14:textId="3EC6EDCA" w:rsidR="00BC1C35" w:rsidRPr="00BC1C35" w:rsidRDefault="00BC1C35" w:rsidP="009713B3">
      <w:pPr>
        <w:spacing w:line="360" w:lineRule="auto"/>
        <w:jc w:val="both"/>
        <w:rPr>
          <w:rFonts w:ascii="Arial" w:hAnsi="Arial" w:cs="Arial"/>
        </w:rPr>
      </w:pPr>
      <w:r w:rsidRPr="00BC1C35">
        <w:rPr>
          <w:rFonts w:ascii="Arial" w:hAnsi="Arial" w:cs="Arial"/>
        </w:rPr>
        <w:t>One clear advantage of South Korea’s approach was the strength of its centralised governance structure in emergency response</w:t>
      </w:r>
      <w:r w:rsidR="002E416A" w:rsidRPr="009713B3">
        <w:rPr>
          <w:rFonts w:ascii="Arial" w:hAnsi="Arial" w:cs="Arial"/>
        </w:rPr>
        <w:t xml:space="preserve"> (</w:t>
      </w:r>
      <w:r w:rsidR="002E416A" w:rsidRPr="009713B3">
        <w:rPr>
          <w:rFonts w:ascii="Arial" w:hAnsi="Arial" w:cs="Arial"/>
          <w:lang w:eastAsia="en-GB"/>
        </w:rPr>
        <w:t>Choi and Kim, 2024)</w:t>
      </w:r>
      <w:r w:rsidRPr="00BC1C35">
        <w:rPr>
          <w:rFonts w:ascii="Arial" w:hAnsi="Arial" w:cs="Arial"/>
        </w:rPr>
        <w:t>. Centralised coordination helped ensure standardised testing procedures, rapid dissemination of public health guidance, and nationally aligned case management protocols</w:t>
      </w:r>
      <w:r w:rsidR="00A33594" w:rsidRPr="009713B3">
        <w:rPr>
          <w:rFonts w:ascii="Arial" w:hAnsi="Arial" w:cs="Arial"/>
        </w:rPr>
        <w:t xml:space="preserve"> (</w:t>
      </w:r>
      <w:r w:rsidR="00A33594" w:rsidRPr="009713B3">
        <w:rPr>
          <w:rFonts w:ascii="Arial" w:hAnsi="Arial" w:cs="Arial"/>
          <w:lang w:eastAsia="en-GB"/>
        </w:rPr>
        <w:t>Chang et al, 2023)</w:t>
      </w:r>
      <w:r w:rsidRPr="00BC1C35">
        <w:rPr>
          <w:rFonts w:ascii="Arial" w:hAnsi="Arial" w:cs="Arial"/>
        </w:rPr>
        <w:t>. The government’s ability to synchronise decision-making across sectors, including immigration, technology, healthcare, and law enforcement, enabled a rapid and highly organised response. This level of central authority helped prevent confusion and ensured consistency in communication and implementation</w:t>
      </w:r>
      <w:r w:rsidR="00FB24C1" w:rsidRPr="009713B3">
        <w:rPr>
          <w:rFonts w:ascii="Arial" w:hAnsi="Arial" w:cs="Arial"/>
        </w:rPr>
        <w:t xml:space="preserve"> (Park et al, 2023)</w:t>
      </w:r>
      <w:r w:rsidRPr="00BC1C35">
        <w:rPr>
          <w:rFonts w:ascii="Arial" w:hAnsi="Arial" w:cs="Arial"/>
        </w:rPr>
        <w:t>.</w:t>
      </w:r>
    </w:p>
    <w:p w14:paraId="170B971E" w14:textId="5D8483DF" w:rsidR="00BC1C35" w:rsidRPr="00BC1C35" w:rsidRDefault="00BC1C35" w:rsidP="009713B3">
      <w:pPr>
        <w:spacing w:line="360" w:lineRule="auto"/>
        <w:jc w:val="both"/>
        <w:rPr>
          <w:rFonts w:ascii="Arial" w:hAnsi="Arial" w:cs="Arial"/>
        </w:rPr>
      </w:pPr>
      <w:r w:rsidRPr="00BC1C35">
        <w:rPr>
          <w:rFonts w:ascii="Arial" w:hAnsi="Arial" w:cs="Arial"/>
        </w:rPr>
        <w:t>Another major advantage was the country’s investment in digital public health infrastructure</w:t>
      </w:r>
      <w:r w:rsidR="002E416A" w:rsidRPr="009713B3">
        <w:rPr>
          <w:rFonts w:ascii="Arial" w:hAnsi="Arial" w:cs="Arial"/>
        </w:rPr>
        <w:t xml:space="preserve"> (Chung and Yi, 2021)</w:t>
      </w:r>
      <w:r w:rsidRPr="00BC1C35">
        <w:rPr>
          <w:rFonts w:ascii="Arial" w:hAnsi="Arial" w:cs="Arial"/>
        </w:rPr>
        <w:t xml:space="preserve">. The use of technology for contact tracing, case </w:t>
      </w:r>
      <w:r w:rsidRPr="00BC1C35">
        <w:rPr>
          <w:rFonts w:ascii="Arial" w:hAnsi="Arial" w:cs="Arial"/>
        </w:rPr>
        <w:lastRenderedPageBreak/>
        <w:t>investigation, and surveillance enabled authorities to respond rapidly to outbreaks, identify transmission chains, and isolate high-risk individuals before wider spread occurred</w:t>
      </w:r>
      <w:r w:rsidR="00FB24C1" w:rsidRPr="009713B3">
        <w:rPr>
          <w:rFonts w:ascii="Arial" w:hAnsi="Arial" w:cs="Arial"/>
        </w:rPr>
        <w:t xml:space="preserve"> (Park et al, 2023)</w:t>
      </w:r>
      <w:r w:rsidRPr="00BC1C35">
        <w:rPr>
          <w:rFonts w:ascii="Arial" w:hAnsi="Arial" w:cs="Arial"/>
        </w:rPr>
        <w:t>. This approach reduced the need for widespread lockdowns and allowed South Korea to maintain economic and social continuity throughout much of the pandemic</w:t>
      </w:r>
      <w:r w:rsidR="00A33594" w:rsidRPr="009713B3">
        <w:rPr>
          <w:rFonts w:ascii="Arial" w:hAnsi="Arial" w:cs="Arial"/>
        </w:rPr>
        <w:t>(</w:t>
      </w:r>
      <w:r w:rsidR="00A33594" w:rsidRPr="009713B3">
        <w:rPr>
          <w:rFonts w:ascii="Arial" w:hAnsi="Arial" w:cs="Arial"/>
          <w:lang w:eastAsia="en-GB"/>
        </w:rPr>
        <w:t>Chang et al, 2023)</w:t>
      </w:r>
      <w:r w:rsidRPr="00BC1C35">
        <w:rPr>
          <w:rFonts w:ascii="Arial" w:hAnsi="Arial" w:cs="Arial"/>
        </w:rPr>
        <w:t>.</w:t>
      </w:r>
    </w:p>
    <w:p w14:paraId="63D00362" w14:textId="4BF3DAEE" w:rsidR="00BC1C35" w:rsidRPr="00BC1C35" w:rsidRDefault="00BC1C35" w:rsidP="009713B3">
      <w:pPr>
        <w:spacing w:line="360" w:lineRule="auto"/>
        <w:jc w:val="both"/>
        <w:rPr>
          <w:rFonts w:ascii="Arial" w:hAnsi="Arial" w:cs="Arial"/>
        </w:rPr>
      </w:pPr>
      <w:r w:rsidRPr="00BC1C35">
        <w:rPr>
          <w:rFonts w:ascii="Arial" w:hAnsi="Arial" w:cs="Arial"/>
        </w:rPr>
        <w:t>Decentralised components of the response also offered benefits. Local governments had autonomy to operate temporary treatment centres, deploy resources, and tailor interventions based on regional case patterns</w:t>
      </w:r>
      <w:r w:rsidR="002E416A" w:rsidRPr="009713B3">
        <w:rPr>
          <w:rFonts w:ascii="Arial" w:hAnsi="Arial" w:cs="Arial"/>
        </w:rPr>
        <w:t xml:space="preserve"> (Chung and Yi, 2021)</w:t>
      </w:r>
      <w:r w:rsidRPr="00BC1C35">
        <w:rPr>
          <w:rFonts w:ascii="Arial" w:hAnsi="Arial" w:cs="Arial"/>
        </w:rPr>
        <w:t>. Hospitals coordinated regionally, ensuring that bed capacity could be shared and reallocated efficiently</w:t>
      </w:r>
      <w:r w:rsidR="00A33594" w:rsidRPr="009713B3">
        <w:rPr>
          <w:rFonts w:ascii="Arial" w:hAnsi="Arial" w:cs="Arial"/>
        </w:rPr>
        <w:t xml:space="preserve"> (</w:t>
      </w:r>
      <w:r w:rsidR="00A33594" w:rsidRPr="009713B3">
        <w:rPr>
          <w:rFonts w:ascii="Arial" w:hAnsi="Arial" w:cs="Arial"/>
          <w:lang w:eastAsia="en-GB"/>
        </w:rPr>
        <w:t>Chang et al, 2023)</w:t>
      </w:r>
      <w:r w:rsidRPr="00BC1C35">
        <w:rPr>
          <w:rFonts w:ascii="Arial" w:hAnsi="Arial" w:cs="Arial"/>
        </w:rPr>
        <w:t>. Community engagement and public compliance were further strengthened by transparent communication, which cultivated a sense of collective responsibility</w:t>
      </w:r>
      <w:r w:rsidR="002E416A" w:rsidRPr="009713B3">
        <w:rPr>
          <w:rFonts w:ascii="Arial" w:hAnsi="Arial" w:cs="Arial"/>
        </w:rPr>
        <w:t xml:space="preserve"> (Chung and Yi, 2021)</w:t>
      </w:r>
      <w:r w:rsidRPr="00BC1C35">
        <w:rPr>
          <w:rFonts w:ascii="Arial" w:hAnsi="Arial" w:cs="Arial"/>
        </w:rPr>
        <w:t>.</w:t>
      </w:r>
      <w:r w:rsidR="007D5BB9" w:rsidRPr="009713B3">
        <w:rPr>
          <w:rFonts w:ascii="Arial" w:hAnsi="Arial" w:cs="Arial"/>
        </w:rPr>
        <w:t xml:space="preserve"> </w:t>
      </w:r>
      <w:r w:rsidRPr="00BC1C35">
        <w:rPr>
          <w:rFonts w:ascii="Arial" w:hAnsi="Arial" w:cs="Arial"/>
        </w:rPr>
        <w:t>Additionally, partnerships between government, research institutions, and private companies accelerated the development and approval of testing kits early in the pandemic</w:t>
      </w:r>
      <w:r w:rsidR="00FB24C1" w:rsidRPr="009713B3">
        <w:rPr>
          <w:rFonts w:ascii="Arial" w:hAnsi="Arial" w:cs="Arial"/>
        </w:rPr>
        <w:t xml:space="preserve"> (Park et al, 2023)</w:t>
      </w:r>
      <w:r w:rsidRPr="00BC1C35">
        <w:rPr>
          <w:rFonts w:ascii="Arial" w:hAnsi="Arial" w:cs="Arial"/>
        </w:rPr>
        <w:t>. This collaboration supported large-scale testing capacity at a time when most countries were struggling to meet demand. Overall, South Korea’s hybrid model demonstrated the value of centralised leadership supported by local operational flexibility</w:t>
      </w:r>
      <w:r w:rsidR="00A33594" w:rsidRPr="009713B3">
        <w:rPr>
          <w:rFonts w:ascii="Arial" w:hAnsi="Arial" w:cs="Arial"/>
        </w:rPr>
        <w:t xml:space="preserve"> (</w:t>
      </w:r>
      <w:r w:rsidR="00A33594" w:rsidRPr="009713B3">
        <w:rPr>
          <w:rFonts w:ascii="Arial" w:hAnsi="Arial" w:cs="Arial"/>
          <w:lang w:eastAsia="en-GB"/>
        </w:rPr>
        <w:t>Chang et al, 2023)</w:t>
      </w:r>
      <w:r w:rsidRPr="00BC1C35">
        <w:rPr>
          <w:rFonts w:ascii="Arial" w:hAnsi="Arial" w:cs="Arial"/>
        </w:rPr>
        <w:t>.</w:t>
      </w:r>
    </w:p>
    <w:p w14:paraId="3E1EB7F8" w14:textId="18C344C0" w:rsidR="00BC1C35" w:rsidRPr="009713B3" w:rsidRDefault="00BC1C35" w:rsidP="009713B3">
      <w:pPr>
        <w:pStyle w:val="Heading2"/>
        <w:spacing w:line="360" w:lineRule="auto"/>
        <w:jc w:val="both"/>
        <w:rPr>
          <w:rFonts w:cs="Arial"/>
        </w:rPr>
      </w:pPr>
      <w:bookmarkStart w:id="9" w:name="_Toc216684750"/>
      <w:r w:rsidRPr="009713B3">
        <w:rPr>
          <w:rFonts w:cs="Arial"/>
        </w:rPr>
        <w:t>2.2.3 Disadvantages and Challenges of the Approach</w:t>
      </w:r>
      <w:bookmarkEnd w:id="9"/>
      <w:r w:rsidRPr="009713B3">
        <w:rPr>
          <w:rFonts w:cs="Arial"/>
        </w:rPr>
        <w:t xml:space="preserve"> </w:t>
      </w:r>
    </w:p>
    <w:p w14:paraId="3B84781D" w14:textId="38D7E788" w:rsidR="00BC1C35" w:rsidRPr="00BC1C35" w:rsidRDefault="00BC1C35" w:rsidP="009713B3">
      <w:pPr>
        <w:spacing w:line="360" w:lineRule="auto"/>
        <w:jc w:val="both"/>
        <w:rPr>
          <w:rFonts w:ascii="Arial" w:hAnsi="Arial" w:cs="Arial"/>
        </w:rPr>
      </w:pPr>
      <w:r w:rsidRPr="00BC1C35">
        <w:rPr>
          <w:rFonts w:ascii="Arial" w:hAnsi="Arial" w:cs="Arial"/>
        </w:rPr>
        <w:t>Despite its success, South Korea’s systems approach also presented notable challenges. One of the most frequently debated issues was the extensive data surveillance used for contact tracing. While effective, it raised ethical concerns about privacy and civil liberties</w:t>
      </w:r>
      <w:r w:rsidR="00A33594" w:rsidRPr="009713B3">
        <w:rPr>
          <w:rFonts w:ascii="Arial" w:hAnsi="Arial" w:cs="Arial"/>
        </w:rPr>
        <w:t xml:space="preserve"> (</w:t>
      </w:r>
      <w:r w:rsidR="00A33594" w:rsidRPr="009713B3">
        <w:rPr>
          <w:rFonts w:ascii="Arial" w:hAnsi="Arial" w:cs="Arial"/>
          <w:lang w:eastAsia="en-GB"/>
        </w:rPr>
        <w:t>Chang et al, 2023)</w:t>
      </w:r>
      <w:r w:rsidRPr="00BC1C35">
        <w:rPr>
          <w:rFonts w:ascii="Arial" w:hAnsi="Arial" w:cs="Arial"/>
        </w:rPr>
        <w:t>. The reliance on digital monitoring required public acceptance and trust, and although compliance remained high, the approach sparked ongoing discussion about the balance between public safety and individual rights</w:t>
      </w:r>
      <w:r w:rsidR="00FB24C1" w:rsidRPr="009713B3">
        <w:rPr>
          <w:rFonts w:ascii="Arial" w:hAnsi="Arial" w:cs="Arial"/>
        </w:rPr>
        <w:t xml:space="preserve"> (Park et al, 2023)</w:t>
      </w:r>
      <w:r w:rsidRPr="00BC1C35">
        <w:rPr>
          <w:rFonts w:ascii="Arial" w:hAnsi="Arial" w:cs="Arial"/>
        </w:rPr>
        <w:t>.</w:t>
      </w:r>
    </w:p>
    <w:p w14:paraId="6400D443" w14:textId="5C2F011C" w:rsidR="00BC1C35" w:rsidRPr="00BC1C35" w:rsidRDefault="00BC1C35" w:rsidP="009713B3">
      <w:pPr>
        <w:spacing w:line="360" w:lineRule="auto"/>
        <w:jc w:val="both"/>
        <w:rPr>
          <w:rFonts w:ascii="Arial" w:hAnsi="Arial" w:cs="Arial"/>
        </w:rPr>
      </w:pPr>
      <w:r w:rsidRPr="00BC1C35">
        <w:rPr>
          <w:rFonts w:ascii="Arial" w:hAnsi="Arial" w:cs="Arial"/>
        </w:rPr>
        <w:t>Another challenge was the uneven strain placed on healthcare resources during peak waves</w:t>
      </w:r>
      <w:r w:rsidR="002E416A" w:rsidRPr="009713B3">
        <w:rPr>
          <w:rFonts w:ascii="Arial" w:hAnsi="Arial" w:cs="Arial"/>
        </w:rPr>
        <w:t xml:space="preserve"> (</w:t>
      </w:r>
      <w:r w:rsidR="002E416A" w:rsidRPr="009713B3">
        <w:rPr>
          <w:rFonts w:ascii="Arial" w:hAnsi="Arial" w:cs="Arial"/>
          <w:lang w:eastAsia="en-GB"/>
        </w:rPr>
        <w:t>Choi and Kim, 2024)</w:t>
      </w:r>
      <w:r w:rsidRPr="00BC1C35">
        <w:rPr>
          <w:rFonts w:ascii="Arial" w:hAnsi="Arial" w:cs="Arial"/>
        </w:rPr>
        <w:t>. While the highly centralised system ensured coordinated policies, regional healthcare facilities occasionally struggled with surges in cases, particularly in densely populated urban areas</w:t>
      </w:r>
      <w:r w:rsidR="00A33594" w:rsidRPr="009713B3">
        <w:rPr>
          <w:rFonts w:ascii="Arial" w:hAnsi="Arial" w:cs="Arial"/>
        </w:rPr>
        <w:t xml:space="preserve"> (</w:t>
      </w:r>
      <w:r w:rsidR="00A33594" w:rsidRPr="009713B3">
        <w:rPr>
          <w:rFonts w:ascii="Arial" w:hAnsi="Arial" w:cs="Arial"/>
          <w:lang w:eastAsia="en-GB"/>
        </w:rPr>
        <w:t>Chang et al, 2023)</w:t>
      </w:r>
      <w:r w:rsidRPr="00BC1C35">
        <w:rPr>
          <w:rFonts w:ascii="Arial" w:hAnsi="Arial" w:cs="Arial"/>
        </w:rPr>
        <w:t xml:space="preserve">. At times, there were delays in hospital admissions for patients with mild to moderate symptoms due to prioritisation of severe cases. The initial vaccine rollout also faced delays, partly due </w:t>
      </w:r>
      <w:r w:rsidRPr="00BC1C35">
        <w:rPr>
          <w:rFonts w:ascii="Arial" w:hAnsi="Arial" w:cs="Arial"/>
        </w:rPr>
        <w:lastRenderedPageBreak/>
        <w:t>to reliance on global vaccine supply chains and cautious approval processes</w:t>
      </w:r>
      <w:r w:rsidR="00FB24C1" w:rsidRPr="009713B3">
        <w:rPr>
          <w:rFonts w:ascii="Arial" w:hAnsi="Arial" w:cs="Arial"/>
        </w:rPr>
        <w:t xml:space="preserve"> (Park et al, 2023)</w:t>
      </w:r>
      <w:r w:rsidRPr="00BC1C35">
        <w:rPr>
          <w:rFonts w:ascii="Arial" w:hAnsi="Arial" w:cs="Arial"/>
        </w:rPr>
        <w:t>.</w:t>
      </w:r>
    </w:p>
    <w:p w14:paraId="29CAEBD1" w14:textId="0B62A5AC" w:rsidR="00BC1C35" w:rsidRPr="00BC1C35" w:rsidRDefault="00BC1C35" w:rsidP="009713B3">
      <w:pPr>
        <w:spacing w:line="360" w:lineRule="auto"/>
        <w:jc w:val="both"/>
        <w:rPr>
          <w:rFonts w:ascii="Arial" w:hAnsi="Arial" w:cs="Arial"/>
        </w:rPr>
      </w:pPr>
      <w:r w:rsidRPr="00BC1C35">
        <w:rPr>
          <w:rFonts w:ascii="Arial" w:hAnsi="Arial" w:cs="Arial"/>
        </w:rPr>
        <w:t xml:space="preserve">Regions with fewer resources or less developed technology infrastructure sometimes </w:t>
      </w:r>
      <w:r w:rsidR="007D2BFF" w:rsidRPr="009713B3">
        <w:rPr>
          <w:rFonts w:ascii="Arial" w:hAnsi="Arial" w:cs="Arial"/>
        </w:rPr>
        <w:t>find</w:t>
      </w:r>
      <w:r w:rsidRPr="00BC1C35">
        <w:rPr>
          <w:rFonts w:ascii="Arial" w:hAnsi="Arial" w:cs="Arial"/>
        </w:rPr>
        <w:t xml:space="preserve"> it difficult to implement advanced tracking and digital reporting systems at the same pace as major cities</w:t>
      </w:r>
      <w:r w:rsidR="00A33594" w:rsidRPr="009713B3">
        <w:rPr>
          <w:rFonts w:ascii="Arial" w:hAnsi="Arial" w:cs="Arial"/>
        </w:rPr>
        <w:t xml:space="preserve"> (</w:t>
      </w:r>
      <w:r w:rsidR="00A33594" w:rsidRPr="009713B3">
        <w:rPr>
          <w:rFonts w:ascii="Arial" w:hAnsi="Arial" w:cs="Arial"/>
          <w:lang w:eastAsia="en-GB"/>
        </w:rPr>
        <w:t>Chang et al, 2023)</w:t>
      </w:r>
      <w:r w:rsidRPr="00BC1C35">
        <w:rPr>
          <w:rFonts w:ascii="Arial" w:hAnsi="Arial" w:cs="Arial"/>
        </w:rPr>
        <w:t>. This highlighted disparities within the system despite strong national coordination. Additionally, centralised decision-making occasionally led to limited flexibility for local adjustments when conditions changed rapidly</w:t>
      </w:r>
      <w:r w:rsidR="00FB24C1" w:rsidRPr="009713B3">
        <w:rPr>
          <w:rFonts w:ascii="Arial" w:hAnsi="Arial" w:cs="Arial"/>
        </w:rPr>
        <w:t xml:space="preserve"> (Park et al, 2023)</w:t>
      </w:r>
      <w:r w:rsidRPr="00BC1C35">
        <w:rPr>
          <w:rFonts w:ascii="Arial" w:hAnsi="Arial" w:cs="Arial"/>
        </w:rPr>
        <w:t>.</w:t>
      </w:r>
      <w:r w:rsidR="007D2BFF" w:rsidRPr="009713B3">
        <w:rPr>
          <w:rFonts w:ascii="Arial" w:hAnsi="Arial" w:cs="Arial"/>
        </w:rPr>
        <w:t xml:space="preserve"> </w:t>
      </w:r>
      <w:r w:rsidRPr="00BC1C35">
        <w:rPr>
          <w:rFonts w:ascii="Arial" w:hAnsi="Arial" w:cs="Arial"/>
        </w:rPr>
        <w:t>Finally, although South Korea avoided prolonged lockdowns, targeted restrictions still had economic and social impacts, particularly on small businesses and vulnerable populations</w:t>
      </w:r>
      <w:r w:rsidR="00495EAF" w:rsidRPr="009713B3">
        <w:rPr>
          <w:rFonts w:ascii="Arial" w:hAnsi="Arial" w:cs="Arial"/>
        </w:rPr>
        <w:t xml:space="preserve"> (Chung and Yi, 2021)</w:t>
      </w:r>
      <w:r w:rsidRPr="00BC1C35">
        <w:rPr>
          <w:rFonts w:ascii="Arial" w:hAnsi="Arial" w:cs="Arial"/>
        </w:rPr>
        <w:t>. These disadvantages demonstrated that while centralised coordination and digital infrastructure contributed significantly to the country’s success, they also created ethical, logistical, and operational challenges that required ongoing management and public trust</w:t>
      </w:r>
      <w:r w:rsidR="002E416A" w:rsidRPr="009713B3">
        <w:rPr>
          <w:rFonts w:ascii="Arial" w:hAnsi="Arial" w:cs="Arial"/>
        </w:rPr>
        <w:t xml:space="preserve"> (</w:t>
      </w:r>
      <w:r w:rsidR="002E416A" w:rsidRPr="009713B3">
        <w:rPr>
          <w:rFonts w:ascii="Arial" w:hAnsi="Arial" w:cs="Arial"/>
          <w:lang w:eastAsia="en-GB"/>
        </w:rPr>
        <w:t>Choi and Kim, 2024)</w:t>
      </w:r>
      <w:r w:rsidRPr="00BC1C35">
        <w:rPr>
          <w:rFonts w:ascii="Arial" w:hAnsi="Arial" w:cs="Arial"/>
        </w:rPr>
        <w:t>.</w:t>
      </w:r>
    </w:p>
    <w:p w14:paraId="1E44A8BA" w14:textId="77777777" w:rsidR="00BC1C35" w:rsidRPr="009713B3" w:rsidRDefault="00BC1C35" w:rsidP="009713B3">
      <w:pPr>
        <w:pStyle w:val="Heading1"/>
        <w:spacing w:line="360" w:lineRule="auto"/>
        <w:jc w:val="both"/>
        <w:rPr>
          <w:rFonts w:cs="Arial"/>
        </w:rPr>
      </w:pPr>
      <w:bookmarkStart w:id="10" w:name="_Toc216684751"/>
      <w:r w:rsidRPr="009713B3">
        <w:rPr>
          <w:rFonts w:cs="Arial"/>
        </w:rPr>
        <w:t>2.3 Canada</w:t>
      </w:r>
      <w:bookmarkEnd w:id="10"/>
    </w:p>
    <w:p w14:paraId="4B09AEFA" w14:textId="6373D927" w:rsidR="00BC1C35" w:rsidRPr="009713B3" w:rsidRDefault="00BC1C35" w:rsidP="009713B3">
      <w:pPr>
        <w:pStyle w:val="Heading2"/>
        <w:spacing w:line="360" w:lineRule="auto"/>
        <w:jc w:val="both"/>
        <w:rPr>
          <w:rFonts w:cs="Arial"/>
        </w:rPr>
      </w:pPr>
      <w:bookmarkStart w:id="11" w:name="_Toc216684752"/>
      <w:r w:rsidRPr="009713B3">
        <w:rPr>
          <w:rFonts w:cs="Arial"/>
        </w:rPr>
        <w:t>2.3.1 Overview of Canada’s Healthcare System and COVID-19 Response</w:t>
      </w:r>
      <w:bookmarkEnd w:id="11"/>
      <w:r w:rsidRPr="009713B3">
        <w:rPr>
          <w:rFonts w:cs="Arial"/>
        </w:rPr>
        <w:t xml:space="preserve"> </w:t>
      </w:r>
    </w:p>
    <w:p w14:paraId="4D8A8AA1" w14:textId="6EDCF883" w:rsidR="00BC1C35" w:rsidRPr="00BC1C35" w:rsidRDefault="00BC1C35" w:rsidP="009713B3">
      <w:pPr>
        <w:spacing w:line="360" w:lineRule="auto"/>
        <w:jc w:val="both"/>
        <w:rPr>
          <w:rFonts w:ascii="Arial" w:hAnsi="Arial" w:cs="Arial"/>
        </w:rPr>
      </w:pPr>
      <w:r w:rsidRPr="00BC1C35">
        <w:rPr>
          <w:rFonts w:ascii="Arial" w:hAnsi="Arial" w:cs="Arial"/>
        </w:rPr>
        <w:t>Canada operates a publicly funded and largely decentralised healthcare system known as Medicare. While the federal government provides broad policy direction, funding frameworks, regulatory oversight and border control, healthcare delivery is the responsibility of the provinces and territories</w:t>
      </w:r>
      <w:r w:rsidR="00316501" w:rsidRPr="009713B3">
        <w:rPr>
          <w:rFonts w:ascii="Arial" w:hAnsi="Arial" w:cs="Arial"/>
        </w:rPr>
        <w:t xml:space="preserve"> (Chung et al, 2022)</w:t>
      </w:r>
      <w:r w:rsidRPr="00BC1C35">
        <w:rPr>
          <w:rFonts w:ascii="Arial" w:hAnsi="Arial" w:cs="Arial"/>
        </w:rPr>
        <w:t>. Each jurisdiction manages hospitals, public health agencies, vaccination programmes and emergency responses independently</w:t>
      </w:r>
      <w:r w:rsidR="005F6795" w:rsidRPr="009713B3">
        <w:rPr>
          <w:rFonts w:ascii="Arial" w:hAnsi="Arial" w:cs="Arial"/>
        </w:rPr>
        <w:t xml:space="preserve"> (</w:t>
      </w:r>
      <w:r w:rsidR="005F6795" w:rsidRPr="009713B3">
        <w:rPr>
          <w:rFonts w:ascii="Arial" w:hAnsi="Arial" w:cs="Arial"/>
          <w:lang w:eastAsia="en-GB"/>
        </w:rPr>
        <w:t>Hodwitz et al, 2024)</w:t>
      </w:r>
      <w:r w:rsidRPr="00BC1C35">
        <w:rPr>
          <w:rFonts w:ascii="Arial" w:hAnsi="Arial" w:cs="Arial"/>
        </w:rPr>
        <w:t>. Although the system ensures universal access to care, there are notable differences between regions in digital health capacity, public health infrastructure, and readiness for emergencies</w:t>
      </w:r>
      <w:r w:rsidR="00EE41E9" w:rsidRPr="009713B3">
        <w:rPr>
          <w:rFonts w:ascii="Arial" w:hAnsi="Arial" w:cs="Arial"/>
        </w:rPr>
        <w:t xml:space="preserve"> (Taylor and Tremblay, 2022)</w:t>
      </w:r>
      <w:r w:rsidRPr="00BC1C35">
        <w:rPr>
          <w:rFonts w:ascii="Arial" w:hAnsi="Arial" w:cs="Arial"/>
        </w:rPr>
        <w:t>. As a result, Canada entered the COVID-19 pandemic with significant regional variation in preparedness and response capabilities</w:t>
      </w:r>
      <w:r w:rsidR="002E4C1A" w:rsidRPr="009713B3">
        <w:rPr>
          <w:rFonts w:ascii="Arial" w:hAnsi="Arial" w:cs="Arial"/>
        </w:rPr>
        <w:t xml:space="preserve"> (</w:t>
      </w:r>
      <w:r w:rsidR="002E4C1A" w:rsidRPr="009713B3">
        <w:rPr>
          <w:rFonts w:ascii="Arial" w:hAnsi="Arial" w:cs="Arial"/>
          <w:lang w:eastAsia="en-GB"/>
        </w:rPr>
        <w:t>Hodwitz et al, 2024)</w:t>
      </w:r>
      <w:r w:rsidRPr="00BC1C35">
        <w:rPr>
          <w:rFonts w:ascii="Arial" w:hAnsi="Arial" w:cs="Arial"/>
        </w:rPr>
        <w:t>.</w:t>
      </w:r>
    </w:p>
    <w:p w14:paraId="7B49B39C" w14:textId="6E153451" w:rsidR="00FF5A6D" w:rsidRPr="009713B3" w:rsidRDefault="00BC1C35" w:rsidP="009713B3">
      <w:pPr>
        <w:spacing w:line="360" w:lineRule="auto"/>
        <w:jc w:val="both"/>
        <w:rPr>
          <w:rFonts w:ascii="Arial" w:hAnsi="Arial" w:cs="Arial"/>
        </w:rPr>
      </w:pPr>
      <w:r w:rsidRPr="00BC1C35">
        <w:rPr>
          <w:rFonts w:ascii="Arial" w:hAnsi="Arial" w:cs="Arial"/>
        </w:rPr>
        <w:t>When COVID-19 emerged, Canada adopted a multi-layered system response. The Public Health Agency of Canada coordinated national guidance, travel restrictions and emergency procurement, while provinces implemented lockdowns, testing programmes, school closures and vaccine distribution strategies</w:t>
      </w:r>
      <w:r w:rsidR="00D53FA0" w:rsidRPr="009713B3">
        <w:rPr>
          <w:rFonts w:ascii="Arial" w:hAnsi="Arial" w:cs="Arial"/>
        </w:rPr>
        <w:t xml:space="preserve"> (</w:t>
      </w:r>
      <w:r w:rsidR="00D53FA0" w:rsidRPr="009713B3">
        <w:rPr>
          <w:rFonts w:ascii="Arial" w:hAnsi="Arial" w:cs="Arial"/>
          <w:lang w:eastAsia="en-GB"/>
        </w:rPr>
        <w:t>Lukac et al, 2025)</w:t>
      </w:r>
      <w:r w:rsidRPr="00BC1C35">
        <w:rPr>
          <w:rFonts w:ascii="Arial" w:hAnsi="Arial" w:cs="Arial"/>
        </w:rPr>
        <w:t>. During the early stages, provinces and territories established their own public health regulations based on local epidemiological data</w:t>
      </w:r>
      <w:r w:rsidR="002E4C1A" w:rsidRPr="009713B3">
        <w:rPr>
          <w:rFonts w:ascii="Arial" w:hAnsi="Arial" w:cs="Arial"/>
        </w:rPr>
        <w:t xml:space="preserve"> (</w:t>
      </w:r>
      <w:r w:rsidR="002E4C1A" w:rsidRPr="009713B3">
        <w:rPr>
          <w:rFonts w:ascii="Arial" w:hAnsi="Arial" w:cs="Arial"/>
          <w:lang w:eastAsia="en-GB"/>
        </w:rPr>
        <w:t>Hodwitz et al, 2024)</w:t>
      </w:r>
      <w:r w:rsidRPr="00BC1C35">
        <w:rPr>
          <w:rFonts w:ascii="Arial" w:hAnsi="Arial" w:cs="Arial"/>
        </w:rPr>
        <w:t xml:space="preserve">. Over time, </w:t>
      </w:r>
      <w:r w:rsidRPr="00BC1C35">
        <w:rPr>
          <w:rFonts w:ascii="Arial" w:hAnsi="Arial" w:cs="Arial"/>
        </w:rPr>
        <w:lastRenderedPageBreak/>
        <w:t>agreements between federal and provincial governments increased coordination around vaccine procurement, surveillance reporting and risk communication</w:t>
      </w:r>
      <w:r w:rsidR="002E4C1A" w:rsidRPr="009713B3">
        <w:rPr>
          <w:rFonts w:ascii="Arial" w:hAnsi="Arial" w:cs="Arial"/>
        </w:rPr>
        <w:t xml:space="preserve"> (</w:t>
      </w:r>
      <w:r w:rsidR="002E4C1A" w:rsidRPr="009713B3">
        <w:rPr>
          <w:rFonts w:ascii="Arial" w:hAnsi="Arial" w:cs="Arial"/>
          <w:lang w:eastAsia="en-GB"/>
        </w:rPr>
        <w:t>Hodwitz et al, 2024)</w:t>
      </w:r>
      <w:r w:rsidRPr="00BC1C35">
        <w:rPr>
          <w:rFonts w:ascii="Arial" w:hAnsi="Arial" w:cs="Arial"/>
        </w:rPr>
        <w:t xml:space="preserve">. </w:t>
      </w:r>
    </w:p>
    <w:p w14:paraId="16ADF8C6" w14:textId="60CD9FBE" w:rsidR="00BC1C35" w:rsidRPr="00BC1C35" w:rsidRDefault="00BC1C35" w:rsidP="009713B3">
      <w:pPr>
        <w:spacing w:line="360" w:lineRule="auto"/>
        <w:jc w:val="both"/>
        <w:rPr>
          <w:rFonts w:ascii="Arial" w:hAnsi="Arial" w:cs="Arial"/>
        </w:rPr>
      </w:pPr>
      <w:r w:rsidRPr="00BC1C35">
        <w:rPr>
          <w:rFonts w:ascii="Arial" w:hAnsi="Arial" w:cs="Arial"/>
        </w:rPr>
        <w:t>Canada’s response was therefore not strictly centralised or decentralised but rather a dynamic model in which coordination evolved as the scale of the pandemic intensified</w:t>
      </w:r>
      <w:r w:rsidR="002E4C1A" w:rsidRPr="009713B3">
        <w:rPr>
          <w:rFonts w:ascii="Arial" w:hAnsi="Arial" w:cs="Arial"/>
        </w:rPr>
        <w:t xml:space="preserve"> (Taylor and Tremblay, 2022)</w:t>
      </w:r>
      <w:r w:rsidRPr="00BC1C35">
        <w:rPr>
          <w:rFonts w:ascii="Arial" w:hAnsi="Arial" w:cs="Arial"/>
        </w:rPr>
        <w:t>. The federal government secured vaccines centrally and distributed them to provinces, where regional rollout strategies reflected local priorities and logistical capacity</w:t>
      </w:r>
      <w:r w:rsidR="00950EA9" w:rsidRPr="009713B3">
        <w:rPr>
          <w:rFonts w:ascii="Arial" w:hAnsi="Arial" w:cs="Arial"/>
        </w:rPr>
        <w:t xml:space="preserve"> (</w:t>
      </w:r>
      <w:r w:rsidR="00950EA9" w:rsidRPr="009713B3">
        <w:rPr>
          <w:rFonts w:ascii="Arial" w:hAnsi="Arial" w:cs="Arial"/>
          <w:lang w:eastAsia="en-GB"/>
        </w:rPr>
        <w:t>Lukac et al, 2025)</w:t>
      </w:r>
      <w:r w:rsidRPr="00BC1C35">
        <w:rPr>
          <w:rFonts w:ascii="Arial" w:hAnsi="Arial" w:cs="Arial"/>
        </w:rPr>
        <w:t>. Canada’s governance structure</w:t>
      </w:r>
      <w:r w:rsidR="00FF5A6D" w:rsidRPr="009713B3">
        <w:rPr>
          <w:rFonts w:ascii="Arial" w:hAnsi="Arial" w:cs="Arial"/>
        </w:rPr>
        <w:t>,</w:t>
      </w:r>
      <w:r w:rsidRPr="00BC1C35">
        <w:rPr>
          <w:rFonts w:ascii="Arial" w:hAnsi="Arial" w:cs="Arial"/>
        </w:rPr>
        <w:t xml:space="preserve"> therefore</w:t>
      </w:r>
      <w:r w:rsidR="00FF5A6D" w:rsidRPr="009713B3">
        <w:rPr>
          <w:rFonts w:ascii="Arial" w:hAnsi="Arial" w:cs="Arial"/>
        </w:rPr>
        <w:t>,</w:t>
      </w:r>
      <w:r w:rsidRPr="00BC1C35">
        <w:rPr>
          <w:rFonts w:ascii="Arial" w:hAnsi="Arial" w:cs="Arial"/>
        </w:rPr>
        <w:t xml:space="preserve"> played a key role in shaping the consistency, timing and effectiveness of COVID-19 mitigation measures across the country</w:t>
      </w:r>
      <w:r w:rsidR="00950EA9" w:rsidRPr="009713B3">
        <w:rPr>
          <w:rFonts w:ascii="Arial" w:hAnsi="Arial" w:cs="Arial"/>
        </w:rPr>
        <w:t xml:space="preserve"> (</w:t>
      </w:r>
      <w:r w:rsidR="00950EA9" w:rsidRPr="009713B3">
        <w:rPr>
          <w:rFonts w:ascii="Arial" w:hAnsi="Arial" w:cs="Arial"/>
          <w:lang w:eastAsia="en-GB"/>
        </w:rPr>
        <w:t>Lukac et al, 2025)</w:t>
      </w:r>
      <w:r w:rsidRPr="00BC1C35">
        <w:rPr>
          <w:rFonts w:ascii="Arial" w:hAnsi="Arial" w:cs="Arial"/>
        </w:rPr>
        <w:t>.</w:t>
      </w:r>
    </w:p>
    <w:p w14:paraId="2B2D7FA6" w14:textId="1BE89532" w:rsidR="00BC1C35" w:rsidRPr="009713B3" w:rsidRDefault="00BC1C35" w:rsidP="009713B3">
      <w:pPr>
        <w:pStyle w:val="Heading2"/>
        <w:spacing w:line="360" w:lineRule="auto"/>
        <w:jc w:val="both"/>
        <w:rPr>
          <w:rFonts w:cs="Arial"/>
        </w:rPr>
      </w:pPr>
      <w:bookmarkStart w:id="12" w:name="_Toc216684753"/>
      <w:r w:rsidRPr="009713B3">
        <w:rPr>
          <w:rFonts w:cs="Arial"/>
        </w:rPr>
        <w:t>2.3.2 Advantages of Canada’s Systems Approach</w:t>
      </w:r>
      <w:bookmarkEnd w:id="12"/>
      <w:r w:rsidRPr="009713B3">
        <w:rPr>
          <w:rFonts w:cs="Arial"/>
        </w:rPr>
        <w:t xml:space="preserve"> </w:t>
      </w:r>
    </w:p>
    <w:p w14:paraId="0B86D43B" w14:textId="0DACFFE4" w:rsidR="00BC1C35" w:rsidRPr="00BC1C35" w:rsidRDefault="00BC1C35" w:rsidP="009713B3">
      <w:pPr>
        <w:spacing w:line="360" w:lineRule="auto"/>
        <w:jc w:val="both"/>
        <w:rPr>
          <w:rFonts w:ascii="Arial" w:hAnsi="Arial" w:cs="Arial"/>
        </w:rPr>
      </w:pPr>
      <w:r w:rsidRPr="00BC1C35">
        <w:rPr>
          <w:rFonts w:ascii="Arial" w:hAnsi="Arial" w:cs="Arial"/>
        </w:rPr>
        <w:t>A major advantage of Canada’s decentralised approach was the ability of provinces and territories to tailor public health interventions to local circumstances</w:t>
      </w:r>
      <w:r w:rsidR="00950EA9" w:rsidRPr="009713B3">
        <w:rPr>
          <w:rFonts w:ascii="Arial" w:hAnsi="Arial" w:cs="Arial"/>
        </w:rPr>
        <w:t xml:space="preserve"> (</w:t>
      </w:r>
      <w:r w:rsidR="00950EA9" w:rsidRPr="009713B3">
        <w:rPr>
          <w:rFonts w:ascii="Arial" w:hAnsi="Arial" w:cs="Arial"/>
          <w:lang w:eastAsia="en-GB"/>
        </w:rPr>
        <w:t>Lukac et al, 2025)</w:t>
      </w:r>
      <w:r w:rsidRPr="00BC1C35">
        <w:rPr>
          <w:rFonts w:ascii="Arial" w:hAnsi="Arial" w:cs="Arial"/>
        </w:rPr>
        <w:t xml:space="preserve">. Regions with lower infection rates were able to reopen more quickly and adjust restrictions more gradually, whereas heavily impacted provinces could take stricter measures to control </w:t>
      </w:r>
      <w:r w:rsidR="00FF5A6D" w:rsidRPr="009713B3">
        <w:rPr>
          <w:rFonts w:ascii="Arial" w:hAnsi="Arial" w:cs="Arial"/>
        </w:rPr>
        <w:t xml:space="preserve">the </w:t>
      </w:r>
      <w:r w:rsidRPr="00BC1C35">
        <w:rPr>
          <w:rFonts w:ascii="Arial" w:hAnsi="Arial" w:cs="Arial"/>
        </w:rPr>
        <w:t>spread</w:t>
      </w:r>
      <w:r w:rsidR="005D6E40" w:rsidRPr="009713B3">
        <w:rPr>
          <w:rFonts w:ascii="Arial" w:hAnsi="Arial" w:cs="Arial"/>
        </w:rPr>
        <w:t xml:space="preserve"> (Chung et al, 2022)</w:t>
      </w:r>
      <w:r w:rsidRPr="00BC1C35">
        <w:rPr>
          <w:rFonts w:ascii="Arial" w:hAnsi="Arial" w:cs="Arial"/>
        </w:rPr>
        <w:t>. This flexibility enabled a more context-specific response rather than a unified national mandate that may not have suited diverse regional realities</w:t>
      </w:r>
      <w:r w:rsidR="002E4C1A" w:rsidRPr="009713B3">
        <w:rPr>
          <w:rFonts w:ascii="Arial" w:hAnsi="Arial" w:cs="Arial"/>
        </w:rPr>
        <w:t xml:space="preserve"> (Taylor and Tremblay, 2022)</w:t>
      </w:r>
      <w:r w:rsidRPr="00BC1C35">
        <w:rPr>
          <w:rFonts w:ascii="Arial" w:hAnsi="Arial" w:cs="Arial"/>
        </w:rPr>
        <w:t>. Local autonomy also allowed jurisdictions to experiment and implement innovative strategies, such as community-based testing centres, remote Indigenous community protection measures and region-specific vaccination prioritisation</w:t>
      </w:r>
      <w:r w:rsidR="002E4C1A" w:rsidRPr="009713B3">
        <w:rPr>
          <w:rFonts w:ascii="Arial" w:hAnsi="Arial" w:cs="Arial"/>
        </w:rPr>
        <w:t xml:space="preserve"> (</w:t>
      </w:r>
      <w:r w:rsidR="002E4C1A" w:rsidRPr="009713B3">
        <w:rPr>
          <w:rFonts w:ascii="Arial" w:hAnsi="Arial" w:cs="Arial"/>
          <w:lang w:eastAsia="en-GB"/>
        </w:rPr>
        <w:t>Hodwitz et al, 2024)</w:t>
      </w:r>
      <w:r w:rsidRPr="00BC1C35">
        <w:rPr>
          <w:rFonts w:ascii="Arial" w:hAnsi="Arial" w:cs="Arial"/>
        </w:rPr>
        <w:t>.</w:t>
      </w:r>
    </w:p>
    <w:p w14:paraId="3FDCFB85" w14:textId="193359E3" w:rsidR="00FF5A6D" w:rsidRPr="009713B3" w:rsidRDefault="00BC1C35" w:rsidP="009713B3">
      <w:pPr>
        <w:spacing w:line="360" w:lineRule="auto"/>
        <w:jc w:val="both"/>
        <w:rPr>
          <w:rFonts w:ascii="Arial" w:hAnsi="Arial" w:cs="Arial"/>
        </w:rPr>
      </w:pPr>
      <w:r w:rsidRPr="00BC1C35">
        <w:rPr>
          <w:rFonts w:ascii="Arial" w:hAnsi="Arial" w:cs="Arial"/>
        </w:rPr>
        <w:t>Another advantage emerged from the areas where central coordination was used strategically</w:t>
      </w:r>
      <w:r w:rsidR="002E4C1A" w:rsidRPr="009713B3">
        <w:rPr>
          <w:rFonts w:ascii="Arial" w:hAnsi="Arial" w:cs="Arial"/>
        </w:rPr>
        <w:t xml:space="preserve"> (Taylor and Tremblay, 2022)</w:t>
      </w:r>
      <w:r w:rsidRPr="00BC1C35">
        <w:rPr>
          <w:rFonts w:ascii="Arial" w:hAnsi="Arial" w:cs="Arial"/>
        </w:rPr>
        <w:t>. The federal government’s central procurement of vaccines, personal protective equipment and border control measures helped ensure equitable distribution across all provinces and avoided internal competition for scarce supplies</w:t>
      </w:r>
      <w:r w:rsidR="002E4C1A" w:rsidRPr="009713B3">
        <w:rPr>
          <w:rFonts w:ascii="Arial" w:hAnsi="Arial" w:cs="Arial"/>
        </w:rPr>
        <w:t xml:space="preserve"> (Taylor and Tremblay, 2022)</w:t>
      </w:r>
      <w:r w:rsidRPr="00BC1C35">
        <w:rPr>
          <w:rFonts w:ascii="Arial" w:hAnsi="Arial" w:cs="Arial"/>
        </w:rPr>
        <w:t>. This central strategy meant Canada was able to secure a diverse vaccine portfolio early compared with many other nations</w:t>
      </w:r>
      <w:r w:rsidR="005D6E40" w:rsidRPr="009713B3">
        <w:rPr>
          <w:rFonts w:ascii="Arial" w:hAnsi="Arial" w:cs="Arial"/>
        </w:rPr>
        <w:t xml:space="preserve"> (Chung et al, 2022)</w:t>
      </w:r>
      <w:r w:rsidRPr="00BC1C35">
        <w:rPr>
          <w:rFonts w:ascii="Arial" w:hAnsi="Arial" w:cs="Arial"/>
        </w:rPr>
        <w:t xml:space="preserve">. </w:t>
      </w:r>
    </w:p>
    <w:p w14:paraId="68DC46EF" w14:textId="3FACFE41" w:rsidR="00BC1C35" w:rsidRPr="00BC1C35" w:rsidRDefault="00BC1C35" w:rsidP="009713B3">
      <w:pPr>
        <w:spacing w:line="360" w:lineRule="auto"/>
        <w:jc w:val="both"/>
        <w:rPr>
          <w:rFonts w:ascii="Arial" w:hAnsi="Arial" w:cs="Arial"/>
        </w:rPr>
      </w:pPr>
      <w:r w:rsidRPr="00BC1C35">
        <w:rPr>
          <w:rFonts w:ascii="Arial" w:hAnsi="Arial" w:cs="Arial"/>
        </w:rPr>
        <w:t>Additionally, national scientific advisory bodies provided unified public health messaging frameworks and evolving evidence-based guidelines</w:t>
      </w:r>
      <w:r w:rsidR="00950EA9" w:rsidRPr="009713B3">
        <w:rPr>
          <w:rFonts w:ascii="Arial" w:hAnsi="Arial" w:cs="Arial"/>
        </w:rPr>
        <w:t xml:space="preserve"> (</w:t>
      </w:r>
      <w:r w:rsidR="00950EA9" w:rsidRPr="009713B3">
        <w:rPr>
          <w:rFonts w:ascii="Arial" w:hAnsi="Arial" w:cs="Arial"/>
          <w:lang w:eastAsia="en-GB"/>
        </w:rPr>
        <w:t>Lukac et al, 2025)</w:t>
      </w:r>
      <w:r w:rsidRPr="00BC1C35">
        <w:rPr>
          <w:rFonts w:ascii="Arial" w:hAnsi="Arial" w:cs="Arial"/>
        </w:rPr>
        <w:t xml:space="preserve">. Although implementation differed between regions, the presence of central oversight supported some degree of consistency and prevented fragmentation of critical national </w:t>
      </w:r>
      <w:r w:rsidRPr="00BC1C35">
        <w:rPr>
          <w:rFonts w:ascii="Arial" w:hAnsi="Arial" w:cs="Arial"/>
        </w:rPr>
        <w:lastRenderedPageBreak/>
        <w:t>messaging</w:t>
      </w:r>
      <w:r w:rsidR="002E4C1A" w:rsidRPr="009713B3">
        <w:rPr>
          <w:rFonts w:ascii="Arial" w:hAnsi="Arial" w:cs="Arial"/>
        </w:rPr>
        <w:t xml:space="preserve"> (</w:t>
      </w:r>
      <w:r w:rsidR="002E4C1A" w:rsidRPr="009713B3">
        <w:rPr>
          <w:rFonts w:ascii="Arial" w:hAnsi="Arial" w:cs="Arial"/>
          <w:lang w:eastAsia="en-GB"/>
        </w:rPr>
        <w:t>Hodwitz et al, 2024)</w:t>
      </w:r>
      <w:r w:rsidRPr="00BC1C35">
        <w:rPr>
          <w:rFonts w:ascii="Arial" w:hAnsi="Arial" w:cs="Arial"/>
        </w:rPr>
        <w:t>. The combination of decentralised implementation and selective central coordination</w:t>
      </w:r>
      <w:r w:rsidR="00FF5A6D" w:rsidRPr="009713B3">
        <w:rPr>
          <w:rFonts w:ascii="Arial" w:hAnsi="Arial" w:cs="Arial"/>
        </w:rPr>
        <w:t>,</w:t>
      </w:r>
      <w:r w:rsidRPr="00BC1C35">
        <w:rPr>
          <w:rFonts w:ascii="Arial" w:hAnsi="Arial" w:cs="Arial"/>
        </w:rPr>
        <w:t xml:space="preserve"> therefore</w:t>
      </w:r>
      <w:r w:rsidR="00FF5A6D" w:rsidRPr="009713B3">
        <w:rPr>
          <w:rFonts w:ascii="Arial" w:hAnsi="Arial" w:cs="Arial"/>
        </w:rPr>
        <w:t>,</w:t>
      </w:r>
      <w:r w:rsidRPr="00BC1C35">
        <w:rPr>
          <w:rFonts w:ascii="Arial" w:hAnsi="Arial" w:cs="Arial"/>
        </w:rPr>
        <w:t xml:space="preserve"> provided both flexibility and structural support during the most critical phases of the pandemic</w:t>
      </w:r>
      <w:r w:rsidR="00950EA9" w:rsidRPr="009713B3">
        <w:rPr>
          <w:rFonts w:ascii="Arial" w:hAnsi="Arial" w:cs="Arial"/>
        </w:rPr>
        <w:t xml:space="preserve"> (</w:t>
      </w:r>
      <w:r w:rsidR="00950EA9" w:rsidRPr="009713B3">
        <w:rPr>
          <w:rFonts w:ascii="Arial" w:hAnsi="Arial" w:cs="Arial"/>
          <w:lang w:eastAsia="en-GB"/>
        </w:rPr>
        <w:t>Lukac et al, 2025)</w:t>
      </w:r>
      <w:r w:rsidRPr="00BC1C35">
        <w:rPr>
          <w:rFonts w:ascii="Arial" w:hAnsi="Arial" w:cs="Arial"/>
        </w:rPr>
        <w:t>.</w:t>
      </w:r>
    </w:p>
    <w:p w14:paraId="07584631" w14:textId="77777777" w:rsidR="00FF5A6D" w:rsidRPr="009713B3" w:rsidRDefault="00BC1C35" w:rsidP="009713B3">
      <w:pPr>
        <w:pStyle w:val="Heading2"/>
        <w:spacing w:line="360" w:lineRule="auto"/>
        <w:jc w:val="both"/>
        <w:rPr>
          <w:rFonts w:cs="Arial"/>
        </w:rPr>
      </w:pPr>
      <w:bookmarkStart w:id="13" w:name="_Toc216684754"/>
      <w:r w:rsidRPr="009713B3">
        <w:rPr>
          <w:rFonts w:cs="Arial"/>
        </w:rPr>
        <w:t>2.3.3 Disadvantages and Challenges of the Approach</w:t>
      </w:r>
      <w:bookmarkEnd w:id="13"/>
      <w:r w:rsidRPr="009713B3">
        <w:rPr>
          <w:rFonts w:cs="Arial"/>
        </w:rPr>
        <w:t xml:space="preserve"> </w:t>
      </w:r>
    </w:p>
    <w:p w14:paraId="66C49FFE" w14:textId="02F45563" w:rsidR="00BC1C35" w:rsidRPr="00BC1C35" w:rsidRDefault="00BC1C35" w:rsidP="009713B3">
      <w:pPr>
        <w:spacing w:line="360" w:lineRule="auto"/>
        <w:jc w:val="both"/>
        <w:rPr>
          <w:rFonts w:ascii="Arial" w:hAnsi="Arial" w:cs="Arial"/>
        </w:rPr>
      </w:pPr>
      <w:r w:rsidRPr="00BC1C35">
        <w:rPr>
          <w:rFonts w:ascii="Arial" w:hAnsi="Arial" w:cs="Arial"/>
        </w:rPr>
        <w:t>Despite advantages, Canada’s decentralised structure also created notable challenges. In the early stages of the pandemic, the lack of uniform coordination resulted in a patchwork of provincial strategies, inconsistent testing criteria and varying public health restrictions</w:t>
      </w:r>
      <w:r w:rsidR="005D6E40" w:rsidRPr="009713B3">
        <w:rPr>
          <w:rFonts w:ascii="Arial" w:hAnsi="Arial" w:cs="Arial"/>
        </w:rPr>
        <w:t xml:space="preserve"> (Chung et al, 2022)</w:t>
      </w:r>
      <w:r w:rsidRPr="00BC1C35">
        <w:rPr>
          <w:rFonts w:ascii="Arial" w:hAnsi="Arial" w:cs="Arial"/>
        </w:rPr>
        <w:t>. This inconsistency sometimes contributed to public confusion and reduced compliance</w:t>
      </w:r>
      <w:r w:rsidR="00950EA9" w:rsidRPr="009713B3">
        <w:rPr>
          <w:rFonts w:ascii="Arial" w:hAnsi="Arial" w:cs="Arial"/>
        </w:rPr>
        <w:t xml:space="preserve"> (</w:t>
      </w:r>
      <w:r w:rsidR="00950EA9" w:rsidRPr="009713B3">
        <w:rPr>
          <w:rFonts w:ascii="Arial" w:hAnsi="Arial" w:cs="Arial"/>
          <w:lang w:eastAsia="en-GB"/>
        </w:rPr>
        <w:t>Lukac et al, 2025)</w:t>
      </w:r>
      <w:r w:rsidRPr="00BC1C35">
        <w:rPr>
          <w:rFonts w:ascii="Arial" w:hAnsi="Arial" w:cs="Arial"/>
        </w:rPr>
        <w:t>. Delays in sharing epidemiological data and differing reporting standards across provinces also slowed the development of a unified national surveillance strategy</w:t>
      </w:r>
      <w:r w:rsidR="005D6E40" w:rsidRPr="009713B3">
        <w:rPr>
          <w:rFonts w:ascii="Arial" w:hAnsi="Arial" w:cs="Arial"/>
        </w:rPr>
        <w:t xml:space="preserve"> (Chung et al, 2022)</w:t>
      </w:r>
      <w:r w:rsidRPr="00BC1C35">
        <w:rPr>
          <w:rFonts w:ascii="Arial" w:hAnsi="Arial" w:cs="Arial"/>
        </w:rPr>
        <w:t>. The uneven digital infrastructure for public health reporting, particularly in long-term care and rural areas, further constrained timely decision-making. These issues highlighted structural weaknesses in national emergency preparedness</w:t>
      </w:r>
      <w:r w:rsidR="002E4C1A" w:rsidRPr="009713B3">
        <w:rPr>
          <w:rFonts w:ascii="Arial" w:hAnsi="Arial" w:cs="Arial"/>
        </w:rPr>
        <w:t xml:space="preserve"> (</w:t>
      </w:r>
      <w:r w:rsidR="002E4C1A" w:rsidRPr="009713B3">
        <w:rPr>
          <w:rFonts w:ascii="Arial" w:hAnsi="Arial" w:cs="Arial"/>
          <w:lang w:eastAsia="en-GB"/>
        </w:rPr>
        <w:t>Hodwitz et al, 2024)</w:t>
      </w:r>
      <w:r w:rsidRPr="00BC1C35">
        <w:rPr>
          <w:rFonts w:ascii="Arial" w:hAnsi="Arial" w:cs="Arial"/>
        </w:rPr>
        <w:t>.</w:t>
      </w:r>
    </w:p>
    <w:p w14:paraId="203AC265" w14:textId="3B9D4E05" w:rsidR="00BC1C35" w:rsidRDefault="00BC1C35" w:rsidP="009713B3">
      <w:pPr>
        <w:spacing w:line="360" w:lineRule="auto"/>
        <w:jc w:val="both"/>
        <w:rPr>
          <w:rFonts w:ascii="Arial" w:hAnsi="Arial" w:cs="Arial"/>
        </w:rPr>
      </w:pPr>
      <w:r w:rsidRPr="00BC1C35">
        <w:rPr>
          <w:rFonts w:ascii="Arial" w:hAnsi="Arial" w:cs="Arial"/>
        </w:rPr>
        <w:t>The decentralised vaccination rollout demonstrated similar difficulties. Although vaccine procurement was centralised, the timing and organisation of vaccination differed significantly between jurisdictions</w:t>
      </w:r>
      <w:r w:rsidR="002E4C1A" w:rsidRPr="009713B3">
        <w:rPr>
          <w:rFonts w:ascii="Arial" w:hAnsi="Arial" w:cs="Arial"/>
        </w:rPr>
        <w:t xml:space="preserve"> (</w:t>
      </w:r>
      <w:r w:rsidR="002E4C1A" w:rsidRPr="009713B3">
        <w:rPr>
          <w:rFonts w:ascii="Arial" w:hAnsi="Arial" w:cs="Arial"/>
          <w:lang w:eastAsia="en-GB"/>
        </w:rPr>
        <w:t>Hodwitz et al, 2024)</w:t>
      </w:r>
      <w:r w:rsidRPr="00BC1C35">
        <w:rPr>
          <w:rFonts w:ascii="Arial" w:hAnsi="Arial" w:cs="Arial"/>
        </w:rPr>
        <w:t>. Some provinces faced slower rollouts due to logistical challenges, staffing shortages and delays in prioritisation frameworks</w:t>
      </w:r>
      <w:r w:rsidR="00950EA9" w:rsidRPr="009713B3">
        <w:rPr>
          <w:rFonts w:ascii="Arial" w:hAnsi="Arial" w:cs="Arial"/>
        </w:rPr>
        <w:t xml:space="preserve"> (</w:t>
      </w:r>
      <w:r w:rsidR="00950EA9" w:rsidRPr="009713B3">
        <w:rPr>
          <w:rFonts w:ascii="Arial" w:hAnsi="Arial" w:cs="Arial"/>
          <w:lang w:eastAsia="en-GB"/>
        </w:rPr>
        <w:t>Lukac et al, 2025)</w:t>
      </w:r>
      <w:r w:rsidRPr="00BC1C35">
        <w:rPr>
          <w:rFonts w:ascii="Arial" w:hAnsi="Arial" w:cs="Arial"/>
        </w:rPr>
        <w:t>. The pandemic also exposed systemic vulnerabilities in long-term care facilities, where fragmented oversight contributed to disproportionately high mortality rates</w:t>
      </w:r>
      <w:r w:rsidR="005D6E40" w:rsidRPr="009713B3">
        <w:rPr>
          <w:rFonts w:ascii="Arial" w:hAnsi="Arial" w:cs="Arial"/>
        </w:rPr>
        <w:t xml:space="preserve"> (Chung et al, 2022)</w:t>
      </w:r>
      <w:r w:rsidRPr="00BC1C35">
        <w:rPr>
          <w:rFonts w:ascii="Arial" w:hAnsi="Arial" w:cs="Arial"/>
        </w:rPr>
        <w:t>. Communication inconsistencies among federal, provincial and municipal authorities occasionally undermined public trust and complicated adherence to evolving health measures</w:t>
      </w:r>
      <w:r w:rsidR="00950EA9" w:rsidRPr="009713B3">
        <w:rPr>
          <w:rFonts w:ascii="Arial" w:hAnsi="Arial" w:cs="Arial"/>
        </w:rPr>
        <w:t xml:space="preserve"> (</w:t>
      </w:r>
      <w:r w:rsidR="00950EA9" w:rsidRPr="009713B3">
        <w:rPr>
          <w:rFonts w:ascii="Arial" w:hAnsi="Arial" w:cs="Arial"/>
          <w:lang w:eastAsia="en-GB"/>
        </w:rPr>
        <w:t>Lukac et al, 2025)</w:t>
      </w:r>
      <w:r w:rsidRPr="00BC1C35">
        <w:rPr>
          <w:rFonts w:ascii="Arial" w:hAnsi="Arial" w:cs="Arial"/>
        </w:rPr>
        <w:t>. In essence, while decentralisation offered flexibility, the absence of strong pre-existing intergovernmental coordination mechanisms created delays, duplication and uneven health outcomes</w:t>
      </w:r>
      <w:r w:rsidR="002E4C1A" w:rsidRPr="009713B3">
        <w:rPr>
          <w:rFonts w:ascii="Arial" w:hAnsi="Arial" w:cs="Arial"/>
        </w:rPr>
        <w:t xml:space="preserve"> (Taylor and Tremblay, 2022)</w:t>
      </w:r>
      <w:r w:rsidRPr="00BC1C35">
        <w:rPr>
          <w:rFonts w:ascii="Arial" w:hAnsi="Arial" w:cs="Arial"/>
        </w:rPr>
        <w:t>. The Canadian experience demonstrated that without robust national integration frameworks, decentralised systems may struggle to maintain coherence during fast-moving public health emergencies</w:t>
      </w:r>
      <w:r w:rsidR="005D6E40" w:rsidRPr="009713B3">
        <w:rPr>
          <w:rFonts w:ascii="Arial" w:hAnsi="Arial" w:cs="Arial"/>
        </w:rPr>
        <w:t xml:space="preserve"> (Chung et al, 2022)</w:t>
      </w:r>
      <w:r w:rsidRPr="00BC1C35">
        <w:rPr>
          <w:rFonts w:ascii="Arial" w:hAnsi="Arial" w:cs="Arial"/>
        </w:rPr>
        <w:t>.</w:t>
      </w:r>
    </w:p>
    <w:p w14:paraId="13C89588" w14:textId="77777777" w:rsidR="005D0E6B" w:rsidRDefault="005D0E6B" w:rsidP="009713B3">
      <w:pPr>
        <w:spacing w:line="360" w:lineRule="auto"/>
        <w:jc w:val="both"/>
        <w:rPr>
          <w:rFonts w:ascii="Arial" w:hAnsi="Arial" w:cs="Arial"/>
        </w:rPr>
      </w:pPr>
    </w:p>
    <w:p w14:paraId="273061B8" w14:textId="77777777" w:rsidR="005D0E6B" w:rsidRDefault="005D0E6B" w:rsidP="009713B3">
      <w:pPr>
        <w:spacing w:line="360" w:lineRule="auto"/>
        <w:jc w:val="both"/>
        <w:rPr>
          <w:rFonts w:ascii="Arial" w:hAnsi="Arial" w:cs="Arial"/>
        </w:rPr>
      </w:pPr>
    </w:p>
    <w:p w14:paraId="64F02FE0" w14:textId="0F9AAFC4" w:rsidR="00EF384E" w:rsidRPr="00EF384E" w:rsidRDefault="00EF384E" w:rsidP="004C0867">
      <w:pPr>
        <w:pStyle w:val="Heading1"/>
      </w:pPr>
      <w:bookmarkStart w:id="14" w:name="_Toc216684755"/>
      <w:r>
        <w:lastRenderedPageBreak/>
        <w:t xml:space="preserve">3. </w:t>
      </w:r>
      <w:r w:rsidRPr="00EF384E">
        <w:t>Critical Analysis of the Leadership Styles taken in each Country</w:t>
      </w:r>
      <w:bookmarkEnd w:id="14"/>
      <w:r w:rsidRPr="00EF384E">
        <w:t xml:space="preserve"> </w:t>
      </w:r>
    </w:p>
    <w:p w14:paraId="1E86B5B6" w14:textId="77777777" w:rsidR="005D0E6B" w:rsidRPr="005D0E6B" w:rsidRDefault="005D0E6B" w:rsidP="004C0867">
      <w:pPr>
        <w:pStyle w:val="Heading1"/>
      </w:pPr>
      <w:bookmarkStart w:id="15" w:name="_Toc216684756"/>
      <w:r w:rsidRPr="005D0E6B">
        <w:t>3.1 Leadership Styles in Spain</w:t>
      </w:r>
      <w:bookmarkEnd w:id="15"/>
    </w:p>
    <w:p w14:paraId="60D2CA8F" w14:textId="162B363C" w:rsidR="005D0E6B" w:rsidRPr="005D0E6B" w:rsidRDefault="005D0E6B" w:rsidP="005D0E6B">
      <w:pPr>
        <w:spacing w:line="360" w:lineRule="auto"/>
        <w:jc w:val="both"/>
        <w:rPr>
          <w:rFonts w:ascii="Arial" w:hAnsi="Arial" w:cs="Arial"/>
        </w:rPr>
      </w:pPr>
      <w:r w:rsidRPr="005D0E6B">
        <w:rPr>
          <w:rFonts w:ascii="Arial" w:hAnsi="Arial" w:cs="Arial"/>
        </w:rPr>
        <w:t>Spain’s response to the COVID-19 pandemic was primarily shaped by the leadership of Prime Minister Pedro Sánchez, whose approach combined centralised crisis leadership, expert-led decision-making, and elements of collaborative governance</w:t>
      </w:r>
      <w:r w:rsidR="007B6F7D">
        <w:rPr>
          <w:rFonts w:ascii="Arial" w:hAnsi="Arial" w:cs="Arial"/>
        </w:rPr>
        <w:t xml:space="preserve"> (</w:t>
      </w:r>
      <w:r w:rsidR="007B6F7D" w:rsidRPr="007B6F7D">
        <w:rPr>
          <w:rFonts w:ascii="Arial" w:hAnsi="Arial" w:cs="Arial"/>
        </w:rPr>
        <w:t>Mira</w:t>
      </w:r>
      <w:r w:rsidR="007B6F7D">
        <w:rPr>
          <w:rFonts w:ascii="Arial" w:hAnsi="Arial" w:cs="Arial"/>
        </w:rPr>
        <w:t xml:space="preserve"> et al, 2021)</w:t>
      </w:r>
      <w:r w:rsidRPr="005D0E6B">
        <w:rPr>
          <w:rFonts w:ascii="Arial" w:hAnsi="Arial" w:cs="Arial"/>
        </w:rPr>
        <w:t>. During the initial outbreak, Sánchez adopted a predominantly authoritative and directive leadership style, characterised by decisive action and the use of emergency powers</w:t>
      </w:r>
      <w:r w:rsidR="00E9647C">
        <w:rPr>
          <w:rFonts w:ascii="Arial" w:hAnsi="Arial" w:cs="Arial"/>
        </w:rPr>
        <w:t xml:space="preserve"> (</w:t>
      </w:r>
      <w:r w:rsidR="00E9647C" w:rsidRPr="00E9647C">
        <w:rPr>
          <w:rFonts w:ascii="Arial" w:hAnsi="Arial" w:cs="Arial"/>
          <w:lang w:eastAsia="en-GB"/>
        </w:rPr>
        <w:t>Drylie-Carey</w:t>
      </w:r>
      <w:r w:rsidR="00E9647C">
        <w:rPr>
          <w:rFonts w:ascii="Arial" w:hAnsi="Arial" w:cs="Arial"/>
          <w:lang w:eastAsia="en-GB"/>
        </w:rPr>
        <w:t xml:space="preserve"> et al, 2020)</w:t>
      </w:r>
      <w:r w:rsidRPr="005D0E6B">
        <w:rPr>
          <w:rFonts w:ascii="Arial" w:hAnsi="Arial" w:cs="Arial"/>
        </w:rPr>
        <w:t>. This approach aligned with crisis leadership theory, which emphasises swift decision-making and clear command structures during periods of high uncertainty</w:t>
      </w:r>
      <w:r w:rsidR="00C42FBB">
        <w:rPr>
          <w:rFonts w:ascii="Arial" w:hAnsi="Arial" w:cs="Arial"/>
        </w:rPr>
        <w:t xml:space="preserve"> (</w:t>
      </w:r>
      <w:r w:rsidR="00C42FBB" w:rsidRPr="00C42FBB">
        <w:rPr>
          <w:rFonts w:ascii="Arial" w:hAnsi="Arial" w:cs="Arial"/>
        </w:rPr>
        <w:t>Fos</w:t>
      </w:r>
      <w:r w:rsidR="00C42FBB">
        <w:rPr>
          <w:rFonts w:ascii="Arial" w:hAnsi="Arial" w:cs="Arial"/>
        </w:rPr>
        <w:t xml:space="preserve"> et al, 2021)</w:t>
      </w:r>
      <w:r w:rsidRPr="005D0E6B">
        <w:rPr>
          <w:rFonts w:ascii="Arial" w:hAnsi="Arial" w:cs="Arial"/>
        </w:rPr>
        <w:t xml:space="preserve">. The declaration of a national state of emergency </w:t>
      </w:r>
      <w:r w:rsidR="00094FDB">
        <w:rPr>
          <w:rFonts w:ascii="Arial" w:hAnsi="Arial" w:cs="Arial"/>
        </w:rPr>
        <w:t>allowed the central government to temporarily override regional autonomy</w:t>
      </w:r>
      <w:r w:rsidRPr="005D0E6B">
        <w:rPr>
          <w:rFonts w:ascii="Arial" w:hAnsi="Arial" w:cs="Arial"/>
        </w:rPr>
        <w:t>, reflecting a strong top-down leadership model aimed at achieving rapid national coordination</w:t>
      </w:r>
      <w:r w:rsidR="00094FDB">
        <w:rPr>
          <w:rFonts w:ascii="Arial" w:hAnsi="Arial" w:cs="Arial"/>
        </w:rPr>
        <w:t xml:space="preserve"> (</w:t>
      </w:r>
      <w:r w:rsidR="00094FDB" w:rsidRPr="007B6F7D">
        <w:rPr>
          <w:rFonts w:ascii="Arial" w:hAnsi="Arial" w:cs="Arial"/>
        </w:rPr>
        <w:t>Mira</w:t>
      </w:r>
      <w:r w:rsidR="00094FDB">
        <w:rPr>
          <w:rFonts w:ascii="Arial" w:hAnsi="Arial" w:cs="Arial"/>
        </w:rPr>
        <w:t xml:space="preserve"> et al, 2021)</w:t>
      </w:r>
      <w:r w:rsidRPr="005D0E6B">
        <w:rPr>
          <w:rFonts w:ascii="Arial" w:hAnsi="Arial" w:cs="Arial"/>
        </w:rPr>
        <w:t>.</w:t>
      </w:r>
    </w:p>
    <w:p w14:paraId="11B1AEE3" w14:textId="3339652C" w:rsidR="005D0E6B" w:rsidRPr="005D0E6B" w:rsidRDefault="005D0E6B" w:rsidP="005D0E6B">
      <w:pPr>
        <w:spacing w:line="360" w:lineRule="auto"/>
        <w:jc w:val="both"/>
        <w:rPr>
          <w:rFonts w:ascii="Arial" w:hAnsi="Arial" w:cs="Arial"/>
        </w:rPr>
      </w:pPr>
      <w:r w:rsidRPr="005D0E6B">
        <w:rPr>
          <w:rFonts w:ascii="Arial" w:hAnsi="Arial" w:cs="Arial"/>
        </w:rPr>
        <w:t>Alongside this directive stance, Spain’s leadership also incorporated a technocratic and evidence-based approach. Scientific advisors and public health experts were positioned prominently in public briefings, reinforcing the perception that policy decisions were guided by epidemiological data rather than political ideology</w:t>
      </w:r>
      <w:r w:rsidR="00336617">
        <w:rPr>
          <w:rFonts w:ascii="Arial" w:hAnsi="Arial" w:cs="Arial"/>
        </w:rPr>
        <w:t xml:space="preserve"> (</w:t>
      </w:r>
      <w:r w:rsidR="00336617" w:rsidRPr="00336617">
        <w:rPr>
          <w:rFonts w:ascii="Arial" w:hAnsi="Arial" w:cs="Arial"/>
        </w:rPr>
        <w:t>Waylen</w:t>
      </w:r>
      <w:r w:rsidR="00336617">
        <w:rPr>
          <w:rFonts w:ascii="Arial" w:hAnsi="Arial" w:cs="Arial"/>
        </w:rPr>
        <w:t>, 2020)</w:t>
      </w:r>
      <w:r w:rsidRPr="005D0E6B">
        <w:rPr>
          <w:rFonts w:ascii="Arial" w:hAnsi="Arial" w:cs="Arial"/>
        </w:rPr>
        <w:t xml:space="preserve">. Daily press conferences and regular televised addresses were used to communicate risk and justify restrictions, a strategy </w:t>
      </w:r>
      <w:r w:rsidR="00094FDB">
        <w:rPr>
          <w:rFonts w:ascii="Arial" w:hAnsi="Arial" w:cs="Arial"/>
        </w:rPr>
        <w:t>aimed at building</w:t>
      </w:r>
      <w:r w:rsidRPr="005D0E6B">
        <w:rPr>
          <w:rFonts w:ascii="Arial" w:hAnsi="Arial" w:cs="Arial"/>
        </w:rPr>
        <w:t xml:space="preserve"> public trust and compliance</w:t>
      </w:r>
      <w:r w:rsidR="00094FDB">
        <w:rPr>
          <w:rFonts w:ascii="Arial" w:hAnsi="Arial" w:cs="Arial"/>
        </w:rPr>
        <w:t xml:space="preserve"> (</w:t>
      </w:r>
      <w:r w:rsidR="00094FDB" w:rsidRPr="00E9647C">
        <w:rPr>
          <w:rFonts w:ascii="Arial" w:hAnsi="Arial" w:cs="Arial"/>
          <w:lang w:eastAsia="en-GB"/>
        </w:rPr>
        <w:t>Drylie-Carey</w:t>
      </w:r>
      <w:r w:rsidR="00094FDB">
        <w:rPr>
          <w:rFonts w:ascii="Arial" w:hAnsi="Arial" w:cs="Arial"/>
          <w:lang w:eastAsia="en-GB"/>
        </w:rPr>
        <w:t xml:space="preserve"> et al, 2020)</w:t>
      </w:r>
      <w:r w:rsidRPr="005D0E6B">
        <w:rPr>
          <w:rFonts w:ascii="Arial" w:hAnsi="Arial" w:cs="Arial"/>
        </w:rPr>
        <w:t>. However, the leadership style was not exclusively centralised; as the crisis evolved, Sánchez increasingly adopted a collaborative leadership approach, engaging regional leaders in decision-making processes related to reopening and vaccination strategies. This shift reflected an attempt to balance national authority with Spain’s decentralised political culture</w:t>
      </w:r>
      <w:r w:rsidR="00094FDB">
        <w:rPr>
          <w:rFonts w:ascii="Arial" w:hAnsi="Arial" w:cs="Arial"/>
        </w:rPr>
        <w:t xml:space="preserve"> (</w:t>
      </w:r>
      <w:r w:rsidR="00094FDB" w:rsidRPr="007B6F7D">
        <w:rPr>
          <w:rFonts w:ascii="Arial" w:hAnsi="Arial" w:cs="Arial"/>
        </w:rPr>
        <w:t>Mira</w:t>
      </w:r>
      <w:r w:rsidR="00094FDB">
        <w:rPr>
          <w:rFonts w:ascii="Arial" w:hAnsi="Arial" w:cs="Arial"/>
        </w:rPr>
        <w:t xml:space="preserve"> et al, 2021)</w:t>
      </w:r>
      <w:r w:rsidRPr="005D0E6B">
        <w:rPr>
          <w:rFonts w:ascii="Arial" w:hAnsi="Arial" w:cs="Arial"/>
        </w:rPr>
        <w:t>.</w:t>
      </w:r>
    </w:p>
    <w:p w14:paraId="0AF2B5FB" w14:textId="4C6185CD" w:rsidR="005D0E6B" w:rsidRDefault="005D0E6B" w:rsidP="004C0867">
      <w:pPr>
        <w:pStyle w:val="Heading2"/>
      </w:pPr>
      <w:bookmarkStart w:id="16" w:name="_Toc216684757"/>
      <w:r w:rsidRPr="005D0E6B">
        <w:t>3.1.</w:t>
      </w:r>
      <w:r w:rsidR="004C0867">
        <w:t>1</w:t>
      </w:r>
      <w:r w:rsidRPr="005D0E6B">
        <w:t xml:space="preserve"> Advantages of Spain’s Leadership Style</w:t>
      </w:r>
      <w:bookmarkEnd w:id="16"/>
      <w:r w:rsidRPr="005D0E6B">
        <w:t xml:space="preserve"> </w:t>
      </w:r>
    </w:p>
    <w:p w14:paraId="549713E3" w14:textId="1AFDC9BC" w:rsidR="005D0E6B" w:rsidRPr="005D0E6B" w:rsidRDefault="005D0E6B" w:rsidP="005D0E6B">
      <w:pPr>
        <w:spacing w:line="360" w:lineRule="auto"/>
        <w:jc w:val="both"/>
        <w:rPr>
          <w:rFonts w:ascii="Arial" w:hAnsi="Arial" w:cs="Arial"/>
        </w:rPr>
      </w:pPr>
      <w:r w:rsidRPr="005D0E6B">
        <w:rPr>
          <w:rFonts w:ascii="Arial" w:hAnsi="Arial" w:cs="Arial"/>
        </w:rPr>
        <w:t>One of the key advantages of Spain’s leadership approach was its ability to deliver decisive action during the early stages of the pandemic. The authoritative leadership style enabled the rapid implementation of strict lockdown measures, which helped to curb transmission following the initial surge in cases</w:t>
      </w:r>
      <w:r w:rsidR="00280140">
        <w:rPr>
          <w:rFonts w:ascii="Arial" w:hAnsi="Arial" w:cs="Arial"/>
        </w:rPr>
        <w:t xml:space="preserve"> (</w:t>
      </w:r>
      <w:r w:rsidR="00280140" w:rsidRPr="007B6F7D">
        <w:rPr>
          <w:rFonts w:ascii="Arial" w:hAnsi="Arial" w:cs="Arial"/>
        </w:rPr>
        <w:t>Mira</w:t>
      </w:r>
      <w:r w:rsidR="00280140">
        <w:rPr>
          <w:rFonts w:ascii="Arial" w:hAnsi="Arial" w:cs="Arial"/>
        </w:rPr>
        <w:t xml:space="preserve"> et al, 2021)</w:t>
      </w:r>
      <w:r w:rsidRPr="005D0E6B">
        <w:rPr>
          <w:rFonts w:ascii="Arial" w:hAnsi="Arial" w:cs="Arial"/>
        </w:rPr>
        <w:t>. Centralised decision-making reduced policy fragmentation and ensured consistency in public health messaging at a time when clarity and urgency were essential</w:t>
      </w:r>
      <w:r w:rsidR="00280140">
        <w:rPr>
          <w:rFonts w:ascii="Arial" w:hAnsi="Arial" w:cs="Arial"/>
        </w:rPr>
        <w:t xml:space="preserve"> (</w:t>
      </w:r>
      <w:r w:rsidR="00280140" w:rsidRPr="00E9647C">
        <w:rPr>
          <w:rFonts w:ascii="Arial" w:hAnsi="Arial" w:cs="Arial"/>
          <w:lang w:eastAsia="en-GB"/>
        </w:rPr>
        <w:t>Drylie-Carey</w:t>
      </w:r>
      <w:r w:rsidR="00280140">
        <w:rPr>
          <w:rFonts w:ascii="Arial" w:hAnsi="Arial" w:cs="Arial"/>
          <w:lang w:eastAsia="en-GB"/>
        </w:rPr>
        <w:t xml:space="preserve"> et </w:t>
      </w:r>
      <w:r w:rsidR="00280140">
        <w:rPr>
          <w:rFonts w:ascii="Arial" w:hAnsi="Arial" w:cs="Arial"/>
          <w:lang w:eastAsia="en-GB"/>
        </w:rPr>
        <w:lastRenderedPageBreak/>
        <w:t>al, 2020)</w:t>
      </w:r>
      <w:r w:rsidRPr="005D0E6B">
        <w:rPr>
          <w:rFonts w:ascii="Arial" w:hAnsi="Arial" w:cs="Arial"/>
        </w:rPr>
        <w:t>. This aligns with leadership theories that highlight the effectiveness of directive leadership in emergency contexts where delayed action can result in significant harm</w:t>
      </w:r>
      <w:r w:rsidR="00280140">
        <w:rPr>
          <w:rFonts w:ascii="Arial" w:hAnsi="Arial" w:cs="Arial"/>
        </w:rPr>
        <w:t xml:space="preserve"> (</w:t>
      </w:r>
      <w:r w:rsidR="00280140" w:rsidRPr="00C42FBB">
        <w:rPr>
          <w:rFonts w:ascii="Arial" w:hAnsi="Arial" w:cs="Arial"/>
        </w:rPr>
        <w:t>Fos</w:t>
      </w:r>
      <w:r w:rsidR="00280140">
        <w:rPr>
          <w:rFonts w:ascii="Arial" w:hAnsi="Arial" w:cs="Arial"/>
        </w:rPr>
        <w:t xml:space="preserve"> et al, 2021)</w:t>
      </w:r>
      <w:r w:rsidRPr="005D0E6B">
        <w:rPr>
          <w:rFonts w:ascii="Arial" w:hAnsi="Arial" w:cs="Arial"/>
        </w:rPr>
        <w:t>.</w:t>
      </w:r>
    </w:p>
    <w:p w14:paraId="42E2BD36" w14:textId="0FE02CC2" w:rsidR="005D0E6B" w:rsidRDefault="005D0E6B" w:rsidP="005D0E6B">
      <w:pPr>
        <w:spacing w:line="360" w:lineRule="auto"/>
        <w:jc w:val="both"/>
        <w:rPr>
          <w:rFonts w:ascii="Arial" w:hAnsi="Arial" w:cs="Arial"/>
        </w:rPr>
      </w:pPr>
      <w:r w:rsidRPr="005D0E6B">
        <w:rPr>
          <w:rFonts w:ascii="Arial" w:hAnsi="Arial" w:cs="Arial"/>
        </w:rPr>
        <w:t>Another advantage was the emphasis on expert-led and transparent communication. By foregrounding scientific advisors and health officials, the Spanish government reinforced the credibility of its decisions and framed restrictions as evidence-based rather than politically motivated</w:t>
      </w:r>
      <w:r w:rsidR="008F58B3">
        <w:rPr>
          <w:rFonts w:ascii="Arial" w:hAnsi="Arial" w:cs="Arial"/>
        </w:rPr>
        <w:t xml:space="preserve"> (</w:t>
      </w:r>
      <w:r w:rsidR="008F58B3" w:rsidRPr="00336617">
        <w:rPr>
          <w:rFonts w:ascii="Arial" w:hAnsi="Arial" w:cs="Arial"/>
        </w:rPr>
        <w:t>Waylen</w:t>
      </w:r>
      <w:r w:rsidR="008F58B3">
        <w:rPr>
          <w:rFonts w:ascii="Arial" w:hAnsi="Arial" w:cs="Arial"/>
        </w:rPr>
        <w:t>, 2020)</w:t>
      </w:r>
      <w:r w:rsidRPr="005D0E6B">
        <w:rPr>
          <w:rFonts w:ascii="Arial" w:hAnsi="Arial" w:cs="Arial"/>
        </w:rPr>
        <w:t>. Regular communication fostered a sense of collective responsibility and encouraged public compliance</w:t>
      </w:r>
      <w:r w:rsidR="008F58B3">
        <w:rPr>
          <w:rFonts w:ascii="Arial" w:hAnsi="Arial" w:cs="Arial"/>
        </w:rPr>
        <w:t xml:space="preserve"> (</w:t>
      </w:r>
      <w:r w:rsidR="008F58B3" w:rsidRPr="00336617">
        <w:rPr>
          <w:rFonts w:ascii="Arial" w:hAnsi="Arial" w:cs="Arial"/>
        </w:rPr>
        <w:t>Waylen</w:t>
      </w:r>
      <w:r w:rsidR="008F58B3">
        <w:rPr>
          <w:rFonts w:ascii="Arial" w:hAnsi="Arial" w:cs="Arial"/>
        </w:rPr>
        <w:t>, 2020)</w:t>
      </w:r>
      <w:r w:rsidRPr="005D0E6B">
        <w:rPr>
          <w:rFonts w:ascii="Arial" w:hAnsi="Arial" w:cs="Arial"/>
        </w:rPr>
        <w:t>. Additionally, the later transition to a more collaborative leadership style helped restore relationships with regional governments, allowing policies to be adapted to local conditions. This adaptability demonstrated learning and responsiveness, which are essential qualities in prolonged crisis leadership</w:t>
      </w:r>
      <w:r w:rsidR="00280140">
        <w:rPr>
          <w:rFonts w:ascii="Arial" w:hAnsi="Arial" w:cs="Arial"/>
        </w:rPr>
        <w:t xml:space="preserve"> (</w:t>
      </w:r>
      <w:r w:rsidR="00280140" w:rsidRPr="00E9647C">
        <w:rPr>
          <w:rFonts w:ascii="Arial" w:hAnsi="Arial" w:cs="Arial"/>
          <w:lang w:eastAsia="en-GB"/>
        </w:rPr>
        <w:t>Drylie-Carey</w:t>
      </w:r>
      <w:r w:rsidR="00280140">
        <w:rPr>
          <w:rFonts w:ascii="Arial" w:hAnsi="Arial" w:cs="Arial"/>
          <w:lang w:eastAsia="en-GB"/>
        </w:rPr>
        <w:t xml:space="preserve"> et al, 2020</w:t>
      </w:r>
      <w:r w:rsidR="008F58B3">
        <w:rPr>
          <w:rFonts w:ascii="Arial" w:hAnsi="Arial" w:cs="Arial"/>
          <w:lang w:eastAsia="en-GB"/>
        </w:rPr>
        <w:t>)</w:t>
      </w:r>
      <w:r w:rsidRPr="005D0E6B">
        <w:rPr>
          <w:rFonts w:ascii="Arial" w:hAnsi="Arial" w:cs="Arial"/>
        </w:rPr>
        <w:t>.</w:t>
      </w:r>
    </w:p>
    <w:p w14:paraId="597B398C" w14:textId="689FFBDB" w:rsidR="005D0E6B" w:rsidRDefault="005D0E6B" w:rsidP="004C0867">
      <w:pPr>
        <w:pStyle w:val="Heading2"/>
      </w:pPr>
      <w:bookmarkStart w:id="17" w:name="_Toc216684758"/>
      <w:r w:rsidRPr="005D0E6B">
        <w:t>3.1.</w:t>
      </w:r>
      <w:r w:rsidR="004C0867">
        <w:t>2</w:t>
      </w:r>
      <w:r w:rsidRPr="005D0E6B">
        <w:t xml:space="preserve"> Disadvantages and Limitations of Spain’s Leadership Style</w:t>
      </w:r>
      <w:bookmarkEnd w:id="17"/>
      <w:r w:rsidRPr="005D0E6B">
        <w:t xml:space="preserve"> </w:t>
      </w:r>
    </w:p>
    <w:p w14:paraId="721E4315" w14:textId="2621B78A" w:rsidR="005D0E6B" w:rsidRPr="005D0E6B" w:rsidRDefault="005D0E6B" w:rsidP="005D0E6B">
      <w:pPr>
        <w:spacing w:line="360" w:lineRule="auto"/>
        <w:jc w:val="both"/>
        <w:rPr>
          <w:rFonts w:ascii="Arial" w:hAnsi="Arial" w:cs="Arial"/>
        </w:rPr>
      </w:pPr>
      <w:r w:rsidRPr="005D0E6B">
        <w:rPr>
          <w:rFonts w:ascii="Arial" w:hAnsi="Arial" w:cs="Arial"/>
        </w:rPr>
        <w:t>Despite these strengths, Spain’s leadership approach also revealed significant weaknesses. The heavy reliance on authoritative leadership during the early phase generated political tension, particularly with regional governments that viewed the suspension of autonomy as excessive</w:t>
      </w:r>
      <w:r w:rsidR="00280140">
        <w:rPr>
          <w:rFonts w:ascii="Arial" w:hAnsi="Arial" w:cs="Arial"/>
        </w:rPr>
        <w:t xml:space="preserve"> (</w:t>
      </w:r>
      <w:r w:rsidR="00280140" w:rsidRPr="00E9647C">
        <w:rPr>
          <w:rFonts w:ascii="Arial" w:hAnsi="Arial" w:cs="Arial"/>
          <w:lang w:eastAsia="en-GB"/>
        </w:rPr>
        <w:t>Drylie-Carey</w:t>
      </w:r>
      <w:r w:rsidR="00280140">
        <w:rPr>
          <w:rFonts w:ascii="Arial" w:hAnsi="Arial" w:cs="Arial"/>
          <w:lang w:eastAsia="en-GB"/>
        </w:rPr>
        <w:t xml:space="preserve"> et al, 2020</w:t>
      </w:r>
      <w:r w:rsidR="008F58B3">
        <w:rPr>
          <w:rFonts w:ascii="Arial" w:hAnsi="Arial" w:cs="Arial"/>
          <w:lang w:eastAsia="en-GB"/>
        </w:rPr>
        <w:t>)</w:t>
      </w:r>
      <w:r w:rsidRPr="005D0E6B">
        <w:rPr>
          <w:rFonts w:ascii="Arial" w:hAnsi="Arial" w:cs="Arial"/>
        </w:rPr>
        <w:t>. This created resistance and undermined cooperation in some areas, highlighting the limitations of top-down leadership in a highly decentralised political system. Crisis leadership literature suggests that over-centralisation can weaken stakeholder engagement, which became evident as the pandemic progressed</w:t>
      </w:r>
      <w:r w:rsidR="00280140">
        <w:rPr>
          <w:rFonts w:ascii="Arial" w:hAnsi="Arial" w:cs="Arial"/>
        </w:rPr>
        <w:t xml:space="preserve"> (</w:t>
      </w:r>
      <w:r w:rsidR="00280140" w:rsidRPr="007B6F7D">
        <w:rPr>
          <w:rFonts w:ascii="Arial" w:hAnsi="Arial" w:cs="Arial"/>
        </w:rPr>
        <w:t>Mira</w:t>
      </w:r>
      <w:r w:rsidR="00280140">
        <w:rPr>
          <w:rFonts w:ascii="Arial" w:hAnsi="Arial" w:cs="Arial"/>
        </w:rPr>
        <w:t xml:space="preserve"> et al, 2021)</w:t>
      </w:r>
      <w:r w:rsidRPr="005D0E6B">
        <w:rPr>
          <w:rFonts w:ascii="Arial" w:hAnsi="Arial" w:cs="Arial"/>
        </w:rPr>
        <w:t>.</w:t>
      </w:r>
    </w:p>
    <w:p w14:paraId="0E0061C9" w14:textId="7894D989" w:rsidR="005D0E6B" w:rsidRDefault="005D0E6B" w:rsidP="005D0E6B">
      <w:pPr>
        <w:spacing w:line="360" w:lineRule="auto"/>
        <w:jc w:val="both"/>
        <w:rPr>
          <w:rFonts w:ascii="Arial" w:hAnsi="Arial" w:cs="Arial"/>
        </w:rPr>
      </w:pPr>
      <w:r w:rsidRPr="005D0E6B">
        <w:rPr>
          <w:rFonts w:ascii="Arial" w:hAnsi="Arial" w:cs="Arial"/>
        </w:rPr>
        <w:t>Another major limitation was inconsistent communication as leadership style shifted over time. While early messaging was centralised and clear, later phases saw mixed signals between national and regional leaders regarding restrictions and reopening timelines. This inconsistency contributed to public confusion and reduced trust in political leadership</w:t>
      </w:r>
      <w:r w:rsidR="00280140">
        <w:rPr>
          <w:rFonts w:ascii="Arial" w:hAnsi="Arial" w:cs="Arial"/>
        </w:rPr>
        <w:t xml:space="preserve"> (</w:t>
      </w:r>
      <w:r w:rsidR="00280140" w:rsidRPr="00E9647C">
        <w:rPr>
          <w:rFonts w:ascii="Arial" w:hAnsi="Arial" w:cs="Arial"/>
          <w:lang w:eastAsia="en-GB"/>
        </w:rPr>
        <w:t>Drylie-Carey</w:t>
      </w:r>
      <w:r w:rsidR="00280140">
        <w:rPr>
          <w:rFonts w:ascii="Arial" w:hAnsi="Arial" w:cs="Arial"/>
          <w:lang w:eastAsia="en-GB"/>
        </w:rPr>
        <w:t xml:space="preserve"> et al, 2020</w:t>
      </w:r>
      <w:r w:rsidR="00AD6BE0">
        <w:rPr>
          <w:rFonts w:ascii="Arial" w:hAnsi="Arial" w:cs="Arial"/>
          <w:lang w:eastAsia="en-GB"/>
        </w:rPr>
        <w:t>)</w:t>
      </w:r>
      <w:r w:rsidRPr="005D0E6B">
        <w:rPr>
          <w:rFonts w:ascii="Arial" w:hAnsi="Arial" w:cs="Arial"/>
        </w:rPr>
        <w:t>. Furthermore, the perceived politicisation of some decisions weakened public confidence, particularly during later waves of infection</w:t>
      </w:r>
      <w:r w:rsidR="00280140">
        <w:rPr>
          <w:rFonts w:ascii="Arial" w:hAnsi="Arial" w:cs="Arial"/>
        </w:rPr>
        <w:t xml:space="preserve"> (</w:t>
      </w:r>
      <w:r w:rsidR="00280140" w:rsidRPr="00C42FBB">
        <w:rPr>
          <w:rFonts w:ascii="Arial" w:hAnsi="Arial" w:cs="Arial"/>
        </w:rPr>
        <w:t>Fos</w:t>
      </w:r>
      <w:r w:rsidR="00280140">
        <w:rPr>
          <w:rFonts w:ascii="Arial" w:hAnsi="Arial" w:cs="Arial"/>
        </w:rPr>
        <w:t xml:space="preserve"> et al, 2021)</w:t>
      </w:r>
      <w:r w:rsidRPr="005D0E6B">
        <w:rPr>
          <w:rFonts w:ascii="Arial" w:hAnsi="Arial" w:cs="Arial"/>
        </w:rPr>
        <w:t>. These challenges demonstrate that while authoritative leadership can be effective in the short term, sustaining legitimacy and cohesion requires ongoing collaboration, clarity, and alignment across governance levels</w:t>
      </w:r>
      <w:r w:rsidR="00795AD3">
        <w:rPr>
          <w:rFonts w:ascii="Arial" w:hAnsi="Arial" w:cs="Arial"/>
        </w:rPr>
        <w:t xml:space="preserve"> (</w:t>
      </w:r>
      <w:r w:rsidR="00795AD3" w:rsidRPr="00336617">
        <w:rPr>
          <w:rFonts w:ascii="Arial" w:hAnsi="Arial" w:cs="Arial"/>
        </w:rPr>
        <w:t>Waylen</w:t>
      </w:r>
      <w:r w:rsidR="00795AD3">
        <w:rPr>
          <w:rFonts w:ascii="Arial" w:hAnsi="Arial" w:cs="Arial"/>
        </w:rPr>
        <w:t>, 2020)</w:t>
      </w:r>
      <w:r w:rsidRPr="005D0E6B">
        <w:rPr>
          <w:rFonts w:ascii="Arial" w:hAnsi="Arial" w:cs="Arial"/>
        </w:rPr>
        <w:t>.</w:t>
      </w:r>
    </w:p>
    <w:p w14:paraId="0B552E22" w14:textId="77777777" w:rsidR="008F77A1" w:rsidRPr="008F77A1" w:rsidRDefault="008F77A1" w:rsidP="004C0867">
      <w:pPr>
        <w:pStyle w:val="Heading1"/>
      </w:pPr>
      <w:bookmarkStart w:id="18" w:name="_Toc216684759"/>
      <w:r w:rsidRPr="008F77A1">
        <w:lastRenderedPageBreak/>
        <w:t>3.2 Leadership Styles in South Korea</w:t>
      </w:r>
      <w:bookmarkEnd w:id="18"/>
    </w:p>
    <w:p w14:paraId="2EFB7AEE" w14:textId="29D7A8BB" w:rsidR="008F77A1" w:rsidRPr="008F77A1" w:rsidRDefault="008F77A1" w:rsidP="008F77A1">
      <w:pPr>
        <w:spacing w:line="360" w:lineRule="auto"/>
        <w:jc w:val="both"/>
        <w:rPr>
          <w:rFonts w:ascii="Arial" w:hAnsi="Arial" w:cs="Arial"/>
        </w:rPr>
      </w:pPr>
      <w:r w:rsidRPr="008F77A1">
        <w:rPr>
          <w:rFonts w:ascii="Arial" w:hAnsi="Arial" w:cs="Arial"/>
        </w:rPr>
        <w:t>South Korea’s response to the COVID-19 pandemic was led by President Moon Jae-in and reflected a leadership style best described as technocratic, adaptive, and strongly evidence-based, supported by decisive central coordination</w:t>
      </w:r>
      <w:r w:rsidR="005A3118">
        <w:rPr>
          <w:rFonts w:ascii="Arial" w:hAnsi="Arial" w:cs="Arial"/>
        </w:rPr>
        <w:t xml:space="preserve"> (</w:t>
      </w:r>
      <w:r w:rsidR="005A3118" w:rsidRPr="005A3118">
        <w:rPr>
          <w:rFonts w:ascii="Arial" w:hAnsi="Arial" w:cs="Arial"/>
        </w:rPr>
        <w:t>Chang</w:t>
      </w:r>
      <w:r w:rsidR="005A3118">
        <w:rPr>
          <w:rFonts w:ascii="Arial" w:hAnsi="Arial" w:cs="Arial"/>
        </w:rPr>
        <w:t>, 2023)</w:t>
      </w:r>
      <w:r w:rsidRPr="008F77A1">
        <w:rPr>
          <w:rFonts w:ascii="Arial" w:hAnsi="Arial" w:cs="Arial"/>
        </w:rPr>
        <w:t>. Drawing on lessons learned from the 2015 MERS outbreak, Moon’s leadership prioritised preparedness, transparency, and institutional learning</w:t>
      </w:r>
      <w:r w:rsidR="009474EB">
        <w:rPr>
          <w:rFonts w:ascii="Arial" w:hAnsi="Arial" w:cs="Arial"/>
        </w:rPr>
        <w:t xml:space="preserve"> (</w:t>
      </w:r>
      <w:r w:rsidR="009474EB" w:rsidRPr="009474EB">
        <w:rPr>
          <w:rFonts w:ascii="Arial" w:hAnsi="Arial" w:cs="Arial"/>
        </w:rPr>
        <w:t>Lee</w:t>
      </w:r>
      <w:r w:rsidR="009474EB">
        <w:rPr>
          <w:rFonts w:ascii="Arial" w:hAnsi="Arial" w:cs="Arial"/>
        </w:rPr>
        <w:t>, 2020)</w:t>
      </w:r>
      <w:r w:rsidRPr="008F77A1">
        <w:rPr>
          <w:rFonts w:ascii="Arial" w:hAnsi="Arial" w:cs="Arial"/>
        </w:rPr>
        <w:t>. Rather than relying on coercive lockdowns, the government adopted a problem-solving and systems-oriented leadership approach, focusing on early intervention through testing, tracing, and isolation</w:t>
      </w:r>
      <w:r w:rsidR="00E13E7C">
        <w:rPr>
          <w:rFonts w:ascii="Arial" w:hAnsi="Arial" w:cs="Arial"/>
        </w:rPr>
        <w:t xml:space="preserve"> (</w:t>
      </w:r>
      <w:r w:rsidR="00E13E7C" w:rsidRPr="005A3118">
        <w:rPr>
          <w:rFonts w:ascii="Arial" w:hAnsi="Arial" w:cs="Arial"/>
        </w:rPr>
        <w:t>Chang</w:t>
      </w:r>
      <w:r w:rsidR="00E13E7C">
        <w:rPr>
          <w:rFonts w:ascii="Arial" w:hAnsi="Arial" w:cs="Arial"/>
        </w:rPr>
        <w:t>, 2023)</w:t>
      </w:r>
      <w:r w:rsidRPr="008F77A1">
        <w:rPr>
          <w:rFonts w:ascii="Arial" w:hAnsi="Arial" w:cs="Arial"/>
        </w:rPr>
        <w:t>. This aligns with transformational and adaptive leadership theories, which emphasise innovation, responsiveness, and learning in complex environments</w:t>
      </w:r>
      <w:r w:rsidR="00BD0A06">
        <w:rPr>
          <w:rFonts w:ascii="Arial" w:hAnsi="Arial" w:cs="Arial"/>
        </w:rPr>
        <w:t xml:space="preserve"> (</w:t>
      </w:r>
      <w:r w:rsidR="00BD0A06" w:rsidRPr="00BD0A06">
        <w:rPr>
          <w:rFonts w:ascii="Arial" w:hAnsi="Arial" w:cs="Arial"/>
        </w:rPr>
        <w:t>Anttiroiko</w:t>
      </w:r>
      <w:r w:rsidR="00BD0A06">
        <w:rPr>
          <w:rFonts w:ascii="Arial" w:hAnsi="Arial" w:cs="Arial"/>
        </w:rPr>
        <w:t>, 2021)</w:t>
      </w:r>
      <w:r w:rsidRPr="008F77A1">
        <w:rPr>
          <w:rFonts w:ascii="Arial" w:hAnsi="Arial" w:cs="Arial"/>
        </w:rPr>
        <w:t>.</w:t>
      </w:r>
    </w:p>
    <w:p w14:paraId="00A7D674" w14:textId="0539EA74" w:rsidR="008F77A1" w:rsidRPr="008F77A1" w:rsidRDefault="008F77A1" w:rsidP="008F77A1">
      <w:pPr>
        <w:spacing w:line="360" w:lineRule="auto"/>
        <w:jc w:val="both"/>
        <w:rPr>
          <w:rFonts w:ascii="Arial" w:hAnsi="Arial" w:cs="Arial"/>
        </w:rPr>
      </w:pPr>
      <w:r w:rsidRPr="008F77A1">
        <w:rPr>
          <w:rFonts w:ascii="Arial" w:hAnsi="Arial" w:cs="Arial"/>
        </w:rPr>
        <w:t>A defining feature of South Korea’s leadership style was the delegation of operational authority to expert institutions, particularly the Korea Disease Control and Prevention Agency</w:t>
      </w:r>
      <w:r w:rsidR="00326974">
        <w:rPr>
          <w:rFonts w:ascii="Arial" w:hAnsi="Arial" w:cs="Arial"/>
        </w:rPr>
        <w:t xml:space="preserve"> (</w:t>
      </w:r>
      <w:r w:rsidR="00326974" w:rsidRPr="00326974">
        <w:rPr>
          <w:rFonts w:ascii="Arial" w:hAnsi="Arial" w:cs="Arial"/>
        </w:rPr>
        <w:t>Choi</w:t>
      </w:r>
      <w:r w:rsidR="00326974">
        <w:rPr>
          <w:rFonts w:ascii="Arial" w:hAnsi="Arial" w:cs="Arial"/>
        </w:rPr>
        <w:t xml:space="preserve"> and </w:t>
      </w:r>
      <w:r w:rsidR="00326974" w:rsidRPr="00326974">
        <w:rPr>
          <w:rFonts w:ascii="Arial" w:hAnsi="Arial" w:cs="Arial"/>
        </w:rPr>
        <w:t>Powers</w:t>
      </w:r>
      <w:r w:rsidR="00326974">
        <w:rPr>
          <w:rFonts w:ascii="Arial" w:hAnsi="Arial" w:cs="Arial"/>
        </w:rPr>
        <w:t>, 2021)</w:t>
      </w:r>
      <w:r w:rsidRPr="008F77A1">
        <w:rPr>
          <w:rFonts w:ascii="Arial" w:hAnsi="Arial" w:cs="Arial"/>
        </w:rPr>
        <w:t>. Political leadership remained visible but avoided dominating technical decision-making, allowing public health experts to lead communication and policy justification</w:t>
      </w:r>
      <w:r w:rsidR="00773957">
        <w:rPr>
          <w:rFonts w:ascii="Arial" w:hAnsi="Arial" w:cs="Arial"/>
        </w:rPr>
        <w:t xml:space="preserve"> (</w:t>
      </w:r>
      <w:r w:rsidR="00773957" w:rsidRPr="009474EB">
        <w:rPr>
          <w:rFonts w:ascii="Arial" w:hAnsi="Arial" w:cs="Arial"/>
        </w:rPr>
        <w:t>Lee</w:t>
      </w:r>
      <w:r w:rsidR="00773957">
        <w:rPr>
          <w:rFonts w:ascii="Arial" w:hAnsi="Arial" w:cs="Arial"/>
        </w:rPr>
        <w:t>, 2020)</w:t>
      </w:r>
      <w:r w:rsidRPr="008F77A1">
        <w:rPr>
          <w:rFonts w:ascii="Arial" w:hAnsi="Arial" w:cs="Arial"/>
        </w:rPr>
        <w:t>. Daily briefings provided consistent, data-driven updates, reinforcing public trust and legitimising government interventions</w:t>
      </w:r>
      <w:r w:rsidR="00D80764">
        <w:rPr>
          <w:rFonts w:ascii="Arial" w:hAnsi="Arial" w:cs="Arial"/>
        </w:rPr>
        <w:t xml:space="preserve"> (</w:t>
      </w:r>
      <w:r w:rsidR="00D80764" w:rsidRPr="00BD0A06">
        <w:rPr>
          <w:rFonts w:ascii="Arial" w:hAnsi="Arial" w:cs="Arial"/>
        </w:rPr>
        <w:t>Anttiroiko</w:t>
      </w:r>
      <w:r w:rsidR="00D80764">
        <w:rPr>
          <w:rFonts w:ascii="Arial" w:hAnsi="Arial" w:cs="Arial"/>
        </w:rPr>
        <w:t>, 2021)</w:t>
      </w:r>
      <w:r w:rsidRPr="008F77A1">
        <w:rPr>
          <w:rFonts w:ascii="Arial" w:hAnsi="Arial" w:cs="Arial"/>
        </w:rPr>
        <w:t>. This approach reflected a collaborative leadership model, where leadership responsibility was shared across government agencies, local authorities, and private sector partners</w:t>
      </w:r>
      <w:r w:rsidR="00E13E7C">
        <w:rPr>
          <w:rFonts w:ascii="Arial" w:hAnsi="Arial" w:cs="Arial"/>
        </w:rPr>
        <w:t xml:space="preserve"> (</w:t>
      </w:r>
      <w:r w:rsidR="00E13E7C" w:rsidRPr="005A3118">
        <w:rPr>
          <w:rFonts w:ascii="Arial" w:hAnsi="Arial" w:cs="Arial"/>
        </w:rPr>
        <w:t>Chang</w:t>
      </w:r>
      <w:r w:rsidR="00E13E7C">
        <w:rPr>
          <w:rFonts w:ascii="Arial" w:hAnsi="Arial" w:cs="Arial"/>
        </w:rPr>
        <w:t>, 2023)</w:t>
      </w:r>
      <w:r w:rsidRPr="008F77A1">
        <w:rPr>
          <w:rFonts w:ascii="Arial" w:hAnsi="Arial" w:cs="Arial"/>
        </w:rPr>
        <w:t>.</w:t>
      </w:r>
    </w:p>
    <w:p w14:paraId="41DAD963" w14:textId="2CEEC097" w:rsidR="008F77A1" w:rsidRPr="008F77A1" w:rsidRDefault="008F77A1" w:rsidP="008F77A1">
      <w:pPr>
        <w:spacing w:line="360" w:lineRule="auto"/>
        <w:jc w:val="both"/>
        <w:rPr>
          <w:rFonts w:ascii="Arial" w:hAnsi="Arial" w:cs="Arial"/>
        </w:rPr>
      </w:pPr>
      <w:r w:rsidRPr="008F77A1">
        <w:rPr>
          <w:rFonts w:ascii="Arial" w:hAnsi="Arial" w:cs="Arial"/>
        </w:rPr>
        <w:t>While the overall strategy was centrally coordinated, Moon’s leadership also allowed for localised implementation, enabling municipal governments to respond quickly to outbreaks</w:t>
      </w:r>
      <w:r w:rsidR="00773957">
        <w:rPr>
          <w:rFonts w:ascii="Arial" w:hAnsi="Arial" w:cs="Arial"/>
        </w:rPr>
        <w:t xml:space="preserve"> (</w:t>
      </w:r>
      <w:r w:rsidR="00773957" w:rsidRPr="00326974">
        <w:rPr>
          <w:rFonts w:ascii="Arial" w:hAnsi="Arial" w:cs="Arial"/>
        </w:rPr>
        <w:t>Choi</w:t>
      </w:r>
      <w:r w:rsidR="00773957">
        <w:rPr>
          <w:rFonts w:ascii="Arial" w:hAnsi="Arial" w:cs="Arial"/>
        </w:rPr>
        <w:t xml:space="preserve"> and </w:t>
      </w:r>
      <w:r w:rsidR="00773957" w:rsidRPr="00326974">
        <w:rPr>
          <w:rFonts w:ascii="Arial" w:hAnsi="Arial" w:cs="Arial"/>
        </w:rPr>
        <w:t>Powers</w:t>
      </w:r>
      <w:r w:rsidR="00773957">
        <w:rPr>
          <w:rFonts w:ascii="Arial" w:hAnsi="Arial" w:cs="Arial"/>
        </w:rPr>
        <w:t>, 2021)</w:t>
      </w:r>
      <w:r w:rsidRPr="008F77A1">
        <w:rPr>
          <w:rFonts w:ascii="Arial" w:hAnsi="Arial" w:cs="Arial"/>
        </w:rPr>
        <w:t>. This balance between strong central direction and decentralised execution reduced fragmentation while preserving flexibility. The leadership style remained stable throughout the pandemic, avoiding abrupt policy reversals and maintaining public confidence</w:t>
      </w:r>
      <w:r w:rsidR="00E13E7C">
        <w:rPr>
          <w:rFonts w:ascii="Arial" w:hAnsi="Arial" w:cs="Arial"/>
        </w:rPr>
        <w:t xml:space="preserve"> (</w:t>
      </w:r>
      <w:r w:rsidR="00E13E7C" w:rsidRPr="005A3118">
        <w:rPr>
          <w:rFonts w:ascii="Arial" w:hAnsi="Arial" w:cs="Arial"/>
        </w:rPr>
        <w:t>Chang</w:t>
      </w:r>
      <w:r w:rsidR="00E13E7C">
        <w:rPr>
          <w:rFonts w:ascii="Arial" w:hAnsi="Arial" w:cs="Arial"/>
        </w:rPr>
        <w:t>, 2023)</w:t>
      </w:r>
      <w:r w:rsidRPr="008F77A1">
        <w:rPr>
          <w:rFonts w:ascii="Arial" w:hAnsi="Arial" w:cs="Arial"/>
        </w:rPr>
        <w:t>.</w:t>
      </w:r>
    </w:p>
    <w:p w14:paraId="03D27C1E" w14:textId="0EC39192" w:rsidR="008F77A1" w:rsidRPr="008F77A1" w:rsidRDefault="008F77A1" w:rsidP="004C0867">
      <w:pPr>
        <w:pStyle w:val="Heading2"/>
      </w:pPr>
      <w:bookmarkStart w:id="19" w:name="_Toc216684760"/>
      <w:r w:rsidRPr="008F77A1">
        <w:t>3.2.</w:t>
      </w:r>
      <w:r w:rsidR="004C0867">
        <w:t>1</w:t>
      </w:r>
      <w:r w:rsidRPr="008F77A1">
        <w:t xml:space="preserve"> Advantages of South Korea’s Leadership Style</w:t>
      </w:r>
      <w:bookmarkEnd w:id="19"/>
      <w:r w:rsidRPr="008F77A1">
        <w:t xml:space="preserve"> </w:t>
      </w:r>
    </w:p>
    <w:p w14:paraId="3CF03EF9" w14:textId="03987027" w:rsidR="008F77A1" w:rsidRPr="008F77A1" w:rsidRDefault="008F77A1" w:rsidP="008F77A1">
      <w:pPr>
        <w:spacing w:line="360" w:lineRule="auto"/>
        <w:jc w:val="both"/>
        <w:rPr>
          <w:rFonts w:ascii="Arial" w:hAnsi="Arial" w:cs="Arial"/>
        </w:rPr>
      </w:pPr>
      <w:r w:rsidRPr="008F77A1">
        <w:rPr>
          <w:rFonts w:ascii="Arial" w:hAnsi="Arial" w:cs="Arial"/>
        </w:rPr>
        <w:t>One of the most significant advantages of South Korea’s leadership approach was its strong reliance on scientific expertise and institutional authority</w:t>
      </w:r>
      <w:r w:rsidR="00773957">
        <w:rPr>
          <w:rFonts w:ascii="Arial" w:hAnsi="Arial" w:cs="Arial"/>
        </w:rPr>
        <w:t xml:space="preserve"> (</w:t>
      </w:r>
      <w:r w:rsidR="00773957" w:rsidRPr="009474EB">
        <w:rPr>
          <w:rFonts w:ascii="Arial" w:hAnsi="Arial" w:cs="Arial"/>
        </w:rPr>
        <w:t>Lee</w:t>
      </w:r>
      <w:r w:rsidR="00773957">
        <w:rPr>
          <w:rFonts w:ascii="Arial" w:hAnsi="Arial" w:cs="Arial"/>
        </w:rPr>
        <w:t>, 2020)</w:t>
      </w:r>
      <w:r w:rsidRPr="008F77A1">
        <w:rPr>
          <w:rFonts w:ascii="Arial" w:hAnsi="Arial" w:cs="Arial"/>
        </w:rPr>
        <w:t>. By placing public health agencies at the centre of decision-making and communication, political leadership enhanced credibility and reduced the perception of political interference</w:t>
      </w:r>
      <w:r w:rsidR="00773957">
        <w:rPr>
          <w:rFonts w:ascii="Arial" w:hAnsi="Arial" w:cs="Arial"/>
        </w:rPr>
        <w:t xml:space="preserve"> (</w:t>
      </w:r>
      <w:r w:rsidR="00773957" w:rsidRPr="00326974">
        <w:rPr>
          <w:rFonts w:ascii="Arial" w:hAnsi="Arial" w:cs="Arial"/>
        </w:rPr>
        <w:t>Choi</w:t>
      </w:r>
      <w:r w:rsidR="00773957">
        <w:rPr>
          <w:rFonts w:ascii="Arial" w:hAnsi="Arial" w:cs="Arial"/>
        </w:rPr>
        <w:t xml:space="preserve"> and </w:t>
      </w:r>
      <w:r w:rsidR="00773957" w:rsidRPr="00326974">
        <w:rPr>
          <w:rFonts w:ascii="Arial" w:hAnsi="Arial" w:cs="Arial"/>
        </w:rPr>
        <w:t>Powers</w:t>
      </w:r>
      <w:r w:rsidR="00773957">
        <w:rPr>
          <w:rFonts w:ascii="Arial" w:hAnsi="Arial" w:cs="Arial"/>
        </w:rPr>
        <w:t>, 2021)</w:t>
      </w:r>
      <w:r w:rsidRPr="008F77A1">
        <w:rPr>
          <w:rFonts w:ascii="Arial" w:hAnsi="Arial" w:cs="Arial"/>
        </w:rPr>
        <w:t xml:space="preserve">. This encouraged high levels of public compliance with </w:t>
      </w:r>
      <w:r w:rsidRPr="008F77A1">
        <w:rPr>
          <w:rFonts w:ascii="Arial" w:hAnsi="Arial" w:cs="Arial"/>
        </w:rPr>
        <w:lastRenderedPageBreak/>
        <w:t>testing, isolation, and contact tracing measures. Leadership theories emphasise that trust and legitimacy are critical during crises, and South Korea’s transparent, evidence-based communication helped maintain these elements</w:t>
      </w:r>
      <w:r w:rsidR="004B20A7">
        <w:rPr>
          <w:rFonts w:ascii="Arial" w:hAnsi="Arial" w:cs="Arial"/>
        </w:rPr>
        <w:t xml:space="preserve"> (</w:t>
      </w:r>
      <w:r w:rsidR="004B20A7" w:rsidRPr="005A3118">
        <w:rPr>
          <w:rFonts w:ascii="Arial" w:hAnsi="Arial" w:cs="Arial"/>
        </w:rPr>
        <w:t>Chang</w:t>
      </w:r>
      <w:r w:rsidR="004B20A7">
        <w:rPr>
          <w:rFonts w:ascii="Arial" w:hAnsi="Arial" w:cs="Arial"/>
        </w:rPr>
        <w:t>, 2023)</w:t>
      </w:r>
      <w:r w:rsidRPr="008F77A1">
        <w:rPr>
          <w:rFonts w:ascii="Arial" w:hAnsi="Arial" w:cs="Arial"/>
        </w:rPr>
        <w:t>.</w:t>
      </w:r>
    </w:p>
    <w:p w14:paraId="67ACB983" w14:textId="21455F33" w:rsidR="008F77A1" w:rsidRPr="008F77A1" w:rsidRDefault="008F77A1" w:rsidP="008F77A1">
      <w:pPr>
        <w:spacing w:line="360" w:lineRule="auto"/>
        <w:jc w:val="both"/>
        <w:rPr>
          <w:rFonts w:ascii="Arial" w:hAnsi="Arial" w:cs="Arial"/>
        </w:rPr>
      </w:pPr>
      <w:r w:rsidRPr="008F77A1">
        <w:rPr>
          <w:rFonts w:ascii="Arial" w:hAnsi="Arial" w:cs="Arial"/>
        </w:rPr>
        <w:t>Another advantage was the adaptive and anticipatory nature of leadership. Rather than reacting to rising case numbers, leadership focused on early detection and prevention, allowing the country to control outbreaks without prolonged lockdowns</w:t>
      </w:r>
      <w:r w:rsidR="00773957">
        <w:rPr>
          <w:rFonts w:ascii="Arial" w:hAnsi="Arial" w:cs="Arial"/>
        </w:rPr>
        <w:t xml:space="preserve"> (</w:t>
      </w:r>
      <w:r w:rsidR="00773957" w:rsidRPr="009474EB">
        <w:rPr>
          <w:rFonts w:ascii="Arial" w:hAnsi="Arial" w:cs="Arial"/>
        </w:rPr>
        <w:t>Lee</w:t>
      </w:r>
      <w:r w:rsidR="00773957">
        <w:rPr>
          <w:rFonts w:ascii="Arial" w:hAnsi="Arial" w:cs="Arial"/>
        </w:rPr>
        <w:t>, 2020)</w:t>
      </w:r>
      <w:r w:rsidRPr="008F77A1">
        <w:rPr>
          <w:rFonts w:ascii="Arial" w:hAnsi="Arial" w:cs="Arial"/>
        </w:rPr>
        <w:t xml:space="preserve">. Collaboration with private technology firms enabled </w:t>
      </w:r>
      <w:r w:rsidR="004B20A7">
        <w:rPr>
          <w:rFonts w:ascii="Arial" w:hAnsi="Arial" w:cs="Arial"/>
        </w:rPr>
        <w:t xml:space="preserve">the </w:t>
      </w:r>
      <w:r w:rsidRPr="008F77A1">
        <w:rPr>
          <w:rFonts w:ascii="Arial" w:hAnsi="Arial" w:cs="Arial"/>
        </w:rPr>
        <w:t>rapid development of testing capacity and digital tracing tools, reflecting innovative and network-based leadership. The calm and consistent tone adopted by political leaders also helped reduce public anxiety and foster collective responsibility</w:t>
      </w:r>
      <w:r w:rsidR="004B20A7">
        <w:rPr>
          <w:rFonts w:ascii="Arial" w:hAnsi="Arial" w:cs="Arial"/>
        </w:rPr>
        <w:t xml:space="preserve"> (</w:t>
      </w:r>
      <w:r w:rsidR="004B20A7" w:rsidRPr="005A3118">
        <w:rPr>
          <w:rFonts w:ascii="Arial" w:hAnsi="Arial" w:cs="Arial"/>
        </w:rPr>
        <w:t>Chang</w:t>
      </w:r>
      <w:r w:rsidR="004B20A7">
        <w:rPr>
          <w:rFonts w:ascii="Arial" w:hAnsi="Arial" w:cs="Arial"/>
        </w:rPr>
        <w:t>, 2023)</w:t>
      </w:r>
      <w:r w:rsidRPr="008F77A1">
        <w:rPr>
          <w:rFonts w:ascii="Arial" w:hAnsi="Arial" w:cs="Arial"/>
        </w:rPr>
        <w:t>. This leadership style demonstrated that decisiveness does not require authoritarianism and that effective crisis leadership can balance control with public engagement</w:t>
      </w:r>
      <w:r w:rsidR="00773957">
        <w:rPr>
          <w:rFonts w:ascii="Arial" w:hAnsi="Arial" w:cs="Arial"/>
        </w:rPr>
        <w:t xml:space="preserve"> (</w:t>
      </w:r>
      <w:r w:rsidR="00773957" w:rsidRPr="00326974">
        <w:rPr>
          <w:rFonts w:ascii="Arial" w:hAnsi="Arial" w:cs="Arial"/>
        </w:rPr>
        <w:t>Choi</w:t>
      </w:r>
      <w:r w:rsidR="00773957">
        <w:rPr>
          <w:rFonts w:ascii="Arial" w:hAnsi="Arial" w:cs="Arial"/>
        </w:rPr>
        <w:t xml:space="preserve"> and </w:t>
      </w:r>
      <w:r w:rsidR="00773957" w:rsidRPr="00326974">
        <w:rPr>
          <w:rFonts w:ascii="Arial" w:hAnsi="Arial" w:cs="Arial"/>
        </w:rPr>
        <w:t>Powers</w:t>
      </w:r>
      <w:r w:rsidR="00773957">
        <w:rPr>
          <w:rFonts w:ascii="Arial" w:hAnsi="Arial" w:cs="Arial"/>
        </w:rPr>
        <w:t>, 2021)</w:t>
      </w:r>
      <w:r w:rsidRPr="008F77A1">
        <w:rPr>
          <w:rFonts w:ascii="Arial" w:hAnsi="Arial" w:cs="Arial"/>
        </w:rPr>
        <w:t>.</w:t>
      </w:r>
    </w:p>
    <w:p w14:paraId="146F7EF8" w14:textId="35628E5C" w:rsidR="008F77A1" w:rsidRDefault="008F77A1" w:rsidP="004C0867">
      <w:pPr>
        <w:pStyle w:val="Heading2"/>
      </w:pPr>
      <w:bookmarkStart w:id="20" w:name="_Toc216684761"/>
      <w:r w:rsidRPr="008F77A1">
        <w:t>3.2.</w:t>
      </w:r>
      <w:r w:rsidR="004C0867">
        <w:t>2</w:t>
      </w:r>
      <w:r w:rsidRPr="008F77A1">
        <w:t xml:space="preserve"> Disadvantages and Limitations of South Korea’s Leadership Style</w:t>
      </w:r>
      <w:bookmarkEnd w:id="20"/>
      <w:r w:rsidRPr="008F77A1">
        <w:t xml:space="preserve"> </w:t>
      </w:r>
    </w:p>
    <w:p w14:paraId="3B1BF519" w14:textId="26A60B78" w:rsidR="008F77A1" w:rsidRPr="008F77A1" w:rsidRDefault="008F77A1" w:rsidP="008F77A1">
      <w:pPr>
        <w:spacing w:line="360" w:lineRule="auto"/>
        <w:jc w:val="both"/>
        <w:rPr>
          <w:rFonts w:ascii="Arial" w:hAnsi="Arial" w:cs="Arial"/>
        </w:rPr>
      </w:pPr>
      <w:r w:rsidRPr="008F77A1">
        <w:rPr>
          <w:rFonts w:ascii="Arial" w:hAnsi="Arial" w:cs="Arial"/>
        </w:rPr>
        <w:t>Despite its overall success, South Korea’s leadership style was not without limitations. A major concern related to the ethical implications of extensive surveillance measures endorsed by leadership</w:t>
      </w:r>
      <w:r w:rsidR="00773957">
        <w:rPr>
          <w:rFonts w:ascii="Arial" w:hAnsi="Arial" w:cs="Arial"/>
        </w:rPr>
        <w:t xml:space="preserve"> (</w:t>
      </w:r>
      <w:r w:rsidR="00773957" w:rsidRPr="009474EB">
        <w:rPr>
          <w:rFonts w:ascii="Arial" w:hAnsi="Arial" w:cs="Arial"/>
        </w:rPr>
        <w:t>Lee</w:t>
      </w:r>
      <w:r w:rsidR="00773957">
        <w:rPr>
          <w:rFonts w:ascii="Arial" w:hAnsi="Arial" w:cs="Arial"/>
        </w:rPr>
        <w:t>, 2020)</w:t>
      </w:r>
      <w:r w:rsidRPr="008F77A1">
        <w:rPr>
          <w:rFonts w:ascii="Arial" w:hAnsi="Arial" w:cs="Arial"/>
        </w:rPr>
        <w:t>. The use of personal data for contact tracing raised concerns about privacy and civil liberties, particularly among vulnerable groups. Although public trust remained relatively high, this approach depended heavily on societal acceptance and could be difficult to sustain in contexts with lower institutional trust</w:t>
      </w:r>
      <w:r w:rsidR="00773957">
        <w:rPr>
          <w:rFonts w:ascii="Arial" w:hAnsi="Arial" w:cs="Arial"/>
        </w:rPr>
        <w:t xml:space="preserve"> (</w:t>
      </w:r>
      <w:r w:rsidR="00773957" w:rsidRPr="009474EB">
        <w:rPr>
          <w:rFonts w:ascii="Arial" w:hAnsi="Arial" w:cs="Arial"/>
        </w:rPr>
        <w:t>Lee</w:t>
      </w:r>
      <w:r w:rsidR="00773957">
        <w:rPr>
          <w:rFonts w:ascii="Arial" w:hAnsi="Arial" w:cs="Arial"/>
        </w:rPr>
        <w:t>, 2020)</w:t>
      </w:r>
      <w:r w:rsidRPr="008F77A1">
        <w:rPr>
          <w:rFonts w:ascii="Arial" w:hAnsi="Arial" w:cs="Arial"/>
        </w:rPr>
        <w:t>.</w:t>
      </w:r>
    </w:p>
    <w:p w14:paraId="3A969607" w14:textId="606A830C" w:rsidR="008F77A1" w:rsidRPr="008F77A1" w:rsidRDefault="008F77A1" w:rsidP="008F77A1">
      <w:pPr>
        <w:spacing w:line="360" w:lineRule="auto"/>
        <w:jc w:val="both"/>
        <w:rPr>
          <w:rFonts w:ascii="Arial" w:hAnsi="Arial" w:cs="Arial"/>
        </w:rPr>
      </w:pPr>
      <w:r w:rsidRPr="008F77A1">
        <w:rPr>
          <w:rFonts w:ascii="Arial" w:hAnsi="Arial" w:cs="Arial"/>
        </w:rPr>
        <w:t>Another limitation was the high dependence on public compliance and technological infrastructure</w:t>
      </w:r>
      <w:r w:rsidR="00773957">
        <w:rPr>
          <w:rFonts w:ascii="Arial" w:hAnsi="Arial" w:cs="Arial"/>
        </w:rPr>
        <w:t xml:space="preserve"> (</w:t>
      </w:r>
      <w:r w:rsidR="00773957" w:rsidRPr="00326974">
        <w:rPr>
          <w:rFonts w:ascii="Arial" w:hAnsi="Arial" w:cs="Arial"/>
        </w:rPr>
        <w:t>Choi</w:t>
      </w:r>
      <w:r w:rsidR="00773957">
        <w:rPr>
          <w:rFonts w:ascii="Arial" w:hAnsi="Arial" w:cs="Arial"/>
        </w:rPr>
        <w:t xml:space="preserve"> and </w:t>
      </w:r>
      <w:r w:rsidR="00773957" w:rsidRPr="00326974">
        <w:rPr>
          <w:rFonts w:ascii="Arial" w:hAnsi="Arial" w:cs="Arial"/>
        </w:rPr>
        <w:t>Powers</w:t>
      </w:r>
      <w:r w:rsidR="00773957">
        <w:rPr>
          <w:rFonts w:ascii="Arial" w:hAnsi="Arial" w:cs="Arial"/>
        </w:rPr>
        <w:t>, 2021)</w:t>
      </w:r>
      <w:r w:rsidRPr="008F77A1">
        <w:rPr>
          <w:rFonts w:ascii="Arial" w:hAnsi="Arial" w:cs="Arial"/>
        </w:rPr>
        <w:t xml:space="preserve">. The effectiveness of leadership decisions relied on citizens’ willingness to cooperate and their access to digital tools. This potentially </w:t>
      </w:r>
      <w:r w:rsidR="004B20A7">
        <w:rPr>
          <w:rFonts w:ascii="Arial" w:hAnsi="Arial" w:cs="Arial"/>
        </w:rPr>
        <w:t>disadvantages</w:t>
      </w:r>
      <w:r w:rsidRPr="008F77A1">
        <w:rPr>
          <w:rFonts w:ascii="Arial" w:hAnsi="Arial" w:cs="Arial"/>
        </w:rPr>
        <w:t xml:space="preserve"> older populations or marginalised groups less familiar with technology</w:t>
      </w:r>
      <w:r w:rsidR="00D80764">
        <w:rPr>
          <w:rFonts w:ascii="Arial" w:hAnsi="Arial" w:cs="Arial"/>
        </w:rPr>
        <w:t xml:space="preserve"> (</w:t>
      </w:r>
      <w:r w:rsidR="00D80764" w:rsidRPr="00BD0A06">
        <w:rPr>
          <w:rFonts w:ascii="Arial" w:hAnsi="Arial" w:cs="Arial"/>
        </w:rPr>
        <w:t>Anttiroiko</w:t>
      </w:r>
      <w:r w:rsidR="00D80764">
        <w:rPr>
          <w:rFonts w:ascii="Arial" w:hAnsi="Arial" w:cs="Arial"/>
        </w:rPr>
        <w:t>, 2021)</w:t>
      </w:r>
      <w:r w:rsidRPr="008F77A1">
        <w:rPr>
          <w:rFonts w:ascii="Arial" w:hAnsi="Arial" w:cs="Arial"/>
        </w:rPr>
        <w:t>. Additionally, the strong central reliance on expert agencies occasionally limited political accountability, as responsibility for unpopular decisions was perceived as diffuse</w:t>
      </w:r>
      <w:r w:rsidR="004B20A7">
        <w:rPr>
          <w:rFonts w:ascii="Arial" w:hAnsi="Arial" w:cs="Arial"/>
        </w:rPr>
        <w:t xml:space="preserve"> (</w:t>
      </w:r>
      <w:r w:rsidR="004B20A7" w:rsidRPr="005A3118">
        <w:rPr>
          <w:rFonts w:ascii="Arial" w:hAnsi="Arial" w:cs="Arial"/>
        </w:rPr>
        <w:t>Chang</w:t>
      </w:r>
      <w:r w:rsidR="004B20A7">
        <w:rPr>
          <w:rFonts w:ascii="Arial" w:hAnsi="Arial" w:cs="Arial"/>
        </w:rPr>
        <w:t>, 2023)</w:t>
      </w:r>
      <w:r w:rsidRPr="008F77A1">
        <w:rPr>
          <w:rFonts w:ascii="Arial" w:hAnsi="Arial" w:cs="Arial"/>
        </w:rPr>
        <w:t>.</w:t>
      </w:r>
    </w:p>
    <w:p w14:paraId="32B6DFB8" w14:textId="345EE5C8" w:rsidR="008F77A1" w:rsidRDefault="008F77A1" w:rsidP="008F77A1">
      <w:pPr>
        <w:spacing w:line="360" w:lineRule="auto"/>
        <w:jc w:val="both"/>
        <w:rPr>
          <w:rFonts w:ascii="Arial" w:hAnsi="Arial" w:cs="Arial"/>
        </w:rPr>
      </w:pPr>
      <w:r w:rsidRPr="008F77A1">
        <w:rPr>
          <w:rFonts w:ascii="Arial" w:hAnsi="Arial" w:cs="Arial"/>
        </w:rPr>
        <w:t>Finally, while leadership avoided lockdowns, the economic burden of targeted restrictions disproportionately affected small businesses and self-employed individuals</w:t>
      </w:r>
      <w:r w:rsidR="00D80764">
        <w:rPr>
          <w:rFonts w:ascii="Arial" w:hAnsi="Arial" w:cs="Arial"/>
        </w:rPr>
        <w:t xml:space="preserve"> (</w:t>
      </w:r>
      <w:r w:rsidR="00D80764" w:rsidRPr="00BD0A06">
        <w:rPr>
          <w:rFonts w:ascii="Arial" w:hAnsi="Arial" w:cs="Arial"/>
        </w:rPr>
        <w:t>Anttiroiko</w:t>
      </w:r>
      <w:r w:rsidR="00D80764">
        <w:rPr>
          <w:rFonts w:ascii="Arial" w:hAnsi="Arial" w:cs="Arial"/>
        </w:rPr>
        <w:t>, 2021)</w:t>
      </w:r>
      <w:r w:rsidRPr="008F77A1">
        <w:rPr>
          <w:rFonts w:ascii="Arial" w:hAnsi="Arial" w:cs="Arial"/>
        </w:rPr>
        <w:t>. Leadership responses to these socio-economic impacts were sometimes perceived as secondary to public health priorities</w:t>
      </w:r>
      <w:r w:rsidR="00773957">
        <w:rPr>
          <w:rFonts w:ascii="Arial" w:hAnsi="Arial" w:cs="Arial"/>
        </w:rPr>
        <w:t xml:space="preserve"> (</w:t>
      </w:r>
      <w:r w:rsidR="00773957" w:rsidRPr="005A3118">
        <w:rPr>
          <w:rFonts w:ascii="Arial" w:hAnsi="Arial" w:cs="Arial"/>
        </w:rPr>
        <w:t>Chang</w:t>
      </w:r>
      <w:r w:rsidR="00773957">
        <w:rPr>
          <w:rFonts w:ascii="Arial" w:hAnsi="Arial" w:cs="Arial"/>
        </w:rPr>
        <w:t>, 2023)</w:t>
      </w:r>
      <w:r w:rsidRPr="008F77A1">
        <w:rPr>
          <w:rFonts w:ascii="Arial" w:hAnsi="Arial" w:cs="Arial"/>
        </w:rPr>
        <w:t xml:space="preserve">. </w:t>
      </w:r>
      <w:r w:rsidRPr="008F77A1">
        <w:rPr>
          <w:rFonts w:ascii="Arial" w:hAnsi="Arial" w:cs="Arial"/>
        </w:rPr>
        <w:lastRenderedPageBreak/>
        <w:t>These challenges illustrate that even highly effective, evidence-driven leadership must continuously balance ethical considerations, equity, and long-term societal impact</w:t>
      </w:r>
      <w:r w:rsidR="00773957">
        <w:rPr>
          <w:rFonts w:ascii="Arial" w:hAnsi="Arial" w:cs="Arial"/>
        </w:rPr>
        <w:t xml:space="preserve"> (</w:t>
      </w:r>
      <w:r w:rsidR="00773957" w:rsidRPr="00326974">
        <w:rPr>
          <w:rFonts w:ascii="Arial" w:hAnsi="Arial" w:cs="Arial"/>
        </w:rPr>
        <w:t>Choi</w:t>
      </w:r>
      <w:r w:rsidR="00773957">
        <w:rPr>
          <w:rFonts w:ascii="Arial" w:hAnsi="Arial" w:cs="Arial"/>
        </w:rPr>
        <w:t xml:space="preserve"> and </w:t>
      </w:r>
      <w:r w:rsidR="00773957" w:rsidRPr="00326974">
        <w:rPr>
          <w:rFonts w:ascii="Arial" w:hAnsi="Arial" w:cs="Arial"/>
        </w:rPr>
        <w:t>Powers</w:t>
      </w:r>
      <w:r w:rsidR="00773957">
        <w:rPr>
          <w:rFonts w:ascii="Arial" w:hAnsi="Arial" w:cs="Arial"/>
        </w:rPr>
        <w:t>, 2021)</w:t>
      </w:r>
      <w:r w:rsidRPr="008F77A1">
        <w:rPr>
          <w:rFonts w:ascii="Arial" w:hAnsi="Arial" w:cs="Arial"/>
        </w:rPr>
        <w:t>.</w:t>
      </w:r>
    </w:p>
    <w:p w14:paraId="3E00B8C8" w14:textId="092A08AA" w:rsidR="008F77A1" w:rsidRPr="008F77A1" w:rsidRDefault="008F77A1" w:rsidP="004C0867">
      <w:pPr>
        <w:pStyle w:val="Heading1"/>
      </w:pPr>
      <w:bookmarkStart w:id="21" w:name="_Toc216684762"/>
      <w:r w:rsidRPr="008F77A1">
        <w:t>3.3 Leadership Styles in Canada</w:t>
      </w:r>
      <w:bookmarkEnd w:id="21"/>
      <w:r w:rsidRPr="008F77A1">
        <w:rPr>
          <w:rFonts w:cs="Arial"/>
        </w:rPr>
        <w:t xml:space="preserve"> </w:t>
      </w:r>
    </w:p>
    <w:p w14:paraId="3CBDB523" w14:textId="55B96344" w:rsidR="008F77A1" w:rsidRPr="008F77A1" w:rsidRDefault="008F77A1" w:rsidP="008F77A1">
      <w:pPr>
        <w:spacing w:line="360" w:lineRule="auto"/>
        <w:jc w:val="both"/>
        <w:rPr>
          <w:rFonts w:ascii="Arial" w:hAnsi="Arial" w:cs="Arial"/>
        </w:rPr>
      </w:pPr>
      <w:r w:rsidRPr="008F77A1">
        <w:rPr>
          <w:rFonts w:ascii="Arial" w:hAnsi="Arial" w:cs="Arial"/>
        </w:rPr>
        <w:t>Canada’s response to the COVID-19 pandemic was shaped by the leadership of Prime Minister Justin Trudeau at the federal level, alongside provincial premiers who exercised significant authority over public health</w:t>
      </w:r>
      <w:r w:rsidR="00097891">
        <w:rPr>
          <w:rFonts w:ascii="Arial" w:hAnsi="Arial" w:cs="Arial"/>
        </w:rPr>
        <w:t xml:space="preserve"> (</w:t>
      </w:r>
      <w:r w:rsidR="00097891" w:rsidRPr="00097891">
        <w:rPr>
          <w:rFonts w:ascii="Arial" w:hAnsi="Arial" w:cs="Arial"/>
          <w:lang w:eastAsia="en-GB"/>
        </w:rPr>
        <w:t>Osti</w:t>
      </w:r>
      <w:r w:rsidR="00097891">
        <w:rPr>
          <w:rFonts w:ascii="Arial" w:hAnsi="Arial" w:cs="Arial"/>
          <w:lang w:eastAsia="en-GB"/>
        </w:rPr>
        <w:t xml:space="preserve"> et al, 2023)</w:t>
      </w:r>
      <w:r w:rsidRPr="008F77A1">
        <w:rPr>
          <w:rFonts w:ascii="Arial" w:hAnsi="Arial" w:cs="Arial"/>
        </w:rPr>
        <w:t>. Trudeau’s leadership style can be characterised as collaborative, empathetic, and consensus-oriented, reflecting Canada’s federal governance structure</w:t>
      </w:r>
      <w:r w:rsidR="004F588E">
        <w:rPr>
          <w:rFonts w:ascii="Arial" w:hAnsi="Arial" w:cs="Arial"/>
        </w:rPr>
        <w:t xml:space="preserve"> (</w:t>
      </w:r>
      <w:r w:rsidR="004F588E" w:rsidRPr="004F588E">
        <w:rPr>
          <w:rFonts w:ascii="Arial" w:hAnsi="Arial" w:cs="Arial"/>
        </w:rPr>
        <w:t>Erhan</w:t>
      </w:r>
      <w:r w:rsidR="004F588E">
        <w:rPr>
          <w:rFonts w:ascii="Arial" w:hAnsi="Arial" w:cs="Arial"/>
        </w:rPr>
        <w:t xml:space="preserve"> and </w:t>
      </w:r>
      <w:r w:rsidR="004F588E" w:rsidRPr="004F588E">
        <w:rPr>
          <w:rFonts w:ascii="Arial" w:hAnsi="Arial" w:cs="Arial"/>
        </w:rPr>
        <w:t>Sıvış</w:t>
      </w:r>
      <w:r w:rsidR="004F588E">
        <w:rPr>
          <w:rFonts w:ascii="Arial" w:hAnsi="Arial" w:cs="Arial"/>
        </w:rPr>
        <w:t>, 2023)</w:t>
      </w:r>
      <w:r w:rsidRPr="008F77A1">
        <w:rPr>
          <w:rFonts w:ascii="Arial" w:hAnsi="Arial" w:cs="Arial"/>
        </w:rPr>
        <w:t>. Rather than adopting a directive or authoritarian approach, federal leadership focused on coordination, communication, and support, while respecting provincial jurisdiction over healthcare delivery</w:t>
      </w:r>
      <w:r w:rsidR="0029017F">
        <w:rPr>
          <w:rFonts w:ascii="Arial" w:hAnsi="Arial" w:cs="Arial"/>
        </w:rPr>
        <w:t xml:space="preserve"> (</w:t>
      </w:r>
      <w:r w:rsidR="0029017F" w:rsidRPr="00097891">
        <w:rPr>
          <w:rFonts w:ascii="Arial" w:hAnsi="Arial" w:cs="Arial"/>
          <w:lang w:eastAsia="en-GB"/>
        </w:rPr>
        <w:t>Osti</w:t>
      </w:r>
      <w:r w:rsidR="0029017F">
        <w:rPr>
          <w:rFonts w:ascii="Arial" w:hAnsi="Arial" w:cs="Arial"/>
          <w:lang w:eastAsia="en-GB"/>
        </w:rPr>
        <w:t xml:space="preserve"> et al, 2023)</w:t>
      </w:r>
      <w:r w:rsidRPr="008F77A1">
        <w:rPr>
          <w:rFonts w:ascii="Arial" w:hAnsi="Arial" w:cs="Arial"/>
        </w:rPr>
        <w:t>. This aligns closely with participative and distributed leadership theories, where authority is shared</w:t>
      </w:r>
      <w:r w:rsidR="00681A9C">
        <w:rPr>
          <w:rFonts w:ascii="Arial" w:hAnsi="Arial" w:cs="Arial"/>
        </w:rPr>
        <w:t>,</w:t>
      </w:r>
      <w:r w:rsidRPr="008F77A1">
        <w:rPr>
          <w:rFonts w:ascii="Arial" w:hAnsi="Arial" w:cs="Arial"/>
        </w:rPr>
        <w:t xml:space="preserve"> and collective decision-making is prioritised</w:t>
      </w:r>
      <w:r w:rsidR="00777C61">
        <w:rPr>
          <w:rFonts w:ascii="Arial" w:hAnsi="Arial" w:cs="Arial"/>
        </w:rPr>
        <w:t xml:space="preserve"> (</w:t>
      </w:r>
      <w:r w:rsidR="00777C61" w:rsidRPr="00777C61">
        <w:rPr>
          <w:rFonts w:ascii="Arial" w:hAnsi="Arial" w:cs="Arial"/>
        </w:rPr>
        <w:t>Gautier</w:t>
      </w:r>
      <w:r w:rsidR="00777C61">
        <w:rPr>
          <w:rFonts w:ascii="Arial" w:hAnsi="Arial" w:cs="Arial"/>
        </w:rPr>
        <w:t xml:space="preserve"> et al, 2023)</w:t>
      </w:r>
      <w:r w:rsidRPr="008F77A1">
        <w:rPr>
          <w:rFonts w:ascii="Arial" w:hAnsi="Arial" w:cs="Arial"/>
        </w:rPr>
        <w:t>.</w:t>
      </w:r>
    </w:p>
    <w:p w14:paraId="54DAC971" w14:textId="7BC05670" w:rsidR="008F77A1" w:rsidRPr="008F77A1" w:rsidRDefault="008F77A1" w:rsidP="008F77A1">
      <w:pPr>
        <w:spacing w:line="360" w:lineRule="auto"/>
        <w:jc w:val="both"/>
        <w:rPr>
          <w:rFonts w:ascii="Arial" w:hAnsi="Arial" w:cs="Arial"/>
        </w:rPr>
      </w:pPr>
      <w:r w:rsidRPr="008F77A1">
        <w:rPr>
          <w:rFonts w:ascii="Arial" w:hAnsi="Arial" w:cs="Arial"/>
        </w:rPr>
        <w:t>Throughout the pandemic, Trudeau emphasised empathy and reassurance in public communication, regularly addressing the nation with messages that acknowledged uncertainty and the social impact of restrictions</w:t>
      </w:r>
      <w:r w:rsidR="000170BE">
        <w:rPr>
          <w:rFonts w:ascii="Arial" w:hAnsi="Arial" w:cs="Arial"/>
        </w:rPr>
        <w:t xml:space="preserve"> (</w:t>
      </w:r>
      <w:r w:rsidR="000170BE" w:rsidRPr="000170BE">
        <w:rPr>
          <w:rFonts w:ascii="Arial" w:hAnsi="Arial" w:cs="Arial"/>
          <w:lang w:eastAsia="en-GB"/>
        </w:rPr>
        <w:t>Boily</w:t>
      </w:r>
      <w:r w:rsidR="000170BE">
        <w:rPr>
          <w:rFonts w:ascii="Arial" w:hAnsi="Arial" w:cs="Arial"/>
          <w:lang w:eastAsia="en-GB"/>
        </w:rPr>
        <w:t xml:space="preserve"> and </w:t>
      </w:r>
      <w:r w:rsidR="000170BE" w:rsidRPr="000170BE">
        <w:rPr>
          <w:rFonts w:ascii="Arial" w:hAnsi="Arial" w:cs="Arial"/>
          <w:lang w:eastAsia="en-GB"/>
        </w:rPr>
        <w:t>Brink</w:t>
      </w:r>
      <w:r w:rsidR="000170BE">
        <w:rPr>
          <w:rFonts w:ascii="Arial" w:hAnsi="Arial" w:cs="Arial"/>
          <w:lang w:eastAsia="en-GB"/>
        </w:rPr>
        <w:t>, 2025)</w:t>
      </w:r>
      <w:r w:rsidRPr="008F77A1">
        <w:rPr>
          <w:rFonts w:ascii="Arial" w:hAnsi="Arial" w:cs="Arial"/>
        </w:rPr>
        <w:t>. Scientific expertise played a visible role, with public health officials frequently accompanying political leaders during briefings</w:t>
      </w:r>
      <w:r w:rsidR="0029017F">
        <w:rPr>
          <w:rFonts w:ascii="Arial" w:hAnsi="Arial" w:cs="Arial"/>
        </w:rPr>
        <w:t xml:space="preserve"> </w:t>
      </w:r>
      <w:r w:rsidR="008B6BF7">
        <w:rPr>
          <w:rFonts w:ascii="Arial" w:hAnsi="Arial" w:cs="Arial"/>
        </w:rPr>
        <w:t>(</w:t>
      </w:r>
      <w:r w:rsidR="008B6BF7" w:rsidRPr="008B0CD7">
        <w:rPr>
          <w:rFonts w:ascii="Arial" w:hAnsi="Arial" w:cs="Arial"/>
          <w:lang w:eastAsia="en-GB"/>
        </w:rPr>
        <w:t>Fortier-Chouinard</w:t>
      </w:r>
      <w:r w:rsidR="008B6BF7">
        <w:rPr>
          <w:rFonts w:ascii="Arial" w:hAnsi="Arial" w:cs="Arial"/>
          <w:lang w:eastAsia="en-GB"/>
        </w:rPr>
        <w:t xml:space="preserve"> and </w:t>
      </w:r>
      <w:r w:rsidR="008B6BF7" w:rsidRPr="008B0CD7">
        <w:rPr>
          <w:rFonts w:ascii="Arial" w:hAnsi="Arial" w:cs="Arial"/>
          <w:lang w:eastAsia="en-GB"/>
        </w:rPr>
        <w:t>Duval</w:t>
      </w:r>
      <w:r w:rsidR="008B6BF7">
        <w:rPr>
          <w:rFonts w:ascii="Arial" w:hAnsi="Arial" w:cs="Arial"/>
        </w:rPr>
        <w:t>, 2025)</w:t>
      </w:r>
      <w:r w:rsidRPr="008F77A1">
        <w:rPr>
          <w:rFonts w:ascii="Arial" w:hAnsi="Arial" w:cs="Arial"/>
        </w:rPr>
        <w:t>. However, unlike South Korea, expert advice was often filtered through political negotiation across federal and provincial levels. Leadership was therefore less about command and more about facilitation, negotiation, and alignment</w:t>
      </w:r>
      <w:r w:rsidR="0029017F">
        <w:rPr>
          <w:rFonts w:ascii="Arial" w:hAnsi="Arial" w:cs="Arial"/>
        </w:rPr>
        <w:t xml:space="preserve"> (</w:t>
      </w:r>
      <w:r w:rsidR="0029017F" w:rsidRPr="00097891">
        <w:rPr>
          <w:rFonts w:ascii="Arial" w:hAnsi="Arial" w:cs="Arial"/>
          <w:lang w:eastAsia="en-GB"/>
        </w:rPr>
        <w:t>Osti</w:t>
      </w:r>
      <w:r w:rsidR="0029017F">
        <w:rPr>
          <w:rFonts w:ascii="Arial" w:hAnsi="Arial" w:cs="Arial"/>
          <w:lang w:eastAsia="en-GB"/>
        </w:rPr>
        <w:t xml:space="preserve"> et al, 2023)</w:t>
      </w:r>
      <w:r w:rsidRPr="008F77A1">
        <w:rPr>
          <w:rFonts w:ascii="Arial" w:hAnsi="Arial" w:cs="Arial"/>
        </w:rPr>
        <w:t>.</w:t>
      </w:r>
    </w:p>
    <w:p w14:paraId="686EEA10" w14:textId="6DC4BEAD" w:rsidR="008F77A1" w:rsidRPr="008F77A1" w:rsidRDefault="008F77A1" w:rsidP="008F77A1">
      <w:pPr>
        <w:spacing w:line="360" w:lineRule="auto"/>
        <w:jc w:val="both"/>
        <w:rPr>
          <w:rFonts w:ascii="Arial" w:hAnsi="Arial" w:cs="Arial"/>
        </w:rPr>
      </w:pPr>
      <w:r w:rsidRPr="008F77A1">
        <w:rPr>
          <w:rFonts w:ascii="Arial" w:hAnsi="Arial" w:cs="Arial"/>
        </w:rPr>
        <w:t>This decentralised leadership environment resulted in varied leadership styles across provinces, ranging from cautious and risk-averse to more economically focused approaches</w:t>
      </w:r>
      <w:r w:rsidR="0029017F">
        <w:rPr>
          <w:rFonts w:ascii="Arial" w:hAnsi="Arial" w:cs="Arial"/>
        </w:rPr>
        <w:t xml:space="preserve"> (</w:t>
      </w:r>
      <w:r w:rsidR="0029017F" w:rsidRPr="00097891">
        <w:rPr>
          <w:rFonts w:ascii="Arial" w:hAnsi="Arial" w:cs="Arial"/>
          <w:lang w:eastAsia="en-GB"/>
        </w:rPr>
        <w:t>Osti</w:t>
      </w:r>
      <w:r w:rsidR="0029017F">
        <w:rPr>
          <w:rFonts w:ascii="Arial" w:hAnsi="Arial" w:cs="Arial"/>
          <w:lang w:eastAsia="en-GB"/>
        </w:rPr>
        <w:t xml:space="preserve"> et al, 2023)</w:t>
      </w:r>
      <w:r w:rsidRPr="008F77A1">
        <w:rPr>
          <w:rFonts w:ascii="Arial" w:hAnsi="Arial" w:cs="Arial"/>
        </w:rPr>
        <w:t>. Federal leadership sought to unify these differences through national guidance, financial support, and vaccine procurement, rather than enforcement</w:t>
      </w:r>
      <w:r w:rsidR="001246EA">
        <w:rPr>
          <w:rFonts w:ascii="Arial" w:hAnsi="Arial" w:cs="Arial"/>
        </w:rPr>
        <w:t xml:space="preserve"> (</w:t>
      </w:r>
      <w:r w:rsidR="001246EA" w:rsidRPr="000170BE">
        <w:rPr>
          <w:rFonts w:ascii="Arial" w:hAnsi="Arial" w:cs="Arial"/>
          <w:lang w:eastAsia="en-GB"/>
        </w:rPr>
        <w:t>Boily</w:t>
      </w:r>
      <w:r w:rsidR="001246EA">
        <w:rPr>
          <w:rFonts w:ascii="Arial" w:hAnsi="Arial" w:cs="Arial"/>
          <w:lang w:eastAsia="en-GB"/>
        </w:rPr>
        <w:t xml:space="preserve"> and </w:t>
      </w:r>
      <w:r w:rsidR="001246EA" w:rsidRPr="000170BE">
        <w:rPr>
          <w:rFonts w:ascii="Arial" w:hAnsi="Arial" w:cs="Arial"/>
          <w:lang w:eastAsia="en-GB"/>
        </w:rPr>
        <w:t>Brink</w:t>
      </w:r>
      <w:r w:rsidR="001246EA">
        <w:rPr>
          <w:rFonts w:ascii="Arial" w:hAnsi="Arial" w:cs="Arial"/>
          <w:lang w:eastAsia="en-GB"/>
        </w:rPr>
        <w:t>, 2025)</w:t>
      </w:r>
      <w:r w:rsidRPr="008F77A1">
        <w:rPr>
          <w:rFonts w:ascii="Arial" w:hAnsi="Arial" w:cs="Arial"/>
        </w:rPr>
        <w:t>. The leadership approach remained consistent throughout the pandemic, prioritising cooperation and respect for democratic norms</w:t>
      </w:r>
      <w:r w:rsidR="004B3D38">
        <w:rPr>
          <w:rFonts w:ascii="Arial" w:hAnsi="Arial" w:cs="Arial"/>
        </w:rPr>
        <w:t xml:space="preserve"> (</w:t>
      </w:r>
      <w:r w:rsidR="004B3D38" w:rsidRPr="00777C61">
        <w:rPr>
          <w:rFonts w:ascii="Arial" w:hAnsi="Arial" w:cs="Arial"/>
        </w:rPr>
        <w:t>Gautier</w:t>
      </w:r>
      <w:r w:rsidR="004B3D38">
        <w:rPr>
          <w:rFonts w:ascii="Arial" w:hAnsi="Arial" w:cs="Arial"/>
        </w:rPr>
        <w:t xml:space="preserve"> et al, 2023)</w:t>
      </w:r>
      <w:r w:rsidRPr="008F77A1">
        <w:rPr>
          <w:rFonts w:ascii="Arial" w:hAnsi="Arial" w:cs="Arial"/>
        </w:rPr>
        <w:t>. While this style supported legitimacy and public trust, it also revealed structural constraints on decisive national leadership during fast-moving phases of the crisis</w:t>
      </w:r>
      <w:r w:rsidR="0029017F">
        <w:rPr>
          <w:rFonts w:ascii="Arial" w:hAnsi="Arial" w:cs="Arial"/>
        </w:rPr>
        <w:t xml:space="preserve"> (</w:t>
      </w:r>
      <w:r w:rsidR="0029017F" w:rsidRPr="004F588E">
        <w:rPr>
          <w:rFonts w:ascii="Arial" w:hAnsi="Arial" w:cs="Arial"/>
        </w:rPr>
        <w:t>Erhan</w:t>
      </w:r>
      <w:r w:rsidR="0029017F">
        <w:rPr>
          <w:rFonts w:ascii="Arial" w:hAnsi="Arial" w:cs="Arial"/>
        </w:rPr>
        <w:t xml:space="preserve"> and </w:t>
      </w:r>
      <w:r w:rsidR="0029017F" w:rsidRPr="004F588E">
        <w:rPr>
          <w:rFonts w:ascii="Arial" w:hAnsi="Arial" w:cs="Arial"/>
        </w:rPr>
        <w:t>Sıvış</w:t>
      </w:r>
      <w:r w:rsidR="0029017F">
        <w:rPr>
          <w:rFonts w:ascii="Arial" w:hAnsi="Arial" w:cs="Arial"/>
        </w:rPr>
        <w:t>, 2023)</w:t>
      </w:r>
      <w:r w:rsidRPr="008F77A1">
        <w:rPr>
          <w:rFonts w:ascii="Arial" w:hAnsi="Arial" w:cs="Arial"/>
        </w:rPr>
        <w:t>.</w:t>
      </w:r>
    </w:p>
    <w:p w14:paraId="021644E1" w14:textId="521D8C67" w:rsidR="008F77A1" w:rsidRPr="008F77A1" w:rsidRDefault="008F77A1" w:rsidP="004C0867">
      <w:pPr>
        <w:pStyle w:val="Heading2"/>
      </w:pPr>
      <w:bookmarkStart w:id="22" w:name="_Toc216684763"/>
      <w:r w:rsidRPr="008F77A1">
        <w:lastRenderedPageBreak/>
        <w:t>3.3.</w:t>
      </w:r>
      <w:r w:rsidR="004C0867">
        <w:t>1</w:t>
      </w:r>
      <w:r w:rsidRPr="008F77A1">
        <w:t xml:space="preserve"> Advantages of Canada’s Leadership Style</w:t>
      </w:r>
      <w:bookmarkEnd w:id="22"/>
      <w:r w:rsidRPr="008F77A1">
        <w:t xml:space="preserve"> </w:t>
      </w:r>
    </w:p>
    <w:p w14:paraId="2B5D0FC8" w14:textId="0FA13D54" w:rsidR="008F77A1" w:rsidRPr="008F77A1" w:rsidRDefault="008F77A1" w:rsidP="008F77A1">
      <w:pPr>
        <w:spacing w:line="360" w:lineRule="auto"/>
        <w:jc w:val="both"/>
        <w:rPr>
          <w:rFonts w:ascii="Arial" w:hAnsi="Arial" w:cs="Arial"/>
        </w:rPr>
      </w:pPr>
      <w:r w:rsidRPr="008F77A1">
        <w:rPr>
          <w:rFonts w:ascii="Arial" w:hAnsi="Arial" w:cs="Arial"/>
        </w:rPr>
        <w:t xml:space="preserve">One of the primary advantages of Canada’s leadership approach was its emphasis on empathy, transparency, and public trust. Regular communication and visible concern for citizens’ </w:t>
      </w:r>
      <w:r>
        <w:rPr>
          <w:rFonts w:ascii="Arial" w:hAnsi="Arial" w:cs="Arial"/>
        </w:rPr>
        <w:t>well-being</w:t>
      </w:r>
      <w:r w:rsidRPr="008F77A1">
        <w:rPr>
          <w:rFonts w:ascii="Arial" w:hAnsi="Arial" w:cs="Arial"/>
        </w:rPr>
        <w:t xml:space="preserve"> helped foster compliance with public health measures</w:t>
      </w:r>
      <w:r w:rsidR="0029017F">
        <w:rPr>
          <w:rFonts w:ascii="Arial" w:hAnsi="Arial" w:cs="Arial"/>
        </w:rPr>
        <w:t xml:space="preserve"> (</w:t>
      </w:r>
      <w:r w:rsidR="0029017F" w:rsidRPr="004F588E">
        <w:rPr>
          <w:rFonts w:ascii="Arial" w:hAnsi="Arial" w:cs="Arial"/>
        </w:rPr>
        <w:t>Erhan</w:t>
      </w:r>
      <w:r w:rsidR="0029017F">
        <w:rPr>
          <w:rFonts w:ascii="Arial" w:hAnsi="Arial" w:cs="Arial"/>
        </w:rPr>
        <w:t xml:space="preserve"> and </w:t>
      </w:r>
      <w:r w:rsidR="0029017F" w:rsidRPr="004F588E">
        <w:rPr>
          <w:rFonts w:ascii="Arial" w:hAnsi="Arial" w:cs="Arial"/>
        </w:rPr>
        <w:t>Sıvış</w:t>
      </w:r>
      <w:r w:rsidR="0029017F">
        <w:rPr>
          <w:rFonts w:ascii="Arial" w:hAnsi="Arial" w:cs="Arial"/>
        </w:rPr>
        <w:t>, 2023)</w:t>
      </w:r>
      <w:r w:rsidRPr="008F77A1">
        <w:rPr>
          <w:rFonts w:ascii="Arial" w:hAnsi="Arial" w:cs="Arial"/>
        </w:rPr>
        <w:t>. Leadership theories suggest that empathetic leadership can strengthen social cohesion during crises, and Canada’s approach contributed to relatively high levels of public trust in institutions</w:t>
      </w:r>
      <w:r w:rsidR="0029017F">
        <w:rPr>
          <w:rFonts w:ascii="Arial" w:hAnsi="Arial" w:cs="Arial"/>
        </w:rPr>
        <w:t xml:space="preserve"> (</w:t>
      </w:r>
      <w:r w:rsidR="0029017F" w:rsidRPr="00097891">
        <w:rPr>
          <w:rFonts w:ascii="Arial" w:hAnsi="Arial" w:cs="Arial"/>
          <w:lang w:eastAsia="en-GB"/>
        </w:rPr>
        <w:t>Osti</w:t>
      </w:r>
      <w:r w:rsidR="0029017F">
        <w:rPr>
          <w:rFonts w:ascii="Arial" w:hAnsi="Arial" w:cs="Arial"/>
          <w:lang w:eastAsia="en-GB"/>
        </w:rPr>
        <w:t xml:space="preserve"> et al, 2023)</w:t>
      </w:r>
      <w:r w:rsidRPr="008F77A1">
        <w:rPr>
          <w:rFonts w:ascii="Arial" w:hAnsi="Arial" w:cs="Arial"/>
        </w:rPr>
        <w:t>.</w:t>
      </w:r>
    </w:p>
    <w:p w14:paraId="2C332D4C" w14:textId="6F31A1B6" w:rsidR="008F77A1" w:rsidRPr="008F77A1" w:rsidRDefault="008F77A1" w:rsidP="008F77A1">
      <w:pPr>
        <w:spacing w:line="360" w:lineRule="auto"/>
        <w:jc w:val="both"/>
        <w:rPr>
          <w:rFonts w:ascii="Arial" w:hAnsi="Arial" w:cs="Arial"/>
        </w:rPr>
      </w:pPr>
      <w:r w:rsidRPr="008F77A1">
        <w:rPr>
          <w:rFonts w:ascii="Arial" w:hAnsi="Arial" w:cs="Arial"/>
        </w:rPr>
        <w:t>Another advantage was the collaborative intergovernmental approach, which allowed provinces to tailor responses to local conditions. Federal leadership supported this by providing financial assistance, coordinating vaccine procurement, and offering national guidance without coercion</w:t>
      </w:r>
      <w:r w:rsidR="004B3D38">
        <w:rPr>
          <w:rFonts w:ascii="Arial" w:hAnsi="Arial" w:cs="Arial"/>
        </w:rPr>
        <w:t xml:space="preserve"> (</w:t>
      </w:r>
      <w:r w:rsidR="004B3D38" w:rsidRPr="00777C61">
        <w:rPr>
          <w:rFonts w:ascii="Arial" w:hAnsi="Arial" w:cs="Arial"/>
        </w:rPr>
        <w:t>Gautier</w:t>
      </w:r>
      <w:r w:rsidR="004B3D38">
        <w:rPr>
          <w:rFonts w:ascii="Arial" w:hAnsi="Arial" w:cs="Arial"/>
        </w:rPr>
        <w:t xml:space="preserve"> et al, 2023)</w:t>
      </w:r>
      <w:r w:rsidRPr="008F77A1">
        <w:rPr>
          <w:rFonts w:ascii="Arial" w:hAnsi="Arial" w:cs="Arial"/>
        </w:rPr>
        <w:t>. This respect for constitutional boundaries preserved democratic legitimacy and avoided political confrontation</w:t>
      </w:r>
      <w:r w:rsidR="001246EA">
        <w:rPr>
          <w:rFonts w:ascii="Arial" w:hAnsi="Arial" w:cs="Arial"/>
        </w:rPr>
        <w:t xml:space="preserve"> (</w:t>
      </w:r>
      <w:r w:rsidR="001246EA" w:rsidRPr="000170BE">
        <w:rPr>
          <w:rFonts w:ascii="Arial" w:hAnsi="Arial" w:cs="Arial"/>
          <w:lang w:eastAsia="en-GB"/>
        </w:rPr>
        <w:t>Boily</w:t>
      </w:r>
      <w:r w:rsidR="001246EA">
        <w:rPr>
          <w:rFonts w:ascii="Arial" w:hAnsi="Arial" w:cs="Arial"/>
          <w:lang w:eastAsia="en-GB"/>
        </w:rPr>
        <w:t xml:space="preserve"> and </w:t>
      </w:r>
      <w:r w:rsidR="001246EA" w:rsidRPr="000170BE">
        <w:rPr>
          <w:rFonts w:ascii="Arial" w:hAnsi="Arial" w:cs="Arial"/>
          <w:lang w:eastAsia="en-GB"/>
        </w:rPr>
        <w:t>Brink</w:t>
      </w:r>
      <w:r w:rsidR="001246EA">
        <w:rPr>
          <w:rFonts w:ascii="Arial" w:hAnsi="Arial" w:cs="Arial"/>
          <w:lang w:eastAsia="en-GB"/>
        </w:rPr>
        <w:t>, 2025)</w:t>
      </w:r>
      <w:r w:rsidRPr="008F77A1">
        <w:rPr>
          <w:rFonts w:ascii="Arial" w:hAnsi="Arial" w:cs="Arial"/>
        </w:rPr>
        <w:t>. The decentralised leadership model also encouraged innovation at the provincial level, with some regions developing effective testing and vaccination strategies that could be adapted elsewhere. Overall, Canada’s leadership style prioritised unity, cooperation, and social responsibility</w:t>
      </w:r>
      <w:r w:rsidR="0029017F">
        <w:rPr>
          <w:rFonts w:ascii="Arial" w:hAnsi="Arial" w:cs="Arial"/>
        </w:rPr>
        <w:t xml:space="preserve"> (</w:t>
      </w:r>
      <w:r w:rsidR="0029017F" w:rsidRPr="00097891">
        <w:rPr>
          <w:rFonts w:ascii="Arial" w:hAnsi="Arial" w:cs="Arial"/>
          <w:lang w:eastAsia="en-GB"/>
        </w:rPr>
        <w:t>Osti</w:t>
      </w:r>
      <w:r w:rsidR="0029017F">
        <w:rPr>
          <w:rFonts w:ascii="Arial" w:hAnsi="Arial" w:cs="Arial"/>
          <w:lang w:eastAsia="en-GB"/>
        </w:rPr>
        <w:t xml:space="preserve"> et al, 2023)</w:t>
      </w:r>
      <w:r w:rsidRPr="008F77A1">
        <w:rPr>
          <w:rFonts w:ascii="Arial" w:hAnsi="Arial" w:cs="Arial"/>
        </w:rPr>
        <w:t>.</w:t>
      </w:r>
    </w:p>
    <w:p w14:paraId="05AEEE42" w14:textId="13EFBC50" w:rsidR="008F77A1" w:rsidRDefault="008F77A1" w:rsidP="004C0867">
      <w:pPr>
        <w:pStyle w:val="Heading2"/>
      </w:pPr>
      <w:bookmarkStart w:id="23" w:name="_Toc216684764"/>
      <w:r w:rsidRPr="008F77A1">
        <w:t>3.3.</w:t>
      </w:r>
      <w:r w:rsidR="004C0867">
        <w:t>2</w:t>
      </w:r>
      <w:r w:rsidRPr="008F77A1">
        <w:t xml:space="preserve"> Disadvantages and Limitations of Canada’s Leadership Style</w:t>
      </w:r>
      <w:bookmarkEnd w:id="23"/>
      <w:r w:rsidRPr="008F77A1">
        <w:t xml:space="preserve"> </w:t>
      </w:r>
    </w:p>
    <w:p w14:paraId="19C0BE34" w14:textId="37E12609" w:rsidR="008F77A1" w:rsidRPr="008F77A1" w:rsidRDefault="008F77A1" w:rsidP="008F77A1">
      <w:pPr>
        <w:spacing w:line="360" w:lineRule="auto"/>
        <w:jc w:val="both"/>
        <w:rPr>
          <w:rFonts w:ascii="Arial" w:hAnsi="Arial" w:cs="Arial"/>
        </w:rPr>
      </w:pPr>
      <w:r w:rsidRPr="008F77A1">
        <w:rPr>
          <w:rFonts w:ascii="Arial" w:hAnsi="Arial" w:cs="Arial"/>
        </w:rPr>
        <w:t xml:space="preserve">Despite these strengths, Canada’s leadership approach also presented notable limitations. The lack of </w:t>
      </w:r>
      <w:r>
        <w:rPr>
          <w:rFonts w:ascii="Arial" w:hAnsi="Arial" w:cs="Arial"/>
        </w:rPr>
        <w:t xml:space="preserve">a </w:t>
      </w:r>
      <w:r w:rsidRPr="008F77A1">
        <w:rPr>
          <w:rFonts w:ascii="Arial" w:hAnsi="Arial" w:cs="Arial"/>
        </w:rPr>
        <w:t>strong central authority restricted the federal government’s ability to enforce uniform public health measures, resulting in inconsistent policies across provinces</w:t>
      </w:r>
      <w:r w:rsidR="0029017F">
        <w:rPr>
          <w:rFonts w:ascii="Arial" w:hAnsi="Arial" w:cs="Arial"/>
        </w:rPr>
        <w:t xml:space="preserve"> </w:t>
      </w:r>
      <w:r w:rsidR="008B6BF7">
        <w:rPr>
          <w:rFonts w:ascii="Arial" w:hAnsi="Arial" w:cs="Arial"/>
        </w:rPr>
        <w:t>(</w:t>
      </w:r>
      <w:r w:rsidR="008B6BF7" w:rsidRPr="008B0CD7">
        <w:rPr>
          <w:rFonts w:ascii="Arial" w:hAnsi="Arial" w:cs="Arial"/>
          <w:lang w:eastAsia="en-GB"/>
        </w:rPr>
        <w:t>Fortier-Chouinard</w:t>
      </w:r>
      <w:r w:rsidR="008B6BF7">
        <w:rPr>
          <w:rFonts w:ascii="Arial" w:hAnsi="Arial" w:cs="Arial"/>
          <w:lang w:eastAsia="en-GB"/>
        </w:rPr>
        <w:t xml:space="preserve"> and </w:t>
      </w:r>
      <w:r w:rsidR="008B6BF7" w:rsidRPr="008B0CD7">
        <w:rPr>
          <w:rFonts w:ascii="Arial" w:hAnsi="Arial" w:cs="Arial"/>
          <w:lang w:eastAsia="en-GB"/>
        </w:rPr>
        <w:t>Duval</w:t>
      </w:r>
      <w:r w:rsidR="008B6BF7">
        <w:rPr>
          <w:rFonts w:ascii="Arial" w:hAnsi="Arial" w:cs="Arial"/>
        </w:rPr>
        <w:t>, 2025)</w:t>
      </w:r>
      <w:r w:rsidRPr="008F77A1">
        <w:rPr>
          <w:rFonts w:ascii="Arial" w:hAnsi="Arial" w:cs="Arial"/>
        </w:rPr>
        <w:t>. This variation contributed to public confusion and uneven health outcomes. In periods of rapid case escalation, the consensus-based leadership model slowed decision-making, reducing the effectiveness of early intervention</w:t>
      </w:r>
      <w:r w:rsidR="0029017F">
        <w:rPr>
          <w:rFonts w:ascii="Arial" w:hAnsi="Arial" w:cs="Arial"/>
        </w:rPr>
        <w:t xml:space="preserve"> (</w:t>
      </w:r>
      <w:r w:rsidR="0029017F" w:rsidRPr="004F588E">
        <w:rPr>
          <w:rFonts w:ascii="Arial" w:hAnsi="Arial" w:cs="Arial"/>
        </w:rPr>
        <w:t>Erhan</w:t>
      </w:r>
      <w:r w:rsidR="0029017F">
        <w:rPr>
          <w:rFonts w:ascii="Arial" w:hAnsi="Arial" w:cs="Arial"/>
        </w:rPr>
        <w:t xml:space="preserve"> and </w:t>
      </w:r>
      <w:r w:rsidR="0029017F" w:rsidRPr="004F588E">
        <w:rPr>
          <w:rFonts w:ascii="Arial" w:hAnsi="Arial" w:cs="Arial"/>
        </w:rPr>
        <w:t>Sıvış</w:t>
      </w:r>
      <w:r w:rsidR="0029017F">
        <w:rPr>
          <w:rFonts w:ascii="Arial" w:hAnsi="Arial" w:cs="Arial"/>
        </w:rPr>
        <w:t>, 2023)</w:t>
      </w:r>
      <w:r w:rsidRPr="008F77A1">
        <w:rPr>
          <w:rFonts w:ascii="Arial" w:hAnsi="Arial" w:cs="Arial"/>
        </w:rPr>
        <w:t>.</w:t>
      </w:r>
    </w:p>
    <w:p w14:paraId="124D9A06" w14:textId="01EAAA06" w:rsidR="008F77A1" w:rsidRPr="008F77A1" w:rsidRDefault="008F77A1" w:rsidP="008F77A1">
      <w:pPr>
        <w:spacing w:line="360" w:lineRule="auto"/>
        <w:jc w:val="both"/>
        <w:rPr>
          <w:rFonts w:ascii="Arial" w:hAnsi="Arial" w:cs="Arial"/>
        </w:rPr>
      </w:pPr>
      <w:r w:rsidRPr="008F77A1">
        <w:rPr>
          <w:rFonts w:ascii="Arial" w:hAnsi="Arial" w:cs="Arial"/>
        </w:rPr>
        <w:t>Another significant limitation was the fragmentation of accountability. With leadership responsibilities spread across federal and provincial levels, it was often unclear who was responsible for policy failures, particularly in long-term care settings</w:t>
      </w:r>
      <w:r w:rsidR="004B3D38">
        <w:rPr>
          <w:rFonts w:ascii="Arial" w:hAnsi="Arial" w:cs="Arial"/>
        </w:rPr>
        <w:t xml:space="preserve"> (</w:t>
      </w:r>
      <w:r w:rsidR="004B3D38" w:rsidRPr="00777C61">
        <w:rPr>
          <w:rFonts w:ascii="Arial" w:hAnsi="Arial" w:cs="Arial"/>
        </w:rPr>
        <w:t>Gautier</w:t>
      </w:r>
      <w:r w:rsidR="004B3D38">
        <w:rPr>
          <w:rFonts w:ascii="Arial" w:hAnsi="Arial" w:cs="Arial"/>
        </w:rPr>
        <w:t xml:space="preserve"> et al, 2023)</w:t>
      </w:r>
      <w:r w:rsidRPr="008F77A1">
        <w:rPr>
          <w:rFonts w:ascii="Arial" w:hAnsi="Arial" w:cs="Arial"/>
        </w:rPr>
        <w:t>. This diffusion of responsibility weakened crisis governance and delayed reforms</w:t>
      </w:r>
      <w:r w:rsidR="001246EA">
        <w:rPr>
          <w:rFonts w:ascii="Arial" w:hAnsi="Arial" w:cs="Arial"/>
        </w:rPr>
        <w:t xml:space="preserve"> (</w:t>
      </w:r>
      <w:r w:rsidR="001246EA" w:rsidRPr="000170BE">
        <w:rPr>
          <w:rFonts w:ascii="Arial" w:hAnsi="Arial" w:cs="Arial"/>
          <w:lang w:eastAsia="en-GB"/>
        </w:rPr>
        <w:t>Boily</w:t>
      </w:r>
      <w:r w:rsidR="001246EA">
        <w:rPr>
          <w:rFonts w:ascii="Arial" w:hAnsi="Arial" w:cs="Arial"/>
          <w:lang w:eastAsia="en-GB"/>
        </w:rPr>
        <w:t xml:space="preserve"> and </w:t>
      </w:r>
      <w:r w:rsidR="001246EA" w:rsidRPr="000170BE">
        <w:rPr>
          <w:rFonts w:ascii="Arial" w:hAnsi="Arial" w:cs="Arial"/>
          <w:lang w:eastAsia="en-GB"/>
        </w:rPr>
        <w:t>Brink</w:t>
      </w:r>
      <w:r w:rsidR="001246EA">
        <w:rPr>
          <w:rFonts w:ascii="Arial" w:hAnsi="Arial" w:cs="Arial"/>
          <w:lang w:eastAsia="en-GB"/>
        </w:rPr>
        <w:t>, 2025)</w:t>
      </w:r>
      <w:r w:rsidRPr="008F77A1">
        <w:rPr>
          <w:rFonts w:ascii="Arial" w:hAnsi="Arial" w:cs="Arial"/>
        </w:rPr>
        <w:t>. Furthermore, the emphasis on collaboration sometimes came at the expense of assertiveness, with leadership reluctant to challenge provincial decisions even when national coordination might have improved outcomes</w:t>
      </w:r>
      <w:r w:rsidR="0029017F">
        <w:rPr>
          <w:rFonts w:ascii="Arial" w:hAnsi="Arial" w:cs="Arial"/>
        </w:rPr>
        <w:t xml:space="preserve"> (</w:t>
      </w:r>
      <w:r w:rsidR="0029017F" w:rsidRPr="00097891">
        <w:rPr>
          <w:rFonts w:ascii="Arial" w:hAnsi="Arial" w:cs="Arial"/>
          <w:lang w:eastAsia="en-GB"/>
        </w:rPr>
        <w:t>Osti</w:t>
      </w:r>
      <w:r w:rsidR="0029017F">
        <w:rPr>
          <w:rFonts w:ascii="Arial" w:hAnsi="Arial" w:cs="Arial"/>
          <w:lang w:eastAsia="en-GB"/>
        </w:rPr>
        <w:t xml:space="preserve"> et al, 2023)</w:t>
      </w:r>
      <w:r w:rsidRPr="008F77A1">
        <w:rPr>
          <w:rFonts w:ascii="Arial" w:hAnsi="Arial" w:cs="Arial"/>
        </w:rPr>
        <w:t>.</w:t>
      </w:r>
    </w:p>
    <w:p w14:paraId="461A9672" w14:textId="7EC1D377" w:rsidR="008F77A1" w:rsidRPr="008F77A1" w:rsidRDefault="008F77A1" w:rsidP="008F77A1">
      <w:pPr>
        <w:spacing w:line="360" w:lineRule="auto"/>
        <w:jc w:val="both"/>
        <w:rPr>
          <w:rFonts w:ascii="Arial" w:hAnsi="Arial" w:cs="Arial"/>
        </w:rPr>
      </w:pPr>
      <w:r w:rsidRPr="008F77A1">
        <w:rPr>
          <w:rFonts w:ascii="Arial" w:hAnsi="Arial" w:cs="Arial"/>
        </w:rPr>
        <w:lastRenderedPageBreak/>
        <w:t>Finally, while empathetic leadership supported public morale, it was less effective in addressing misinformation and pandemic fatigue over time</w:t>
      </w:r>
      <w:r w:rsidR="008F13B2">
        <w:rPr>
          <w:rFonts w:ascii="Arial" w:hAnsi="Arial" w:cs="Arial"/>
        </w:rPr>
        <w:t xml:space="preserve"> (</w:t>
      </w:r>
      <w:r w:rsidR="008F13B2" w:rsidRPr="000170BE">
        <w:rPr>
          <w:rFonts w:ascii="Arial" w:hAnsi="Arial" w:cs="Arial"/>
          <w:lang w:eastAsia="en-GB"/>
        </w:rPr>
        <w:t>Boily</w:t>
      </w:r>
      <w:r w:rsidR="008F13B2">
        <w:rPr>
          <w:rFonts w:ascii="Arial" w:hAnsi="Arial" w:cs="Arial"/>
          <w:lang w:eastAsia="en-GB"/>
        </w:rPr>
        <w:t xml:space="preserve"> and </w:t>
      </w:r>
      <w:r w:rsidR="008F13B2" w:rsidRPr="000170BE">
        <w:rPr>
          <w:rFonts w:ascii="Arial" w:hAnsi="Arial" w:cs="Arial"/>
          <w:lang w:eastAsia="en-GB"/>
        </w:rPr>
        <w:t>Brink</w:t>
      </w:r>
      <w:r w:rsidR="008F13B2">
        <w:rPr>
          <w:rFonts w:ascii="Arial" w:hAnsi="Arial" w:cs="Arial"/>
          <w:lang w:eastAsia="en-GB"/>
        </w:rPr>
        <w:t>, 2025)</w:t>
      </w:r>
      <w:r w:rsidRPr="008F77A1">
        <w:rPr>
          <w:rFonts w:ascii="Arial" w:hAnsi="Arial" w:cs="Arial"/>
        </w:rPr>
        <w:t>. As restrictions persisted, the absence of a clear and unified national direction undermined sustained public engagement</w:t>
      </w:r>
      <w:r w:rsidR="004B3D38">
        <w:rPr>
          <w:rFonts w:ascii="Arial" w:hAnsi="Arial" w:cs="Arial"/>
        </w:rPr>
        <w:t xml:space="preserve"> (</w:t>
      </w:r>
      <w:r w:rsidR="008B0CD7" w:rsidRPr="008B0CD7">
        <w:rPr>
          <w:rFonts w:ascii="Arial" w:hAnsi="Arial" w:cs="Arial"/>
          <w:lang w:eastAsia="en-GB"/>
        </w:rPr>
        <w:t>Fortier-Chouinard</w:t>
      </w:r>
      <w:r w:rsidR="008B0CD7">
        <w:rPr>
          <w:rFonts w:ascii="Arial" w:hAnsi="Arial" w:cs="Arial"/>
          <w:lang w:eastAsia="en-GB"/>
        </w:rPr>
        <w:t xml:space="preserve"> and </w:t>
      </w:r>
      <w:r w:rsidR="008B0CD7" w:rsidRPr="008B0CD7">
        <w:rPr>
          <w:rFonts w:ascii="Arial" w:hAnsi="Arial" w:cs="Arial"/>
          <w:lang w:eastAsia="en-GB"/>
        </w:rPr>
        <w:t>Duval</w:t>
      </w:r>
      <w:r w:rsidR="004B3D38">
        <w:rPr>
          <w:rFonts w:ascii="Arial" w:hAnsi="Arial" w:cs="Arial"/>
        </w:rPr>
        <w:t>, 202</w:t>
      </w:r>
      <w:r w:rsidR="008B0CD7">
        <w:rPr>
          <w:rFonts w:ascii="Arial" w:hAnsi="Arial" w:cs="Arial"/>
        </w:rPr>
        <w:t>5</w:t>
      </w:r>
      <w:r w:rsidR="004B3D38">
        <w:rPr>
          <w:rFonts w:ascii="Arial" w:hAnsi="Arial" w:cs="Arial"/>
        </w:rPr>
        <w:t>)</w:t>
      </w:r>
      <w:r w:rsidRPr="008F77A1">
        <w:rPr>
          <w:rFonts w:ascii="Arial" w:hAnsi="Arial" w:cs="Arial"/>
        </w:rPr>
        <w:t>. These limitations highlight that while collaborative leadership supports legitimacy and trust, it may be less effective in fast-moving crises that require decisive and coordinated national action</w:t>
      </w:r>
      <w:r w:rsidR="0029017F">
        <w:rPr>
          <w:rFonts w:ascii="Arial" w:hAnsi="Arial" w:cs="Arial"/>
        </w:rPr>
        <w:t xml:space="preserve"> (</w:t>
      </w:r>
      <w:r w:rsidR="0029017F" w:rsidRPr="004F588E">
        <w:rPr>
          <w:rFonts w:ascii="Arial" w:hAnsi="Arial" w:cs="Arial"/>
        </w:rPr>
        <w:t>Erhan</w:t>
      </w:r>
      <w:r w:rsidR="0029017F">
        <w:rPr>
          <w:rFonts w:ascii="Arial" w:hAnsi="Arial" w:cs="Arial"/>
        </w:rPr>
        <w:t xml:space="preserve"> and </w:t>
      </w:r>
      <w:r w:rsidR="0029017F" w:rsidRPr="004F588E">
        <w:rPr>
          <w:rFonts w:ascii="Arial" w:hAnsi="Arial" w:cs="Arial"/>
        </w:rPr>
        <w:t>Sıvış</w:t>
      </w:r>
      <w:r w:rsidR="0029017F">
        <w:rPr>
          <w:rFonts w:ascii="Arial" w:hAnsi="Arial" w:cs="Arial"/>
        </w:rPr>
        <w:t>, 2023)</w:t>
      </w:r>
      <w:r w:rsidRPr="008F77A1">
        <w:rPr>
          <w:rFonts w:ascii="Arial" w:hAnsi="Arial" w:cs="Arial"/>
        </w:rPr>
        <w:t>.</w:t>
      </w:r>
    </w:p>
    <w:p w14:paraId="4247FA1D" w14:textId="0883EE80" w:rsidR="002117B3" w:rsidRPr="002117B3" w:rsidRDefault="004C0867" w:rsidP="004C0867">
      <w:pPr>
        <w:pStyle w:val="Heading1"/>
      </w:pPr>
      <w:bookmarkStart w:id="24" w:name="_Toc216684765"/>
      <w:r>
        <w:t xml:space="preserve">4. </w:t>
      </w:r>
      <w:r w:rsidR="002117B3" w:rsidRPr="002117B3">
        <w:t>Conclusion</w:t>
      </w:r>
      <w:bookmarkEnd w:id="24"/>
    </w:p>
    <w:p w14:paraId="5E5302B9" w14:textId="7FD61160" w:rsidR="002117B3" w:rsidRPr="002117B3" w:rsidRDefault="002117B3" w:rsidP="002117B3">
      <w:pPr>
        <w:spacing w:line="360" w:lineRule="auto"/>
        <w:jc w:val="both"/>
        <w:rPr>
          <w:rFonts w:ascii="Arial" w:hAnsi="Arial" w:cs="Arial"/>
        </w:rPr>
      </w:pPr>
      <w:r w:rsidRPr="002117B3">
        <w:rPr>
          <w:rFonts w:ascii="Arial" w:hAnsi="Arial" w:cs="Arial"/>
        </w:rPr>
        <w:t>This report has examined how differences in healthcare system organisation and leadership styles shaped the COVID-19 responses of Spain, South Korea, and Canada. The analysis demonstrated that system typology</w:t>
      </w:r>
      <w:r w:rsidR="00607AA9">
        <w:rPr>
          <w:rFonts w:ascii="Arial" w:hAnsi="Arial" w:cs="Arial"/>
        </w:rPr>
        <w:t xml:space="preserve">, </w:t>
      </w:r>
      <w:r w:rsidRPr="002117B3">
        <w:rPr>
          <w:rFonts w:ascii="Arial" w:hAnsi="Arial" w:cs="Arial"/>
        </w:rPr>
        <w:t>whether more centralised or decentralised</w:t>
      </w:r>
      <w:r>
        <w:rPr>
          <w:rFonts w:ascii="Arial" w:hAnsi="Arial" w:cs="Arial"/>
        </w:rPr>
        <w:t xml:space="preserve">, </w:t>
      </w:r>
      <w:r w:rsidRPr="002117B3">
        <w:rPr>
          <w:rFonts w:ascii="Arial" w:hAnsi="Arial" w:cs="Arial"/>
        </w:rPr>
        <w:t>played a critical role in determining the speed, coordination, and effectiveness of public health interventions. Spain’s hybrid model illustrated both the benefits of temporary centralisation during acute crises and the challenges of managing regional autonomy in a decentralised state. South Korea’s highly integrated and centrally coordinated system, supported by strong digital infrastructure, enabled rapid containment without prolonged lockdowns. In contrast, Canada’s decentralised federal system prioritised regional autonomy and collaboration, allowing local adaptation but resulting in policy variation and coordination challenges.</w:t>
      </w:r>
    </w:p>
    <w:p w14:paraId="0FE8B1E2" w14:textId="63467DF4" w:rsidR="004C0867" w:rsidRPr="009713B3" w:rsidRDefault="002117B3" w:rsidP="009713B3">
      <w:pPr>
        <w:spacing w:line="360" w:lineRule="auto"/>
        <w:jc w:val="both"/>
        <w:rPr>
          <w:rFonts w:ascii="Arial" w:hAnsi="Arial" w:cs="Arial"/>
        </w:rPr>
      </w:pPr>
      <w:r w:rsidRPr="002117B3">
        <w:rPr>
          <w:rFonts w:ascii="Arial" w:hAnsi="Arial" w:cs="Arial"/>
        </w:rPr>
        <w:t xml:space="preserve">The leadership analysis further highlighted that effective pandemic management depends not only on system design but also on leadership approach. Directive and authoritative leadership proved effective in the early emergency phase, as seen in Spain, while South Korea’s technocratic and evidence-based leadership fostered public trust and sustained compliance. Canada’s collaborative and empathetic leadership supported legitimacy and social cohesion but limited decisive national action. Overall, the report underscores that no single model is universally optimal. Instead, </w:t>
      </w:r>
      <w:r>
        <w:rPr>
          <w:rFonts w:ascii="Arial" w:hAnsi="Arial" w:cs="Arial"/>
        </w:rPr>
        <w:t xml:space="preserve">a </w:t>
      </w:r>
      <w:r w:rsidRPr="002117B3">
        <w:rPr>
          <w:rFonts w:ascii="Arial" w:hAnsi="Arial" w:cs="Arial"/>
        </w:rPr>
        <w:t>successful pandemic response requires adaptable leadership, strong intergovernmental coordination, clear communication, and the capacity to balance central authority with local responsiveness. These lessons are critical for strengthening health system resilience and leadership preparedness for future global health emergencies</w:t>
      </w:r>
      <w:r w:rsidR="0003214C">
        <w:rPr>
          <w:rFonts w:ascii="Arial" w:hAnsi="Arial" w:cs="Arial"/>
        </w:rPr>
        <w:t>.</w:t>
      </w:r>
    </w:p>
    <w:p w14:paraId="65047775" w14:textId="1A5FA0A9" w:rsidR="00F36A9E" w:rsidRPr="009713B3" w:rsidRDefault="00F36A9E" w:rsidP="009713B3">
      <w:pPr>
        <w:pStyle w:val="Heading1"/>
        <w:spacing w:line="360" w:lineRule="auto"/>
        <w:jc w:val="both"/>
        <w:rPr>
          <w:rFonts w:cs="Arial"/>
        </w:rPr>
      </w:pPr>
      <w:bookmarkStart w:id="25" w:name="_Toc216684766"/>
      <w:r w:rsidRPr="009713B3">
        <w:rPr>
          <w:rFonts w:cs="Arial"/>
        </w:rPr>
        <w:lastRenderedPageBreak/>
        <w:t>References</w:t>
      </w:r>
      <w:bookmarkEnd w:id="25"/>
    </w:p>
    <w:p w14:paraId="586C3D01" w14:textId="5528522B" w:rsidR="00326974" w:rsidRDefault="00326974" w:rsidP="009713B3">
      <w:pPr>
        <w:spacing w:line="360" w:lineRule="auto"/>
        <w:jc w:val="both"/>
        <w:rPr>
          <w:rFonts w:ascii="Arial" w:hAnsi="Arial" w:cs="Arial"/>
          <w:lang w:eastAsia="en-GB"/>
        </w:rPr>
      </w:pPr>
      <w:r w:rsidRPr="00326974">
        <w:rPr>
          <w:rFonts w:ascii="Arial" w:hAnsi="Arial" w:cs="Arial"/>
          <w:lang w:eastAsia="en-GB"/>
        </w:rPr>
        <w:t xml:space="preserve">Anttiroiko, A.V., </w:t>
      </w:r>
      <w:r w:rsidR="003863EB">
        <w:rPr>
          <w:rFonts w:ascii="Arial" w:hAnsi="Arial" w:cs="Arial"/>
          <w:lang w:eastAsia="en-GB"/>
        </w:rPr>
        <w:t>(</w:t>
      </w:r>
      <w:r w:rsidRPr="00326974">
        <w:rPr>
          <w:rFonts w:ascii="Arial" w:hAnsi="Arial" w:cs="Arial"/>
          <w:lang w:eastAsia="en-GB"/>
        </w:rPr>
        <w:t>2021</w:t>
      </w:r>
      <w:r w:rsidR="003863EB">
        <w:rPr>
          <w:rFonts w:ascii="Arial" w:hAnsi="Arial" w:cs="Arial"/>
          <w:lang w:eastAsia="en-GB"/>
        </w:rPr>
        <w:t>)</w:t>
      </w:r>
      <w:r w:rsidRPr="00326974">
        <w:rPr>
          <w:rFonts w:ascii="Arial" w:hAnsi="Arial" w:cs="Arial"/>
          <w:lang w:eastAsia="en-GB"/>
        </w:rPr>
        <w:t>. Successful government responses to the pandemic: Contextualizing national and urban responses to the COVID-19 outbreak in east and west. </w:t>
      </w:r>
      <w:r w:rsidRPr="00326974">
        <w:rPr>
          <w:rFonts w:ascii="Arial" w:hAnsi="Arial" w:cs="Arial"/>
          <w:i/>
          <w:iCs/>
          <w:lang w:eastAsia="en-GB"/>
        </w:rPr>
        <w:t>International Journal of E-Planning Research (IJEPR)</w:t>
      </w:r>
      <w:r w:rsidRPr="00326974">
        <w:rPr>
          <w:rFonts w:ascii="Arial" w:hAnsi="Arial" w:cs="Arial"/>
          <w:lang w:eastAsia="en-GB"/>
        </w:rPr>
        <w:t>, </w:t>
      </w:r>
      <w:r w:rsidRPr="00326974">
        <w:rPr>
          <w:rFonts w:ascii="Arial" w:hAnsi="Arial" w:cs="Arial"/>
          <w:i/>
          <w:iCs/>
          <w:lang w:eastAsia="en-GB"/>
        </w:rPr>
        <w:t>10</w:t>
      </w:r>
      <w:r w:rsidRPr="00326974">
        <w:rPr>
          <w:rFonts w:ascii="Arial" w:hAnsi="Arial" w:cs="Arial"/>
          <w:lang w:eastAsia="en-GB"/>
        </w:rPr>
        <w:t>(2), pp.1-17.</w:t>
      </w:r>
    </w:p>
    <w:p w14:paraId="230E51F5" w14:textId="23F06555" w:rsidR="00941F40" w:rsidRPr="009713B3" w:rsidRDefault="00941F40" w:rsidP="009713B3">
      <w:pPr>
        <w:spacing w:line="360" w:lineRule="auto"/>
        <w:jc w:val="both"/>
        <w:rPr>
          <w:rFonts w:ascii="Arial" w:hAnsi="Arial" w:cs="Arial"/>
          <w:lang w:eastAsia="en-GB"/>
        </w:rPr>
      </w:pPr>
      <w:r w:rsidRPr="009713B3">
        <w:rPr>
          <w:rFonts w:ascii="Arial" w:hAnsi="Arial" w:cs="Arial"/>
          <w:lang w:eastAsia="en-GB"/>
        </w:rPr>
        <w:t xml:space="preserve">Biernacki, M., </w:t>
      </w:r>
      <w:r w:rsidR="004F246E">
        <w:rPr>
          <w:rFonts w:ascii="Arial" w:hAnsi="Arial" w:cs="Arial"/>
          <w:lang w:eastAsia="en-GB"/>
        </w:rPr>
        <w:t>(</w:t>
      </w:r>
      <w:r w:rsidRPr="009713B3">
        <w:rPr>
          <w:rFonts w:ascii="Arial" w:hAnsi="Arial" w:cs="Arial"/>
          <w:lang w:eastAsia="en-GB"/>
        </w:rPr>
        <w:t>2025</w:t>
      </w:r>
      <w:r w:rsidR="004F246E">
        <w:rPr>
          <w:rFonts w:ascii="Arial" w:hAnsi="Arial" w:cs="Arial"/>
          <w:lang w:eastAsia="en-GB"/>
        </w:rPr>
        <w:t>)</w:t>
      </w:r>
      <w:r w:rsidRPr="009713B3">
        <w:rPr>
          <w:rFonts w:ascii="Arial" w:hAnsi="Arial" w:cs="Arial"/>
          <w:lang w:eastAsia="en-GB"/>
        </w:rPr>
        <w:t>. Assessment of the efficiency and effectiveness of health care systems in European Union countries before and during the COVID-19 pandemic. </w:t>
      </w:r>
      <w:r w:rsidRPr="009713B3">
        <w:rPr>
          <w:rFonts w:ascii="Arial" w:hAnsi="Arial" w:cs="Arial"/>
          <w:i/>
          <w:iCs/>
          <w:lang w:eastAsia="en-GB"/>
        </w:rPr>
        <w:t>Frontiers in Public Health</w:t>
      </w:r>
      <w:r w:rsidRPr="009713B3">
        <w:rPr>
          <w:rFonts w:ascii="Arial" w:hAnsi="Arial" w:cs="Arial"/>
          <w:lang w:eastAsia="en-GB"/>
        </w:rPr>
        <w:t>, </w:t>
      </w:r>
      <w:r w:rsidRPr="009713B3">
        <w:rPr>
          <w:rFonts w:ascii="Arial" w:hAnsi="Arial" w:cs="Arial"/>
          <w:i/>
          <w:iCs/>
          <w:lang w:eastAsia="en-GB"/>
        </w:rPr>
        <w:t>13</w:t>
      </w:r>
      <w:r w:rsidRPr="009713B3">
        <w:rPr>
          <w:rFonts w:ascii="Arial" w:hAnsi="Arial" w:cs="Arial"/>
          <w:lang w:eastAsia="en-GB"/>
        </w:rPr>
        <w:t>, p.1592384.</w:t>
      </w:r>
    </w:p>
    <w:p w14:paraId="4E51C9AF" w14:textId="654D0EB1" w:rsidR="006954DE" w:rsidRPr="009713B3" w:rsidRDefault="006954DE" w:rsidP="009713B3">
      <w:pPr>
        <w:spacing w:line="360" w:lineRule="auto"/>
        <w:jc w:val="both"/>
        <w:rPr>
          <w:rFonts w:ascii="Arial" w:hAnsi="Arial" w:cs="Arial"/>
          <w:lang w:eastAsia="en-GB"/>
        </w:rPr>
      </w:pPr>
      <w:r w:rsidRPr="009713B3">
        <w:rPr>
          <w:rFonts w:ascii="Arial" w:hAnsi="Arial" w:cs="Arial"/>
          <w:lang w:eastAsia="en-GB"/>
        </w:rPr>
        <w:t xml:space="preserve">bin As-Siddiqi, H. and El-Bukhary, A., </w:t>
      </w:r>
      <w:r w:rsidR="004F246E">
        <w:rPr>
          <w:rFonts w:ascii="Arial" w:hAnsi="Arial" w:cs="Arial"/>
          <w:lang w:eastAsia="en-GB"/>
        </w:rPr>
        <w:t>(</w:t>
      </w:r>
      <w:r w:rsidRPr="009713B3">
        <w:rPr>
          <w:rFonts w:ascii="Arial" w:hAnsi="Arial" w:cs="Arial"/>
          <w:lang w:eastAsia="en-GB"/>
        </w:rPr>
        <w:t>2025</w:t>
      </w:r>
      <w:r w:rsidR="004F246E">
        <w:rPr>
          <w:rFonts w:ascii="Arial" w:hAnsi="Arial" w:cs="Arial"/>
          <w:lang w:eastAsia="en-GB"/>
        </w:rPr>
        <w:t>)</w:t>
      </w:r>
      <w:r w:rsidRPr="009713B3">
        <w:rPr>
          <w:rFonts w:ascii="Arial" w:hAnsi="Arial" w:cs="Arial"/>
          <w:lang w:eastAsia="en-GB"/>
        </w:rPr>
        <w:t>. Comparative Studies on Educational Governance: Balancing Centralization and Decentralization in Global Contexts. </w:t>
      </w:r>
      <w:r w:rsidRPr="009713B3">
        <w:rPr>
          <w:rFonts w:ascii="Arial" w:hAnsi="Arial" w:cs="Arial"/>
          <w:i/>
          <w:iCs/>
          <w:lang w:eastAsia="en-GB"/>
        </w:rPr>
        <w:t>Innovative Journal of Educational Research and Insights</w:t>
      </w:r>
      <w:r w:rsidRPr="009713B3">
        <w:rPr>
          <w:rFonts w:ascii="Arial" w:hAnsi="Arial" w:cs="Arial"/>
          <w:lang w:eastAsia="en-GB"/>
        </w:rPr>
        <w:t>, pp.123-134.</w:t>
      </w:r>
    </w:p>
    <w:p w14:paraId="66AF2F5D" w14:textId="1C167152" w:rsidR="000170BE" w:rsidRDefault="000170BE" w:rsidP="009713B3">
      <w:pPr>
        <w:spacing w:line="360" w:lineRule="auto"/>
        <w:jc w:val="both"/>
        <w:rPr>
          <w:rFonts w:ascii="Arial" w:hAnsi="Arial" w:cs="Arial"/>
          <w:lang w:eastAsia="en-GB"/>
        </w:rPr>
      </w:pPr>
      <w:r w:rsidRPr="000170BE">
        <w:rPr>
          <w:rFonts w:ascii="Arial" w:hAnsi="Arial" w:cs="Arial"/>
          <w:lang w:eastAsia="en-GB"/>
        </w:rPr>
        <w:t xml:space="preserve">Boily, F. and van den Brink, T., </w:t>
      </w:r>
      <w:r w:rsidR="003863EB">
        <w:rPr>
          <w:rFonts w:ascii="Arial" w:hAnsi="Arial" w:cs="Arial"/>
          <w:lang w:eastAsia="en-GB"/>
        </w:rPr>
        <w:t>(</w:t>
      </w:r>
      <w:r w:rsidRPr="000170BE">
        <w:rPr>
          <w:rFonts w:ascii="Arial" w:hAnsi="Arial" w:cs="Arial"/>
          <w:lang w:eastAsia="en-GB"/>
        </w:rPr>
        <w:t>2025</w:t>
      </w:r>
      <w:r w:rsidR="003863EB">
        <w:rPr>
          <w:rFonts w:ascii="Arial" w:hAnsi="Arial" w:cs="Arial"/>
          <w:lang w:eastAsia="en-GB"/>
        </w:rPr>
        <w:t>)</w:t>
      </w:r>
      <w:r w:rsidRPr="000170BE">
        <w:rPr>
          <w:rFonts w:ascii="Arial" w:hAnsi="Arial" w:cs="Arial"/>
          <w:lang w:eastAsia="en-GB"/>
        </w:rPr>
        <w:t>. Justin Trudeau and the (Lost) Art of Governing through Two Minority Mandates. </w:t>
      </w:r>
      <w:r w:rsidRPr="000170BE">
        <w:rPr>
          <w:rFonts w:ascii="Arial" w:hAnsi="Arial" w:cs="Arial"/>
          <w:i/>
          <w:iCs/>
          <w:lang w:eastAsia="en-GB"/>
        </w:rPr>
        <w:t>Assessing Justin Trudeau’s Minority Governments (2019–2025): Navigating Through 697 Promises in Times of Crisis</w:t>
      </w:r>
      <w:r w:rsidRPr="000170BE">
        <w:rPr>
          <w:rFonts w:ascii="Arial" w:hAnsi="Arial" w:cs="Arial"/>
          <w:lang w:eastAsia="en-GB"/>
        </w:rPr>
        <w:t>, p.33.</w:t>
      </w:r>
    </w:p>
    <w:p w14:paraId="50E7D487" w14:textId="0BE837BE" w:rsidR="00CF6553" w:rsidRPr="009713B3" w:rsidRDefault="00CF6553" w:rsidP="009713B3">
      <w:pPr>
        <w:spacing w:line="360" w:lineRule="auto"/>
        <w:jc w:val="both"/>
        <w:rPr>
          <w:rFonts w:ascii="Arial" w:hAnsi="Arial" w:cs="Arial"/>
          <w:lang w:eastAsia="en-GB"/>
        </w:rPr>
      </w:pPr>
      <w:r w:rsidRPr="009713B3">
        <w:rPr>
          <w:rFonts w:ascii="Arial" w:hAnsi="Arial" w:cs="Arial"/>
          <w:lang w:eastAsia="en-GB"/>
        </w:rPr>
        <w:t xml:space="preserve">Carta, M.G., Orrù, G., Littera, R., Firinu, D., Chessa, L., Cossu, G., Primavera, D., Del Giacco, S., Tramontano, E., Manocchio, N. and Buonomo, C., </w:t>
      </w:r>
      <w:r w:rsidR="004F246E">
        <w:rPr>
          <w:rFonts w:ascii="Arial" w:hAnsi="Arial" w:cs="Arial"/>
          <w:lang w:eastAsia="en-GB"/>
        </w:rPr>
        <w:t>(</w:t>
      </w:r>
      <w:r w:rsidRPr="009713B3">
        <w:rPr>
          <w:rFonts w:ascii="Arial" w:hAnsi="Arial" w:cs="Arial"/>
          <w:lang w:eastAsia="en-GB"/>
        </w:rPr>
        <w:t>2023</w:t>
      </w:r>
      <w:r w:rsidR="004F246E">
        <w:rPr>
          <w:rFonts w:ascii="Arial" w:hAnsi="Arial" w:cs="Arial"/>
          <w:lang w:eastAsia="en-GB"/>
        </w:rPr>
        <w:t>)</w:t>
      </w:r>
      <w:r w:rsidRPr="009713B3">
        <w:rPr>
          <w:rFonts w:ascii="Arial" w:hAnsi="Arial" w:cs="Arial"/>
          <w:lang w:eastAsia="en-GB"/>
        </w:rPr>
        <w:t>. Comparing the responses of countries and National Health Systems to the COVID-19 pandemic: a critical analysis with a case-report series. </w:t>
      </w:r>
      <w:r w:rsidRPr="009713B3">
        <w:rPr>
          <w:rFonts w:ascii="Arial" w:hAnsi="Arial" w:cs="Arial"/>
          <w:i/>
          <w:iCs/>
          <w:lang w:eastAsia="en-GB"/>
        </w:rPr>
        <w:t>European Review for Medical and Pharmacological Sciences</w:t>
      </w:r>
      <w:r w:rsidRPr="009713B3">
        <w:rPr>
          <w:rFonts w:ascii="Arial" w:hAnsi="Arial" w:cs="Arial"/>
          <w:lang w:eastAsia="en-GB"/>
        </w:rPr>
        <w:t>, </w:t>
      </w:r>
      <w:r w:rsidRPr="009713B3">
        <w:rPr>
          <w:rFonts w:ascii="Arial" w:hAnsi="Arial" w:cs="Arial"/>
          <w:i/>
          <w:iCs/>
          <w:lang w:eastAsia="en-GB"/>
        </w:rPr>
        <w:t>27</w:t>
      </w:r>
      <w:r w:rsidRPr="009713B3">
        <w:rPr>
          <w:rFonts w:ascii="Arial" w:hAnsi="Arial" w:cs="Arial"/>
          <w:lang w:eastAsia="en-GB"/>
        </w:rPr>
        <w:t>, pp.7868-7880.</w:t>
      </w:r>
    </w:p>
    <w:p w14:paraId="48E6DA22" w14:textId="32B17CF5" w:rsidR="004B72A4" w:rsidRPr="009713B3" w:rsidRDefault="004B72A4" w:rsidP="009713B3">
      <w:pPr>
        <w:spacing w:line="360" w:lineRule="auto"/>
        <w:jc w:val="both"/>
        <w:rPr>
          <w:rFonts w:ascii="Arial" w:hAnsi="Arial" w:cs="Arial"/>
          <w:lang w:eastAsia="en-GB"/>
        </w:rPr>
      </w:pPr>
      <w:r w:rsidRPr="009713B3">
        <w:rPr>
          <w:rFonts w:ascii="Arial" w:hAnsi="Arial" w:cs="Arial"/>
          <w:lang w:eastAsia="en-GB"/>
        </w:rPr>
        <w:t xml:space="preserve">Chang, R.H., Shie, W.C., Hsu, Y.H. and Hur, H., </w:t>
      </w:r>
      <w:r w:rsidR="004F246E">
        <w:rPr>
          <w:rFonts w:ascii="Arial" w:hAnsi="Arial" w:cs="Arial"/>
          <w:lang w:eastAsia="en-GB"/>
        </w:rPr>
        <w:t>(</w:t>
      </w:r>
      <w:r w:rsidRPr="009713B3">
        <w:rPr>
          <w:rFonts w:ascii="Arial" w:hAnsi="Arial" w:cs="Arial"/>
          <w:lang w:eastAsia="en-GB"/>
        </w:rPr>
        <w:t>2023</w:t>
      </w:r>
      <w:r w:rsidR="004F246E">
        <w:rPr>
          <w:rFonts w:ascii="Arial" w:hAnsi="Arial" w:cs="Arial"/>
          <w:lang w:eastAsia="en-GB"/>
        </w:rPr>
        <w:t>)</w:t>
      </w:r>
      <w:r w:rsidRPr="009713B3">
        <w:rPr>
          <w:rFonts w:ascii="Arial" w:hAnsi="Arial" w:cs="Arial"/>
          <w:lang w:eastAsia="en-GB"/>
        </w:rPr>
        <w:t>. Anticipation or resilience in times of emergent crisis? COVID-19 responses in the United States, Taiwan, and South Korea. </w:t>
      </w:r>
      <w:r w:rsidRPr="009713B3">
        <w:rPr>
          <w:rFonts w:ascii="Arial" w:hAnsi="Arial" w:cs="Arial"/>
          <w:i/>
          <w:iCs/>
          <w:lang w:eastAsia="en-GB"/>
        </w:rPr>
        <w:t>Journal of Emergency Management</w:t>
      </w:r>
      <w:r w:rsidRPr="009713B3">
        <w:rPr>
          <w:rFonts w:ascii="Arial" w:hAnsi="Arial" w:cs="Arial"/>
          <w:lang w:eastAsia="en-GB"/>
        </w:rPr>
        <w:t>, </w:t>
      </w:r>
      <w:r w:rsidRPr="009713B3">
        <w:rPr>
          <w:rFonts w:ascii="Arial" w:hAnsi="Arial" w:cs="Arial"/>
          <w:i/>
          <w:iCs/>
          <w:lang w:eastAsia="en-GB"/>
        </w:rPr>
        <w:t>21</w:t>
      </w:r>
      <w:r w:rsidRPr="009713B3">
        <w:rPr>
          <w:rFonts w:ascii="Arial" w:hAnsi="Arial" w:cs="Arial"/>
          <w:lang w:eastAsia="en-GB"/>
        </w:rPr>
        <w:t>(7), pp.227-239.</w:t>
      </w:r>
    </w:p>
    <w:p w14:paraId="1E047F0F" w14:textId="174E9E2C" w:rsidR="009474EB" w:rsidRDefault="009474EB" w:rsidP="009713B3">
      <w:pPr>
        <w:spacing w:line="360" w:lineRule="auto"/>
        <w:jc w:val="both"/>
        <w:rPr>
          <w:rFonts w:ascii="Arial" w:hAnsi="Arial" w:cs="Arial"/>
          <w:lang w:eastAsia="en-GB"/>
        </w:rPr>
      </w:pPr>
      <w:r w:rsidRPr="009474EB">
        <w:rPr>
          <w:rFonts w:ascii="Arial" w:hAnsi="Arial" w:cs="Arial"/>
          <w:lang w:eastAsia="en-GB"/>
        </w:rPr>
        <w:t xml:space="preserve">Chang, J.R., </w:t>
      </w:r>
      <w:r w:rsidR="003863EB">
        <w:rPr>
          <w:rFonts w:ascii="Arial" w:hAnsi="Arial" w:cs="Arial"/>
          <w:lang w:eastAsia="en-GB"/>
        </w:rPr>
        <w:t>(</w:t>
      </w:r>
      <w:r w:rsidRPr="009474EB">
        <w:rPr>
          <w:rFonts w:ascii="Arial" w:hAnsi="Arial" w:cs="Arial"/>
          <w:lang w:eastAsia="en-GB"/>
        </w:rPr>
        <w:t>2023</w:t>
      </w:r>
      <w:r w:rsidR="003863EB">
        <w:rPr>
          <w:rFonts w:ascii="Arial" w:hAnsi="Arial" w:cs="Arial"/>
          <w:lang w:eastAsia="en-GB"/>
        </w:rPr>
        <w:t>)</w:t>
      </w:r>
      <w:r w:rsidRPr="009474EB">
        <w:rPr>
          <w:rFonts w:ascii="Arial" w:hAnsi="Arial" w:cs="Arial"/>
          <w:lang w:eastAsia="en-GB"/>
        </w:rPr>
        <w:t>. Exploring the Health Policy Process in South Korea: From 2015 MERS Epidemic.</w:t>
      </w:r>
    </w:p>
    <w:p w14:paraId="6F13CFA8" w14:textId="06AB98AA" w:rsidR="005A3118" w:rsidRDefault="005A3118" w:rsidP="009713B3">
      <w:pPr>
        <w:spacing w:line="360" w:lineRule="auto"/>
        <w:jc w:val="both"/>
        <w:rPr>
          <w:rFonts w:ascii="Arial" w:hAnsi="Arial" w:cs="Arial"/>
          <w:lang w:eastAsia="en-GB"/>
        </w:rPr>
      </w:pPr>
      <w:r w:rsidRPr="005A3118">
        <w:rPr>
          <w:rFonts w:ascii="Arial" w:hAnsi="Arial" w:cs="Arial"/>
          <w:lang w:eastAsia="en-GB"/>
        </w:rPr>
        <w:t xml:space="preserve">Choi, S. and Powers, T.L., </w:t>
      </w:r>
      <w:r w:rsidR="003863EB">
        <w:rPr>
          <w:rFonts w:ascii="Arial" w:hAnsi="Arial" w:cs="Arial"/>
          <w:lang w:eastAsia="en-GB"/>
        </w:rPr>
        <w:t>(</w:t>
      </w:r>
      <w:r w:rsidRPr="005A3118">
        <w:rPr>
          <w:rFonts w:ascii="Arial" w:hAnsi="Arial" w:cs="Arial"/>
          <w:lang w:eastAsia="en-GB"/>
        </w:rPr>
        <w:t>2021</w:t>
      </w:r>
      <w:r w:rsidR="003863EB">
        <w:rPr>
          <w:rFonts w:ascii="Arial" w:hAnsi="Arial" w:cs="Arial"/>
          <w:lang w:eastAsia="en-GB"/>
        </w:rPr>
        <w:t>)</w:t>
      </w:r>
      <w:r w:rsidRPr="005A3118">
        <w:rPr>
          <w:rFonts w:ascii="Arial" w:hAnsi="Arial" w:cs="Arial"/>
          <w:lang w:eastAsia="en-GB"/>
        </w:rPr>
        <w:t>. COVID-19: Lessons from South Korean pandemic communications strategy. </w:t>
      </w:r>
      <w:r w:rsidRPr="005A3118">
        <w:rPr>
          <w:rFonts w:ascii="Arial" w:hAnsi="Arial" w:cs="Arial"/>
          <w:i/>
          <w:iCs/>
          <w:lang w:eastAsia="en-GB"/>
        </w:rPr>
        <w:t>International Journal of Healthcare Management</w:t>
      </w:r>
      <w:r w:rsidRPr="005A3118">
        <w:rPr>
          <w:rFonts w:ascii="Arial" w:hAnsi="Arial" w:cs="Arial"/>
          <w:lang w:eastAsia="en-GB"/>
        </w:rPr>
        <w:t>, </w:t>
      </w:r>
      <w:r w:rsidRPr="005A3118">
        <w:rPr>
          <w:rFonts w:ascii="Arial" w:hAnsi="Arial" w:cs="Arial"/>
          <w:i/>
          <w:iCs/>
          <w:lang w:eastAsia="en-GB"/>
        </w:rPr>
        <w:t>14</w:t>
      </w:r>
      <w:r w:rsidRPr="005A3118">
        <w:rPr>
          <w:rFonts w:ascii="Arial" w:hAnsi="Arial" w:cs="Arial"/>
          <w:lang w:eastAsia="en-GB"/>
        </w:rPr>
        <w:t>(1), pp.271-279.</w:t>
      </w:r>
    </w:p>
    <w:p w14:paraId="7F7C8337" w14:textId="787D041D" w:rsidR="005F6795" w:rsidRPr="009713B3" w:rsidRDefault="005F6795" w:rsidP="009713B3">
      <w:pPr>
        <w:spacing w:line="360" w:lineRule="auto"/>
        <w:jc w:val="both"/>
        <w:rPr>
          <w:rFonts w:ascii="Arial" w:hAnsi="Arial" w:cs="Arial"/>
          <w:lang w:eastAsia="en-GB"/>
        </w:rPr>
      </w:pPr>
      <w:r w:rsidRPr="009713B3">
        <w:rPr>
          <w:rFonts w:ascii="Arial" w:hAnsi="Arial" w:cs="Arial"/>
          <w:lang w:eastAsia="en-GB"/>
        </w:rPr>
        <w:t xml:space="preserve">Chung, H., Azimaee, M., Bronskill, S.E., Cartagena, R., Guttmann, A., Ho, M.M., Ishiguro, L., Kwong, J.C., Paterson, J.M., Ratnasingham, S. and Rosella, L.C., </w:t>
      </w:r>
      <w:r w:rsidR="004F246E">
        <w:rPr>
          <w:rFonts w:ascii="Arial" w:hAnsi="Arial" w:cs="Arial"/>
          <w:lang w:eastAsia="en-GB"/>
        </w:rPr>
        <w:t>(</w:t>
      </w:r>
      <w:r w:rsidRPr="009713B3">
        <w:rPr>
          <w:rFonts w:ascii="Arial" w:hAnsi="Arial" w:cs="Arial"/>
          <w:lang w:eastAsia="en-GB"/>
        </w:rPr>
        <w:t>2022</w:t>
      </w:r>
      <w:r w:rsidR="004F246E">
        <w:rPr>
          <w:rFonts w:ascii="Arial" w:hAnsi="Arial" w:cs="Arial"/>
          <w:lang w:eastAsia="en-GB"/>
        </w:rPr>
        <w:t>)</w:t>
      </w:r>
      <w:r w:rsidRPr="009713B3">
        <w:rPr>
          <w:rFonts w:ascii="Arial" w:hAnsi="Arial" w:cs="Arial"/>
          <w:lang w:eastAsia="en-GB"/>
        </w:rPr>
        <w:t>. Pivoting data and analytic capacity to support Ontario’s COVID-19 response. </w:t>
      </w:r>
      <w:r w:rsidRPr="009713B3">
        <w:rPr>
          <w:rFonts w:ascii="Arial" w:hAnsi="Arial" w:cs="Arial"/>
          <w:i/>
          <w:iCs/>
          <w:lang w:eastAsia="en-GB"/>
        </w:rPr>
        <w:t>International Journal of Population Data Science</w:t>
      </w:r>
      <w:r w:rsidRPr="009713B3">
        <w:rPr>
          <w:rFonts w:ascii="Arial" w:hAnsi="Arial" w:cs="Arial"/>
          <w:lang w:eastAsia="en-GB"/>
        </w:rPr>
        <w:t>, </w:t>
      </w:r>
      <w:r w:rsidRPr="009713B3">
        <w:rPr>
          <w:rFonts w:ascii="Arial" w:hAnsi="Arial" w:cs="Arial"/>
          <w:i/>
          <w:iCs/>
          <w:lang w:eastAsia="en-GB"/>
        </w:rPr>
        <w:t>5</w:t>
      </w:r>
      <w:r w:rsidRPr="009713B3">
        <w:rPr>
          <w:rFonts w:ascii="Arial" w:hAnsi="Arial" w:cs="Arial"/>
          <w:lang w:eastAsia="en-GB"/>
        </w:rPr>
        <w:t>(3), p.1682.</w:t>
      </w:r>
    </w:p>
    <w:p w14:paraId="57285FE5" w14:textId="40F52D91" w:rsidR="00784D8E" w:rsidRPr="009713B3" w:rsidRDefault="00784D8E" w:rsidP="009713B3">
      <w:pPr>
        <w:spacing w:line="360" w:lineRule="auto"/>
        <w:jc w:val="both"/>
        <w:rPr>
          <w:rFonts w:ascii="Arial" w:hAnsi="Arial" w:cs="Arial"/>
          <w:lang w:eastAsia="en-GB"/>
        </w:rPr>
      </w:pPr>
      <w:r w:rsidRPr="009713B3">
        <w:rPr>
          <w:rFonts w:ascii="Arial" w:hAnsi="Arial" w:cs="Arial"/>
          <w:lang w:eastAsia="en-GB"/>
        </w:rPr>
        <w:lastRenderedPageBreak/>
        <w:t xml:space="preserve">Choi, O. and Kim, S., </w:t>
      </w:r>
      <w:r w:rsidR="004F246E">
        <w:rPr>
          <w:rFonts w:ascii="Arial" w:hAnsi="Arial" w:cs="Arial"/>
          <w:lang w:eastAsia="en-GB"/>
        </w:rPr>
        <w:t>(</w:t>
      </w:r>
      <w:r w:rsidRPr="009713B3">
        <w:rPr>
          <w:rFonts w:ascii="Arial" w:hAnsi="Arial" w:cs="Arial"/>
          <w:lang w:eastAsia="en-GB"/>
        </w:rPr>
        <w:t>2024</w:t>
      </w:r>
      <w:r w:rsidR="004F246E">
        <w:rPr>
          <w:rFonts w:ascii="Arial" w:hAnsi="Arial" w:cs="Arial"/>
          <w:lang w:eastAsia="en-GB"/>
        </w:rPr>
        <w:t>)</w:t>
      </w:r>
      <w:r w:rsidRPr="009713B3">
        <w:rPr>
          <w:rFonts w:ascii="Arial" w:hAnsi="Arial" w:cs="Arial"/>
          <w:lang w:eastAsia="en-GB"/>
        </w:rPr>
        <w:t>. Comparison of the efficacy of COVID-19 responses in South Korea and the United States. </w:t>
      </w:r>
      <w:r w:rsidRPr="009713B3">
        <w:rPr>
          <w:rFonts w:ascii="Arial" w:hAnsi="Arial" w:cs="Arial"/>
          <w:i/>
          <w:iCs/>
          <w:lang w:eastAsia="en-GB"/>
        </w:rPr>
        <w:t>Global Health Action</w:t>
      </w:r>
      <w:r w:rsidRPr="009713B3">
        <w:rPr>
          <w:rFonts w:ascii="Arial" w:hAnsi="Arial" w:cs="Arial"/>
          <w:lang w:eastAsia="en-GB"/>
        </w:rPr>
        <w:t>, </w:t>
      </w:r>
      <w:r w:rsidRPr="009713B3">
        <w:rPr>
          <w:rFonts w:ascii="Arial" w:hAnsi="Arial" w:cs="Arial"/>
          <w:i/>
          <w:iCs/>
          <w:lang w:eastAsia="en-GB"/>
        </w:rPr>
        <w:t>17</w:t>
      </w:r>
      <w:r w:rsidRPr="009713B3">
        <w:rPr>
          <w:rFonts w:ascii="Arial" w:hAnsi="Arial" w:cs="Arial"/>
          <w:lang w:eastAsia="en-GB"/>
        </w:rPr>
        <w:t>(1), p.2370611.</w:t>
      </w:r>
    </w:p>
    <w:p w14:paraId="0055A397" w14:textId="2DA6DB08" w:rsidR="004B72A4" w:rsidRPr="009713B3" w:rsidRDefault="004B72A4" w:rsidP="009713B3">
      <w:pPr>
        <w:spacing w:line="360" w:lineRule="auto"/>
        <w:jc w:val="both"/>
        <w:rPr>
          <w:rFonts w:ascii="Arial" w:hAnsi="Arial" w:cs="Arial"/>
          <w:lang w:eastAsia="en-GB"/>
        </w:rPr>
      </w:pPr>
      <w:r w:rsidRPr="009713B3">
        <w:rPr>
          <w:rFonts w:ascii="Arial" w:hAnsi="Arial" w:cs="Arial"/>
          <w:lang w:eastAsia="en-GB"/>
        </w:rPr>
        <w:t xml:space="preserve">Chung, E. and Yi, J., </w:t>
      </w:r>
      <w:r w:rsidR="004F246E">
        <w:rPr>
          <w:rFonts w:ascii="Arial" w:hAnsi="Arial" w:cs="Arial"/>
          <w:lang w:eastAsia="en-GB"/>
        </w:rPr>
        <w:t>(</w:t>
      </w:r>
      <w:r w:rsidRPr="009713B3">
        <w:rPr>
          <w:rFonts w:ascii="Arial" w:hAnsi="Arial" w:cs="Arial"/>
          <w:lang w:eastAsia="en-GB"/>
        </w:rPr>
        <w:t>2021</w:t>
      </w:r>
      <w:r w:rsidR="004F246E">
        <w:rPr>
          <w:rFonts w:ascii="Arial" w:hAnsi="Arial" w:cs="Arial"/>
          <w:lang w:eastAsia="en-GB"/>
        </w:rPr>
        <w:t>)</w:t>
      </w:r>
      <w:r w:rsidRPr="009713B3">
        <w:rPr>
          <w:rFonts w:ascii="Arial" w:hAnsi="Arial" w:cs="Arial"/>
          <w:lang w:eastAsia="en-GB"/>
        </w:rPr>
        <w:t>. Pandemic priorities: The impact of South Korea’s COVID-19 policies on vulnerable populations. </w:t>
      </w:r>
      <w:r w:rsidRPr="009713B3">
        <w:rPr>
          <w:rFonts w:ascii="Arial" w:hAnsi="Arial" w:cs="Arial"/>
          <w:i/>
          <w:iCs/>
          <w:lang w:eastAsia="en-GB"/>
        </w:rPr>
        <w:t>International Journal of Public Administration</w:t>
      </w:r>
      <w:r w:rsidRPr="009713B3">
        <w:rPr>
          <w:rFonts w:ascii="Arial" w:hAnsi="Arial" w:cs="Arial"/>
          <w:lang w:eastAsia="en-GB"/>
        </w:rPr>
        <w:t>, </w:t>
      </w:r>
      <w:r w:rsidRPr="009713B3">
        <w:rPr>
          <w:rFonts w:ascii="Arial" w:hAnsi="Arial" w:cs="Arial"/>
          <w:i/>
          <w:iCs/>
          <w:lang w:eastAsia="en-GB"/>
        </w:rPr>
        <w:t>44</w:t>
      </w:r>
      <w:r w:rsidRPr="009713B3">
        <w:rPr>
          <w:rFonts w:ascii="Arial" w:hAnsi="Arial" w:cs="Arial"/>
          <w:lang w:eastAsia="en-GB"/>
        </w:rPr>
        <w:t>(11-12), pp.1028-1038.</w:t>
      </w:r>
    </w:p>
    <w:p w14:paraId="1DCE96B3" w14:textId="77777777" w:rsidR="00E9647C" w:rsidRDefault="00056CD5" w:rsidP="009713B3">
      <w:pPr>
        <w:spacing w:line="360" w:lineRule="auto"/>
        <w:jc w:val="both"/>
        <w:rPr>
          <w:rFonts w:ascii="Arial" w:hAnsi="Arial" w:cs="Arial"/>
          <w:lang w:eastAsia="en-GB"/>
        </w:rPr>
      </w:pPr>
      <w:r w:rsidRPr="009713B3">
        <w:rPr>
          <w:rFonts w:ascii="Arial" w:hAnsi="Arial" w:cs="Arial"/>
          <w:lang w:eastAsia="en-GB"/>
        </w:rPr>
        <w:t xml:space="preserve">DeSalvo, K., Hughes, B., Bassett, M., Benjamin, G., Fraser, M., Galea, S. and Gracia, J.N., </w:t>
      </w:r>
      <w:r w:rsidR="004F246E">
        <w:rPr>
          <w:rFonts w:ascii="Arial" w:hAnsi="Arial" w:cs="Arial"/>
          <w:lang w:eastAsia="en-GB"/>
        </w:rPr>
        <w:t>(</w:t>
      </w:r>
      <w:r w:rsidRPr="009713B3">
        <w:rPr>
          <w:rFonts w:ascii="Arial" w:hAnsi="Arial" w:cs="Arial"/>
          <w:lang w:eastAsia="en-GB"/>
        </w:rPr>
        <w:t>2021</w:t>
      </w:r>
      <w:r w:rsidR="004F246E">
        <w:rPr>
          <w:rFonts w:ascii="Arial" w:hAnsi="Arial" w:cs="Arial"/>
          <w:lang w:eastAsia="en-GB"/>
        </w:rPr>
        <w:t>)</w:t>
      </w:r>
      <w:r w:rsidRPr="009713B3">
        <w:rPr>
          <w:rFonts w:ascii="Arial" w:hAnsi="Arial" w:cs="Arial"/>
          <w:lang w:eastAsia="en-GB"/>
        </w:rPr>
        <w:t>. Public health COVID-19 impact assessment: lessons learned and compelling needs. </w:t>
      </w:r>
      <w:r w:rsidRPr="009713B3">
        <w:rPr>
          <w:rFonts w:ascii="Arial" w:hAnsi="Arial" w:cs="Arial"/>
          <w:i/>
          <w:iCs/>
          <w:lang w:eastAsia="en-GB"/>
        </w:rPr>
        <w:t>NAM perspectives</w:t>
      </w:r>
      <w:r w:rsidRPr="009713B3">
        <w:rPr>
          <w:rFonts w:ascii="Arial" w:hAnsi="Arial" w:cs="Arial"/>
          <w:lang w:eastAsia="en-GB"/>
        </w:rPr>
        <w:t>, </w:t>
      </w:r>
      <w:r w:rsidRPr="009713B3">
        <w:rPr>
          <w:rFonts w:ascii="Arial" w:hAnsi="Arial" w:cs="Arial"/>
          <w:i/>
          <w:iCs/>
          <w:lang w:eastAsia="en-GB"/>
        </w:rPr>
        <w:t>2021</w:t>
      </w:r>
      <w:r w:rsidRPr="009713B3">
        <w:rPr>
          <w:rFonts w:ascii="Arial" w:hAnsi="Arial" w:cs="Arial"/>
          <w:lang w:eastAsia="en-GB"/>
        </w:rPr>
        <w:t>, pp.10-31478.</w:t>
      </w:r>
    </w:p>
    <w:p w14:paraId="310EA3F6" w14:textId="77E1F177" w:rsidR="00E9647C" w:rsidRDefault="00E9647C" w:rsidP="009713B3">
      <w:pPr>
        <w:spacing w:line="360" w:lineRule="auto"/>
        <w:jc w:val="both"/>
        <w:rPr>
          <w:rFonts w:ascii="Arial" w:hAnsi="Arial" w:cs="Arial"/>
          <w:lang w:eastAsia="en-GB"/>
        </w:rPr>
      </w:pPr>
      <w:r w:rsidRPr="00E9647C">
        <w:rPr>
          <w:rFonts w:ascii="Arial" w:hAnsi="Arial" w:cs="Arial"/>
          <w:lang w:eastAsia="en-GB"/>
        </w:rPr>
        <w:t xml:space="preserve">Drylie-Carey, L., Sánchez-Castillo, S. and Galán-Cubillo, E., </w:t>
      </w:r>
      <w:r w:rsidR="003863EB">
        <w:rPr>
          <w:rFonts w:ascii="Arial" w:hAnsi="Arial" w:cs="Arial"/>
          <w:lang w:eastAsia="en-GB"/>
        </w:rPr>
        <w:t>(</w:t>
      </w:r>
      <w:r w:rsidRPr="00E9647C">
        <w:rPr>
          <w:rFonts w:ascii="Arial" w:hAnsi="Arial" w:cs="Arial"/>
          <w:lang w:eastAsia="en-GB"/>
        </w:rPr>
        <w:t>2020</w:t>
      </w:r>
      <w:r w:rsidR="003863EB">
        <w:rPr>
          <w:rFonts w:ascii="Arial" w:hAnsi="Arial" w:cs="Arial"/>
          <w:lang w:eastAsia="en-GB"/>
        </w:rPr>
        <w:t>)</w:t>
      </w:r>
      <w:r w:rsidRPr="00E9647C">
        <w:rPr>
          <w:rFonts w:ascii="Arial" w:hAnsi="Arial" w:cs="Arial"/>
          <w:lang w:eastAsia="en-GB"/>
        </w:rPr>
        <w:t>. European leaders unmasked: Covid-19 communication strategy through Twitter. </w:t>
      </w:r>
      <w:r w:rsidRPr="00E9647C">
        <w:rPr>
          <w:rFonts w:ascii="Arial" w:hAnsi="Arial" w:cs="Arial"/>
          <w:i/>
          <w:iCs/>
          <w:lang w:eastAsia="en-GB"/>
        </w:rPr>
        <w:t>Profesional de la información</w:t>
      </w:r>
      <w:r w:rsidRPr="00E9647C">
        <w:rPr>
          <w:rFonts w:ascii="Arial" w:hAnsi="Arial" w:cs="Arial"/>
          <w:lang w:eastAsia="en-GB"/>
        </w:rPr>
        <w:t>, </w:t>
      </w:r>
      <w:r w:rsidRPr="00E9647C">
        <w:rPr>
          <w:rFonts w:ascii="Arial" w:hAnsi="Arial" w:cs="Arial"/>
          <w:i/>
          <w:iCs/>
          <w:lang w:eastAsia="en-GB"/>
        </w:rPr>
        <w:t>29</w:t>
      </w:r>
      <w:r w:rsidRPr="00E9647C">
        <w:rPr>
          <w:rFonts w:ascii="Arial" w:hAnsi="Arial" w:cs="Arial"/>
          <w:lang w:eastAsia="en-GB"/>
        </w:rPr>
        <w:t>(5).</w:t>
      </w:r>
    </w:p>
    <w:p w14:paraId="0302FF05" w14:textId="525AEE5C" w:rsidR="000170BE" w:rsidRDefault="000170BE" w:rsidP="009713B3">
      <w:pPr>
        <w:spacing w:line="360" w:lineRule="auto"/>
        <w:jc w:val="both"/>
        <w:rPr>
          <w:rFonts w:ascii="Arial" w:hAnsi="Arial" w:cs="Arial"/>
          <w:lang w:eastAsia="en-GB"/>
        </w:rPr>
      </w:pPr>
      <w:r w:rsidRPr="000170BE">
        <w:rPr>
          <w:rFonts w:ascii="Arial" w:hAnsi="Arial" w:cs="Arial"/>
          <w:lang w:eastAsia="en-GB"/>
        </w:rPr>
        <w:t xml:space="preserve">Erhan, Ç. and Sıvış, E., </w:t>
      </w:r>
      <w:r w:rsidR="00875A5C">
        <w:rPr>
          <w:rFonts w:ascii="Arial" w:hAnsi="Arial" w:cs="Arial"/>
          <w:lang w:eastAsia="en-GB"/>
        </w:rPr>
        <w:t>(</w:t>
      </w:r>
      <w:r w:rsidRPr="000170BE">
        <w:rPr>
          <w:rFonts w:ascii="Arial" w:hAnsi="Arial" w:cs="Arial"/>
          <w:lang w:eastAsia="en-GB"/>
        </w:rPr>
        <w:t>2023</w:t>
      </w:r>
      <w:r w:rsidR="00875A5C">
        <w:rPr>
          <w:rFonts w:ascii="Arial" w:hAnsi="Arial" w:cs="Arial"/>
          <w:lang w:eastAsia="en-GB"/>
        </w:rPr>
        <w:t>)</w:t>
      </w:r>
      <w:r w:rsidRPr="000170BE">
        <w:rPr>
          <w:rFonts w:ascii="Arial" w:hAnsi="Arial" w:cs="Arial"/>
          <w:lang w:eastAsia="en-GB"/>
        </w:rPr>
        <w:t>. Government responses to the COVID-19 pandemic: Comparative health policies in the US and Canada. </w:t>
      </w:r>
      <w:r w:rsidRPr="000170BE">
        <w:rPr>
          <w:rFonts w:ascii="Arial" w:hAnsi="Arial" w:cs="Arial"/>
          <w:i/>
          <w:iCs/>
          <w:lang w:eastAsia="en-GB"/>
        </w:rPr>
        <w:t>Diplomacy, Society and the COVID-19 Challenge</w:t>
      </w:r>
      <w:r w:rsidRPr="000170BE">
        <w:rPr>
          <w:rFonts w:ascii="Arial" w:hAnsi="Arial" w:cs="Arial"/>
          <w:lang w:eastAsia="en-GB"/>
        </w:rPr>
        <w:t>, pp.81-96.</w:t>
      </w:r>
    </w:p>
    <w:p w14:paraId="78415976" w14:textId="448A7B01" w:rsidR="00336617" w:rsidRDefault="00336617" w:rsidP="009713B3">
      <w:pPr>
        <w:spacing w:line="360" w:lineRule="auto"/>
        <w:jc w:val="both"/>
        <w:rPr>
          <w:rFonts w:ascii="Arial" w:hAnsi="Arial" w:cs="Arial"/>
          <w:lang w:eastAsia="en-GB"/>
        </w:rPr>
      </w:pPr>
      <w:r w:rsidRPr="00336617">
        <w:rPr>
          <w:rFonts w:ascii="Arial" w:hAnsi="Arial" w:cs="Arial"/>
          <w:lang w:eastAsia="en-GB"/>
        </w:rPr>
        <w:t xml:space="preserve">Fos, P.J., Honoré, P.A. and Honoré, R.L., </w:t>
      </w:r>
      <w:r w:rsidR="003863EB">
        <w:rPr>
          <w:rFonts w:ascii="Arial" w:hAnsi="Arial" w:cs="Arial"/>
          <w:lang w:eastAsia="en-GB"/>
        </w:rPr>
        <w:t>(</w:t>
      </w:r>
      <w:r w:rsidRPr="00336617">
        <w:rPr>
          <w:rFonts w:ascii="Arial" w:hAnsi="Arial" w:cs="Arial"/>
          <w:lang w:eastAsia="en-GB"/>
        </w:rPr>
        <w:t>2021</w:t>
      </w:r>
      <w:r w:rsidR="003863EB">
        <w:rPr>
          <w:rFonts w:ascii="Arial" w:hAnsi="Arial" w:cs="Arial"/>
          <w:lang w:eastAsia="en-GB"/>
        </w:rPr>
        <w:t>)</w:t>
      </w:r>
      <w:r w:rsidRPr="00336617">
        <w:rPr>
          <w:rFonts w:ascii="Arial" w:hAnsi="Arial" w:cs="Arial"/>
          <w:lang w:eastAsia="en-GB"/>
        </w:rPr>
        <w:t>. Coordination of public health response: the role of leadership in responding to public health emergencies. In </w:t>
      </w:r>
      <w:r w:rsidRPr="00336617">
        <w:rPr>
          <w:rFonts w:ascii="Arial" w:hAnsi="Arial" w:cs="Arial"/>
          <w:i/>
          <w:iCs/>
          <w:lang w:eastAsia="en-GB"/>
        </w:rPr>
        <w:t>Science-Based approaches to respond to COVID and other public health threats</w:t>
      </w:r>
      <w:r w:rsidRPr="00336617">
        <w:rPr>
          <w:rFonts w:ascii="Arial" w:hAnsi="Arial" w:cs="Arial"/>
          <w:lang w:eastAsia="en-GB"/>
        </w:rPr>
        <w:t>. IntechOpen.</w:t>
      </w:r>
    </w:p>
    <w:p w14:paraId="56C2A0F5" w14:textId="37614B78" w:rsidR="008B0CD7" w:rsidRDefault="008B0CD7" w:rsidP="009713B3">
      <w:pPr>
        <w:spacing w:line="360" w:lineRule="auto"/>
        <w:jc w:val="both"/>
        <w:rPr>
          <w:rFonts w:ascii="Arial" w:hAnsi="Arial" w:cs="Arial"/>
          <w:lang w:eastAsia="en-GB"/>
        </w:rPr>
      </w:pPr>
      <w:r w:rsidRPr="008B0CD7">
        <w:rPr>
          <w:rFonts w:ascii="Arial" w:hAnsi="Arial" w:cs="Arial"/>
          <w:lang w:eastAsia="en-GB"/>
        </w:rPr>
        <w:t>Fortier-Chouinard, A. and Duval, D., 2025. A Final Look at the Trudeau Years. </w:t>
      </w:r>
      <w:r w:rsidRPr="008B0CD7">
        <w:rPr>
          <w:rFonts w:ascii="Arial" w:hAnsi="Arial" w:cs="Arial"/>
          <w:i/>
          <w:iCs/>
          <w:lang w:eastAsia="en-GB"/>
        </w:rPr>
        <w:t>Assessing Justin Trudeau’s Minority Governments (2019–2025): Navigating Through 697 Promises in Times of Crisis</w:t>
      </w:r>
      <w:r w:rsidRPr="008B0CD7">
        <w:rPr>
          <w:rFonts w:ascii="Arial" w:hAnsi="Arial" w:cs="Arial"/>
          <w:lang w:eastAsia="en-GB"/>
        </w:rPr>
        <w:t>.</w:t>
      </w:r>
    </w:p>
    <w:p w14:paraId="211DA7ED" w14:textId="50EC8C48" w:rsidR="00CF6553" w:rsidRDefault="00CF6553" w:rsidP="009713B3">
      <w:pPr>
        <w:spacing w:line="360" w:lineRule="auto"/>
        <w:jc w:val="both"/>
        <w:rPr>
          <w:rFonts w:ascii="Arial" w:hAnsi="Arial" w:cs="Arial"/>
          <w:lang w:eastAsia="en-GB"/>
        </w:rPr>
      </w:pPr>
      <w:r w:rsidRPr="009713B3">
        <w:rPr>
          <w:rFonts w:ascii="Arial" w:hAnsi="Arial" w:cs="Arial"/>
          <w:lang w:eastAsia="en-GB"/>
        </w:rPr>
        <w:t xml:space="preserve">Goberna-Tricas, J., Biurrun-Garrido, A., Perelló-Iñiguez, C. and Rodríguez-Garrido, P., </w:t>
      </w:r>
      <w:r w:rsidR="004F246E">
        <w:rPr>
          <w:rFonts w:ascii="Arial" w:hAnsi="Arial" w:cs="Arial"/>
          <w:lang w:eastAsia="en-GB"/>
        </w:rPr>
        <w:t>(</w:t>
      </w:r>
      <w:r w:rsidRPr="009713B3">
        <w:rPr>
          <w:rFonts w:ascii="Arial" w:hAnsi="Arial" w:cs="Arial"/>
          <w:lang w:eastAsia="en-GB"/>
        </w:rPr>
        <w:t>2021</w:t>
      </w:r>
      <w:r w:rsidR="004F246E">
        <w:rPr>
          <w:rFonts w:ascii="Arial" w:hAnsi="Arial" w:cs="Arial"/>
          <w:lang w:eastAsia="en-GB"/>
        </w:rPr>
        <w:t>)</w:t>
      </w:r>
      <w:r w:rsidRPr="009713B3">
        <w:rPr>
          <w:rFonts w:ascii="Arial" w:hAnsi="Arial" w:cs="Arial"/>
          <w:lang w:eastAsia="en-GB"/>
        </w:rPr>
        <w:t>. The COVID-19 pandemic in Spain: Experiences of midwives on the healthcare frontline. </w:t>
      </w:r>
      <w:r w:rsidRPr="009713B3">
        <w:rPr>
          <w:rFonts w:ascii="Arial" w:hAnsi="Arial" w:cs="Arial"/>
          <w:i/>
          <w:iCs/>
          <w:lang w:eastAsia="en-GB"/>
        </w:rPr>
        <w:t>International journal of environmental research and public health</w:t>
      </w:r>
      <w:r w:rsidRPr="009713B3">
        <w:rPr>
          <w:rFonts w:ascii="Arial" w:hAnsi="Arial" w:cs="Arial"/>
          <w:lang w:eastAsia="en-GB"/>
        </w:rPr>
        <w:t>, </w:t>
      </w:r>
      <w:r w:rsidRPr="009713B3">
        <w:rPr>
          <w:rFonts w:ascii="Arial" w:hAnsi="Arial" w:cs="Arial"/>
          <w:i/>
          <w:iCs/>
          <w:lang w:eastAsia="en-GB"/>
        </w:rPr>
        <w:t>18</w:t>
      </w:r>
      <w:r w:rsidRPr="009713B3">
        <w:rPr>
          <w:rFonts w:ascii="Arial" w:hAnsi="Arial" w:cs="Arial"/>
          <w:lang w:eastAsia="en-GB"/>
        </w:rPr>
        <w:t>(12), p.6516.</w:t>
      </w:r>
    </w:p>
    <w:p w14:paraId="55099DED" w14:textId="021381E6" w:rsidR="00097891" w:rsidRPr="009713B3" w:rsidRDefault="00097891" w:rsidP="009713B3">
      <w:pPr>
        <w:spacing w:line="360" w:lineRule="auto"/>
        <w:jc w:val="both"/>
        <w:rPr>
          <w:rFonts w:ascii="Arial" w:hAnsi="Arial" w:cs="Arial"/>
          <w:lang w:eastAsia="en-GB"/>
        </w:rPr>
      </w:pPr>
      <w:r w:rsidRPr="00097891">
        <w:rPr>
          <w:rFonts w:ascii="Arial" w:hAnsi="Arial" w:cs="Arial"/>
          <w:lang w:eastAsia="en-GB"/>
        </w:rPr>
        <w:t xml:space="preserve">Gautier, L., Noda, S., Chabrol, F., David, P.M., Duhoux, A., Hou, R., Rosana de Araújo Oliveira, S., Traverson, L., Zinszer, K. and Ridde, V., </w:t>
      </w:r>
      <w:r w:rsidR="00C50D96">
        <w:rPr>
          <w:rFonts w:ascii="Arial" w:hAnsi="Arial" w:cs="Arial"/>
          <w:lang w:eastAsia="en-GB"/>
        </w:rPr>
        <w:t>(</w:t>
      </w:r>
      <w:r w:rsidRPr="00097891">
        <w:rPr>
          <w:rFonts w:ascii="Arial" w:hAnsi="Arial" w:cs="Arial"/>
          <w:lang w:eastAsia="en-GB"/>
        </w:rPr>
        <w:t>2023</w:t>
      </w:r>
      <w:r w:rsidR="00C50D96">
        <w:rPr>
          <w:rFonts w:ascii="Arial" w:hAnsi="Arial" w:cs="Arial"/>
          <w:lang w:eastAsia="en-GB"/>
        </w:rPr>
        <w:t>)</w:t>
      </w:r>
      <w:r w:rsidRPr="00097891">
        <w:rPr>
          <w:rFonts w:ascii="Arial" w:hAnsi="Arial" w:cs="Arial"/>
          <w:lang w:eastAsia="en-GB"/>
        </w:rPr>
        <w:t>. Hospital governance during the COVID-19 pandemic: a multiple-country case study. </w:t>
      </w:r>
      <w:r w:rsidRPr="00097891">
        <w:rPr>
          <w:rFonts w:ascii="Arial" w:hAnsi="Arial" w:cs="Arial"/>
          <w:i/>
          <w:iCs/>
          <w:lang w:eastAsia="en-GB"/>
        </w:rPr>
        <w:t>Health Systems &amp; Reform</w:t>
      </w:r>
      <w:r w:rsidRPr="00097891">
        <w:rPr>
          <w:rFonts w:ascii="Arial" w:hAnsi="Arial" w:cs="Arial"/>
          <w:lang w:eastAsia="en-GB"/>
        </w:rPr>
        <w:t>, </w:t>
      </w:r>
      <w:r w:rsidRPr="00097891">
        <w:rPr>
          <w:rFonts w:ascii="Arial" w:hAnsi="Arial" w:cs="Arial"/>
          <w:i/>
          <w:iCs/>
          <w:lang w:eastAsia="en-GB"/>
        </w:rPr>
        <w:t>9</w:t>
      </w:r>
      <w:r w:rsidRPr="00097891">
        <w:rPr>
          <w:rFonts w:ascii="Arial" w:hAnsi="Arial" w:cs="Arial"/>
          <w:lang w:eastAsia="en-GB"/>
        </w:rPr>
        <w:t>(2), p.2173551.</w:t>
      </w:r>
    </w:p>
    <w:p w14:paraId="26CD3B72" w14:textId="655F1732" w:rsidR="005F6795" w:rsidRPr="009713B3" w:rsidRDefault="005F6795" w:rsidP="009713B3">
      <w:pPr>
        <w:spacing w:line="360" w:lineRule="auto"/>
        <w:jc w:val="both"/>
        <w:rPr>
          <w:rFonts w:ascii="Arial" w:hAnsi="Arial" w:cs="Arial"/>
          <w:lang w:eastAsia="en-GB"/>
        </w:rPr>
      </w:pPr>
      <w:r w:rsidRPr="009713B3">
        <w:rPr>
          <w:rFonts w:ascii="Arial" w:hAnsi="Arial" w:cs="Arial"/>
          <w:lang w:eastAsia="en-GB"/>
        </w:rPr>
        <w:lastRenderedPageBreak/>
        <w:t xml:space="preserve">Hodwitz, K., Wigle, J., Juando-Prats, C., Allan, K., Li, X., Fallon, B., Birken, C.S., Maguire, J.L. and Parsons, J.A., </w:t>
      </w:r>
      <w:r w:rsidR="004F246E">
        <w:rPr>
          <w:rFonts w:ascii="Arial" w:hAnsi="Arial" w:cs="Arial"/>
          <w:lang w:eastAsia="en-GB"/>
        </w:rPr>
        <w:t>(</w:t>
      </w:r>
      <w:r w:rsidRPr="009713B3">
        <w:rPr>
          <w:rFonts w:ascii="Arial" w:hAnsi="Arial" w:cs="Arial"/>
          <w:lang w:eastAsia="en-GB"/>
        </w:rPr>
        <w:t>2024</w:t>
      </w:r>
      <w:r w:rsidR="004F246E">
        <w:rPr>
          <w:rFonts w:ascii="Arial" w:hAnsi="Arial" w:cs="Arial"/>
          <w:lang w:eastAsia="en-GB"/>
        </w:rPr>
        <w:t>)</w:t>
      </w:r>
      <w:r w:rsidRPr="009713B3">
        <w:rPr>
          <w:rFonts w:ascii="Arial" w:hAnsi="Arial" w:cs="Arial"/>
          <w:lang w:eastAsia="en-GB"/>
        </w:rPr>
        <w:t>. Physicians’ perspectives on COVID-19 vaccinations for children: a qualitative exploration in Ontario, Canada. </w:t>
      </w:r>
      <w:r w:rsidRPr="009713B3">
        <w:rPr>
          <w:rFonts w:ascii="Arial" w:hAnsi="Arial" w:cs="Arial"/>
          <w:i/>
          <w:iCs/>
          <w:lang w:eastAsia="en-GB"/>
        </w:rPr>
        <w:t>BMJ open</w:t>
      </w:r>
      <w:r w:rsidRPr="009713B3">
        <w:rPr>
          <w:rFonts w:ascii="Arial" w:hAnsi="Arial" w:cs="Arial"/>
          <w:lang w:eastAsia="en-GB"/>
        </w:rPr>
        <w:t>, </w:t>
      </w:r>
      <w:r w:rsidRPr="009713B3">
        <w:rPr>
          <w:rFonts w:ascii="Arial" w:hAnsi="Arial" w:cs="Arial"/>
          <w:i/>
          <w:iCs/>
          <w:lang w:eastAsia="en-GB"/>
        </w:rPr>
        <w:t>14</w:t>
      </w:r>
      <w:r w:rsidRPr="009713B3">
        <w:rPr>
          <w:rFonts w:ascii="Arial" w:hAnsi="Arial" w:cs="Arial"/>
          <w:lang w:eastAsia="en-GB"/>
        </w:rPr>
        <w:t>(7), p.e081694.</w:t>
      </w:r>
    </w:p>
    <w:p w14:paraId="5E35D816" w14:textId="6CABED72" w:rsidR="00145682" w:rsidRDefault="00145682" w:rsidP="009713B3">
      <w:pPr>
        <w:spacing w:line="360" w:lineRule="auto"/>
        <w:jc w:val="both"/>
        <w:rPr>
          <w:rFonts w:ascii="Arial" w:hAnsi="Arial" w:cs="Arial"/>
          <w:lang w:eastAsia="en-GB"/>
        </w:rPr>
      </w:pPr>
      <w:r w:rsidRPr="009713B3">
        <w:rPr>
          <w:rFonts w:ascii="Arial" w:hAnsi="Arial" w:cs="Arial"/>
          <w:lang w:eastAsia="en-GB"/>
        </w:rPr>
        <w:t xml:space="preserve">Khatri, R.B., Endalamaw, A., Erku, D., Wolka, E., Nigatu, F., Zewdie, A. and Assefa, Y., </w:t>
      </w:r>
      <w:r w:rsidR="004F246E">
        <w:rPr>
          <w:rFonts w:ascii="Arial" w:hAnsi="Arial" w:cs="Arial"/>
          <w:lang w:eastAsia="en-GB"/>
        </w:rPr>
        <w:t>(</w:t>
      </w:r>
      <w:r w:rsidRPr="009713B3">
        <w:rPr>
          <w:rFonts w:ascii="Arial" w:hAnsi="Arial" w:cs="Arial"/>
          <w:lang w:eastAsia="en-GB"/>
        </w:rPr>
        <w:t>2025</w:t>
      </w:r>
      <w:r w:rsidR="004F246E">
        <w:rPr>
          <w:rFonts w:ascii="Arial" w:hAnsi="Arial" w:cs="Arial"/>
          <w:lang w:eastAsia="en-GB"/>
        </w:rPr>
        <w:t>)</w:t>
      </w:r>
      <w:r w:rsidRPr="009713B3">
        <w:rPr>
          <w:rFonts w:ascii="Arial" w:hAnsi="Arial" w:cs="Arial"/>
          <w:lang w:eastAsia="en-GB"/>
        </w:rPr>
        <w:t>. Contribution of health system governance in delivering primary health care services for universal health coverage: A scoping review. </w:t>
      </w:r>
      <w:r w:rsidRPr="009713B3">
        <w:rPr>
          <w:rFonts w:ascii="Arial" w:hAnsi="Arial" w:cs="Arial"/>
          <w:i/>
          <w:iCs/>
          <w:lang w:eastAsia="en-GB"/>
        </w:rPr>
        <w:t>PloS one</w:t>
      </w:r>
      <w:r w:rsidRPr="009713B3">
        <w:rPr>
          <w:rFonts w:ascii="Arial" w:hAnsi="Arial" w:cs="Arial"/>
          <w:lang w:eastAsia="en-GB"/>
        </w:rPr>
        <w:t>, </w:t>
      </w:r>
      <w:r w:rsidRPr="009713B3">
        <w:rPr>
          <w:rFonts w:ascii="Arial" w:hAnsi="Arial" w:cs="Arial"/>
          <w:i/>
          <w:iCs/>
          <w:lang w:eastAsia="en-GB"/>
        </w:rPr>
        <w:t>20</w:t>
      </w:r>
      <w:r w:rsidRPr="009713B3">
        <w:rPr>
          <w:rFonts w:ascii="Arial" w:hAnsi="Arial" w:cs="Arial"/>
          <w:lang w:eastAsia="en-GB"/>
        </w:rPr>
        <w:t>(2), p.e0318244.</w:t>
      </w:r>
    </w:p>
    <w:p w14:paraId="5F69C8C3" w14:textId="0D1C3810" w:rsidR="00E13E7C" w:rsidRPr="009713B3" w:rsidRDefault="00E13E7C" w:rsidP="009713B3">
      <w:pPr>
        <w:spacing w:line="360" w:lineRule="auto"/>
        <w:jc w:val="both"/>
        <w:rPr>
          <w:rFonts w:ascii="Arial" w:hAnsi="Arial" w:cs="Arial"/>
          <w:lang w:eastAsia="en-GB"/>
        </w:rPr>
      </w:pPr>
      <w:r w:rsidRPr="00E13E7C">
        <w:rPr>
          <w:rFonts w:ascii="Arial" w:hAnsi="Arial" w:cs="Arial"/>
          <w:lang w:eastAsia="en-GB"/>
        </w:rPr>
        <w:t xml:space="preserve">Lee, D. and Lee, J., </w:t>
      </w:r>
      <w:r w:rsidR="006B5873">
        <w:rPr>
          <w:rFonts w:ascii="Arial" w:hAnsi="Arial" w:cs="Arial"/>
          <w:lang w:eastAsia="en-GB"/>
        </w:rPr>
        <w:t>(</w:t>
      </w:r>
      <w:r w:rsidRPr="00E13E7C">
        <w:rPr>
          <w:rFonts w:ascii="Arial" w:hAnsi="Arial" w:cs="Arial"/>
          <w:lang w:eastAsia="en-GB"/>
        </w:rPr>
        <w:t>2020</w:t>
      </w:r>
      <w:r w:rsidR="006B5873">
        <w:rPr>
          <w:rFonts w:ascii="Arial" w:hAnsi="Arial" w:cs="Arial"/>
          <w:lang w:eastAsia="en-GB"/>
        </w:rPr>
        <w:t>)</w:t>
      </w:r>
      <w:r w:rsidRPr="00E13E7C">
        <w:rPr>
          <w:rFonts w:ascii="Arial" w:hAnsi="Arial" w:cs="Arial"/>
          <w:lang w:eastAsia="en-GB"/>
        </w:rPr>
        <w:t>. Testing on the move: South Korea's rapid response to the COVID-19 pandemic. </w:t>
      </w:r>
      <w:r w:rsidRPr="00E13E7C">
        <w:rPr>
          <w:rFonts w:ascii="Arial" w:hAnsi="Arial" w:cs="Arial"/>
          <w:i/>
          <w:iCs/>
          <w:lang w:eastAsia="en-GB"/>
        </w:rPr>
        <w:t>Transportation Research Interdisciplinary Perspectives</w:t>
      </w:r>
      <w:r w:rsidRPr="00E13E7C">
        <w:rPr>
          <w:rFonts w:ascii="Arial" w:hAnsi="Arial" w:cs="Arial"/>
          <w:lang w:eastAsia="en-GB"/>
        </w:rPr>
        <w:t>, </w:t>
      </w:r>
      <w:r w:rsidRPr="00E13E7C">
        <w:rPr>
          <w:rFonts w:ascii="Arial" w:hAnsi="Arial" w:cs="Arial"/>
          <w:i/>
          <w:iCs/>
          <w:lang w:eastAsia="en-GB"/>
        </w:rPr>
        <w:t>5</w:t>
      </w:r>
      <w:r w:rsidRPr="00E13E7C">
        <w:rPr>
          <w:rFonts w:ascii="Arial" w:hAnsi="Arial" w:cs="Arial"/>
          <w:lang w:eastAsia="en-GB"/>
        </w:rPr>
        <w:t>, p.100111.</w:t>
      </w:r>
    </w:p>
    <w:p w14:paraId="1D91464F" w14:textId="7C941E44" w:rsidR="00D53FA0" w:rsidRDefault="00D53FA0" w:rsidP="009713B3">
      <w:pPr>
        <w:spacing w:line="360" w:lineRule="auto"/>
        <w:jc w:val="both"/>
        <w:rPr>
          <w:rFonts w:ascii="Arial" w:hAnsi="Arial" w:cs="Arial"/>
          <w:lang w:eastAsia="en-GB"/>
        </w:rPr>
      </w:pPr>
      <w:r w:rsidRPr="009713B3">
        <w:rPr>
          <w:rFonts w:ascii="Arial" w:hAnsi="Arial" w:cs="Arial"/>
          <w:lang w:eastAsia="en-GB"/>
        </w:rPr>
        <w:t xml:space="preserve">Lukac, C.D., Simms, B., Kwong, G.P., Holodinsky, J.K., Johnson, D.W. and Kellner, J.D., </w:t>
      </w:r>
      <w:r w:rsidR="004F246E">
        <w:rPr>
          <w:rFonts w:ascii="Arial" w:hAnsi="Arial" w:cs="Arial"/>
          <w:lang w:eastAsia="en-GB"/>
        </w:rPr>
        <w:t>(</w:t>
      </w:r>
      <w:r w:rsidRPr="009713B3">
        <w:rPr>
          <w:rFonts w:ascii="Arial" w:hAnsi="Arial" w:cs="Arial"/>
          <w:lang w:eastAsia="en-GB"/>
        </w:rPr>
        <w:t>2025</w:t>
      </w:r>
      <w:r w:rsidR="004F246E">
        <w:rPr>
          <w:rFonts w:ascii="Arial" w:hAnsi="Arial" w:cs="Arial"/>
          <w:lang w:eastAsia="en-GB"/>
        </w:rPr>
        <w:t>)</w:t>
      </w:r>
      <w:r w:rsidRPr="009713B3">
        <w:rPr>
          <w:rFonts w:ascii="Arial" w:hAnsi="Arial" w:cs="Arial"/>
          <w:lang w:eastAsia="en-GB"/>
        </w:rPr>
        <w:t>. Hospitalizations for all-cause pediatric acute respiratory diseases in Alberta, Canada, before, during, and after the COVID-19 pandemic: a population-level retrospective cohort study from 2010 to 2024. </w:t>
      </w:r>
      <w:r w:rsidRPr="009713B3">
        <w:rPr>
          <w:rFonts w:ascii="Arial" w:hAnsi="Arial" w:cs="Arial"/>
          <w:i/>
          <w:iCs/>
          <w:lang w:eastAsia="en-GB"/>
        </w:rPr>
        <w:t>The Lancet Regional Health–Americas</w:t>
      </w:r>
      <w:r w:rsidRPr="009713B3">
        <w:rPr>
          <w:rFonts w:ascii="Arial" w:hAnsi="Arial" w:cs="Arial"/>
          <w:lang w:eastAsia="en-GB"/>
        </w:rPr>
        <w:t>, </w:t>
      </w:r>
      <w:r w:rsidRPr="009713B3">
        <w:rPr>
          <w:rFonts w:ascii="Arial" w:hAnsi="Arial" w:cs="Arial"/>
          <w:i/>
          <w:iCs/>
          <w:lang w:eastAsia="en-GB"/>
        </w:rPr>
        <w:t>44</w:t>
      </w:r>
      <w:r w:rsidRPr="009713B3">
        <w:rPr>
          <w:rFonts w:ascii="Arial" w:hAnsi="Arial" w:cs="Arial"/>
          <w:lang w:eastAsia="en-GB"/>
        </w:rPr>
        <w:t>.</w:t>
      </w:r>
    </w:p>
    <w:p w14:paraId="76B32FFF" w14:textId="3A3B0340" w:rsidR="00E9647C" w:rsidRDefault="00E9647C" w:rsidP="009713B3">
      <w:pPr>
        <w:spacing w:line="360" w:lineRule="auto"/>
        <w:jc w:val="both"/>
        <w:rPr>
          <w:rFonts w:ascii="Arial" w:hAnsi="Arial" w:cs="Arial"/>
          <w:lang w:eastAsia="en-GB"/>
        </w:rPr>
      </w:pPr>
      <w:r w:rsidRPr="00E9647C">
        <w:rPr>
          <w:rFonts w:ascii="Arial" w:hAnsi="Arial" w:cs="Arial"/>
          <w:lang w:eastAsia="en-GB"/>
        </w:rPr>
        <w:t xml:space="preserve">Mira, J.J., Cobos-Vargas, Á., Astier-Peña, M.P., Pérez-Pérez, P., Carrillo, I., Guilabert, M., Pérez-Jover, V., Fernández-Peris, C., Vicente-Ripoll, M.A., Silvestre-Busto, C. and Lorenzo-Martínez, S., </w:t>
      </w:r>
      <w:r w:rsidR="00C51D14">
        <w:rPr>
          <w:rFonts w:ascii="Arial" w:hAnsi="Arial" w:cs="Arial"/>
          <w:lang w:eastAsia="en-GB"/>
        </w:rPr>
        <w:t>(</w:t>
      </w:r>
      <w:r w:rsidRPr="00E9647C">
        <w:rPr>
          <w:rFonts w:ascii="Arial" w:hAnsi="Arial" w:cs="Arial"/>
          <w:lang w:eastAsia="en-GB"/>
        </w:rPr>
        <w:t>2021</w:t>
      </w:r>
      <w:r w:rsidR="00C51D14">
        <w:rPr>
          <w:rFonts w:ascii="Arial" w:hAnsi="Arial" w:cs="Arial"/>
          <w:lang w:eastAsia="en-GB"/>
        </w:rPr>
        <w:t>)</w:t>
      </w:r>
      <w:r w:rsidRPr="00E9647C">
        <w:rPr>
          <w:rFonts w:ascii="Arial" w:hAnsi="Arial" w:cs="Arial"/>
          <w:lang w:eastAsia="en-GB"/>
        </w:rPr>
        <w:t>. Addressing acute stress among professionals caring for COVID-19 patients: lessons learned during the first outbreak in Spain (March–April 2020). </w:t>
      </w:r>
      <w:r w:rsidRPr="00E9647C">
        <w:rPr>
          <w:rFonts w:ascii="Arial" w:hAnsi="Arial" w:cs="Arial"/>
          <w:i/>
          <w:iCs/>
          <w:lang w:eastAsia="en-GB"/>
        </w:rPr>
        <w:t>International Journal of Environmental Research and Public Health</w:t>
      </w:r>
      <w:r w:rsidRPr="00E9647C">
        <w:rPr>
          <w:rFonts w:ascii="Arial" w:hAnsi="Arial" w:cs="Arial"/>
          <w:lang w:eastAsia="en-GB"/>
        </w:rPr>
        <w:t>, </w:t>
      </w:r>
      <w:r w:rsidRPr="00E9647C">
        <w:rPr>
          <w:rFonts w:ascii="Arial" w:hAnsi="Arial" w:cs="Arial"/>
          <w:i/>
          <w:iCs/>
          <w:lang w:eastAsia="en-GB"/>
        </w:rPr>
        <w:t>18</w:t>
      </w:r>
      <w:r w:rsidRPr="00E9647C">
        <w:rPr>
          <w:rFonts w:ascii="Arial" w:hAnsi="Arial" w:cs="Arial"/>
          <w:lang w:eastAsia="en-GB"/>
        </w:rPr>
        <w:t>(22), p.12010.</w:t>
      </w:r>
    </w:p>
    <w:p w14:paraId="2B797B54" w14:textId="6B9B06AC" w:rsidR="00AA6F20" w:rsidRPr="009713B3" w:rsidRDefault="00AA6F20" w:rsidP="009713B3">
      <w:pPr>
        <w:spacing w:line="360" w:lineRule="auto"/>
        <w:jc w:val="both"/>
        <w:rPr>
          <w:rFonts w:ascii="Arial" w:hAnsi="Arial" w:cs="Arial"/>
          <w:lang w:eastAsia="en-GB"/>
        </w:rPr>
      </w:pPr>
      <w:r w:rsidRPr="00AA6F20">
        <w:rPr>
          <w:rFonts w:ascii="Arial" w:hAnsi="Arial" w:cs="Arial"/>
          <w:lang w:eastAsia="en-GB"/>
        </w:rPr>
        <w:t>Ohrling, M., Solberg Carlsson, K. and Brommels, M., 2022. No man is an island: management of the emergency response to the SARS-CoV-2 (COVID-19) outbreak in a large public decentralised service delivery organisation. </w:t>
      </w:r>
      <w:r w:rsidRPr="00AA6F20">
        <w:rPr>
          <w:rFonts w:ascii="Arial" w:hAnsi="Arial" w:cs="Arial"/>
          <w:i/>
          <w:iCs/>
          <w:lang w:eastAsia="en-GB"/>
        </w:rPr>
        <w:t>BMC Health Services Research</w:t>
      </w:r>
      <w:r w:rsidRPr="00AA6F20">
        <w:rPr>
          <w:rFonts w:ascii="Arial" w:hAnsi="Arial" w:cs="Arial"/>
          <w:lang w:eastAsia="en-GB"/>
        </w:rPr>
        <w:t>, </w:t>
      </w:r>
      <w:r w:rsidRPr="00AA6F20">
        <w:rPr>
          <w:rFonts w:ascii="Arial" w:hAnsi="Arial" w:cs="Arial"/>
          <w:i/>
          <w:iCs/>
          <w:lang w:eastAsia="en-GB"/>
        </w:rPr>
        <w:t>22</w:t>
      </w:r>
      <w:r w:rsidRPr="00AA6F20">
        <w:rPr>
          <w:rFonts w:ascii="Arial" w:hAnsi="Arial" w:cs="Arial"/>
          <w:lang w:eastAsia="en-GB"/>
        </w:rPr>
        <w:t>(1), p.371.</w:t>
      </w:r>
    </w:p>
    <w:p w14:paraId="45C99B8A" w14:textId="72135E18" w:rsidR="003E4AF4" w:rsidRDefault="003E4AF4" w:rsidP="009713B3">
      <w:pPr>
        <w:spacing w:line="360" w:lineRule="auto"/>
        <w:jc w:val="both"/>
        <w:rPr>
          <w:rFonts w:ascii="Arial" w:hAnsi="Arial" w:cs="Arial"/>
          <w:lang w:eastAsia="en-GB"/>
        </w:rPr>
      </w:pPr>
      <w:r w:rsidRPr="009713B3">
        <w:rPr>
          <w:rFonts w:ascii="Arial" w:hAnsi="Arial" w:cs="Arial"/>
          <w:lang w:eastAsia="en-GB"/>
        </w:rPr>
        <w:t xml:space="preserve">Olkowicz, J. and Jarosik-Michalak, A., </w:t>
      </w:r>
      <w:r w:rsidR="004F246E">
        <w:rPr>
          <w:rFonts w:ascii="Arial" w:hAnsi="Arial" w:cs="Arial"/>
          <w:lang w:eastAsia="en-GB"/>
        </w:rPr>
        <w:t>(</w:t>
      </w:r>
      <w:r w:rsidRPr="009713B3">
        <w:rPr>
          <w:rFonts w:ascii="Arial" w:hAnsi="Arial" w:cs="Arial"/>
          <w:lang w:eastAsia="en-GB"/>
        </w:rPr>
        <w:t>2022</w:t>
      </w:r>
      <w:r w:rsidR="004F246E">
        <w:rPr>
          <w:rFonts w:ascii="Arial" w:hAnsi="Arial" w:cs="Arial"/>
          <w:lang w:eastAsia="en-GB"/>
        </w:rPr>
        <w:t>)</w:t>
      </w:r>
      <w:r w:rsidRPr="009713B3">
        <w:rPr>
          <w:rFonts w:ascii="Arial" w:hAnsi="Arial" w:cs="Arial"/>
          <w:lang w:eastAsia="en-GB"/>
        </w:rPr>
        <w:t>. The role of leadership in the COVID-19 pandemic crisis. </w:t>
      </w:r>
      <w:r w:rsidRPr="009713B3">
        <w:rPr>
          <w:rFonts w:ascii="Arial" w:hAnsi="Arial" w:cs="Arial"/>
          <w:i/>
          <w:iCs/>
          <w:lang w:eastAsia="en-GB"/>
        </w:rPr>
        <w:t>WSB Journal of Business and Finance</w:t>
      </w:r>
      <w:r w:rsidRPr="009713B3">
        <w:rPr>
          <w:rFonts w:ascii="Arial" w:hAnsi="Arial" w:cs="Arial"/>
          <w:lang w:eastAsia="en-GB"/>
        </w:rPr>
        <w:t>, </w:t>
      </w:r>
      <w:r w:rsidRPr="009713B3">
        <w:rPr>
          <w:rFonts w:ascii="Arial" w:hAnsi="Arial" w:cs="Arial"/>
          <w:i/>
          <w:iCs/>
          <w:lang w:eastAsia="en-GB"/>
        </w:rPr>
        <w:t>56</w:t>
      </w:r>
      <w:r w:rsidRPr="009713B3">
        <w:rPr>
          <w:rFonts w:ascii="Arial" w:hAnsi="Arial" w:cs="Arial"/>
          <w:lang w:eastAsia="en-GB"/>
        </w:rPr>
        <w:t>(1), pp.55-63.</w:t>
      </w:r>
    </w:p>
    <w:p w14:paraId="4C634715" w14:textId="7E3D0C3D" w:rsidR="00097891" w:rsidRPr="009713B3" w:rsidRDefault="00097891" w:rsidP="009713B3">
      <w:pPr>
        <w:spacing w:line="360" w:lineRule="auto"/>
        <w:jc w:val="both"/>
        <w:rPr>
          <w:rFonts w:ascii="Arial" w:hAnsi="Arial" w:cs="Arial"/>
          <w:lang w:eastAsia="en-GB"/>
        </w:rPr>
      </w:pPr>
      <w:r w:rsidRPr="00097891">
        <w:rPr>
          <w:rFonts w:ascii="Arial" w:hAnsi="Arial" w:cs="Arial"/>
          <w:lang w:eastAsia="en-GB"/>
        </w:rPr>
        <w:t xml:space="preserve">Osti, T., Gris, A.V., Corona, V.F., Villani, L., D’Ambrosio, F., Lomazzi, M., Favaretti, C., Cascini, F., Gualano, M.R. and Ricciardi, W., </w:t>
      </w:r>
      <w:r w:rsidR="00390EF7">
        <w:rPr>
          <w:rFonts w:ascii="Arial" w:hAnsi="Arial" w:cs="Arial"/>
          <w:lang w:eastAsia="en-GB"/>
        </w:rPr>
        <w:t>(</w:t>
      </w:r>
      <w:r w:rsidRPr="00097891">
        <w:rPr>
          <w:rFonts w:ascii="Arial" w:hAnsi="Arial" w:cs="Arial"/>
          <w:lang w:eastAsia="en-GB"/>
        </w:rPr>
        <w:t>2023</w:t>
      </w:r>
      <w:r w:rsidR="00390EF7">
        <w:rPr>
          <w:rFonts w:ascii="Arial" w:hAnsi="Arial" w:cs="Arial"/>
          <w:lang w:eastAsia="en-GB"/>
        </w:rPr>
        <w:t>)</w:t>
      </w:r>
      <w:r w:rsidRPr="00097891">
        <w:rPr>
          <w:rFonts w:ascii="Arial" w:hAnsi="Arial" w:cs="Arial"/>
          <w:lang w:eastAsia="en-GB"/>
        </w:rPr>
        <w:t>. Public health leadership in the COVID-19 era: how does it fit? A scoping review. </w:t>
      </w:r>
      <w:r w:rsidRPr="00097891">
        <w:rPr>
          <w:rFonts w:ascii="Arial" w:hAnsi="Arial" w:cs="Arial"/>
          <w:i/>
          <w:iCs/>
          <w:lang w:eastAsia="en-GB"/>
        </w:rPr>
        <w:t>BMJ leader</w:t>
      </w:r>
      <w:r w:rsidRPr="00097891">
        <w:rPr>
          <w:rFonts w:ascii="Arial" w:hAnsi="Arial" w:cs="Arial"/>
          <w:lang w:eastAsia="en-GB"/>
        </w:rPr>
        <w:t>, </w:t>
      </w:r>
      <w:r w:rsidRPr="00097891">
        <w:rPr>
          <w:rFonts w:ascii="Arial" w:hAnsi="Arial" w:cs="Arial"/>
          <w:i/>
          <w:iCs/>
          <w:lang w:eastAsia="en-GB"/>
        </w:rPr>
        <w:t>8</w:t>
      </w:r>
      <w:r w:rsidRPr="00097891">
        <w:rPr>
          <w:rFonts w:ascii="Arial" w:hAnsi="Arial" w:cs="Arial"/>
          <w:lang w:eastAsia="en-GB"/>
        </w:rPr>
        <w:t>(2), p.e000653.</w:t>
      </w:r>
    </w:p>
    <w:p w14:paraId="55F0E15D" w14:textId="656DE08C" w:rsidR="001F055B" w:rsidRPr="009713B3" w:rsidRDefault="001F055B" w:rsidP="009713B3">
      <w:pPr>
        <w:spacing w:line="360" w:lineRule="auto"/>
        <w:jc w:val="both"/>
        <w:rPr>
          <w:rFonts w:ascii="Arial" w:hAnsi="Arial" w:cs="Arial"/>
          <w:lang w:eastAsia="en-GB"/>
        </w:rPr>
      </w:pPr>
      <w:r w:rsidRPr="009713B3">
        <w:rPr>
          <w:rFonts w:ascii="Arial" w:hAnsi="Arial" w:cs="Arial"/>
          <w:lang w:eastAsia="en-GB"/>
        </w:rPr>
        <w:lastRenderedPageBreak/>
        <w:t xml:space="preserve">Park, J., Min, J., Song, J.H., Park, M.Y., Yoo, H., Kwon, O., Yang, M., Kim, S., Lee, J. and Myong, J.P., </w:t>
      </w:r>
      <w:r w:rsidR="004F246E">
        <w:rPr>
          <w:rFonts w:ascii="Arial" w:hAnsi="Arial" w:cs="Arial"/>
          <w:lang w:eastAsia="en-GB"/>
        </w:rPr>
        <w:t>(</w:t>
      </w:r>
      <w:r w:rsidRPr="009713B3">
        <w:rPr>
          <w:rFonts w:ascii="Arial" w:hAnsi="Arial" w:cs="Arial"/>
          <w:lang w:eastAsia="en-GB"/>
        </w:rPr>
        <w:t>2023</w:t>
      </w:r>
      <w:r w:rsidR="004F246E">
        <w:rPr>
          <w:rFonts w:ascii="Arial" w:hAnsi="Arial" w:cs="Arial"/>
          <w:lang w:eastAsia="en-GB"/>
        </w:rPr>
        <w:t>)</w:t>
      </w:r>
      <w:r w:rsidRPr="009713B3">
        <w:rPr>
          <w:rFonts w:ascii="Arial" w:hAnsi="Arial" w:cs="Arial"/>
          <w:lang w:eastAsia="en-GB"/>
        </w:rPr>
        <w:t>. The COVID-19 pandemic response and its impact on Post-corona Health Emergency and Disaster Risk Management in Republic of Korea. </w:t>
      </w:r>
      <w:r w:rsidRPr="009713B3">
        <w:rPr>
          <w:rFonts w:ascii="Arial" w:hAnsi="Arial" w:cs="Arial"/>
          <w:i/>
          <w:iCs/>
          <w:lang w:eastAsia="en-GB"/>
        </w:rPr>
        <w:t>Sustainability</w:t>
      </w:r>
      <w:r w:rsidRPr="009713B3">
        <w:rPr>
          <w:rFonts w:ascii="Arial" w:hAnsi="Arial" w:cs="Arial"/>
          <w:lang w:eastAsia="en-GB"/>
        </w:rPr>
        <w:t>, </w:t>
      </w:r>
      <w:r w:rsidRPr="009713B3">
        <w:rPr>
          <w:rFonts w:ascii="Arial" w:hAnsi="Arial" w:cs="Arial"/>
          <w:i/>
          <w:iCs/>
          <w:lang w:eastAsia="en-GB"/>
        </w:rPr>
        <w:t>15</w:t>
      </w:r>
      <w:r w:rsidRPr="009713B3">
        <w:rPr>
          <w:rFonts w:ascii="Arial" w:hAnsi="Arial" w:cs="Arial"/>
          <w:lang w:eastAsia="en-GB"/>
        </w:rPr>
        <w:t>(4), p.3175.</w:t>
      </w:r>
    </w:p>
    <w:p w14:paraId="3CF7AF02" w14:textId="605768A0" w:rsidR="00CF6553" w:rsidRPr="009713B3" w:rsidRDefault="00CF6553" w:rsidP="009713B3">
      <w:pPr>
        <w:spacing w:line="360" w:lineRule="auto"/>
        <w:jc w:val="both"/>
        <w:rPr>
          <w:rFonts w:ascii="Arial" w:hAnsi="Arial" w:cs="Arial"/>
          <w:lang w:eastAsia="en-GB"/>
        </w:rPr>
      </w:pPr>
      <w:r w:rsidRPr="009713B3">
        <w:rPr>
          <w:rFonts w:ascii="Arial" w:hAnsi="Arial" w:cs="Arial"/>
          <w:lang w:eastAsia="en-GB"/>
        </w:rPr>
        <w:t xml:space="preserve">Ruiz-Hornillos, J., Hernández Suárez, P., Marín Martínez, J.M., Miguel Beriain, Í.D., Nieves Vázquez, M.A., Albert, M., Herrera Abián, M., Pacheco-Martínez, P.A., Trasmontes, V. and Guillén-Navarro, E., </w:t>
      </w:r>
      <w:r w:rsidR="004F246E">
        <w:rPr>
          <w:rFonts w:ascii="Arial" w:hAnsi="Arial" w:cs="Arial"/>
          <w:lang w:eastAsia="en-GB"/>
        </w:rPr>
        <w:t>(</w:t>
      </w:r>
      <w:r w:rsidRPr="009713B3">
        <w:rPr>
          <w:rFonts w:ascii="Arial" w:hAnsi="Arial" w:cs="Arial"/>
          <w:lang w:eastAsia="en-GB"/>
        </w:rPr>
        <w:t>2021</w:t>
      </w:r>
      <w:r w:rsidR="004F246E">
        <w:rPr>
          <w:rFonts w:ascii="Arial" w:hAnsi="Arial" w:cs="Arial"/>
          <w:lang w:eastAsia="en-GB"/>
        </w:rPr>
        <w:t>)</w:t>
      </w:r>
      <w:r w:rsidRPr="009713B3">
        <w:rPr>
          <w:rFonts w:ascii="Arial" w:hAnsi="Arial" w:cs="Arial"/>
          <w:lang w:eastAsia="en-GB"/>
        </w:rPr>
        <w:t>. Bioethical concerns during the COVID-19 pandemic: what did healthcare ethics committees and institutions state in Spain?. </w:t>
      </w:r>
      <w:r w:rsidRPr="009713B3">
        <w:rPr>
          <w:rFonts w:ascii="Arial" w:hAnsi="Arial" w:cs="Arial"/>
          <w:i/>
          <w:iCs/>
          <w:lang w:eastAsia="en-GB"/>
        </w:rPr>
        <w:t>Frontiers in public health</w:t>
      </w:r>
      <w:r w:rsidRPr="009713B3">
        <w:rPr>
          <w:rFonts w:ascii="Arial" w:hAnsi="Arial" w:cs="Arial"/>
          <w:lang w:eastAsia="en-GB"/>
        </w:rPr>
        <w:t>, </w:t>
      </w:r>
      <w:r w:rsidRPr="009713B3">
        <w:rPr>
          <w:rFonts w:ascii="Arial" w:hAnsi="Arial" w:cs="Arial"/>
          <w:i/>
          <w:iCs/>
          <w:lang w:eastAsia="en-GB"/>
        </w:rPr>
        <w:t>9</w:t>
      </w:r>
      <w:r w:rsidRPr="009713B3">
        <w:rPr>
          <w:rFonts w:ascii="Arial" w:hAnsi="Arial" w:cs="Arial"/>
          <w:lang w:eastAsia="en-GB"/>
        </w:rPr>
        <w:t>, p.737755.</w:t>
      </w:r>
    </w:p>
    <w:p w14:paraId="77A88364" w14:textId="354CCD62" w:rsidR="00D53FA0" w:rsidRDefault="00D53FA0" w:rsidP="009713B3">
      <w:pPr>
        <w:spacing w:line="360" w:lineRule="auto"/>
        <w:jc w:val="both"/>
        <w:rPr>
          <w:rFonts w:ascii="Arial" w:hAnsi="Arial" w:cs="Arial"/>
          <w:lang w:eastAsia="en-GB"/>
        </w:rPr>
      </w:pPr>
      <w:r w:rsidRPr="009713B3">
        <w:rPr>
          <w:rFonts w:ascii="Arial" w:hAnsi="Arial" w:cs="Arial"/>
          <w:lang w:eastAsia="en-GB"/>
        </w:rPr>
        <w:t xml:space="preserve">Taylor, P. and Tremblay, C., </w:t>
      </w:r>
      <w:r w:rsidR="004F246E">
        <w:rPr>
          <w:rFonts w:ascii="Arial" w:hAnsi="Arial" w:cs="Arial"/>
          <w:lang w:eastAsia="en-GB"/>
        </w:rPr>
        <w:t>(</w:t>
      </w:r>
      <w:r w:rsidRPr="009713B3">
        <w:rPr>
          <w:rFonts w:ascii="Arial" w:hAnsi="Arial" w:cs="Arial"/>
          <w:lang w:eastAsia="en-GB"/>
        </w:rPr>
        <w:t>2022</w:t>
      </w:r>
      <w:r w:rsidR="004F246E">
        <w:rPr>
          <w:rFonts w:ascii="Arial" w:hAnsi="Arial" w:cs="Arial"/>
          <w:lang w:eastAsia="en-GB"/>
        </w:rPr>
        <w:t>)</w:t>
      </w:r>
      <w:r w:rsidRPr="009713B3">
        <w:rPr>
          <w:rFonts w:ascii="Arial" w:hAnsi="Arial" w:cs="Arial"/>
          <w:lang w:eastAsia="en-GB"/>
        </w:rPr>
        <w:t>. Decolonising knowledge for development in the Covid-19 era.</w:t>
      </w:r>
    </w:p>
    <w:p w14:paraId="49E2895E" w14:textId="35E112C1" w:rsidR="00094FDB" w:rsidRPr="009713B3" w:rsidRDefault="00094FDB" w:rsidP="009713B3">
      <w:pPr>
        <w:spacing w:line="360" w:lineRule="auto"/>
        <w:jc w:val="both"/>
        <w:rPr>
          <w:rFonts w:ascii="Arial" w:hAnsi="Arial" w:cs="Arial"/>
          <w:lang w:eastAsia="en-GB"/>
        </w:rPr>
      </w:pPr>
      <w:r w:rsidRPr="00094FDB">
        <w:rPr>
          <w:rFonts w:ascii="Arial" w:hAnsi="Arial" w:cs="Arial"/>
          <w:lang w:eastAsia="en-GB"/>
        </w:rPr>
        <w:t xml:space="preserve">Waylen, G., </w:t>
      </w:r>
      <w:r w:rsidR="00E5155B">
        <w:rPr>
          <w:rFonts w:ascii="Arial" w:hAnsi="Arial" w:cs="Arial"/>
          <w:lang w:eastAsia="en-GB"/>
        </w:rPr>
        <w:t>(</w:t>
      </w:r>
      <w:r w:rsidRPr="00094FDB">
        <w:rPr>
          <w:rFonts w:ascii="Arial" w:hAnsi="Arial" w:cs="Arial"/>
          <w:lang w:eastAsia="en-GB"/>
        </w:rPr>
        <w:t>2021</w:t>
      </w:r>
      <w:r w:rsidR="00E5155B">
        <w:rPr>
          <w:rFonts w:ascii="Arial" w:hAnsi="Arial" w:cs="Arial"/>
          <w:lang w:eastAsia="en-GB"/>
        </w:rPr>
        <w:t>)</w:t>
      </w:r>
      <w:r w:rsidRPr="00094FDB">
        <w:rPr>
          <w:rFonts w:ascii="Arial" w:hAnsi="Arial" w:cs="Arial"/>
          <w:lang w:eastAsia="en-GB"/>
        </w:rPr>
        <w:t>. Gendering political leadership: hypermasculine leadership and Covid-19. </w:t>
      </w:r>
      <w:r w:rsidRPr="00094FDB">
        <w:rPr>
          <w:rFonts w:ascii="Arial" w:hAnsi="Arial" w:cs="Arial"/>
          <w:i/>
          <w:iCs/>
          <w:lang w:eastAsia="en-GB"/>
        </w:rPr>
        <w:t>Journal of European Public Policy</w:t>
      </w:r>
      <w:r w:rsidRPr="00094FDB">
        <w:rPr>
          <w:rFonts w:ascii="Arial" w:hAnsi="Arial" w:cs="Arial"/>
          <w:lang w:eastAsia="en-GB"/>
        </w:rPr>
        <w:t>, </w:t>
      </w:r>
      <w:r w:rsidRPr="00094FDB">
        <w:rPr>
          <w:rFonts w:ascii="Arial" w:hAnsi="Arial" w:cs="Arial"/>
          <w:i/>
          <w:iCs/>
          <w:lang w:eastAsia="en-GB"/>
        </w:rPr>
        <w:t>28</w:t>
      </w:r>
      <w:r w:rsidRPr="00094FDB">
        <w:rPr>
          <w:rFonts w:ascii="Arial" w:hAnsi="Arial" w:cs="Arial"/>
          <w:lang w:eastAsia="en-GB"/>
        </w:rPr>
        <w:t>(8), pp.1153-1173.</w:t>
      </w:r>
    </w:p>
    <w:p w14:paraId="519EAFA6" w14:textId="77777777" w:rsidR="00056CD5" w:rsidRPr="009713B3" w:rsidRDefault="00056CD5" w:rsidP="009713B3">
      <w:pPr>
        <w:spacing w:line="360" w:lineRule="auto"/>
        <w:jc w:val="both"/>
        <w:rPr>
          <w:rFonts w:ascii="Arial" w:hAnsi="Arial" w:cs="Arial"/>
          <w:lang w:eastAsia="en-GB"/>
        </w:rPr>
      </w:pPr>
    </w:p>
    <w:p w14:paraId="4DED2056" w14:textId="77777777" w:rsidR="00056CD5" w:rsidRPr="009713B3" w:rsidRDefault="00056CD5" w:rsidP="009713B3">
      <w:pPr>
        <w:spacing w:line="360" w:lineRule="auto"/>
        <w:jc w:val="both"/>
        <w:rPr>
          <w:rFonts w:ascii="Arial" w:hAnsi="Arial" w:cs="Arial"/>
          <w:lang w:eastAsia="en-GB"/>
        </w:rPr>
      </w:pPr>
    </w:p>
    <w:p w14:paraId="4C3F78F0" w14:textId="77777777" w:rsidR="00F36A9E" w:rsidRPr="009713B3" w:rsidRDefault="00F36A9E" w:rsidP="009713B3">
      <w:pPr>
        <w:spacing w:line="360" w:lineRule="auto"/>
        <w:jc w:val="both"/>
        <w:rPr>
          <w:rFonts w:ascii="Arial" w:hAnsi="Arial" w:cs="Arial"/>
          <w:lang w:eastAsia="en-GB"/>
        </w:rPr>
      </w:pPr>
    </w:p>
    <w:p w14:paraId="331FEDF8" w14:textId="77777777" w:rsidR="00BC1C35" w:rsidRPr="000A05F0" w:rsidRDefault="00BC1C35" w:rsidP="009713B3">
      <w:pPr>
        <w:spacing w:line="360" w:lineRule="auto"/>
        <w:jc w:val="both"/>
        <w:rPr>
          <w:rFonts w:ascii="Arial" w:hAnsi="Arial" w:cs="Arial"/>
        </w:rPr>
      </w:pPr>
    </w:p>
    <w:p w14:paraId="67C875A4" w14:textId="77777777" w:rsidR="000A05F0" w:rsidRPr="000A05F0" w:rsidRDefault="000A05F0" w:rsidP="009713B3">
      <w:pPr>
        <w:spacing w:line="360" w:lineRule="auto"/>
        <w:jc w:val="both"/>
        <w:rPr>
          <w:rFonts w:ascii="Arial" w:hAnsi="Arial" w:cs="Arial"/>
        </w:rPr>
      </w:pPr>
    </w:p>
    <w:p w14:paraId="0A0B4C67" w14:textId="77777777" w:rsidR="00C9578D" w:rsidRPr="009713B3" w:rsidRDefault="00C9578D" w:rsidP="009713B3">
      <w:pPr>
        <w:spacing w:line="360" w:lineRule="auto"/>
        <w:jc w:val="both"/>
        <w:rPr>
          <w:rFonts w:ascii="Arial" w:hAnsi="Arial" w:cs="Arial"/>
        </w:rPr>
      </w:pPr>
    </w:p>
    <w:sectPr w:rsidR="00C9578D" w:rsidRPr="009713B3" w:rsidSect="009713B3">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126C5" w14:textId="77777777" w:rsidR="005B4B85" w:rsidRDefault="005B4B85" w:rsidP="009713B3">
      <w:pPr>
        <w:spacing w:after="0" w:line="240" w:lineRule="auto"/>
      </w:pPr>
      <w:r>
        <w:separator/>
      </w:r>
    </w:p>
  </w:endnote>
  <w:endnote w:type="continuationSeparator" w:id="0">
    <w:p w14:paraId="0209486C" w14:textId="77777777" w:rsidR="005B4B85" w:rsidRDefault="005B4B85" w:rsidP="00971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652335"/>
      <w:docPartObj>
        <w:docPartGallery w:val="Page Numbers (Bottom of Page)"/>
        <w:docPartUnique/>
      </w:docPartObj>
    </w:sdtPr>
    <w:sdtContent>
      <w:p w14:paraId="31878275" w14:textId="609395BB" w:rsidR="009713B3" w:rsidRDefault="009713B3">
        <w:pPr>
          <w:pStyle w:val="Footer"/>
          <w:jc w:val="right"/>
        </w:pPr>
        <w:r>
          <w:fldChar w:fldCharType="begin"/>
        </w:r>
        <w:r>
          <w:instrText>PAGE   \* MERGEFORMAT</w:instrText>
        </w:r>
        <w:r>
          <w:fldChar w:fldCharType="separate"/>
        </w:r>
        <w:r>
          <w:t>2</w:t>
        </w:r>
        <w:r>
          <w:fldChar w:fldCharType="end"/>
        </w:r>
      </w:p>
    </w:sdtContent>
  </w:sdt>
  <w:p w14:paraId="7544851F" w14:textId="77777777" w:rsidR="009713B3" w:rsidRDefault="00971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F43BB" w14:textId="77777777" w:rsidR="005B4B85" w:rsidRDefault="005B4B85" w:rsidP="009713B3">
      <w:pPr>
        <w:spacing w:after="0" w:line="240" w:lineRule="auto"/>
      </w:pPr>
      <w:r>
        <w:separator/>
      </w:r>
    </w:p>
  </w:footnote>
  <w:footnote w:type="continuationSeparator" w:id="0">
    <w:p w14:paraId="7A40F353" w14:textId="77777777" w:rsidR="005B4B85" w:rsidRDefault="005B4B85" w:rsidP="009713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CB7"/>
    <w:rsid w:val="000170BE"/>
    <w:rsid w:val="000232B3"/>
    <w:rsid w:val="0003214C"/>
    <w:rsid w:val="00056CD5"/>
    <w:rsid w:val="00094FDB"/>
    <w:rsid w:val="00097891"/>
    <w:rsid w:val="000A05F0"/>
    <w:rsid w:val="000C12D5"/>
    <w:rsid w:val="001246EA"/>
    <w:rsid w:val="00145682"/>
    <w:rsid w:val="001F055B"/>
    <w:rsid w:val="002117B3"/>
    <w:rsid w:val="00226887"/>
    <w:rsid w:val="00264614"/>
    <w:rsid w:val="00280140"/>
    <w:rsid w:val="0029017F"/>
    <w:rsid w:val="002E416A"/>
    <w:rsid w:val="002E4C1A"/>
    <w:rsid w:val="00310E2A"/>
    <w:rsid w:val="00316501"/>
    <w:rsid w:val="00326974"/>
    <w:rsid w:val="00336617"/>
    <w:rsid w:val="003863EB"/>
    <w:rsid w:val="00390EF7"/>
    <w:rsid w:val="003E4AF4"/>
    <w:rsid w:val="0040603E"/>
    <w:rsid w:val="00426DE7"/>
    <w:rsid w:val="0049404D"/>
    <w:rsid w:val="00495EAF"/>
    <w:rsid w:val="004B20A7"/>
    <w:rsid w:val="004B3D38"/>
    <w:rsid w:val="004B4CB7"/>
    <w:rsid w:val="004B72A4"/>
    <w:rsid w:val="004C0867"/>
    <w:rsid w:val="004E2BD7"/>
    <w:rsid w:val="004F246E"/>
    <w:rsid w:val="004F588E"/>
    <w:rsid w:val="005A3118"/>
    <w:rsid w:val="005B4B85"/>
    <w:rsid w:val="005D0E6B"/>
    <w:rsid w:val="005D6E40"/>
    <w:rsid w:val="005F6795"/>
    <w:rsid w:val="00607AA9"/>
    <w:rsid w:val="006152E1"/>
    <w:rsid w:val="00646997"/>
    <w:rsid w:val="00666DA7"/>
    <w:rsid w:val="0067331D"/>
    <w:rsid w:val="00681A9C"/>
    <w:rsid w:val="006954DE"/>
    <w:rsid w:val="006A3C72"/>
    <w:rsid w:val="006B5873"/>
    <w:rsid w:val="006F785D"/>
    <w:rsid w:val="00773957"/>
    <w:rsid w:val="00777C61"/>
    <w:rsid w:val="00784D8E"/>
    <w:rsid w:val="00795AD3"/>
    <w:rsid w:val="007B6F7D"/>
    <w:rsid w:val="007D2BFF"/>
    <w:rsid w:val="007D522C"/>
    <w:rsid w:val="007D5BB9"/>
    <w:rsid w:val="00806EE1"/>
    <w:rsid w:val="00875A5C"/>
    <w:rsid w:val="0089210D"/>
    <w:rsid w:val="008B0CD7"/>
    <w:rsid w:val="008B6BF7"/>
    <w:rsid w:val="008D47EB"/>
    <w:rsid w:val="008F13B2"/>
    <w:rsid w:val="008F58B3"/>
    <w:rsid w:val="008F77A1"/>
    <w:rsid w:val="00903671"/>
    <w:rsid w:val="0093658E"/>
    <w:rsid w:val="00941F40"/>
    <w:rsid w:val="009474EB"/>
    <w:rsid w:val="00950EA9"/>
    <w:rsid w:val="009713B3"/>
    <w:rsid w:val="009B5F98"/>
    <w:rsid w:val="009C2C1D"/>
    <w:rsid w:val="00A33594"/>
    <w:rsid w:val="00A45A35"/>
    <w:rsid w:val="00A70315"/>
    <w:rsid w:val="00A77DB6"/>
    <w:rsid w:val="00A85B59"/>
    <w:rsid w:val="00AA6F20"/>
    <w:rsid w:val="00AD6BE0"/>
    <w:rsid w:val="00BC1C35"/>
    <w:rsid w:val="00BD0A06"/>
    <w:rsid w:val="00BE0C9A"/>
    <w:rsid w:val="00C42FBB"/>
    <w:rsid w:val="00C50D96"/>
    <w:rsid w:val="00C51D14"/>
    <w:rsid w:val="00C636BF"/>
    <w:rsid w:val="00C65B4E"/>
    <w:rsid w:val="00C803C1"/>
    <w:rsid w:val="00C82724"/>
    <w:rsid w:val="00C9578D"/>
    <w:rsid w:val="00CD6E70"/>
    <w:rsid w:val="00CF6553"/>
    <w:rsid w:val="00D04A49"/>
    <w:rsid w:val="00D400F8"/>
    <w:rsid w:val="00D53FA0"/>
    <w:rsid w:val="00D75D45"/>
    <w:rsid w:val="00D80764"/>
    <w:rsid w:val="00DA2884"/>
    <w:rsid w:val="00E13E7C"/>
    <w:rsid w:val="00E34877"/>
    <w:rsid w:val="00E5155B"/>
    <w:rsid w:val="00E9647C"/>
    <w:rsid w:val="00ED7BE7"/>
    <w:rsid w:val="00EE41E9"/>
    <w:rsid w:val="00EF384E"/>
    <w:rsid w:val="00F00B37"/>
    <w:rsid w:val="00F36A9E"/>
    <w:rsid w:val="00FB24C1"/>
    <w:rsid w:val="00FF5A6D"/>
    <w:rsid w:val="00FF6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F1985"/>
  <w15:chartTrackingRefBased/>
  <w15:docId w15:val="{536E4C0C-8CCD-4607-83F7-76E5694DE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4C0867"/>
    <w:pPr>
      <w:keepNext/>
      <w:keepLines/>
      <w:spacing w:after="152" w:line="265" w:lineRule="auto"/>
      <w:ind w:left="10" w:right="2" w:hanging="10"/>
      <w:outlineLvl w:val="1"/>
    </w:pPr>
    <w:rPr>
      <w:rFonts w:ascii="Arial" w:eastAsiaTheme="majorEastAsia" w:hAnsi="Arial" w:cs="Times New Roman"/>
      <w:b/>
      <w:color w:val="000000"/>
    </w:rPr>
  </w:style>
  <w:style w:type="paragraph" w:styleId="Heading3">
    <w:name w:val="heading 3"/>
    <w:basedOn w:val="Normal"/>
    <w:next w:val="Normal"/>
    <w:link w:val="Heading3Char"/>
    <w:uiPriority w:val="9"/>
    <w:semiHidden/>
    <w:unhideWhenUsed/>
    <w:qFormat/>
    <w:rsid w:val="004B4C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C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4C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4C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C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C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C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4C0867"/>
    <w:rPr>
      <w:rFonts w:ascii="Arial" w:eastAsiaTheme="majorEastAsia" w:hAnsi="Arial" w:cs="Times New Roman"/>
      <w:b/>
      <w:color w:val="000000"/>
    </w:rPr>
  </w:style>
  <w:style w:type="character" w:customStyle="1" w:styleId="Heading3Char">
    <w:name w:val="Heading 3 Char"/>
    <w:basedOn w:val="DefaultParagraphFont"/>
    <w:link w:val="Heading3"/>
    <w:uiPriority w:val="9"/>
    <w:semiHidden/>
    <w:rsid w:val="004B4C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C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C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C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C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C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CB7"/>
    <w:rPr>
      <w:rFonts w:eastAsiaTheme="majorEastAsia" w:cstheme="majorBidi"/>
      <w:color w:val="272727" w:themeColor="text1" w:themeTint="D8"/>
    </w:rPr>
  </w:style>
  <w:style w:type="paragraph" w:styleId="Title">
    <w:name w:val="Title"/>
    <w:basedOn w:val="Normal"/>
    <w:next w:val="Normal"/>
    <w:link w:val="TitleChar"/>
    <w:uiPriority w:val="10"/>
    <w:qFormat/>
    <w:rsid w:val="004B4C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C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C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C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CB7"/>
    <w:pPr>
      <w:spacing w:before="160"/>
      <w:jc w:val="center"/>
    </w:pPr>
    <w:rPr>
      <w:i/>
      <w:iCs/>
      <w:color w:val="404040" w:themeColor="text1" w:themeTint="BF"/>
    </w:rPr>
  </w:style>
  <w:style w:type="character" w:customStyle="1" w:styleId="QuoteChar">
    <w:name w:val="Quote Char"/>
    <w:basedOn w:val="DefaultParagraphFont"/>
    <w:link w:val="Quote"/>
    <w:uiPriority w:val="29"/>
    <w:rsid w:val="004B4CB7"/>
    <w:rPr>
      <w:i/>
      <w:iCs/>
      <w:color w:val="404040" w:themeColor="text1" w:themeTint="BF"/>
    </w:rPr>
  </w:style>
  <w:style w:type="paragraph" w:styleId="ListParagraph">
    <w:name w:val="List Paragraph"/>
    <w:basedOn w:val="Normal"/>
    <w:uiPriority w:val="34"/>
    <w:qFormat/>
    <w:rsid w:val="004B4CB7"/>
    <w:pPr>
      <w:ind w:left="720"/>
      <w:contextualSpacing/>
    </w:pPr>
  </w:style>
  <w:style w:type="character" w:styleId="IntenseEmphasis">
    <w:name w:val="Intense Emphasis"/>
    <w:basedOn w:val="DefaultParagraphFont"/>
    <w:uiPriority w:val="21"/>
    <w:qFormat/>
    <w:rsid w:val="004B4CB7"/>
    <w:rPr>
      <w:i/>
      <w:iCs/>
      <w:color w:val="0F4761" w:themeColor="accent1" w:themeShade="BF"/>
    </w:rPr>
  </w:style>
  <w:style w:type="paragraph" w:styleId="IntenseQuote">
    <w:name w:val="Intense Quote"/>
    <w:basedOn w:val="Normal"/>
    <w:next w:val="Normal"/>
    <w:link w:val="IntenseQuoteChar"/>
    <w:uiPriority w:val="30"/>
    <w:qFormat/>
    <w:rsid w:val="004B4C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CB7"/>
    <w:rPr>
      <w:i/>
      <w:iCs/>
      <w:color w:val="0F4761" w:themeColor="accent1" w:themeShade="BF"/>
    </w:rPr>
  </w:style>
  <w:style w:type="character" w:styleId="IntenseReference">
    <w:name w:val="Intense Reference"/>
    <w:basedOn w:val="DefaultParagraphFont"/>
    <w:uiPriority w:val="32"/>
    <w:qFormat/>
    <w:rsid w:val="004B4CB7"/>
    <w:rPr>
      <w:b/>
      <w:bCs/>
      <w:smallCaps/>
      <w:color w:val="0F4761" w:themeColor="accent1" w:themeShade="BF"/>
      <w:spacing w:val="5"/>
    </w:rPr>
  </w:style>
  <w:style w:type="character" w:styleId="Hyperlink">
    <w:name w:val="Hyperlink"/>
    <w:basedOn w:val="DefaultParagraphFont"/>
    <w:uiPriority w:val="99"/>
    <w:unhideWhenUsed/>
    <w:rsid w:val="000A05F0"/>
    <w:rPr>
      <w:color w:val="467886" w:themeColor="hyperlink"/>
      <w:u w:val="single"/>
    </w:rPr>
  </w:style>
  <w:style w:type="character" w:styleId="UnresolvedMention">
    <w:name w:val="Unresolved Mention"/>
    <w:basedOn w:val="DefaultParagraphFont"/>
    <w:uiPriority w:val="99"/>
    <w:semiHidden/>
    <w:unhideWhenUsed/>
    <w:rsid w:val="000A05F0"/>
    <w:rPr>
      <w:color w:val="605E5C"/>
      <w:shd w:val="clear" w:color="auto" w:fill="E1DFDD"/>
    </w:rPr>
  </w:style>
  <w:style w:type="paragraph" w:styleId="Header">
    <w:name w:val="header"/>
    <w:basedOn w:val="Normal"/>
    <w:link w:val="HeaderChar"/>
    <w:uiPriority w:val="99"/>
    <w:unhideWhenUsed/>
    <w:rsid w:val="009713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3B3"/>
  </w:style>
  <w:style w:type="paragraph" w:styleId="Footer">
    <w:name w:val="footer"/>
    <w:basedOn w:val="Normal"/>
    <w:link w:val="FooterChar"/>
    <w:uiPriority w:val="99"/>
    <w:unhideWhenUsed/>
    <w:rsid w:val="009713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3B3"/>
  </w:style>
  <w:style w:type="paragraph" w:styleId="TOCHeading">
    <w:name w:val="TOC Heading"/>
    <w:basedOn w:val="Heading1"/>
    <w:next w:val="Normal"/>
    <w:uiPriority w:val="39"/>
    <w:unhideWhenUsed/>
    <w:qFormat/>
    <w:rsid w:val="009713B3"/>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9713B3"/>
    <w:pPr>
      <w:spacing w:after="100"/>
    </w:pPr>
  </w:style>
  <w:style w:type="paragraph" w:styleId="TOC2">
    <w:name w:val="toc 2"/>
    <w:basedOn w:val="Normal"/>
    <w:next w:val="Normal"/>
    <w:autoRedefine/>
    <w:uiPriority w:val="39"/>
    <w:unhideWhenUsed/>
    <w:rsid w:val="009713B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348</TotalTime>
  <Pages>22</Pages>
  <Words>7284</Words>
  <Characters>41523</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DISHALI BHUVA</dc:creator>
  <cp:keywords/>
  <dc:description/>
  <cp:lastModifiedBy>DISHALI BHUVA</cp:lastModifiedBy>
  <cp:revision>2</cp:revision>
  <dcterms:created xsi:type="dcterms:W3CDTF">2025-12-09T10:33:00Z</dcterms:created>
  <dcterms:modified xsi:type="dcterms:W3CDTF">2025-12-15T10:18:00Z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5a7dbd99-1341-4f4e-9b6c-db6d5777ee30</vt:lpwstr>
  </property>
</Properties>
</file>